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3"/>
        <w:rPr>
          <w:highlight w:val="none"/>
        </w:rPr>
      </w:pPr>
    </w:p>
    <w:p>
      <w:pPr>
        <w:pStyle w:val="53"/>
        <w:rPr>
          <w:highlight w:val="none"/>
        </w:rPr>
      </w:pPr>
    </w:p>
    <w:p>
      <w:pPr>
        <w:pStyle w:val="53"/>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3"/>
        <w:rPr>
          <w:highlight w:val="none"/>
        </w:rPr>
      </w:pPr>
    </w:p>
    <w:p>
      <w:pPr>
        <w:spacing w:line="360" w:lineRule="auto"/>
        <w:jc w:val="center"/>
        <w:rPr>
          <w:rFonts w:ascii="宋体" w:hAnsi="宋体" w:cs="宋体"/>
          <w:bCs/>
          <w:sz w:val="32"/>
          <w:szCs w:val="32"/>
          <w:highlight w:val="none"/>
        </w:rPr>
      </w:pPr>
      <w:r>
        <w:rPr>
          <w:rFonts w:hint="eastAsia"/>
          <w:b/>
          <w:bCs/>
          <w:sz w:val="24"/>
          <w:highlight w:val="none"/>
        </w:rPr>
        <w:t xml:space="preserve"> 项目编号：荥财公开-2024-18</w:t>
      </w:r>
    </w:p>
    <w:p>
      <w:pPr>
        <w:spacing w:line="360" w:lineRule="auto"/>
        <w:ind w:left="2100" w:leftChars="1000" w:firstLine="1495" w:firstLineChars="500"/>
        <w:jc w:val="both"/>
        <w:rPr>
          <w:rFonts w:hint="eastAsia" w:ascii="宋体" w:hAnsi="宋体" w:eastAsia="宋体" w:cs="宋体"/>
          <w:b/>
          <w:bCs/>
          <w:spacing w:val="29"/>
          <w:sz w:val="24"/>
          <w:szCs w:val="24"/>
          <w:highlight w:val="none"/>
          <w:lang w:eastAsia="zh-CN"/>
        </w:rPr>
      </w:pPr>
      <w:r>
        <w:rPr>
          <w:rFonts w:hint="eastAsia" w:ascii="宋体" w:hAnsi="宋体" w:cs="宋体"/>
          <w:b/>
          <w:bCs/>
          <w:spacing w:val="29"/>
          <w:sz w:val="24"/>
          <w:szCs w:val="24"/>
          <w:highlight w:val="none"/>
          <w:lang w:eastAsia="zh-CN"/>
        </w:rPr>
        <w:t>标段：四标段</w:t>
      </w:r>
    </w:p>
    <w:p>
      <w:pPr>
        <w:pStyle w:val="21"/>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59264"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6"/>
                    <a:stretch>
                      <a:fillRect/>
                    </a:stretch>
                  </pic:blipFill>
                  <pic:spPr>
                    <a:xfrm>
                      <a:off x="0" y="0"/>
                      <a:ext cx="2814320" cy="1933575"/>
                    </a:xfrm>
                    <a:prstGeom prst="rect">
                      <a:avLst/>
                    </a:prstGeom>
                    <a:noFill/>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headerReference r:id="rId3" w:type="default"/>
          <w:footerReference r:id="rId5" w:type="default"/>
          <w:footerReference r:id="rId6" w:type="even"/>
          <w:pgSz w:w="11906" w:h="16838"/>
          <w:pgMar w:top="1440" w:right="1418" w:bottom="1440" w:left="1134" w:header="851" w:footer="992" w:gutter="0"/>
          <w:pgNumType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5"/>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w:t>
      </w:r>
      <w:r>
        <w:rPr>
          <w:rFonts w:hint="eastAsia" w:ascii="宋体" w:hAnsi="宋体" w:cs="宋体"/>
          <w:szCs w:val="21"/>
          <w:highlight w:val="none"/>
          <w:lang w:eastAsia="zh-CN"/>
        </w:rPr>
        <w:t>计划工期</w:t>
      </w:r>
      <w:r>
        <w:rPr>
          <w:rFonts w:hint="eastAsia" w:ascii="宋体" w:hAnsi="宋体" w:cs="宋体"/>
          <w:szCs w:val="21"/>
          <w:highlight w:val="none"/>
        </w:rPr>
        <w:t>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16</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16</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17</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19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19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20</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22</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23</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23</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24</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28</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29</w:t>
      </w:r>
      <w:r>
        <w:rPr>
          <w:highlight w:val="none"/>
        </w:rPr>
        <w:fldChar w:fldCharType="end"/>
      </w:r>
      <w:r>
        <w:rPr>
          <w:highlight w:val="none"/>
        </w:rPr>
        <w:fldChar w:fldCharType="end"/>
      </w:r>
    </w:p>
    <w:p>
      <w:pPr>
        <w:pStyle w:val="28"/>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29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30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30</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31</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 xml:space="preserve">第五章  </w:t>
      </w:r>
      <w:r>
        <w:rPr>
          <w:rFonts w:hint="eastAsia" w:ascii="宋体" w:hAnsi="宋体" w:cs="宋体"/>
          <w:szCs w:val="32"/>
          <w:highlight w:val="none"/>
          <w:lang w:eastAsia="zh-CN"/>
        </w:rPr>
        <w:t>项目内容及要求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46</w:t>
      </w:r>
      <w:r>
        <w:rPr>
          <w:highlight w:val="none"/>
        </w:rPr>
        <w:fldChar w:fldCharType="end"/>
      </w:r>
      <w:r>
        <w:rPr>
          <w:highlight w:val="none"/>
        </w:rPr>
        <w:fldChar w:fldCharType="end"/>
      </w:r>
    </w:p>
    <w:p>
      <w:pPr>
        <w:pStyle w:val="25"/>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49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49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50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51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52</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53</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54</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56</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57</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lang w:eastAsia="zh-CN"/>
        </w:rPr>
        <w:t>八</w:t>
      </w:r>
      <w:r>
        <w:rPr>
          <w:rFonts w:hint="eastAsia"/>
          <w:highlight w:val="none"/>
        </w:rPr>
        <w:t>、项目实施方案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58</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lang w:eastAsia="zh-CN"/>
        </w:rPr>
        <w:t>九</w:t>
      </w:r>
      <w:r>
        <w:rPr>
          <w:rFonts w:hint="eastAsia"/>
          <w:highlight w:val="none"/>
        </w:rPr>
        <w:t>、供应商企业实力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59</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60</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61</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62</w:t>
      </w:r>
      <w:r>
        <w:rPr>
          <w:highlight w:val="none"/>
        </w:rPr>
        <w:fldChar w:fldCharType="end"/>
      </w:r>
      <w:r>
        <w:rPr>
          <w:highlight w:val="none"/>
        </w:rPr>
        <w:fldChar w:fldCharType="end"/>
      </w:r>
    </w:p>
    <w:p>
      <w:pPr>
        <w:pStyle w:val="18"/>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63</w:t>
      </w:r>
      <w:r>
        <w:rPr>
          <w:highlight w:val="none"/>
        </w:rPr>
        <w:fldChar w:fldCharType="end"/>
      </w:r>
      <w:r>
        <w:rPr>
          <w:highlight w:val="none"/>
        </w:rPr>
        <w:fldChar w:fldCharType="end"/>
      </w:r>
    </w:p>
    <w:p>
      <w:pPr>
        <w:pStyle w:val="18"/>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pPr>
        <w:pStyle w:val="33"/>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3"/>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6"/>
          <w:rFonts w:hint="eastAsia" w:ascii="宋体" w:hAnsi="宋体" w:cs="宋体"/>
          <w:color w:val="auto"/>
          <w:sz w:val="21"/>
          <w:szCs w:val="21"/>
          <w:highlight w:val="none"/>
          <w:u w:val="none"/>
        </w:rPr>
        <w:t>获取招标文件，并于</w:t>
      </w:r>
      <w:r>
        <w:rPr>
          <w:rStyle w:val="46"/>
          <w:rFonts w:hint="eastAsia" w:ascii="宋体" w:hAnsi="宋体" w:cs="宋体"/>
          <w:color w:val="auto"/>
          <w:sz w:val="21"/>
          <w:szCs w:val="21"/>
          <w:highlight w:val="none"/>
          <w:u w:val="none"/>
          <w:lang w:eastAsia="zh-CN"/>
        </w:rPr>
        <w:t>2024年</w:t>
      </w:r>
      <w:r>
        <w:rPr>
          <w:rStyle w:val="46"/>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3"/>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5"/>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10"/>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6"/>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10"/>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6"/>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31"/>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31"/>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31"/>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31"/>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4"/>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4"/>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29"/>
        <w:rPr>
          <w:highlight w:val="none"/>
        </w:rPr>
      </w:pPr>
    </w:p>
    <w:p>
      <w:pPr>
        <w:pStyle w:val="29"/>
        <w:rPr>
          <w:highlight w:val="none"/>
        </w:rPr>
      </w:pPr>
    </w:p>
    <w:p>
      <w:pPr>
        <w:pStyle w:val="2"/>
        <w:keepNext w:val="0"/>
        <w:keepLines w:val="0"/>
        <w:spacing w:line="360" w:lineRule="auto"/>
        <w:jc w:val="center"/>
        <w:rPr>
          <w:rFonts w:ascii="宋体" w:hAnsi="宋体" w:cs="宋体"/>
          <w:sz w:val="32"/>
          <w:szCs w:val="32"/>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5"/>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赵莹</w:t>
            </w:r>
            <w:bookmarkStart w:id="280" w:name="_GoBack"/>
            <w:bookmarkEnd w:id="280"/>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jc w:val="both"/>
              <w:rPr>
                <w:sz w:val="21"/>
                <w:szCs w:val="21"/>
                <w:highlight w:val="none"/>
              </w:rPr>
            </w:pPr>
            <w:r>
              <w:rPr>
                <w:rFonts w:hint="eastAsia"/>
                <w:sz w:val="21"/>
                <w:szCs w:val="21"/>
                <w:highlight w:val="none"/>
              </w:rPr>
              <w:t>安装工期及保修期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szCs w:val="21"/>
                <w:highlight w:val="none"/>
              </w:rPr>
            </w:pPr>
            <w:r>
              <w:rPr>
                <w:rFonts w:hint="eastAsia"/>
                <w:b/>
                <w:bCs/>
                <w:szCs w:val="21"/>
                <w:highlight w:val="none"/>
              </w:rPr>
              <w:t>2.需落实政府采购的政策要求：</w:t>
            </w:r>
            <w:r>
              <w:rPr>
                <w:rFonts w:hint="eastAsia"/>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3.1、（1）供应商须具备有效期范围内的营业执照；</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拟派项目总监理工程师须具有信息系统专业监理师证书或机电安装专业注册监理师证书或通信工程专业注册监理师证书，并提供2024年1月份以来本单位为其缴纳的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highlight w:val="none"/>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21"/>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21"/>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2</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5</w:t>
            </w:r>
            <w:r>
              <w:rPr>
                <w:rFonts w:hint="eastAsia" w:ascii="宋体" w:hAnsi="宋体" w:cs="宋体"/>
                <w:szCs w:val="21"/>
                <w:highlight w:val="none"/>
              </w:rPr>
              <w:t>人共</w:t>
            </w:r>
            <w:r>
              <w:rPr>
                <w:rFonts w:hint="eastAsia" w:ascii="宋体" w:hAnsi="宋体" w:cs="宋体"/>
                <w:szCs w:val="21"/>
                <w:highlight w:val="none"/>
                <w:lang w:val="en-US" w:eastAsia="zh-CN"/>
              </w:rPr>
              <w:t>7</w:t>
            </w:r>
            <w:r>
              <w:rPr>
                <w:rFonts w:hint="eastAsia" w:ascii="宋体" w:hAnsi="宋体" w:cs="宋体"/>
                <w:szCs w:val="21"/>
                <w:highlight w:val="none"/>
              </w:rPr>
              <w:t>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21"/>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9"/>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9"/>
              <w:spacing w:line="400" w:lineRule="exact"/>
              <w:rPr>
                <w:highlight w:val="none"/>
              </w:rPr>
            </w:pPr>
            <w:r>
              <w:rPr>
                <w:rFonts w:hint="eastAsia"/>
                <w:highlight w:val="none"/>
              </w:rPr>
              <w:t>最高投标限价为：</w:t>
            </w:r>
          </w:p>
          <w:p>
            <w:pPr>
              <w:pStyle w:val="19"/>
              <w:spacing w:line="400" w:lineRule="exact"/>
              <w:rPr>
                <w:rFonts w:hint="eastAsia"/>
                <w:highlight w:val="none"/>
                <w:lang w:eastAsia="zh-CN"/>
              </w:rPr>
            </w:pPr>
            <w:r>
              <w:rPr>
                <w:rFonts w:hint="eastAsia"/>
                <w:highlight w:val="none"/>
                <w:lang w:eastAsia="zh-CN"/>
              </w:rPr>
              <w:t>四标段：</w:t>
            </w:r>
          </w:p>
          <w:p>
            <w:pPr>
              <w:pStyle w:val="19"/>
              <w:spacing w:line="400" w:lineRule="exact"/>
              <w:rPr>
                <w:rFonts w:hint="eastAsia"/>
                <w:highlight w:val="none"/>
                <w:lang w:eastAsia="zh-CN"/>
              </w:rPr>
            </w:pPr>
            <w:r>
              <w:rPr>
                <w:rFonts w:hint="eastAsia"/>
                <w:highlight w:val="none"/>
              </w:rPr>
              <w:t>小写：￥</w:t>
            </w:r>
            <w:r>
              <w:rPr>
                <w:rFonts w:hint="eastAsia"/>
                <w:highlight w:val="none"/>
                <w:lang w:val="en-US" w:eastAsia="zh-CN"/>
              </w:rPr>
              <w:t>617000</w:t>
            </w:r>
            <w:r>
              <w:rPr>
                <w:rFonts w:hint="eastAsia"/>
                <w:highlight w:val="none"/>
              </w:rPr>
              <w:t>元；大写：</w:t>
            </w:r>
            <w:r>
              <w:rPr>
                <w:rFonts w:hint="eastAsia"/>
                <w:highlight w:val="none"/>
                <w:lang w:eastAsia="zh-CN"/>
              </w:rPr>
              <w:t>陆拾壹万柒仟元整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采购标的所属行业为：</w:t>
            </w:r>
            <w:r>
              <w:rPr>
                <w:rFonts w:hint="eastAsia" w:ascii="宋体" w:hAnsi="宋体" w:cs="宋体"/>
                <w:b/>
                <w:bCs/>
                <w:color w:val="auto"/>
                <w:kern w:val="2"/>
                <w:sz w:val="21"/>
                <w:szCs w:val="21"/>
                <w:highlight w:val="none"/>
                <w:lang w:val="en-US" w:eastAsia="zh-CN" w:bidi="zh-CN"/>
              </w:rPr>
              <w:t xml:space="preserve">四标段 </w:t>
            </w:r>
            <w:r>
              <w:rPr>
                <w:rFonts w:hint="eastAsia" w:ascii="宋体" w:hAnsi="宋体" w:eastAsia="宋体" w:cs="宋体"/>
                <w:b/>
                <w:bCs/>
                <w:color w:val="auto"/>
                <w:kern w:val="0"/>
                <w:sz w:val="21"/>
                <w:szCs w:val="21"/>
                <w:highlight w:val="none"/>
              </w:rPr>
              <w:t>其他未列明行业</w:t>
            </w:r>
          </w:p>
          <w:p>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highlight w:val="none"/>
                <w:lang w:eastAsia="zh-CN"/>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bidi="ar"/>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5"/>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jc w:val="both"/>
        <w:rPr>
          <w:rFonts w:hint="default"/>
          <w:highlight w:val="none"/>
          <w:lang w:val="en-US" w:eastAsia="zh-CN"/>
        </w:rPr>
        <w:sectPr>
          <w:footerReference r:id="rId7" w:type="default"/>
          <w:pgSz w:w="11906" w:h="16838"/>
          <w:pgMar w:top="1418" w:right="1134" w:bottom="1418" w:left="1134" w:header="851" w:footer="992" w:gutter="0"/>
          <w:pgNumType w:fmt="decimal" w:start="1"/>
          <w:cols w:space="720" w:num="1"/>
          <w:docGrid w:type="lines" w:linePitch="312" w:charSpace="0"/>
        </w:sectPr>
      </w:pPr>
    </w:p>
    <w:p>
      <w:pPr>
        <w:pStyle w:val="4"/>
        <w:adjustRightInd w:val="0"/>
        <w:snapToGrid w:val="0"/>
        <w:spacing w:line="360" w:lineRule="auto"/>
        <w:rPr>
          <w:rFonts w:ascii="宋体" w:hAnsi="宋体" w:cs="宋体"/>
          <w:sz w:val="21"/>
          <w:szCs w:val="21"/>
          <w:highlight w:val="none"/>
        </w:rPr>
      </w:pPr>
      <w:bookmarkStart w:id="5" w:name="_Toc19318"/>
      <w:bookmarkStart w:id="6" w:name="_Toc28691"/>
      <w:r>
        <w:rPr>
          <w:rFonts w:hint="eastAsia" w:ascii="宋体" w:hAnsi="宋体" w:cs="宋体"/>
          <w:sz w:val="21"/>
          <w:szCs w:val="21"/>
          <w:highlight w:val="none"/>
        </w:rPr>
        <w:t>1.总则</w:t>
      </w:r>
      <w:bookmarkEnd w:id="4"/>
      <w:bookmarkEnd w:id="5"/>
      <w:bookmarkEnd w:id="6"/>
    </w:p>
    <w:p>
      <w:pPr>
        <w:pStyle w:val="6"/>
        <w:adjustRightInd w:val="0"/>
        <w:snapToGrid w:val="0"/>
        <w:spacing w:line="360" w:lineRule="auto"/>
        <w:rPr>
          <w:rFonts w:ascii="宋体" w:hAnsi="宋体" w:eastAsia="宋体" w:cs="宋体"/>
          <w:sz w:val="21"/>
          <w:szCs w:val="21"/>
          <w:highlight w:val="none"/>
        </w:rPr>
      </w:pPr>
      <w:bookmarkStart w:id="7" w:name="_Toc6537"/>
      <w:bookmarkStart w:id="8" w:name="_Toc31905"/>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6"/>
        <w:adjustRightInd w:val="0"/>
        <w:snapToGrid w:val="0"/>
        <w:spacing w:line="360" w:lineRule="auto"/>
        <w:rPr>
          <w:rFonts w:ascii="宋体" w:hAnsi="宋体" w:eastAsia="宋体" w:cs="宋体"/>
          <w:sz w:val="21"/>
          <w:szCs w:val="21"/>
          <w:highlight w:val="none"/>
        </w:rPr>
      </w:pPr>
      <w:bookmarkStart w:id="9" w:name="_Toc15384"/>
      <w:bookmarkStart w:id="10" w:name="_Toc29120"/>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6"/>
        <w:adjustRightInd w:val="0"/>
        <w:snapToGrid w:val="0"/>
        <w:spacing w:line="360" w:lineRule="auto"/>
        <w:rPr>
          <w:rFonts w:ascii="宋体" w:hAnsi="宋体" w:eastAsia="宋体" w:cs="宋体"/>
          <w:sz w:val="21"/>
          <w:szCs w:val="21"/>
          <w:highlight w:val="none"/>
        </w:rPr>
      </w:pPr>
      <w:bookmarkStart w:id="11" w:name="_Toc1544"/>
      <w:bookmarkStart w:id="12" w:name="_Toc19504"/>
      <w:r>
        <w:rPr>
          <w:rFonts w:hint="eastAsia" w:ascii="宋体" w:hAnsi="宋体" w:eastAsia="宋体" w:cs="宋体"/>
          <w:sz w:val="21"/>
          <w:szCs w:val="21"/>
          <w:highlight w:val="none"/>
        </w:rPr>
        <w:t>1.3 招标范围和标段划分、</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eastAsia="zh-CN"/>
        </w:rPr>
        <w:t>计划工期</w:t>
      </w:r>
      <w:r>
        <w:rPr>
          <w:rFonts w:hint="eastAsia" w:ascii="宋体" w:hAnsi="宋体" w:cs="宋体"/>
          <w:szCs w:val="21"/>
          <w:highlight w:val="none"/>
        </w:rPr>
        <w:t>：见投标人须知前附表。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pStyle w:val="6"/>
        <w:adjustRightInd w:val="0"/>
        <w:snapToGrid w:val="0"/>
        <w:spacing w:line="360" w:lineRule="auto"/>
        <w:rPr>
          <w:rFonts w:ascii="宋体" w:hAnsi="宋体" w:eastAsia="宋体" w:cs="宋体"/>
          <w:sz w:val="21"/>
          <w:szCs w:val="21"/>
          <w:highlight w:val="none"/>
        </w:rPr>
      </w:pPr>
      <w:bookmarkStart w:id="13" w:name="_Toc10255"/>
      <w:bookmarkStart w:id="14" w:name="_Toc21609"/>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6"/>
        <w:adjustRightInd w:val="0"/>
        <w:snapToGrid w:val="0"/>
        <w:spacing w:line="360" w:lineRule="auto"/>
        <w:rPr>
          <w:rFonts w:ascii="宋体" w:hAnsi="宋体" w:eastAsia="宋体" w:cs="宋体"/>
          <w:sz w:val="21"/>
          <w:szCs w:val="21"/>
          <w:highlight w:val="none"/>
        </w:rPr>
      </w:pPr>
      <w:bookmarkStart w:id="15" w:name="_Toc26190"/>
      <w:bookmarkStart w:id="16" w:name="_Toc17507"/>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6"/>
        <w:adjustRightInd w:val="0"/>
        <w:snapToGrid w:val="0"/>
        <w:spacing w:line="360" w:lineRule="auto"/>
        <w:rPr>
          <w:rFonts w:ascii="宋体" w:hAnsi="宋体" w:eastAsia="宋体" w:cs="宋体"/>
          <w:sz w:val="21"/>
          <w:szCs w:val="21"/>
          <w:highlight w:val="none"/>
        </w:rPr>
      </w:pPr>
      <w:bookmarkStart w:id="17" w:name="_Toc7520"/>
      <w:bookmarkStart w:id="18" w:name="_Toc8797"/>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6"/>
        <w:adjustRightInd w:val="0"/>
        <w:snapToGrid w:val="0"/>
        <w:spacing w:line="360" w:lineRule="auto"/>
        <w:rPr>
          <w:rFonts w:ascii="宋体" w:hAnsi="宋体" w:eastAsia="宋体" w:cs="宋体"/>
          <w:sz w:val="21"/>
          <w:szCs w:val="21"/>
          <w:highlight w:val="none"/>
        </w:rPr>
      </w:pPr>
      <w:bookmarkStart w:id="19" w:name="_Toc11422"/>
      <w:bookmarkStart w:id="20" w:name="_Toc253"/>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6"/>
        <w:adjustRightInd w:val="0"/>
        <w:snapToGrid w:val="0"/>
        <w:spacing w:line="360" w:lineRule="auto"/>
        <w:rPr>
          <w:rFonts w:ascii="宋体" w:hAnsi="宋体" w:eastAsia="宋体" w:cs="宋体"/>
          <w:sz w:val="21"/>
          <w:szCs w:val="21"/>
          <w:highlight w:val="none"/>
        </w:rPr>
      </w:pPr>
      <w:bookmarkStart w:id="21" w:name="_Toc12665"/>
      <w:bookmarkStart w:id="22" w:name="_Toc182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6"/>
        <w:adjustRightInd w:val="0"/>
        <w:snapToGrid w:val="0"/>
        <w:spacing w:line="360" w:lineRule="auto"/>
        <w:rPr>
          <w:rFonts w:ascii="宋体" w:hAnsi="宋体" w:eastAsia="宋体" w:cs="宋体"/>
          <w:sz w:val="21"/>
          <w:szCs w:val="21"/>
          <w:highlight w:val="none"/>
        </w:rPr>
      </w:pPr>
      <w:bookmarkStart w:id="23" w:name="_Toc23380"/>
      <w:bookmarkStart w:id="24" w:name="_Toc11164"/>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6"/>
        <w:adjustRightInd w:val="0"/>
        <w:snapToGrid w:val="0"/>
        <w:spacing w:line="360" w:lineRule="auto"/>
        <w:rPr>
          <w:rFonts w:ascii="宋体" w:hAnsi="宋体" w:eastAsia="宋体" w:cs="宋体"/>
          <w:sz w:val="21"/>
          <w:szCs w:val="21"/>
          <w:highlight w:val="none"/>
        </w:rPr>
      </w:pPr>
      <w:bookmarkStart w:id="25" w:name="_Toc1006"/>
      <w:bookmarkStart w:id="26" w:name="_Toc675"/>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6"/>
        <w:adjustRightInd w:val="0"/>
        <w:snapToGrid w:val="0"/>
        <w:spacing w:line="360" w:lineRule="auto"/>
        <w:rPr>
          <w:rFonts w:ascii="宋体" w:hAnsi="宋体" w:eastAsia="宋体" w:cs="宋体"/>
          <w:sz w:val="21"/>
          <w:szCs w:val="21"/>
          <w:highlight w:val="none"/>
        </w:rPr>
      </w:pPr>
      <w:bookmarkStart w:id="27" w:name="_Toc13468"/>
      <w:bookmarkStart w:id="28" w:name="_Toc26966"/>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6"/>
        <w:adjustRightInd w:val="0"/>
        <w:snapToGrid w:val="0"/>
        <w:spacing w:line="360" w:lineRule="auto"/>
        <w:rPr>
          <w:rFonts w:ascii="宋体" w:hAnsi="宋体" w:eastAsia="宋体" w:cs="宋体"/>
          <w:sz w:val="21"/>
          <w:szCs w:val="21"/>
          <w:highlight w:val="none"/>
        </w:rPr>
      </w:pPr>
      <w:bookmarkStart w:id="29" w:name="_Toc11322"/>
      <w:bookmarkStart w:id="30" w:name="_Toc26220"/>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4635072"/>
      <w:bookmarkStart w:id="32" w:name="_Toc17587"/>
      <w:bookmarkStart w:id="33" w:name="_Toc18031"/>
      <w:r>
        <w:rPr>
          <w:rFonts w:hint="eastAsia" w:ascii="宋体" w:hAnsi="宋体" w:cs="宋体"/>
          <w:sz w:val="21"/>
          <w:szCs w:val="21"/>
          <w:highlight w:val="none"/>
        </w:rPr>
        <w:t>2．招标文件</w:t>
      </w:r>
      <w:bookmarkEnd w:id="31"/>
      <w:bookmarkEnd w:id="32"/>
      <w:bookmarkEnd w:id="33"/>
    </w:p>
    <w:p>
      <w:pPr>
        <w:pStyle w:val="6"/>
        <w:adjustRightInd w:val="0"/>
        <w:snapToGrid w:val="0"/>
        <w:spacing w:line="360" w:lineRule="auto"/>
        <w:rPr>
          <w:rFonts w:ascii="宋体" w:hAnsi="宋体" w:eastAsia="宋体" w:cs="宋体"/>
          <w:sz w:val="21"/>
          <w:szCs w:val="21"/>
          <w:highlight w:val="none"/>
        </w:rPr>
      </w:pPr>
      <w:bookmarkStart w:id="34" w:name="_Toc17154"/>
      <w:bookmarkStart w:id="35" w:name="_Toc17786"/>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项目内容及要求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6"/>
        <w:adjustRightInd w:val="0"/>
        <w:snapToGrid w:val="0"/>
        <w:spacing w:line="360" w:lineRule="auto"/>
        <w:rPr>
          <w:rFonts w:ascii="宋体" w:hAnsi="宋体" w:eastAsia="宋体" w:cs="宋体"/>
          <w:sz w:val="21"/>
          <w:szCs w:val="21"/>
          <w:highlight w:val="none"/>
        </w:rPr>
      </w:pPr>
      <w:bookmarkStart w:id="36" w:name="_Toc20511"/>
      <w:bookmarkStart w:id="37" w:name="_Toc19452"/>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6"/>
        <w:adjustRightInd w:val="0"/>
        <w:snapToGrid w:val="0"/>
        <w:spacing w:line="360" w:lineRule="auto"/>
        <w:rPr>
          <w:rFonts w:ascii="宋体" w:hAnsi="宋体" w:eastAsia="宋体" w:cs="宋体"/>
          <w:sz w:val="21"/>
          <w:szCs w:val="21"/>
          <w:highlight w:val="none"/>
        </w:rPr>
      </w:pPr>
      <w:bookmarkStart w:id="38" w:name="_Toc22076"/>
      <w:bookmarkStart w:id="39" w:name="_Toc10147"/>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22975"/>
      <w:bookmarkStart w:id="41" w:name="_Toc184635073"/>
      <w:bookmarkStart w:id="42" w:name="_Toc27161"/>
      <w:r>
        <w:rPr>
          <w:rFonts w:hint="eastAsia" w:ascii="宋体" w:hAnsi="宋体" w:cs="宋体"/>
          <w:sz w:val="21"/>
          <w:szCs w:val="21"/>
          <w:highlight w:val="none"/>
        </w:rPr>
        <w:t>3．投标文件</w:t>
      </w:r>
      <w:bookmarkEnd w:id="40"/>
      <w:bookmarkEnd w:id="41"/>
      <w:bookmarkEnd w:id="42"/>
    </w:p>
    <w:p>
      <w:pPr>
        <w:pStyle w:val="6"/>
        <w:adjustRightInd w:val="0"/>
        <w:snapToGrid w:val="0"/>
        <w:spacing w:line="360" w:lineRule="auto"/>
        <w:rPr>
          <w:rFonts w:ascii="宋体" w:hAnsi="宋体" w:eastAsia="宋体" w:cs="宋体"/>
          <w:sz w:val="21"/>
          <w:szCs w:val="21"/>
          <w:highlight w:val="none"/>
        </w:rPr>
      </w:pPr>
      <w:bookmarkStart w:id="43" w:name="_Toc29461"/>
      <w:bookmarkStart w:id="44" w:name="_Toc31140"/>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）项目实施方案</w:t>
      </w:r>
    </w:p>
    <w:p>
      <w:pPr>
        <w:pStyle w:val="16"/>
        <w:ind w:firstLine="420" w:firstLineChars="200"/>
        <w:rPr>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）其他材料</w:t>
      </w:r>
    </w:p>
    <w:p>
      <w:pPr>
        <w:pStyle w:val="6"/>
        <w:adjustRightInd w:val="0"/>
        <w:snapToGrid w:val="0"/>
        <w:spacing w:line="360" w:lineRule="auto"/>
        <w:rPr>
          <w:rFonts w:ascii="宋体" w:hAnsi="宋体" w:eastAsia="宋体" w:cs="宋体"/>
          <w:sz w:val="21"/>
          <w:szCs w:val="21"/>
          <w:highlight w:val="none"/>
        </w:rPr>
      </w:pPr>
      <w:bookmarkStart w:id="45" w:name="_Toc176"/>
      <w:bookmarkStart w:id="46" w:name="_Toc19234"/>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3"/>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6"/>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6"/>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6"/>
        <w:adjustRightInd w:val="0"/>
        <w:snapToGrid w:val="0"/>
        <w:spacing w:line="360" w:lineRule="auto"/>
        <w:rPr>
          <w:rFonts w:ascii="宋体" w:hAnsi="宋体" w:eastAsia="宋体" w:cs="宋体"/>
          <w:sz w:val="21"/>
          <w:szCs w:val="21"/>
          <w:highlight w:val="none"/>
        </w:rPr>
      </w:pPr>
      <w:bookmarkStart w:id="51" w:name="_Toc4417"/>
      <w:bookmarkStart w:id="52" w:name="_Toc21982"/>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6"/>
        <w:adjustRightInd w:val="0"/>
        <w:snapToGrid w:val="0"/>
        <w:spacing w:line="360" w:lineRule="auto"/>
        <w:rPr>
          <w:rFonts w:ascii="宋体" w:hAnsi="宋体" w:eastAsia="宋体" w:cs="宋体"/>
          <w:sz w:val="21"/>
          <w:szCs w:val="21"/>
          <w:highlight w:val="none"/>
        </w:rPr>
      </w:pPr>
      <w:bookmarkStart w:id="53" w:name="_Toc13214"/>
      <w:bookmarkStart w:id="54" w:name="_Toc25929"/>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adjustRightInd w:val="0"/>
        <w:snapToGrid w:val="0"/>
        <w:spacing w:line="360" w:lineRule="auto"/>
        <w:rPr>
          <w:rFonts w:ascii="宋体" w:hAnsi="宋体" w:eastAsia="宋体" w:cs="宋体"/>
          <w:sz w:val="21"/>
          <w:szCs w:val="21"/>
          <w:highlight w:val="none"/>
        </w:rPr>
      </w:pPr>
      <w:bookmarkStart w:id="55" w:name="_Toc10958"/>
      <w:bookmarkStart w:id="56" w:name="_Toc23941"/>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22792"/>
      <w:bookmarkStart w:id="58" w:name="_Toc26591"/>
      <w:bookmarkStart w:id="59" w:name="_Toc184635074"/>
      <w:r>
        <w:rPr>
          <w:rFonts w:hint="eastAsia" w:ascii="宋体" w:hAnsi="宋体" w:cs="宋体"/>
          <w:sz w:val="21"/>
          <w:szCs w:val="21"/>
          <w:highlight w:val="none"/>
        </w:rPr>
        <w:t>4．投标</w:t>
      </w:r>
      <w:bookmarkEnd w:id="57"/>
      <w:bookmarkEnd w:id="58"/>
      <w:bookmarkEnd w:id="59"/>
    </w:p>
    <w:p>
      <w:pPr>
        <w:pStyle w:val="6"/>
        <w:adjustRightInd w:val="0"/>
        <w:snapToGrid w:val="0"/>
        <w:spacing w:line="360" w:lineRule="auto"/>
        <w:rPr>
          <w:rFonts w:ascii="宋体" w:hAnsi="宋体" w:eastAsia="宋体" w:cs="宋体"/>
          <w:sz w:val="21"/>
          <w:szCs w:val="21"/>
          <w:highlight w:val="none"/>
        </w:rPr>
      </w:pPr>
      <w:bookmarkStart w:id="60" w:name="_Toc13897"/>
      <w:bookmarkStart w:id="61" w:name="_Toc3326"/>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6"/>
        <w:adjustRightInd w:val="0"/>
        <w:snapToGrid w:val="0"/>
        <w:spacing w:line="360" w:lineRule="auto"/>
        <w:rPr>
          <w:rFonts w:ascii="宋体" w:hAnsi="宋体" w:eastAsia="宋体" w:cs="宋体"/>
          <w:sz w:val="21"/>
          <w:szCs w:val="21"/>
          <w:highlight w:val="none"/>
        </w:rPr>
      </w:pPr>
      <w:bookmarkStart w:id="62" w:name="_Toc14621"/>
      <w:bookmarkStart w:id="63" w:name="_Toc15582"/>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6"/>
        <w:adjustRightInd w:val="0"/>
        <w:snapToGrid w:val="0"/>
        <w:spacing w:line="360" w:lineRule="auto"/>
        <w:rPr>
          <w:rFonts w:ascii="宋体" w:hAnsi="宋体" w:eastAsia="宋体" w:cs="宋体"/>
          <w:sz w:val="21"/>
          <w:szCs w:val="21"/>
          <w:highlight w:val="none"/>
        </w:rPr>
      </w:pPr>
      <w:bookmarkStart w:id="64" w:name="_Toc4348"/>
      <w:bookmarkStart w:id="65" w:name="_Toc25861"/>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0394"/>
      <w:bookmarkStart w:id="67" w:name="_Toc13329"/>
      <w:bookmarkStart w:id="68" w:name="_Toc184635075"/>
      <w:r>
        <w:rPr>
          <w:rFonts w:hint="eastAsia" w:ascii="宋体" w:hAnsi="宋体" w:cs="宋体"/>
          <w:sz w:val="21"/>
          <w:szCs w:val="21"/>
          <w:highlight w:val="none"/>
        </w:rPr>
        <w:t>5．开标</w:t>
      </w:r>
      <w:bookmarkEnd w:id="66"/>
      <w:bookmarkEnd w:id="67"/>
      <w:bookmarkEnd w:id="68"/>
    </w:p>
    <w:p>
      <w:pPr>
        <w:pStyle w:val="6"/>
        <w:adjustRightInd w:val="0"/>
        <w:snapToGrid w:val="0"/>
        <w:spacing w:line="360" w:lineRule="auto"/>
        <w:rPr>
          <w:rFonts w:ascii="宋体" w:hAnsi="宋体" w:eastAsia="宋体" w:cs="宋体"/>
          <w:sz w:val="21"/>
          <w:szCs w:val="21"/>
          <w:highlight w:val="none"/>
        </w:rPr>
      </w:pPr>
      <w:bookmarkStart w:id="69" w:name="_Toc10302"/>
      <w:bookmarkStart w:id="70" w:name="_Toc16089"/>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6"/>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27644"/>
      <w:bookmarkStart w:id="74" w:name="_Toc184635076"/>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6"/>
        <w:adjustRightInd w:val="0"/>
        <w:snapToGrid w:val="0"/>
        <w:spacing w:line="360" w:lineRule="auto"/>
        <w:rPr>
          <w:rFonts w:ascii="宋体" w:hAnsi="宋体" w:eastAsia="宋体" w:cs="宋体"/>
          <w:sz w:val="21"/>
          <w:szCs w:val="21"/>
          <w:highlight w:val="none"/>
        </w:rPr>
      </w:pPr>
      <w:bookmarkStart w:id="76" w:name="_Toc16737"/>
      <w:bookmarkStart w:id="77" w:name="_Toc26838"/>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6"/>
        <w:adjustRightInd w:val="0"/>
        <w:snapToGrid w:val="0"/>
        <w:spacing w:line="360" w:lineRule="auto"/>
        <w:rPr>
          <w:rFonts w:ascii="宋体" w:hAnsi="宋体" w:eastAsia="宋体" w:cs="宋体"/>
          <w:sz w:val="21"/>
          <w:szCs w:val="21"/>
          <w:highlight w:val="none"/>
        </w:rPr>
      </w:pPr>
      <w:bookmarkStart w:id="78" w:name="_Toc18703"/>
      <w:bookmarkStart w:id="79" w:name="_Toc23512"/>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6"/>
        <w:adjustRightInd w:val="0"/>
        <w:snapToGrid w:val="0"/>
        <w:spacing w:line="360" w:lineRule="auto"/>
        <w:rPr>
          <w:rFonts w:ascii="宋体" w:hAnsi="宋体" w:eastAsia="宋体" w:cs="宋体"/>
          <w:sz w:val="21"/>
          <w:szCs w:val="21"/>
          <w:highlight w:val="none"/>
        </w:rPr>
      </w:pPr>
      <w:bookmarkStart w:id="80" w:name="_Toc8943"/>
      <w:bookmarkStart w:id="81" w:name="_Toc19576"/>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84635077"/>
      <w:bookmarkStart w:id="83" w:name="_Toc13046"/>
      <w:bookmarkStart w:id="84" w:name="_Toc5863"/>
      <w:r>
        <w:rPr>
          <w:rFonts w:hint="eastAsia" w:ascii="宋体" w:hAnsi="宋体" w:cs="宋体"/>
          <w:sz w:val="21"/>
          <w:szCs w:val="21"/>
          <w:highlight w:val="none"/>
        </w:rPr>
        <w:t>7．合同授予</w:t>
      </w:r>
      <w:bookmarkEnd w:id="82"/>
      <w:bookmarkEnd w:id="83"/>
      <w:bookmarkEnd w:id="84"/>
    </w:p>
    <w:p>
      <w:pPr>
        <w:pStyle w:val="6"/>
        <w:adjustRightInd w:val="0"/>
        <w:snapToGrid w:val="0"/>
        <w:spacing w:line="360" w:lineRule="auto"/>
        <w:rPr>
          <w:rFonts w:ascii="宋体" w:hAnsi="宋体" w:eastAsia="宋体" w:cs="宋体"/>
          <w:sz w:val="21"/>
          <w:szCs w:val="21"/>
          <w:highlight w:val="none"/>
        </w:rPr>
      </w:pPr>
      <w:bookmarkStart w:id="85" w:name="_Toc31031"/>
      <w:bookmarkStart w:id="86" w:name="_Toc22146"/>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6"/>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6"/>
        <w:adjustRightInd w:val="0"/>
        <w:snapToGrid w:val="0"/>
        <w:spacing w:line="360" w:lineRule="auto"/>
        <w:rPr>
          <w:rFonts w:ascii="宋体" w:hAnsi="宋体" w:eastAsia="宋体" w:cs="宋体"/>
          <w:sz w:val="21"/>
          <w:szCs w:val="21"/>
          <w:highlight w:val="none"/>
        </w:rPr>
      </w:pPr>
      <w:bookmarkStart w:id="87" w:name="_Toc11065"/>
      <w:bookmarkStart w:id="88" w:name="_Toc251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6"/>
        <w:adjustRightInd w:val="0"/>
        <w:snapToGrid w:val="0"/>
        <w:spacing w:line="360" w:lineRule="auto"/>
        <w:rPr>
          <w:rFonts w:ascii="宋体" w:hAnsi="宋体" w:eastAsia="宋体" w:cs="宋体"/>
          <w:sz w:val="21"/>
          <w:szCs w:val="21"/>
          <w:highlight w:val="none"/>
        </w:rPr>
      </w:pPr>
      <w:bookmarkStart w:id="89" w:name="_Toc6860"/>
      <w:bookmarkStart w:id="90" w:name="_Toc25004"/>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6"/>
        <w:adjustRightInd w:val="0"/>
        <w:snapToGrid w:val="0"/>
        <w:spacing w:line="360" w:lineRule="auto"/>
        <w:rPr>
          <w:rFonts w:ascii="宋体" w:hAnsi="宋体" w:eastAsia="宋体" w:cs="宋体"/>
          <w:sz w:val="21"/>
          <w:szCs w:val="21"/>
          <w:highlight w:val="none"/>
        </w:rPr>
      </w:pPr>
      <w:bookmarkStart w:id="91" w:name="_Toc9001"/>
      <w:bookmarkStart w:id="92" w:name="_Toc2168"/>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15831"/>
      <w:bookmarkStart w:id="94" w:name="_Toc184635078"/>
      <w:bookmarkStart w:id="95" w:name="_Toc3366"/>
      <w:r>
        <w:rPr>
          <w:rFonts w:hint="eastAsia" w:ascii="宋体" w:hAnsi="宋体" w:cs="宋体"/>
          <w:sz w:val="21"/>
          <w:szCs w:val="21"/>
          <w:highlight w:val="none"/>
        </w:rPr>
        <w:t>8．重新招标和不再招标</w:t>
      </w:r>
      <w:bookmarkEnd w:id="93"/>
      <w:bookmarkEnd w:id="94"/>
      <w:bookmarkEnd w:id="95"/>
    </w:p>
    <w:p>
      <w:pPr>
        <w:pStyle w:val="6"/>
        <w:adjustRightInd w:val="0"/>
        <w:snapToGrid w:val="0"/>
        <w:spacing w:line="360" w:lineRule="auto"/>
        <w:rPr>
          <w:rFonts w:ascii="宋体" w:hAnsi="宋体" w:eastAsia="宋体" w:cs="宋体"/>
          <w:sz w:val="21"/>
          <w:szCs w:val="21"/>
          <w:highlight w:val="none"/>
        </w:rPr>
      </w:pPr>
      <w:bookmarkStart w:id="96" w:name="_Toc26396"/>
      <w:bookmarkStart w:id="97" w:name="_Toc18401"/>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6"/>
        <w:adjustRightInd w:val="0"/>
        <w:snapToGrid w:val="0"/>
        <w:spacing w:line="360" w:lineRule="auto"/>
        <w:rPr>
          <w:rFonts w:ascii="宋体" w:hAnsi="宋体" w:eastAsia="宋体" w:cs="宋体"/>
          <w:sz w:val="21"/>
          <w:szCs w:val="21"/>
          <w:highlight w:val="none"/>
        </w:rPr>
      </w:pPr>
      <w:bookmarkStart w:id="98" w:name="_Toc28134"/>
      <w:bookmarkStart w:id="99" w:name="_Toc29953"/>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28380"/>
      <w:bookmarkStart w:id="101" w:name="_Toc17974"/>
      <w:bookmarkStart w:id="102" w:name="_Toc184635079"/>
      <w:r>
        <w:rPr>
          <w:rFonts w:hint="eastAsia" w:ascii="宋体" w:hAnsi="宋体" w:cs="宋体"/>
          <w:sz w:val="21"/>
          <w:szCs w:val="21"/>
          <w:highlight w:val="none"/>
        </w:rPr>
        <w:t>9．纪律和监督</w:t>
      </w:r>
      <w:bookmarkEnd w:id="100"/>
      <w:bookmarkEnd w:id="101"/>
      <w:bookmarkEnd w:id="102"/>
    </w:p>
    <w:p>
      <w:pPr>
        <w:pStyle w:val="6"/>
        <w:adjustRightInd w:val="0"/>
        <w:snapToGrid w:val="0"/>
        <w:spacing w:line="360" w:lineRule="auto"/>
        <w:rPr>
          <w:rFonts w:ascii="宋体" w:hAnsi="宋体" w:eastAsia="宋体" w:cs="宋体"/>
          <w:sz w:val="21"/>
          <w:szCs w:val="21"/>
          <w:highlight w:val="none"/>
        </w:rPr>
      </w:pPr>
      <w:bookmarkStart w:id="103" w:name="_Toc5318"/>
      <w:bookmarkStart w:id="104" w:name="_Toc14121"/>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6"/>
        <w:adjustRightInd w:val="0"/>
        <w:snapToGrid w:val="0"/>
        <w:spacing w:line="360" w:lineRule="auto"/>
        <w:rPr>
          <w:rFonts w:ascii="宋体" w:hAnsi="宋体" w:eastAsia="宋体" w:cs="宋体"/>
          <w:sz w:val="21"/>
          <w:szCs w:val="21"/>
          <w:highlight w:val="none"/>
        </w:rPr>
      </w:pPr>
      <w:bookmarkStart w:id="105" w:name="_Toc25351"/>
      <w:bookmarkStart w:id="106" w:name="_Toc30424"/>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adjustRightInd w:val="0"/>
        <w:snapToGrid w:val="0"/>
        <w:spacing w:line="360" w:lineRule="auto"/>
        <w:rPr>
          <w:rFonts w:ascii="宋体" w:hAnsi="宋体" w:eastAsia="宋体" w:cs="宋体"/>
          <w:sz w:val="21"/>
          <w:szCs w:val="21"/>
          <w:highlight w:val="none"/>
        </w:rPr>
      </w:pPr>
      <w:bookmarkStart w:id="109" w:name="_Toc20345"/>
      <w:bookmarkStart w:id="110" w:name="_Toc1301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adjustRightInd w:val="0"/>
        <w:snapToGrid w:val="0"/>
        <w:spacing w:line="360" w:lineRule="auto"/>
        <w:rPr>
          <w:rFonts w:ascii="宋体" w:hAnsi="宋体" w:eastAsia="宋体" w:cs="宋体"/>
          <w:sz w:val="21"/>
          <w:szCs w:val="21"/>
          <w:highlight w:val="none"/>
        </w:rPr>
      </w:pPr>
      <w:bookmarkStart w:id="111" w:name="_Toc7242"/>
      <w:bookmarkStart w:id="112" w:name="_Toc14396"/>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184635080"/>
      <w:bookmarkStart w:id="114" w:name="_Toc23725"/>
      <w:bookmarkStart w:id="115" w:name="_Toc20473"/>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headerReference r:id="rId9" w:type="first"/>
          <w:footerReference r:id="rId11" w:type="first"/>
          <w:headerReference r:id="rId8" w:type="default"/>
          <w:footerReference r:id="rId10" w:type="default"/>
          <w:pgSz w:w="11906" w:h="16838"/>
          <w:pgMar w:top="1304" w:right="1134" w:bottom="1304" w:left="1418" w:header="851" w:footer="992" w:gutter="0"/>
          <w:cols w:space="720" w:num="1"/>
          <w:titlePg/>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5"/>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20248"/>
      <w:bookmarkStart w:id="120" w:name="_Toc14989"/>
      <w:r>
        <w:rPr>
          <w:rFonts w:hint="eastAsia" w:ascii="宋体" w:hAnsi="宋体" w:eastAsia="宋体"/>
          <w:sz w:val="24"/>
          <w:szCs w:val="24"/>
          <w:highlight w:val="none"/>
        </w:rPr>
        <w:t>评标办法前附表</w:t>
      </w:r>
      <w:bookmarkEnd w:id="119"/>
      <w:bookmarkEnd w:id="120"/>
    </w:p>
    <w:tbl>
      <w:tblPr>
        <w:tblStyle w:val="35"/>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179632619"/>
            <w:bookmarkStart w:id="122" w:name="_Toc247085759"/>
            <w:bookmarkStart w:id="123" w:name="_Toc152045601"/>
            <w:bookmarkStart w:id="124" w:name="_Toc246996987"/>
            <w:bookmarkStart w:id="125" w:name="_Toc144974568"/>
            <w:bookmarkStart w:id="126" w:name="_Toc152042378"/>
            <w:bookmarkStart w:id="127" w:name="_Toc246996244"/>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7"/>
        <w:gridCol w:w="1488"/>
        <w:gridCol w:w="2282"/>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375" w:type="dxa"/>
            <w:gridSpan w:val="2"/>
            <w:noWrap w:val="0"/>
            <w:vAlign w:val="top"/>
          </w:tcPr>
          <w:p>
            <w:pPr>
              <w:pStyle w:val="69"/>
              <w:spacing w:before="73" w:line="400" w:lineRule="exact"/>
              <w:ind w:left="675" w:right="668"/>
              <w:jc w:val="center"/>
              <w:rPr>
                <w:rFonts w:hint="eastAsia" w:ascii="宋体" w:hAnsi="宋体" w:eastAsia="宋体" w:cs="宋体"/>
                <w:b/>
                <w:color w:val="auto"/>
                <w:sz w:val="21"/>
                <w:szCs w:val="21"/>
                <w:highlight w:val="none"/>
              </w:rPr>
            </w:pPr>
            <w:bookmarkStart w:id="130" w:name="_Toc7893"/>
            <w:r>
              <w:rPr>
                <w:rFonts w:hint="eastAsia" w:ascii="宋体" w:hAnsi="宋体" w:eastAsia="宋体" w:cs="宋体"/>
                <w:b/>
                <w:color w:val="auto"/>
                <w:sz w:val="21"/>
                <w:szCs w:val="21"/>
                <w:highlight w:val="none"/>
              </w:rPr>
              <w:t>条款号</w:t>
            </w:r>
          </w:p>
        </w:tc>
        <w:tc>
          <w:tcPr>
            <w:tcW w:w="2282" w:type="dxa"/>
            <w:noWrap w:val="0"/>
            <w:vAlign w:val="center"/>
          </w:tcPr>
          <w:p>
            <w:pPr>
              <w:pStyle w:val="69"/>
              <w:spacing w:before="73" w:line="400" w:lineRule="exact"/>
              <w:ind w:left="62" w:right="5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4996" w:type="dxa"/>
            <w:noWrap w:val="0"/>
            <w:vAlign w:val="top"/>
          </w:tcPr>
          <w:p>
            <w:pPr>
              <w:pStyle w:val="69"/>
              <w:spacing w:before="73" w:line="400" w:lineRule="exact"/>
              <w:ind w:left="1900" w:right="189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375" w:type="dxa"/>
            <w:gridSpan w:val="2"/>
            <w:noWrap w:val="0"/>
            <w:vAlign w:val="top"/>
          </w:tcPr>
          <w:p>
            <w:pPr>
              <w:pStyle w:val="69"/>
              <w:spacing w:line="400" w:lineRule="exact"/>
              <w:rPr>
                <w:rFonts w:hint="eastAsia" w:ascii="宋体" w:hAnsi="宋体" w:eastAsia="宋体" w:cs="宋体"/>
                <w:b/>
                <w:color w:val="auto"/>
                <w:sz w:val="21"/>
                <w:szCs w:val="21"/>
                <w:highlight w:val="none"/>
              </w:rPr>
            </w:pPr>
          </w:p>
          <w:p>
            <w:pPr>
              <w:pStyle w:val="69"/>
              <w:spacing w:before="7" w:line="400" w:lineRule="exact"/>
              <w:rPr>
                <w:rFonts w:hint="eastAsia" w:ascii="宋体" w:hAnsi="宋体" w:eastAsia="宋体" w:cs="宋体"/>
                <w:b/>
                <w:color w:val="auto"/>
                <w:sz w:val="21"/>
                <w:szCs w:val="21"/>
                <w:highlight w:val="none"/>
              </w:rPr>
            </w:pPr>
          </w:p>
          <w:p>
            <w:pPr>
              <w:pStyle w:val="69"/>
              <w:spacing w:line="400" w:lineRule="exact"/>
              <w:ind w:left="675" w:right="6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82" w:type="dxa"/>
            <w:noWrap w:val="0"/>
            <w:vAlign w:val="center"/>
          </w:tcPr>
          <w:p>
            <w:pPr>
              <w:pStyle w:val="69"/>
              <w:spacing w:line="400" w:lineRule="exact"/>
              <w:ind w:left="6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pStyle w:val="69"/>
              <w:spacing w:before="170" w:line="400" w:lineRule="exact"/>
              <w:ind w:left="6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 100 分)</w:t>
            </w:r>
          </w:p>
        </w:tc>
        <w:tc>
          <w:tcPr>
            <w:tcW w:w="4996" w:type="dxa"/>
            <w:noWrap w:val="0"/>
            <w:vAlign w:val="top"/>
          </w:tcPr>
          <w:p>
            <w:pPr>
              <w:pStyle w:val="69"/>
              <w:tabs>
                <w:tab w:val="left" w:pos="2314"/>
              </w:tabs>
              <w:spacing w:line="400" w:lineRule="exact"/>
              <w:ind w:left="108"/>
              <w:jc w:val="both"/>
              <w:rPr>
                <w:rFonts w:hint="eastAsia" w:ascii="宋体" w:hAnsi="宋体" w:eastAsia="宋体" w:cs="宋体"/>
                <w:bCs/>
                <w:color w:val="auto"/>
                <w:spacing w:val="-3"/>
                <w:sz w:val="21"/>
                <w:szCs w:val="21"/>
                <w:highlight w:val="none"/>
                <w:lang w:val="en-US" w:eastAsia="zh-CN"/>
              </w:rPr>
            </w:pPr>
            <w:r>
              <w:rPr>
                <w:rFonts w:hint="eastAsia" w:ascii="宋体" w:hAnsi="宋体" w:eastAsia="宋体" w:cs="宋体"/>
                <w:bCs/>
                <w:color w:val="auto"/>
                <w:spacing w:val="-3"/>
                <w:sz w:val="21"/>
                <w:szCs w:val="21"/>
                <w:highlight w:val="none"/>
                <w:lang w:eastAsia="zh-CN"/>
              </w:rPr>
              <w:t>经济标：</w:t>
            </w:r>
            <w:r>
              <w:rPr>
                <w:rFonts w:hint="eastAsia" w:ascii="宋体" w:hAnsi="宋体" w:eastAsia="宋体" w:cs="宋体"/>
                <w:bCs/>
                <w:color w:val="auto"/>
                <w:spacing w:val="-3"/>
                <w:sz w:val="21"/>
                <w:szCs w:val="21"/>
                <w:highlight w:val="none"/>
                <w:lang w:val="en-US" w:eastAsia="zh-CN"/>
              </w:rPr>
              <w:t>25分</w:t>
            </w:r>
          </w:p>
          <w:p>
            <w:pPr>
              <w:pStyle w:val="69"/>
              <w:tabs>
                <w:tab w:val="left" w:pos="2314"/>
              </w:tabs>
              <w:spacing w:line="400" w:lineRule="exact"/>
              <w:ind w:left="108"/>
              <w:jc w:val="both"/>
              <w:rPr>
                <w:rFonts w:hint="eastAsia" w:ascii="宋体" w:hAnsi="宋体" w:eastAsia="宋体" w:cs="宋体"/>
                <w:bCs/>
                <w:color w:val="auto"/>
                <w:spacing w:val="-3"/>
                <w:sz w:val="21"/>
                <w:szCs w:val="21"/>
                <w:highlight w:val="none"/>
                <w:lang w:val="en-US" w:eastAsia="zh-CN"/>
              </w:rPr>
            </w:pPr>
            <w:r>
              <w:rPr>
                <w:rFonts w:hint="eastAsia" w:ascii="宋体" w:hAnsi="宋体" w:eastAsia="宋体" w:cs="宋体"/>
                <w:bCs/>
                <w:color w:val="auto"/>
                <w:spacing w:val="-3"/>
                <w:sz w:val="21"/>
                <w:szCs w:val="21"/>
                <w:highlight w:val="none"/>
                <w:lang w:val="en-US" w:eastAsia="zh-CN"/>
              </w:rPr>
              <w:t>技术标：60分</w:t>
            </w:r>
          </w:p>
          <w:p>
            <w:pPr>
              <w:pStyle w:val="69"/>
              <w:tabs>
                <w:tab w:val="left" w:pos="2314"/>
              </w:tabs>
              <w:spacing w:line="400" w:lineRule="exact"/>
              <w:ind w:left="108"/>
              <w:jc w:val="both"/>
              <w:rPr>
                <w:rFonts w:hint="eastAsia" w:ascii="宋体" w:hAnsi="宋体" w:eastAsia="宋体" w:cs="宋体"/>
                <w:bCs/>
                <w:color w:val="auto"/>
                <w:spacing w:val="-3"/>
                <w:sz w:val="21"/>
                <w:szCs w:val="21"/>
                <w:highlight w:val="none"/>
                <w:lang w:val="en-US" w:eastAsia="zh-CN"/>
              </w:rPr>
            </w:pPr>
            <w:r>
              <w:rPr>
                <w:rFonts w:hint="eastAsia" w:ascii="宋体" w:hAnsi="宋体" w:eastAsia="宋体" w:cs="宋体"/>
                <w:bCs/>
                <w:color w:val="auto"/>
                <w:spacing w:val="-3"/>
                <w:sz w:val="21"/>
                <w:szCs w:val="21"/>
                <w:highlight w:val="none"/>
                <w:lang w:val="en-US" w:eastAsia="zh-CN"/>
              </w:rPr>
              <w:t>综合标：15分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375" w:type="dxa"/>
            <w:gridSpan w:val="2"/>
            <w:noWrap w:val="0"/>
            <w:vAlign w:val="top"/>
          </w:tcPr>
          <w:p>
            <w:pPr>
              <w:pStyle w:val="69"/>
              <w:spacing w:before="73" w:line="400" w:lineRule="exact"/>
              <w:ind w:left="675" w:right="66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282" w:type="dxa"/>
            <w:noWrap w:val="0"/>
            <w:vAlign w:val="center"/>
          </w:tcPr>
          <w:p>
            <w:pPr>
              <w:pStyle w:val="69"/>
              <w:spacing w:before="73" w:line="400" w:lineRule="exact"/>
              <w:ind w:left="62" w:right="5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4996" w:type="dxa"/>
            <w:noWrap w:val="0"/>
            <w:vAlign w:val="top"/>
          </w:tcPr>
          <w:p>
            <w:pPr>
              <w:pStyle w:val="69"/>
              <w:spacing w:before="73" w:line="400" w:lineRule="exact"/>
              <w:ind w:left="1900" w:right="189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887" w:type="dxa"/>
            <w:noWrap w:val="0"/>
            <w:vAlign w:val="center"/>
          </w:tcPr>
          <w:p>
            <w:pPr>
              <w:pStyle w:val="69"/>
              <w:spacing w:line="400" w:lineRule="exact"/>
              <w:jc w:val="center"/>
              <w:rPr>
                <w:rFonts w:hint="eastAsia" w:ascii="宋体" w:hAnsi="宋体" w:eastAsia="宋体" w:cs="宋体"/>
                <w:b/>
                <w:color w:val="auto"/>
                <w:sz w:val="21"/>
                <w:szCs w:val="21"/>
                <w:highlight w:val="none"/>
              </w:rPr>
            </w:pPr>
          </w:p>
          <w:p>
            <w:pPr>
              <w:pStyle w:val="69"/>
              <w:spacing w:line="400" w:lineRule="exact"/>
              <w:jc w:val="center"/>
              <w:rPr>
                <w:rFonts w:hint="eastAsia" w:ascii="宋体" w:hAnsi="宋体" w:eastAsia="宋体" w:cs="宋体"/>
                <w:b/>
                <w:color w:val="auto"/>
                <w:sz w:val="21"/>
                <w:szCs w:val="21"/>
                <w:highlight w:val="none"/>
              </w:rPr>
            </w:pPr>
          </w:p>
          <w:p>
            <w:pPr>
              <w:pStyle w:val="69"/>
              <w:spacing w:before="3" w:line="400" w:lineRule="exact"/>
              <w:jc w:val="center"/>
              <w:rPr>
                <w:rFonts w:hint="eastAsia" w:ascii="宋体" w:hAnsi="宋体" w:eastAsia="宋体" w:cs="宋体"/>
                <w:b/>
                <w:color w:val="auto"/>
                <w:sz w:val="21"/>
                <w:szCs w:val="21"/>
                <w:highlight w:val="none"/>
              </w:rPr>
            </w:pPr>
          </w:p>
          <w:p>
            <w:pPr>
              <w:pStyle w:val="69"/>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2</w:t>
            </w:r>
          </w:p>
          <w:p>
            <w:pPr>
              <w:pStyle w:val="69"/>
              <w:spacing w:before="187" w:line="400" w:lineRule="exact"/>
              <w:ind w:left="18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经济标</w:t>
            </w:r>
          </w:p>
        </w:tc>
        <w:tc>
          <w:tcPr>
            <w:tcW w:w="1488" w:type="dxa"/>
            <w:noWrap w:val="0"/>
            <w:vAlign w:val="center"/>
          </w:tcPr>
          <w:p>
            <w:pPr>
              <w:pStyle w:val="69"/>
              <w:spacing w:line="400" w:lineRule="exact"/>
              <w:jc w:val="center"/>
              <w:rPr>
                <w:rFonts w:hint="eastAsia" w:ascii="宋体" w:hAnsi="宋体" w:eastAsia="宋体" w:cs="宋体"/>
                <w:b/>
                <w:color w:val="auto"/>
                <w:sz w:val="21"/>
                <w:szCs w:val="21"/>
                <w:highlight w:val="none"/>
              </w:rPr>
            </w:pPr>
          </w:p>
          <w:p>
            <w:pPr>
              <w:pStyle w:val="69"/>
              <w:spacing w:line="400" w:lineRule="exact"/>
              <w:jc w:val="center"/>
              <w:rPr>
                <w:rFonts w:hint="eastAsia" w:ascii="宋体" w:hAnsi="宋体" w:eastAsia="宋体" w:cs="宋体"/>
                <w:b/>
                <w:color w:val="auto"/>
                <w:sz w:val="21"/>
                <w:szCs w:val="21"/>
                <w:highlight w:val="none"/>
              </w:rPr>
            </w:pPr>
          </w:p>
          <w:p>
            <w:pPr>
              <w:pStyle w:val="69"/>
              <w:spacing w:before="8"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投标报价</w:t>
            </w:r>
          </w:p>
          <w:p>
            <w:pPr>
              <w:pStyle w:val="69"/>
              <w:spacing w:before="8" w:line="4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25分</w:t>
            </w:r>
            <w:r>
              <w:rPr>
                <w:rFonts w:hint="eastAsia" w:ascii="宋体" w:hAnsi="宋体" w:eastAsia="宋体" w:cs="宋体"/>
                <w:b w:val="0"/>
                <w:bCs/>
                <w:color w:val="auto"/>
                <w:sz w:val="21"/>
                <w:szCs w:val="21"/>
                <w:highlight w:val="none"/>
                <w:lang w:eastAsia="zh-CN"/>
              </w:rPr>
              <w:t>）</w:t>
            </w:r>
          </w:p>
          <w:p>
            <w:pPr>
              <w:pStyle w:val="69"/>
              <w:spacing w:line="400" w:lineRule="exact"/>
              <w:ind w:left="141" w:right="127"/>
              <w:jc w:val="center"/>
              <w:rPr>
                <w:rFonts w:hint="eastAsia" w:ascii="宋体" w:hAnsi="宋体" w:eastAsia="宋体" w:cs="宋体"/>
                <w:color w:val="auto"/>
                <w:sz w:val="21"/>
                <w:szCs w:val="21"/>
                <w:highlight w:val="none"/>
              </w:rPr>
            </w:pPr>
          </w:p>
        </w:tc>
        <w:tc>
          <w:tcPr>
            <w:tcW w:w="2282" w:type="dxa"/>
            <w:noWrap w:val="0"/>
            <w:vAlign w:val="top"/>
          </w:tcPr>
          <w:p>
            <w:pPr>
              <w:pStyle w:val="69"/>
              <w:spacing w:before="3" w:line="400" w:lineRule="exact"/>
              <w:ind w:left="141" w:right="127"/>
              <w:jc w:val="center"/>
              <w:rPr>
                <w:rFonts w:hint="eastAsia" w:ascii="宋体" w:hAnsi="宋体" w:eastAsia="宋体" w:cs="宋体"/>
                <w:color w:val="auto"/>
                <w:sz w:val="21"/>
                <w:szCs w:val="21"/>
                <w:highlight w:val="none"/>
              </w:rPr>
            </w:pPr>
          </w:p>
          <w:p>
            <w:pPr>
              <w:pStyle w:val="69"/>
              <w:spacing w:before="3" w:line="400" w:lineRule="exact"/>
              <w:ind w:left="141" w:right="127"/>
              <w:jc w:val="center"/>
              <w:rPr>
                <w:rFonts w:hint="eastAsia" w:ascii="宋体" w:hAnsi="宋体" w:eastAsia="宋体" w:cs="宋体"/>
                <w:color w:val="auto"/>
                <w:sz w:val="21"/>
                <w:szCs w:val="21"/>
                <w:highlight w:val="none"/>
              </w:rPr>
            </w:pPr>
          </w:p>
          <w:p>
            <w:pPr>
              <w:pStyle w:val="69"/>
              <w:spacing w:before="3" w:line="400" w:lineRule="exact"/>
              <w:ind w:left="141" w:right="127"/>
              <w:jc w:val="center"/>
              <w:rPr>
                <w:rFonts w:hint="eastAsia" w:ascii="宋体" w:hAnsi="宋体" w:eastAsia="宋体" w:cs="宋体"/>
                <w:color w:val="auto"/>
                <w:sz w:val="21"/>
                <w:szCs w:val="21"/>
                <w:highlight w:val="none"/>
              </w:rPr>
            </w:pPr>
          </w:p>
          <w:p>
            <w:pPr>
              <w:pStyle w:val="69"/>
              <w:spacing w:before="3" w:line="400" w:lineRule="exact"/>
              <w:ind w:left="141" w:right="127"/>
              <w:jc w:val="center"/>
              <w:rPr>
                <w:rFonts w:hint="eastAsia" w:ascii="宋体" w:hAnsi="宋体" w:eastAsia="宋体" w:cs="宋体"/>
                <w:color w:val="auto"/>
                <w:sz w:val="21"/>
                <w:szCs w:val="21"/>
                <w:highlight w:val="none"/>
              </w:rPr>
            </w:pPr>
          </w:p>
          <w:p>
            <w:pPr>
              <w:pStyle w:val="69"/>
              <w:spacing w:before="3" w:line="400" w:lineRule="exact"/>
              <w:ind w:left="141" w:right="1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p>
            <w:pPr>
              <w:pStyle w:val="69"/>
              <w:spacing w:before="3" w:line="400" w:lineRule="exact"/>
              <w:ind w:left="0" w:leftChars="-1" w:hanging="2" w:hangingChars="1"/>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25</w:t>
            </w:r>
            <w:r>
              <w:rPr>
                <w:rFonts w:hint="eastAsia" w:ascii="宋体" w:hAnsi="宋体" w:eastAsia="宋体" w:cs="宋体"/>
                <w:color w:val="auto"/>
                <w:spacing w:val="1"/>
                <w:sz w:val="21"/>
                <w:szCs w:val="21"/>
                <w:highlight w:val="none"/>
              </w:rPr>
              <w:t>分）</w:t>
            </w:r>
          </w:p>
        </w:tc>
        <w:tc>
          <w:tcPr>
            <w:tcW w:w="4996" w:type="dxa"/>
            <w:noWrap w:val="0"/>
            <w:vAlign w:val="center"/>
          </w:tcPr>
          <w:p>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shd w:val="clear" w:color="auto" w:fill="FFFFFF"/>
              <w:adjustRightInd w:val="0"/>
              <w:snapToGrid w:val="0"/>
              <w:spacing w:line="360" w:lineRule="auto"/>
              <w:rPr>
                <w:b/>
                <w:bCs/>
                <w:highlight w:val="none"/>
              </w:rPr>
            </w:pPr>
            <w:r>
              <w:rPr>
                <w:rFonts w:hint="eastAsia"/>
                <w:b/>
                <w:bCs/>
                <w:highlight w:val="none"/>
              </w:rPr>
              <w:t>评标基准价：</w:t>
            </w:r>
          </w:p>
          <w:p>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pPr>
              <w:shd w:val="clear" w:color="auto" w:fill="FFFFFF"/>
              <w:adjustRightInd w:val="0"/>
              <w:snapToGrid w:val="0"/>
              <w:spacing w:line="360" w:lineRule="auto"/>
              <w:rPr>
                <w:b/>
                <w:bCs/>
                <w:highlight w:val="none"/>
              </w:rPr>
            </w:pPr>
            <w:r>
              <w:rPr>
                <w:rFonts w:hint="eastAsia"/>
                <w:b/>
                <w:bCs/>
                <w:highlight w:val="none"/>
              </w:rPr>
              <w:t>投标报价得分计算：</w:t>
            </w:r>
          </w:p>
          <w:p>
            <w:pPr>
              <w:shd w:val="clear" w:color="auto" w:fill="FFFFFF"/>
              <w:adjustRightInd w:val="0"/>
              <w:snapToGrid w:val="0"/>
              <w:spacing w:line="360" w:lineRule="auto"/>
              <w:rPr>
                <w:highlight w:val="none"/>
              </w:rPr>
            </w:pPr>
            <w:r>
              <w:rPr>
                <w:rFonts w:hint="eastAsia"/>
                <w:highlight w:val="none"/>
              </w:rPr>
              <w:t>投标报价等于评标基准价其价格分为</w:t>
            </w:r>
            <w:r>
              <w:rPr>
                <w:rFonts w:hint="eastAsia"/>
                <w:highlight w:val="none"/>
                <w:lang w:val="en-US" w:eastAsia="zh-CN"/>
              </w:rPr>
              <w:t>25</w:t>
            </w:r>
            <w:r>
              <w:rPr>
                <w:rFonts w:hint="eastAsia"/>
                <w:highlight w:val="none"/>
              </w:rPr>
              <w:t>分。</w:t>
            </w:r>
          </w:p>
          <w:p>
            <w:pPr>
              <w:shd w:val="clear" w:color="auto" w:fill="FFFFFF"/>
              <w:adjustRightInd w:val="0"/>
              <w:snapToGrid w:val="0"/>
              <w:spacing w:line="360" w:lineRule="auto"/>
              <w:rPr>
                <w:highlight w:val="none"/>
              </w:rPr>
            </w:pPr>
            <w:r>
              <w:rPr>
                <w:rFonts w:hint="eastAsia"/>
                <w:highlight w:val="none"/>
              </w:rPr>
              <w:t>其他投标人的价格分统一按照下列公式计算：</w:t>
            </w:r>
          </w:p>
          <w:p>
            <w:pPr>
              <w:shd w:val="clear" w:color="auto" w:fill="FFFFFF"/>
              <w:adjustRightInd w:val="0"/>
              <w:snapToGrid w:val="0"/>
              <w:spacing w:line="360" w:lineRule="auto"/>
              <w:rPr>
                <w:rFonts w:hint="eastAsia" w:ascii="Times New Roman" w:hAnsi="Times New Roman" w:eastAsia="宋体" w:cs="Times New Roman"/>
                <w:kern w:val="2"/>
                <w:sz w:val="21"/>
                <w:szCs w:val="24"/>
                <w:highlight w:val="none"/>
                <w:lang w:val="en-US" w:eastAsia="zh-CN" w:bidi="ar-SA"/>
              </w:rPr>
            </w:pPr>
            <w:r>
              <w:rPr>
                <w:rFonts w:hint="eastAsia"/>
                <w:highlight w:val="none"/>
              </w:rPr>
              <w:t>报价得分=(评标基准价／报价)×价格权值（</w:t>
            </w:r>
            <w:r>
              <w:rPr>
                <w:rFonts w:hint="eastAsia"/>
                <w:highlight w:val="none"/>
                <w:lang w:val="en-US" w:eastAsia="zh-CN"/>
              </w:rPr>
              <w:t>25</w:t>
            </w:r>
            <w:r>
              <w:rPr>
                <w:rFonts w:hint="eastAsia"/>
                <w:highlight w:val="none"/>
              </w:rPr>
              <w:t>分）（四舍五入后保留小数点后两位）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87" w:type="dxa"/>
            <w:vMerge w:val="restart"/>
            <w:noWrap w:val="0"/>
            <w:vAlign w:val="top"/>
          </w:tcPr>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before="5" w:line="400" w:lineRule="exact"/>
              <w:rPr>
                <w:rFonts w:hint="eastAsia" w:ascii="宋体" w:hAnsi="宋体" w:eastAsia="宋体" w:cs="宋体"/>
                <w:b/>
                <w:color w:val="auto"/>
                <w:sz w:val="21"/>
                <w:szCs w:val="21"/>
                <w:highlight w:val="none"/>
              </w:rPr>
            </w:pPr>
          </w:p>
          <w:p>
            <w:pPr>
              <w:pStyle w:val="69"/>
              <w:spacing w:before="1" w:line="400" w:lineRule="exact"/>
              <w:ind w:left="23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2</w:t>
            </w:r>
          </w:p>
          <w:p>
            <w:pPr>
              <w:pStyle w:val="69"/>
              <w:spacing w:before="184" w:line="400" w:lineRule="exact"/>
              <w:ind w:left="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技术标</w:t>
            </w:r>
          </w:p>
        </w:tc>
        <w:tc>
          <w:tcPr>
            <w:tcW w:w="1488" w:type="dxa"/>
            <w:vMerge w:val="restart"/>
            <w:noWrap w:val="0"/>
            <w:vAlign w:val="top"/>
          </w:tcPr>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line="400" w:lineRule="exact"/>
              <w:rPr>
                <w:rFonts w:hint="eastAsia" w:ascii="宋体" w:hAnsi="宋体" w:eastAsia="宋体" w:cs="宋体"/>
                <w:b/>
                <w:color w:val="auto"/>
                <w:sz w:val="21"/>
                <w:szCs w:val="21"/>
                <w:highlight w:val="none"/>
              </w:rPr>
            </w:pPr>
          </w:p>
          <w:p>
            <w:pPr>
              <w:pStyle w:val="69"/>
              <w:spacing w:before="10" w:line="400" w:lineRule="exact"/>
              <w:rPr>
                <w:rFonts w:hint="eastAsia" w:ascii="宋体" w:hAnsi="宋体" w:eastAsia="宋体" w:cs="宋体"/>
                <w:b/>
                <w:color w:val="auto"/>
                <w:sz w:val="21"/>
                <w:szCs w:val="21"/>
                <w:highlight w:val="none"/>
              </w:rPr>
            </w:pPr>
          </w:p>
          <w:p>
            <w:pPr>
              <w:pStyle w:val="69"/>
              <w:spacing w:line="400" w:lineRule="exact"/>
              <w:ind w:left="141" w:right="1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w:t>
            </w:r>
          </w:p>
          <w:p>
            <w:pPr>
              <w:adjustRightInd w:val="0"/>
              <w:spacing w:before="50" w:line="400" w:lineRule="exact"/>
              <w:ind w:right="97" w:firstLine="59" w:firstLineChars="28"/>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60</w:t>
            </w:r>
            <w:r>
              <w:rPr>
                <w:rFonts w:hint="eastAsia" w:ascii="宋体" w:hAnsi="宋体" w:eastAsia="宋体" w:cs="宋体"/>
                <w:color w:val="auto"/>
                <w:spacing w:val="1"/>
                <w:sz w:val="21"/>
                <w:szCs w:val="21"/>
                <w:highlight w:val="none"/>
              </w:rPr>
              <w:t>分）</w:t>
            </w:r>
          </w:p>
          <w:p>
            <w:pPr>
              <w:pStyle w:val="69"/>
              <w:spacing w:line="400" w:lineRule="exact"/>
              <w:ind w:left="141" w:right="127"/>
              <w:rPr>
                <w:rFonts w:hint="eastAsia" w:ascii="宋体" w:hAnsi="宋体" w:eastAsia="宋体" w:cs="宋体"/>
                <w:color w:val="auto"/>
                <w:sz w:val="21"/>
                <w:szCs w:val="21"/>
                <w:highlight w:val="none"/>
              </w:rPr>
            </w:pPr>
          </w:p>
        </w:tc>
        <w:tc>
          <w:tcPr>
            <w:tcW w:w="2282" w:type="dxa"/>
            <w:noWrap w:val="0"/>
            <w:vAlign w:val="center"/>
          </w:tcPr>
          <w:p>
            <w:pPr>
              <w:pStyle w:val="69"/>
              <w:spacing w:before="94" w:line="400" w:lineRule="exact"/>
              <w:ind w:right="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质量控制</w:t>
            </w:r>
          </w:p>
          <w:p>
            <w:pPr>
              <w:pStyle w:val="69"/>
              <w:spacing w:before="94" w:line="400" w:lineRule="exact"/>
              <w:ind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spacing w:line="400" w:lineRule="exact"/>
              <w:rPr>
                <w:rFonts w:hint="eastAsia" w:ascii="宋体" w:hAnsi="宋体" w:eastAsia="仿宋" w:cs="宋体"/>
                <w:color w:val="auto"/>
                <w:spacing w:val="1"/>
                <w:sz w:val="21"/>
                <w:szCs w:val="21"/>
                <w:highlight w:val="none"/>
                <w:lang w:eastAsia="zh-CN"/>
              </w:rPr>
            </w:pPr>
            <w:r>
              <w:rPr>
                <w:rFonts w:hint="eastAsia" w:ascii="宋体" w:hAnsi="宋体" w:eastAsia="宋体" w:cs="宋体"/>
                <w:color w:val="auto"/>
                <w:kern w:val="2"/>
                <w:sz w:val="21"/>
                <w:szCs w:val="21"/>
                <w:highlight w:val="none"/>
                <w:lang w:val="en-US" w:eastAsia="zh-CN" w:bidi="ar-SA"/>
              </w:rPr>
              <w:t>1.质量控制事前、事中、事后措施、方法内容详细、有针对性、科学合理，得4-6分，有针对性、合理，得2-4分，基本合理，得1-2分，没有不得分。（0-6分）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87" w:type="dxa"/>
            <w:vMerge w:val="continue"/>
            <w:noWrap w:val="0"/>
            <w:vAlign w:val="top"/>
          </w:tcPr>
          <w:p>
            <w:pPr>
              <w:pStyle w:val="69"/>
              <w:spacing w:before="184" w:line="400" w:lineRule="exact"/>
              <w:ind w:left="187"/>
              <w:rPr>
                <w:rFonts w:hint="eastAsia" w:ascii="宋体" w:hAnsi="宋体" w:eastAsia="宋体" w:cs="宋体"/>
                <w:color w:val="auto"/>
                <w:sz w:val="21"/>
                <w:szCs w:val="21"/>
                <w:highlight w:val="none"/>
              </w:rPr>
            </w:pPr>
          </w:p>
        </w:tc>
        <w:tc>
          <w:tcPr>
            <w:tcW w:w="1488" w:type="dxa"/>
            <w:vMerge w:val="continue"/>
            <w:noWrap w:val="0"/>
            <w:vAlign w:val="top"/>
          </w:tcPr>
          <w:p>
            <w:pPr>
              <w:pStyle w:val="69"/>
              <w:spacing w:line="400" w:lineRule="exact"/>
              <w:ind w:left="141" w:right="127"/>
              <w:rPr>
                <w:rFonts w:hint="eastAsia" w:ascii="宋体" w:hAnsi="宋体" w:eastAsia="宋体" w:cs="宋体"/>
                <w:color w:val="auto"/>
                <w:sz w:val="21"/>
                <w:szCs w:val="21"/>
                <w:highlight w:val="none"/>
              </w:rPr>
            </w:pPr>
          </w:p>
        </w:tc>
        <w:tc>
          <w:tcPr>
            <w:tcW w:w="2282" w:type="dxa"/>
            <w:noWrap w:val="0"/>
            <w:vAlign w:val="center"/>
          </w:tcPr>
          <w:p>
            <w:pPr>
              <w:pStyle w:val="69"/>
              <w:spacing w:before="94" w:line="400" w:lineRule="exact"/>
              <w:ind w:right="5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进度控制</w:t>
            </w:r>
          </w:p>
          <w:p>
            <w:pPr>
              <w:pStyle w:val="69"/>
              <w:spacing w:before="94" w:line="400" w:lineRule="exact"/>
              <w:ind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keepNext w:val="0"/>
              <w:keepLines w:val="0"/>
              <w:pageBreakBefore w:val="0"/>
              <w:widowControl w:val="0"/>
              <w:kinsoku/>
              <w:wordWrap/>
              <w:overflowPunct/>
              <w:topLinePunct w:val="0"/>
              <w:autoSpaceDE w:val="0"/>
              <w:autoSpaceDN w:val="0"/>
              <w:bidi w:val="0"/>
              <w:snapToGrid/>
              <w:spacing w:line="320" w:lineRule="exact"/>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2.进度控制的监理工作内容、原则、方法和程序符合本项目进度控制关键工序相应措施，内容详细、有针对性、科学合理，得4-6分，有针对性、合理，得2-4分，基本合理，得1-2分，没有不得分。（0-6分）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92" w:line="400" w:lineRule="exact"/>
              <w:ind w:left="63" w:right="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投资控制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spacing w:line="400" w:lineRule="exact"/>
              <w:rPr>
                <w:rFonts w:hint="eastAsia" w:ascii="宋体" w:hAnsi="宋体" w:eastAsia="宋体" w:cs="宋体"/>
                <w:color w:val="auto"/>
                <w:spacing w:val="1"/>
                <w:sz w:val="21"/>
                <w:szCs w:val="21"/>
                <w:highlight w:val="none"/>
              </w:rPr>
            </w:pPr>
            <w:r>
              <w:rPr>
                <w:rFonts w:hint="eastAsia" w:ascii="宋体" w:hAnsi="宋体" w:eastAsia="宋体" w:cs="宋体"/>
                <w:color w:val="auto"/>
                <w:kern w:val="2"/>
                <w:sz w:val="21"/>
                <w:szCs w:val="21"/>
                <w:highlight w:val="none"/>
                <w:lang w:val="en-US" w:eastAsia="zh-CN" w:bidi="ar-SA"/>
              </w:rPr>
              <w:t>3. 投资控制的监理工作内容、原则、方法、程序和措施，投资控制、费用索赔的处理方法，内容详细、有针对性、科学合理，得4-6分，有针对性、合理，得2-4分，基本合理，得1-2分，没有不得分。（0-6分）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92" w:line="400" w:lineRule="exact"/>
              <w:ind w:left="63" w:right="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变更控制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spacing w:line="400" w:lineRule="exact"/>
              <w:rPr>
                <w:rFonts w:hint="eastAsia" w:ascii="宋体" w:hAnsi="宋体" w:eastAsia="宋体" w:cs="宋体"/>
                <w:color w:val="auto"/>
                <w:spacing w:val="1"/>
                <w:sz w:val="21"/>
                <w:szCs w:val="21"/>
                <w:highlight w:val="none"/>
              </w:rPr>
            </w:pPr>
            <w:r>
              <w:rPr>
                <w:rFonts w:hint="eastAsia" w:ascii="宋体" w:hAnsi="宋体" w:eastAsia="宋体" w:cs="宋体"/>
                <w:color w:val="auto"/>
                <w:kern w:val="2"/>
                <w:sz w:val="21"/>
                <w:szCs w:val="21"/>
                <w:highlight w:val="none"/>
                <w:lang w:val="en-US" w:eastAsia="zh-CN" w:bidi="ar-SA"/>
              </w:rPr>
              <w:t>4.变更控制的监理工作内容、原则、方法、程序和措施，工程变更的处理方法，内容详细、有针对性、科学合理，得4-6分，有针对性、合理，得2-4分，基本合理，得1-2分，没有不得分。（0-6分）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85" w:line="400" w:lineRule="exact"/>
              <w:ind w:left="61" w:right="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合同管理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pStyle w:val="11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5.合同管理的监理工作内容、原则、方法、程序和措施，合同管理的处理方法，内容详细、有针对性、科学合理，得4-6分，有针对性、合理，得2-4分，基本合理，得1-2分，没有不得分。（0-6分）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85" w:line="400" w:lineRule="exact"/>
              <w:ind w:left="61" w:right="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信息管理安全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pStyle w:val="11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6.信息管理和安全管理的监理工作方法和措施，内容详细、有针对性、科学合理，得4-6分，有针对性、合理，得2-3分，基本合理，得0-1分，没有不得分。（0-6分）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1" w:line="400" w:lineRule="exact"/>
              <w:ind w:left="61" w:right="5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监理工作方法</w:t>
            </w:r>
            <w:r>
              <w:rPr>
                <w:rFonts w:hint="eastAsia" w:ascii="宋体" w:hAnsi="宋体" w:cs="宋体"/>
                <w:color w:val="auto"/>
                <w:sz w:val="21"/>
                <w:szCs w:val="21"/>
                <w:highlight w:val="none"/>
                <w:lang w:val="en-US" w:eastAsia="zh-CN"/>
              </w:rPr>
              <w:t>和措施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top"/>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7.工作协调的的监理工作方法和措施，内容详细、有针对性、科学合理，得4-6分，有针对性、合理，得2-3分，基本合理，得0-1分，没有不得分。（0-6分）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1" w:line="400" w:lineRule="exact"/>
              <w:ind w:left="61" w:right="5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重点部位工作方法和措施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top"/>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8.监理重点部位的监理工作方法和措施，内容详细、有针对性、科学合理，得4-6分，有针对性、合理，得2-3分，基本合理，得0-1分，没有不得分。（0-6分）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before="1" w:line="400" w:lineRule="exact"/>
              <w:ind w:left="61" w:right="5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w:t>
            </w:r>
            <w:r>
              <w:rPr>
                <w:rFonts w:hint="eastAsia" w:ascii="宋体" w:hAnsi="宋体" w:cs="宋体"/>
                <w:color w:val="auto"/>
                <w:sz w:val="21"/>
                <w:szCs w:val="21"/>
                <w:highlight w:val="none"/>
                <w:lang w:val="en-US" w:eastAsia="zh-CN"/>
              </w:rPr>
              <w:t>紧急情况的方法和措施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top"/>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9.紧急情况的监理工作方法和措施，内容详细、有针对性、科学合理，得4-6分，有针对性、合理，得2-3分，基本合理，得0-1分，没有不得分。（0-6分）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887"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1488" w:type="dxa"/>
            <w:vMerge w:val="continue"/>
            <w:noWrap w:val="0"/>
            <w:vAlign w:val="top"/>
          </w:tcPr>
          <w:p>
            <w:pPr>
              <w:spacing w:line="400" w:lineRule="exact"/>
              <w:rPr>
                <w:rFonts w:hint="eastAsia" w:ascii="宋体" w:hAnsi="宋体" w:eastAsia="宋体" w:cs="宋体"/>
                <w:color w:val="auto"/>
                <w:sz w:val="21"/>
                <w:szCs w:val="21"/>
                <w:highlight w:val="none"/>
              </w:rPr>
            </w:pPr>
          </w:p>
        </w:tc>
        <w:tc>
          <w:tcPr>
            <w:tcW w:w="2282" w:type="dxa"/>
            <w:noWrap w:val="0"/>
            <w:vAlign w:val="center"/>
          </w:tcPr>
          <w:p>
            <w:pPr>
              <w:pStyle w:val="69"/>
              <w:spacing w:line="400" w:lineRule="exact"/>
              <w:ind w:left="8" w:right="109"/>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监理岗位职责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shd w:val="clear" w:color="auto" w:fill="FFFFFF"/>
              <w:adjustRightInd w:val="0"/>
              <w:snapToGrid w:val="0"/>
              <w:spacing w:line="360" w:lineRule="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kern w:val="2"/>
                <w:sz w:val="21"/>
                <w:szCs w:val="21"/>
                <w:highlight w:val="none"/>
                <w:lang w:val="en-US" w:eastAsia="zh-CN" w:bidi="ar-SA"/>
              </w:rPr>
              <w:t>10.级监理人员岗位职责：具有项目总监、监理工程师职责齐全得6分，缺一个岗位职责扣 2 分，扣完为止。（0-6分）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887" w:type="dxa"/>
            <w:vMerge w:val="restart"/>
            <w:noWrap w:val="0"/>
            <w:vAlign w:val="top"/>
          </w:tcPr>
          <w:p>
            <w:pPr>
              <w:pStyle w:val="69"/>
              <w:spacing w:before="161" w:line="400" w:lineRule="exact"/>
              <w:ind w:left="239"/>
              <w:rPr>
                <w:rFonts w:hint="eastAsia" w:ascii="宋体" w:hAnsi="宋体" w:eastAsia="宋体" w:cs="宋体"/>
                <w:color w:val="auto"/>
                <w:sz w:val="21"/>
                <w:szCs w:val="21"/>
                <w:highlight w:val="none"/>
              </w:rPr>
            </w:pPr>
          </w:p>
          <w:p>
            <w:pPr>
              <w:pStyle w:val="69"/>
              <w:spacing w:before="161" w:line="400" w:lineRule="exact"/>
              <w:ind w:left="239"/>
              <w:rPr>
                <w:rFonts w:hint="eastAsia" w:ascii="宋体" w:hAnsi="宋体" w:eastAsia="宋体" w:cs="宋体"/>
                <w:color w:val="auto"/>
                <w:sz w:val="21"/>
                <w:szCs w:val="21"/>
                <w:highlight w:val="none"/>
              </w:rPr>
            </w:pPr>
          </w:p>
          <w:p>
            <w:pPr>
              <w:pStyle w:val="69"/>
              <w:spacing w:before="161" w:line="400" w:lineRule="exact"/>
              <w:ind w:left="239"/>
              <w:rPr>
                <w:rFonts w:hint="eastAsia" w:ascii="宋体" w:hAnsi="宋体" w:eastAsia="宋体" w:cs="宋体"/>
                <w:color w:val="auto"/>
                <w:sz w:val="21"/>
                <w:szCs w:val="21"/>
                <w:highlight w:val="none"/>
              </w:rPr>
            </w:pPr>
          </w:p>
          <w:p>
            <w:pPr>
              <w:pStyle w:val="69"/>
              <w:spacing w:before="161" w:line="400" w:lineRule="exact"/>
              <w:ind w:left="23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2</w:t>
            </w:r>
          </w:p>
          <w:p>
            <w:pPr>
              <w:pStyle w:val="69"/>
              <w:spacing w:before="186" w:line="400" w:lineRule="exact"/>
              <w:ind w:left="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综合标</w:t>
            </w:r>
          </w:p>
        </w:tc>
        <w:tc>
          <w:tcPr>
            <w:tcW w:w="1488" w:type="dxa"/>
            <w:vMerge w:val="restart"/>
            <w:noWrap w:val="0"/>
            <w:vAlign w:val="top"/>
          </w:tcPr>
          <w:p>
            <w:pPr>
              <w:pStyle w:val="69"/>
              <w:spacing w:before="3" w:line="400" w:lineRule="exact"/>
              <w:ind w:leftChars="-1" w:hanging="2" w:hangingChars="1"/>
              <w:jc w:val="center"/>
              <w:rPr>
                <w:rFonts w:hint="eastAsia" w:ascii="宋体" w:hAnsi="宋体" w:eastAsia="宋体" w:cs="宋体"/>
                <w:color w:val="auto"/>
                <w:sz w:val="21"/>
                <w:szCs w:val="21"/>
                <w:highlight w:val="none"/>
              </w:rPr>
            </w:pPr>
          </w:p>
          <w:p>
            <w:pPr>
              <w:pStyle w:val="69"/>
              <w:spacing w:before="3" w:line="400" w:lineRule="exact"/>
              <w:ind w:leftChars="-1" w:hanging="2" w:hangingChars="1"/>
              <w:jc w:val="center"/>
              <w:rPr>
                <w:rFonts w:hint="eastAsia" w:ascii="宋体" w:hAnsi="宋体" w:eastAsia="宋体" w:cs="宋体"/>
                <w:color w:val="auto"/>
                <w:sz w:val="21"/>
                <w:szCs w:val="21"/>
                <w:highlight w:val="none"/>
              </w:rPr>
            </w:pPr>
          </w:p>
          <w:p>
            <w:pPr>
              <w:pStyle w:val="69"/>
              <w:spacing w:before="3" w:line="400" w:lineRule="exact"/>
              <w:ind w:leftChars="-1" w:hanging="2" w:hangingChars="1"/>
              <w:jc w:val="center"/>
              <w:rPr>
                <w:rFonts w:hint="eastAsia" w:ascii="宋体" w:hAnsi="宋体" w:eastAsia="宋体" w:cs="宋体"/>
                <w:color w:val="auto"/>
                <w:sz w:val="21"/>
                <w:szCs w:val="21"/>
                <w:highlight w:val="none"/>
              </w:rPr>
            </w:pPr>
          </w:p>
          <w:p>
            <w:pPr>
              <w:pStyle w:val="69"/>
              <w:spacing w:before="3"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2282" w:type="dxa"/>
            <w:noWrap w:val="0"/>
            <w:vAlign w:val="center"/>
          </w:tcPr>
          <w:p>
            <w:pPr>
              <w:pStyle w:val="1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top"/>
          </w:tcPr>
          <w:p>
            <w:pPr>
              <w:pStyle w:val="1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投标人自行承诺具备承担本次招标项目的能力，不采取任何违法违规形式谋取中标，所有投标材料均真实、准确、完整、合法、有效，以承诺内容完整、合理性计分。（</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887" w:type="dxa"/>
            <w:vMerge w:val="continue"/>
            <w:noWrap w:val="0"/>
            <w:vAlign w:val="top"/>
          </w:tcPr>
          <w:p>
            <w:pPr>
              <w:pStyle w:val="69"/>
              <w:spacing w:before="186" w:line="400" w:lineRule="exact"/>
              <w:ind w:left="187"/>
              <w:rPr>
                <w:rFonts w:hint="eastAsia" w:ascii="宋体" w:hAnsi="宋体" w:eastAsia="宋体" w:cs="宋体"/>
                <w:color w:val="auto"/>
                <w:sz w:val="21"/>
                <w:szCs w:val="21"/>
                <w:highlight w:val="none"/>
              </w:rPr>
            </w:pPr>
          </w:p>
        </w:tc>
        <w:tc>
          <w:tcPr>
            <w:tcW w:w="1488" w:type="dxa"/>
            <w:vMerge w:val="continue"/>
            <w:noWrap w:val="0"/>
            <w:vAlign w:val="top"/>
          </w:tcPr>
          <w:p>
            <w:pPr>
              <w:pStyle w:val="69"/>
              <w:spacing w:before="3" w:line="400" w:lineRule="exact"/>
              <w:ind w:leftChars="-1" w:hanging="2" w:hangingChars="1"/>
              <w:jc w:val="center"/>
              <w:rPr>
                <w:rFonts w:hint="eastAsia" w:ascii="宋体" w:hAnsi="宋体" w:eastAsia="宋体" w:cs="宋体"/>
                <w:color w:val="auto"/>
                <w:sz w:val="21"/>
                <w:szCs w:val="21"/>
                <w:highlight w:val="none"/>
              </w:rPr>
            </w:pPr>
          </w:p>
        </w:tc>
        <w:tc>
          <w:tcPr>
            <w:tcW w:w="2282" w:type="dxa"/>
            <w:noWrap w:val="0"/>
            <w:vAlign w:val="center"/>
          </w:tcPr>
          <w:p>
            <w:pPr>
              <w:pStyle w:val="69"/>
              <w:spacing w:line="400" w:lineRule="exact"/>
              <w:ind w:right="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其他主要人员资历（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pStyle w:val="1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项目组其他成员具有中级</w:t>
            </w:r>
            <w:r>
              <w:rPr>
                <w:rFonts w:hint="eastAsia" w:ascii="宋体" w:hAnsi="宋体" w:cs="宋体"/>
                <w:color w:val="auto"/>
                <w:sz w:val="21"/>
                <w:szCs w:val="21"/>
                <w:highlight w:val="none"/>
                <w:lang w:val="en-US" w:eastAsia="zh-CN"/>
              </w:rPr>
              <w:t>或高级证书</w:t>
            </w:r>
            <w:r>
              <w:rPr>
                <w:rFonts w:hint="eastAsia" w:ascii="宋体" w:hAnsi="宋体" w:eastAsia="宋体" w:cs="宋体"/>
                <w:color w:val="auto"/>
                <w:sz w:val="21"/>
                <w:szCs w:val="21"/>
                <w:highlight w:val="none"/>
              </w:rPr>
              <w:t>的，每一人得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分。以投标文件中所附的</w:t>
            </w:r>
            <w:r>
              <w:rPr>
                <w:rFonts w:hint="eastAsia" w:ascii="宋体" w:hAnsi="宋体" w:cs="宋体"/>
                <w:color w:val="auto"/>
                <w:sz w:val="21"/>
                <w:szCs w:val="21"/>
                <w:highlight w:val="none"/>
                <w:lang w:val="en-US" w:eastAsia="zh-CN"/>
              </w:rPr>
              <w:t>证书</w:t>
            </w:r>
            <w:r>
              <w:rPr>
                <w:rFonts w:hint="eastAsia" w:ascii="宋体" w:hAnsi="宋体" w:eastAsia="宋体" w:cs="宋体"/>
                <w:color w:val="auto"/>
                <w:sz w:val="21"/>
                <w:szCs w:val="21"/>
                <w:highlight w:val="none"/>
              </w:rPr>
              <w:t>复印件为准计分。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887" w:type="dxa"/>
            <w:vMerge w:val="continue"/>
            <w:noWrap w:val="0"/>
            <w:vAlign w:val="top"/>
          </w:tcPr>
          <w:p>
            <w:pPr>
              <w:pStyle w:val="69"/>
              <w:spacing w:before="186" w:line="400" w:lineRule="exact"/>
              <w:ind w:left="187"/>
              <w:rPr>
                <w:rFonts w:hint="eastAsia" w:ascii="宋体" w:hAnsi="宋体" w:eastAsia="宋体" w:cs="宋体"/>
                <w:color w:val="auto"/>
                <w:sz w:val="21"/>
                <w:szCs w:val="21"/>
                <w:highlight w:val="none"/>
              </w:rPr>
            </w:pPr>
          </w:p>
        </w:tc>
        <w:tc>
          <w:tcPr>
            <w:tcW w:w="1488" w:type="dxa"/>
            <w:vMerge w:val="continue"/>
            <w:noWrap w:val="0"/>
            <w:vAlign w:val="top"/>
          </w:tcPr>
          <w:p>
            <w:pPr>
              <w:pStyle w:val="69"/>
              <w:spacing w:before="3" w:line="400" w:lineRule="exact"/>
              <w:ind w:leftChars="-1" w:hanging="2" w:hangingChars="1"/>
              <w:jc w:val="center"/>
              <w:rPr>
                <w:rFonts w:hint="eastAsia" w:ascii="宋体" w:hAnsi="宋体" w:eastAsia="宋体" w:cs="宋体"/>
                <w:color w:val="auto"/>
                <w:sz w:val="21"/>
                <w:szCs w:val="21"/>
                <w:highlight w:val="none"/>
              </w:rPr>
            </w:pPr>
          </w:p>
        </w:tc>
        <w:tc>
          <w:tcPr>
            <w:tcW w:w="2282" w:type="dxa"/>
            <w:noWrap w:val="0"/>
            <w:vAlign w:val="center"/>
          </w:tcPr>
          <w:p>
            <w:pPr>
              <w:pStyle w:val="69"/>
              <w:spacing w:line="400" w:lineRule="exact"/>
              <w:ind w:left="8" w:leftChars="0" w:right="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拟投入的仪器设备（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tc>
        <w:tc>
          <w:tcPr>
            <w:tcW w:w="4996" w:type="dxa"/>
            <w:noWrap w:val="0"/>
            <w:vAlign w:val="center"/>
          </w:tcPr>
          <w:p>
            <w:pPr>
              <w:pStyle w:val="1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拟投入的监理设备，包括计算机、监理管理软件</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，齐全得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887" w:type="dxa"/>
            <w:vMerge w:val="continue"/>
            <w:noWrap w:val="0"/>
            <w:vAlign w:val="top"/>
          </w:tcPr>
          <w:p>
            <w:pPr>
              <w:pStyle w:val="69"/>
              <w:spacing w:before="184" w:line="400" w:lineRule="exact"/>
              <w:ind w:left="187"/>
              <w:rPr>
                <w:rFonts w:hint="eastAsia" w:ascii="宋体" w:hAnsi="宋体" w:eastAsia="宋体" w:cs="宋体"/>
                <w:color w:val="auto"/>
                <w:sz w:val="21"/>
                <w:szCs w:val="21"/>
                <w:highlight w:val="none"/>
              </w:rPr>
            </w:pPr>
          </w:p>
        </w:tc>
        <w:tc>
          <w:tcPr>
            <w:tcW w:w="1488" w:type="dxa"/>
            <w:vMerge w:val="restart"/>
            <w:noWrap w:val="0"/>
            <w:vAlign w:val="center"/>
          </w:tcPr>
          <w:p>
            <w:pPr>
              <w:pStyle w:val="69"/>
              <w:spacing w:before="14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其他因素评分标准</w:t>
            </w:r>
          </w:p>
          <w:p>
            <w:pPr>
              <w:pStyle w:val="69"/>
              <w:spacing w:before="170" w:line="400" w:lineRule="exact"/>
              <w:ind w:left="141"/>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w:t>
            </w:r>
            <w:r>
              <w:rPr>
                <w:rFonts w:hint="eastAsia"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分）</w:t>
            </w:r>
          </w:p>
        </w:tc>
        <w:tc>
          <w:tcPr>
            <w:tcW w:w="2282" w:type="dxa"/>
            <w:noWrap w:val="0"/>
            <w:vAlign w:val="center"/>
          </w:tcPr>
          <w:p>
            <w:pPr>
              <w:adjustRightInd w:val="0"/>
              <w:spacing w:before="50" w:line="400" w:lineRule="exact"/>
              <w:ind w:right="97" w:firstLine="212" w:firstLineChars="100"/>
              <w:jc w:val="both"/>
              <w:rPr>
                <w:rFonts w:hint="eastAsia" w:ascii="宋体" w:hAnsi="宋体" w:eastAsia="宋体" w:cs="宋体"/>
                <w:color w:val="auto"/>
                <w:spacing w:val="1"/>
                <w:sz w:val="21"/>
                <w:szCs w:val="21"/>
                <w:highlight w:val="none"/>
                <w:lang w:val="en-US"/>
              </w:rPr>
            </w:pPr>
          </w:p>
          <w:p>
            <w:pPr>
              <w:adjustRightInd w:val="0"/>
              <w:spacing w:before="50" w:line="400" w:lineRule="exact"/>
              <w:ind w:right="97"/>
              <w:jc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rPr>
              <w:t>优惠条件及服务承诺</w:t>
            </w:r>
            <w:r>
              <w:rPr>
                <w:rFonts w:hint="eastAsia" w:ascii="宋体" w:hAnsi="宋体" w:eastAsia="宋体" w:cs="宋体"/>
                <w:color w:val="auto"/>
                <w:spacing w:val="1"/>
                <w:sz w:val="21"/>
                <w:szCs w:val="21"/>
                <w:highlight w:val="none"/>
                <w:lang w:val="en-US" w:eastAsia="zh-CN"/>
              </w:rPr>
              <w:t>1</w:t>
            </w:r>
          </w:p>
          <w:p>
            <w:pPr>
              <w:adjustRightInd w:val="0"/>
              <w:spacing w:before="50" w:line="400" w:lineRule="exact"/>
              <w:ind w:right="97"/>
              <w:jc w:val="center"/>
              <w:rPr>
                <w:rFonts w:hint="eastAsia" w:ascii="宋体" w:hAnsi="宋体" w:eastAsia="宋体" w:cs="宋体"/>
                <w:color w:val="auto"/>
                <w:spacing w:val="1"/>
                <w:sz w:val="21"/>
                <w:szCs w:val="21"/>
                <w:highlight w:val="none"/>
                <w:lang w:val="en-US"/>
              </w:rPr>
            </w:pPr>
            <w:r>
              <w:rPr>
                <w:rFonts w:hint="eastAsia" w:ascii="宋体" w:hAnsi="宋体" w:eastAsia="宋体" w:cs="宋体"/>
                <w:color w:val="auto"/>
                <w:spacing w:val="1"/>
                <w:sz w:val="21"/>
                <w:szCs w:val="21"/>
                <w:highlight w:val="none"/>
                <w:lang w:val="en-US"/>
              </w:rPr>
              <w:t>（</w:t>
            </w:r>
            <w:r>
              <w:rPr>
                <w:rFonts w:hint="eastAsia"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val="en-US"/>
              </w:rPr>
              <w:t>分）</w:t>
            </w:r>
          </w:p>
        </w:tc>
        <w:tc>
          <w:tcPr>
            <w:tcW w:w="4996" w:type="dxa"/>
            <w:noWrap w:val="0"/>
            <w:vAlign w:val="center"/>
          </w:tcPr>
          <w:p>
            <w:pPr>
              <w:numPr>
                <w:ilvl w:val="0"/>
                <w:numId w:val="0"/>
              </w:numPr>
              <w:adjustRightInd w:val="0"/>
              <w:spacing w:before="50" w:line="400" w:lineRule="exact"/>
              <w:ind w:right="97"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投标人针对招标项目的特点和要求，结合自身条件和潜力为招标人排忧解难，有优惠条件和服务承诺者，由评委根据标书的具体内容在0-</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分之间酌情打分。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887" w:type="dxa"/>
            <w:vMerge w:val="continue"/>
            <w:noWrap w:val="0"/>
            <w:vAlign w:val="top"/>
          </w:tcPr>
          <w:p>
            <w:pPr>
              <w:adjustRightInd w:val="0"/>
              <w:spacing w:before="50" w:line="400" w:lineRule="exact"/>
              <w:ind w:right="97"/>
              <w:jc w:val="both"/>
              <w:rPr>
                <w:rFonts w:hint="eastAsia" w:ascii="宋体" w:hAnsi="宋体" w:eastAsia="宋体" w:cs="宋体"/>
                <w:color w:val="auto"/>
                <w:highlight w:val="none"/>
              </w:rPr>
            </w:pPr>
          </w:p>
        </w:tc>
        <w:tc>
          <w:tcPr>
            <w:tcW w:w="1488" w:type="dxa"/>
            <w:vMerge w:val="continue"/>
            <w:noWrap w:val="0"/>
            <w:vAlign w:val="center"/>
          </w:tcPr>
          <w:p>
            <w:pPr>
              <w:adjustRightInd w:val="0"/>
              <w:spacing w:before="50" w:line="400" w:lineRule="exact"/>
              <w:ind w:right="97"/>
              <w:jc w:val="both"/>
              <w:rPr>
                <w:rFonts w:hint="eastAsia" w:ascii="宋体" w:hAnsi="宋体" w:eastAsia="宋体" w:cs="宋体"/>
                <w:color w:val="auto"/>
                <w:highlight w:val="none"/>
              </w:rPr>
            </w:pPr>
          </w:p>
        </w:tc>
        <w:tc>
          <w:tcPr>
            <w:tcW w:w="2282" w:type="dxa"/>
            <w:noWrap w:val="0"/>
            <w:vAlign w:val="center"/>
          </w:tcPr>
          <w:p>
            <w:pPr>
              <w:adjustRightInd w:val="0"/>
              <w:spacing w:before="50" w:line="400" w:lineRule="exact"/>
              <w:ind w:right="97"/>
              <w:jc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rPr>
              <w:t>优惠条件及服务承诺</w:t>
            </w:r>
            <w:r>
              <w:rPr>
                <w:rFonts w:hint="eastAsia" w:ascii="宋体" w:hAnsi="宋体" w:eastAsia="宋体" w:cs="宋体"/>
                <w:color w:val="auto"/>
                <w:spacing w:val="1"/>
                <w:sz w:val="21"/>
                <w:szCs w:val="21"/>
                <w:highlight w:val="none"/>
                <w:lang w:val="en-US" w:eastAsia="zh-CN"/>
              </w:rPr>
              <w:t>2</w:t>
            </w:r>
          </w:p>
          <w:p>
            <w:pPr>
              <w:adjustRightInd w:val="0"/>
              <w:spacing w:before="50" w:line="400" w:lineRule="exact"/>
              <w:ind w:right="97"/>
              <w:jc w:val="center"/>
              <w:rPr>
                <w:rFonts w:hint="eastAsia" w:ascii="宋体" w:hAnsi="宋体" w:eastAsia="宋体" w:cs="宋体"/>
                <w:color w:val="auto"/>
                <w:spacing w:val="1"/>
                <w:sz w:val="21"/>
                <w:szCs w:val="21"/>
                <w:highlight w:val="none"/>
                <w:lang w:val="en-US"/>
              </w:rPr>
            </w:pPr>
            <w:r>
              <w:rPr>
                <w:rFonts w:hint="eastAsia" w:ascii="宋体" w:hAnsi="宋体" w:eastAsia="宋体" w:cs="宋体"/>
                <w:color w:val="auto"/>
                <w:spacing w:val="1"/>
                <w:sz w:val="21"/>
                <w:szCs w:val="21"/>
                <w:highlight w:val="none"/>
                <w:lang w:val="en-US"/>
              </w:rPr>
              <w:t>（</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val="en-US"/>
              </w:rPr>
              <w:t>分）</w:t>
            </w:r>
          </w:p>
        </w:tc>
        <w:tc>
          <w:tcPr>
            <w:tcW w:w="4996" w:type="dxa"/>
            <w:noWrap w:val="0"/>
            <w:vAlign w:val="center"/>
          </w:tcPr>
          <w:p>
            <w:pPr>
              <w:adjustRightInd w:val="0"/>
              <w:spacing w:before="50" w:line="400" w:lineRule="exact"/>
              <w:ind w:right="97"/>
              <w:jc w:val="both"/>
              <w:rPr>
                <w:rFonts w:hint="eastAsia" w:ascii="宋体" w:hAnsi="宋体" w:eastAsia="宋体" w:cs="宋体"/>
                <w:color w:val="auto"/>
                <w:spacing w:val="1"/>
                <w:sz w:val="21"/>
                <w:szCs w:val="21"/>
                <w:highlight w:val="none"/>
                <w:lang w:val="en-US"/>
              </w:rPr>
            </w:pPr>
            <w:r>
              <w:rPr>
                <w:rFonts w:hint="eastAsia" w:ascii="宋体" w:hAnsi="宋体" w:eastAsia="宋体" w:cs="宋体"/>
                <w:b w:val="0"/>
                <w:bCs w:val="0"/>
                <w:color w:val="auto"/>
                <w:spacing w:val="1"/>
                <w:sz w:val="21"/>
                <w:szCs w:val="21"/>
                <w:highlight w:val="none"/>
              </w:rPr>
              <w:t>工程质量保修期的优惠及服务承诺、缺陷责任期外的服务承诺、竣工资料整理承诺（0-</w:t>
            </w:r>
            <w:r>
              <w:rPr>
                <w:rFonts w:hint="eastAsia" w:ascii="宋体" w:hAnsi="宋体" w:eastAsia="宋体" w:cs="宋体"/>
                <w:b w:val="0"/>
                <w:bCs w:val="0"/>
                <w:color w:val="auto"/>
                <w:spacing w:val="1"/>
                <w:sz w:val="21"/>
                <w:szCs w:val="21"/>
                <w:highlight w:val="none"/>
                <w:lang w:val="en-US"/>
              </w:rPr>
              <w:t>3</w:t>
            </w:r>
            <w:r>
              <w:rPr>
                <w:rFonts w:hint="eastAsia" w:ascii="宋体" w:hAnsi="宋体" w:eastAsia="宋体" w:cs="宋体"/>
                <w:b w:val="0"/>
                <w:bCs w:val="0"/>
                <w:color w:val="auto"/>
                <w:spacing w:val="1"/>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9653" w:type="dxa"/>
            <w:gridSpan w:val="4"/>
            <w:noWrap w:val="0"/>
            <w:vAlign w:val="top"/>
          </w:tcPr>
          <w:p>
            <w:pPr>
              <w:pStyle w:val="9"/>
              <w:spacing w:line="240" w:lineRule="atLeast"/>
              <w:jc w:val="both"/>
              <w:rPr>
                <w:rFonts w:hint="eastAsia" w:ascii="宋体" w:hAnsi="宋体" w:eastAsia="宋体" w:cs="宋体"/>
                <w:b/>
                <w:color w:val="auto"/>
                <w:sz w:val="21"/>
                <w:szCs w:val="21"/>
                <w:highlight w:val="none"/>
              </w:rPr>
            </w:pPr>
          </w:p>
          <w:p>
            <w:pPr>
              <w:pStyle w:val="9"/>
              <w:spacing w:line="240" w:lineRule="atLeast"/>
              <w:jc w:val="center"/>
              <w:rPr>
                <w:rFonts w:hint="eastAsia" w:ascii="宋体" w:hAnsi="宋体" w:eastAsia="宋体" w:cs="宋体"/>
                <w:color w:val="auto"/>
                <w:spacing w:val="1"/>
                <w:sz w:val="21"/>
                <w:szCs w:val="21"/>
                <w:highlight w:val="none"/>
              </w:rPr>
            </w:pPr>
            <w:r>
              <w:rPr>
                <w:rFonts w:hint="eastAsia" w:ascii="宋体" w:hAnsi="宋体" w:eastAsia="宋体" w:cs="宋体"/>
                <w:b/>
                <w:color w:val="auto"/>
                <w:sz w:val="21"/>
                <w:szCs w:val="21"/>
                <w:highlight w:val="none"/>
              </w:rPr>
              <w:t>2.2.4（4）废标条款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9653" w:type="dxa"/>
            <w:gridSpan w:val="4"/>
            <w:noWrap w:val="0"/>
            <w:vAlign w:val="center"/>
          </w:tcPr>
          <w:p>
            <w:pPr>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1.评标委员会依据本章初步评审规定的评审标准对投标文件进行初步评审。有一项不符合评审标准的，作废标处理。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9653" w:type="dxa"/>
            <w:gridSpan w:val="4"/>
            <w:noWrap w:val="0"/>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2．投标人有以下情形之一的，其投标作废标处理：</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pPr>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(2)不按评标委员会要求澄清、说明或补正的。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9653" w:type="dxa"/>
            <w:gridSpan w:val="4"/>
            <w:noWrap w:val="0"/>
            <w:vAlign w:val="center"/>
          </w:tcPr>
          <w:p>
            <w:pPr>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 .投标报价有算术错误的，评标委员会按以下原则对投标报价进行修正，修正的价格经投标人书面确认后具有约束力。投标人不接受修正价格的，其投标作废标处理。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9653" w:type="dxa"/>
            <w:gridSpan w:val="4"/>
            <w:noWrap w:val="0"/>
            <w:vAlign w:val="center"/>
          </w:tcPr>
          <w:p>
            <w:pPr>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9653" w:type="dxa"/>
            <w:gridSpan w:val="4"/>
            <w:noWrap w:val="0"/>
            <w:vAlign w:val="center"/>
          </w:tcPr>
          <w:p>
            <w:pPr>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5.投标人投标文件制作机器码一致的，其投标做废标处理。</w:t>
            </w:r>
          </w:p>
        </w:tc>
      </w:tr>
      <w:bookmarkEnd w:id="130"/>
    </w:tbl>
    <w:p>
      <w:pPr>
        <w:spacing w:line="360" w:lineRule="auto"/>
        <w:outlineLvl w:val="1"/>
        <w:rPr>
          <w:rFonts w:ascii="宋体" w:hAnsi="宋体" w:cs="宋体"/>
          <w:b/>
          <w:highlight w:val="none"/>
        </w:rPr>
      </w:pPr>
      <w:bookmarkStart w:id="131" w:name="_Toc28203"/>
      <w:r>
        <w:rPr>
          <w:rFonts w:hint="eastAsia" w:ascii="宋体" w:hAnsi="宋体" w:cs="宋体"/>
          <w:b/>
          <w:highlight w:val="none"/>
        </w:rPr>
        <w:t>1. 评标方法</w:t>
      </w:r>
      <w:bookmarkEnd w:id="129"/>
      <w:bookmarkEnd w:id="131"/>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2" w:name="_Toc31288"/>
      <w:bookmarkStart w:id="133" w:name="_Toc24847"/>
      <w:bookmarkStart w:id="134" w:name="_Toc5723"/>
      <w:r>
        <w:rPr>
          <w:rFonts w:hint="eastAsia" w:ascii="宋体" w:hAnsi="宋体" w:cs="宋体"/>
          <w:b/>
          <w:highlight w:val="none"/>
        </w:rPr>
        <w:t>2. 评审标准</w:t>
      </w:r>
      <w:bookmarkEnd w:id="121"/>
      <w:bookmarkEnd w:id="122"/>
      <w:bookmarkEnd w:id="123"/>
      <w:bookmarkEnd w:id="124"/>
      <w:bookmarkEnd w:id="125"/>
      <w:bookmarkEnd w:id="126"/>
      <w:bookmarkEnd w:id="127"/>
      <w:bookmarkEnd w:id="132"/>
      <w:bookmarkEnd w:id="133"/>
      <w:bookmarkEnd w:id="134"/>
    </w:p>
    <w:p>
      <w:pPr>
        <w:pStyle w:val="4"/>
        <w:spacing w:line="360" w:lineRule="auto"/>
        <w:jc w:val="both"/>
        <w:rPr>
          <w:rFonts w:ascii="宋体" w:hAnsi="宋体" w:cs="宋体"/>
          <w:sz w:val="21"/>
          <w:szCs w:val="21"/>
          <w:highlight w:val="none"/>
        </w:rPr>
      </w:pPr>
      <w:bookmarkStart w:id="135" w:name="_Toc152042379"/>
      <w:bookmarkStart w:id="136" w:name="_Toc179632620"/>
      <w:bookmarkStart w:id="137" w:name="_Toc152045602"/>
      <w:bookmarkStart w:id="138" w:name="_Toc247085760"/>
      <w:bookmarkStart w:id="139" w:name="_Toc339890729"/>
      <w:bookmarkStart w:id="140" w:name="_Toc246996245"/>
      <w:bookmarkStart w:id="141" w:name="_Toc31574"/>
      <w:bookmarkStart w:id="142" w:name="_Toc246996988"/>
      <w:bookmarkStart w:id="143" w:name="_Toc19717"/>
      <w:bookmarkStart w:id="144" w:name="_Toc144974569"/>
      <w:bookmarkStart w:id="145" w:name="_Toc3423"/>
      <w:r>
        <w:rPr>
          <w:rFonts w:hint="eastAsia" w:ascii="宋体" w:hAnsi="宋体" w:cs="宋体"/>
          <w:sz w:val="21"/>
          <w:szCs w:val="21"/>
          <w:highlight w:val="none"/>
        </w:rPr>
        <w:t>2.1 初步评审标准</w:t>
      </w:r>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jc w:val="both"/>
        <w:rPr>
          <w:rFonts w:ascii="宋体" w:hAnsi="宋体" w:cs="宋体"/>
          <w:sz w:val="21"/>
          <w:szCs w:val="21"/>
          <w:highlight w:val="none"/>
        </w:rPr>
      </w:pPr>
      <w:bookmarkStart w:id="146" w:name="_Toc152045603"/>
      <w:bookmarkStart w:id="147" w:name="_Toc179632621"/>
      <w:bookmarkStart w:id="148" w:name="_Toc8336"/>
      <w:bookmarkStart w:id="149" w:name="_Toc247085761"/>
      <w:bookmarkStart w:id="150" w:name="_Toc144974570"/>
      <w:bookmarkStart w:id="151" w:name="_Toc3548"/>
      <w:bookmarkStart w:id="152" w:name="_Toc12720"/>
      <w:bookmarkStart w:id="153" w:name="_Toc246996246"/>
      <w:bookmarkStart w:id="154" w:name="_Toc246996989"/>
      <w:bookmarkStart w:id="155" w:name="_Toc339890730"/>
      <w:bookmarkStart w:id="156" w:name="_Toc152042380"/>
      <w:r>
        <w:rPr>
          <w:rFonts w:hint="eastAsia" w:ascii="宋体" w:hAnsi="宋体" w:cs="宋体"/>
          <w:sz w:val="21"/>
          <w:szCs w:val="21"/>
          <w:highlight w:val="none"/>
        </w:rPr>
        <w:t>2.2 分值构成与评分标准</w:t>
      </w:r>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7" w:name="_Toc15541"/>
      <w:bookmarkStart w:id="158" w:name="_Toc246996990"/>
      <w:bookmarkStart w:id="159" w:name="_Toc2811"/>
      <w:bookmarkStart w:id="160" w:name="_Toc247085762"/>
      <w:bookmarkStart w:id="161" w:name="_Toc144974571"/>
      <w:bookmarkStart w:id="162" w:name="_Toc152045604"/>
      <w:bookmarkStart w:id="163" w:name="_Toc179632622"/>
      <w:bookmarkStart w:id="164" w:name="_Toc17308"/>
      <w:bookmarkStart w:id="165" w:name="_Toc246996247"/>
      <w:bookmarkStart w:id="166" w:name="_Toc152042381"/>
      <w:r>
        <w:rPr>
          <w:rFonts w:hint="eastAsia" w:ascii="宋体" w:hAnsi="宋体" w:cs="宋体"/>
          <w:b/>
          <w:highlight w:val="none"/>
        </w:rPr>
        <w:t>3. 评标程序</w:t>
      </w:r>
      <w:bookmarkEnd w:id="157"/>
      <w:bookmarkEnd w:id="158"/>
      <w:bookmarkEnd w:id="159"/>
      <w:bookmarkEnd w:id="160"/>
      <w:bookmarkEnd w:id="161"/>
      <w:bookmarkEnd w:id="162"/>
      <w:bookmarkEnd w:id="163"/>
      <w:bookmarkEnd w:id="164"/>
      <w:bookmarkEnd w:id="165"/>
      <w:bookmarkEnd w:id="166"/>
      <w:bookmarkStart w:id="167" w:name="_Toc247085763"/>
      <w:bookmarkStart w:id="168" w:name="_Toc144974572"/>
      <w:bookmarkStart w:id="169" w:name="_Toc152045605"/>
      <w:bookmarkStart w:id="170" w:name="_Toc246996991"/>
      <w:bookmarkStart w:id="171" w:name="_Toc339890732"/>
      <w:bookmarkStart w:id="172" w:name="_Toc179632623"/>
      <w:bookmarkStart w:id="173" w:name="_Toc246996248"/>
      <w:bookmarkStart w:id="174" w:name="_Toc152042382"/>
    </w:p>
    <w:p>
      <w:pPr>
        <w:pStyle w:val="4"/>
        <w:spacing w:line="360" w:lineRule="auto"/>
        <w:jc w:val="both"/>
        <w:rPr>
          <w:rFonts w:ascii="宋体" w:hAnsi="宋体" w:cs="宋体"/>
          <w:sz w:val="21"/>
          <w:szCs w:val="21"/>
          <w:highlight w:val="none"/>
        </w:rPr>
      </w:pPr>
      <w:bookmarkStart w:id="175" w:name="_Toc27593"/>
      <w:bookmarkStart w:id="176" w:name="_Toc9825"/>
      <w:bookmarkStart w:id="177" w:name="_Toc3474"/>
      <w:r>
        <w:rPr>
          <w:rFonts w:hint="eastAsia" w:ascii="宋体" w:hAnsi="宋体" w:cs="宋体"/>
          <w:sz w:val="21"/>
          <w:szCs w:val="21"/>
          <w:highlight w:val="none"/>
        </w:rPr>
        <w:t>3.1 初步评审</w:t>
      </w:r>
      <w:bookmarkEnd w:id="167"/>
      <w:bookmarkEnd w:id="168"/>
      <w:bookmarkEnd w:id="169"/>
      <w:bookmarkEnd w:id="170"/>
      <w:bookmarkEnd w:id="171"/>
      <w:bookmarkEnd w:id="172"/>
      <w:bookmarkEnd w:id="173"/>
      <w:bookmarkEnd w:id="174"/>
      <w:bookmarkEnd w:id="175"/>
      <w:bookmarkEnd w:id="176"/>
      <w:bookmarkEnd w:id="177"/>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8" w:name="_Toc152042383"/>
      <w:r>
        <w:rPr>
          <w:rFonts w:hint="eastAsia" w:ascii="宋体" w:hAnsi="宋体" w:cs="宋体"/>
          <w:highlight w:val="none"/>
        </w:rPr>
        <w:t>（1）投标文件中的大写金额与小写金额不一致的，以大写金额为准；</w:t>
      </w:r>
      <w:bookmarkEnd w:id="178"/>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jc w:val="both"/>
        <w:rPr>
          <w:rFonts w:ascii="宋体" w:hAnsi="宋体" w:cs="宋体"/>
          <w:sz w:val="21"/>
          <w:szCs w:val="21"/>
          <w:highlight w:val="none"/>
        </w:rPr>
      </w:pPr>
      <w:bookmarkStart w:id="179" w:name="_Toc247085764"/>
      <w:bookmarkStart w:id="180" w:name="_Toc179632624"/>
      <w:bookmarkStart w:id="181" w:name="_Toc152042384"/>
      <w:bookmarkStart w:id="182" w:name="_Toc5244"/>
      <w:bookmarkStart w:id="183" w:name="_Toc26313"/>
      <w:bookmarkStart w:id="184" w:name="_Toc1522"/>
      <w:bookmarkStart w:id="185" w:name="_Toc246996249"/>
      <w:bookmarkStart w:id="186" w:name="_Toc152045606"/>
      <w:bookmarkStart w:id="187" w:name="_Toc246996992"/>
      <w:bookmarkStart w:id="188" w:name="_Toc339890733"/>
      <w:bookmarkStart w:id="189" w:name="_Toc144974573"/>
      <w:r>
        <w:rPr>
          <w:rFonts w:hint="eastAsia" w:ascii="宋体" w:hAnsi="宋体" w:cs="宋体"/>
          <w:sz w:val="21"/>
          <w:szCs w:val="21"/>
          <w:highlight w:val="none"/>
        </w:rPr>
        <w:t>3.2 详细评审</w:t>
      </w:r>
      <w:bookmarkEnd w:id="179"/>
      <w:bookmarkEnd w:id="180"/>
      <w:bookmarkEnd w:id="181"/>
      <w:bookmarkEnd w:id="182"/>
      <w:bookmarkEnd w:id="183"/>
      <w:bookmarkEnd w:id="184"/>
      <w:bookmarkEnd w:id="185"/>
      <w:bookmarkEnd w:id="186"/>
      <w:bookmarkEnd w:id="187"/>
      <w:bookmarkEnd w:id="188"/>
      <w:bookmarkEnd w:id="189"/>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jc w:val="both"/>
        <w:rPr>
          <w:rFonts w:ascii="宋体" w:hAnsi="宋体" w:cs="宋体"/>
          <w:sz w:val="21"/>
          <w:szCs w:val="21"/>
          <w:highlight w:val="none"/>
        </w:rPr>
      </w:pPr>
      <w:bookmarkStart w:id="190" w:name="_Toc144974575"/>
      <w:bookmarkStart w:id="191" w:name="_Toc152042385"/>
      <w:bookmarkStart w:id="192" w:name="_Toc247085765"/>
      <w:bookmarkStart w:id="193" w:name="_Toc246996250"/>
      <w:bookmarkStart w:id="194" w:name="_Toc246996993"/>
      <w:bookmarkStart w:id="195" w:name="_Toc179632625"/>
      <w:bookmarkStart w:id="196" w:name="_Toc7693"/>
      <w:bookmarkStart w:id="197" w:name="_Toc152045607"/>
      <w:bookmarkStart w:id="198" w:name="_Toc339890734"/>
      <w:bookmarkStart w:id="199" w:name="_Toc5237"/>
      <w:bookmarkStart w:id="200" w:name="_Toc27514"/>
      <w:r>
        <w:rPr>
          <w:rFonts w:hint="eastAsia" w:ascii="宋体" w:hAnsi="宋体" w:cs="宋体"/>
          <w:sz w:val="21"/>
          <w:szCs w:val="21"/>
          <w:highlight w:val="none"/>
        </w:rPr>
        <w:t>3.3 投标文件的澄清</w:t>
      </w:r>
      <w:bookmarkEnd w:id="190"/>
      <w:r>
        <w:rPr>
          <w:rFonts w:hint="eastAsia" w:ascii="宋体" w:hAnsi="宋体" w:cs="宋体"/>
          <w:sz w:val="21"/>
          <w:szCs w:val="21"/>
          <w:highlight w:val="none"/>
        </w:rPr>
        <w:t>和补正</w:t>
      </w:r>
      <w:bookmarkEnd w:id="191"/>
      <w:bookmarkEnd w:id="192"/>
      <w:bookmarkEnd w:id="193"/>
      <w:bookmarkEnd w:id="194"/>
      <w:bookmarkEnd w:id="195"/>
      <w:bookmarkEnd w:id="196"/>
      <w:bookmarkEnd w:id="197"/>
      <w:bookmarkEnd w:id="198"/>
      <w:bookmarkEnd w:id="199"/>
      <w:bookmarkEnd w:id="200"/>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jc w:val="both"/>
        <w:rPr>
          <w:rFonts w:ascii="宋体" w:hAnsi="宋体" w:cs="宋体"/>
          <w:sz w:val="21"/>
          <w:szCs w:val="21"/>
          <w:highlight w:val="none"/>
        </w:rPr>
      </w:pPr>
      <w:bookmarkStart w:id="201" w:name="_Toc95"/>
      <w:bookmarkStart w:id="202" w:name="_Toc246996251"/>
      <w:bookmarkStart w:id="203" w:name="_Toc339890735"/>
      <w:bookmarkStart w:id="204" w:name="_Toc2747"/>
      <w:bookmarkStart w:id="205" w:name="_Toc144974576"/>
      <w:bookmarkStart w:id="206" w:name="_Toc152045608"/>
      <w:bookmarkStart w:id="207" w:name="_Toc246996994"/>
      <w:bookmarkStart w:id="208" w:name="_Toc152042386"/>
      <w:bookmarkStart w:id="209" w:name="_Toc24653"/>
      <w:bookmarkStart w:id="210" w:name="_Toc247085766"/>
      <w:bookmarkStart w:id="211" w:name="_Toc179632626"/>
      <w:r>
        <w:rPr>
          <w:rFonts w:hint="eastAsia" w:ascii="宋体" w:hAnsi="宋体" w:cs="宋体"/>
          <w:sz w:val="21"/>
          <w:szCs w:val="21"/>
          <w:highlight w:val="none"/>
        </w:rPr>
        <w:t>3.4 评标结果</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2" w:name="_Toc3717"/>
      <w:r>
        <w:rPr>
          <w:rFonts w:hint="eastAsia" w:ascii="宋体" w:hAnsi="宋体" w:cs="宋体"/>
          <w:sz w:val="32"/>
          <w:szCs w:val="32"/>
          <w:highlight w:val="none"/>
        </w:rPr>
        <w:t>第四章 合同条款及格式</w:t>
      </w:r>
      <w:bookmarkEnd w:id="118"/>
      <w:bookmarkEnd w:id="212"/>
    </w:p>
    <w:p>
      <w:pPr>
        <w:pStyle w:val="31"/>
        <w:jc w:val="center"/>
        <w:rPr>
          <w:rFonts w:hint="default"/>
          <w:sz w:val="30"/>
          <w:szCs w:val="30"/>
          <w:highlight w:val="none"/>
        </w:rPr>
      </w:pPr>
      <w:r>
        <w:rPr>
          <w:sz w:val="30"/>
          <w:szCs w:val="30"/>
          <w:highlight w:val="none"/>
        </w:rPr>
        <w:t>（合同</w:t>
      </w:r>
      <w:r>
        <w:rPr>
          <w:rFonts w:hint="eastAsia"/>
          <w:sz w:val="30"/>
          <w:szCs w:val="30"/>
          <w:highlight w:val="none"/>
          <w:lang w:eastAsia="zh-CN"/>
        </w:rPr>
        <w:t>模板</w:t>
      </w:r>
      <w:r>
        <w:rPr>
          <w:sz w:val="30"/>
          <w:szCs w:val="30"/>
          <w:highlight w:val="none"/>
        </w:rPr>
        <w:t>仅供参考，</w:t>
      </w:r>
      <w:r>
        <w:rPr>
          <w:rFonts w:hint="eastAsia"/>
          <w:sz w:val="30"/>
          <w:szCs w:val="30"/>
          <w:highlight w:val="none"/>
          <w:lang w:eastAsia="zh-CN"/>
        </w:rPr>
        <w:t>具体</w:t>
      </w:r>
      <w:r>
        <w:rPr>
          <w:sz w:val="30"/>
          <w:szCs w:val="30"/>
          <w:highlight w:val="none"/>
        </w:rPr>
        <w:t>以实际签订为准）</w:t>
      </w:r>
    </w:p>
    <w:p>
      <w:pPr>
        <w:ind w:firstLine="964"/>
        <w:jc w:val="both"/>
        <w:rPr>
          <w:rFonts w:ascii="宋体" w:hAnsi="宋体" w:cs="宋体"/>
          <w:b/>
          <w:sz w:val="48"/>
          <w:szCs w:val="48"/>
          <w:highlight w:val="none"/>
        </w:rPr>
      </w:pPr>
      <w:bookmarkStart w:id="213" w:name="_Toc184635134"/>
    </w:p>
    <w:p>
      <w:pPr>
        <w:pStyle w:val="9"/>
        <w:rPr>
          <w:highlight w:val="none"/>
        </w:rPr>
      </w:pPr>
    </w:p>
    <w:p>
      <w:pPr>
        <w:ind w:firstLine="964"/>
        <w:jc w:val="center"/>
        <w:rPr>
          <w:rFonts w:ascii="宋体" w:hAnsi="宋体" w:cs="宋体"/>
          <w:b/>
          <w:sz w:val="48"/>
          <w:szCs w:val="48"/>
          <w:highlight w:val="none"/>
        </w:rPr>
      </w:pPr>
    </w:p>
    <w:p>
      <w:pPr>
        <w:jc w:val="center"/>
        <w:rPr>
          <w:rFonts w:ascii="宋体" w:hAnsi="宋体" w:cs="宋体"/>
          <w:b/>
          <w:sz w:val="48"/>
          <w:szCs w:val="48"/>
          <w:highlight w:val="none"/>
        </w:rPr>
      </w:pPr>
    </w:p>
    <w:p>
      <w:pPr>
        <w:spacing w:line="240" w:lineRule="auto"/>
        <w:ind w:right="240"/>
        <w:jc w:val="center"/>
        <w:rPr>
          <w:rFonts w:ascii="等线" w:hAnsi="等线" w:eastAsia="等线" w:cs="华文中宋"/>
          <w:b/>
          <w:sz w:val="84"/>
          <w:szCs w:val="84"/>
          <w:highlight w:val="none"/>
          <w:lang w:bidi="ar"/>
        </w:rPr>
      </w:pPr>
      <w:r>
        <w:rPr>
          <w:rFonts w:hint="eastAsia" w:ascii="等线" w:hAnsi="等线" w:eastAsia="等线" w:cs="华文中宋"/>
          <w:b/>
          <w:sz w:val="84"/>
          <w:szCs w:val="84"/>
          <w:highlight w:val="none"/>
          <w:lang w:bidi="ar"/>
        </w:rPr>
        <w:t>监</w:t>
      </w:r>
    </w:p>
    <w:p>
      <w:pPr>
        <w:spacing w:line="240" w:lineRule="auto"/>
        <w:ind w:right="240"/>
        <w:jc w:val="center"/>
        <w:rPr>
          <w:rFonts w:ascii="等线" w:hAnsi="等线" w:eastAsia="等线" w:cs="华文中宋"/>
          <w:b/>
          <w:sz w:val="84"/>
          <w:szCs w:val="84"/>
          <w:highlight w:val="none"/>
          <w:lang w:bidi="ar"/>
        </w:rPr>
      </w:pPr>
      <w:r>
        <w:rPr>
          <w:rFonts w:hint="eastAsia" w:ascii="等线" w:hAnsi="等线" w:eastAsia="等线" w:cs="华文中宋"/>
          <w:b/>
          <w:sz w:val="84"/>
          <w:szCs w:val="84"/>
          <w:highlight w:val="none"/>
          <w:lang w:bidi="ar"/>
        </w:rPr>
        <w:t>理</w:t>
      </w:r>
    </w:p>
    <w:p>
      <w:pPr>
        <w:spacing w:line="240" w:lineRule="auto"/>
        <w:ind w:right="240"/>
        <w:jc w:val="center"/>
        <w:rPr>
          <w:rFonts w:ascii="等线" w:hAnsi="等线" w:eastAsia="等线" w:cs="华文中宋"/>
          <w:b/>
          <w:sz w:val="84"/>
          <w:szCs w:val="84"/>
          <w:highlight w:val="none"/>
          <w:lang w:bidi="ar"/>
        </w:rPr>
      </w:pPr>
      <w:r>
        <w:rPr>
          <w:rFonts w:hint="eastAsia" w:ascii="等线" w:hAnsi="等线" w:eastAsia="等线" w:cs="华文中宋"/>
          <w:b/>
          <w:sz w:val="84"/>
          <w:szCs w:val="84"/>
          <w:highlight w:val="none"/>
          <w:lang w:bidi="ar"/>
        </w:rPr>
        <w:t>合</w:t>
      </w:r>
    </w:p>
    <w:p>
      <w:pPr>
        <w:spacing w:line="240" w:lineRule="auto"/>
        <w:ind w:right="240"/>
        <w:jc w:val="center"/>
        <w:rPr>
          <w:rFonts w:ascii="等线" w:hAnsi="等线" w:eastAsia="等线"/>
          <w:b/>
          <w:sz w:val="52"/>
          <w:szCs w:val="52"/>
          <w:highlight w:val="none"/>
        </w:rPr>
      </w:pPr>
      <w:r>
        <w:rPr>
          <w:rFonts w:ascii="等线" w:hAnsi="等线" w:eastAsia="等线" w:cs="华文中宋"/>
          <w:b/>
          <w:sz w:val="84"/>
          <w:szCs w:val="84"/>
          <w:highlight w:val="none"/>
          <w:lang w:bidi="ar"/>
        </w:rPr>
        <w:t>同</w:t>
      </w:r>
    </w:p>
    <w:p>
      <w:pPr>
        <w:rPr>
          <w:rFonts w:ascii="宋体" w:hAnsi="宋体"/>
          <w:highlight w:val="none"/>
        </w:rPr>
      </w:pPr>
    </w:p>
    <w:p>
      <w:pPr>
        <w:pStyle w:val="9"/>
        <w:jc w:val="center"/>
        <w:rPr>
          <w:rFonts w:hAnsi="宋体"/>
          <w:highlight w:val="none"/>
        </w:rPr>
      </w:pPr>
    </w:p>
    <w:p>
      <w:pPr>
        <w:pStyle w:val="9"/>
        <w:jc w:val="center"/>
        <w:rPr>
          <w:rFonts w:hAnsi="宋体"/>
          <w:highlight w:val="none"/>
        </w:rPr>
      </w:pPr>
    </w:p>
    <w:p>
      <w:pPr>
        <w:pStyle w:val="13"/>
        <w:ind w:firstLine="480"/>
        <w:jc w:val="center"/>
        <w:rPr>
          <w:rFonts w:ascii="宋体" w:hAnsi="宋体" w:eastAsia="宋体"/>
          <w:highlight w:val="none"/>
        </w:rPr>
      </w:pPr>
    </w:p>
    <w:p>
      <w:pPr>
        <w:pStyle w:val="13"/>
        <w:ind w:left="1050" w:leftChars="500"/>
        <w:rPr>
          <w:rFonts w:ascii="宋体" w:hAnsi="宋体" w:eastAsia="宋体" w:cs="黑体"/>
          <w:b/>
          <w:sz w:val="32"/>
          <w:szCs w:val="32"/>
          <w:highlight w:val="none"/>
        </w:rPr>
      </w:pPr>
      <w:r>
        <w:rPr>
          <w:rFonts w:hint="eastAsia" w:ascii="宋体" w:hAnsi="宋体" w:eastAsia="宋体" w:cs="黑体"/>
          <w:b/>
          <w:sz w:val="32"/>
          <w:szCs w:val="32"/>
          <w:highlight w:val="none"/>
        </w:rPr>
        <w:t>委托人：</w:t>
      </w:r>
      <w:r>
        <w:rPr>
          <w:rFonts w:ascii="宋体" w:hAnsi="宋体" w:eastAsia="宋体" w:cs="黑体"/>
          <w:b/>
          <w:sz w:val="32"/>
          <w:szCs w:val="32"/>
          <w:highlight w:val="none"/>
          <w:u w:val="single"/>
        </w:rPr>
        <w:t xml:space="preserve">          </w:t>
      </w:r>
      <w:r>
        <w:rPr>
          <w:rFonts w:hint="eastAsia" w:ascii="宋体" w:hAnsi="宋体" w:eastAsia="宋体" w:cs="黑体"/>
          <w:b/>
          <w:sz w:val="32"/>
          <w:szCs w:val="32"/>
          <w:highlight w:val="none"/>
          <w:u w:val="single"/>
        </w:rPr>
        <w:t>xxxx有限公司</w:t>
      </w:r>
    </w:p>
    <w:p>
      <w:pPr>
        <w:pStyle w:val="13"/>
        <w:ind w:left="1050" w:leftChars="500"/>
        <w:jc w:val="left"/>
        <w:rPr>
          <w:rFonts w:ascii="宋体" w:hAnsi="宋体" w:eastAsia="宋体" w:cs="黑体"/>
          <w:highlight w:val="none"/>
        </w:rPr>
      </w:pPr>
      <w:r>
        <w:rPr>
          <w:rFonts w:hint="eastAsia" w:ascii="宋体" w:hAnsi="宋体" w:eastAsia="宋体" w:cs="仿宋_GB2312"/>
          <w:b/>
          <w:sz w:val="32"/>
          <w:szCs w:val="32"/>
          <w:highlight w:val="none"/>
          <w:lang w:bidi="ar"/>
        </w:rPr>
        <w:t>监理人</w:t>
      </w:r>
      <w:r>
        <w:rPr>
          <w:rFonts w:hint="eastAsia" w:ascii="宋体" w:hAnsi="宋体" w:eastAsia="宋体" w:cs="黑体"/>
          <w:b/>
          <w:sz w:val="32"/>
          <w:szCs w:val="32"/>
          <w:highlight w:val="none"/>
        </w:rPr>
        <w:t>：</w:t>
      </w:r>
      <w:r>
        <w:rPr>
          <w:rFonts w:ascii="宋体" w:hAnsi="宋体" w:eastAsia="宋体" w:cs="黑体"/>
          <w:b/>
          <w:sz w:val="32"/>
          <w:szCs w:val="32"/>
          <w:highlight w:val="none"/>
          <w:u w:val="single"/>
        </w:rPr>
        <w:t xml:space="preserve">          </w:t>
      </w:r>
      <w:r>
        <w:rPr>
          <w:rFonts w:hint="eastAsia" w:ascii="宋体" w:hAnsi="宋体" w:eastAsia="宋体" w:cs="黑体"/>
          <w:b/>
          <w:sz w:val="32"/>
          <w:szCs w:val="32"/>
          <w:highlight w:val="none"/>
          <w:u w:val="single"/>
        </w:rPr>
        <w:t>xxxx有限公司</w:t>
      </w:r>
    </w:p>
    <w:p>
      <w:pPr>
        <w:pStyle w:val="13"/>
        <w:ind w:left="1050" w:leftChars="500"/>
        <w:jc w:val="left"/>
        <w:rPr>
          <w:rFonts w:ascii="宋体" w:hAnsi="宋体" w:cs="仿宋"/>
          <w:b/>
          <w:bCs/>
          <w:sz w:val="28"/>
          <w:szCs w:val="32"/>
          <w:highlight w:val="none"/>
        </w:rPr>
      </w:pPr>
      <w:r>
        <w:rPr>
          <w:rFonts w:hint="eastAsia" w:ascii="宋体" w:hAnsi="宋体" w:eastAsia="宋体" w:cs="仿宋_GB2312"/>
          <w:b/>
          <w:sz w:val="32"/>
          <w:szCs w:val="32"/>
          <w:highlight w:val="none"/>
          <w:lang w:bidi="ar"/>
        </w:rPr>
        <w:t>签约</w:t>
      </w:r>
      <w:r>
        <w:rPr>
          <w:rFonts w:hint="eastAsia" w:ascii="宋体" w:hAnsi="宋体" w:eastAsia="宋体" w:cs="黑体"/>
          <w:b/>
          <w:sz w:val="32"/>
          <w:szCs w:val="32"/>
          <w:highlight w:val="none"/>
        </w:rPr>
        <w:t>日期：</w:t>
      </w:r>
      <w:r>
        <w:rPr>
          <w:rFonts w:hint="eastAsia" w:ascii="宋体" w:hAnsi="宋体" w:eastAsia="宋体" w:cs="黑体"/>
          <w:b/>
          <w:sz w:val="32"/>
          <w:szCs w:val="32"/>
          <w:highlight w:val="none"/>
          <w:u w:val="single"/>
        </w:rPr>
        <w:t xml:space="preserve"> </w:t>
      </w:r>
      <w:r>
        <w:rPr>
          <w:rFonts w:ascii="宋体" w:hAnsi="宋体" w:eastAsia="宋体" w:cs="黑体"/>
          <w:b/>
          <w:sz w:val="32"/>
          <w:szCs w:val="32"/>
          <w:highlight w:val="none"/>
          <w:u w:val="single"/>
        </w:rPr>
        <w:t xml:space="preserve">  </w:t>
      </w:r>
      <w:r>
        <w:rPr>
          <w:rFonts w:hint="eastAsia" w:ascii="宋体" w:hAnsi="宋体" w:eastAsia="宋体" w:cs="黑体"/>
          <w:b/>
          <w:sz w:val="32"/>
          <w:szCs w:val="32"/>
          <w:highlight w:val="none"/>
          <w:u w:val="single"/>
        </w:rPr>
        <w:t xml:space="preserve"> 年   </w:t>
      </w:r>
      <w:r>
        <w:rPr>
          <w:rFonts w:ascii="宋体" w:hAnsi="宋体" w:eastAsia="宋体" w:cs="黑体"/>
          <w:b/>
          <w:sz w:val="32"/>
          <w:szCs w:val="32"/>
          <w:highlight w:val="none"/>
          <w:u w:val="single"/>
        </w:rPr>
        <w:t xml:space="preserve"> </w:t>
      </w:r>
      <w:r>
        <w:rPr>
          <w:rFonts w:hint="eastAsia" w:ascii="宋体" w:hAnsi="宋体" w:eastAsia="宋体" w:cs="黑体"/>
          <w:b/>
          <w:sz w:val="32"/>
          <w:szCs w:val="32"/>
          <w:highlight w:val="none"/>
          <w:u w:val="single"/>
        </w:rPr>
        <w:t xml:space="preserve">月 </w:t>
      </w:r>
      <w:r>
        <w:rPr>
          <w:rFonts w:ascii="宋体" w:hAnsi="宋体" w:eastAsia="宋体" w:cs="黑体"/>
          <w:b/>
          <w:sz w:val="32"/>
          <w:szCs w:val="32"/>
          <w:highlight w:val="none"/>
          <w:u w:val="single"/>
        </w:rPr>
        <w:t xml:space="preserve"> </w:t>
      </w:r>
      <w:r>
        <w:rPr>
          <w:rFonts w:hint="eastAsia" w:ascii="宋体" w:hAnsi="宋体" w:eastAsia="宋体" w:cs="黑体"/>
          <w:b/>
          <w:sz w:val="32"/>
          <w:szCs w:val="32"/>
          <w:highlight w:val="none"/>
          <w:u w:val="single"/>
        </w:rPr>
        <w:t xml:space="preserve">  日</w:t>
      </w:r>
    </w:p>
    <w:p>
      <w:pPr>
        <w:keepNext/>
        <w:keepLines/>
        <w:widowControl/>
        <w:spacing w:before="340" w:after="330"/>
        <w:jc w:val="center"/>
        <w:outlineLvl w:val="0"/>
        <w:rPr>
          <w:rFonts w:ascii="宋体" w:hAnsi="宋体" w:cs="仿宋"/>
          <w:b/>
          <w:bCs/>
          <w:sz w:val="28"/>
          <w:szCs w:val="32"/>
          <w:highlight w:val="none"/>
        </w:rPr>
      </w:pPr>
      <w:r>
        <w:rPr>
          <w:rFonts w:hint="eastAsia" w:ascii="宋体" w:hAnsi="宋体" w:cs="仿宋"/>
          <w:b/>
          <w:bCs/>
          <w:sz w:val="28"/>
          <w:szCs w:val="32"/>
          <w:highlight w:val="none"/>
        </w:rPr>
        <w:t>第一部分 合同协议书</w:t>
      </w:r>
    </w:p>
    <w:p>
      <w:pPr>
        <w:rPr>
          <w:rFonts w:ascii="宋体" w:hAnsi="宋体" w:cs="仿宋"/>
          <w:b/>
          <w:kern w:val="0"/>
          <w:highlight w:val="none"/>
          <w:u w:val="single"/>
        </w:rPr>
      </w:pPr>
      <w:bookmarkStart w:id="214" w:name="_Toc384975761"/>
      <w:bookmarkEnd w:id="214"/>
      <w:bookmarkStart w:id="215" w:name="_Toc292438605"/>
      <w:bookmarkEnd w:id="215"/>
      <w:bookmarkStart w:id="216" w:name="_Toc296158479"/>
      <w:bookmarkEnd w:id="216"/>
      <w:bookmarkStart w:id="217" w:name="_Toc65033852"/>
      <w:r>
        <w:rPr>
          <w:rFonts w:hint="eastAsia" w:ascii="宋体" w:hAnsi="宋体" w:cs="仿宋"/>
          <w:b/>
          <w:highlight w:val="none"/>
          <w:lang w:bidi="ar"/>
        </w:rPr>
        <w:t>委 托 人：</w:t>
      </w:r>
      <w:bookmarkEnd w:id="217"/>
      <w:r>
        <w:rPr>
          <w:rFonts w:hint="eastAsia" w:ascii="宋体" w:hAnsi="宋体" w:cs="仿宋"/>
          <w:b/>
          <w:kern w:val="0"/>
          <w:highlight w:val="none"/>
          <w:u w:val="single"/>
          <w:lang w:bidi="ar"/>
        </w:rPr>
        <w:t xml:space="preserve">          xxxx有限公司</w:t>
      </w:r>
    </w:p>
    <w:p>
      <w:pPr>
        <w:rPr>
          <w:rFonts w:ascii="宋体" w:hAnsi="宋体" w:cs="仿宋"/>
          <w:b/>
          <w:kern w:val="0"/>
          <w:highlight w:val="none"/>
          <w:u w:val="single"/>
        </w:rPr>
      </w:pPr>
      <w:r>
        <w:rPr>
          <w:rFonts w:hint="eastAsia" w:ascii="宋体" w:hAnsi="宋体" w:cs="仿宋"/>
          <w:b/>
          <w:highlight w:val="none"/>
          <w:lang w:bidi="ar"/>
        </w:rPr>
        <w:t>监 理 人：</w:t>
      </w:r>
      <w:r>
        <w:rPr>
          <w:rFonts w:hint="eastAsia" w:ascii="宋体" w:hAnsi="宋体" w:cs="仿宋"/>
          <w:b/>
          <w:kern w:val="0"/>
          <w:highlight w:val="none"/>
          <w:u w:val="single"/>
          <w:lang w:bidi="ar"/>
        </w:rPr>
        <w:t xml:space="preserve">          xxxx有限公司</w:t>
      </w:r>
    </w:p>
    <w:p>
      <w:pPr>
        <w:ind w:firstLine="480"/>
        <w:rPr>
          <w:rFonts w:ascii="宋体" w:hAnsi="宋体" w:cs="仿宋"/>
          <w:highlight w:val="none"/>
        </w:rPr>
      </w:pPr>
      <w:r>
        <w:rPr>
          <w:rFonts w:hint="eastAsia" w:ascii="宋体" w:hAnsi="宋体" w:cs="仿宋"/>
          <w:highlight w:val="none"/>
          <w:lang w:bidi="ar"/>
        </w:rPr>
        <w:t>根据《中华人民共和国民法典》、《中华人民共和国建筑法》及其他有关法律、法规的规定，双方本着平等、互利、自愿的原则，就</w:t>
      </w:r>
      <w:r>
        <w:rPr>
          <w:rFonts w:hint="eastAsia" w:ascii="宋体" w:hAnsi="宋体" w:cs="仿宋"/>
          <w:highlight w:val="none"/>
          <w:u w:val="single"/>
          <w:lang w:eastAsia="zh-CN" w:bidi="ar"/>
        </w:rPr>
        <w:t>荥阳市卫生健康委员会荥阳市紧密型医共体信息化建设项目</w:t>
      </w:r>
      <w:r>
        <w:rPr>
          <w:rFonts w:hint="eastAsia" w:ascii="宋体" w:hAnsi="宋体" w:cs="仿宋"/>
          <w:highlight w:val="none"/>
          <w:lang w:bidi="ar"/>
        </w:rPr>
        <w:t>（以下简称“本工程”）监理委托工程，通过友好协商，一致同意签订本合同，并承诺共同遵守执行。</w:t>
      </w:r>
    </w:p>
    <w:p>
      <w:pPr>
        <w:ind w:firstLine="480"/>
        <w:rPr>
          <w:rFonts w:ascii="宋体" w:hAnsi="宋体" w:cs="仿宋"/>
          <w:highlight w:val="none"/>
        </w:rPr>
      </w:pPr>
      <w:bookmarkStart w:id="218" w:name="_Toc1713"/>
      <w:r>
        <w:rPr>
          <w:rFonts w:hint="eastAsia" w:ascii="宋体" w:hAnsi="宋体" w:cs="仿宋"/>
          <w:highlight w:val="none"/>
          <w:lang w:bidi="ar"/>
        </w:rPr>
        <w:t>一、委托人委托监理人的工程概况如下：</w:t>
      </w:r>
      <w:bookmarkEnd w:id="218"/>
    </w:p>
    <w:p>
      <w:pPr>
        <w:ind w:firstLine="480"/>
        <w:rPr>
          <w:rFonts w:hint="eastAsia" w:ascii="宋体" w:hAnsi="宋体" w:cs="仿宋"/>
          <w:highlight w:val="none"/>
          <w:u w:val="single"/>
          <w:lang w:eastAsia="zh-CN" w:bidi="ar"/>
        </w:rPr>
      </w:pPr>
      <w:r>
        <w:rPr>
          <w:rFonts w:hint="eastAsia" w:ascii="宋体" w:hAnsi="宋体" w:cs="仿宋"/>
          <w:highlight w:val="none"/>
          <w:lang w:bidi="ar"/>
        </w:rPr>
        <w:t>工程名称：</w:t>
      </w:r>
      <w:r>
        <w:rPr>
          <w:rFonts w:hint="eastAsia" w:ascii="宋体" w:hAnsi="宋体" w:cs="仿宋"/>
          <w:highlight w:val="none"/>
          <w:u w:val="single"/>
          <w:lang w:eastAsia="zh-CN" w:bidi="ar"/>
        </w:rPr>
        <w:t>荥阳市卫生健康委员会荥阳市紧密型医共体信息化建设项目</w:t>
      </w:r>
    </w:p>
    <w:p>
      <w:pPr>
        <w:ind w:firstLine="480"/>
        <w:rPr>
          <w:rFonts w:ascii="宋体" w:hAnsi="宋体" w:cs="仿宋"/>
          <w:highlight w:val="none"/>
          <w:u w:val="single"/>
          <w:lang w:bidi="ar"/>
        </w:rPr>
      </w:pPr>
      <w:r>
        <w:rPr>
          <w:rFonts w:hint="eastAsia" w:ascii="宋体" w:hAnsi="宋体" w:cs="仿宋"/>
          <w:highlight w:val="none"/>
          <w:lang w:bidi="ar"/>
        </w:rPr>
        <w:t>工程地点：</w:t>
      </w:r>
    </w:p>
    <w:p>
      <w:pPr>
        <w:ind w:firstLine="480"/>
        <w:rPr>
          <w:rFonts w:ascii="宋体" w:hAnsi="宋体" w:cs="仿宋"/>
          <w:highlight w:val="none"/>
        </w:rPr>
      </w:pPr>
      <w:r>
        <w:rPr>
          <w:rFonts w:hint="eastAsia" w:ascii="宋体" w:hAnsi="宋体" w:cs="仿宋"/>
          <w:highlight w:val="none"/>
        </w:rPr>
        <w:t>工程规模：</w:t>
      </w:r>
      <w:r>
        <w:rPr>
          <w:rFonts w:hint="eastAsia" w:ascii="宋体" w:hAnsi="宋体" w:cs="宋体"/>
          <w:szCs w:val="21"/>
          <w:highlight w:val="none"/>
          <w:u w:val="single"/>
        </w:rPr>
        <w:t>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u w:val="single"/>
          <w:lang w:val="en-US" w:eastAsia="zh-CN"/>
        </w:rPr>
        <w:t>建设要求达到区域互联互通四甲标准，配合区域互联互通四甲评审服务。</w:t>
      </w:r>
      <w:r>
        <w:rPr>
          <w:rFonts w:hint="eastAsia" w:ascii="宋体" w:hAnsi="宋体" w:cs="宋体"/>
          <w:szCs w:val="21"/>
          <w:highlight w:val="none"/>
          <w:u w:val="single"/>
          <w:lang w:eastAsia="zh-CN"/>
        </w:rPr>
        <w:t>其中一标段：</w:t>
      </w:r>
      <w:r>
        <w:rPr>
          <w:rFonts w:hint="eastAsia" w:ascii="宋体" w:hAnsi="宋体" w:cs="宋体"/>
          <w:szCs w:val="21"/>
          <w:highlight w:val="none"/>
          <w:u w:val="single"/>
          <w:lang w:val="en-US" w:eastAsia="zh-CN"/>
        </w:rPr>
        <w:t>荥阳市紧密型医共体信息化建设项目</w:t>
      </w:r>
      <w:r>
        <w:rPr>
          <w:rFonts w:hint="eastAsia" w:ascii="宋体" w:hAnsi="宋体" w:cs="宋体"/>
          <w:szCs w:val="21"/>
          <w:highlight w:val="none"/>
          <w:u w:val="single"/>
          <w:lang w:eastAsia="zh-CN"/>
        </w:rPr>
        <w:t>信息化软件建设，二标段：</w:t>
      </w:r>
      <w:r>
        <w:rPr>
          <w:rFonts w:hint="eastAsia" w:ascii="宋体" w:hAnsi="宋体" w:cs="宋体"/>
          <w:szCs w:val="21"/>
          <w:highlight w:val="none"/>
          <w:u w:val="single"/>
          <w:lang w:val="en-US" w:eastAsia="zh-CN"/>
        </w:rPr>
        <w:t>荥阳市紧密型医共体信息化建设项目</w:t>
      </w:r>
      <w:r>
        <w:rPr>
          <w:rFonts w:hint="eastAsia" w:ascii="宋体" w:hAnsi="宋体" w:cs="宋体"/>
          <w:szCs w:val="21"/>
          <w:highlight w:val="none"/>
          <w:u w:val="single"/>
          <w:lang w:eastAsia="zh-CN"/>
        </w:rPr>
        <w:t>基础能力提升，三标段：</w:t>
      </w:r>
      <w:r>
        <w:rPr>
          <w:rFonts w:hint="eastAsia" w:ascii="宋体" w:hAnsi="宋体" w:cs="宋体"/>
          <w:szCs w:val="21"/>
          <w:highlight w:val="none"/>
          <w:u w:val="single"/>
          <w:lang w:val="en-US" w:eastAsia="zh-CN"/>
        </w:rPr>
        <w:t>荥阳市紧密型医共体信息化建设项目</w:t>
      </w:r>
      <w:r>
        <w:rPr>
          <w:rFonts w:hint="eastAsia" w:ascii="宋体" w:hAnsi="宋体" w:cs="宋体"/>
          <w:szCs w:val="21"/>
          <w:highlight w:val="none"/>
          <w:u w:val="single"/>
          <w:lang w:eastAsia="zh-CN"/>
        </w:rPr>
        <w:t>购置</w:t>
      </w:r>
      <w:r>
        <w:rPr>
          <w:rFonts w:hint="eastAsia" w:ascii="宋体" w:hAnsi="宋体" w:cs="宋体"/>
          <w:szCs w:val="21"/>
          <w:highlight w:val="none"/>
          <w:u w:val="singl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ind w:firstLine="480"/>
        <w:rPr>
          <w:rFonts w:ascii="宋体" w:hAnsi="宋体" w:cs="仿宋"/>
          <w:highlight w:val="none"/>
        </w:rPr>
      </w:pPr>
      <w:r>
        <w:rPr>
          <w:rFonts w:hint="eastAsia" w:ascii="宋体" w:hAnsi="宋体" w:cs="仿宋"/>
          <w:highlight w:val="none"/>
          <w:lang w:bidi="ar"/>
        </w:rPr>
        <w:t>本合同中的有关词语含义与本合同第二部分《词语定义、适用范围和法规》中赋予它们的定义相同。</w:t>
      </w:r>
    </w:p>
    <w:p>
      <w:pPr>
        <w:ind w:firstLine="480"/>
        <w:rPr>
          <w:rFonts w:ascii="宋体" w:hAnsi="宋体" w:cs="仿宋"/>
          <w:highlight w:val="none"/>
        </w:rPr>
      </w:pPr>
      <w:bookmarkStart w:id="219" w:name="_Toc440"/>
      <w:r>
        <w:rPr>
          <w:rFonts w:hint="eastAsia" w:ascii="宋体" w:hAnsi="宋体" w:cs="仿宋"/>
          <w:highlight w:val="none"/>
          <w:lang w:bidi="ar"/>
        </w:rPr>
        <w:t>二、下列文件均为本合同的组成部分；下列各项合同文件包括合同当事人就该项合同文件所做出的补充和修改，属于同一类内容的文件，应以最新签署的为准。</w:t>
      </w:r>
      <w:bookmarkEnd w:id="219"/>
    </w:p>
    <w:p>
      <w:pPr>
        <w:ind w:firstLine="480"/>
        <w:rPr>
          <w:rFonts w:ascii="宋体" w:hAnsi="宋体" w:cs="仿宋"/>
          <w:highlight w:val="none"/>
        </w:rPr>
      </w:pPr>
      <w:r>
        <w:rPr>
          <w:rFonts w:hint="eastAsia" w:ascii="宋体" w:hAnsi="宋体" w:cs="仿宋"/>
          <w:highlight w:val="none"/>
          <w:lang w:bidi="ar"/>
        </w:rPr>
        <w:t>1、招标文件</w:t>
      </w:r>
    </w:p>
    <w:p>
      <w:pPr>
        <w:ind w:firstLine="480"/>
        <w:rPr>
          <w:rFonts w:ascii="宋体" w:hAnsi="宋体" w:cs="仿宋"/>
          <w:highlight w:val="none"/>
        </w:rPr>
      </w:pPr>
      <w:r>
        <w:rPr>
          <w:rFonts w:hint="eastAsia" w:ascii="宋体" w:hAnsi="宋体" w:cs="仿宋"/>
          <w:highlight w:val="none"/>
          <w:lang w:bidi="ar"/>
        </w:rPr>
        <w:t>2、投标文件</w:t>
      </w:r>
    </w:p>
    <w:p>
      <w:pPr>
        <w:ind w:firstLine="480"/>
        <w:rPr>
          <w:rFonts w:ascii="宋体" w:hAnsi="宋体" w:cs="仿宋"/>
          <w:highlight w:val="none"/>
        </w:rPr>
      </w:pPr>
      <w:r>
        <w:rPr>
          <w:rFonts w:hint="eastAsia" w:ascii="宋体" w:hAnsi="宋体" w:cs="仿宋"/>
          <w:highlight w:val="none"/>
          <w:lang w:bidi="ar"/>
        </w:rPr>
        <w:t>3、合同文件</w:t>
      </w:r>
    </w:p>
    <w:p>
      <w:pPr>
        <w:ind w:firstLine="480"/>
        <w:rPr>
          <w:rFonts w:ascii="宋体" w:hAnsi="宋体" w:cs="仿宋"/>
          <w:highlight w:val="none"/>
        </w:rPr>
      </w:pPr>
      <w:r>
        <w:rPr>
          <w:rFonts w:hint="eastAsia" w:ascii="宋体" w:hAnsi="宋体" w:cs="仿宋"/>
          <w:highlight w:val="none"/>
          <w:lang w:bidi="ar"/>
        </w:rPr>
        <w:t>4、施工图及相关设计文件</w:t>
      </w:r>
    </w:p>
    <w:p>
      <w:pPr>
        <w:ind w:firstLine="480"/>
        <w:rPr>
          <w:rFonts w:ascii="宋体" w:hAnsi="宋体" w:cs="仿宋"/>
          <w:highlight w:val="none"/>
        </w:rPr>
      </w:pPr>
      <w:r>
        <w:rPr>
          <w:rFonts w:hint="eastAsia" w:ascii="宋体" w:hAnsi="宋体" w:cs="仿宋"/>
          <w:highlight w:val="none"/>
          <w:lang w:bidi="ar"/>
        </w:rPr>
        <w:t>5、在实施过程中双方共同签署的补充与修正文件</w:t>
      </w:r>
    </w:p>
    <w:p>
      <w:pPr>
        <w:ind w:firstLine="480"/>
        <w:rPr>
          <w:rFonts w:ascii="宋体" w:hAnsi="宋体" w:cs="仿宋"/>
          <w:highlight w:val="none"/>
        </w:rPr>
      </w:pPr>
      <w:bookmarkStart w:id="220" w:name="_Toc11435"/>
      <w:r>
        <w:rPr>
          <w:rFonts w:hint="eastAsia" w:ascii="宋体" w:hAnsi="宋体" w:cs="仿宋"/>
          <w:highlight w:val="none"/>
          <w:lang w:bidi="ar"/>
        </w:rPr>
        <w:t>三、监理人向委托人承诺，按照本合同的规定，承担本合同约定范围内的监理业务。</w:t>
      </w:r>
      <w:bookmarkEnd w:id="220"/>
    </w:p>
    <w:p>
      <w:pPr>
        <w:ind w:firstLine="480"/>
        <w:rPr>
          <w:rFonts w:ascii="宋体" w:hAnsi="宋体" w:cs="仿宋"/>
          <w:highlight w:val="none"/>
          <w:lang w:bidi="ar"/>
        </w:rPr>
      </w:pPr>
      <w:bookmarkStart w:id="221" w:name="_Toc12587"/>
      <w:r>
        <w:rPr>
          <w:rFonts w:hint="eastAsia" w:ascii="宋体" w:hAnsi="宋体" w:cs="仿宋"/>
          <w:highlight w:val="none"/>
          <w:lang w:bidi="ar"/>
        </w:rPr>
        <w:t>四、委托人向监理人承诺按照本合同注明的期限、方式、币种，向监理人支付报酬。</w:t>
      </w:r>
      <w:bookmarkEnd w:id="221"/>
    </w:p>
    <w:p>
      <w:pPr>
        <w:ind w:firstLine="480"/>
        <w:rPr>
          <w:rFonts w:hint="eastAsia" w:ascii="宋体" w:hAnsi="宋体" w:eastAsia="宋体" w:cs="仿宋"/>
          <w:highlight w:val="none"/>
          <w:u w:val="single"/>
          <w:lang w:eastAsia="zh-CN"/>
        </w:rPr>
      </w:pPr>
      <w:bookmarkStart w:id="222" w:name="_Toc18257"/>
      <w:r>
        <w:rPr>
          <w:rFonts w:hint="eastAsia" w:ascii="宋体" w:hAnsi="宋体" w:cs="仿宋"/>
          <w:highlight w:val="none"/>
          <w:lang w:bidi="ar"/>
        </w:rPr>
        <w:t>五、监理人提供监理服务的时间为：</w:t>
      </w:r>
      <w:bookmarkEnd w:id="222"/>
      <w:r>
        <w:rPr>
          <w:rFonts w:hint="eastAsia" w:ascii="宋体" w:hAnsi="宋体" w:cs="仿宋"/>
          <w:highlight w:val="none"/>
          <w:u w:val="single"/>
          <w:lang w:val="en-US" w:eastAsia="zh-CN" w:bidi="ar"/>
        </w:rPr>
        <w:t xml:space="preserve"> </w:t>
      </w:r>
    </w:p>
    <w:p>
      <w:pPr>
        <w:ind w:firstLine="480"/>
        <w:rPr>
          <w:rFonts w:ascii="宋体" w:hAnsi="宋体" w:cs="仿宋"/>
          <w:highlight w:val="none"/>
        </w:rPr>
      </w:pPr>
      <w:bookmarkStart w:id="223" w:name="_Toc16096"/>
      <w:r>
        <w:rPr>
          <w:rFonts w:hint="eastAsia" w:ascii="宋体" w:hAnsi="宋体" w:cs="仿宋"/>
          <w:highlight w:val="none"/>
        </w:rPr>
        <w:t>六、履约保证金的金额：履约保证金在中标通知书发布之日后、合同签订前向发包人缴纳，由发包人负责监督。履约保证金退还方式：履约保证金在本工程工程量完成</w:t>
      </w:r>
      <w:r>
        <w:rPr>
          <w:rFonts w:hint="eastAsia" w:cs="仿宋"/>
          <w:highlight w:val="none"/>
          <w:lang w:val="en-US" w:eastAsia="zh-CN"/>
        </w:rPr>
        <w:t>80</w:t>
      </w:r>
      <w:r>
        <w:rPr>
          <w:rFonts w:hint="eastAsia" w:ascii="宋体" w:hAnsi="宋体" w:cs="仿宋"/>
          <w:highlight w:val="none"/>
        </w:rPr>
        <w:t>%后无息退还。</w:t>
      </w:r>
      <w:bookmarkEnd w:id="223"/>
    </w:p>
    <w:p>
      <w:pPr>
        <w:ind w:firstLine="480"/>
        <w:rPr>
          <w:rFonts w:ascii="宋体" w:hAnsi="宋体" w:cs="仿宋"/>
          <w:highlight w:val="none"/>
        </w:rPr>
      </w:pPr>
      <w:r>
        <w:rPr>
          <w:rFonts w:hint="eastAsia" w:ascii="宋体" w:hAnsi="宋体" w:cs="仿宋"/>
          <w:highlight w:val="none"/>
        </w:rPr>
        <w:t>本工程监理中标价为项目工程结算价的</w:t>
      </w:r>
      <w:r>
        <w:rPr>
          <w:rFonts w:hint="eastAsia"/>
          <w:highlight w:val="none"/>
          <w:u w:val="single"/>
          <w:lang w:val="en-US" w:eastAsia="zh-CN"/>
        </w:rPr>
        <w:t xml:space="preserve">       </w:t>
      </w:r>
      <w:r>
        <w:rPr>
          <w:rFonts w:hint="eastAsia" w:ascii="宋体" w:hAnsi="宋体" w:cs="仿宋"/>
          <w:highlight w:val="none"/>
        </w:rPr>
        <w:t>%（以最终审计价款为准），监理费用预算约人民币</w:t>
      </w:r>
      <w:r>
        <w:rPr>
          <w:rFonts w:hint="eastAsia" w:ascii="宋体" w:hAnsi="宋体" w:cs="仿宋"/>
          <w:highlight w:val="none"/>
          <w:u w:val="single"/>
        </w:rPr>
        <w:t>¥</w:t>
      </w:r>
      <w:r>
        <w:rPr>
          <w:rFonts w:ascii="宋体" w:hAnsi="宋体" w:cs="仿宋"/>
          <w:highlight w:val="none"/>
          <w:u w:val="single"/>
        </w:rPr>
        <w:t>XXXX</w:t>
      </w:r>
      <w:r>
        <w:rPr>
          <w:rFonts w:hint="eastAsia" w:ascii="宋体" w:hAnsi="宋体" w:cs="仿宋"/>
          <w:highlight w:val="none"/>
          <w:u w:val="single"/>
        </w:rPr>
        <w:t>元(大写：X</w:t>
      </w:r>
      <w:r>
        <w:rPr>
          <w:rFonts w:ascii="宋体" w:hAnsi="宋体" w:cs="仿宋"/>
          <w:highlight w:val="none"/>
          <w:u w:val="single"/>
        </w:rPr>
        <w:t>XXXXX</w:t>
      </w:r>
      <w:r>
        <w:rPr>
          <w:rFonts w:hint="eastAsia" w:ascii="宋体" w:hAnsi="宋体" w:cs="仿宋"/>
          <w:highlight w:val="none"/>
          <w:u w:val="single"/>
        </w:rPr>
        <w:t>)</w:t>
      </w:r>
      <w:r>
        <w:rPr>
          <w:rFonts w:hint="eastAsia" w:ascii="宋体" w:hAnsi="宋体" w:cs="仿宋"/>
          <w:highlight w:val="none"/>
        </w:rPr>
        <w:t>，其中不含税合同价款为</w:t>
      </w:r>
      <w:r>
        <w:rPr>
          <w:rFonts w:hint="eastAsia" w:ascii="宋体" w:hAnsi="宋体" w:cs="仿宋"/>
          <w:highlight w:val="none"/>
          <w:u w:val="single"/>
        </w:rPr>
        <w:t>¥</w:t>
      </w:r>
      <w:r>
        <w:rPr>
          <w:rFonts w:ascii="宋体" w:hAnsi="宋体" w:cs="仿宋"/>
          <w:highlight w:val="none"/>
          <w:u w:val="single"/>
        </w:rPr>
        <w:t>XXXX</w:t>
      </w:r>
      <w:r>
        <w:rPr>
          <w:rFonts w:hint="eastAsia" w:ascii="宋体" w:hAnsi="宋体" w:cs="仿宋"/>
          <w:highlight w:val="none"/>
          <w:u w:val="single"/>
        </w:rPr>
        <w:t>元，</w:t>
      </w:r>
      <w:r>
        <w:rPr>
          <w:rFonts w:hint="eastAsia" w:ascii="宋体" w:hAnsi="宋体" w:cs="仿宋"/>
          <w:highlight w:val="none"/>
        </w:rPr>
        <w:t>大写人民币：</w:t>
      </w:r>
      <w:r>
        <w:rPr>
          <w:rFonts w:hint="eastAsia" w:ascii="宋体" w:hAnsi="宋体" w:cs="仿宋"/>
          <w:highlight w:val="none"/>
          <w:u w:val="single"/>
        </w:rPr>
        <w:t>X</w:t>
      </w:r>
      <w:r>
        <w:rPr>
          <w:rFonts w:ascii="宋体" w:hAnsi="宋体" w:cs="仿宋"/>
          <w:highlight w:val="none"/>
          <w:u w:val="single"/>
        </w:rPr>
        <w:t>XXXXX</w:t>
      </w:r>
      <w:r>
        <w:rPr>
          <w:rFonts w:hint="eastAsia" w:ascii="宋体" w:hAnsi="宋体" w:cs="仿宋"/>
          <w:highlight w:val="none"/>
        </w:rPr>
        <w:t>，税金（</w:t>
      </w:r>
      <w:r>
        <w:rPr>
          <w:rFonts w:hint="eastAsia" w:ascii="宋体" w:hAnsi="宋体" w:cs="仿宋"/>
          <w:color w:val="FF0000"/>
          <w:highlight w:val="none"/>
          <w:u w:val="single" w:color="000000" w:themeColor="text1"/>
          <w:lang w:val="en-US" w:eastAsia="zh-CN"/>
        </w:rPr>
        <w:t xml:space="preserve">     </w:t>
      </w:r>
      <w:r>
        <w:rPr>
          <w:rFonts w:hint="eastAsia" w:ascii="宋体" w:hAnsi="宋体" w:cs="仿宋"/>
          <w:highlight w:val="none"/>
          <w:u w:val="none"/>
        </w:rPr>
        <w:t>）为</w:t>
      </w:r>
      <w:r>
        <w:rPr>
          <w:rFonts w:ascii="宋体" w:hAnsi="宋体" w:cs="仿宋"/>
          <w:highlight w:val="none"/>
          <w:u w:val="single"/>
        </w:rPr>
        <w:t>XXXX</w:t>
      </w:r>
      <w:r>
        <w:rPr>
          <w:rFonts w:hint="eastAsia" w:ascii="宋体" w:hAnsi="宋体" w:cs="仿宋"/>
          <w:highlight w:val="none"/>
        </w:rPr>
        <w:t>元，大写人民币：</w:t>
      </w:r>
      <w:r>
        <w:rPr>
          <w:rFonts w:hint="eastAsia" w:ascii="宋体" w:hAnsi="宋体" w:cs="仿宋"/>
          <w:highlight w:val="none"/>
          <w:u w:val="single"/>
        </w:rPr>
        <w:t>X</w:t>
      </w:r>
      <w:r>
        <w:rPr>
          <w:rFonts w:ascii="宋体" w:hAnsi="宋体" w:cs="仿宋"/>
          <w:highlight w:val="none"/>
          <w:u w:val="single"/>
        </w:rPr>
        <w:t>XXXXXXX</w:t>
      </w:r>
      <w:r>
        <w:rPr>
          <w:rFonts w:hint="eastAsia" w:ascii="宋体" w:hAnsi="宋体" w:cs="仿宋"/>
          <w:highlight w:val="none"/>
        </w:rPr>
        <w:t>；履约保证金为¥</w:t>
      </w:r>
      <w:r>
        <w:rPr>
          <w:rFonts w:ascii="宋体" w:hAnsi="宋体" w:cs="仿宋"/>
          <w:highlight w:val="none"/>
          <w:u w:val="single"/>
        </w:rPr>
        <w:t>XXXXXX</w:t>
      </w:r>
      <w:r>
        <w:rPr>
          <w:rFonts w:hint="eastAsia" w:ascii="宋体" w:hAnsi="宋体" w:cs="仿宋"/>
          <w:highlight w:val="none"/>
        </w:rPr>
        <w:t>元(大写：人民币X</w:t>
      </w:r>
      <w:r>
        <w:rPr>
          <w:rFonts w:ascii="宋体" w:hAnsi="宋体" w:cs="仿宋"/>
          <w:highlight w:val="none"/>
        </w:rPr>
        <w:t>XXX</w:t>
      </w:r>
      <w:r>
        <w:rPr>
          <w:rFonts w:hint="eastAsia" w:ascii="宋体" w:hAnsi="宋体" w:cs="仿宋"/>
          <w:highlight w:val="none"/>
        </w:rPr>
        <w:t>)，自双方签字盖章且监理人缴纳的履约保证金到达委托人账户后合同生效；双方履行完成后，合同终止。本合同一式</w:t>
      </w:r>
      <w:r>
        <w:rPr>
          <w:rFonts w:hint="eastAsia" w:ascii="宋体" w:hAnsi="宋体" w:cs="仿宋"/>
          <w:highlight w:val="none"/>
          <w:u w:val="single" w:color="000000"/>
        </w:rPr>
        <w:t xml:space="preserve"> 柒 </w:t>
      </w:r>
      <w:r>
        <w:rPr>
          <w:rFonts w:hint="eastAsia" w:ascii="宋体" w:hAnsi="宋体" w:cs="仿宋"/>
          <w:highlight w:val="none"/>
        </w:rPr>
        <w:t>份，具有同等法律效力，委托人执</w:t>
      </w:r>
      <w:r>
        <w:rPr>
          <w:rFonts w:hint="eastAsia" w:ascii="宋体" w:hAnsi="宋体" w:cs="仿宋"/>
          <w:highlight w:val="none"/>
          <w:u w:val="single"/>
        </w:rPr>
        <w:t xml:space="preserve"> 肆 </w:t>
      </w:r>
      <w:r>
        <w:rPr>
          <w:rFonts w:hint="eastAsia" w:ascii="宋体" w:hAnsi="宋体" w:cs="仿宋"/>
          <w:highlight w:val="none"/>
        </w:rPr>
        <w:t>份，监理人执</w:t>
      </w:r>
      <w:r>
        <w:rPr>
          <w:rFonts w:hint="eastAsia" w:ascii="宋体" w:hAnsi="宋体" w:cs="仿宋"/>
          <w:highlight w:val="none"/>
          <w:u w:val="single" w:color="000000"/>
        </w:rPr>
        <w:t xml:space="preserve"> 叁 </w:t>
      </w:r>
      <w:r>
        <w:rPr>
          <w:rFonts w:hint="eastAsia" w:ascii="宋体" w:hAnsi="宋体" w:cs="仿宋"/>
          <w:highlight w:val="none"/>
        </w:rPr>
        <w:t>份。</w:t>
      </w:r>
    </w:p>
    <w:p>
      <w:pPr>
        <w:ind w:firstLine="480"/>
        <w:rPr>
          <w:rFonts w:ascii="宋体" w:hAnsi="宋体" w:cs="仿宋"/>
          <w:highlight w:val="none"/>
        </w:rPr>
      </w:pPr>
      <w:bookmarkStart w:id="224" w:name="_Hlk55484459"/>
      <w:bookmarkEnd w:id="224"/>
      <w:bookmarkStart w:id="225" w:name="_Toc31580"/>
      <w:r>
        <w:rPr>
          <w:rFonts w:hint="eastAsia" w:ascii="宋体" w:hAnsi="宋体" w:cs="仿宋"/>
          <w:highlight w:val="none"/>
          <w:lang w:bidi="ar"/>
        </w:rPr>
        <w:t>七、本合同附件为本合同不可分割的组成部分，具有与本合同同等法律效力，本合同附件如下：</w:t>
      </w:r>
      <w:bookmarkEnd w:id="225"/>
    </w:p>
    <w:p>
      <w:pPr>
        <w:autoSpaceDE w:val="0"/>
        <w:autoSpaceDN w:val="0"/>
        <w:ind w:left="495" w:leftChars="200" w:hanging="75" w:hangingChars="36"/>
        <w:rPr>
          <w:rFonts w:ascii="宋体" w:hAnsi="宋体" w:cs="仿宋"/>
          <w:highlight w:val="none"/>
        </w:rPr>
      </w:pPr>
      <w:r>
        <w:rPr>
          <w:rFonts w:hint="eastAsia" w:ascii="宋体" w:hAnsi="宋体" w:cs="仿宋"/>
          <w:highlight w:val="none"/>
          <w:lang w:bidi="ar"/>
        </w:rPr>
        <w:t>附件一：《本项目监理机构组织机构清单》；</w:t>
      </w:r>
    </w:p>
    <w:p>
      <w:pPr>
        <w:ind w:firstLine="480"/>
        <w:rPr>
          <w:rFonts w:ascii="宋体" w:hAnsi="宋体" w:cs="仿宋"/>
          <w:highlight w:val="none"/>
        </w:rPr>
      </w:pPr>
      <w:r>
        <w:rPr>
          <w:rFonts w:hint="eastAsia" w:ascii="宋体" w:hAnsi="宋体" w:cs="仿宋"/>
          <w:highlight w:val="none"/>
          <w:lang w:bidi="ar"/>
        </w:rPr>
        <w:t>附件二：廉洁协议；</w:t>
      </w:r>
    </w:p>
    <w:p>
      <w:pPr>
        <w:ind w:firstLine="480"/>
        <w:rPr>
          <w:rFonts w:ascii="宋体" w:hAnsi="宋体" w:cs="仿宋"/>
          <w:highlight w:val="none"/>
          <w:lang w:bidi="ar"/>
        </w:rPr>
      </w:pPr>
      <w:r>
        <w:rPr>
          <w:rFonts w:hint="eastAsia" w:ascii="宋体" w:hAnsi="宋体" w:cs="仿宋"/>
          <w:highlight w:val="none"/>
          <w:lang w:bidi="ar"/>
        </w:rPr>
        <w:t>附件三：X</w:t>
      </w:r>
      <w:r>
        <w:rPr>
          <w:rFonts w:ascii="宋体" w:hAnsi="宋体" w:cs="仿宋"/>
          <w:highlight w:val="none"/>
          <w:lang w:bidi="ar"/>
        </w:rPr>
        <w:t>XXXX</w:t>
      </w:r>
      <w:r>
        <w:rPr>
          <w:rFonts w:hint="eastAsia" w:ascii="宋体" w:hAnsi="宋体" w:cs="仿宋"/>
          <w:highlight w:val="none"/>
          <w:lang w:bidi="ar"/>
        </w:rPr>
        <w:t>有限公司监理工作管理制度实施办法及项目监理部考核办法。</w:t>
      </w:r>
    </w:p>
    <w:p>
      <w:pPr>
        <w:rPr>
          <w:rFonts w:ascii="宋体" w:hAnsi="宋体" w:cs="仿宋"/>
          <w:highlight w:val="none"/>
          <w:lang w:bidi="ar"/>
        </w:rPr>
      </w:pPr>
    </w:p>
    <w:p>
      <w:pPr>
        <w:pStyle w:val="16"/>
        <w:rPr>
          <w:highlight w:val="none"/>
        </w:rPr>
      </w:pPr>
    </w:p>
    <w:tbl>
      <w:tblPr>
        <w:tblStyle w:val="35"/>
        <w:tblW w:w="9359" w:type="dxa"/>
        <w:jc w:val="center"/>
        <w:tblLayout w:type="fixed"/>
        <w:tblCellMar>
          <w:top w:w="0" w:type="dxa"/>
          <w:left w:w="108" w:type="dxa"/>
          <w:bottom w:w="0" w:type="dxa"/>
          <w:right w:w="108" w:type="dxa"/>
        </w:tblCellMar>
      </w:tblPr>
      <w:tblGrid>
        <w:gridCol w:w="4576"/>
        <w:gridCol w:w="240"/>
        <w:gridCol w:w="4543"/>
      </w:tblGrid>
      <w:tr>
        <w:tblPrEx>
          <w:tblCellMar>
            <w:top w:w="0" w:type="dxa"/>
            <w:left w:w="108" w:type="dxa"/>
            <w:bottom w:w="0" w:type="dxa"/>
            <w:right w:w="108" w:type="dxa"/>
          </w:tblCellMar>
        </w:tblPrEx>
        <w:trPr>
          <w:trHeight w:val="733" w:hRule="atLeast"/>
          <w:jc w:val="center"/>
        </w:trPr>
        <w:tc>
          <w:tcPr>
            <w:tcW w:w="4576" w:type="dxa"/>
            <w:tcBorders>
              <w:top w:val="nil"/>
              <w:left w:val="nil"/>
              <w:bottom w:val="nil"/>
              <w:right w:val="nil"/>
            </w:tcBorders>
            <w:noWrap w:val="0"/>
            <w:vAlign w:val="top"/>
          </w:tcPr>
          <w:p>
            <w:pPr>
              <w:ind w:firstLine="480"/>
              <w:rPr>
                <w:rFonts w:hAnsi="宋体" w:cs="仿宋"/>
                <w:highlight w:val="none"/>
                <w:lang w:bidi="ar"/>
              </w:rPr>
            </w:pPr>
            <w:r>
              <w:rPr>
                <w:rFonts w:hint="eastAsia" w:ascii="宋体" w:hAnsi="宋体" w:cs="仿宋"/>
                <w:highlight w:val="none"/>
                <w:lang w:bidi="ar"/>
              </w:rPr>
              <w:t>委托人（盖章）：</w:t>
            </w: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ind w:firstLine="480"/>
              <w:rPr>
                <w:rFonts w:ascii="宋体" w:hAnsi="宋体" w:cs="仿宋"/>
                <w:kern w:val="0"/>
                <w:highlight w:val="none"/>
                <w:lang w:bidi="ar"/>
              </w:rPr>
            </w:pPr>
            <w:r>
              <w:rPr>
                <w:rFonts w:hint="eastAsia" w:ascii="宋体" w:hAnsi="宋体" w:cs="仿宋"/>
                <w:kern w:val="0"/>
                <w:highlight w:val="none"/>
                <w:lang w:bidi="ar"/>
              </w:rPr>
              <w:t>监理人：</w:t>
            </w:r>
          </w:p>
        </w:tc>
      </w:tr>
      <w:tr>
        <w:tblPrEx>
          <w:tblCellMar>
            <w:top w:w="0" w:type="dxa"/>
            <w:left w:w="108" w:type="dxa"/>
            <w:bottom w:w="0" w:type="dxa"/>
            <w:right w:w="108" w:type="dxa"/>
          </w:tblCellMar>
        </w:tblPrEx>
        <w:trPr>
          <w:trHeight w:val="558" w:hRule="atLeast"/>
          <w:jc w:val="center"/>
        </w:trPr>
        <w:tc>
          <w:tcPr>
            <w:tcW w:w="4576" w:type="dxa"/>
            <w:tcBorders>
              <w:top w:val="nil"/>
              <w:left w:val="nil"/>
              <w:bottom w:val="nil"/>
              <w:right w:val="nil"/>
            </w:tcBorders>
            <w:noWrap w:val="0"/>
            <w:vAlign w:val="top"/>
          </w:tcPr>
          <w:p>
            <w:pPr>
              <w:ind w:firstLine="480"/>
              <w:rPr>
                <w:rFonts w:ascii="宋体" w:hAnsi="宋体" w:cs="仿宋"/>
                <w:highlight w:val="none"/>
              </w:rPr>
            </w:pPr>
            <w:r>
              <w:rPr>
                <w:rFonts w:hint="eastAsia" w:ascii="宋体" w:hAnsi="宋体" w:cs="仿宋"/>
                <w:highlight w:val="none"/>
                <w:lang w:bidi="ar"/>
              </w:rPr>
              <w:t>法定代表人或委托代理人（签字或盖章）：</w:t>
            </w: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ind w:firstLine="480"/>
              <w:rPr>
                <w:rFonts w:ascii="宋体" w:hAnsi="宋体" w:cs="仿宋"/>
                <w:kern w:val="0"/>
                <w:highlight w:val="none"/>
                <w:lang w:bidi="ar"/>
              </w:rPr>
            </w:pPr>
            <w:r>
              <w:rPr>
                <w:rFonts w:hint="eastAsia" w:ascii="宋体" w:hAnsi="宋体" w:cs="仿宋"/>
                <w:kern w:val="0"/>
                <w:highlight w:val="none"/>
                <w:lang w:bidi="ar"/>
              </w:rPr>
              <w:t xml:space="preserve">法定代表人或委托代理人（签字或盖章）： </w:t>
            </w:r>
          </w:p>
        </w:tc>
      </w:tr>
      <w:tr>
        <w:tblPrEx>
          <w:tblCellMar>
            <w:top w:w="0" w:type="dxa"/>
            <w:left w:w="108" w:type="dxa"/>
            <w:bottom w:w="0" w:type="dxa"/>
            <w:right w:w="108" w:type="dxa"/>
          </w:tblCellMar>
        </w:tblPrEx>
        <w:trPr>
          <w:trHeight w:val="558" w:hRule="atLeast"/>
          <w:jc w:val="center"/>
        </w:trPr>
        <w:tc>
          <w:tcPr>
            <w:tcW w:w="4576" w:type="dxa"/>
            <w:tcBorders>
              <w:top w:val="nil"/>
              <w:left w:val="nil"/>
              <w:bottom w:val="nil"/>
              <w:right w:val="nil"/>
            </w:tcBorders>
            <w:noWrap w:val="0"/>
            <w:vAlign w:val="top"/>
          </w:tcPr>
          <w:p>
            <w:pPr>
              <w:ind w:firstLine="480"/>
              <w:rPr>
                <w:rFonts w:ascii="宋体" w:hAnsi="宋体" w:cs="仿宋"/>
                <w:highlight w:val="none"/>
              </w:rPr>
            </w:pP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ind w:firstLine="480"/>
              <w:rPr>
                <w:rFonts w:ascii="宋体" w:hAnsi="宋体" w:cs="仿宋"/>
                <w:kern w:val="0"/>
                <w:highlight w:val="none"/>
                <w:lang w:bidi="ar"/>
              </w:rPr>
            </w:pPr>
          </w:p>
        </w:tc>
      </w:tr>
      <w:tr>
        <w:tblPrEx>
          <w:tblCellMar>
            <w:top w:w="0" w:type="dxa"/>
            <w:left w:w="108" w:type="dxa"/>
            <w:bottom w:w="0" w:type="dxa"/>
            <w:right w:w="108" w:type="dxa"/>
          </w:tblCellMar>
        </w:tblPrEx>
        <w:trPr>
          <w:trHeight w:val="558" w:hRule="atLeast"/>
          <w:jc w:val="center"/>
        </w:trPr>
        <w:tc>
          <w:tcPr>
            <w:tcW w:w="4576" w:type="dxa"/>
            <w:tcBorders>
              <w:top w:val="nil"/>
              <w:left w:val="nil"/>
              <w:bottom w:val="nil"/>
              <w:right w:val="nil"/>
            </w:tcBorders>
            <w:noWrap w:val="0"/>
            <w:vAlign w:val="top"/>
          </w:tcPr>
          <w:p>
            <w:pPr>
              <w:spacing w:line="570" w:lineRule="exact"/>
              <w:ind w:firstLine="560"/>
              <w:rPr>
                <w:rFonts w:ascii="宋体" w:hAnsi="宋体" w:cs="仿宋"/>
                <w:highlight w:val="none"/>
                <w:lang w:bidi="ar"/>
              </w:rPr>
            </w:pPr>
            <w:r>
              <w:rPr>
                <w:rFonts w:hint="eastAsia" w:ascii="宋体" w:hAnsi="宋体" w:cs="仿宋"/>
                <w:highlight w:val="none"/>
                <w:lang w:bidi="ar"/>
              </w:rPr>
              <w:t>纳税人识别号：</w:t>
            </w:r>
          </w:p>
          <w:p>
            <w:pPr>
              <w:spacing w:line="570" w:lineRule="exact"/>
              <w:ind w:firstLine="560"/>
              <w:rPr>
                <w:rFonts w:ascii="宋体" w:hAnsi="宋体" w:cs="仿宋"/>
                <w:highlight w:val="none"/>
                <w:lang w:bidi="ar"/>
              </w:rPr>
            </w:pP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spacing w:line="570" w:lineRule="exact"/>
              <w:ind w:firstLine="560"/>
              <w:rPr>
                <w:color w:val="000000"/>
                <w:highlight w:val="none"/>
                <w:lang w:bidi="ar"/>
              </w:rPr>
            </w:pPr>
            <w:r>
              <w:rPr>
                <w:rFonts w:hint="eastAsia"/>
                <w:highlight w:val="none"/>
              </w:rPr>
              <w:t>纳税人识别号</w:t>
            </w:r>
            <w:r>
              <w:rPr>
                <w:rFonts w:hint="eastAsia"/>
                <w:color w:val="000000"/>
                <w:highlight w:val="none"/>
                <w:lang w:bidi="ar"/>
              </w:rPr>
              <w:t>：</w:t>
            </w:r>
          </w:p>
          <w:p>
            <w:pPr>
              <w:spacing w:line="570" w:lineRule="exact"/>
              <w:ind w:firstLine="560"/>
              <w:rPr>
                <w:color w:val="000000"/>
                <w:highlight w:val="none"/>
                <w:lang w:bidi="ar"/>
              </w:rPr>
            </w:pPr>
          </w:p>
        </w:tc>
      </w:tr>
      <w:tr>
        <w:tblPrEx>
          <w:tblCellMar>
            <w:top w:w="0" w:type="dxa"/>
            <w:left w:w="108" w:type="dxa"/>
            <w:bottom w:w="0" w:type="dxa"/>
            <w:right w:w="108" w:type="dxa"/>
          </w:tblCellMar>
        </w:tblPrEx>
        <w:trPr>
          <w:trHeight w:val="558" w:hRule="atLeast"/>
          <w:jc w:val="center"/>
        </w:trPr>
        <w:tc>
          <w:tcPr>
            <w:tcW w:w="4576" w:type="dxa"/>
            <w:tcBorders>
              <w:top w:val="nil"/>
              <w:left w:val="nil"/>
              <w:bottom w:val="nil"/>
              <w:right w:val="nil"/>
            </w:tcBorders>
            <w:noWrap w:val="0"/>
            <w:vAlign w:val="top"/>
          </w:tcPr>
          <w:p>
            <w:pPr>
              <w:ind w:firstLine="480"/>
              <w:rPr>
                <w:rFonts w:ascii="宋体" w:hAnsi="宋体" w:cs="仿宋"/>
                <w:highlight w:val="none"/>
              </w:rPr>
            </w:pPr>
            <w:r>
              <w:rPr>
                <w:rFonts w:hint="eastAsia" w:ascii="宋体" w:hAnsi="宋体" w:cs="仿宋"/>
                <w:highlight w:val="none"/>
                <w:lang w:bidi="ar"/>
              </w:rPr>
              <w:t>地址：</w:t>
            </w:r>
          </w:p>
        </w:tc>
        <w:tc>
          <w:tcPr>
            <w:tcW w:w="240" w:type="dxa"/>
            <w:tcBorders>
              <w:top w:val="nil"/>
              <w:left w:val="nil"/>
              <w:bottom w:val="nil"/>
              <w:right w:val="nil"/>
            </w:tcBorders>
            <w:noWrap w:val="0"/>
            <w:vAlign w:val="top"/>
          </w:tcPr>
          <w:p>
            <w:pPr>
              <w:ind w:firstLine="480"/>
              <w:rPr>
                <w:rFonts w:ascii="宋体" w:hAnsi="宋体" w:cs="仿宋"/>
                <w:highlight w:val="none"/>
                <w:lang w:bidi="ar"/>
              </w:rPr>
            </w:pPr>
          </w:p>
        </w:tc>
        <w:tc>
          <w:tcPr>
            <w:tcW w:w="4543" w:type="dxa"/>
            <w:tcBorders>
              <w:top w:val="nil"/>
              <w:left w:val="nil"/>
              <w:bottom w:val="nil"/>
              <w:right w:val="nil"/>
            </w:tcBorders>
            <w:noWrap w:val="0"/>
            <w:vAlign w:val="top"/>
          </w:tcPr>
          <w:p>
            <w:pPr>
              <w:ind w:firstLine="480"/>
              <w:rPr>
                <w:rFonts w:ascii="宋体" w:hAnsi="宋体" w:cs="仿宋"/>
                <w:highlight w:val="none"/>
                <w:lang w:bidi="ar"/>
              </w:rPr>
            </w:pPr>
            <w:r>
              <w:rPr>
                <w:rFonts w:hint="eastAsia" w:ascii="宋体" w:hAnsi="宋体" w:cs="仿宋"/>
                <w:highlight w:val="none"/>
                <w:lang w:bidi="ar"/>
              </w:rPr>
              <w:t>地址</w:t>
            </w:r>
            <w:r>
              <w:rPr>
                <w:rFonts w:hint="eastAsia" w:ascii="宋体" w:hAnsi="宋体" w:cs="仿宋"/>
                <w:kern w:val="0"/>
                <w:highlight w:val="none"/>
                <w:lang w:bidi="ar"/>
              </w:rPr>
              <w:t>：</w:t>
            </w:r>
          </w:p>
        </w:tc>
      </w:tr>
      <w:tr>
        <w:tblPrEx>
          <w:tblCellMar>
            <w:top w:w="0" w:type="dxa"/>
            <w:left w:w="108" w:type="dxa"/>
            <w:bottom w:w="0" w:type="dxa"/>
            <w:right w:w="108" w:type="dxa"/>
          </w:tblCellMar>
        </w:tblPrEx>
        <w:trPr>
          <w:trHeight w:val="558" w:hRule="atLeast"/>
          <w:jc w:val="center"/>
        </w:trPr>
        <w:tc>
          <w:tcPr>
            <w:tcW w:w="4576" w:type="dxa"/>
            <w:tcBorders>
              <w:top w:val="nil"/>
              <w:left w:val="nil"/>
              <w:bottom w:val="nil"/>
              <w:right w:val="nil"/>
            </w:tcBorders>
            <w:noWrap w:val="0"/>
            <w:vAlign w:val="top"/>
          </w:tcPr>
          <w:p>
            <w:pPr>
              <w:ind w:firstLine="480"/>
              <w:rPr>
                <w:highlight w:val="none"/>
              </w:rPr>
            </w:pPr>
            <w:r>
              <w:rPr>
                <w:rFonts w:hint="eastAsia"/>
                <w:highlight w:val="none"/>
              </w:rPr>
              <w:t>开户银行及账号：</w:t>
            </w:r>
          </w:p>
          <w:p>
            <w:pPr>
              <w:pStyle w:val="9"/>
              <w:rPr>
                <w:highlight w:val="none"/>
              </w:rPr>
            </w:pP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ind w:firstLine="480"/>
              <w:rPr>
                <w:rFonts w:ascii="宋体" w:hAnsi="宋体" w:cs="仿宋"/>
                <w:kern w:val="0"/>
                <w:highlight w:val="none"/>
                <w:lang w:bidi="ar"/>
              </w:rPr>
            </w:pPr>
            <w:r>
              <w:rPr>
                <w:rFonts w:hint="eastAsia" w:ascii="宋体" w:hAnsi="宋体" w:cs="仿宋"/>
                <w:kern w:val="0"/>
                <w:highlight w:val="none"/>
                <w:lang w:bidi="ar"/>
              </w:rPr>
              <w:t>开户银行及账号：</w:t>
            </w:r>
          </w:p>
        </w:tc>
      </w:tr>
      <w:tr>
        <w:tblPrEx>
          <w:tblCellMar>
            <w:top w:w="0" w:type="dxa"/>
            <w:left w:w="108" w:type="dxa"/>
            <w:bottom w:w="0" w:type="dxa"/>
            <w:right w:w="108" w:type="dxa"/>
          </w:tblCellMar>
        </w:tblPrEx>
        <w:trPr>
          <w:trHeight w:val="631" w:hRule="atLeast"/>
          <w:jc w:val="center"/>
        </w:trPr>
        <w:tc>
          <w:tcPr>
            <w:tcW w:w="4576" w:type="dxa"/>
            <w:tcBorders>
              <w:top w:val="nil"/>
              <w:left w:val="nil"/>
              <w:bottom w:val="nil"/>
              <w:right w:val="nil"/>
            </w:tcBorders>
            <w:noWrap w:val="0"/>
            <w:vAlign w:val="top"/>
          </w:tcPr>
          <w:p>
            <w:pPr>
              <w:ind w:firstLine="480"/>
              <w:rPr>
                <w:rFonts w:ascii="宋体" w:hAnsi="宋体" w:cs="仿宋"/>
                <w:highlight w:val="none"/>
              </w:rPr>
            </w:pPr>
            <w:r>
              <w:rPr>
                <w:rFonts w:hint="eastAsia" w:ascii="宋体" w:hAnsi="宋体" w:cs="仿宋"/>
                <w:highlight w:val="none"/>
                <w:lang w:bidi="ar"/>
              </w:rPr>
              <w:t>电   话：</w:t>
            </w:r>
          </w:p>
        </w:tc>
        <w:tc>
          <w:tcPr>
            <w:tcW w:w="240" w:type="dxa"/>
            <w:tcBorders>
              <w:top w:val="nil"/>
              <w:left w:val="nil"/>
              <w:bottom w:val="nil"/>
              <w:right w:val="nil"/>
            </w:tcBorders>
            <w:noWrap w:val="0"/>
            <w:vAlign w:val="top"/>
          </w:tcPr>
          <w:p>
            <w:pPr>
              <w:ind w:firstLine="480"/>
              <w:rPr>
                <w:rFonts w:ascii="宋体" w:hAnsi="宋体" w:cs="仿宋"/>
                <w:highlight w:val="none"/>
              </w:rPr>
            </w:pPr>
          </w:p>
        </w:tc>
        <w:tc>
          <w:tcPr>
            <w:tcW w:w="4543" w:type="dxa"/>
            <w:tcBorders>
              <w:top w:val="nil"/>
              <w:left w:val="nil"/>
              <w:bottom w:val="nil"/>
              <w:right w:val="nil"/>
            </w:tcBorders>
            <w:noWrap w:val="0"/>
            <w:vAlign w:val="top"/>
          </w:tcPr>
          <w:p>
            <w:pPr>
              <w:ind w:firstLine="480"/>
              <w:rPr>
                <w:rFonts w:ascii="宋体" w:hAnsi="宋体" w:cs="仿宋"/>
                <w:kern w:val="0"/>
                <w:highlight w:val="none"/>
                <w:lang w:bidi="ar"/>
              </w:rPr>
            </w:pPr>
            <w:r>
              <w:rPr>
                <w:rFonts w:hint="eastAsia" w:ascii="宋体" w:hAnsi="宋体" w:cs="仿宋"/>
                <w:kern w:val="0"/>
                <w:highlight w:val="none"/>
                <w:lang w:bidi="ar"/>
              </w:rPr>
              <w:t>电   话：</w:t>
            </w:r>
          </w:p>
        </w:tc>
      </w:tr>
    </w:tbl>
    <w:p>
      <w:pPr>
        <w:ind w:firstLine="480"/>
        <w:rPr>
          <w:rFonts w:ascii="宋体" w:hAnsi="宋体" w:cs="仿宋"/>
          <w:highlight w:val="none"/>
          <w:lang w:bidi="ar"/>
        </w:rPr>
      </w:pPr>
    </w:p>
    <w:p>
      <w:pPr>
        <w:ind w:firstLine="480"/>
        <w:rPr>
          <w:rFonts w:ascii="宋体" w:hAnsi="宋体" w:cs="仿宋"/>
          <w:highlight w:val="none"/>
          <w:lang w:bidi="ar"/>
        </w:rPr>
      </w:pPr>
    </w:p>
    <w:p>
      <w:pPr>
        <w:ind w:firstLine="480"/>
        <w:rPr>
          <w:rFonts w:ascii="宋体" w:hAnsi="宋体" w:cs="仿宋"/>
          <w:highlight w:val="none"/>
        </w:rPr>
      </w:pPr>
      <w:r>
        <w:rPr>
          <w:rFonts w:hint="eastAsia" w:ascii="宋体" w:hAnsi="宋体" w:cs="仿宋"/>
          <w:highlight w:val="none"/>
          <w:lang w:bidi="ar"/>
        </w:rPr>
        <w:t>本合同签订于</w:t>
      </w:r>
      <w:r>
        <w:rPr>
          <w:rFonts w:hint="eastAsia" w:ascii="宋体" w:hAnsi="宋体" w:cs="仿宋"/>
          <w:highlight w:val="none"/>
          <w:u w:val="single"/>
          <w:lang w:bidi="ar"/>
        </w:rPr>
        <w:t xml:space="preserve">    </w:t>
      </w:r>
      <w:r>
        <w:rPr>
          <w:rFonts w:hint="eastAsia" w:ascii="宋体" w:hAnsi="宋体" w:cs="仿宋"/>
          <w:highlight w:val="none"/>
          <w:lang w:bidi="ar"/>
        </w:rPr>
        <w:t>年</w:t>
      </w:r>
      <w:r>
        <w:rPr>
          <w:rFonts w:hint="eastAsia" w:ascii="宋体" w:hAnsi="宋体" w:cs="仿宋"/>
          <w:highlight w:val="none"/>
          <w:u w:val="single"/>
          <w:lang w:bidi="ar"/>
        </w:rPr>
        <w:t xml:space="preserve">   </w:t>
      </w:r>
      <w:r>
        <w:rPr>
          <w:rFonts w:hint="eastAsia" w:ascii="宋体" w:hAnsi="宋体" w:cs="仿宋"/>
          <w:highlight w:val="none"/>
          <w:lang w:bidi="ar"/>
        </w:rPr>
        <w:t>月</w:t>
      </w:r>
      <w:r>
        <w:rPr>
          <w:rFonts w:hint="eastAsia" w:ascii="宋体" w:hAnsi="宋体" w:cs="仿宋"/>
          <w:highlight w:val="none"/>
          <w:u w:val="single"/>
          <w:lang w:bidi="ar"/>
        </w:rPr>
        <w:t xml:space="preserve">   </w:t>
      </w:r>
      <w:r>
        <w:rPr>
          <w:rFonts w:hint="eastAsia" w:ascii="宋体" w:hAnsi="宋体" w:cs="仿宋"/>
          <w:highlight w:val="none"/>
          <w:lang w:bidi="ar"/>
        </w:rPr>
        <w:t>日</w:t>
      </w:r>
    </w:p>
    <w:p>
      <w:pPr>
        <w:keepNext/>
        <w:keepLines/>
        <w:widowControl/>
        <w:spacing w:before="156" w:beforeLines="50" w:after="156" w:afterLines="50"/>
        <w:jc w:val="center"/>
        <w:textAlignment w:val="center"/>
        <w:outlineLvl w:val="0"/>
        <w:rPr>
          <w:rFonts w:ascii="宋体" w:hAnsi="宋体" w:cs="仿宋"/>
          <w:b/>
          <w:bCs/>
          <w:sz w:val="28"/>
          <w:szCs w:val="40"/>
          <w:highlight w:val="none"/>
        </w:rPr>
      </w:pPr>
      <w:r>
        <w:rPr>
          <w:rFonts w:hint="eastAsia" w:ascii="宋体" w:hAnsi="宋体" w:cs="仿宋"/>
          <w:b/>
          <w:bCs/>
          <w:highlight w:val="none"/>
        </w:rPr>
        <w:br w:type="page"/>
      </w:r>
      <w:bookmarkStart w:id="226" w:name="_Toc298921341"/>
      <w:bookmarkEnd w:id="226"/>
      <w:bookmarkStart w:id="227" w:name="_Toc103240975"/>
      <w:r>
        <w:rPr>
          <w:rFonts w:hint="eastAsia" w:ascii="宋体" w:hAnsi="宋体" w:cs="仿宋"/>
          <w:b/>
          <w:bCs/>
          <w:sz w:val="28"/>
          <w:szCs w:val="40"/>
          <w:highlight w:val="none"/>
        </w:rPr>
        <w:t>第二部分  合同条件</w:t>
      </w:r>
      <w:bookmarkEnd w:id="227"/>
    </w:p>
    <w:p>
      <w:pPr>
        <w:ind w:firstLine="480"/>
        <w:rPr>
          <w:rFonts w:ascii="宋体" w:hAnsi="宋体"/>
          <w:highlight w:val="none"/>
        </w:rPr>
      </w:pPr>
      <w:r>
        <w:rPr>
          <w:rFonts w:hint="eastAsia" w:ascii="宋体" w:hAnsi="宋体"/>
          <w:highlight w:val="none"/>
          <w:lang w:bidi="ar"/>
        </w:rPr>
        <w:t>词语定义、适用范围和法规</w:t>
      </w:r>
    </w:p>
    <w:p>
      <w:pPr>
        <w:ind w:firstLine="480"/>
        <w:rPr>
          <w:rFonts w:ascii="宋体" w:hAnsi="宋体"/>
          <w:highlight w:val="none"/>
        </w:rPr>
      </w:pPr>
      <w:r>
        <w:rPr>
          <w:rFonts w:hint="eastAsia" w:ascii="宋体" w:hAnsi="宋体"/>
          <w:highlight w:val="none"/>
          <w:lang w:bidi="ar"/>
        </w:rPr>
        <w:t>第一条  下列名词和用语，除上下文另有规定外，有如下含义：</w:t>
      </w:r>
    </w:p>
    <w:p>
      <w:pPr>
        <w:ind w:firstLine="480"/>
        <w:rPr>
          <w:rFonts w:ascii="宋体" w:hAnsi="宋体"/>
          <w:highlight w:val="none"/>
        </w:rPr>
      </w:pPr>
      <w:r>
        <w:rPr>
          <w:rFonts w:hint="eastAsia" w:ascii="宋体" w:hAnsi="宋体"/>
          <w:highlight w:val="none"/>
          <w:lang w:bidi="ar"/>
        </w:rPr>
        <w:t>“工程”是指委托人委托实施监理的工程。</w:t>
      </w:r>
    </w:p>
    <w:p>
      <w:pPr>
        <w:ind w:firstLine="480"/>
        <w:rPr>
          <w:rFonts w:ascii="宋体" w:hAnsi="宋体"/>
          <w:highlight w:val="none"/>
        </w:rPr>
      </w:pPr>
      <w:r>
        <w:rPr>
          <w:rFonts w:hint="eastAsia" w:ascii="宋体" w:hAnsi="宋体"/>
          <w:highlight w:val="none"/>
          <w:lang w:bidi="ar"/>
        </w:rPr>
        <w:t>“委托人”是指承担直接投资责任和委托监理业务的一方以及其合法继承人。</w:t>
      </w:r>
    </w:p>
    <w:p>
      <w:pPr>
        <w:ind w:firstLine="480"/>
        <w:rPr>
          <w:rFonts w:ascii="宋体" w:hAnsi="宋体"/>
          <w:highlight w:val="none"/>
        </w:rPr>
      </w:pPr>
      <w:r>
        <w:rPr>
          <w:rFonts w:hint="eastAsia" w:ascii="宋体" w:hAnsi="宋体"/>
          <w:highlight w:val="none"/>
          <w:lang w:bidi="ar"/>
        </w:rPr>
        <w:t>“监理人”是指承担监理业务和监理责任的一方，以及其合法继承人。</w:t>
      </w:r>
    </w:p>
    <w:p>
      <w:pPr>
        <w:ind w:firstLine="480"/>
        <w:rPr>
          <w:rFonts w:ascii="宋体" w:hAnsi="宋体"/>
          <w:highlight w:val="none"/>
        </w:rPr>
      </w:pPr>
      <w:r>
        <w:rPr>
          <w:rFonts w:hint="eastAsia" w:ascii="宋体" w:hAnsi="宋体"/>
          <w:highlight w:val="none"/>
          <w:lang w:bidi="ar"/>
        </w:rPr>
        <w:t>“监理机构”是指监理人派驻本工程现场实施监理业务的组织。</w:t>
      </w:r>
    </w:p>
    <w:p>
      <w:pPr>
        <w:ind w:firstLine="480"/>
        <w:rPr>
          <w:rFonts w:ascii="宋体" w:hAnsi="宋体"/>
          <w:highlight w:val="none"/>
        </w:rPr>
      </w:pPr>
      <w:r>
        <w:rPr>
          <w:rFonts w:hint="eastAsia" w:ascii="宋体" w:hAnsi="宋体"/>
          <w:highlight w:val="none"/>
          <w:lang w:bidi="ar"/>
        </w:rPr>
        <w:t>“总监理工程师”是指经委托人同意，监理人派到监理机构全面履行本合同的全权负责人。</w:t>
      </w:r>
    </w:p>
    <w:p>
      <w:pPr>
        <w:ind w:firstLine="480"/>
        <w:rPr>
          <w:rFonts w:ascii="宋体" w:hAnsi="宋体"/>
          <w:highlight w:val="none"/>
        </w:rPr>
      </w:pPr>
      <w:r>
        <w:rPr>
          <w:rFonts w:hint="eastAsia" w:ascii="宋体" w:hAnsi="宋体"/>
          <w:highlight w:val="none"/>
          <w:lang w:bidi="ar"/>
        </w:rPr>
        <w:t xml:space="preserve">“承包人”是指除监理人以外，委托人就工程建设有关事宜签订合同的当事人。 </w:t>
      </w:r>
    </w:p>
    <w:p>
      <w:pPr>
        <w:ind w:firstLine="480"/>
        <w:rPr>
          <w:rFonts w:ascii="宋体" w:hAnsi="宋体"/>
          <w:highlight w:val="none"/>
        </w:rPr>
      </w:pPr>
      <w:r>
        <w:rPr>
          <w:rFonts w:hint="eastAsia" w:ascii="宋体" w:hAnsi="宋体"/>
          <w:highlight w:val="none"/>
          <w:lang w:bidi="ar"/>
        </w:rPr>
        <w:t>“工程监理的正常工作”是指双方在合同中约定，委托人委托的监理工作范围和内容。</w:t>
      </w:r>
    </w:p>
    <w:p>
      <w:pPr>
        <w:ind w:firstLine="480"/>
        <w:rPr>
          <w:rFonts w:ascii="宋体" w:hAnsi="宋体"/>
          <w:highlight w:val="none"/>
        </w:rPr>
      </w:pPr>
      <w:r>
        <w:rPr>
          <w:rFonts w:hint="eastAsia" w:ascii="宋体" w:hAnsi="宋体"/>
          <w:highlight w:val="none"/>
          <w:lang w:bidi="ar"/>
        </w:rPr>
        <w:t>“工程监理的附加工作”是指：①委托人委托监理范围以外，通过双方书面协议另外增加的工作内容；②由于委托人或承包人原因，使监理工作受到阻碍或延误，因增加工作量或持续时间而增加的工作。</w:t>
      </w:r>
    </w:p>
    <w:p>
      <w:pPr>
        <w:ind w:firstLine="480"/>
        <w:rPr>
          <w:rFonts w:ascii="宋体" w:hAnsi="宋体"/>
          <w:highlight w:val="none"/>
        </w:rPr>
      </w:pPr>
      <w:r>
        <w:rPr>
          <w:rFonts w:hint="eastAsia" w:ascii="宋体" w:hAnsi="宋体"/>
          <w:highlight w:val="none"/>
          <w:lang w:bidi="ar"/>
        </w:rPr>
        <w:t>“工程监理的额外工作”是指正常工作和附加工作以外，或非监理人自己的原因而暂停或终止监理业务，其善后工作及恢复监理业务的工作。</w:t>
      </w:r>
    </w:p>
    <w:p>
      <w:pPr>
        <w:ind w:firstLine="480"/>
        <w:rPr>
          <w:rFonts w:ascii="宋体" w:hAnsi="宋体"/>
          <w:highlight w:val="none"/>
        </w:rPr>
      </w:pPr>
      <w:r>
        <w:rPr>
          <w:rFonts w:hint="eastAsia" w:ascii="宋体" w:hAnsi="宋体"/>
          <w:highlight w:val="none"/>
          <w:lang w:bidi="ar"/>
        </w:rPr>
        <w:t>“不可抗力”是指委托人和监理人在订立本合同时不可预见，在工程施工过程中不可避免发生并不能克服的自然灾害和社会性突发事件，如地震、海啸、瘟疫、水灾、骚乱、暴动、战争和专用条件约定的其他情形。</w:t>
      </w:r>
    </w:p>
    <w:p>
      <w:pPr>
        <w:ind w:firstLine="480"/>
        <w:rPr>
          <w:rFonts w:ascii="宋体" w:hAnsi="宋体"/>
          <w:highlight w:val="none"/>
        </w:rPr>
      </w:pPr>
      <w:r>
        <w:rPr>
          <w:rFonts w:hint="eastAsia" w:ascii="宋体" w:hAnsi="宋体"/>
          <w:highlight w:val="none"/>
          <w:lang w:bidi="ar"/>
        </w:rPr>
        <w:t>第二条  建设工程委托监理合同适用的法律是指国家的法律、行政法规，以及部门规章和工程所在地的地方法规、地方规章，与本工程相关的资料、文件等。</w:t>
      </w:r>
    </w:p>
    <w:p>
      <w:pPr>
        <w:ind w:firstLine="480"/>
        <w:rPr>
          <w:rFonts w:ascii="宋体" w:hAnsi="宋体"/>
          <w:highlight w:val="none"/>
        </w:rPr>
      </w:pPr>
      <w:r>
        <w:rPr>
          <w:rFonts w:hint="eastAsia" w:ascii="宋体" w:hAnsi="宋体"/>
          <w:highlight w:val="none"/>
          <w:lang w:bidi="ar"/>
        </w:rPr>
        <w:t>国务院颁布的《中华人民共和国民法典》、《中华人民共和国建筑法》和《建设工程质量管理条例》及其相关法规。</w:t>
      </w:r>
    </w:p>
    <w:p>
      <w:pPr>
        <w:ind w:firstLine="480"/>
        <w:rPr>
          <w:rFonts w:ascii="宋体" w:hAnsi="宋体"/>
          <w:highlight w:val="none"/>
        </w:rPr>
      </w:pPr>
      <w:r>
        <w:rPr>
          <w:rFonts w:hint="eastAsia" w:ascii="宋体" w:hAnsi="宋体"/>
          <w:highlight w:val="none"/>
          <w:lang w:bidi="ar"/>
        </w:rPr>
        <w:t>建设部颁布的《建设工程监理规范》（GB/T50319-2013）、建设部和国家工商行政管理局颁布的《建筑市场管理规定》及其它有关的建筑法规和条例。</w:t>
      </w:r>
    </w:p>
    <w:p>
      <w:pPr>
        <w:ind w:firstLine="480"/>
        <w:rPr>
          <w:rFonts w:ascii="宋体" w:hAnsi="宋体"/>
          <w:highlight w:val="none"/>
        </w:rPr>
      </w:pPr>
      <w:r>
        <w:rPr>
          <w:rFonts w:hint="eastAsia" w:ascii="宋体" w:hAnsi="宋体"/>
          <w:highlight w:val="none"/>
          <w:lang w:bidi="ar"/>
        </w:rPr>
        <w:t>省市有关的规定和办法。</w:t>
      </w:r>
    </w:p>
    <w:p>
      <w:pPr>
        <w:ind w:firstLine="480"/>
        <w:rPr>
          <w:rFonts w:ascii="宋体" w:hAnsi="宋体"/>
          <w:highlight w:val="none"/>
        </w:rPr>
      </w:pPr>
      <w:r>
        <w:rPr>
          <w:rFonts w:hint="eastAsia" w:ascii="宋体" w:hAnsi="宋体"/>
          <w:highlight w:val="none"/>
          <w:lang w:bidi="ar"/>
        </w:rPr>
        <w:t>本监理合同。</w:t>
      </w:r>
    </w:p>
    <w:p>
      <w:pPr>
        <w:ind w:firstLine="480"/>
        <w:rPr>
          <w:rFonts w:ascii="宋体" w:hAnsi="宋体"/>
          <w:highlight w:val="none"/>
        </w:rPr>
      </w:pPr>
      <w:r>
        <w:rPr>
          <w:rFonts w:hint="eastAsia" w:ascii="宋体" w:hAnsi="宋体"/>
          <w:highlight w:val="none"/>
          <w:lang w:bidi="ar"/>
        </w:rPr>
        <w:t>委托人和设计单位签订的工程设计合同。</w:t>
      </w:r>
    </w:p>
    <w:p>
      <w:pPr>
        <w:ind w:firstLine="480"/>
        <w:rPr>
          <w:rFonts w:ascii="宋体" w:hAnsi="宋体"/>
          <w:highlight w:val="none"/>
        </w:rPr>
      </w:pPr>
      <w:r>
        <w:rPr>
          <w:rFonts w:hint="eastAsia" w:ascii="宋体" w:hAnsi="宋体"/>
          <w:highlight w:val="none"/>
          <w:lang w:bidi="ar"/>
        </w:rPr>
        <w:t>委托人和承包人签订的工程施工合同，以及委托人与其他方签订的有关本项目的协议书、合同、备忘录。</w:t>
      </w:r>
    </w:p>
    <w:p>
      <w:pPr>
        <w:ind w:firstLine="480"/>
        <w:rPr>
          <w:rFonts w:ascii="宋体" w:hAnsi="宋体"/>
          <w:highlight w:val="none"/>
        </w:rPr>
      </w:pPr>
      <w:r>
        <w:rPr>
          <w:rFonts w:hint="eastAsia" w:ascii="宋体" w:hAnsi="宋体"/>
          <w:highlight w:val="none"/>
          <w:lang w:bidi="ar"/>
        </w:rPr>
        <w:t>经委托人审查并经认可的本工程正式的工程地质勘察报告、施工图纸、说明及会审记录、有关工程洽谈的技术洽商记录、设计修改的变更文件。</w:t>
      </w:r>
    </w:p>
    <w:p>
      <w:pPr>
        <w:ind w:firstLine="480"/>
        <w:rPr>
          <w:rFonts w:ascii="宋体" w:hAnsi="宋体"/>
          <w:highlight w:val="none"/>
        </w:rPr>
      </w:pPr>
      <w:r>
        <w:rPr>
          <w:rFonts w:hint="eastAsia" w:ascii="宋体" w:hAnsi="宋体"/>
          <w:highlight w:val="none"/>
          <w:lang w:bidi="ar"/>
        </w:rPr>
        <w:t>国家及河南省现行的有关预算定额和文件。</w:t>
      </w:r>
    </w:p>
    <w:p>
      <w:pPr>
        <w:ind w:firstLine="480"/>
        <w:rPr>
          <w:rFonts w:ascii="宋体" w:hAnsi="宋体"/>
          <w:highlight w:val="none"/>
        </w:rPr>
      </w:pPr>
      <w:r>
        <w:rPr>
          <w:rFonts w:hint="eastAsia" w:ascii="宋体" w:hAnsi="宋体"/>
          <w:highlight w:val="none"/>
          <w:lang w:bidi="ar"/>
        </w:rPr>
        <w:t>国家和河南省现行的设计规范、建筑工程质量评定标准、施工和验收规范。</w:t>
      </w:r>
    </w:p>
    <w:p>
      <w:pPr>
        <w:ind w:firstLine="480"/>
        <w:rPr>
          <w:rFonts w:ascii="宋体" w:hAnsi="宋体"/>
          <w:highlight w:val="none"/>
        </w:rPr>
      </w:pPr>
      <w:r>
        <w:rPr>
          <w:rFonts w:hint="eastAsia" w:ascii="宋体" w:hAnsi="宋体"/>
          <w:highlight w:val="none"/>
          <w:lang w:bidi="ar"/>
        </w:rPr>
        <w:t>经委托人审批认可，由监理人编制的监理大纲、规划、细则。</w:t>
      </w:r>
    </w:p>
    <w:p>
      <w:pPr>
        <w:ind w:firstLine="480"/>
        <w:rPr>
          <w:rFonts w:ascii="宋体" w:hAnsi="宋体"/>
          <w:highlight w:val="none"/>
        </w:rPr>
      </w:pPr>
      <w:r>
        <w:rPr>
          <w:rFonts w:hint="eastAsia" w:ascii="宋体" w:hAnsi="宋体"/>
          <w:highlight w:val="none"/>
          <w:lang w:bidi="ar"/>
        </w:rPr>
        <w:t>委托人发出的指令。</w:t>
      </w:r>
    </w:p>
    <w:p>
      <w:pPr>
        <w:rPr>
          <w:rFonts w:ascii="宋体" w:hAnsi="宋体" w:cs="仿宋"/>
          <w:szCs w:val="28"/>
          <w:highlight w:val="none"/>
        </w:rPr>
      </w:pPr>
      <w:r>
        <w:rPr>
          <w:rFonts w:hint="eastAsia" w:ascii="宋体" w:hAnsi="宋体" w:cs="仿宋"/>
          <w:szCs w:val="28"/>
          <w:highlight w:val="none"/>
          <w:lang w:bidi="ar"/>
        </w:rPr>
        <w:t xml:space="preserve">    </w:t>
      </w:r>
      <w:r>
        <w:rPr>
          <w:rFonts w:hint="eastAsia" w:ascii="宋体" w:hAnsi="宋体" w:cs="仿宋"/>
          <w:b/>
          <w:bCs/>
          <w:szCs w:val="28"/>
          <w:highlight w:val="none"/>
          <w:lang w:bidi="ar"/>
        </w:rPr>
        <w:t>第三条</w:t>
      </w:r>
      <w:r>
        <w:rPr>
          <w:rFonts w:hint="eastAsia" w:ascii="宋体" w:hAnsi="宋体" w:cs="仿宋"/>
          <w:szCs w:val="28"/>
          <w:highlight w:val="none"/>
          <w:lang w:bidi="ar"/>
        </w:rPr>
        <w:t xml:space="preserve">  本合同文件使用汉语语言文字书写、解释和说明。</w:t>
      </w:r>
    </w:p>
    <w:p>
      <w:pPr>
        <w:jc w:val="center"/>
        <w:rPr>
          <w:rFonts w:ascii="宋体" w:hAnsi="宋体" w:cs="仿宋"/>
          <w:b/>
          <w:bCs/>
          <w:szCs w:val="28"/>
          <w:highlight w:val="none"/>
        </w:rPr>
      </w:pPr>
      <w:r>
        <w:rPr>
          <w:rFonts w:hint="eastAsia" w:ascii="宋体" w:hAnsi="宋体" w:cs="仿宋"/>
          <w:b/>
          <w:bCs/>
          <w:szCs w:val="28"/>
          <w:highlight w:val="none"/>
          <w:lang w:bidi="ar"/>
        </w:rPr>
        <w:t>监理人义务</w:t>
      </w:r>
    </w:p>
    <w:p>
      <w:pPr>
        <w:ind w:firstLine="480"/>
        <w:rPr>
          <w:rFonts w:ascii="宋体" w:hAnsi="宋体"/>
          <w:highlight w:val="none"/>
        </w:rPr>
      </w:pPr>
      <w:r>
        <w:rPr>
          <w:rFonts w:hint="eastAsia" w:ascii="宋体" w:hAnsi="宋体"/>
          <w:highlight w:val="none"/>
          <w:lang w:bidi="ar"/>
        </w:rPr>
        <w:t xml:space="preserve">    </w:t>
      </w:r>
      <w:r>
        <w:rPr>
          <w:rFonts w:hint="eastAsia" w:ascii="宋体" w:hAnsi="宋体"/>
          <w:b/>
          <w:bCs/>
          <w:highlight w:val="none"/>
          <w:lang w:bidi="ar"/>
        </w:rPr>
        <w:t xml:space="preserve">第四条 </w:t>
      </w:r>
      <w:r>
        <w:rPr>
          <w:rFonts w:hint="eastAsia" w:ascii="宋体" w:hAnsi="宋体"/>
          <w:highlight w:val="none"/>
          <w:lang w:bidi="ar"/>
        </w:rPr>
        <w:t xml:space="preserve"> 监理人按合同约定派出监理工作需要的监理机构及监理人员，向委托人报送委派的总监理工程师及其监理机构主要成员名单、监理规划，在履行合同义务期间，应按合同约定定期向委托人报告监理工作，完成本合同约定监理工程范围内的监理业务：</w:t>
      </w:r>
    </w:p>
    <w:p>
      <w:pPr>
        <w:ind w:firstLine="420" w:firstLineChars="200"/>
        <w:rPr>
          <w:rFonts w:ascii="宋体" w:hAnsi="宋体"/>
          <w:highlight w:val="none"/>
        </w:rPr>
      </w:pPr>
      <w:r>
        <w:rPr>
          <w:rFonts w:hint="eastAsia" w:ascii="宋体" w:hAnsi="宋体"/>
          <w:highlight w:val="none"/>
          <w:lang w:bidi="ar"/>
        </w:rPr>
        <w:t>（一）监理目标及人员架构要求：</w:t>
      </w:r>
    </w:p>
    <w:p>
      <w:pPr>
        <w:ind w:firstLine="420" w:firstLineChars="200"/>
        <w:rPr>
          <w:rFonts w:ascii="宋体" w:hAnsi="宋体"/>
          <w:highlight w:val="none"/>
        </w:rPr>
      </w:pPr>
      <w:r>
        <w:rPr>
          <w:rFonts w:hint="eastAsia" w:ascii="宋体" w:hAnsi="宋体"/>
          <w:highlight w:val="none"/>
          <w:lang w:bidi="ar"/>
        </w:rPr>
        <w:t>投资控制目标：确保项目投资控制在核定的工程概算以内。</w:t>
      </w:r>
    </w:p>
    <w:p>
      <w:pPr>
        <w:ind w:firstLine="420" w:firstLineChars="200"/>
        <w:rPr>
          <w:rFonts w:ascii="宋体" w:hAnsi="宋体"/>
          <w:highlight w:val="none"/>
        </w:rPr>
      </w:pPr>
      <w:r>
        <w:rPr>
          <w:rFonts w:hint="eastAsia" w:ascii="宋体" w:hAnsi="宋体"/>
          <w:highlight w:val="none"/>
          <w:lang w:bidi="ar"/>
        </w:rPr>
        <w:t>进度控制目标：施工工期为委托人下达开工令起按施工进度要求控制。</w:t>
      </w:r>
    </w:p>
    <w:p>
      <w:pPr>
        <w:ind w:firstLine="420" w:firstLineChars="200"/>
        <w:rPr>
          <w:rFonts w:ascii="宋体" w:hAnsi="宋体"/>
          <w:highlight w:val="none"/>
        </w:rPr>
      </w:pPr>
      <w:r>
        <w:rPr>
          <w:rFonts w:hint="eastAsia" w:ascii="宋体" w:hAnsi="宋体"/>
          <w:highlight w:val="none"/>
          <w:lang w:bidi="ar"/>
        </w:rPr>
        <w:t>质量控制目标：达到合格标准。</w:t>
      </w:r>
    </w:p>
    <w:p>
      <w:pPr>
        <w:ind w:firstLine="420" w:firstLineChars="200"/>
        <w:rPr>
          <w:rFonts w:ascii="宋体" w:hAnsi="宋体"/>
          <w:highlight w:val="none"/>
        </w:rPr>
      </w:pPr>
      <w:r>
        <w:rPr>
          <w:rFonts w:hint="eastAsia" w:ascii="宋体" w:hAnsi="宋体"/>
          <w:highlight w:val="none"/>
          <w:lang w:bidi="ar"/>
        </w:rPr>
        <w:t>安全文明控制目标：</w:t>
      </w:r>
    </w:p>
    <w:p>
      <w:pPr>
        <w:ind w:firstLine="420" w:firstLineChars="200"/>
        <w:rPr>
          <w:rFonts w:ascii="宋体" w:hAnsi="宋体"/>
          <w:highlight w:val="none"/>
          <w:lang w:bidi="ar"/>
        </w:rPr>
      </w:pPr>
      <w:r>
        <w:rPr>
          <w:rFonts w:hint="eastAsia" w:ascii="宋体" w:hAnsi="宋体"/>
          <w:highlight w:val="none"/>
          <w:lang w:bidi="ar"/>
        </w:rPr>
        <w:t>文明施工：大门有人值守，分层施工，警戒警示到位，现场无扬尘，道路平整，车档完整，标识标牌齐全，人员安全帽反光背心穿戴完好等。</w:t>
      </w:r>
    </w:p>
    <w:p>
      <w:pPr>
        <w:pStyle w:val="6"/>
        <w:numPr>
          <w:ilvl w:val="0"/>
          <w:numId w:val="3"/>
        </w:numPr>
        <w:ind w:firstLine="562" w:firstLineChars="200"/>
        <w:rPr>
          <w:rFonts w:ascii="宋体" w:hAnsi="宋体" w:eastAsia="宋体" w:cs="仿宋"/>
          <w:highlight w:val="none"/>
        </w:rPr>
      </w:pPr>
      <w:r>
        <w:rPr>
          <w:rFonts w:hint="eastAsia" w:ascii="宋体" w:hAnsi="宋体" w:eastAsia="宋体" w:cs="仿宋"/>
          <w:highlight w:val="none"/>
          <w:lang w:bidi="ar"/>
        </w:rPr>
        <w:t>安全生产的监督督促</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不发生人员伤亡安全事故。</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分部分项工程安全技术交底及时率100%。</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施工安全措施方案编制及时率100%。</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三级教育及安全教育培训率100%。</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特种作业人员、专职安全员持证上岗率100%。</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劳保、消防器材合格率100%；应急救援物资储备合格率100%。</w:t>
      </w:r>
    </w:p>
    <w:p>
      <w:pPr>
        <w:numPr>
          <w:ilvl w:val="0"/>
          <w:numId w:val="4"/>
        </w:numPr>
        <w:adjustRightInd w:val="0"/>
        <w:snapToGrid w:val="0"/>
        <w:ind w:left="0" w:firstLine="720"/>
        <w:rPr>
          <w:rFonts w:ascii="宋体" w:hAnsi="宋体" w:cs="仿宋"/>
          <w:szCs w:val="28"/>
          <w:highlight w:val="none"/>
          <w:lang w:bidi="ar"/>
        </w:rPr>
      </w:pPr>
      <w:r>
        <w:rPr>
          <w:rFonts w:hint="eastAsia" w:ascii="宋体" w:hAnsi="宋体" w:cs="仿宋"/>
          <w:szCs w:val="28"/>
          <w:highlight w:val="none"/>
          <w:lang w:bidi="ar"/>
        </w:rPr>
        <w:t>安全生产应急预案、专项施工方案等及时经当地市安监部门审批同意率100%。</w:t>
      </w:r>
    </w:p>
    <w:p>
      <w:pPr>
        <w:ind w:firstLine="480"/>
        <w:rPr>
          <w:rFonts w:ascii="宋体" w:hAnsi="宋体" w:cs="仿宋"/>
          <w:szCs w:val="28"/>
          <w:highlight w:val="none"/>
          <w:lang w:bidi="ar"/>
        </w:rPr>
      </w:pPr>
      <w:r>
        <w:rPr>
          <w:rFonts w:hint="eastAsia" w:ascii="宋体" w:hAnsi="宋体" w:cs="仿宋"/>
          <w:szCs w:val="28"/>
          <w:highlight w:val="none"/>
          <w:lang w:bidi="ar"/>
        </w:rPr>
        <w:t>（二）监理业务工作</w:t>
      </w:r>
      <w:r>
        <w:rPr>
          <w:rFonts w:hint="eastAsia" w:ascii="宋体" w:hAnsi="宋体"/>
          <w:highlight w:val="none"/>
          <w:lang w:bidi="ar"/>
        </w:rPr>
        <w:t>内容</w:t>
      </w:r>
      <w:r>
        <w:rPr>
          <w:rFonts w:hint="eastAsia" w:ascii="宋体" w:hAnsi="宋体" w:cs="仿宋"/>
          <w:szCs w:val="28"/>
          <w:highlight w:val="none"/>
          <w:lang w:bidi="ar"/>
        </w:rPr>
        <w:t>及要求：</w:t>
      </w:r>
    </w:p>
    <w:p>
      <w:pPr>
        <w:widowControl/>
        <w:ind w:left="86" w:firstLine="480"/>
        <w:rPr>
          <w:rFonts w:ascii="宋体" w:hAnsi="宋体" w:cs="仿宋"/>
          <w:szCs w:val="28"/>
          <w:highlight w:val="none"/>
        </w:rPr>
      </w:pPr>
      <w:r>
        <w:rPr>
          <w:rFonts w:hint="eastAsia" w:ascii="宋体" w:hAnsi="宋体" w:cs="仿宋"/>
          <w:szCs w:val="28"/>
          <w:highlight w:val="none"/>
          <w:u w:val="single"/>
          <w:lang w:bidi="ar"/>
        </w:rPr>
        <w:t xml:space="preserve"> 工程质量、安全、成本、进度、资料 </w:t>
      </w:r>
      <w:r>
        <w:rPr>
          <w:rFonts w:hint="eastAsia" w:ascii="宋体" w:hAnsi="宋体" w:cs="仿宋"/>
          <w:szCs w:val="28"/>
          <w:highlight w:val="none"/>
          <w:lang w:bidi="ar"/>
        </w:rPr>
        <w:t>等整个项目范围内工程全过程监理。按照本合同要求、《建设工程监理规范》（GB/T50319-2013）的规定及委托方的工程管理规章制度对本项目工程进行监理：审查设计文件和施工组织设计文件，控制工程质量、工期进度、工程投资，监督安全文明施工管理、建设工程合同的履行，以及组织协调委托人与工程建设有关各方的工作关系等。对本建设工程的质量、造价、进度、文明施工与安全生产进行全面控制和管理，对信息资料等方面进行全面监理，并做好相关的协调配合工作以及委托方现场项目部安排的与本工程有关的工作。具体包括但不限于以下明示的条文内容：</w:t>
      </w:r>
    </w:p>
    <w:p>
      <w:pPr>
        <w:ind w:firstLine="480"/>
        <w:rPr>
          <w:rFonts w:ascii="宋体" w:hAnsi="宋体"/>
          <w:highlight w:val="none"/>
        </w:rPr>
      </w:pPr>
      <w:r>
        <w:rPr>
          <w:rFonts w:hint="eastAsia" w:ascii="宋体" w:hAnsi="宋体"/>
          <w:highlight w:val="none"/>
          <w:lang w:bidi="ar"/>
        </w:rPr>
        <w:t>监理工作总体要求：</w:t>
      </w:r>
    </w:p>
    <w:p>
      <w:pPr>
        <w:ind w:firstLine="480"/>
        <w:rPr>
          <w:rFonts w:ascii="宋体" w:hAnsi="宋体"/>
          <w:highlight w:val="none"/>
        </w:rPr>
      </w:pPr>
      <w:r>
        <w:rPr>
          <w:rFonts w:hint="eastAsia" w:ascii="宋体" w:hAnsi="宋体"/>
          <w:highlight w:val="none"/>
          <w:lang w:bidi="ar"/>
        </w:rPr>
        <w:t>监理人应确保派驻本项目的监理人员熟悉施工规范、验收标准、委托人的工程管理规章制度、有关合同、图纸和应具备的相关知识，做好监理人员的相关培训和考核，并将培训和考核情况报委托人项目部。</w:t>
      </w:r>
    </w:p>
    <w:p>
      <w:pPr>
        <w:ind w:firstLine="480"/>
        <w:rPr>
          <w:rFonts w:ascii="宋体" w:hAnsi="宋体"/>
          <w:highlight w:val="none"/>
        </w:rPr>
      </w:pPr>
      <w:r>
        <w:rPr>
          <w:rFonts w:hint="eastAsia" w:ascii="宋体" w:hAnsi="宋体"/>
          <w:highlight w:val="none"/>
          <w:lang w:bidi="ar"/>
        </w:rPr>
        <w:t>监理人每月应对驻本工程现场的监理机构及监理人员进行工作检查和考核，并将检查和考核结果报委托人项目部。</w:t>
      </w:r>
    </w:p>
    <w:p>
      <w:pPr>
        <w:ind w:firstLine="480"/>
        <w:rPr>
          <w:rFonts w:ascii="宋体" w:hAnsi="宋体"/>
          <w:highlight w:val="none"/>
        </w:rPr>
      </w:pPr>
      <w:r>
        <w:rPr>
          <w:rFonts w:hint="eastAsia" w:ascii="宋体" w:hAnsi="宋体"/>
          <w:highlight w:val="none"/>
          <w:lang w:bidi="ar"/>
        </w:rPr>
        <w:t>监理人应根据委托人的要求委派相应级别的管理人员参加委托人组织的有关本工程的各类会议，否则委托人将按附加协议条款处罚。</w:t>
      </w:r>
    </w:p>
    <w:p>
      <w:pPr>
        <w:ind w:firstLine="480"/>
        <w:rPr>
          <w:rFonts w:ascii="宋体" w:hAnsi="宋体"/>
          <w:highlight w:val="none"/>
        </w:rPr>
      </w:pPr>
      <w:r>
        <w:rPr>
          <w:rFonts w:hint="eastAsia" w:ascii="宋体" w:hAnsi="宋体"/>
          <w:highlight w:val="none"/>
          <w:lang w:bidi="ar"/>
        </w:rPr>
        <w:t>监理人的总监理工程师或总监代表应组织每周不少于一次的工程监理例会，并将例会纪要报委托人项目部，会议纪要经委托人审核后方可下发。监理人应编写监理日志，每月向委托人提交当月监理报告，监理月报必须按委托人项目部的要求填写。</w:t>
      </w:r>
    </w:p>
    <w:p>
      <w:pPr>
        <w:ind w:firstLine="480"/>
        <w:rPr>
          <w:rFonts w:ascii="宋体" w:hAnsi="宋体"/>
          <w:highlight w:val="none"/>
        </w:rPr>
      </w:pPr>
      <w:r>
        <w:rPr>
          <w:rFonts w:hint="eastAsia" w:ascii="宋体" w:hAnsi="宋体"/>
          <w:highlight w:val="none"/>
          <w:lang w:bidi="ar"/>
        </w:rPr>
        <w:t>监理工作作息时间：</w:t>
      </w:r>
    </w:p>
    <w:p>
      <w:pPr>
        <w:ind w:firstLine="480"/>
        <w:rPr>
          <w:rFonts w:ascii="宋体" w:hAnsi="宋体"/>
          <w:highlight w:val="none"/>
        </w:rPr>
      </w:pPr>
      <w:r>
        <w:rPr>
          <w:rFonts w:hint="eastAsia" w:ascii="宋体" w:hAnsi="宋体"/>
          <w:highlight w:val="none"/>
          <w:lang w:bidi="ar"/>
        </w:rPr>
        <w:t>驻本工程现场的监理机构及监理人员应与委托人现场项目部工作作息时间同步进行考勤（监理人作息时间满足委托人需要），要严格遵守作息时间，不得迟到早退和缺勤，否则按附加协议条款处罚；</w:t>
      </w:r>
    </w:p>
    <w:p>
      <w:pPr>
        <w:ind w:firstLine="480"/>
        <w:rPr>
          <w:rFonts w:ascii="宋体" w:hAnsi="宋体"/>
          <w:highlight w:val="none"/>
        </w:rPr>
      </w:pPr>
      <w:r>
        <w:rPr>
          <w:rFonts w:hint="eastAsia" w:ascii="宋体" w:hAnsi="宋体"/>
          <w:highlight w:val="none"/>
          <w:lang w:bidi="ar"/>
        </w:rPr>
        <w:t>监理人驻本工程现场监理人员的作息时间应满足施工的需要，正常工作作息时间以外只要工地有施工，监理人都应安排适当人员加班；</w:t>
      </w:r>
    </w:p>
    <w:p>
      <w:pPr>
        <w:ind w:firstLine="480"/>
        <w:rPr>
          <w:rFonts w:ascii="宋体" w:hAnsi="宋体"/>
          <w:highlight w:val="none"/>
        </w:rPr>
      </w:pPr>
      <w:r>
        <w:rPr>
          <w:rFonts w:hint="eastAsia" w:ascii="宋体" w:hAnsi="宋体"/>
          <w:highlight w:val="none"/>
          <w:lang w:bidi="ar"/>
        </w:rPr>
        <w:t>节假日监理人要安排人员值班，并将值班人员安排表报委托人项目部备案，若施工单位节假日正常上班，监理人应根据施工内容安排好相应专业监理人员值班，保证工程的正常施工；</w:t>
      </w:r>
    </w:p>
    <w:p>
      <w:pPr>
        <w:pStyle w:val="6"/>
        <w:numPr>
          <w:ilvl w:val="0"/>
          <w:numId w:val="3"/>
        </w:numPr>
        <w:ind w:firstLine="562" w:firstLineChars="200"/>
        <w:rPr>
          <w:rFonts w:ascii="宋体" w:hAnsi="宋体" w:eastAsia="宋体" w:cs="仿宋"/>
          <w:highlight w:val="none"/>
        </w:rPr>
      </w:pPr>
      <w:r>
        <w:rPr>
          <w:rFonts w:hint="eastAsia" w:ascii="宋体" w:hAnsi="宋体" w:eastAsia="宋体" w:cs="仿宋"/>
          <w:highlight w:val="none"/>
          <w:lang w:bidi="ar"/>
        </w:rPr>
        <w:t>监理人应按政府法规及监理规范要求进行旁站监理及监理检查巡视，必须达到以下要求：</w:t>
      </w:r>
    </w:p>
    <w:p>
      <w:pPr>
        <w:widowControl/>
        <w:ind w:firstLine="480"/>
        <w:rPr>
          <w:rFonts w:ascii="宋体" w:hAnsi="宋体" w:cs="仿宋"/>
          <w:szCs w:val="28"/>
          <w:highlight w:val="none"/>
          <w:lang w:bidi="ar"/>
        </w:rPr>
      </w:pPr>
      <w:r>
        <w:rPr>
          <w:rFonts w:hint="eastAsia" w:ascii="宋体" w:hAnsi="宋体" w:cs="仿宋"/>
          <w:szCs w:val="28"/>
          <w:highlight w:val="none"/>
          <w:lang w:bidi="ar"/>
        </w:rPr>
        <w:t>（1）监理人驻本工程现场的监理人员（除总监理工程师外）必须确保每日6小时在施工工作面巡视检查，并做好书面记录和声像记录。</w:t>
      </w:r>
    </w:p>
    <w:p>
      <w:pPr>
        <w:widowControl/>
        <w:ind w:firstLine="480"/>
        <w:rPr>
          <w:rFonts w:ascii="宋体" w:hAnsi="宋体" w:cs="仿宋"/>
          <w:szCs w:val="28"/>
          <w:highlight w:val="none"/>
          <w:lang w:bidi="ar"/>
        </w:rPr>
      </w:pPr>
      <w:r>
        <w:rPr>
          <w:rFonts w:hint="eastAsia" w:ascii="宋体" w:hAnsi="宋体" w:cs="仿宋"/>
          <w:szCs w:val="28"/>
          <w:highlight w:val="none"/>
          <w:lang w:bidi="ar"/>
        </w:rPr>
        <w:t>（2）每周由总监理工程师组织施工单位进行一次工地安全文明施工及工程质量检查巡视。每月组织各参建单位进行一次现场安全生产大检查。</w:t>
      </w:r>
    </w:p>
    <w:p>
      <w:pPr>
        <w:widowControl/>
        <w:ind w:firstLine="480"/>
        <w:rPr>
          <w:rFonts w:ascii="宋体" w:hAnsi="宋体" w:cs="仿宋"/>
          <w:szCs w:val="28"/>
          <w:highlight w:val="none"/>
          <w:lang w:bidi="ar"/>
        </w:rPr>
      </w:pPr>
      <w:r>
        <w:rPr>
          <w:rFonts w:hint="eastAsia" w:ascii="宋体" w:hAnsi="宋体" w:cs="仿宋"/>
          <w:szCs w:val="28"/>
          <w:highlight w:val="none"/>
          <w:lang w:bidi="ar"/>
        </w:rPr>
        <w:t>（3）监理人应在旁站监理工序施工前4小时安排好旁站监理人员，报委托人现场项目部备案；监理人应对旁站人员事前做好培训，制定旁站检查内容和记录要求。</w:t>
      </w:r>
    </w:p>
    <w:p>
      <w:pPr>
        <w:widowControl/>
        <w:ind w:firstLine="480"/>
        <w:rPr>
          <w:rFonts w:ascii="宋体" w:hAnsi="宋体" w:cs="仿宋"/>
          <w:szCs w:val="28"/>
          <w:highlight w:val="none"/>
          <w:lang w:bidi="ar"/>
        </w:rPr>
      </w:pPr>
      <w:r>
        <w:rPr>
          <w:rFonts w:hint="eastAsia" w:ascii="宋体" w:hAnsi="宋体" w:cs="仿宋"/>
          <w:szCs w:val="28"/>
          <w:highlight w:val="none"/>
          <w:lang w:bidi="ar"/>
        </w:rPr>
        <w:t>（4）监理人应接受委托人对派驻本工程的监理机构及监理人员的考核，并根据考核结果对监理机构进行整改和根据委托人的要求及时更换考核不合格的监理人员。</w:t>
      </w:r>
    </w:p>
    <w:p>
      <w:pPr>
        <w:widowControl/>
        <w:ind w:firstLine="480"/>
        <w:rPr>
          <w:rFonts w:ascii="宋体" w:hAnsi="宋体" w:cs="仿宋"/>
          <w:szCs w:val="28"/>
          <w:highlight w:val="none"/>
          <w:lang w:bidi="ar"/>
        </w:rPr>
      </w:pPr>
      <w:r>
        <w:rPr>
          <w:rFonts w:hint="eastAsia" w:ascii="宋体" w:hAnsi="宋体" w:cs="仿宋"/>
          <w:szCs w:val="28"/>
          <w:highlight w:val="none"/>
          <w:lang w:bidi="ar"/>
        </w:rPr>
        <w:t>（5）监理人及其派驻本工程的监理机构及监理人员应在工作中保持廉洁自律，严格按有关标准、规范、法律、法规的要求对工程实施监理，否则委托人将按附加协议条款处罚。</w:t>
      </w:r>
    </w:p>
    <w:p>
      <w:pPr>
        <w:widowControl/>
        <w:ind w:firstLine="480"/>
        <w:rPr>
          <w:rFonts w:ascii="宋体" w:hAnsi="宋体" w:cs="仿宋"/>
          <w:szCs w:val="28"/>
          <w:highlight w:val="none"/>
          <w:lang w:bidi="ar"/>
        </w:rPr>
      </w:pPr>
      <w:r>
        <w:rPr>
          <w:rFonts w:hint="eastAsia" w:ascii="宋体" w:hAnsi="宋体" w:cs="仿宋"/>
          <w:szCs w:val="28"/>
          <w:highlight w:val="none"/>
          <w:lang w:bidi="ar"/>
        </w:rPr>
        <w:t>（6）监理人应及时审批、确认承包人提交的各类文件，一般情况必须在2天内完成（具体期限还应满足委托人与承包人签订的合同要求）。特殊情况，如果在2天内不能完成，监理人应向委托人项目部提出申请，由委托人项目部确定具体完成时间。</w:t>
      </w:r>
    </w:p>
    <w:p>
      <w:pPr>
        <w:widowControl/>
        <w:ind w:firstLine="480"/>
        <w:rPr>
          <w:rFonts w:ascii="宋体" w:hAnsi="宋体" w:cs="仿宋"/>
          <w:szCs w:val="28"/>
          <w:highlight w:val="none"/>
          <w:lang w:bidi="ar"/>
        </w:rPr>
      </w:pPr>
      <w:r>
        <w:rPr>
          <w:rFonts w:hint="eastAsia" w:ascii="宋体" w:hAnsi="宋体" w:cs="仿宋"/>
          <w:szCs w:val="28"/>
          <w:highlight w:val="none"/>
          <w:lang w:bidi="ar"/>
        </w:rPr>
        <w:t>（7）监理人应及时参加工程有关检验、验收，在承包人提出工程有关检验、验收通知后1小时内必须派相关监理人员到达检验、验收现场。</w:t>
      </w:r>
    </w:p>
    <w:p>
      <w:pPr>
        <w:widowControl/>
        <w:ind w:firstLine="480"/>
        <w:rPr>
          <w:rFonts w:ascii="宋体" w:hAnsi="宋体" w:cs="仿宋"/>
          <w:szCs w:val="28"/>
          <w:highlight w:val="none"/>
          <w:lang w:bidi="ar"/>
        </w:rPr>
      </w:pPr>
      <w:r>
        <w:rPr>
          <w:rFonts w:hint="eastAsia" w:ascii="宋体" w:hAnsi="宋体" w:cs="仿宋"/>
          <w:szCs w:val="28"/>
          <w:highlight w:val="none"/>
          <w:lang w:bidi="ar"/>
        </w:rPr>
        <w:t>（8）监理人应协助委托人对本工程提供技术支持，解决有关技术问题，组织承包人、设计单位召开专项技术协调会，向委托人提出设计、工程方案等方面合理化建议。</w:t>
      </w:r>
    </w:p>
    <w:p>
      <w:pPr>
        <w:widowControl/>
        <w:ind w:firstLine="480"/>
        <w:rPr>
          <w:rFonts w:ascii="宋体" w:hAnsi="宋体" w:cs="仿宋"/>
          <w:szCs w:val="28"/>
          <w:highlight w:val="none"/>
          <w:lang w:bidi="ar"/>
        </w:rPr>
      </w:pPr>
      <w:r>
        <w:rPr>
          <w:rFonts w:hint="eastAsia" w:ascii="宋体" w:hAnsi="宋体" w:cs="仿宋"/>
          <w:szCs w:val="28"/>
          <w:highlight w:val="none"/>
          <w:lang w:bidi="ar"/>
        </w:rPr>
        <w:t>（9）监理人在履行本合同的义务期间，应认真、勤奋地工作，为委托人提供相应的咨询意见，公正维护委托方的合法权益。</w:t>
      </w:r>
    </w:p>
    <w:p>
      <w:pPr>
        <w:widowControl/>
        <w:ind w:firstLine="480"/>
        <w:rPr>
          <w:rFonts w:ascii="宋体" w:hAnsi="宋体" w:cs="仿宋"/>
          <w:szCs w:val="28"/>
          <w:highlight w:val="none"/>
          <w:lang w:bidi="ar"/>
        </w:rPr>
      </w:pPr>
      <w:r>
        <w:rPr>
          <w:rFonts w:hint="eastAsia" w:ascii="宋体" w:hAnsi="宋体" w:cs="仿宋"/>
          <w:szCs w:val="28"/>
          <w:highlight w:val="none"/>
          <w:lang w:bidi="ar"/>
        </w:rPr>
        <w:t>（10）监理人使用委托人提供的设施和物品属委托人的财产。在监理工作完成或中止时，应将其设施和剩余的物品按合同约定的时间和方式移交给委托人。监理人须严格按照《建设工程监理规范》实施监理活动。</w:t>
      </w:r>
    </w:p>
    <w:p>
      <w:pPr>
        <w:widowControl/>
        <w:ind w:firstLine="480"/>
        <w:rPr>
          <w:rFonts w:ascii="宋体" w:hAnsi="宋体" w:cs="仿宋"/>
          <w:szCs w:val="28"/>
          <w:highlight w:val="none"/>
          <w:lang w:bidi="ar"/>
        </w:rPr>
      </w:pPr>
      <w:r>
        <w:rPr>
          <w:rFonts w:hint="eastAsia" w:ascii="宋体" w:hAnsi="宋体" w:cs="仿宋"/>
          <w:szCs w:val="28"/>
          <w:highlight w:val="none"/>
          <w:lang w:bidi="ar"/>
        </w:rPr>
        <w:t>（11）在合同期内或合同终止后，未征得委托人同意，不得泄露与本工程、本合同业务有关的保密信息，违反者委托人将追究监理人的责任。</w:t>
      </w:r>
    </w:p>
    <w:p>
      <w:pPr>
        <w:widowControl/>
        <w:ind w:firstLine="630" w:firstLineChars="300"/>
        <w:rPr>
          <w:rFonts w:ascii="宋体" w:hAnsi="宋体" w:cs="仿宋"/>
          <w:szCs w:val="28"/>
          <w:highlight w:val="none"/>
        </w:rPr>
      </w:pPr>
      <w:r>
        <w:rPr>
          <w:rFonts w:hint="eastAsia" w:ascii="宋体" w:hAnsi="宋体" w:cs="仿宋"/>
          <w:szCs w:val="28"/>
          <w:highlight w:val="none"/>
          <w:lang w:bidi="ar"/>
        </w:rPr>
        <w:t>2.施工准备阶段的监理：</w:t>
      </w:r>
    </w:p>
    <w:p>
      <w:pPr>
        <w:widowControl/>
        <w:ind w:firstLine="480"/>
        <w:rPr>
          <w:rFonts w:ascii="宋体" w:hAnsi="宋体" w:cs="仿宋"/>
          <w:szCs w:val="28"/>
          <w:highlight w:val="none"/>
        </w:rPr>
      </w:pPr>
      <w:r>
        <w:rPr>
          <w:rFonts w:hint="eastAsia" w:ascii="宋体" w:hAnsi="宋体" w:cs="仿宋"/>
          <w:szCs w:val="28"/>
          <w:highlight w:val="none"/>
          <w:lang w:bidi="ar"/>
        </w:rPr>
        <w:t>（1）监理人应编制监理规划和监理细则。在监理规划中根据委托人确定的项目质量目标制定监理工作总程序和质量监理控制体系。制定监理工作程序应体现事前控制和主动控制的要求，制定监理工作程序应结合工程项目的特点，注重监理工作的效果。监理工作程序中应明确工作内容、行为主体、考核标准、工作时限。监理工作程序应符合委托监理合同和施工合同的规定。在监理工作实施过程中，应根据实际情况的变化对监理工作程序进行调整和完善。在监理规划中应明确本工程应制定的监理细则目录、承包人应制定的重要分部分项工程的施工方案及作业指导书的目录。对重要的分部分项工程，监理人还应制定专项的监理细则。监理细则应体现专业特点，合理设置工序的质量控制点并明确需旁站监理的工序。监理人应在签订本合同后收到委托人本项目施工图后7天内向委托人提交监理规划，相关重要的分部分项工程施工前15天之前向委托人提交监理细则。</w:t>
      </w:r>
    </w:p>
    <w:p>
      <w:pPr>
        <w:widowControl/>
        <w:ind w:firstLine="480"/>
        <w:rPr>
          <w:rFonts w:ascii="宋体" w:hAnsi="宋体" w:cs="仿宋"/>
          <w:szCs w:val="28"/>
          <w:highlight w:val="none"/>
        </w:rPr>
      </w:pPr>
      <w:r>
        <w:rPr>
          <w:rFonts w:hint="eastAsia" w:ascii="宋体" w:hAnsi="宋体" w:cs="仿宋"/>
          <w:szCs w:val="28"/>
          <w:highlight w:val="none"/>
          <w:lang w:bidi="ar"/>
        </w:rPr>
        <w:t>（2）项目开工前，监理人应审核承包人提交的施工组织设计（含施工方案），重要的分部分项工程还应要求承包人召开专家评审会、提交专项施工方案、施工作业指导书。审查承包单位现场项目管理机构的质量、安全管理体系、技术管理体系和质量、安全保证体系，能确保工程项目施工质量、安全时予以确认。对质量、安全管理体系，技术管理体系和质量、安全保证体系应审核以下内容：质量、安全管理，技术管理和质量、安全保证的组织机构；质量、安全管理，技术管理制度；专职质量、安全管理人员和特种作业人员的资格证、上岗证。审查承包单位报送的分包单位资格和分包单位有关资质资料，符合有关规定后，由总监理工程师予以签认。</w:t>
      </w:r>
    </w:p>
    <w:p>
      <w:pPr>
        <w:widowControl/>
        <w:ind w:firstLine="480"/>
        <w:rPr>
          <w:rFonts w:ascii="宋体" w:hAnsi="宋体" w:cs="仿宋"/>
          <w:szCs w:val="28"/>
          <w:highlight w:val="none"/>
        </w:rPr>
      </w:pPr>
      <w:r>
        <w:rPr>
          <w:rFonts w:hint="eastAsia" w:ascii="宋体" w:hAnsi="宋体" w:cs="仿宋"/>
          <w:szCs w:val="28"/>
          <w:highlight w:val="none"/>
          <w:lang w:bidi="ar"/>
        </w:rPr>
        <w:t>（3）同时按照承包人提交的施工组织设计、施工总平面布置方案、安全文明施工方案、管理组织架构、劳动力及机械设备配置计划等文件对承包人是否按方案进行现场临时设施的布置、现场临时设施是否满足质量和安全文明施工要求、施工人员及机械设备是否到位并满足要求等进行全面检查评估，评估项目是否具备开工条件并向委托人提交现场评估报告。</w:t>
      </w:r>
    </w:p>
    <w:p>
      <w:pPr>
        <w:widowControl/>
        <w:ind w:firstLine="480"/>
        <w:rPr>
          <w:rFonts w:ascii="宋体" w:hAnsi="宋体" w:cs="仿宋"/>
          <w:szCs w:val="28"/>
          <w:highlight w:val="none"/>
        </w:rPr>
      </w:pPr>
      <w:r>
        <w:rPr>
          <w:rFonts w:hint="eastAsia" w:ascii="宋体" w:hAnsi="宋体" w:cs="仿宋"/>
          <w:szCs w:val="28"/>
          <w:highlight w:val="none"/>
          <w:lang w:bidi="ar"/>
        </w:rPr>
        <w:t>（4）协助委托人进行新材料、新技术、新工艺运用的可行性研究及质量评估工作。</w:t>
      </w:r>
    </w:p>
    <w:p>
      <w:pPr>
        <w:widowControl/>
        <w:ind w:firstLine="480"/>
        <w:rPr>
          <w:rFonts w:ascii="宋体" w:hAnsi="宋体" w:cs="仿宋"/>
          <w:szCs w:val="28"/>
          <w:highlight w:val="none"/>
        </w:rPr>
      </w:pPr>
      <w:r>
        <w:rPr>
          <w:rFonts w:hint="eastAsia" w:ascii="宋体" w:hAnsi="宋体" w:cs="仿宋"/>
          <w:szCs w:val="28"/>
          <w:highlight w:val="none"/>
          <w:lang w:bidi="ar"/>
        </w:rPr>
        <w:t>（5）审核及检查施工承包人拟采用的施工机械及检测、计量器具的技术性能。</w:t>
      </w:r>
    </w:p>
    <w:p>
      <w:pPr>
        <w:widowControl/>
        <w:ind w:firstLine="480"/>
        <w:rPr>
          <w:rFonts w:ascii="宋体" w:hAnsi="宋体" w:cs="仿宋"/>
          <w:szCs w:val="28"/>
          <w:highlight w:val="none"/>
        </w:rPr>
      </w:pPr>
      <w:r>
        <w:rPr>
          <w:rFonts w:hint="eastAsia" w:ascii="宋体" w:hAnsi="宋体" w:cs="仿宋"/>
          <w:szCs w:val="28"/>
          <w:highlight w:val="none"/>
          <w:lang w:bidi="ar"/>
        </w:rPr>
        <w:t>（6）其他工作：组织开工预备会、监理交底会，审查开工准备条件、办理现场移交、测量基准点移交，参加图纸会审会等。</w:t>
      </w:r>
    </w:p>
    <w:p>
      <w:pPr>
        <w:widowControl/>
        <w:ind w:firstLine="480"/>
        <w:rPr>
          <w:rFonts w:ascii="宋体" w:hAnsi="宋体" w:cs="仿宋"/>
          <w:szCs w:val="28"/>
          <w:highlight w:val="none"/>
        </w:rPr>
      </w:pPr>
      <w:r>
        <w:rPr>
          <w:rFonts w:hint="eastAsia" w:ascii="宋体" w:hAnsi="宋体" w:cs="仿宋"/>
          <w:szCs w:val="28"/>
          <w:highlight w:val="none"/>
          <w:lang w:bidi="ar"/>
        </w:rPr>
        <w:t>3.施工阶段的监理：</w:t>
      </w:r>
    </w:p>
    <w:p>
      <w:pPr>
        <w:widowControl/>
        <w:ind w:firstLine="480"/>
        <w:rPr>
          <w:rFonts w:ascii="宋体" w:hAnsi="宋体" w:cs="仿宋"/>
          <w:szCs w:val="28"/>
          <w:highlight w:val="none"/>
        </w:rPr>
      </w:pPr>
      <w:r>
        <w:rPr>
          <w:rFonts w:hint="eastAsia" w:ascii="宋体" w:hAnsi="宋体" w:cs="仿宋"/>
          <w:szCs w:val="28"/>
          <w:highlight w:val="none"/>
          <w:lang w:bidi="ar"/>
        </w:rPr>
        <w:t>（1）签发开工、停工、复工令。</w:t>
      </w:r>
    </w:p>
    <w:p>
      <w:pPr>
        <w:widowControl/>
        <w:ind w:firstLine="480"/>
        <w:rPr>
          <w:rFonts w:ascii="宋体" w:hAnsi="宋体" w:cs="仿宋"/>
          <w:szCs w:val="28"/>
          <w:highlight w:val="none"/>
        </w:rPr>
      </w:pPr>
      <w:r>
        <w:rPr>
          <w:rFonts w:hint="eastAsia" w:ascii="宋体" w:hAnsi="宋体" w:cs="仿宋"/>
          <w:szCs w:val="28"/>
          <w:highlight w:val="none"/>
          <w:lang w:bidi="ar"/>
        </w:rPr>
        <w:t>（2）应严格要求承包人建立“三检”制（指施工班组质量自检、班组互检、专职质检员平行检测）。组织隐蔽工程的检查验收，分部分项工程以及关键工序的中间验收，工程竣工初验；应要求承包单位报送重点部位、关键工序的施工工艺，和确保工程质量的措施,审核同意后予以签认。严格要求承包人上道工序验收合格并办理工作面移交手续后才能进行下一道工序施工。对施工过程进行巡视和检查，对隐蔽工程的隐蔽过程，下道工序施工完成后难以检查的重点部位，监理人应进行旁站。总监理工程师必须切切实实地将旁站式的监理服务落实到位，并在巡视工地现场进程中，对关键工序及重要技术难点部分使用相机或摄像机对工程质量、进度进行必要的记录，随监理月报一起报委托人备案。监理人应在监理规划中明确承包人实施“三检”制的监督计划和重要的在分部分项工程以及关键工序（包括隐蔽工程）检验计划。</w:t>
      </w:r>
    </w:p>
    <w:p>
      <w:pPr>
        <w:widowControl/>
        <w:ind w:firstLine="480"/>
        <w:rPr>
          <w:rFonts w:ascii="宋体" w:hAnsi="宋体" w:cs="仿宋"/>
          <w:szCs w:val="28"/>
          <w:highlight w:val="none"/>
        </w:rPr>
      </w:pPr>
      <w:r>
        <w:rPr>
          <w:rFonts w:hint="eastAsia" w:ascii="宋体" w:hAnsi="宋体" w:cs="仿宋"/>
          <w:szCs w:val="28"/>
          <w:highlight w:val="none"/>
          <w:lang w:bidi="ar"/>
        </w:rPr>
        <w:t xml:space="preserve">（3）每月组织全面评审和检查承包人质量管理体系和安全文明施工管理体系，并向委托人提交检查评审报告（可以和监理月报合并提交）。 </w:t>
      </w:r>
    </w:p>
    <w:p>
      <w:pPr>
        <w:widowControl/>
        <w:ind w:firstLine="480"/>
        <w:rPr>
          <w:rFonts w:ascii="宋体" w:hAnsi="宋体" w:cs="仿宋"/>
          <w:szCs w:val="28"/>
          <w:highlight w:val="none"/>
        </w:rPr>
      </w:pPr>
      <w:r>
        <w:rPr>
          <w:rFonts w:hint="eastAsia" w:ascii="宋体" w:hAnsi="宋体" w:cs="仿宋"/>
          <w:szCs w:val="28"/>
          <w:highlight w:val="none"/>
          <w:lang w:bidi="ar"/>
        </w:rPr>
        <w:t>（4）要求承包人每周提交施工进度计划、物料进场计划、劳动力计划，组织监理人员对承包人的实践施工进度、劳动力、物料和机械设备进行检查，发现与承包人提交的计划不符合的情况应及时通知委托人并及时协调承包人确保满足计划要求。</w:t>
      </w:r>
    </w:p>
    <w:p>
      <w:pPr>
        <w:widowControl/>
        <w:ind w:firstLine="480"/>
        <w:rPr>
          <w:rFonts w:ascii="宋体" w:hAnsi="宋体" w:cs="仿宋"/>
          <w:szCs w:val="28"/>
          <w:highlight w:val="none"/>
        </w:rPr>
      </w:pPr>
      <w:r>
        <w:rPr>
          <w:rFonts w:hint="eastAsia" w:ascii="宋体" w:hAnsi="宋体" w:cs="仿宋"/>
          <w:szCs w:val="28"/>
          <w:highlight w:val="none"/>
          <w:lang w:bidi="ar"/>
        </w:rPr>
        <w:t>（5）按监理合同、国家和地方有关工程技术规范、标准检查承包人执行情况，协调有关各方的关系；定期对承包人的管理人员展开必要的培训，并在监理规划中明确，在监理月报中编制下月的培训计划。</w:t>
      </w:r>
    </w:p>
    <w:p>
      <w:pPr>
        <w:widowControl/>
        <w:ind w:firstLine="480"/>
        <w:rPr>
          <w:rFonts w:ascii="宋体" w:hAnsi="宋体" w:cs="仿宋"/>
          <w:szCs w:val="28"/>
          <w:highlight w:val="none"/>
        </w:rPr>
      </w:pPr>
      <w:r>
        <w:rPr>
          <w:rFonts w:hint="eastAsia" w:ascii="宋体" w:hAnsi="宋体" w:cs="仿宋"/>
          <w:szCs w:val="28"/>
          <w:highlight w:val="none"/>
          <w:lang w:bidi="ar"/>
        </w:rPr>
        <w:t>（6）严格监控工程材料、构配件和设备的数量、质量，按委托人现场项目部的授权要求管理委托人提供的材料；应对承包单位报送的拟进场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应签发监理工程师通知单，书面通知承包单位限期将不合格的工程材料、构配件、设备撤出现场。当承包单位采用新材料、新工艺、新技术、新设备时，监理人应要求承包单位报送相应的施工工艺措施和证明材料，组织专题论证，经审定后予以签认。监理人应监理月报中报告工程材料和设备的进场数量及质量状况。</w:t>
      </w:r>
    </w:p>
    <w:p>
      <w:pPr>
        <w:widowControl/>
        <w:ind w:firstLine="480"/>
        <w:rPr>
          <w:rFonts w:ascii="宋体" w:hAnsi="宋体" w:cs="仿宋"/>
          <w:szCs w:val="28"/>
          <w:highlight w:val="none"/>
        </w:rPr>
      </w:pPr>
      <w:r>
        <w:rPr>
          <w:rFonts w:hint="eastAsia" w:ascii="宋体" w:hAnsi="宋体" w:cs="仿宋"/>
          <w:szCs w:val="28"/>
          <w:highlight w:val="none"/>
          <w:lang w:bidi="ar"/>
        </w:rPr>
        <w:t>（7）应按下列程序进行工程计量和工程款支付审核工作：承包人统计经监理人质量及安全文明施工验收合格的工程量，按施工合同的约定填报工程量清单和工程款支付申请表。监理人进行现场计量，按施工合同的约定审核工程量清单和工程款支付申请表。并根据施工的不同阶段分别编制中间结算监理审核报告、最终结算监理审核报告并由总监理工程师签署工程监理支付证书，并报委托人审批。</w:t>
      </w:r>
    </w:p>
    <w:p>
      <w:pPr>
        <w:widowControl/>
        <w:ind w:firstLine="480"/>
        <w:rPr>
          <w:rFonts w:ascii="宋体" w:hAnsi="宋体" w:cs="仿宋"/>
          <w:szCs w:val="28"/>
          <w:highlight w:val="none"/>
        </w:rPr>
      </w:pPr>
      <w:r>
        <w:rPr>
          <w:rFonts w:hint="eastAsia" w:ascii="宋体" w:hAnsi="宋体" w:cs="仿宋"/>
          <w:szCs w:val="28"/>
          <w:highlight w:val="none"/>
          <w:lang w:bidi="ar"/>
        </w:rPr>
        <w:t>（8）严格监控工序的质量与安全，对工程质量、进度、投资和安全进行全面跟踪与监控。</w:t>
      </w:r>
    </w:p>
    <w:p>
      <w:pPr>
        <w:widowControl/>
        <w:ind w:firstLine="480"/>
        <w:rPr>
          <w:rFonts w:ascii="宋体" w:hAnsi="宋体" w:cs="仿宋"/>
          <w:szCs w:val="28"/>
          <w:highlight w:val="none"/>
        </w:rPr>
      </w:pPr>
      <w:r>
        <w:rPr>
          <w:rFonts w:hint="eastAsia" w:ascii="宋体" w:hAnsi="宋体" w:cs="仿宋"/>
          <w:szCs w:val="28"/>
          <w:highlight w:val="none"/>
          <w:lang w:bidi="ar"/>
        </w:rPr>
        <w:t>（9）协助委托人现场项目部进行设备采购，组织设备的安装调试、验收。</w:t>
      </w:r>
    </w:p>
    <w:p>
      <w:pPr>
        <w:widowControl/>
        <w:ind w:firstLine="480"/>
        <w:rPr>
          <w:rFonts w:ascii="宋体" w:hAnsi="宋体" w:cs="仿宋"/>
          <w:szCs w:val="28"/>
          <w:highlight w:val="none"/>
        </w:rPr>
      </w:pPr>
      <w:r>
        <w:rPr>
          <w:rFonts w:hint="eastAsia" w:ascii="宋体" w:hAnsi="宋体" w:cs="仿宋"/>
          <w:szCs w:val="28"/>
          <w:highlight w:val="none"/>
          <w:lang w:bidi="ar"/>
        </w:rPr>
        <w:t>（10）有计划的组织工程例会、专题会议，协调工程建设过程中各方关系，解决处理工程建设过程中存在的问题等。</w:t>
      </w:r>
    </w:p>
    <w:p>
      <w:pPr>
        <w:widowControl/>
        <w:ind w:firstLine="480"/>
        <w:rPr>
          <w:rFonts w:ascii="宋体" w:hAnsi="宋体" w:cs="仿宋"/>
          <w:szCs w:val="28"/>
          <w:highlight w:val="none"/>
        </w:rPr>
      </w:pPr>
      <w:r>
        <w:rPr>
          <w:rFonts w:hint="eastAsia" w:ascii="宋体" w:hAnsi="宋体" w:cs="仿宋"/>
          <w:szCs w:val="28"/>
          <w:highlight w:val="none"/>
          <w:lang w:bidi="ar"/>
        </w:rPr>
        <w:t>（11）配合委托人组织对项目质量安全事故进行调查处理，积极协调处理项目工地发生的突发性事故，安排做好现场取证以及现场保护救助工作，防止事故进一步恶化，并及时通知委托人现场项目部。项目出现任何事故，监理人必须首先通知委托人现场项目部，未经委托人同意，监理人不能擅自报告有关部门（不包括救护部门）及媒体。否则按附加协议条款处罚。</w:t>
      </w:r>
    </w:p>
    <w:p>
      <w:pPr>
        <w:widowControl/>
        <w:ind w:firstLine="480"/>
        <w:rPr>
          <w:rFonts w:ascii="宋体" w:hAnsi="宋体" w:cs="仿宋"/>
          <w:szCs w:val="28"/>
          <w:highlight w:val="none"/>
        </w:rPr>
      </w:pPr>
      <w:r>
        <w:rPr>
          <w:rFonts w:hint="eastAsia" w:ascii="宋体" w:hAnsi="宋体" w:cs="仿宋"/>
          <w:szCs w:val="28"/>
          <w:highlight w:val="none"/>
          <w:lang w:bidi="ar"/>
        </w:rPr>
        <w:t>（12）调解委托人和承包人之间的合同争议。如果出现委托人和承包人的工程合同提前终止的情况，监理人应清理承包人已按施工合同规定实际完成的工作所应得的款项和已经得到支付的款项；施工现场余留的材料、设备及临时工程的价值；对该部分工程的清理、质量缺陷修复等所需的费用；施工合同规定的承包人应支付的违约金；同时监理人应组织有关单位对承包人已完工程进行全面检查验收和工程量确认、组织移交工程资料，协助委托人协调承包人进退场。</w:t>
      </w:r>
    </w:p>
    <w:p>
      <w:pPr>
        <w:widowControl/>
        <w:ind w:firstLine="480"/>
        <w:rPr>
          <w:rFonts w:ascii="宋体" w:hAnsi="宋体" w:cs="仿宋"/>
          <w:szCs w:val="28"/>
          <w:highlight w:val="none"/>
        </w:rPr>
      </w:pPr>
      <w:r>
        <w:rPr>
          <w:rFonts w:hint="eastAsia" w:ascii="宋体" w:hAnsi="宋体" w:cs="仿宋"/>
          <w:szCs w:val="28"/>
          <w:highlight w:val="none"/>
          <w:lang w:bidi="ar"/>
        </w:rPr>
        <w:t>（13）在合同争议的诉讼过程中，监理人接到法院要求提供有关证据的通知后，及时向法院提供与争议有关的证据。</w:t>
      </w:r>
    </w:p>
    <w:p>
      <w:pPr>
        <w:widowControl/>
        <w:ind w:firstLine="480"/>
        <w:rPr>
          <w:rFonts w:ascii="宋体" w:hAnsi="宋体" w:cs="仿宋"/>
          <w:szCs w:val="28"/>
          <w:highlight w:val="none"/>
        </w:rPr>
      </w:pPr>
      <w:r>
        <w:rPr>
          <w:rFonts w:hint="eastAsia" w:ascii="宋体" w:hAnsi="宋体" w:cs="仿宋"/>
          <w:szCs w:val="28"/>
          <w:highlight w:val="none"/>
          <w:lang w:bidi="ar"/>
        </w:rPr>
        <w:t>（14）检查督促承包人的工程技术资料的收集整理工作，整理监理资料，工程初验后向委托人现场项目部移交工程档案资料，提交监理工作总结报告。</w:t>
      </w:r>
    </w:p>
    <w:p>
      <w:pPr>
        <w:widowControl/>
        <w:ind w:firstLine="480"/>
        <w:rPr>
          <w:rFonts w:ascii="宋体" w:hAnsi="宋体" w:cs="仿宋"/>
          <w:szCs w:val="28"/>
          <w:highlight w:val="none"/>
        </w:rPr>
      </w:pPr>
      <w:r>
        <w:rPr>
          <w:rFonts w:hint="eastAsia" w:ascii="宋体" w:hAnsi="宋体" w:cs="仿宋"/>
          <w:szCs w:val="28"/>
          <w:highlight w:val="none"/>
          <w:lang w:bidi="ar"/>
        </w:rPr>
        <w:t>（15）工程在完工之后，监理人应按国家规范标准《建设工程文件归档整理规范》（GB/T 50328-2014（2019年版））、</w:t>
      </w:r>
      <w:r>
        <w:rPr>
          <w:rFonts w:hint="eastAsia" w:ascii="宋体" w:hAnsi="宋体" w:cs="仿宋"/>
          <w:szCs w:val="28"/>
          <w:highlight w:val="none"/>
          <w:u w:val="single"/>
          <w:lang w:bidi="ar"/>
        </w:rPr>
        <w:t>荥阳</w:t>
      </w:r>
      <w:r>
        <w:rPr>
          <w:rFonts w:hint="eastAsia" w:ascii="宋体" w:hAnsi="宋体" w:cs="仿宋"/>
          <w:szCs w:val="28"/>
          <w:highlight w:val="none"/>
          <w:lang w:bidi="ar"/>
        </w:rPr>
        <w:t>市建设部门实行的相关规范规定及时对总承包单位、分包单位的各分部工程资料严格把关审查，监理人组织对工程竣工档案检查后，提出整改意见要求承包商限期整改，由监理人组织复查，直至工程档案符合质监部门、城建档案馆的验收要求。</w:t>
      </w:r>
    </w:p>
    <w:p>
      <w:pPr>
        <w:widowControl/>
        <w:ind w:firstLine="480"/>
        <w:rPr>
          <w:rFonts w:ascii="宋体" w:hAnsi="宋体" w:cs="仿宋"/>
          <w:szCs w:val="28"/>
          <w:highlight w:val="none"/>
        </w:rPr>
      </w:pPr>
      <w:r>
        <w:rPr>
          <w:rFonts w:hint="eastAsia" w:ascii="宋体" w:hAnsi="宋体" w:cs="仿宋"/>
          <w:szCs w:val="28"/>
          <w:highlight w:val="none"/>
          <w:lang w:bidi="ar"/>
        </w:rPr>
        <w:t>（16)工程在具备竣工验收条件时，监理人应按国家工程竣工验收有关规定，向委托人提供完整监理资料及工程质量评估报告(包括文字、视频、电子文档)。工程质量评估报告一式陆份原件、其它监理资料按荥阳市城建档案馆的规范规定组卷、装订成册一式贰份原件移交委托人。</w:t>
      </w:r>
    </w:p>
    <w:p>
      <w:pPr>
        <w:widowControl/>
        <w:ind w:firstLine="480"/>
        <w:rPr>
          <w:rFonts w:ascii="宋体" w:hAnsi="宋体" w:cs="仿宋"/>
          <w:szCs w:val="28"/>
          <w:highlight w:val="none"/>
        </w:rPr>
      </w:pPr>
      <w:r>
        <w:rPr>
          <w:rFonts w:hint="eastAsia" w:ascii="宋体" w:hAnsi="宋体" w:cs="仿宋"/>
          <w:szCs w:val="28"/>
          <w:highlight w:val="none"/>
          <w:lang w:bidi="ar"/>
        </w:rPr>
        <w:t>（17）工程竣工验收通过后，监理人应积极配合委托人完善工程相关竣工质量验收及备案文件，不得有任何理由拒绝委托人在竣工质量验收及备案文件上签字盖章。否则影响委托人办理备案，所造成的损失由监理人承担。</w:t>
      </w:r>
    </w:p>
    <w:p>
      <w:pPr>
        <w:widowControl/>
        <w:ind w:firstLine="480"/>
        <w:rPr>
          <w:rFonts w:ascii="宋体" w:hAnsi="宋体" w:cs="仿宋"/>
          <w:szCs w:val="28"/>
          <w:highlight w:val="none"/>
        </w:rPr>
      </w:pPr>
      <w:r>
        <w:rPr>
          <w:rFonts w:hint="eastAsia" w:ascii="宋体" w:hAnsi="宋体" w:cs="仿宋"/>
          <w:szCs w:val="28"/>
          <w:highlight w:val="none"/>
          <w:lang w:bidi="ar"/>
        </w:rPr>
        <w:t>（18）参加委托人现场项目部组织的工程核验和移交工作。</w:t>
      </w:r>
    </w:p>
    <w:p>
      <w:pPr>
        <w:widowControl/>
        <w:ind w:firstLine="480"/>
        <w:rPr>
          <w:rFonts w:ascii="宋体" w:hAnsi="宋体" w:cs="仿宋"/>
          <w:szCs w:val="28"/>
          <w:highlight w:val="none"/>
        </w:rPr>
      </w:pPr>
      <w:r>
        <w:rPr>
          <w:rFonts w:hint="eastAsia" w:ascii="宋体" w:hAnsi="宋体" w:cs="仿宋"/>
          <w:szCs w:val="28"/>
          <w:highlight w:val="none"/>
          <w:lang w:bidi="ar"/>
        </w:rPr>
        <w:t>（19）协助委托人审查工程预算及结算。</w:t>
      </w:r>
    </w:p>
    <w:p>
      <w:pPr>
        <w:widowControl/>
        <w:ind w:firstLine="480"/>
        <w:rPr>
          <w:rFonts w:ascii="宋体" w:hAnsi="宋体" w:cs="仿宋"/>
          <w:szCs w:val="28"/>
          <w:highlight w:val="none"/>
        </w:rPr>
      </w:pPr>
      <w:r>
        <w:rPr>
          <w:rFonts w:hint="eastAsia" w:ascii="宋体" w:hAnsi="宋体" w:cs="仿宋"/>
          <w:szCs w:val="28"/>
          <w:highlight w:val="none"/>
          <w:lang w:bidi="ar"/>
        </w:rPr>
        <w:t>（20）监理人的项目总监理工程师应在工程结束之后组织承包人进行工程保修检查验收及时签发解除保修期质量责任书给承包人，并抄报委托人。</w:t>
      </w:r>
    </w:p>
    <w:p>
      <w:pPr>
        <w:ind w:firstLine="482"/>
        <w:rPr>
          <w:rFonts w:ascii="宋体" w:hAnsi="宋体" w:cs="仿宋"/>
          <w:szCs w:val="28"/>
          <w:highlight w:val="none"/>
        </w:rPr>
      </w:pPr>
      <w:r>
        <w:rPr>
          <w:rFonts w:hint="eastAsia" w:ascii="宋体" w:hAnsi="宋体" w:cs="仿宋"/>
          <w:b/>
          <w:bCs/>
          <w:szCs w:val="28"/>
          <w:highlight w:val="none"/>
          <w:lang w:bidi="ar"/>
        </w:rPr>
        <w:t>第五条</w:t>
      </w:r>
      <w:r>
        <w:rPr>
          <w:rFonts w:hint="eastAsia" w:ascii="宋体" w:hAnsi="宋体" w:cs="仿宋"/>
          <w:szCs w:val="28"/>
          <w:highlight w:val="none"/>
          <w:lang w:bidi="ar"/>
        </w:rPr>
        <w:t xml:space="preserve">  监理人在履行本合同的义务期间，应认真、勤奋地工作，为委托人提供与其水平相适应的咨询意见，公正维护各方面的合法权益。</w:t>
      </w:r>
    </w:p>
    <w:p>
      <w:pPr>
        <w:ind w:firstLine="482"/>
        <w:rPr>
          <w:rFonts w:ascii="宋体" w:hAnsi="宋体" w:cs="仿宋"/>
          <w:szCs w:val="28"/>
          <w:highlight w:val="none"/>
        </w:rPr>
      </w:pPr>
      <w:r>
        <w:rPr>
          <w:rFonts w:hint="eastAsia" w:ascii="宋体" w:hAnsi="宋体" w:cs="仿宋"/>
          <w:b/>
          <w:bCs/>
          <w:szCs w:val="28"/>
          <w:highlight w:val="none"/>
          <w:lang w:bidi="ar"/>
        </w:rPr>
        <w:t>第六条</w:t>
      </w:r>
      <w:r>
        <w:rPr>
          <w:rFonts w:hint="eastAsia" w:ascii="宋体" w:hAnsi="宋体" w:cs="仿宋"/>
          <w:szCs w:val="28"/>
          <w:highlight w:val="none"/>
          <w:lang w:bidi="ar"/>
        </w:rPr>
        <w:t xml:space="preserve">  监理人使用委托人提供的设施和物品属委托人的财产。在监理工作完成或中止时，应将其设施和剩余的物品按合同约定的时间和方式交给委托人。</w:t>
      </w:r>
    </w:p>
    <w:p>
      <w:pPr>
        <w:ind w:firstLine="482"/>
        <w:rPr>
          <w:rFonts w:ascii="宋体" w:hAnsi="宋体" w:cs="仿宋"/>
          <w:szCs w:val="28"/>
          <w:highlight w:val="none"/>
        </w:rPr>
      </w:pPr>
      <w:r>
        <w:rPr>
          <w:rFonts w:hint="eastAsia" w:ascii="宋体" w:hAnsi="宋体" w:cs="仿宋"/>
          <w:b/>
          <w:bCs/>
          <w:szCs w:val="28"/>
          <w:highlight w:val="none"/>
          <w:lang w:bidi="ar"/>
        </w:rPr>
        <w:t>第七条</w:t>
      </w:r>
      <w:r>
        <w:rPr>
          <w:rFonts w:hint="eastAsia" w:ascii="宋体" w:hAnsi="宋体" w:cs="仿宋"/>
          <w:szCs w:val="28"/>
          <w:highlight w:val="none"/>
          <w:lang w:bidi="ar"/>
        </w:rPr>
        <w:t xml:space="preserve">  在合同期内或合同终止后，未征得有关方同意，不得泄露与本工程、本合同业务有关的保密资料。</w:t>
      </w:r>
    </w:p>
    <w:p>
      <w:pPr>
        <w:ind w:firstLine="482"/>
        <w:jc w:val="center"/>
        <w:rPr>
          <w:rFonts w:ascii="宋体" w:hAnsi="宋体" w:cs="仿宋"/>
          <w:b/>
          <w:bCs/>
          <w:szCs w:val="28"/>
          <w:highlight w:val="none"/>
        </w:rPr>
      </w:pPr>
      <w:r>
        <w:rPr>
          <w:rFonts w:hint="eastAsia" w:ascii="宋体" w:hAnsi="宋体" w:cs="仿宋"/>
          <w:b/>
          <w:bCs/>
          <w:szCs w:val="28"/>
          <w:highlight w:val="none"/>
          <w:lang w:bidi="ar"/>
        </w:rPr>
        <w:t>委托人义务</w:t>
      </w:r>
    </w:p>
    <w:p>
      <w:pPr>
        <w:ind w:firstLine="482"/>
        <w:rPr>
          <w:rFonts w:ascii="宋体" w:hAnsi="宋体" w:cs="仿宋"/>
          <w:szCs w:val="28"/>
          <w:highlight w:val="none"/>
        </w:rPr>
      </w:pPr>
      <w:r>
        <w:rPr>
          <w:rFonts w:hint="eastAsia" w:ascii="宋体" w:hAnsi="宋体" w:cs="仿宋"/>
          <w:b/>
          <w:bCs/>
          <w:szCs w:val="28"/>
          <w:highlight w:val="none"/>
          <w:lang w:bidi="ar"/>
        </w:rPr>
        <w:t>第八条</w:t>
      </w:r>
      <w:r>
        <w:rPr>
          <w:rFonts w:hint="eastAsia" w:ascii="宋体" w:hAnsi="宋体" w:cs="仿宋"/>
          <w:szCs w:val="28"/>
          <w:highlight w:val="none"/>
          <w:lang w:bidi="ar"/>
        </w:rPr>
        <w:t xml:space="preserve">  委托人在监理人开展监理业务期间按合同约定支付监理费。</w:t>
      </w:r>
    </w:p>
    <w:p>
      <w:pPr>
        <w:ind w:firstLine="482"/>
        <w:rPr>
          <w:rFonts w:ascii="宋体" w:hAnsi="宋体" w:cs="仿宋"/>
          <w:szCs w:val="28"/>
          <w:highlight w:val="none"/>
        </w:rPr>
      </w:pPr>
      <w:r>
        <w:rPr>
          <w:rFonts w:hint="eastAsia" w:ascii="宋体" w:hAnsi="宋体" w:cs="仿宋"/>
          <w:b/>
          <w:bCs/>
          <w:szCs w:val="28"/>
          <w:highlight w:val="none"/>
          <w:lang w:bidi="ar"/>
        </w:rPr>
        <w:t>第九条</w:t>
      </w:r>
      <w:r>
        <w:rPr>
          <w:rFonts w:hint="eastAsia" w:ascii="宋体" w:hAnsi="宋体" w:cs="仿宋"/>
          <w:szCs w:val="28"/>
          <w:highlight w:val="none"/>
          <w:lang w:bidi="ar"/>
        </w:rPr>
        <w:t xml:space="preserve">  委托人应当负责工程建设外部关系的协调，为监理工作提供外部条件。</w:t>
      </w:r>
    </w:p>
    <w:p>
      <w:pPr>
        <w:numPr>
          <w:ilvl w:val="0"/>
          <w:numId w:val="5"/>
        </w:numPr>
        <w:adjustRightInd w:val="0"/>
        <w:snapToGrid w:val="0"/>
        <w:ind w:left="905" w:hanging="425"/>
        <w:rPr>
          <w:rFonts w:ascii="宋体" w:hAnsi="宋体" w:cs="仿宋"/>
          <w:b/>
          <w:szCs w:val="28"/>
          <w:highlight w:val="none"/>
        </w:rPr>
      </w:pPr>
      <w:r>
        <w:rPr>
          <w:rFonts w:hint="eastAsia" w:ascii="宋体" w:hAnsi="宋体" w:cs="仿宋"/>
          <w:szCs w:val="28"/>
          <w:highlight w:val="none"/>
          <w:lang w:bidi="ar"/>
        </w:rPr>
        <w:t>委托人负责完善的开工前期条件、获政府有关部门批准的文件，支付费用。</w:t>
      </w:r>
    </w:p>
    <w:p>
      <w:pPr>
        <w:widowControl/>
        <w:numPr>
          <w:ilvl w:val="0"/>
          <w:numId w:val="6"/>
        </w:numPr>
        <w:adjustRightInd w:val="0"/>
        <w:snapToGrid w:val="0"/>
        <w:ind w:leftChars="300" w:hanging="161" w:hangingChars="77"/>
        <w:rPr>
          <w:rFonts w:ascii="宋体" w:hAnsi="宋体" w:cs="仿宋"/>
          <w:szCs w:val="28"/>
          <w:highlight w:val="none"/>
        </w:rPr>
      </w:pPr>
      <w:r>
        <w:rPr>
          <w:rFonts w:hint="eastAsia" w:ascii="宋体" w:hAnsi="宋体" w:cs="仿宋"/>
          <w:szCs w:val="28"/>
          <w:highlight w:val="none"/>
          <w:lang w:bidi="ar"/>
        </w:rPr>
        <w:t>委托人负责与政府各职能部门的联系工作。</w:t>
      </w:r>
    </w:p>
    <w:p>
      <w:pPr>
        <w:widowControl/>
        <w:numPr>
          <w:ilvl w:val="0"/>
          <w:numId w:val="6"/>
        </w:numPr>
        <w:adjustRightInd w:val="0"/>
        <w:snapToGrid w:val="0"/>
        <w:ind w:leftChars="300" w:hanging="161" w:hangingChars="77"/>
        <w:rPr>
          <w:rFonts w:ascii="宋体" w:hAnsi="宋体" w:cs="仿宋"/>
          <w:szCs w:val="28"/>
          <w:highlight w:val="none"/>
        </w:rPr>
      </w:pPr>
      <w:r>
        <w:rPr>
          <w:rFonts w:hint="eastAsia" w:ascii="宋体" w:hAnsi="宋体" w:cs="仿宋"/>
          <w:szCs w:val="28"/>
          <w:highlight w:val="none"/>
          <w:lang w:bidi="ar"/>
        </w:rPr>
        <w:t>委托人负责与设计单位的协调。</w:t>
      </w:r>
    </w:p>
    <w:p>
      <w:pPr>
        <w:numPr>
          <w:ilvl w:val="0"/>
          <w:numId w:val="6"/>
        </w:numPr>
        <w:adjustRightInd w:val="0"/>
        <w:snapToGrid w:val="0"/>
        <w:ind w:left="4" w:firstLine="625" w:firstLineChars="298"/>
        <w:rPr>
          <w:rFonts w:ascii="宋体" w:hAnsi="宋体" w:cs="仿宋"/>
          <w:szCs w:val="28"/>
          <w:highlight w:val="none"/>
        </w:rPr>
      </w:pPr>
      <w:r>
        <w:rPr>
          <w:rFonts w:hint="eastAsia" w:ascii="宋体" w:hAnsi="宋体" w:cs="仿宋"/>
          <w:szCs w:val="28"/>
          <w:highlight w:val="none"/>
          <w:lang w:bidi="ar"/>
        </w:rPr>
        <w:t>委托人与施工承包方签订的合同中必须写明委托监理人的有关职责和权利，以确保施工承包单位接受监理工程师对工程建设进行实质性监督管理。</w:t>
      </w:r>
    </w:p>
    <w:p>
      <w:pPr>
        <w:numPr>
          <w:ilvl w:val="0"/>
          <w:numId w:val="5"/>
        </w:numPr>
        <w:autoSpaceDE w:val="0"/>
        <w:autoSpaceDN w:val="0"/>
        <w:adjustRightInd w:val="0"/>
        <w:snapToGrid w:val="0"/>
        <w:ind w:left="7" w:firstLine="475"/>
        <w:rPr>
          <w:rFonts w:ascii="宋体" w:hAnsi="宋体" w:cs="仿宋"/>
          <w:szCs w:val="28"/>
          <w:highlight w:val="none"/>
        </w:rPr>
      </w:pPr>
      <w:r>
        <w:rPr>
          <w:rFonts w:hint="eastAsia" w:ascii="宋体" w:hAnsi="宋体" w:cs="仿宋"/>
          <w:szCs w:val="28"/>
          <w:highlight w:val="none"/>
          <w:lang w:bidi="ar"/>
        </w:rPr>
        <w:t>委托人应当在双方约定的时间内免费向监理人提供与工程有关的为监理工作所需要的工程资料。</w:t>
      </w:r>
    </w:p>
    <w:p>
      <w:pPr>
        <w:widowControl/>
        <w:numPr>
          <w:ilvl w:val="0"/>
          <w:numId w:val="7"/>
        </w:numPr>
        <w:adjustRightInd w:val="0"/>
        <w:snapToGrid w:val="0"/>
        <w:ind w:left="424" w:leftChars="202" w:firstLine="203" w:firstLineChars="97"/>
        <w:rPr>
          <w:rFonts w:ascii="宋体" w:hAnsi="宋体" w:cs="仿宋"/>
          <w:szCs w:val="28"/>
          <w:highlight w:val="none"/>
        </w:rPr>
      </w:pPr>
      <w:r>
        <w:rPr>
          <w:rFonts w:hint="eastAsia" w:ascii="宋体" w:hAnsi="宋体" w:cs="仿宋"/>
          <w:szCs w:val="28"/>
          <w:highlight w:val="none"/>
          <w:lang w:bidi="ar"/>
        </w:rPr>
        <w:t>本工程正式开工前10天提供施工图纸壹套。</w:t>
      </w:r>
    </w:p>
    <w:p>
      <w:pPr>
        <w:widowControl/>
        <w:numPr>
          <w:ilvl w:val="0"/>
          <w:numId w:val="7"/>
        </w:numPr>
        <w:adjustRightInd w:val="0"/>
        <w:snapToGrid w:val="0"/>
        <w:ind w:left="424" w:leftChars="202" w:firstLine="203" w:firstLineChars="97"/>
        <w:rPr>
          <w:rFonts w:ascii="宋体" w:hAnsi="宋体" w:cs="仿宋"/>
          <w:szCs w:val="28"/>
          <w:highlight w:val="none"/>
        </w:rPr>
      </w:pPr>
      <w:r>
        <w:rPr>
          <w:rFonts w:hint="eastAsia" w:ascii="宋体" w:hAnsi="宋体" w:cs="仿宋"/>
          <w:szCs w:val="28"/>
          <w:highlight w:val="none"/>
          <w:lang w:bidi="ar"/>
        </w:rPr>
        <w:t>设计变更、技术核定内容等工程资料随工程进度需要及时提供。</w:t>
      </w:r>
    </w:p>
    <w:p>
      <w:pPr>
        <w:widowControl/>
        <w:numPr>
          <w:ilvl w:val="0"/>
          <w:numId w:val="7"/>
        </w:numPr>
        <w:adjustRightInd w:val="0"/>
        <w:snapToGrid w:val="0"/>
        <w:ind w:left="424" w:leftChars="202" w:firstLine="203" w:firstLineChars="97"/>
        <w:rPr>
          <w:rFonts w:ascii="宋体" w:hAnsi="宋体" w:cs="仿宋"/>
          <w:szCs w:val="28"/>
          <w:highlight w:val="none"/>
        </w:rPr>
      </w:pPr>
      <w:r>
        <w:rPr>
          <w:rFonts w:hint="eastAsia" w:ascii="宋体" w:hAnsi="宋体" w:cs="仿宋"/>
          <w:szCs w:val="28"/>
          <w:highlight w:val="none"/>
          <w:lang w:bidi="ar"/>
        </w:rPr>
        <w:t>地质资料一份，相关的水准点和坐标点。</w:t>
      </w:r>
    </w:p>
    <w:p>
      <w:pPr>
        <w:widowControl/>
        <w:numPr>
          <w:ilvl w:val="0"/>
          <w:numId w:val="7"/>
        </w:numPr>
        <w:adjustRightInd w:val="0"/>
        <w:snapToGrid w:val="0"/>
        <w:ind w:left="424" w:leftChars="202" w:firstLine="203" w:firstLineChars="97"/>
        <w:rPr>
          <w:rFonts w:ascii="宋体" w:hAnsi="宋体" w:cs="仿宋"/>
          <w:szCs w:val="28"/>
          <w:highlight w:val="none"/>
        </w:rPr>
      </w:pPr>
      <w:r>
        <w:rPr>
          <w:rFonts w:hint="eastAsia" w:ascii="宋体" w:hAnsi="宋体" w:cs="仿宋"/>
          <w:szCs w:val="28"/>
          <w:highlight w:val="none"/>
          <w:lang w:bidi="ar"/>
        </w:rPr>
        <w:t>工程施工总承包合同及有关附属文件。</w:t>
      </w:r>
    </w:p>
    <w:p>
      <w:pPr>
        <w:ind w:firstLine="482"/>
        <w:rPr>
          <w:rFonts w:ascii="宋体" w:hAnsi="宋体" w:cs="仿宋"/>
          <w:szCs w:val="28"/>
          <w:highlight w:val="none"/>
        </w:rPr>
      </w:pPr>
      <w:r>
        <w:rPr>
          <w:rFonts w:hint="eastAsia" w:ascii="宋体" w:hAnsi="宋体" w:cs="仿宋"/>
          <w:b/>
          <w:bCs/>
          <w:szCs w:val="28"/>
          <w:highlight w:val="none"/>
          <w:lang w:bidi="ar"/>
        </w:rPr>
        <w:t>第十条</w:t>
      </w:r>
      <w:r>
        <w:rPr>
          <w:rFonts w:hint="eastAsia" w:ascii="宋体" w:hAnsi="宋体" w:cs="仿宋"/>
          <w:szCs w:val="28"/>
          <w:highlight w:val="none"/>
          <w:lang w:bidi="ar"/>
        </w:rPr>
        <w:t xml:space="preserve"> 委托人应当在双方约定的时间内免费向监理人提供与工程有关的为监理工作所需要的工程资料。</w:t>
      </w:r>
    </w:p>
    <w:p>
      <w:pPr>
        <w:widowControl/>
        <w:ind w:firstLine="482"/>
        <w:rPr>
          <w:rFonts w:ascii="宋体" w:hAnsi="宋体" w:cs="仿宋"/>
          <w:szCs w:val="28"/>
          <w:highlight w:val="none"/>
        </w:rPr>
      </w:pPr>
      <w:r>
        <w:rPr>
          <w:rFonts w:hint="eastAsia" w:ascii="宋体" w:hAnsi="宋体" w:cs="仿宋"/>
          <w:b/>
          <w:szCs w:val="28"/>
          <w:highlight w:val="none"/>
          <w:lang w:bidi="ar"/>
        </w:rPr>
        <w:t xml:space="preserve">第十一条 </w:t>
      </w:r>
      <w:r>
        <w:rPr>
          <w:rFonts w:hint="eastAsia" w:ascii="宋体" w:hAnsi="宋体" w:cs="仿宋"/>
          <w:szCs w:val="28"/>
          <w:highlight w:val="none"/>
          <w:lang w:bidi="ar"/>
        </w:rPr>
        <w:t xml:space="preserve">委托人应在 </w:t>
      </w:r>
      <w:r>
        <w:rPr>
          <w:rFonts w:hint="eastAsia" w:ascii="宋体" w:hAnsi="宋体" w:cs="仿宋"/>
          <w:szCs w:val="28"/>
          <w:highlight w:val="none"/>
          <w:u w:val="single"/>
          <w:lang w:bidi="ar"/>
        </w:rPr>
        <w:t xml:space="preserve"> 2 </w:t>
      </w:r>
      <w:r>
        <w:rPr>
          <w:rFonts w:hint="eastAsia" w:ascii="宋体" w:hAnsi="宋体" w:cs="仿宋"/>
          <w:szCs w:val="28"/>
          <w:highlight w:val="none"/>
          <w:lang w:bidi="ar"/>
        </w:rPr>
        <w:t>个工作日内对监理人提交的并要求做出决定的重要事情作书面答复。若在特殊情况下有特殊时间要求的，委托人应根据情况按监理人的要求及时答复。</w:t>
      </w:r>
    </w:p>
    <w:p>
      <w:pPr>
        <w:widowControl/>
        <w:ind w:firstLine="482"/>
        <w:rPr>
          <w:rFonts w:ascii="宋体" w:hAnsi="宋体" w:cs="仿宋"/>
          <w:szCs w:val="28"/>
          <w:highlight w:val="none"/>
        </w:rPr>
      </w:pPr>
      <w:r>
        <w:rPr>
          <w:rFonts w:hint="eastAsia" w:ascii="宋体" w:hAnsi="宋体" w:cs="仿宋"/>
          <w:b/>
          <w:szCs w:val="28"/>
          <w:highlight w:val="none"/>
          <w:lang w:bidi="ar"/>
        </w:rPr>
        <w:t>第十二条</w:t>
      </w:r>
      <w:r>
        <w:rPr>
          <w:rFonts w:hint="eastAsia" w:ascii="宋体" w:hAnsi="宋体" w:cs="仿宋"/>
          <w:szCs w:val="28"/>
          <w:highlight w:val="none"/>
          <w:lang w:bidi="ar"/>
        </w:rPr>
        <w:t xml:space="preserve"> 委托人指派 </w:t>
      </w:r>
      <w:r>
        <w:rPr>
          <w:rFonts w:ascii="宋体" w:hAnsi="宋体" w:cs="仿宋"/>
          <w:szCs w:val="28"/>
          <w:highlight w:val="none"/>
          <w:u w:val="single"/>
          <w:lang w:bidi="ar"/>
        </w:rPr>
        <w:t>XXXX</w:t>
      </w:r>
      <w:r>
        <w:rPr>
          <w:rFonts w:hint="eastAsia" w:ascii="宋体" w:hAnsi="宋体" w:cs="仿宋"/>
          <w:szCs w:val="28"/>
          <w:highlight w:val="none"/>
          <w:lang w:bidi="ar"/>
        </w:rPr>
        <w:t>，电话：</w:t>
      </w:r>
      <w:r>
        <w:rPr>
          <w:rFonts w:ascii="宋体" w:hAnsi="宋体" w:cs="仿宋"/>
          <w:szCs w:val="28"/>
          <w:highlight w:val="none"/>
          <w:u w:val="single"/>
          <w:lang w:bidi="ar"/>
        </w:rPr>
        <w:t>XXXXXX</w:t>
      </w:r>
      <w:r>
        <w:rPr>
          <w:rFonts w:hint="eastAsia" w:ascii="宋体" w:hAnsi="宋体" w:cs="仿宋"/>
          <w:szCs w:val="28"/>
          <w:highlight w:val="none"/>
          <w:lang w:bidi="ar"/>
        </w:rPr>
        <w:t>为委托人代表，该代表具有如下基本职权：</w:t>
      </w:r>
    </w:p>
    <w:p>
      <w:pPr>
        <w:widowControl/>
        <w:numPr>
          <w:ilvl w:val="0"/>
          <w:numId w:val="8"/>
        </w:numPr>
        <w:adjustRightInd w:val="0"/>
        <w:snapToGrid w:val="0"/>
        <w:rPr>
          <w:rFonts w:ascii="宋体" w:hAnsi="宋体" w:cs="仿宋"/>
          <w:szCs w:val="28"/>
          <w:highlight w:val="none"/>
        </w:rPr>
      </w:pPr>
      <w:r>
        <w:rPr>
          <w:rFonts w:hint="eastAsia" w:ascii="宋体" w:hAnsi="宋体" w:cs="仿宋"/>
          <w:szCs w:val="28"/>
          <w:highlight w:val="none"/>
          <w:lang w:bidi="ar"/>
        </w:rPr>
        <w:t>签署和批准项目指令、变更指令。</w:t>
      </w:r>
    </w:p>
    <w:p>
      <w:pPr>
        <w:widowControl/>
        <w:numPr>
          <w:ilvl w:val="0"/>
          <w:numId w:val="8"/>
        </w:numPr>
        <w:adjustRightInd w:val="0"/>
        <w:snapToGrid w:val="0"/>
        <w:rPr>
          <w:rFonts w:ascii="宋体" w:hAnsi="宋体" w:cs="仿宋"/>
          <w:szCs w:val="28"/>
          <w:highlight w:val="none"/>
        </w:rPr>
      </w:pPr>
      <w:r>
        <w:rPr>
          <w:rFonts w:hint="eastAsia" w:ascii="宋体" w:hAnsi="宋体" w:cs="仿宋"/>
          <w:szCs w:val="28"/>
          <w:highlight w:val="none"/>
          <w:lang w:bidi="ar"/>
        </w:rPr>
        <w:t>及时审核监理人的指示、报告、信函等。</w:t>
      </w:r>
    </w:p>
    <w:p>
      <w:pPr>
        <w:widowControl/>
        <w:numPr>
          <w:ilvl w:val="0"/>
          <w:numId w:val="8"/>
        </w:numPr>
        <w:adjustRightInd w:val="0"/>
        <w:snapToGrid w:val="0"/>
        <w:rPr>
          <w:rFonts w:ascii="宋体" w:hAnsi="宋体" w:cs="仿宋"/>
          <w:szCs w:val="28"/>
          <w:highlight w:val="none"/>
        </w:rPr>
      </w:pPr>
      <w:r>
        <w:rPr>
          <w:rFonts w:hint="eastAsia" w:ascii="宋体" w:hAnsi="宋体" w:cs="仿宋"/>
          <w:szCs w:val="28"/>
          <w:highlight w:val="none"/>
          <w:lang w:bidi="ar"/>
        </w:rPr>
        <w:t>迅速向监理人提供有关信息、资料。</w:t>
      </w:r>
    </w:p>
    <w:p>
      <w:pPr>
        <w:numPr>
          <w:ilvl w:val="0"/>
          <w:numId w:val="8"/>
        </w:numPr>
        <w:adjustRightInd w:val="0"/>
        <w:snapToGrid w:val="0"/>
        <w:rPr>
          <w:rFonts w:ascii="宋体" w:hAnsi="宋体" w:cs="仿宋"/>
          <w:szCs w:val="28"/>
          <w:highlight w:val="none"/>
        </w:rPr>
      </w:pPr>
      <w:r>
        <w:rPr>
          <w:rFonts w:hint="eastAsia" w:ascii="宋体" w:hAnsi="宋体" w:cs="仿宋"/>
          <w:szCs w:val="28"/>
          <w:highlight w:val="none"/>
          <w:lang w:bidi="ar"/>
        </w:rPr>
        <w:t>负责对监理范围内的工程量、工程造价的初步审核及批复。</w:t>
      </w:r>
    </w:p>
    <w:p>
      <w:pPr>
        <w:numPr>
          <w:ilvl w:val="0"/>
          <w:numId w:val="8"/>
        </w:numPr>
        <w:adjustRightInd w:val="0"/>
        <w:snapToGrid w:val="0"/>
        <w:rPr>
          <w:rFonts w:ascii="宋体" w:hAnsi="宋体" w:cs="仿宋"/>
          <w:szCs w:val="28"/>
          <w:highlight w:val="none"/>
        </w:rPr>
      </w:pPr>
      <w:r>
        <w:rPr>
          <w:rFonts w:hint="eastAsia" w:ascii="宋体" w:hAnsi="宋体" w:cs="仿宋"/>
          <w:szCs w:val="28"/>
          <w:highlight w:val="none"/>
          <w:lang w:bidi="ar"/>
        </w:rPr>
        <w:t>该代表不具备本合同变更、终止及解除的权利。</w:t>
      </w:r>
    </w:p>
    <w:p>
      <w:pPr>
        <w:ind w:firstLine="482"/>
        <w:rPr>
          <w:rFonts w:ascii="宋体" w:hAnsi="宋体" w:cs="仿宋"/>
          <w:szCs w:val="28"/>
          <w:highlight w:val="none"/>
        </w:rPr>
      </w:pPr>
      <w:r>
        <w:rPr>
          <w:rFonts w:hint="eastAsia" w:ascii="宋体" w:hAnsi="宋体" w:cs="仿宋"/>
          <w:b/>
          <w:bCs/>
          <w:szCs w:val="28"/>
          <w:highlight w:val="none"/>
          <w:lang w:bidi="ar"/>
        </w:rPr>
        <w:t>第十三条</w:t>
      </w:r>
      <w:r>
        <w:rPr>
          <w:rFonts w:hint="eastAsia" w:ascii="宋体" w:hAnsi="宋体" w:cs="仿宋"/>
          <w:szCs w:val="28"/>
          <w:highlight w:val="none"/>
          <w:lang w:bidi="ar"/>
        </w:rPr>
        <w:t xml:space="preserve">  委托人应当将授予监理人的监理权利，以及监理人主要成员的职能分工、监理权限，及时书面通知已选定的承包合同的承包人，并在与第三人签订的合同中予以明确。</w:t>
      </w:r>
    </w:p>
    <w:p>
      <w:pPr>
        <w:ind w:firstLine="482"/>
        <w:rPr>
          <w:rFonts w:ascii="宋体" w:hAnsi="宋体" w:cs="仿宋"/>
          <w:szCs w:val="28"/>
          <w:highlight w:val="none"/>
        </w:rPr>
      </w:pPr>
      <w:r>
        <w:rPr>
          <w:rFonts w:hint="eastAsia" w:ascii="宋体" w:hAnsi="宋体" w:cs="仿宋"/>
          <w:b/>
          <w:bCs/>
          <w:szCs w:val="28"/>
          <w:highlight w:val="none"/>
          <w:lang w:bidi="ar"/>
        </w:rPr>
        <w:t>第十四条</w:t>
      </w:r>
      <w:r>
        <w:rPr>
          <w:rFonts w:hint="eastAsia" w:ascii="宋体" w:hAnsi="宋体" w:cs="仿宋"/>
          <w:szCs w:val="28"/>
          <w:highlight w:val="none"/>
          <w:lang w:bidi="ar"/>
        </w:rPr>
        <w:t xml:space="preserve">  委托人应在不影响监理人开展监理工作的时间内提供如下资料：</w:t>
      </w:r>
    </w:p>
    <w:p>
      <w:pPr>
        <w:ind w:firstLine="480"/>
        <w:rPr>
          <w:rFonts w:ascii="宋体" w:hAnsi="宋体" w:cs="仿宋"/>
          <w:szCs w:val="28"/>
          <w:highlight w:val="none"/>
        </w:rPr>
      </w:pPr>
      <w:r>
        <w:rPr>
          <w:rFonts w:hint="eastAsia" w:ascii="宋体" w:hAnsi="宋体" w:cs="仿宋"/>
          <w:szCs w:val="28"/>
          <w:highlight w:val="none"/>
          <w:lang w:bidi="ar"/>
        </w:rPr>
        <w:t>与本工程有关的协作单位、配合单位的名录。</w:t>
      </w:r>
    </w:p>
    <w:p>
      <w:pPr>
        <w:ind w:firstLine="482"/>
        <w:jc w:val="center"/>
        <w:rPr>
          <w:rFonts w:ascii="宋体" w:hAnsi="宋体" w:cs="仿宋"/>
          <w:b/>
          <w:bCs/>
          <w:szCs w:val="28"/>
          <w:highlight w:val="none"/>
        </w:rPr>
      </w:pPr>
      <w:r>
        <w:rPr>
          <w:rFonts w:hint="eastAsia" w:ascii="宋体" w:hAnsi="宋体" w:cs="仿宋"/>
          <w:b/>
          <w:bCs/>
          <w:szCs w:val="28"/>
          <w:highlight w:val="none"/>
          <w:lang w:bidi="ar"/>
        </w:rPr>
        <w:t>监理人权利</w:t>
      </w:r>
    </w:p>
    <w:p>
      <w:pPr>
        <w:ind w:firstLine="482"/>
        <w:rPr>
          <w:rFonts w:ascii="宋体" w:hAnsi="宋体" w:cs="仿宋"/>
          <w:szCs w:val="28"/>
          <w:highlight w:val="none"/>
        </w:rPr>
      </w:pPr>
      <w:r>
        <w:rPr>
          <w:rFonts w:hint="eastAsia" w:ascii="宋体" w:hAnsi="宋体" w:cs="仿宋"/>
          <w:b/>
          <w:bCs/>
          <w:szCs w:val="28"/>
          <w:highlight w:val="none"/>
          <w:lang w:bidi="ar"/>
        </w:rPr>
        <w:t xml:space="preserve">第十五条 </w:t>
      </w:r>
      <w:r>
        <w:rPr>
          <w:rFonts w:hint="eastAsia" w:ascii="宋体" w:hAnsi="宋体" w:cs="仿宋"/>
          <w:szCs w:val="28"/>
          <w:highlight w:val="none"/>
          <w:lang w:bidi="ar"/>
        </w:rPr>
        <w:t xml:space="preserve"> 监理人在委托人委托的工程范围内，享有以下权利：</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审批工程施工组织设计和技术方案，按照保质量、保工期和降低成本的原则，向承包人提出建议，并向委托人提出书面报告。</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主持工程建设有关协作单位的组织协调，重要协调事项应当事先向委托人报告。</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征得委托人同意，监理人有权发布开工令、停工令、复工令，但应当事先向委托人报告。如在紧急情况下未能事先报告时，则应在24小时内向委托人作出书面报告。</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工程施工进度的检查、监督权，以及工程实际竣工日期提前或超过工程施工合同规定的竣工期限的签认权。</w:t>
      </w:r>
    </w:p>
    <w:p>
      <w:pPr>
        <w:numPr>
          <w:ilvl w:val="0"/>
          <w:numId w:val="9"/>
        </w:numPr>
        <w:adjustRightInd w:val="0"/>
        <w:snapToGrid w:val="0"/>
        <w:rPr>
          <w:rFonts w:ascii="宋体" w:hAnsi="宋体" w:cs="仿宋"/>
          <w:szCs w:val="28"/>
          <w:highlight w:val="none"/>
        </w:rPr>
      </w:pPr>
      <w:r>
        <w:rPr>
          <w:rFonts w:hint="eastAsia" w:ascii="宋体" w:hAnsi="宋体" w:cs="仿宋"/>
          <w:szCs w:val="28"/>
          <w:highlight w:val="none"/>
          <w:lang w:bidi="ar"/>
        </w:rPr>
        <w:t>在工程施工合同约定的工程价格范围内，工程款支付的审核权，以及工程结算的复核确认权。未经总监理工程师签字确认，委托人不支付工程款。</w:t>
      </w:r>
    </w:p>
    <w:p>
      <w:pPr>
        <w:ind w:firstLine="482"/>
        <w:rPr>
          <w:rFonts w:ascii="宋体" w:hAnsi="宋体" w:cs="仿宋"/>
          <w:szCs w:val="28"/>
          <w:highlight w:val="none"/>
        </w:rPr>
      </w:pPr>
      <w:r>
        <w:rPr>
          <w:rFonts w:hint="eastAsia" w:ascii="宋体" w:hAnsi="宋体" w:cs="仿宋"/>
          <w:b/>
          <w:bCs/>
          <w:szCs w:val="28"/>
          <w:highlight w:val="none"/>
          <w:lang w:bidi="ar"/>
        </w:rPr>
        <w:t xml:space="preserve">第十八条 </w:t>
      </w:r>
      <w:r>
        <w:rPr>
          <w:rFonts w:hint="eastAsia" w:ascii="宋体" w:hAnsi="宋体" w:cs="仿宋"/>
          <w:szCs w:val="28"/>
          <w:highlight w:val="none"/>
          <w:lang w:bidi="ar"/>
        </w:rPr>
        <w:t xml:space="preserve"> 监理人在委托人授权下，可对任何承包人合同规定的义务提出变更。如果由此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firstLine="482"/>
        <w:rPr>
          <w:rFonts w:ascii="宋体" w:hAnsi="宋体" w:cs="仿宋"/>
          <w:szCs w:val="28"/>
          <w:highlight w:val="none"/>
        </w:rPr>
      </w:pPr>
      <w:r>
        <w:rPr>
          <w:rFonts w:hint="eastAsia" w:ascii="宋体" w:hAnsi="宋体" w:cs="仿宋"/>
          <w:b/>
          <w:bCs/>
          <w:szCs w:val="28"/>
          <w:highlight w:val="none"/>
          <w:lang w:bidi="ar"/>
        </w:rPr>
        <w:t>第十九条</w:t>
      </w:r>
      <w:r>
        <w:rPr>
          <w:rFonts w:hint="eastAsia" w:ascii="宋体" w:hAnsi="宋体" w:cs="仿宋"/>
          <w:szCs w:val="28"/>
          <w:highlight w:val="none"/>
          <w:lang w:bidi="ar"/>
        </w:rPr>
        <w:t xml:space="preserve">  在委托的工程范围内，委托人或承包人对对方的任何意见和要求(包括索赔要求)，均必须首先向监理机构提出，由监理机构在受理后的2天内提出处理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firstLine="482"/>
        <w:jc w:val="center"/>
        <w:rPr>
          <w:rFonts w:ascii="宋体" w:hAnsi="宋体" w:cs="仿宋"/>
          <w:b/>
          <w:bCs/>
          <w:szCs w:val="28"/>
          <w:highlight w:val="none"/>
        </w:rPr>
      </w:pPr>
      <w:r>
        <w:rPr>
          <w:rFonts w:hint="eastAsia" w:ascii="宋体" w:hAnsi="宋体" w:cs="仿宋"/>
          <w:b/>
          <w:bCs/>
          <w:szCs w:val="28"/>
          <w:highlight w:val="none"/>
          <w:lang w:bidi="ar"/>
        </w:rPr>
        <w:t>委托人权利</w:t>
      </w:r>
    </w:p>
    <w:p>
      <w:pPr>
        <w:ind w:firstLine="482"/>
        <w:rPr>
          <w:rFonts w:ascii="宋体" w:hAnsi="宋体" w:cs="仿宋"/>
          <w:szCs w:val="28"/>
          <w:highlight w:val="none"/>
        </w:rPr>
      </w:pPr>
      <w:r>
        <w:rPr>
          <w:rFonts w:hint="eastAsia" w:ascii="宋体" w:hAnsi="宋体" w:cs="仿宋"/>
          <w:b/>
          <w:bCs/>
          <w:szCs w:val="28"/>
          <w:highlight w:val="none"/>
          <w:lang w:bidi="ar"/>
        </w:rPr>
        <w:t>第二十条</w:t>
      </w:r>
      <w:r>
        <w:rPr>
          <w:rFonts w:hint="eastAsia" w:ascii="宋体" w:hAnsi="宋体" w:cs="仿宋"/>
          <w:szCs w:val="28"/>
          <w:highlight w:val="none"/>
          <w:lang w:bidi="ar"/>
        </w:rPr>
        <w:t xml:space="preserve">  委托人有选定工程总承包人，以及与其订立合同的权利。</w:t>
      </w:r>
    </w:p>
    <w:p>
      <w:pPr>
        <w:ind w:firstLine="482"/>
        <w:rPr>
          <w:rFonts w:ascii="宋体" w:hAnsi="宋体" w:cs="仿宋"/>
          <w:szCs w:val="28"/>
          <w:highlight w:val="none"/>
        </w:rPr>
      </w:pPr>
      <w:r>
        <w:rPr>
          <w:rFonts w:hint="eastAsia" w:ascii="宋体" w:hAnsi="宋体" w:cs="仿宋"/>
          <w:b/>
          <w:bCs/>
          <w:szCs w:val="28"/>
          <w:highlight w:val="none"/>
          <w:lang w:bidi="ar"/>
        </w:rPr>
        <w:t>第二十一条</w:t>
      </w:r>
      <w:r>
        <w:rPr>
          <w:rFonts w:hint="eastAsia" w:ascii="宋体" w:hAnsi="宋体" w:cs="仿宋"/>
          <w:szCs w:val="28"/>
          <w:highlight w:val="none"/>
          <w:lang w:bidi="ar"/>
        </w:rPr>
        <w:t xml:space="preserve">  委托人有对工程规模、设计标准、规划设计、生产工艺设计和设计使用功能要求的认定权，以及对工程设计变更的审批权。</w:t>
      </w:r>
    </w:p>
    <w:p>
      <w:pPr>
        <w:ind w:firstLine="482"/>
        <w:rPr>
          <w:rFonts w:ascii="宋体" w:hAnsi="宋体" w:cs="仿宋"/>
          <w:szCs w:val="28"/>
          <w:highlight w:val="none"/>
        </w:rPr>
      </w:pPr>
      <w:r>
        <w:rPr>
          <w:rFonts w:hint="eastAsia" w:ascii="宋体" w:hAnsi="宋体" w:cs="仿宋"/>
          <w:b/>
          <w:bCs/>
          <w:szCs w:val="28"/>
          <w:highlight w:val="none"/>
          <w:lang w:bidi="ar"/>
        </w:rPr>
        <w:t>第二十二条</w:t>
      </w:r>
      <w:r>
        <w:rPr>
          <w:rFonts w:hint="eastAsia" w:ascii="宋体" w:hAnsi="宋体" w:cs="仿宋"/>
          <w:szCs w:val="28"/>
          <w:highlight w:val="none"/>
          <w:lang w:bidi="ar"/>
        </w:rPr>
        <w:t xml:space="preserve">  监理人调换监理工程师须事先经委托人同意。</w:t>
      </w:r>
    </w:p>
    <w:p>
      <w:pPr>
        <w:ind w:firstLine="482"/>
        <w:rPr>
          <w:rFonts w:ascii="宋体" w:hAnsi="宋体" w:cs="仿宋"/>
          <w:szCs w:val="28"/>
          <w:highlight w:val="none"/>
        </w:rPr>
      </w:pPr>
      <w:r>
        <w:rPr>
          <w:rFonts w:hint="eastAsia" w:ascii="宋体" w:hAnsi="宋体" w:cs="仿宋"/>
          <w:b/>
          <w:bCs/>
          <w:szCs w:val="28"/>
          <w:highlight w:val="none"/>
          <w:lang w:bidi="ar"/>
        </w:rPr>
        <w:t>第二十三条</w:t>
      </w:r>
      <w:r>
        <w:rPr>
          <w:rFonts w:hint="eastAsia" w:ascii="宋体" w:hAnsi="宋体" w:cs="仿宋"/>
          <w:szCs w:val="28"/>
          <w:highlight w:val="none"/>
          <w:lang w:bidi="ar"/>
        </w:rPr>
        <w:t xml:space="preserve">  委托人有权要求监理人提交监理工作月报及监理业务范围内的专项报告。</w:t>
      </w:r>
    </w:p>
    <w:p>
      <w:pPr>
        <w:ind w:firstLine="482"/>
        <w:rPr>
          <w:rFonts w:ascii="宋体" w:hAnsi="宋体" w:cs="仿宋"/>
          <w:szCs w:val="28"/>
          <w:highlight w:val="none"/>
        </w:rPr>
      </w:pPr>
      <w:r>
        <w:rPr>
          <w:rFonts w:hint="eastAsia" w:ascii="宋体" w:hAnsi="宋体" w:cs="仿宋"/>
          <w:b/>
          <w:bCs/>
          <w:szCs w:val="28"/>
          <w:highlight w:val="none"/>
          <w:lang w:bidi="ar"/>
        </w:rPr>
        <w:t xml:space="preserve">第二十四条 </w:t>
      </w:r>
      <w:r>
        <w:rPr>
          <w:rFonts w:hint="eastAsia" w:ascii="宋体" w:hAnsi="宋体" w:cs="仿宋"/>
          <w:szCs w:val="28"/>
          <w:highlight w:val="none"/>
          <w:lang w:bidi="ar"/>
        </w:rPr>
        <w:t xml:space="preserve"> 当委托人发现监理人员不按监理合同履行监理职责，或与承包人串通给委托人或工程造成损失的，委托人有权要求监理人更换监理人员，直到解除合同并要求监理人承担相应的赔偿责任或连带赔偿责任：</w:t>
      </w:r>
    </w:p>
    <w:p>
      <w:pPr>
        <w:numPr>
          <w:ilvl w:val="0"/>
          <w:numId w:val="10"/>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委托人对监理人的监理成效不满意时，委托人有权要求监理人限期做出整改，如不予整改或整改仍令委托人不满意时，委托人有权单方解除合同，并要求监理人按照监理总价款的20%承担违约责任。</w:t>
      </w:r>
    </w:p>
    <w:p>
      <w:pPr>
        <w:numPr>
          <w:ilvl w:val="0"/>
          <w:numId w:val="10"/>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在实施监理工作过程中，若监理人对合同中承诺的监理人员数和人员安排情况擅自变动，变动总监理工程师或降低本监理合同条件所约定的监理人员资质条件，扣除监理费2000元/次/人；如一周内未配备具有同等资质及相应工作经验的人员，扣除监理费5000元/次/人；如一月内仍未配备具有同等资质及相应工作经验的人员，扣除监理合同额的10%。从事与本工程无关的其他工作，每发现一次，扣除监理费1000元/次/人。</w:t>
      </w:r>
    </w:p>
    <w:p>
      <w:pPr>
        <w:numPr>
          <w:ilvl w:val="0"/>
          <w:numId w:val="10"/>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委托人有权定期对监理人派驻项目的监理人员进行考核，要求监理人更换不称职的总监理工程师或一般监理人员，否则，监理人每人次应按监理总价款的3%向委托人支付违约金。</w:t>
      </w:r>
    </w:p>
    <w:p>
      <w:pPr>
        <w:numPr>
          <w:ilvl w:val="0"/>
          <w:numId w:val="10"/>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因监理人不认真履行职责造成工程质量验收不合格，委托人有权要求按监理合同总额的50%支付违约金。如因监理人监督不力给委托人造成损失的，委托人有权要求按监理总价款20%支付违约金。</w:t>
      </w:r>
    </w:p>
    <w:p>
      <w:pPr>
        <w:numPr>
          <w:ilvl w:val="0"/>
          <w:numId w:val="10"/>
        </w:numPr>
        <w:adjustRightInd w:val="0"/>
        <w:snapToGrid w:val="0"/>
        <w:rPr>
          <w:rFonts w:ascii="宋体" w:hAnsi="宋体" w:cs="仿宋"/>
          <w:szCs w:val="28"/>
          <w:highlight w:val="none"/>
        </w:rPr>
      </w:pPr>
      <w:r>
        <w:rPr>
          <w:rFonts w:hint="eastAsia" w:ascii="宋体" w:hAnsi="宋体" w:cs="仿宋"/>
          <w:szCs w:val="28"/>
          <w:highlight w:val="none"/>
          <w:lang w:bidi="ar"/>
        </w:rPr>
        <w:t>监理期内如因监理人未按《建设工程安全管理条例》《爆破安全规程》等履行安全职责，监理不力，工地发生重大死亡事故，并被安监局、公安、建委主管部门定性为工地管理责任事故，按监理总价款的20%向委托人支付违约金。</w:t>
      </w:r>
    </w:p>
    <w:p>
      <w:pPr>
        <w:numPr>
          <w:ilvl w:val="0"/>
          <w:numId w:val="10"/>
        </w:numPr>
        <w:adjustRightInd w:val="0"/>
        <w:snapToGrid w:val="0"/>
        <w:rPr>
          <w:rFonts w:ascii="宋体" w:hAnsi="宋体" w:cs="仿宋"/>
          <w:szCs w:val="28"/>
          <w:highlight w:val="none"/>
        </w:rPr>
      </w:pPr>
      <w:r>
        <w:rPr>
          <w:rFonts w:hint="eastAsia" w:ascii="宋体" w:hAnsi="宋体" w:cs="仿宋"/>
          <w:szCs w:val="28"/>
          <w:highlight w:val="none"/>
          <w:lang w:bidi="ar"/>
        </w:rPr>
        <w:t>监理人员必须遵守甲方现场管理办法，如甲方认为监理人员不适合，监理单位必须无条件在一周内调换合适人员进场，否则视为监理单位违约，每人次按监理总价款的5%向委托人支付违约金。</w:t>
      </w:r>
    </w:p>
    <w:p>
      <w:pPr>
        <w:numPr>
          <w:ilvl w:val="0"/>
          <w:numId w:val="10"/>
        </w:numPr>
        <w:adjustRightInd w:val="0"/>
        <w:snapToGrid w:val="0"/>
        <w:rPr>
          <w:rFonts w:ascii="宋体" w:hAnsi="宋体" w:cs="仿宋"/>
          <w:szCs w:val="28"/>
          <w:highlight w:val="none"/>
        </w:rPr>
      </w:pPr>
      <w:r>
        <w:rPr>
          <w:rFonts w:hint="eastAsia" w:ascii="宋体" w:hAnsi="宋体" w:cs="仿宋"/>
          <w:szCs w:val="28"/>
          <w:highlight w:val="none"/>
          <w:lang w:bidi="ar"/>
        </w:rPr>
        <w:t>总监驻场每周不低于五天，项目监理人员参与项目上下班考勤。每缺一人次，按照2000元/人/次标准向委托人支付违约金。</w:t>
      </w:r>
    </w:p>
    <w:p>
      <w:pPr>
        <w:ind w:firstLine="482"/>
        <w:jc w:val="center"/>
        <w:rPr>
          <w:rFonts w:ascii="宋体" w:hAnsi="宋体" w:cs="仿宋"/>
          <w:b/>
          <w:bCs/>
          <w:szCs w:val="28"/>
          <w:highlight w:val="none"/>
        </w:rPr>
      </w:pPr>
      <w:r>
        <w:rPr>
          <w:rFonts w:hint="eastAsia" w:ascii="宋体" w:hAnsi="宋体" w:cs="仿宋"/>
          <w:b/>
          <w:bCs/>
          <w:szCs w:val="28"/>
          <w:highlight w:val="none"/>
          <w:lang w:bidi="ar"/>
        </w:rPr>
        <w:t>监理人责任</w:t>
      </w:r>
    </w:p>
    <w:p>
      <w:pPr>
        <w:ind w:firstLine="482"/>
        <w:rPr>
          <w:rFonts w:ascii="宋体" w:hAnsi="宋体" w:cs="仿宋"/>
          <w:szCs w:val="28"/>
          <w:highlight w:val="none"/>
        </w:rPr>
      </w:pPr>
      <w:r>
        <w:rPr>
          <w:rFonts w:hint="eastAsia" w:ascii="宋体" w:hAnsi="宋体" w:cs="仿宋"/>
          <w:b/>
          <w:bCs/>
          <w:szCs w:val="28"/>
          <w:highlight w:val="none"/>
          <w:lang w:bidi="ar"/>
        </w:rPr>
        <w:t>第二十五条</w:t>
      </w:r>
      <w:r>
        <w:rPr>
          <w:rFonts w:hint="eastAsia" w:ascii="宋体" w:hAnsi="宋体" w:cs="仿宋"/>
          <w:szCs w:val="28"/>
          <w:highlight w:val="none"/>
          <w:lang w:bidi="ar"/>
        </w:rPr>
        <w:t xml:space="preserve"> 监理人的责任期即委托监理合同有效期。在监理过程中，如果因工程建设进度的推迟或延误而超过书面约定的日期，双方应进一步约定相应延长的合同期。</w:t>
      </w:r>
    </w:p>
    <w:p>
      <w:pPr>
        <w:ind w:firstLine="482"/>
        <w:rPr>
          <w:rFonts w:ascii="宋体" w:hAnsi="宋体" w:cs="仿宋"/>
          <w:szCs w:val="28"/>
          <w:highlight w:val="none"/>
        </w:rPr>
      </w:pPr>
      <w:r>
        <w:rPr>
          <w:rFonts w:hint="eastAsia" w:ascii="宋体" w:hAnsi="宋体" w:cs="仿宋"/>
          <w:b/>
          <w:bCs/>
          <w:szCs w:val="28"/>
          <w:highlight w:val="none"/>
          <w:lang w:bidi="ar"/>
        </w:rPr>
        <w:t>第二十六条</w:t>
      </w:r>
      <w:r>
        <w:rPr>
          <w:rFonts w:hint="eastAsia" w:ascii="宋体" w:hAnsi="宋体" w:cs="仿宋"/>
          <w:szCs w:val="28"/>
          <w:highlight w:val="none"/>
          <w:lang w:bidi="ar"/>
        </w:rPr>
        <w:t xml:space="preserve">  监理人在责任期内，应当履行约定的义务。如果因监理人过失而造成了委托人的经济损失，应当向委托人赔偿。损失按照实际损失计算，实际损失不能计算时，最低不低于监理费总价款的20%。</w:t>
      </w:r>
    </w:p>
    <w:p>
      <w:pPr>
        <w:widowControl/>
        <w:ind w:left="368" w:leftChars="175"/>
        <w:rPr>
          <w:rFonts w:ascii="宋体" w:hAnsi="宋体" w:cs="仿宋"/>
          <w:szCs w:val="28"/>
          <w:highlight w:val="none"/>
        </w:rPr>
      </w:pPr>
      <w:r>
        <w:rPr>
          <w:rFonts w:hint="eastAsia" w:ascii="宋体" w:hAnsi="宋体" w:cs="仿宋"/>
          <w:szCs w:val="28"/>
          <w:highlight w:val="none"/>
          <w:lang w:bidi="ar"/>
        </w:rPr>
        <w:t>具体的违约责任如下：</w:t>
      </w:r>
    </w:p>
    <w:p>
      <w:pPr>
        <w:widowControl/>
        <w:numPr>
          <w:ilvl w:val="0"/>
          <w:numId w:val="11"/>
        </w:numPr>
        <w:adjustRightInd w:val="0"/>
        <w:snapToGrid w:val="0"/>
        <w:rPr>
          <w:rFonts w:ascii="宋体" w:hAnsi="宋体" w:cs="仿宋"/>
          <w:szCs w:val="28"/>
          <w:highlight w:val="none"/>
        </w:rPr>
      </w:pPr>
      <w:r>
        <w:rPr>
          <w:rFonts w:hint="eastAsia" w:ascii="宋体" w:hAnsi="宋体" w:cs="仿宋"/>
          <w:szCs w:val="28"/>
          <w:highlight w:val="none"/>
          <w:lang w:bidi="ar"/>
        </w:rPr>
        <w:t>监理人在监理责任期内如果失职，给委托人造成损失，按本合同相关约定条款规定的赔偿金承担责任。</w:t>
      </w:r>
    </w:p>
    <w:p>
      <w:pPr>
        <w:widowControl/>
        <w:numPr>
          <w:ilvl w:val="0"/>
          <w:numId w:val="11"/>
        </w:numPr>
        <w:adjustRightInd w:val="0"/>
        <w:snapToGrid w:val="0"/>
        <w:rPr>
          <w:rFonts w:ascii="宋体" w:hAnsi="宋体" w:cs="仿宋"/>
          <w:szCs w:val="28"/>
          <w:highlight w:val="none"/>
        </w:rPr>
      </w:pPr>
      <w:r>
        <w:rPr>
          <w:rFonts w:hint="eastAsia" w:ascii="宋体" w:hAnsi="宋体" w:cs="仿宋"/>
          <w:szCs w:val="28"/>
          <w:highlight w:val="none"/>
          <w:lang w:bidi="ar"/>
        </w:rPr>
        <w:t>委托人有权要求监理人撤换不能胜任的监理工作或玩忽职守的监理工作人员。</w:t>
      </w:r>
    </w:p>
    <w:p>
      <w:pPr>
        <w:widowControl/>
        <w:numPr>
          <w:ilvl w:val="0"/>
          <w:numId w:val="11"/>
        </w:numPr>
        <w:adjustRightInd w:val="0"/>
        <w:snapToGrid w:val="0"/>
        <w:rPr>
          <w:rFonts w:ascii="宋体" w:hAnsi="宋体" w:cs="仿宋"/>
          <w:szCs w:val="28"/>
          <w:highlight w:val="none"/>
        </w:rPr>
      </w:pPr>
      <w:r>
        <w:rPr>
          <w:rFonts w:hint="eastAsia" w:ascii="宋体" w:hAnsi="宋体" w:cs="仿宋"/>
          <w:szCs w:val="28"/>
          <w:highlight w:val="none"/>
          <w:lang w:bidi="ar"/>
        </w:rPr>
        <w:t>如因监理人监理工作不力造成工程质量事故，或管理不力阻碍工程顺利进行，并经委托人屡次敦促改善仍任未有结果，委托人有权终止合同。</w:t>
      </w:r>
    </w:p>
    <w:p>
      <w:pPr>
        <w:numPr>
          <w:ilvl w:val="0"/>
          <w:numId w:val="11"/>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监理单位在合同执行期间若更换监理人员，监理人员应符合以下条件并通过委托人同意后方可更换：</w:t>
      </w:r>
    </w:p>
    <w:p>
      <w:pPr>
        <w:widowControl/>
        <w:numPr>
          <w:ilvl w:val="0"/>
          <w:numId w:val="12"/>
        </w:numPr>
        <w:adjustRightInd w:val="0"/>
        <w:snapToGrid w:val="0"/>
        <w:ind w:left="245" w:firstLine="235"/>
        <w:rPr>
          <w:rFonts w:ascii="宋体" w:hAnsi="宋体" w:cs="仿宋"/>
          <w:bCs/>
          <w:kern w:val="0"/>
          <w:szCs w:val="28"/>
          <w:highlight w:val="none"/>
        </w:rPr>
      </w:pPr>
      <w:r>
        <w:rPr>
          <w:rFonts w:hint="eastAsia" w:ascii="宋体" w:hAnsi="宋体" w:cs="仿宋"/>
          <w:bCs/>
          <w:kern w:val="0"/>
          <w:szCs w:val="28"/>
          <w:highlight w:val="none"/>
          <w:lang w:bidi="ar"/>
        </w:rPr>
        <w:t>总监</w:t>
      </w:r>
      <w:r>
        <w:rPr>
          <w:rFonts w:hint="eastAsia" w:ascii="宋体" w:hAnsi="宋体" w:cs="仿宋"/>
          <w:bCs/>
          <w:szCs w:val="28"/>
          <w:highlight w:val="none"/>
          <w:lang w:bidi="ar"/>
        </w:rPr>
        <w:t>理工程师</w:t>
      </w:r>
      <w:r>
        <w:rPr>
          <w:rFonts w:hint="eastAsia" w:ascii="宋体" w:hAnsi="宋体" w:cs="仿宋"/>
          <w:bCs/>
          <w:kern w:val="0"/>
          <w:szCs w:val="28"/>
          <w:highlight w:val="none"/>
          <w:lang w:bidi="ar"/>
        </w:rPr>
        <w:t>（总监</w:t>
      </w:r>
      <w:r>
        <w:rPr>
          <w:rFonts w:hint="eastAsia" w:ascii="宋体" w:hAnsi="宋体" w:cs="仿宋"/>
          <w:bCs/>
          <w:szCs w:val="28"/>
          <w:highlight w:val="none"/>
          <w:lang w:bidi="ar"/>
        </w:rPr>
        <w:t>理工程师</w:t>
      </w:r>
      <w:r>
        <w:rPr>
          <w:rFonts w:hint="eastAsia" w:ascii="宋体" w:hAnsi="宋体" w:cs="仿宋"/>
          <w:bCs/>
          <w:kern w:val="0"/>
          <w:szCs w:val="28"/>
          <w:highlight w:val="none"/>
          <w:lang w:bidi="ar"/>
        </w:rPr>
        <w:t>代表）的基本条件</w:t>
      </w:r>
    </w:p>
    <w:p>
      <w:pPr>
        <w:widowControl/>
        <w:numPr>
          <w:ilvl w:val="0"/>
          <w:numId w:val="13"/>
        </w:numPr>
        <w:adjustRightInd w:val="0"/>
        <w:snapToGrid w:val="0"/>
        <w:ind w:firstLine="46" w:firstLineChars="22"/>
        <w:rPr>
          <w:rFonts w:ascii="宋体" w:hAnsi="宋体" w:cs="仿宋"/>
          <w:szCs w:val="28"/>
          <w:highlight w:val="none"/>
        </w:rPr>
      </w:pPr>
      <w:r>
        <w:rPr>
          <w:rFonts w:hint="eastAsia" w:ascii="宋体" w:hAnsi="宋体" w:cs="仿宋"/>
          <w:szCs w:val="28"/>
          <w:highlight w:val="none"/>
          <w:lang w:bidi="ar"/>
        </w:rPr>
        <w:t>从事工程建设管理工作10年以上，具备工程施工或设计经验；</w:t>
      </w:r>
    </w:p>
    <w:p>
      <w:pPr>
        <w:widowControl/>
        <w:numPr>
          <w:ilvl w:val="0"/>
          <w:numId w:val="13"/>
        </w:numPr>
        <w:adjustRightInd w:val="0"/>
        <w:snapToGrid w:val="0"/>
        <w:ind w:firstLine="46" w:firstLineChars="22"/>
        <w:rPr>
          <w:rFonts w:ascii="宋体" w:hAnsi="宋体" w:cs="仿宋"/>
          <w:szCs w:val="28"/>
          <w:highlight w:val="none"/>
        </w:rPr>
      </w:pPr>
      <w:r>
        <w:rPr>
          <w:rFonts w:hint="eastAsia" w:ascii="宋体" w:hAnsi="宋体" w:cs="仿宋"/>
          <w:szCs w:val="28"/>
          <w:highlight w:val="none"/>
          <w:lang w:bidi="ar"/>
        </w:rPr>
        <w:t>大学本科及以上学历，地质、水工环、岩土工程等相关专业，高级职称；</w:t>
      </w:r>
    </w:p>
    <w:p>
      <w:pPr>
        <w:widowControl/>
        <w:numPr>
          <w:ilvl w:val="0"/>
          <w:numId w:val="13"/>
        </w:numPr>
        <w:adjustRightInd w:val="0"/>
        <w:snapToGrid w:val="0"/>
        <w:ind w:firstLine="46" w:firstLineChars="22"/>
        <w:rPr>
          <w:rFonts w:ascii="宋体" w:hAnsi="宋体" w:cs="仿宋"/>
          <w:szCs w:val="28"/>
          <w:highlight w:val="none"/>
        </w:rPr>
      </w:pPr>
      <w:r>
        <w:rPr>
          <w:rFonts w:hint="eastAsia" w:ascii="宋体" w:hAnsi="宋体" w:cs="仿宋"/>
          <w:szCs w:val="28"/>
          <w:highlight w:val="none"/>
          <w:lang w:bidi="ar"/>
        </w:rPr>
        <w:t>国家注册监理工程师，从事监理工作5年以上；</w:t>
      </w:r>
    </w:p>
    <w:p>
      <w:pPr>
        <w:widowControl/>
        <w:numPr>
          <w:ilvl w:val="0"/>
          <w:numId w:val="13"/>
        </w:numPr>
        <w:adjustRightInd w:val="0"/>
        <w:snapToGrid w:val="0"/>
        <w:ind w:firstLine="46" w:firstLineChars="22"/>
        <w:rPr>
          <w:rFonts w:ascii="宋体" w:hAnsi="宋体" w:cs="仿宋"/>
          <w:szCs w:val="28"/>
          <w:highlight w:val="none"/>
        </w:rPr>
      </w:pPr>
      <w:r>
        <w:rPr>
          <w:rFonts w:hint="eastAsia" w:ascii="宋体" w:hAnsi="宋体" w:cs="仿宋"/>
          <w:szCs w:val="28"/>
          <w:highlight w:val="none"/>
          <w:lang w:bidi="ar"/>
        </w:rPr>
        <w:t>担任过至少担任过二个工程总监理工程师工作；</w:t>
      </w:r>
    </w:p>
    <w:p>
      <w:pPr>
        <w:widowControl/>
        <w:numPr>
          <w:ilvl w:val="0"/>
          <w:numId w:val="13"/>
        </w:numPr>
        <w:adjustRightInd w:val="0"/>
        <w:snapToGrid w:val="0"/>
        <w:ind w:firstLine="46" w:firstLineChars="22"/>
        <w:rPr>
          <w:rFonts w:ascii="宋体" w:hAnsi="宋体" w:cs="仿宋"/>
          <w:szCs w:val="28"/>
          <w:highlight w:val="none"/>
        </w:rPr>
      </w:pPr>
      <w:r>
        <w:rPr>
          <w:rFonts w:hint="eastAsia" w:ascii="宋体" w:hAnsi="宋体" w:cs="仿宋"/>
          <w:szCs w:val="28"/>
          <w:highlight w:val="none"/>
          <w:lang w:bidi="ar"/>
        </w:rPr>
        <w:t>遵纪守法，思维敏捷，沟通能力强，敬业精神好。</w:t>
      </w:r>
    </w:p>
    <w:p>
      <w:pPr>
        <w:widowControl/>
        <w:numPr>
          <w:ilvl w:val="0"/>
          <w:numId w:val="12"/>
        </w:numPr>
        <w:adjustRightInd w:val="0"/>
        <w:snapToGrid w:val="0"/>
        <w:ind w:firstLine="55"/>
        <w:rPr>
          <w:rFonts w:ascii="宋体" w:hAnsi="宋体" w:cs="仿宋"/>
          <w:bCs/>
          <w:kern w:val="0"/>
          <w:szCs w:val="28"/>
          <w:highlight w:val="none"/>
        </w:rPr>
      </w:pPr>
      <w:r>
        <w:rPr>
          <w:rFonts w:hint="eastAsia" w:ascii="宋体" w:hAnsi="宋体" w:cs="仿宋"/>
          <w:bCs/>
          <w:kern w:val="0"/>
          <w:szCs w:val="28"/>
          <w:highlight w:val="none"/>
          <w:lang w:bidi="ar"/>
        </w:rPr>
        <w:t>监理工程师的基本条件</w:t>
      </w:r>
    </w:p>
    <w:p>
      <w:pPr>
        <w:widowControl/>
        <w:numPr>
          <w:ilvl w:val="0"/>
          <w:numId w:val="14"/>
        </w:numPr>
        <w:adjustRightInd w:val="0"/>
        <w:snapToGrid w:val="0"/>
        <w:ind w:left="5" w:firstLine="475"/>
        <w:rPr>
          <w:rFonts w:ascii="宋体" w:hAnsi="宋体" w:cs="仿宋"/>
          <w:kern w:val="0"/>
          <w:szCs w:val="28"/>
          <w:highlight w:val="none"/>
        </w:rPr>
      </w:pPr>
      <w:r>
        <w:rPr>
          <w:rFonts w:hint="eastAsia" w:ascii="宋体" w:hAnsi="宋体" w:cs="仿宋"/>
          <w:kern w:val="0"/>
          <w:szCs w:val="28"/>
          <w:highlight w:val="none"/>
          <w:lang w:bidi="ar"/>
        </w:rPr>
        <w:t>大学专科以上学历，具有中级以上职称；</w:t>
      </w:r>
    </w:p>
    <w:p>
      <w:pPr>
        <w:widowControl/>
        <w:numPr>
          <w:ilvl w:val="0"/>
          <w:numId w:val="14"/>
        </w:numPr>
        <w:adjustRightInd w:val="0"/>
        <w:snapToGrid w:val="0"/>
        <w:ind w:left="5" w:firstLine="475"/>
        <w:rPr>
          <w:rFonts w:ascii="宋体" w:hAnsi="宋体" w:cs="仿宋"/>
          <w:kern w:val="0"/>
          <w:szCs w:val="28"/>
          <w:highlight w:val="none"/>
        </w:rPr>
      </w:pPr>
      <w:r>
        <w:rPr>
          <w:rFonts w:hint="eastAsia" w:ascii="宋体" w:hAnsi="宋体" w:cs="仿宋"/>
          <w:kern w:val="0"/>
          <w:szCs w:val="28"/>
          <w:highlight w:val="none"/>
          <w:lang w:bidi="ar"/>
        </w:rPr>
        <w:t>从事监理工作2年以上，省级或地方注册监理工程师；</w:t>
      </w:r>
    </w:p>
    <w:p>
      <w:pPr>
        <w:widowControl/>
        <w:numPr>
          <w:ilvl w:val="0"/>
          <w:numId w:val="14"/>
        </w:numPr>
        <w:adjustRightInd w:val="0"/>
        <w:snapToGrid w:val="0"/>
        <w:ind w:left="5" w:firstLine="475"/>
        <w:rPr>
          <w:rFonts w:ascii="宋体" w:hAnsi="宋体" w:cs="仿宋"/>
          <w:kern w:val="0"/>
          <w:szCs w:val="28"/>
          <w:highlight w:val="none"/>
        </w:rPr>
      </w:pPr>
      <w:r>
        <w:rPr>
          <w:rFonts w:hint="eastAsia" w:ascii="宋体" w:hAnsi="宋体" w:cs="仿宋"/>
          <w:kern w:val="0"/>
          <w:szCs w:val="28"/>
          <w:highlight w:val="none"/>
          <w:lang w:bidi="ar"/>
        </w:rPr>
        <w:t>担任过类似工程的监理工作；</w:t>
      </w:r>
    </w:p>
    <w:p>
      <w:pPr>
        <w:widowControl/>
        <w:numPr>
          <w:ilvl w:val="0"/>
          <w:numId w:val="14"/>
        </w:numPr>
        <w:adjustRightInd w:val="0"/>
        <w:snapToGrid w:val="0"/>
        <w:ind w:left="5" w:firstLine="475"/>
        <w:rPr>
          <w:rFonts w:ascii="宋体" w:hAnsi="宋体" w:cs="仿宋"/>
          <w:kern w:val="0"/>
          <w:szCs w:val="28"/>
          <w:highlight w:val="none"/>
        </w:rPr>
      </w:pPr>
      <w:r>
        <w:rPr>
          <w:rFonts w:hint="eastAsia" w:ascii="宋体" w:hAnsi="宋体" w:cs="仿宋"/>
          <w:kern w:val="0"/>
          <w:szCs w:val="28"/>
          <w:highlight w:val="none"/>
          <w:lang w:bidi="ar"/>
        </w:rPr>
        <w:t>遵纪守法，廉洁奉公，勤奋工作，专业水平符合委托方工程管理要求。</w:t>
      </w:r>
    </w:p>
    <w:p>
      <w:pPr>
        <w:widowControl/>
        <w:numPr>
          <w:ilvl w:val="0"/>
          <w:numId w:val="11"/>
        </w:numPr>
        <w:adjustRightInd w:val="0"/>
        <w:snapToGrid w:val="0"/>
        <w:rPr>
          <w:rFonts w:ascii="宋体" w:hAnsi="宋体" w:cs="仿宋"/>
          <w:kern w:val="0"/>
          <w:szCs w:val="28"/>
          <w:highlight w:val="none"/>
        </w:rPr>
      </w:pPr>
      <w:r>
        <w:rPr>
          <w:rFonts w:hint="eastAsia" w:ascii="宋体" w:hAnsi="宋体" w:cs="仿宋"/>
          <w:kern w:val="0"/>
          <w:szCs w:val="28"/>
          <w:highlight w:val="none"/>
          <w:lang w:bidi="ar"/>
        </w:rPr>
        <w:t>本项目监理人委派：</w:t>
      </w:r>
      <w:r>
        <w:rPr>
          <w:rFonts w:hint="eastAsia" w:ascii="宋体" w:hAnsi="宋体" w:cs="仿宋"/>
          <w:kern w:val="0"/>
          <w:szCs w:val="28"/>
          <w:highlight w:val="none"/>
          <w:u w:val="single"/>
          <w:lang w:bidi="ar"/>
        </w:rPr>
        <w:t>X</w:t>
      </w:r>
      <w:r>
        <w:rPr>
          <w:rFonts w:ascii="宋体" w:hAnsi="宋体" w:cs="仿宋"/>
          <w:kern w:val="0"/>
          <w:szCs w:val="28"/>
          <w:highlight w:val="none"/>
          <w:u w:val="single"/>
          <w:lang w:bidi="ar"/>
        </w:rPr>
        <w:t>XXX</w:t>
      </w:r>
      <w:r>
        <w:rPr>
          <w:rFonts w:hint="eastAsia" w:ascii="宋体" w:hAnsi="宋体" w:cs="仿宋"/>
          <w:kern w:val="0"/>
          <w:szCs w:val="28"/>
          <w:highlight w:val="none"/>
          <w:u w:val="single"/>
          <w:lang w:bidi="ar"/>
        </w:rPr>
        <w:t xml:space="preserve"> </w:t>
      </w:r>
      <w:r>
        <w:rPr>
          <w:rFonts w:hint="eastAsia" w:ascii="宋体" w:hAnsi="宋体" w:cs="仿宋"/>
          <w:szCs w:val="28"/>
          <w:highlight w:val="none"/>
          <w:lang w:bidi="ar"/>
        </w:rPr>
        <w:t>，电话：</w:t>
      </w:r>
      <w:r>
        <w:rPr>
          <w:rFonts w:ascii="宋体" w:hAnsi="宋体" w:cs="仿宋"/>
          <w:szCs w:val="28"/>
          <w:highlight w:val="none"/>
          <w:u w:val="single"/>
          <w:lang w:bidi="ar"/>
        </w:rPr>
        <w:t>XXXXXXX</w:t>
      </w:r>
      <w:r>
        <w:rPr>
          <w:rFonts w:hint="eastAsia" w:ascii="宋体" w:hAnsi="宋体" w:cs="仿宋"/>
          <w:szCs w:val="28"/>
          <w:highlight w:val="none"/>
          <w:u w:val="single"/>
          <w:lang w:bidi="ar"/>
        </w:rPr>
        <w:t xml:space="preserve"> ,</w:t>
      </w:r>
      <w:r>
        <w:rPr>
          <w:rFonts w:hint="eastAsia" w:ascii="宋体" w:hAnsi="宋体" w:cs="仿宋"/>
          <w:szCs w:val="28"/>
          <w:highlight w:val="none"/>
          <w:lang w:bidi="ar"/>
        </w:rPr>
        <w:t>其为本项目的负责人，负责合同的履行。本项目总监理工程师为：</w:t>
      </w:r>
      <w:r>
        <w:rPr>
          <w:rFonts w:hint="eastAsia" w:ascii="宋体" w:hAnsi="宋体" w:cs="仿宋"/>
          <w:kern w:val="0"/>
          <w:szCs w:val="28"/>
          <w:highlight w:val="none"/>
          <w:u w:val="single"/>
          <w:lang w:bidi="ar"/>
        </w:rPr>
        <w:t xml:space="preserve"> X</w:t>
      </w:r>
      <w:r>
        <w:rPr>
          <w:rFonts w:ascii="宋体" w:hAnsi="宋体" w:cs="仿宋"/>
          <w:kern w:val="0"/>
          <w:szCs w:val="28"/>
          <w:highlight w:val="none"/>
          <w:u w:val="single"/>
          <w:lang w:bidi="ar"/>
        </w:rPr>
        <w:t>XXXX</w:t>
      </w:r>
      <w:r>
        <w:rPr>
          <w:rFonts w:hint="eastAsia" w:ascii="宋体" w:hAnsi="宋体" w:cs="仿宋"/>
          <w:kern w:val="0"/>
          <w:szCs w:val="28"/>
          <w:highlight w:val="none"/>
          <w:u w:val="single"/>
          <w:lang w:bidi="ar"/>
        </w:rPr>
        <w:t xml:space="preserve"> </w:t>
      </w:r>
      <w:r>
        <w:rPr>
          <w:rFonts w:hint="eastAsia" w:ascii="宋体" w:hAnsi="宋体" w:cs="仿宋"/>
          <w:szCs w:val="28"/>
          <w:highlight w:val="none"/>
          <w:lang w:bidi="ar"/>
        </w:rPr>
        <w:t>，电话：</w:t>
      </w:r>
      <w:r>
        <w:rPr>
          <w:rFonts w:ascii="宋体" w:hAnsi="宋体" w:cs="仿宋"/>
          <w:szCs w:val="28"/>
          <w:highlight w:val="none"/>
          <w:u w:val="single"/>
          <w:lang w:bidi="ar"/>
        </w:rPr>
        <w:t>XXXXXXX</w:t>
      </w:r>
      <w:r>
        <w:rPr>
          <w:rFonts w:hint="eastAsia" w:ascii="宋体" w:hAnsi="宋体" w:cs="仿宋"/>
          <w:szCs w:val="28"/>
          <w:highlight w:val="none"/>
          <w:u w:val="single"/>
          <w:lang w:bidi="ar"/>
        </w:rPr>
        <w:t xml:space="preserve"> </w:t>
      </w:r>
      <w:r>
        <w:rPr>
          <w:rFonts w:hint="eastAsia" w:ascii="宋体" w:hAnsi="宋体" w:cs="仿宋"/>
          <w:szCs w:val="28"/>
          <w:highlight w:val="none"/>
          <w:lang w:bidi="ar"/>
        </w:rPr>
        <w:t>。</w:t>
      </w:r>
    </w:p>
    <w:p>
      <w:pPr>
        <w:ind w:firstLine="482"/>
        <w:rPr>
          <w:rFonts w:ascii="宋体" w:hAnsi="宋体" w:cs="仿宋"/>
          <w:szCs w:val="28"/>
          <w:highlight w:val="none"/>
        </w:rPr>
      </w:pPr>
      <w:r>
        <w:rPr>
          <w:rFonts w:hint="eastAsia" w:ascii="宋体" w:hAnsi="宋体" w:cs="仿宋"/>
          <w:b/>
          <w:bCs/>
          <w:szCs w:val="28"/>
          <w:highlight w:val="none"/>
          <w:lang w:bidi="ar"/>
        </w:rPr>
        <w:t>第二十七条</w:t>
      </w:r>
      <w:r>
        <w:rPr>
          <w:rFonts w:hint="eastAsia" w:ascii="宋体" w:hAnsi="宋体" w:cs="仿宋"/>
          <w:szCs w:val="28"/>
          <w:highlight w:val="none"/>
          <w:lang w:bidi="ar"/>
        </w:rPr>
        <w:t xml:space="preserve">  因不可抗力（包含5级以上的地震，8级以上持续24小时的大风，持续降雨24小时且降雨量为200mm以上，日最高温度40℃及以上，6小时内降雪量达15mm以上且降雪持续等）导致委托监理合同不能全部或部分履行，双方自行承担各自损失。</w:t>
      </w:r>
    </w:p>
    <w:p>
      <w:pPr>
        <w:ind w:firstLine="482"/>
        <w:jc w:val="center"/>
        <w:rPr>
          <w:rFonts w:ascii="宋体" w:hAnsi="宋体" w:cs="仿宋"/>
          <w:b/>
          <w:bCs/>
          <w:szCs w:val="28"/>
          <w:highlight w:val="none"/>
        </w:rPr>
      </w:pPr>
      <w:r>
        <w:rPr>
          <w:rFonts w:hint="eastAsia" w:ascii="宋体" w:hAnsi="宋体" w:cs="仿宋"/>
          <w:b/>
          <w:bCs/>
          <w:szCs w:val="28"/>
          <w:highlight w:val="none"/>
          <w:lang w:bidi="ar"/>
        </w:rPr>
        <w:t>委托人责任</w:t>
      </w:r>
    </w:p>
    <w:p>
      <w:pPr>
        <w:ind w:firstLine="482"/>
        <w:rPr>
          <w:rFonts w:ascii="宋体" w:hAnsi="宋体" w:cs="仿宋"/>
          <w:szCs w:val="28"/>
          <w:highlight w:val="none"/>
        </w:rPr>
      </w:pPr>
      <w:r>
        <w:rPr>
          <w:rFonts w:hint="eastAsia" w:ascii="宋体" w:hAnsi="宋体" w:cs="仿宋"/>
          <w:b/>
          <w:bCs/>
          <w:szCs w:val="28"/>
          <w:highlight w:val="none"/>
          <w:lang w:bidi="ar"/>
        </w:rPr>
        <w:t>第二十八条</w:t>
      </w:r>
      <w:r>
        <w:rPr>
          <w:rFonts w:hint="eastAsia" w:ascii="宋体" w:hAnsi="宋体" w:cs="仿宋"/>
          <w:szCs w:val="28"/>
          <w:highlight w:val="none"/>
          <w:lang w:bidi="ar"/>
        </w:rPr>
        <w:t xml:space="preserve">  委托人应当履行委托监理合同约定的义务，如有违反则应当承担违约责任，赔偿给监理人造成的经济损失。</w:t>
      </w:r>
    </w:p>
    <w:p>
      <w:pPr>
        <w:ind w:firstLine="482"/>
        <w:jc w:val="center"/>
        <w:rPr>
          <w:rFonts w:ascii="宋体" w:hAnsi="宋体" w:cs="仿宋"/>
          <w:b/>
          <w:bCs/>
          <w:szCs w:val="28"/>
          <w:highlight w:val="none"/>
        </w:rPr>
      </w:pPr>
      <w:r>
        <w:rPr>
          <w:rFonts w:hint="eastAsia" w:ascii="宋体" w:hAnsi="宋体" w:cs="仿宋"/>
          <w:b/>
          <w:bCs/>
          <w:szCs w:val="28"/>
          <w:highlight w:val="none"/>
          <w:lang w:bidi="ar"/>
        </w:rPr>
        <w:t>合同生效、变更与终止</w:t>
      </w:r>
    </w:p>
    <w:p>
      <w:pPr>
        <w:ind w:firstLine="482"/>
        <w:rPr>
          <w:rFonts w:ascii="宋体" w:hAnsi="宋体" w:cs="仿宋"/>
          <w:szCs w:val="28"/>
          <w:highlight w:val="none"/>
        </w:rPr>
      </w:pPr>
      <w:r>
        <w:rPr>
          <w:rFonts w:hint="eastAsia" w:ascii="宋体" w:hAnsi="宋体" w:cs="仿宋"/>
          <w:b/>
          <w:bCs/>
          <w:szCs w:val="28"/>
          <w:highlight w:val="none"/>
          <w:lang w:bidi="ar"/>
        </w:rPr>
        <w:t>第二十九条</w:t>
      </w:r>
      <w:r>
        <w:rPr>
          <w:rFonts w:hint="eastAsia" w:ascii="宋体" w:hAnsi="宋体" w:cs="仿宋"/>
          <w:szCs w:val="28"/>
          <w:highlight w:val="none"/>
          <w:lang w:bidi="ar"/>
        </w:rPr>
        <w:t xml:space="preserve">  由于委托人或承包人的原因使监理工作受到阻碍或延误，以致发生了附加工作或延长了持续时间，则监理人应当将此情况与可能产生的影响及时通知委托人，完成监理业务的时间相应延长。</w:t>
      </w:r>
    </w:p>
    <w:p>
      <w:pPr>
        <w:ind w:firstLine="482"/>
        <w:rPr>
          <w:rFonts w:ascii="宋体" w:hAnsi="宋体" w:cs="仿宋"/>
          <w:szCs w:val="28"/>
          <w:highlight w:val="none"/>
        </w:rPr>
      </w:pPr>
      <w:r>
        <w:rPr>
          <w:rFonts w:hint="eastAsia" w:ascii="宋体" w:hAnsi="宋体" w:cs="仿宋"/>
          <w:b/>
          <w:bCs/>
          <w:szCs w:val="28"/>
          <w:highlight w:val="none"/>
          <w:lang w:bidi="ar"/>
        </w:rPr>
        <w:t>第三十条</w:t>
      </w:r>
      <w:r>
        <w:rPr>
          <w:rFonts w:hint="eastAsia" w:ascii="宋体" w:hAnsi="宋体" w:cs="仿宋"/>
          <w:szCs w:val="28"/>
          <w:highlight w:val="none"/>
          <w:lang w:bidi="ar"/>
        </w:rPr>
        <w:t xml:space="preserve">  在委托监理合同签订后，实际情况发生变化，使得监理人不能全部或部分执行监理业务时，监理人应当立即通知委托人。该监理业务的完成时间应予延长。当恢复执行监理业务时，应当增加不超过7日的时间用于恢复执行监理业务。</w:t>
      </w:r>
    </w:p>
    <w:p>
      <w:pPr>
        <w:ind w:firstLine="482"/>
        <w:rPr>
          <w:rFonts w:ascii="宋体" w:hAnsi="宋体" w:cs="仿宋"/>
          <w:szCs w:val="28"/>
          <w:highlight w:val="none"/>
        </w:rPr>
      </w:pPr>
      <w:r>
        <w:rPr>
          <w:rFonts w:hint="eastAsia" w:ascii="宋体" w:hAnsi="宋体" w:cs="仿宋"/>
          <w:b/>
          <w:bCs/>
          <w:szCs w:val="28"/>
          <w:highlight w:val="none"/>
          <w:lang w:bidi="ar"/>
        </w:rPr>
        <w:t>第三十一条</w:t>
      </w:r>
      <w:r>
        <w:rPr>
          <w:rFonts w:hint="eastAsia" w:ascii="宋体" w:hAnsi="宋体" w:cs="仿宋"/>
          <w:szCs w:val="28"/>
          <w:highlight w:val="none"/>
          <w:lang w:bidi="ar"/>
        </w:rPr>
        <w:t xml:space="preserve">  监理人向委托人办理完竣工验收或工程移交手续，承包人和委托人已签订工程保修责任书，监理人收到监理报酬尾款，本合同即终止。</w:t>
      </w:r>
    </w:p>
    <w:p>
      <w:pPr>
        <w:ind w:firstLine="482"/>
        <w:rPr>
          <w:rFonts w:ascii="宋体" w:hAnsi="宋体" w:cs="仿宋"/>
          <w:szCs w:val="28"/>
          <w:highlight w:val="none"/>
        </w:rPr>
      </w:pPr>
      <w:r>
        <w:rPr>
          <w:rFonts w:hint="eastAsia" w:ascii="宋体" w:hAnsi="宋体" w:cs="仿宋"/>
          <w:b/>
          <w:bCs/>
          <w:szCs w:val="28"/>
          <w:highlight w:val="none"/>
          <w:lang w:bidi="ar"/>
        </w:rPr>
        <w:t xml:space="preserve">第三十二条 </w:t>
      </w:r>
      <w:r>
        <w:rPr>
          <w:rFonts w:hint="eastAsia" w:ascii="宋体" w:hAnsi="宋体" w:cs="仿宋"/>
          <w:szCs w:val="28"/>
          <w:highlight w:val="none"/>
          <w:lang w:bidi="ar"/>
        </w:rPr>
        <w:t xml:space="preserve"> 当事人一方要求变更合同时，应当提前42日与对方协商，因变更合同使一方遭受损失的，除依法可以免除责任的外，应由责任方负责赔偿。</w:t>
      </w:r>
    </w:p>
    <w:p>
      <w:pPr>
        <w:ind w:firstLine="480"/>
        <w:rPr>
          <w:rFonts w:ascii="宋体" w:hAnsi="宋体" w:cs="仿宋"/>
          <w:szCs w:val="28"/>
          <w:highlight w:val="none"/>
        </w:rPr>
      </w:pPr>
      <w:r>
        <w:rPr>
          <w:rFonts w:hint="eastAsia" w:ascii="宋体" w:hAnsi="宋体" w:cs="仿宋"/>
          <w:szCs w:val="28"/>
          <w:highlight w:val="none"/>
          <w:lang w:bidi="ar"/>
        </w:rPr>
        <w:t>变更合同的协议必须采用书面形式，协议未达成之前，原合同仍然有效。</w:t>
      </w:r>
    </w:p>
    <w:p>
      <w:pPr>
        <w:ind w:firstLine="480"/>
        <w:rPr>
          <w:rFonts w:ascii="宋体" w:hAnsi="宋体" w:cs="仿宋"/>
          <w:szCs w:val="28"/>
          <w:highlight w:val="none"/>
        </w:rPr>
      </w:pPr>
      <w:r>
        <w:rPr>
          <w:rFonts w:hint="eastAsia" w:ascii="宋体" w:hAnsi="宋体" w:cs="仿宋"/>
          <w:szCs w:val="28"/>
          <w:highlight w:val="none"/>
          <w:lang w:bidi="ar"/>
        </w:rPr>
        <w:t>当事人一方要求解除合同时，应当在42日前通知对方，因解除合同使一方遭受损失的，除依法可以免除责任的外，应由责任方负责赔偿。</w:t>
      </w:r>
    </w:p>
    <w:p>
      <w:pPr>
        <w:ind w:firstLine="480"/>
        <w:rPr>
          <w:rFonts w:ascii="宋体" w:hAnsi="宋体" w:cs="仿宋"/>
          <w:szCs w:val="28"/>
          <w:highlight w:val="none"/>
        </w:rPr>
      </w:pPr>
      <w:r>
        <w:rPr>
          <w:rFonts w:hint="eastAsia" w:ascii="宋体" w:hAnsi="宋体" w:cs="仿宋"/>
          <w:szCs w:val="28"/>
          <w:highlight w:val="none"/>
          <w:lang w:bidi="ar"/>
        </w:rPr>
        <w:t>解除合同的通知必须采用书面形式，通知未达成之前，原合同仍然有效；合同解除通知发出方不被认可享有本合同约定解除权的，合同解除通知书无效，原合同仍然有效。</w:t>
      </w:r>
    </w:p>
    <w:p>
      <w:pPr>
        <w:ind w:firstLine="482"/>
        <w:rPr>
          <w:rFonts w:ascii="宋体" w:hAnsi="宋体" w:cs="仿宋"/>
          <w:szCs w:val="28"/>
          <w:highlight w:val="none"/>
        </w:rPr>
      </w:pPr>
      <w:r>
        <w:rPr>
          <w:rFonts w:hint="eastAsia" w:ascii="宋体" w:hAnsi="宋体" w:cs="仿宋"/>
          <w:b/>
          <w:bCs/>
          <w:szCs w:val="28"/>
          <w:highlight w:val="none"/>
          <w:lang w:bidi="ar"/>
        </w:rPr>
        <w:t>第三十三条</w:t>
      </w:r>
      <w:r>
        <w:rPr>
          <w:rFonts w:hint="eastAsia" w:ascii="宋体" w:hAnsi="宋体" w:cs="仿宋"/>
          <w:szCs w:val="28"/>
          <w:highlight w:val="none"/>
          <w:lang w:bidi="ar"/>
        </w:rPr>
        <w:t xml:space="preserve">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firstLine="482"/>
        <w:rPr>
          <w:rFonts w:ascii="宋体" w:hAnsi="宋体" w:cs="仿宋"/>
          <w:szCs w:val="28"/>
          <w:highlight w:val="none"/>
        </w:rPr>
      </w:pPr>
      <w:r>
        <w:rPr>
          <w:rFonts w:hint="eastAsia" w:ascii="宋体" w:hAnsi="宋体" w:cs="仿宋"/>
          <w:b/>
          <w:bCs/>
          <w:szCs w:val="28"/>
          <w:highlight w:val="none"/>
          <w:lang w:bidi="ar"/>
        </w:rPr>
        <w:t xml:space="preserve">第三十四条 </w:t>
      </w:r>
      <w:r>
        <w:rPr>
          <w:rFonts w:hint="eastAsia" w:ascii="宋体" w:hAnsi="宋体" w:cs="仿宋"/>
          <w:szCs w:val="28"/>
          <w:highlight w:val="none"/>
          <w:lang w:bidi="ar"/>
        </w:rPr>
        <w:t>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firstLine="482"/>
        <w:rPr>
          <w:rFonts w:ascii="宋体" w:hAnsi="宋体" w:cs="仿宋"/>
          <w:szCs w:val="28"/>
          <w:highlight w:val="none"/>
        </w:rPr>
      </w:pPr>
      <w:r>
        <w:rPr>
          <w:rFonts w:hint="eastAsia" w:ascii="宋体" w:hAnsi="宋体" w:cs="仿宋"/>
          <w:b/>
          <w:bCs/>
          <w:szCs w:val="28"/>
          <w:highlight w:val="none"/>
          <w:lang w:bidi="ar"/>
        </w:rPr>
        <w:t>第三十五条</w:t>
      </w:r>
      <w:r>
        <w:rPr>
          <w:rFonts w:hint="eastAsia" w:ascii="宋体" w:hAnsi="宋体" w:cs="仿宋"/>
          <w:szCs w:val="28"/>
          <w:highlight w:val="none"/>
          <w:lang w:bidi="ar"/>
        </w:rPr>
        <w:t xml:space="preserve">  合同协议的终止并不影响各方应有的权利和应当承担的责任。 </w:t>
      </w:r>
    </w:p>
    <w:p>
      <w:pPr>
        <w:ind w:firstLine="482"/>
        <w:jc w:val="center"/>
        <w:rPr>
          <w:rFonts w:ascii="宋体" w:hAnsi="宋体" w:cs="仿宋"/>
          <w:b/>
          <w:bCs/>
          <w:szCs w:val="28"/>
          <w:highlight w:val="none"/>
        </w:rPr>
      </w:pPr>
      <w:r>
        <w:rPr>
          <w:rFonts w:hint="eastAsia" w:ascii="宋体" w:hAnsi="宋体" w:cs="仿宋"/>
          <w:b/>
          <w:bCs/>
          <w:szCs w:val="28"/>
          <w:highlight w:val="none"/>
          <w:lang w:bidi="ar"/>
        </w:rPr>
        <w:t>监理报酬</w:t>
      </w:r>
    </w:p>
    <w:p>
      <w:pPr>
        <w:ind w:firstLine="482"/>
        <w:rPr>
          <w:rFonts w:ascii="宋体" w:hAnsi="宋体" w:cs="仿宋"/>
          <w:szCs w:val="28"/>
          <w:highlight w:val="none"/>
        </w:rPr>
      </w:pPr>
      <w:r>
        <w:rPr>
          <w:rFonts w:hint="eastAsia" w:ascii="宋体" w:hAnsi="宋体" w:cs="仿宋"/>
          <w:b/>
          <w:bCs/>
          <w:szCs w:val="28"/>
          <w:highlight w:val="none"/>
          <w:lang w:bidi="ar"/>
        </w:rPr>
        <w:t>第三十六条</w:t>
      </w:r>
      <w:r>
        <w:rPr>
          <w:rFonts w:hint="eastAsia" w:ascii="宋体" w:hAnsi="宋体" w:cs="仿宋"/>
          <w:szCs w:val="28"/>
          <w:highlight w:val="none"/>
          <w:lang w:bidi="ar"/>
        </w:rPr>
        <w:t xml:space="preserve"> 委托人同意按以下的计算方法、时间和金额，支付监理人的报酬：</w:t>
      </w:r>
    </w:p>
    <w:p>
      <w:pPr>
        <w:numPr>
          <w:ilvl w:val="0"/>
          <w:numId w:val="15"/>
        </w:numPr>
        <w:adjustRightInd w:val="0"/>
        <w:snapToGrid w:val="0"/>
        <w:jc w:val="left"/>
        <w:rPr>
          <w:rFonts w:ascii="宋体" w:hAnsi="宋体" w:cs="仿宋"/>
          <w:b/>
          <w:szCs w:val="28"/>
          <w:highlight w:val="none"/>
        </w:rPr>
      </w:pPr>
      <w:r>
        <w:rPr>
          <w:rFonts w:hint="eastAsia" w:ascii="宋体" w:hAnsi="宋体" w:cs="仿宋"/>
          <w:szCs w:val="28"/>
          <w:highlight w:val="none"/>
          <w:lang w:bidi="ar"/>
        </w:rPr>
        <w:t>本工程监理中标价为工程结算价的</w:t>
      </w:r>
      <w:r>
        <w:rPr>
          <w:rFonts w:hint="eastAsia" w:ascii="宋体" w:hAnsi="宋体" w:cs="仿宋"/>
          <w:szCs w:val="28"/>
          <w:highlight w:val="none"/>
          <w:u w:val="single"/>
          <w:lang w:val="en-US" w:eastAsia="zh-CN" w:bidi="ar"/>
        </w:rPr>
        <w:t xml:space="preserve">    </w:t>
      </w:r>
      <w:r>
        <w:rPr>
          <w:rFonts w:hint="eastAsia" w:ascii="宋体" w:hAnsi="宋体" w:cs="仿宋"/>
          <w:szCs w:val="28"/>
          <w:highlight w:val="none"/>
          <w:u w:val="single"/>
          <w:lang w:bidi="ar"/>
        </w:rPr>
        <w:t>%</w:t>
      </w:r>
      <w:r>
        <w:rPr>
          <w:rFonts w:hint="eastAsia" w:ascii="宋体" w:hAnsi="宋体" w:cs="仿宋"/>
          <w:szCs w:val="28"/>
          <w:highlight w:val="none"/>
          <w:lang w:bidi="ar"/>
        </w:rPr>
        <w:t>。该费用为完成委托监理的范围和监理业务所需的全部费用，包括承担全部工程的实施、完成及其缺陷修复等监理合同责任的总花费和监理人因监理本合同工程需缴纳的一切税费，并包括为工程顺利进行按照国家现行有关建设工程规范、规程和技术标准要求必须配套完成的工作内容所需的费用。该固定全费用综合单价不受市场上劳动力、政策性调整而改变，也不因任何原因造成监理期限延长而调整。</w:t>
      </w:r>
    </w:p>
    <w:p>
      <w:pPr>
        <w:widowControl/>
        <w:numPr>
          <w:ilvl w:val="0"/>
          <w:numId w:val="15"/>
        </w:numPr>
        <w:adjustRightInd w:val="0"/>
        <w:snapToGrid w:val="0"/>
        <w:rPr>
          <w:rFonts w:ascii="宋体" w:hAnsi="宋体" w:cs="仿宋"/>
          <w:szCs w:val="28"/>
          <w:highlight w:val="none"/>
        </w:rPr>
      </w:pPr>
      <w:r>
        <w:rPr>
          <w:rFonts w:hint="eastAsia" w:ascii="宋体" w:hAnsi="宋体" w:cs="仿宋"/>
          <w:szCs w:val="28"/>
          <w:highlight w:val="none"/>
          <w:lang w:bidi="ar"/>
        </w:rPr>
        <w:t>付款方式：</w:t>
      </w:r>
    </w:p>
    <w:p>
      <w:pPr>
        <w:pStyle w:val="4"/>
        <w:numPr>
          <w:ilvl w:val="2"/>
          <w:numId w:val="0"/>
        </w:numPr>
        <w:spacing w:line="570" w:lineRule="exact"/>
        <w:ind w:firstLine="482" w:firstLineChars="200"/>
        <w:rPr>
          <w:rFonts w:ascii="宋体" w:cs="仿宋"/>
          <w:bCs w:val="0"/>
          <w:sz w:val="24"/>
          <w:szCs w:val="24"/>
          <w:highlight w:val="none"/>
          <w:lang w:bidi="ar"/>
        </w:rPr>
      </w:pPr>
      <w:r>
        <w:rPr>
          <w:rFonts w:hint="eastAsia" w:ascii="宋体" w:cs="仿宋"/>
          <w:bCs w:val="0"/>
          <w:sz w:val="24"/>
          <w:szCs w:val="24"/>
          <w:highlight w:val="none"/>
          <w:lang w:bidi="ar"/>
        </w:rPr>
        <w:t>支付监理报酬所采取的货币币种为人民币。支付款项时，与已完工程量相对应的监理人及承包人工程资料需同时准备齐全并归档。</w:t>
      </w:r>
    </w:p>
    <w:p>
      <w:pPr>
        <w:numPr>
          <w:ilvl w:val="0"/>
          <w:numId w:val="15"/>
        </w:numPr>
        <w:autoSpaceDE w:val="0"/>
        <w:autoSpaceDN w:val="0"/>
        <w:adjustRightInd w:val="0"/>
        <w:snapToGrid w:val="0"/>
        <w:spacing w:line="570" w:lineRule="exact"/>
        <w:ind w:left="0"/>
        <w:rPr>
          <w:rFonts w:ascii="宋体" w:hAnsi="宋体" w:cs="仿宋"/>
          <w:szCs w:val="28"/>
          <w:highlight w:val="none"/>
        </w:rPr>
      </w:pPr>
      <w:r>
        <w:rPr>
          <w:rFonts w:hint="eastAsia" w:ascii="宋体" w:hAnsi="宋体" w:cs="仿宋"/>
          <w:szCs w:val="28"/>
          <w:highlight w:val="none"/>
          <w:lang w:bidi="ar"/>
        </w:rPr>
        <w:t>监理人在委托人支付工程款前，须提供税率为</w:t>
      </w:r>
      <w:r>
        <w:rPr>
          <w:rFonts w:hint="eastAsia" w:ascii="宋体" w:hAnsi="宋体" w:cs="仿宋"/>
          <w:szCs w:val="28"/>
          <w:highlight w:val="none"/>
          <w:u w:val="single"/>
          <w:lang w:val="en-US" w:eastAsia="zh-CN" w:bidi="ar"/>
        </w:rPr>
        <w:t xml:space="preserve">   </w:t>
      </w:r>
      <w:r>
        <w:rPr>
          <w:rFonts w:hint="eastAsia" w:ascii="宋体" w:hAnsi="宋体" w:cs="仿宋"/>
          <w:szCs w:val="28"/>
          <w:highlight w:val="none"/>
          <w:u w:val="single"/>
          <w:lang w:bidi="ar"/>
        </w:rPr>
        <w:t xml:space="preserve"> </w:t>
      </w:r>
      <w:r>
        <w:rPr>
          <w:rFonts w:hint="eastAsia" w:ascii="宋体" w:hAnsi="宋体" w:cs="仿宋"/>
          <w:szCs w:val="28"/>
          <w:highlight w:val="none"/>
          <w:lang w:bidi="ar"/>
        </w:rPr>
        <w:t>的工程服务增值税专用发票（支付结算款时提供结算价全额的工程服务类增值税专用发票）并按税收规定接受项目地税务机关管理，否则委托人有权拒绝支付款项。委托人采用除现金、委托付款以外的方式进行付款，以支票支付时，监理人须由有法定代表人授权的指定收款人收款。监理人提供的收款账户如下：</w:t>
      </w:r>
    </w:p>
    <w:p>
      <w:pPr>
        <w:autoSpaceDE w:val="0"/>
        <w:autoSpaceDN w:val="0"/>
        <w:spacing w:line="570" w:lineRule="exact"/>
        <w:ind w:firstLine="480"/>
        <w:rPr>
          <w:rFonts w:ascii="宋体" w:hAnsi="宋体" w:cs="仿宋"/>
          <w:szCs w:val="28"/>
          <w:highlight w:val="none"/>
        </w:rPr>
      </w:pPr>
      <w:r>
        <w:rPr>
          <w:rFonts w:hint="eastAsia" w:ascii="宋体" w:hAnsi="宋体" w:cs="仿宋"/>
          <w:szCs w:val="28"/>
          <w:highlight w:val="none"/>
          <w:lang w:bidi="ar"/>
        </w:rPr>
        <w:t>账户名称：</w:t>
      </w:r>
      <w:r>
        <w:rPr>
          <w:rFonts w:hint="eastAsia" w:ascii="宋体" w:hAnsi="宋体" w:cs="仿宋"/>
          <w:szCs w:val="28"/>
          <w:highlight w:val="none"/>
          <w:u w:val="single"/>
          <w:lang w:bidi="ar"/>
        </w:rPr>
        <w:t>X</w:t>
      </w:r>
      <w:r>
        <w:rPr>
          <w:rFonts w:ascii="宋体" w:hAnsi="宋体" w:cs="仿宋"/>
          <w:szCs w:val="28"/>
          <w:highlight w:val="none"/>
          <w:u w:val="single"/>
          <w:lang w:bidi="ar"/>
        </w:rPr>
        <w:t>XXXXXXXXXXXX</w:t>
      </w:r>
    </w:p>
    <w:p>
      <w:pPr>
        <w:autoSpaceDE w:val="0"/>
        <w:autoSpaceDN w:val="0"/>
        <w:spacing w:line="570" w:lineRule="exact"/>
        <w:ind w:firstLine="480"/>
        <w:rPr>
          <w:rFonts w:ascii="宋体" w:hAnsi="宋体" w:cs="仿宋"/>
          <w:szCs w:val="28"/>
          <w:highlight w:val="none"/>
          <w:lang w:bidi="ar"/>
        </w:rPr>
      </w:pPr>
      <w:r>
        <w:rPr>
          <w:rFonts w:hint="eastAsia" w:ascii="宋体" w:hAnsi="宋体" w:cs="仿宋"/>
          <w:szCs w:val="28"/>
          <w:highlight w:val="none"/>
          <w:lang w:bidi="ar"/>
        </w:rPr>
        <w:t>账户账号：</w:t>
      </w:r>
      <w:r>
        <w:rPr>
          <w:rFonts w:ascii="宋体" w:hAnsi="宋体" w:cs="仿宋"/>
          <w:szCs w:val="28"/>
          <w:highlight w:val="none"/>
          <w:u w:val="single"/>
          <w:lang w:bidi="ar"/>
        </w:rPr>
        <w:t>XXXXXXXXXXX</w:t>
      </w:r>
    </w:p>
    <w:p>
      <w:pPr>
        <w:autoSpaceDE w:val="0"/>
        <w:autoSpaceDN w:val="0"/>
        <w:spacing w:line="570" w:lineRule="exact"/>
        <w:ind w:firstLine="480"/>
        <w:rPr>
          <w:rFonts w:ascii="宋体" w:hAnsi="宋体" w:cs="仿宋"/>
          <w:szCs w:val="28"/>
          <w:highlight w:val="none"/>
          <w:lang w:bidi="ar"/>
        </w:rPr>
      </w:pPr>
      <w:r>
        <w:rPr>
          <w:rFonts w:hint="eastAsia" w:ascii="宋体" w:hAnsi="宋体" w:cs="仿宋"/>
          <w:szCs w:val="28"/>
          <w:highlight w:val="none"/>
          <w:lang w:bidi="ar"/>
        </w:rPr>
        <w:t>账户开设银行名称：</w:t>
      </w:r>
      <w:r>
        <w:rPr>
          <w:rFonts w:hint="eastAsia" w:ascii="宋体" w:hAnsi="宋体" w:cs="仿宋"/>
          <w:szCs w:val="28"/>
          <w:highlight w:val="none"/>
          <w:u w:val="single"/>
          <w:lang w:bidi="ar"/>
        </w:rPr>
        <w:t>X</w:t>
      </w:r>
      <w:r>
        <w:rPr>
          <w:rFonts w:ascii="宋体" w:hAnsi="宋体" w:cs="仿宋"/>
          <w:szCs w:val="28"/>
          <w:highlight w:val="none"/>
          <w:u w:val="single"/>
          <w:lang w:bidi="ar"/>
        </w:rPr>
        <w:t>XXXXXXXXXXX</w:t>
      </w:r>
    </w:p>
    <w:p>
      <w:pPr>
        <w:numPr>
          <w:ilvl w:val="0"/>
          <w:numId w:val="16"/>
        </w:numPr>
        <w:autoSpaceDE w:val="0"/>
        <w:autoSpaceDN w:val="0"/>
        <w:adjustRightInd w:val="0"/>
        <w:snapToGrid w:val="0"/>
        <w:spacing w:line="570" w:lineRule="exact"/>
        <w:ind w:left="5" w:firstLine="475"/>
        <w:rPr>
          <w:rFonts w:ascii="宋体" w:hAnsi="宋体" w:cs="仿宋"/>
          <w:szCs w:val="28"/>
          <w:highlight w:val="none"/>
        </w:rPr>
      </w:pPr>
      <w:r>
        <w:rPr>
          <w:rFonts w:hint="eastAsia" w:ascii="宋体" w:hAnsi="宋体" w:cs="仿宋"/>
          <w:szCs w:val="28"/>
          <w:highlight w:val="none"/>
          <w:lang w:bidi="ar"/>
        </w:rPr>
        <w:t>甲方因乙方提供的发票被税务机关调查，乙方应协助配合甲方向税务机关做好调查、解释、说明等工作的义务。</w:t>
      </w:r>
    </w:p>
    <w:p>
      <w:pPr>
        <w:numPr>
          <w:ilvl w:val="0"/>
          <w:numId w:val="16"/>
        </w:numPr>
        <w:autoSpaceDE w:val="0"/>
        <w:autoSpaceDN w:val="0"/>
        <w:adjustRightInd w:val="0"/>
        <w:snapToGrid w:val="0"/>
        <w:spacing w:line="570" w:lineRule="exact"/>
        <w:ind w:left="5" w:firstLine="475"/>
        <w:rPr>
          <w:rFonts w:ascii="宋体" w:hAnsi="宋体" w:cs="仿宋"/>
          <w:szCs w:val="28"/>
          <w:highlight w:val="none"/>
        </w:rPr>
      </w:pPr>
      <w:r>
        <w:rPr>
          <w:rFonts w:hint="eastAsia" w:ascii="宋体" w:hAnsi="宋体" w:cs="仿宋"/>
          <w:szCs w:val="28"/>
          <w:highlight w:val="none"/>
          <w:lang w:bidi="ar"/>
        </w:rPr>
        <w:t>若合同履行过程中，发生退货退款等事项，乙方应提供相关证明（该证明需加盖乙方印章）和开具增值税专用发票的义务。</w:t>
      </w:r>
    </w:p>
    <w:p>
      <w:pPr>
        <w:numPr>
          <w:ilvl w:val="0"/>
          <w:numId w:val="15"/>
        </w:numPr>
        <w:autoSpaceDE w:val="0"/>
        <w:autoSpaceDN w:val="0"/>
        <w:adjustRightInd w:val="0"/>
        <w:snapToGrid w:val="0"/>
        <w:spacing w:line="570" w:lineRule="exact"/>
        <w:ind w:left="0"/>
        <w:rPr>
          <w:rFonts w:ascii="宋体" w:hAnsi="宋体" w:cs="仿宋"/>
          <w:szCs w:val="28"/>
          <w:highlight w:val="none"/>
          <w:lang w:bidi="ar"/>
        </w:rPr>
      </w:pPr>
      <w:r>
        <w:rPr>
          <w:rFonts w:hint="eastAsia" w:ascii="宋体" w:hAnsi="宋体" w:cs="仿宋"/>
          <w:szCs w:val="28"/>
          <w:highlight w:val="none"/>
          <w:lang w:bidi="ar"/>
        </w:rPr>
        <w:t>如果委托人对监理人提交的支付通知中报酬或部分报酬项目提出异议，应当在收到支付通知书2个工作日内向监理人发出表示异议的通知，但委托人不得拖延其他无异议报酬项目的支付。</w:t>
      </w:r>
      <w:r>
        <w:rPr>
          <w:rFonts w:ascii="宋体" w:hAnsi="宋体" w:cs="仿宋"/>
          <w:szCs w:val="28"/>
          <w:highlight w:val="none"/>
          <w:lang w:bidi="ar"/>
        </w:rPr>
        <w:t>对于合同监理范围增加或减少或因故暂停预计将超过2个月或必要时，委托人可提议另行签订补充协议。</w:t>
      </w:r>
    </w:p>
    <w:p>
      <w:pPr>
        <w:numPr>
          <w:ilvl w:val="0"/>
          <w:numId w:val="15"/>
        </w:numPr>
        <w:autoSpaceDE w:val="0"/>
        <w:autoSpaceDN w:val="0"/>
        <w:adjustRightInd w:val="0"/>
        <w:snapToGrid w:val="0"/>
        <w:spacing w:line="570" w:lineRule="exact"/>
        <w:ind w:left="0"/>
        <w:rPr>
          <w:rFonts w:ascii="宋体" w:hAnsi="宋体" w:cs="仿宋"/>
          <w:szCs w:val="28"/>
          <w:highlight w:val="none"/>
        </w:rPr>
      </w:pPr>
      <w:r>
        <w:rPr>
          <w:rFonts w:hint="eastAsia" w:ascii="宋体" w:hAnsi="宋体" w:cs="仿宋"/>
          <w:szCs w:val="28"/>
          <w:highlight w:val="none"/>
          <w:lang w:bidi="ar"/>
        </w:rPr>
        <w:t>监理单位在合同期内如果因失职给委托人造成损失的，向委托人承担赔偿责任，赔偿全部损失。</w:t>
      </w:r>
    </w:p>
    <w:p>
      <w:pPr>
        <w:numPr>
          <w:ilvl w:val="0"/>
          <w:numId w:val="15"/>
        </w:numPr>
        <w:autoSpaceDE w:val="0"/>
        <w:autoSpaceDN w:val="0"/>
        <w:adjustRightInd w:val="0"/>
        <w:snapToGrid w:val="0"/>
        <w:spacing w:line="570" w:lineRule="exact"/>
        <w:ind w:left="0"/>
        <w:rPr>
          <w:rFonts w:ascii="宋体" w:hAnsi="宋体" w:cs="仿宋"/>
          <w:szCs w:val="28"/>
          <w:highlight w:val="none"/>
          <w:lang w:bidi="ar"/>
        </w:rPr>
      </w:pPr>
      <w:r>
        <w:rPr>
          <w:rFonts w:hint="eastAsia" w:ascii="宋体" w:hAnsi="宋体" w:cs="仿宋"/>
          <w:szCs w:val="28"/>
          <w:highlight w:val="none"/>
          <w:lang w:bidi="ar"/>
        </w:rPr>
        <w:t>附加协议条款：</w:t>
      </w:r>
      <w:r>
        <w:rPr>
          <w:rFonts w:hint="eastAsia" w:ascii="宋体" w:hAnsi="宋体" w:cs="仿宋"/>
          <w:b/>
          <w:szCs w:val="28"/>
          <w:highlight w:val="none"/>
          <w:lang w:bidi="ar"/>
        </w:rPr>
        <w:t xml:space="preserve"> </w:t>
      </w:r>
    </w:p>
    <w:p>
      <w:pPr>
        <w:spacing w:line="570" w:lineRule="exact"/>
        <w:ind w:firstLine="480"/>
        <w:rPr>
          <w:rFonts w:ascii="宋体" w:hAnsi="宋体" w:cs="仿宋"/>
          <w:szCs w:val="28"/>
          <w:highlight w:val="none"/>
        </w:rPr>
      </w:pPr>
      <w:r>
        <w:rPr>
          <w:rFonts w:hint="eastAsia" w:ascii="宋体" w:hAnsi="宋体" w:cs="仿宋"/>
          <w:szCs w:val="28"/>
          <w:highlight w:val="none"/>
          <w:lang w:bidi="ar"/>
        </w:rPr>
        <w:t>1.在工程施工期间，专业监理工程师和现场监理员按委托人的要求及工程进度进驻施工现场。否则，视为班子成员不齐、缺少监理人员，每发现一次扣除监理费2000元；如一周内未配备具有同等资质及相应工作经验的人员，扣除监理费5000元；如一月内仍未配备具有同等资质及相应工作经验的人员，扣除监理合同额的10%。监理人驻现场人员迟到早退按50元/人/次扣除监理费，缺勤按扣除100元/人/次扣除监理费。正常工作作息时间以外以及节假日，施工单位正常施工，监理人不安排相关人员值班，扣除监理费3000元/人/次；扣个人的款项24小时内缴纳现金至委托人项目部，否则委托人将从监理服务费中扣除并有权更换该监理人员。</w:t>
      </w:r>
    </w:p>
    <w:p>
      <w:pPr>
        <w:ind w:firstLine="480"/>
        <w:rPr>
          <w:rFonts w:ascii="宋体" w:hAnsi="宋体" w:cs="仿宋"/>
          <w:szCs w:val="28"/>
          <w:highlight w:val="none"/>
        </w:rPr>
      </w:pPr>
      <w:r>
        <w:rPr>
          <w:rFonts w:hint="eastAsia" w:ascii="宋体" w:hAnsi="宋体" w:cs="仿宋"/>
          <w:szCs w:val="28"/>
          <w:highlight w:val="none"/>
          <w:lang w:bidi="ar"/>
        </w:rPr>
        <w:t>2.由于监理人工作失误而造成质量事故、安全事故、质量缺陷、进度延误、未满足质量目标等，委托人可根据具体情况，扣除监理人违约金，扣款额度最高可累计到总费用的15%。具体扣款细则应该包括以下条款：</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监理人员未经委托人批准不得调离项目现场或从事与本工程无关的其他工作，每发现一人次，扣除监理费1000元。</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委托人对监理人员考核中，每发现一人次记录不及时、不真实，扣除监理费200元；扣个人的款项24小时内缴纳现金至委托人项目部，否则委托人将从监理服务费中扣除并有权更换该监理人员。</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对安全隐患、不文明施工现象不能有效控制，在委托人下次检查中重复出现时，对责任监理工程师处以300元罚款/次；扣个人的款项24小时内缴纳现金至委托人项目部，否则委托人将从监理服务费中扣除并有权更换该监理人员。具体如下：</w:t>
      </w:r>
    </w:p>
    <w:p>
      <w:pPr>
        <w:ind w:left="5" w:firstLine="413" w:firstLineChars="197"/>
        <w:rPr>
          <w:rFonts w:ascii="宋体" w:hAnsi="宋体" w:cs="仿宋"/>
          <w:szCs w:val="28"/>
          <w:highlight w:val="none"/>
        </w:rPr>
      </w:pPr>
      <w:r>
        <w:rPr>
          <w:rFonts w:hint="eastAsia" w:ascii="宋体" w:hAnsi="宋体" w:cs="仿宋"/>
          <w:szCs w:val="28"/>
          <w:highlight w:val="none"/>
          <w:lang w:bidi="ar"/>
        </w:rPr>
        <w:t>①质量通病方面：工程资料审核不及时或达不到档案馆要求等；</w:t>
      </w:r>
    </w:p>
    <w:p>
      <w:pPr>
        <w:ind w:left="5" w:firstLine="413" w:firstLineChars="197"/>
        <w:rPr>
          <w:rFonts w:ascii="宋体" w:hAnsi="宋体" w:cs="仿宋"/>
          <w:szCs w:val="28"/>
          <w:highlight w:val="none"/>
        </w:rPr>
      </w:pPr>
      <w:r>
        <w:rPr>
          <w:rFonts w:hint="eastAsia" w:ascii="宋体" w:hAnsi="宋体" w:cs="仿宋"/>
          <w:szCs w:val="28"/>
          <w:highlight w:val="none"/>
          <w:lang w:bidi="ar"/>
        </w:rPr>
        <w:t>②安全方面：施工用电漏电保护器设置不符合国家规范要求、主要施工设备未经安检程序运转，高空抛物，地面不拉警戒线，无人监护、不按国家规定进行爆破作业。</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因监理人现场管理不到位导致现场文明施工存在问题不能得到及时整改，扣除监理公司该付款节点监理费用的10%，视整改情况在下次付款节点返还。</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监理单位有权利和义务督促施工单位按照施工合同控制工期完成工程施工，如果不能完成（因委托人原因和不可抗力造成的除外），扣除监理单位每项每天1000元。</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监理人必须对各种工程量的计量等真实性和准确性负责，一旦发现监理工程师确认的结果超出工程实际工作内容或工程量超出实际工程量，将对监理人处以超出部分费用2倍的违约金；监理工程师确认的结果少于工程实际工作内容或少于实际工程量，减少部分费用不能冲减超出部分费用。</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监理单位人员在施工前应认真熟悉施工图纸并就图纸提出书面建议及意见，如果监理人员对图纸的错漏碰缺没有提出意见或建议而引起的返工或变更金额超过5000元的，应承担部分责任并进行赔偿。赔偿金额＝对委托人造成的损失×2％，触犯国家法律的要承担相应法律责任。</w:t>
      </w:r>
    </w:p>
    <w:p>
      <w:pPr>
        <w:numPr>
          <w:ilvl w:val="0"/>
          <w:numId w:val="17"/>
        </w:numPr>
        <w:adjustRightInd w:val="0"/>
        <w:snapToGrid w:val="0"/>
        <w:ind w:left="5" w:firstLine="413" w:firstLineChars="197"/>
        <w:rPr>
          <w:rFonts w:ascii="宋体" w:hAnsi="宋体" w:cs="仿宋"/>
          <w:szCs w:val="28"/>
          <w:highlight w:val="none"/>
        </w:rPr>
      </w:pPr>
      <w:r>
        <w:rPr>
          <w:rFonts w:hint="eastAsia" w:ascii="宋体" w:hAnsi="宋体" w:cs="仿宋"/>
          <w:szCs w:val="28"/>
          <w:highlight w:val="none"/>
          <w:lang w:bidi="ar"/>
        </w:rPr>
        <w:t>监理单位应对施工单位申报的竣工图纸及相关结算资料的真实性、完整性、合法性负全责，经监理单位审核后的竣工图纸与现场实际施工情况不相符或结算资料不真实、不合法给委托人造成直接损失达1.0‰以上的，损失费直接从监理费用中扣除，不足部分追溯其法律责任。</w:t>
      </w:r>
    </w:p>
    <w:p>
      <w:pPr>
        <w:ind w:firstLine="480"/>
        <w:rPr>
          <w:rFonts w:ascii="宋体" w:hAnsi="宋体" w:cs="仿宋"/>
          <w:szCs w:val="28"/>
          <w:highlight w:val="none"/>
        </w:rPr>
      </w:pPr>
      <w:r>
        <w:rPr>
          <w:rFonts w:hint="eastAsia" w:ascii="宋体" w:hAnsi="宋体" w:cs="仿宋"/>
          <w:szCs w:val="28"/>
          <w:highlight w:val="none"/>
          <w:lang w:bidi="ar"/>
        </w:rPr>
        <w:t>3.如果项目监理单位不执行或只是部分执行本合同及监理规范规定的监理业务和监理工作内容，监理委托人将扣减预留10%的监理尾款。同时委托人可将监理总额的10%，根据监理合同履行情况和监理人员工作业绩奖励给现场监理人员。</w:t>
      </w:r>
    </w:p>
    <w:p>
      <w:pPr>
        <w:ind w:left="414" w:leftChars="197"/>
        <w:rPr>
          <w:rFonts w:ascii="宋体" w:hAnsi="宋体" w:cs="仿宋"/>
          <w:szCs w:val="28"/>
          <w:highlight w:val="none"/>
        </w:rPr>
      </w:pPr>
      <w:r>
        <w:rPr>
          <w:rFonts w:hint="eastAsia" w:ascii="宋体" w:hAnsi="宋体" w:cs="仿宋"/>
          <w:szCs w:val="28"/>
          <w:highlight w:val="none"/>
          <w:lang w:bidi="ar"/>
        </w:rPr>
        <w:t>4.监理附加工作报酬按如下办法确定：</w:t>
      </w:r>
    </w:p>
    <w:p>
      <w:pPr>
        <w:ind w:left="5" w:firstLine="413" w:firstLineChars="197"/>
        <w:rPr>
          <w:rFonts w:ascii="宋体" w:hAnsi="宋体" w:cs="仿宋"/>
          <w:szCs w:val="28"/>
          <w:highlight w:val="none"/>
        </w:rPr>
      </w:pPr>
      <w:r>
        <w:rPr>
          <w:rFonts w:hint="eastAsia" w:ascii="宋体" w:hAnsi="宋体" w:cs="仿宋"/>
          <w:szCs w:val="28"/>
          <w:highlight w:val="none"/>
          <w:lang w:bidi="ar"/>
        </w:rPr>
        <w:t>项目因不可抗力原因造成工程延期的，施工监理工期自然顺延，但不增加工程监理报酬。</w:t>
      </w:r>
    </w:p>
    <w:p>
      <w:pPr>
        <w:ind w:left="5" w:firstLine="413" w:firstLineChars="197"/>
        <w:rPr>
          <w:rFonts w:ascii="宋体" w:hAnsi="宋体" w:cs="仿宋"/>
          <w:szCs w:val="28"/>
          <w:highlight w:val="none"/>
        </w:rPr>
      </w:pPr>
      <w:r>
        <w:rPr>
          <w:rFonts w:hint="eastAsia" w:ascii="宋体" w:hAnsi="宋体" w:cs="仿宋"/>
          <w:szCs w:val="28"/>
          <w:highlight w:val="none"/>
          <w:lang w:bidi="ar"/>
        </w:rPr>
        <w:t>由于监理人失职而造成监理工作内容、工作量和持续时间的增加，不得计取附加工作报酬。</w:t>
      </w:r>
    </w:p>
    <w:p>
      <w:pPr>
        <w:ind w:firstLine="480"/>
        <w:rPr>
          <w:rFonts w:ascii="宋体" w:hAnsi="宋体" w:cs="仿宋"/>
          <w:szCs w:val="28"/>
          <w:highlight w:val="none"/>
        </w:rPr>
      </w:pPr>
      <w:r>
        <w:rPr>
          <w:rFonts w:hint="eastAsia" w:ascii="宋体" w:hAnsi="宋体" w:cs="仿宋"/>
          <w:szCs w:val="28"/>
          <w:highlight w:val="none"/>
          <w:lang w:bidi="ar"/>
        </w:rPr>
        <w:t>5.保修监理自竣工验收之日起，保修期按本工程项目施工合同和执行国务院令第279号《建设工程质量管理条例》。</w:t>
      </w:r>
    </w:p>
    <w:p>
      <w:pPr>
        <w:ind w:firstLine="480"/>
        <w:rPr>
          <w:rFonts w:ascii="宋体" w:hAnsi="宋体" w:cs="仿宋"/>
          <w:szCs w:val="28"/>
          <w:highlight w:val="none"/>
        </w:rPr>
      </w:pPr>
      <w:r>
        <w:rPr>
          <w:rFonts w:hint="eastAsia" w:ascii="宋体" w:hAnsi="宋体" w:cs="仿宋"/>
          <w:szCs w:val="28"/>
          <w:highlight w:val="none"/>
          <w:lang w:bidi="ar"/>
        </w:rPr>
        <w:t>6.施工阶段监理工作结束后10天内，监理人向委托人提交监理工作总结和监理档案资料原件各贰份。（其中壹份必须为原件）</w:t>
      </w:r>
    </w:p>
    <w:p>
      <w:pPr>
        <w:ind w:firstLine="480"/>
        <w:rPr>
          <w:rFonts w:ascii="宋体" w:hAnsi="宋体" w:cs="仿宋"/>
          <w:szCs w:val="28"/>
          <w:highlight w:val="none"/>
        </w:rPr>
      </w:pPr>
      <w:r>
        <w:rPr>
          <w:rFonts w:hint="eastAsia" w:ascii="宋体" w:hAnsi="宋体" w:cs="仿宋"/>
          <w:szCs w:val="28"/>
          <w:highlight w:val="none"/>
          <w:lang w:bidi="ar"/>
        </w:rPr>
        <w:t>7.需要取得委托人书面批准才能行使的职权：对设计单位和施工单位提出优化设计的认可；对施工组织设计审批；开工、停工、复工令的签发；对工程变更及工程签证的签认；对工期提前或延误的签认；对工程款和合同价款支付的批准；本合同约定的承包人的任何权利与义务的变更。</w:t>
      </w:r>
    </w:p>
    <w:p>
      <w:pPr>
        <w:ind w:firstLine="480"/>
        <w:rPr>
          <w:rFonts w:ascii="宋体" w:hAnsi="宋体" w:cs="仿宋"/>
          <w:szCs w:val="28"/>
          <w:highlight w:val="none"/>
        </w:rPr>
      </w:pPr>
      <w:r>
        <w:rPr>
          <w:rFonts w:hint="eastAsia" w:ascii="宋体" w:hAnsi="宋体" w:cs="仿宋"/>
          <w:szCs w:val="28"/>
          <w:highlight w:val="none"/>
          <w:lang w:bidi="ar"/>
        </w:rPr>
        <w:t>8.对工程监理单位与施工单位虚报工程量，弄虚作假、降低工程质量，将不合格的建设工程、建筑材料和设备按照合格签字的，严格按照有关规定严肃处理。</w:t>
      </w:r>
    </w:p>
    <w:p>
      <w:pPr>
        <w:ind w:firstLine="482"/>
        <w:jc w:val="center"/>
        <w:rPr>
          <w:rFonts w:ascii="宋体" w:hAnsi="宋体" w:cs="仿宋"/>
          <w:b/>
          <w:bCs/>
          <w:szCs w:val="28"/>
          <w:highlight w:val="none"/>
        </w:rPr>
      </w:pPr>
      <w:r>
        <w:rPr>
          <w:rFonts w:hint="eastAsia" w:ascii="宋体" w:hAnsi="宋体" w:cs="仿宋"/>
          <w:b/>
          <w:bCs/>
          <w:szCs w:val="28"/>
          <w:highlight w:val="none"/>
          <w:lang w:bidi="ar"/>
        </w:rPr>
        <w:t>其    他</w:t>
      </w:r>
    </w:p>
    <w:p>
      <w:pPr>
        <w:ind w:firstLine="482"/>
        <w:rPr>
          <w:rFonts w:ascii="宋体" w:hAnsi="宋体" w:cs="仿宋"/>
          <w:szCs w:val="28"/>
          <w:highlight w:val="none"/>
        </w:rPr>
      </w:pPr>
      <w:r>
        <w:rPr>
          <w:rFonts w:hint="eastAsia" w:ascii="宋体" w:hAnsi="宋体" w:cs="仿宋"/>
          <w:b/>
          <w:bCs/>
          <w:szCs w:val="28"/>
          <w:highlight w:val="none"/>
          <w:lang w:bidi="ar"/>
        </w:rPr>
        <w:t>第三十七条</w:t>
      </w:r>
      <w:r>
        <w:rPr>
          <w:rFonts w:hint="eastAsia" w:ascii="宋体" w:hAnsi="宋体" w:cs="仿宋"/>
          <w:szCs w:val="28"/>
          <w:highlight w:val="none"/>
          <w:lang w:bidi="ar"/>
        </w:rPr>
        <w:t xml:space="preserve">  监理人驻地监理机构及其职员不得接受监理工程项目施工承包人的任何报酬或者经济利益。监理人不得参与可能与合同规定的与委托人的利益冲突的任何活动。</w:t>
      </w:r>
    </w:p>
    <w:p>
      <w:pPr>
        <w:ind w:firstLine="482"/>
        <w:rPr>
          <w:rFonts w:ascii="宋体" w:hAnsi="宋体" w:cs="仿宋"/>
          <w:szCs w:val="28"/>
          <w:highlight w:val="none"/>
        </w:rPr>
      </w:pPr>
      <w:r>
        <w:rPr>
          <w:rFonts w:hint="eastAsia" w:ascii="宋体" w:hAnsi="宋体" w:cs="仿宋"/>
          <w:b/>
          <w:bCs/>
          <w:szCs w:val="28"/>
          <w:highlight w:val="none"/>
          <w:lang w:bidi="ar"/>
        </w:rPr>
        <w:t>第三十八条</w:t>
      </w:r>
      <w:r>
        <w:rPr>
          <w:rFonts w:hint="eastAsia" w:ascii="宋体" w:hAnsi="宋体" w:cs="仿宋"/>
          <w:szCs w:val="28"/>
          <w:highlight w:val="none"/>
          <w:lang w:bidi="ar"/>
        </w:rPr>
        <w:t xml:space="preserve">  监理人在监理过程中，不得泄露委托人申明的秘密，监理人亦不得泄露设计人、承包人等提供并申明的秘密。</w:t>
      </w:r>
    </w:p>
    <w:p>
      <w:pPr>
        <w:ind w:firstLine="482"/>
        <w:rPr>
          <w:rFonts w:ascii="宋体" w:hAnsi="宋体" w:cs="仿宋"/>
          <w:szCs w:val="28"/>
          <w:highlight w:val="none"/>
        </w:rPr>
      </w:pPr>
      <w:r>
        <w:rPr>
          <w:rFonts w:hint="eastAsia" w:ascii="宋体" w:hAnsi="宋体" w:cs="仿宋"/>
          <w:b/>
          <w:bCs/>
          <w:szCs w:val="28"/>
          <w:highlight w:val="none"/>
          <w:lang w:bidi="ar"/>
        </w:rPr>
        <w:t>第三十九条</w:t>
      </w:r>
      <w:r>
        <w:rPr>
          <w:rFonts w:hint="eastAsia" w:ascii="宋体" w:hAnsi="宋体" w:cs="仿宋"/>
          <w:szCs w:val="28"/>
          <w:highlight w:val="none"/>
          <w:lang w:bidi="ar"/>
        </w:rPr>
        <w:t xml:space="preserve">  本合同正文及附件中，处罚标准不一致的，按照最严格的标准内容执行。</w:t>
      </w:r>
    </w:p>
    <w:p>
      <w:pPr>
        <w:ind w:firstLine="482"/>
        <w:jc w:val="center"/>
        <w:rPr>
          <w:rFonts w:ascii="宋体" w:hAnsi="宋体" w:cs="仿宋"/>
          <w:b/>
          <w:bCs/>
          <w:szCs w:val="28"/>
          <w:highlight w:val="none"/>
        </w:rPr>
      </w:pPr>
      <w:r>
        <w:rPr>
          <w:rFonts w:hint="eastAsia" w:ascii="宋体" w:hAnsi="宋体" w:cs="仿宋"/>
          <w:b/>
          <w:bCs/>
          <w:szCs w:val="28"/>
          <w:highlight w:val="none"/>
          <w:lang w:bidi="ar"/>
        </w:rPr>
        <w:t>争议的解决</w:t>
      </w:r>
    </w:p>
    <w:p>
      <w:pPr>
        <w:ind w:firstLine="482"/>
        <w:rPr>
          <w:rFonts w:ascii="宋体" w:hAnsi="宋体" w:cs="仿宋"/>
          <w:szCs w:val="28"/>
          <w:highlight w:val="none"/>
        </w:rPr>
      </w:pPr>
      <w:r>
        <w:rPr>
          <w:rFonts w:hint="eastAsia" w:ascii="宋体" w:hAnsi="宋体" w:cs="仿宋"/>
          <w:b/>
          <w:bCs/>
          <w:szCs w:val="28"/>
          <w:highlight w:val="none"/>
          <w:lang w:bidi="ar"/>
        </w:rPr>
        <w:t>第四十条</w:t>
      </w:r>
      <w:r>
        <w:rPr>
          <w:rFonts w:hint="eastAsia" w:ascii="宋体" w:hAnsi="宋体" w:cs="仿宋"/>
          <w:szCs w:val="28"/>
          <w:highlight w:val="none"/>
          <w:lang w:bidi="ar"/>
        </w:rPr>
        <w:t xml:space="preserve">  凡因合同引起的或合同有关的争议，经协商未能解决，双方同意提交工程所在地人民法院解决。除有争议的条款外，其他条款继续执行。因承包人原因导致第三方向法院提起诉讼或引发法律纠纷的，由承包人负责处理，导致发包人涉诉的，承包人应承担发包人应诉的诉讼费、律师费等费用，给发包人造成损失的，应承担相关损失。</w:t>
      </w:r>
    </w:p>
    <w:p>
      <w:pPr>
        <w:ind w:firstLine="482"/>
        <w:rPr>
          <w:rFonts w:ascii="宋体" w:hAnsi="宋体" w:cs="仿宋"/>
          <w:b/>
          <w:bCs/>
          <w:szCs w:val="28"/>
          <w:highlight w:val="none"/>
        </w:rPr>
      </w:pPr>
      <w:r>
        <w:rPr>
          <w:rFonts w:hint="eastAsia" w:ascii="宋体" w:hAnsi="宋体" w:cs="仿宋"/>
          <w:b/>
          <w:bCs/>
          <w:szCs w:val="28"/>
          <w:highlight w:val="none"/>
          <w:lang w:bidi="ar"/>
        </w:rPr>
        <w:t>第四十一条 送达条款</w:t>
      </w:r>
    </w:p>
    <w:p>
      <w:pPr>
        <w:ind w:firstLine="367" w:firstLineChars="175"/>
        <w:rPr>
          <w:rFonts w:ascii="宋体" w:hAnsi="宋体" w:cs="仿宋"/>
          <w:szCs w:val="28"/>
          <w:highlight w:val="none"/>
        </w:rPr>
      </w:pPr>
      <w:r>
        <w:rPr>
          <w:rFonts w:hint="eastAsia" w:ascii="宋体" w:hAnsi="宋体" w:cs="仿宋"/>
          <w:szCs w:val="28"/>
          <w:highlight w:val="none"/>
          <w:lang w:bidi="ar"/>
        </w:rPr>
        <w:t>合同双方当事人就本合同中涉及各类通知、联系函（单）、协议等文件以及就合同发生纠纷时相关文件和法律文书送达时的送达地址及法律后果作如下约定：</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合同双方当事人确认其有效的送达地址为：详见合同签署页。</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双方该送达地址使用范围包括双方非诉时各类通知、联系函（单）、协议等文件以及就合同发生纠纷时相关文件和法律文书的送达，通知包括在争议进入仲裁、民事诉讼程序后的一审、二审、再审和执行程序。</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合同当事人任何一方的送达地址需要变更时应当履行通知义务，通过书面方式向对方进行通知。</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在民事诉讼程序时当事人地址变更时应当向法院履行送达地址变更通知义务。</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合同双方当事人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视为送达。</w:t>
      </w:r>
    </w:p>
    <w:p>
      <w:pPr>
        <w:numPr>
          <w:ilvl w:val="0"/>
          <w:numId w:val="18"/>
        </w:numPr>
        <w:adjustRightInd w:val="0"/>
        <w:snapToGrid w:val="0"/>
        <w:jc w:val="left"/>
        <w:rPr>
          <w:rFonts w:ascii="宋体" w:hAnsi="宋体" w:cs="仿宋"/>
          <w:szCs w:val="28"/>
          <w:highlight w:val="none"/>
        </w:rPr>
      </w:pPr>
      <w:r>
        <w:rPr>
          <w:rFonts w:hint="eastAsia" w:ascii="宋体" w:hAnsi="宋体" w:cs="仿宋"/>
          <w:szCs w:val="28"/>
          <w:highlight w:val="none"/>
          <w:lang w:bidi="ar"/>
        </w:rPr>
        <w:t>纠纷进入民事诉讼程序后，如当事人应诉并直接向法院提交送达地址确认书，该确认地址与诉前确认的送达地址不一致的，以向法院提交确认的送达地址为准（该送达地址使用上述规定的送达方式及送达的法律后果）。</w:t>
      </w:r>
    </w:p>
    <w:p>
      <w:pPr>
        <w:ind w:firstLine="369" w:firstLineChars="175"/>
        <w:rPr>
          <w:rFonts w:ascii="宋体" w:hAnsi="宋体" w:cs="仿宋"/>
          <w:b/>
          <w:szCs w:val="28"/>
          <w:highlight w:val="none"/>
          <w:lang w:bidi="ar"/>
        </w:rPr>
      </w:pPr>
      <w:bookmarkStart w:id="228" w:name="_Toc228682095"/>
      <w:bookmarkEnd w:id="228"/>
      <w:r>
        <w:rPr>
          <w:rFonts w:hint="eastAsia" w:ascii="宋体" w:hAnsi="宋体" w:cs="仿宋"/>
          <w:b/>
          <w:bCs/>
          <w:szCs w:val="28"/>
          <w:highlight w:val="none"/>
          <w:lang w:bidi="ar"/>
        </w:rPr>
        <w:t xml:space="preserve">第四十二条 </w:t>
      </w:r>
      <w:r>
        <w:rPr>
          <w:rFonts w:hint="eastAsia" w:ascii="宋体" w:hAnsi="宋体" w:cs="仿宋"/>
          <w:b/>
          <w:szCs w:val="28"/>
          <w:highlight w:val="none"/>
          <w:lang w:bidi="ar"/>
        </w:rPr>
        <w:t xml:space="preserve">其他合同条件 </w:t>
      </w:r>
    </w:p>
    <w:p>
      <w:pPr>
        <w:ind w:firstLine="367" w:firstLineChars="175"/>
        <w:rPr>
          <w:rFonts w:ascii="宋体" w:hAnsi="宋体" w:cs="仿宋"/>
          <w:szCs w:val="28"/>
          <w:highlight w:val="none"/>
        </w:rPr>
      </w:pPr>
      <w:r>
        <w:rPr>
          <w:rFonts w:hint="eastAsia" w:ascii="宋体" w:hAnsi="宋体" w:cs="仿宋"/>
          <w:szCs w:val="28"/>
          <w:highlight w:val="none"/>
          <w:lang w:bidi="ar"/>
        </w:rPr>
        <w:t>监理人应积极配合委托人开展的廉洁指数调查、廉洁问卷等相关的企业廉洁建设活动，如不配合，视为监理人违约，委托人有权解除合同，且监理人须向委托人支付合同暂定总金额的10%的违约金。</w:t>
      </w:r>
    </w:p>
    <w:p>
      <w:pPr>
        <w:keepNext/>
        <w:keepLines/>
        <w:widowControl/>
        <w:spacing w:before="340" w:after="330"/>
        <w:jc w:val="center"/>
        <w:outlineLvl w:val="0"/>
        <w:rPr>
          <w:rFonts w:ascii="宋体" w:hAnsi="宋体" w:cs="仿宋"/>
          <w:b/>
          <w:bCs/>
          <w:szCs w:val="28"/>
          <w:highlight w:val="none"/>
        </w:rPr>
      </w:pPr>
      <w:bookmarkStart w:id="229" w:name="_Toc384975762"/>
      <w:bookmarkEnd w:id="229"/>
      <w:bookmarkStart w:id="230" w:name="_Toc292438607"/>
      <w:bookmarkEnd w:id="230"/>
      <w:bookmarkStart w:id="231" w:name="_Toc298921342"/>
      <w:bookmarkEnd w:id="231"/>
      <w:bookmarkStart w:id="232" w:name="_Toc296158481"/>
      <w:r>
        <w:rPr>
          <w:rFonts w:hint="eastAsia" w:ascii="宋体" w:hAnsi="宋体" w:cs="仿宋"/>
          <w:b/>
          <w:bCs/>
          <w:szCs w:val="28"/>
          <w:highlight w:val="none"/>
        </w:rPr>
        <w:br w:type="page"/>
      </w:r>
      <w:bookmarkStart w:id="233" w:name="_Toc103240976"/>
      <w:r>
        <w:rPr>
          <w:rFonts w:hint="eastAsia" w:ascii="宋体" w:hAnsi="宋体" w:cs="仿宋"/>
          <w:b/>
          <w:bCs/>
          <w:szCs w:val="28"/>
          <w:highlight w:val="none"/>
        </w:rPr>
        <w:t>第三部分 监理成果文件</w:t>
      </w:r>
      <w:bookmarkEnd w:id="232"/>
      <w:bookmarkEnd w:id="233"/>
    </w:p>
    <w:p>
      <w:pPr>
        <w:numPr>
          <w:ilvl w:val="0"/>
          <w:numId w:val="19"/>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监理人应按我司规定的文件表格填报并按监理程序进行日常监理，并督促被监理单位按表格的格式填报。若在监理合同的实施过程中，根据工程管理需要,委托人有权对管理表格进行版本升级。凡本监理合同附件没有涵盖的监理内容，监理人应按本监理合同其他条款和建设工程监理规范执行。</w:t>
      </w:r>
    </w:p>
    <w:p>
      <w:pPr>
        <w:numPr>
          <w:ilvl w:val="0"/>
          <w:numId w:val="19"/>
        </w:numPr>
        <w:autoSpaceDE w:val="0"/>
        <w:autoSpaceDN w:val="0"/>
        <w:adjustRightInd w:val="0"/>
        <w:snapToGrid w:val="0"/>
        <w:rPr>
          <w:rFonts w:ascii="宋体" w:hAnsi="宋体" w:cs="仿宋"/>
          <w:szCs w:val="28"/>
          <w:highlight w:val="none"/>
        </w:rPr>
      </w:pPr>
      <w:r>
        <w:rPr>
          <w:rFonts w:hint="eastAsia" w:ascii="宋体" w:hAnsi="宋体" w:cs="仿宋"/>
          <w:szCs w:val="28"/>
          <w:highlight w:val="none"/>
          <w:lang w:bidi="ar"/>
        </w:rPr>
        <w:t>监理人应提供监理资料,监理资料必须及时整理、真实完整、分类有序。监理资料的管理应由总监理工程师负责，并指定专人具体实施。监理资料应在各阶段监理工作结束后及时整理归档。监理档案的编制及保存应按有关规定执行。施工阶段的监理资料应包括下列内容(但不限于以下内容)：</w:t>
      </w:r>
    </w:p>
    <w:p>
      <w:pPr>
        <w:numPr>
          <w:ilvl w:val="0"/>
          <w:numId w:val="20"/>
        </w:numPr>
        <w:autoSpaceDE w:val="0"/>
        <w:autoSpaceDN w:val="0"/>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各类施工合同文件及委托监理合同；</w:t>
      </w:r>
    </w:p>
    <w:p>
      <w:pPr>
        <w:numPr>
          <w:ilvl w:val="0"/>
          <w:numId w:val="20"/>
        </w:numPr>
        <w:autoSpaceDE w:val="0"/>
        <w:autoSpaceDN w:val="0"/>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勘察设计文件；设计交底与图纸会审会议纪要；工程变更资料；施工同期记录签证单。</w:t>
      </w:r>
    </w:p>
    <w:p>
      <w:pPr>
        <w:widowControl/>
        <w:numPr>
          <w:ilvl w:val="0"/>
          <w:numId w:val="20"/>
        </w:numPr>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施工组织设计（方案）报审表；工程报验申请表；质量缺陷与事故的处理文件；检查试验资料；测量核验资料；隐蔽工程验收资料；分部工程、单位工程等验收资料；工程竣工报验单，工程项目施工阶段质量评估报告等专题报告。</w:t>
      </w:r>
    </w:p>
    <w:p>
      <w:pPr>
        <w:widowControl/>
        <w:numPr>
          <w:ilvl w:val="0"/>
          <w:numId w:val="20"/>
        </w:numPr>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 xml:space="preserve">工程开工/复工报审表；施工进度计划报审表；工程临时延期报申请表；工程临时延期审批表；工程暂停令。 </w:t>
      </w:r>
    </w:p>
    <w:p>
      <w:pPr>
        <w:widowControl/>
        <w:numPr>
          <w:ilvl w:val="0"/>
          <w:numId w:val="20"/>
        </w:numPr>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工程款支付申请表；费用洽商申请表；工程管理确认报告。</w:t>
      </w:r>
    </w:p>
    <w:p>
      <w:pPr>
        <w:widowControl/>
        <w:numPr>
          <w:ilvl w:val="0"/>
          <w:numId w:val="20"/>
        </w:numPr>
        <w:adjustRightInd w:val="0"/>
        <w:snapToGrid w:val="0"/>
        <w:ind w:left="-10" w:leftChars="-5" w:firstLine="428" w:firstLineChars="204"/>
        <w:rPr>
          <w:rFonts w:ascii="宋体" w:hAnsi="宋体" w:cs="仿宋"/>
          <w:szCs w:val="28"/>
          <w:highlight w:val="none"/>
        </w:rPr>
      </w:pPr>
      <w:r>
        <w:rPr>
          <w:rFonts w:hint="eastAsia" w:ascii="宋体" w:hAnsi="宋体" w:cs="仿宋"/>
          <w:szCs w:val="28"/>
          <w:highlight w:val="none"/>
          <w:lang w:bidi="ar"/>
        </w:rPr>
        <w:t>监理规划；监理实施细则；监理工作联系单；监理工程师通知单；监理工程师通知回复单，会议纪要；来往函件；监理日记；监理周报；监理月报监理工作总结。</w:t>
      </w:r>
      <w:bookmarkStart w:id="234" w:name="_Toc384975763"/>
      <w:bookmarkEnd w:id="234"/>
      <w:bookmarkStart w:id="235" w:name="_Toc292438608"/>
      <w:bookmarkEnd w:id="235"/>
      <w:bookmarkStart w:id="236" w:name="_Toc296158482"/>
      <w:bookmarkEnd w:id="236"/>
    </w:p>
    <w:p>
      <w:pPr>
        <w:pStyle w:val="9"/>
        <w:rPr>
          <w:rFonts w:hAnsi="宋体"/>
          <w:sz w:val="21"/>
          <w:szCs w:val="21"/>
          <w:highlight w:val="none"/>
        </w:rPr>
      </w:pPr>
    </w:p>
    <w:p>
      <w:pPr>
        <w:pStyle w:val="2"/>
        <w:keepNext w:val="0"/>
        <w:spacing w:line="360" w:lineRule="auto"/>
        <w:jc w:val="center"/>
        <w:rPr>
          <w:rFonts w:hint="eastAsia" w:ascii="宋体" w:hAnsi="宋体" w:cs="宋体"/>
          <w:sz w:val="32"/>
          <w:szCs w:val="32"/>
          <w:highlight w:val="none"/>
        </w:rPr>
      </w:pPr>
      <w:bookmarkStart w:id="237" w:name="_Toc11850"/>
      <w:bookmarkStart w:id="238" w:name="_Toc28209"/>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第五章  </w:t>
      </w:r>
      <w:bookmarkEnd w:id="213"/>
      <w:bookmarkEnd w:id="237"/>
      <w:bookmarkEnd w:id="238"/>
      <w:r>
        <w:rPr>
          <w:rFonts w:hint="eastAsia" w:ascii="宋体" w:hAnsi="宋体" w:cs="宋体"/>
          <w:sz w:val="32"/>
          <w:szCs w:val="32"/>
          <w:highlight w:val="none"/>
          <w:lang w:eastAsia="zh-CN"/>
        </w:rPr>
        <w:t>项目内容及要求</w:t>
      </w:r>
    </w:p>
    <w:tbl>
      <w:tblPr>
        <w:tblStyle w:val="36"/>
        <w:tblW w:w="13827"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9" w:type="dxa"/>
            <w:vAlign w:val="center"/>
          </w:tcPr>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bookmarkStart w:id="239" w:name="_Toc4592"/>
            <w:bookmarkStart w:id="240" w:name="_Toc184635136"/>
            <w:r>
              <w:rPr>
                <w:rFonts w:hint="eastAsia" w:asciiTheme="minorEastAsia" w:hAnsiTheme="minorEastAsia" w:eastAsiaTheme="minorEastAsia" w:cstheme="minorEastAsia"/>
                <w:b w:val="0"/>
                <w:bCs w:val="0"/>
                <w:color w:val="000000"/>
                <w:kern w:val="2"/>
                <w:sz w:val="18"/>
                <w:szCs w:val="18"/>
                <w:highlight w:val="none"/>
                <w:lang w:val="en-US" w:eastAsia="zh-CN" w:bidi="ar-SA"/>
              </w:rPr>
              <w:t>监理工作范围为荥阳紧密型医共体信息化建设项目范围内要求所有内容进行监理，包含项目前期准备、实施阶段、竣工验收等全过程进行监理服务；对项目进行进度、质量、投资、安全控制，进行合同管理、信息管理、文档资料数据管理，协调安装施工现场及项目设计、安装、验收等各方关系，及国家、行业有关规范、规定的其他相关内容的全过程监理服务。</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1.工作范围如下：</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1.1审核项目进度计划，并在实施过程中检查、督促项目承建方严格按合同进行项目实施，监督项目承建方现场管理。</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1.2协助业主做好开工前准备，协助进行技术交底。</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1.3审查和检查实施方案、技术措施、质量保证体系及安全防护措施，提出合理的整改意见和建议，确保业主目标的实现。</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1.4审查项目承建方采购清单，检查工程使用材料、构件、设备的规格、质量与数量，经业主同意后进行确认。</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1.5参加对工程量的核定验收工作，并签证。</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1.6优化、审核设计变更，参与设计变更的签证，复核施工变更。</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1.7积极配合业主召开工程协调会议，做好会议纪要，调解有关项目实施中各种合同争议，协助业主处理索赔事项。</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1.8检查安全防护措施，检查督促实施进度及质量。</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1.9督促项目承建方及时整理技术资料及其他资料。</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1.10协助业主对项目投资进行控制，对项目承建方提出的付款申请进行审核。</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1.11及时提供完整的监理资料，定期编制监理简报。</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1.12履行其他法律、法规规定的监理职责义务，提供其他可免费提供的监理服务。</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1.13协助业主组织进行交工验收工作。</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1.14完成监理规范要求的其他工作内容。</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2.监理工作目标</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按照四控制、三管理、一协调的监理原则，依据建设方招标文件内容、设计方案、承建方投标文件内容、建设方与承建方的承包合同严格对投资、工期、质量、安全等级进行控制，实现合同和设计书中的各项功能，符合设计质量标准，具体目标如下：</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2.1投资控制目标：按合同价格进行控制。</w:t>
            </w:r>
          </w:p>
          <w:p>
            <w:pPr>
              <w:pStyle w:val="117"/>
              <w:spacing w:line="360" w:lineRule="auto"/>
              <w:ind w:firstLine="360" w:firstLineChars="200"/>
              <w:rPr>
                <w:rFonts w:hint="eastAsia" w:asciiTheme="minorEastAsia" w:hAnsiTheme="minorEastAsia" w:eastAsiaTheme="minorEastAsia" w:cstheme="minorEastAsia"/>
                <w:b w:val="0"/>
                <w:bCs w:val="0"/>
                <w:color w:val="000000"/>
                <w:kern w:val="2"/>
                <w:sz w:val="18"/>
                <w:szCs w:val="18"/>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2.2工期控制目标：随荥阳紧密型医共体信息化建设项目采购、安装、调试工期（工期：XX年）。</w:t>
            </w:r>
          </w:p>
          <w:p>
            <w:pPr>
              <w:pStyle w:val="117"/>
              <w:spacing w:line="360" w:lineRule="auto"/>
              <w:ind w:firstLine="360" w:firstLineChars="200"/>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bidi="ar-SA"/>
              </w:rPr>
              <w:t>2.3质量控制目标：符合国家质量验收合格标准。</w:t>
            </w:r>
          </w:p>
        </w:tc>
      </w:tr>
    </w:tbl>
    <w:p>
      <w:pPr>
        <w:pStyle w:val="2"/>
        <w:keepNext w:val="0"/>
        <w:spacing w:line="360" w:lineRule="auto"/>
        <w:jc w:val="center"/>
        <w:rPr>
          <w:rFonts w:hint="eastAsia" w:ascii="宋体" w:hAnsi="宋体" w:cs="宋体"/>
          <w:sz w:val="32"/>
          <w:szCs w:val="32"/>
          <w:highlight w:val="none"/>
        </w:rPr>
      </w:pPr>
    </w:p>
    <w:p>
      <w:pPr>
        <w:pStyle w:val="2"/>
        <w:keepNext w:val="0"/>
        <w:spacing w:line="360" w:lineRule="auto"/>
        <w:jc w:val="center"/>
        <w:rPr>
          <w:rFonts w:ascii="宋体" w:hAnsi="宋体" w:cs="宋体"/>
          <w:sz w:val="32"/>
          <w:szCs w:val="32"/>
          <w:highlight w:val="none"/>
        </w:rPr>
      </w:pPr>
      <w:r>
        <w:rPr>
          <w:rFonts w:hint="eastAsia" w:ascii="宋体" w:hAnsi="宋体" w:cs="宋体"/>
          <w:sz w:val="32"/>
          <w:szCs w:val="32"/>
          <w:highlight w:val="none"/>
        </w:rPr>
        <w:t>第六章  投标文件格式</w:t>
      </w:r>
      <w:bookmarkEnd w:id="239"/>
      <w:bookmarkEnd w:id="240"/>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标段</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pStyle w:val="33"/>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headerReference r:id="rId12" w:type="default"/>
          <w:footerReference r:id="rId13" w:type="default"/>
          <w:pgSz w:w="11906" w:h="16838"/>
          <w:pgMar w:top="1418" w:right="1134" w:bottom="1418" w:left="1134" w:header="851" w:footer="992" w:gutter="0"/>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241" w:name="_Toc184635137"/>
      <w:r>
        <w:rPr>
          <w:rFonts w:hint="eastAsia" w:ascii="宋体" w:hAnsi="宋体" w:cs="宋体"/>
          <w:b/>
          <w:bCs/>
          <w:sz w:val="32"/>
          <w:szCs w:val="32"/>
          <w:highlight w:val="none"/>
        </w:rPr>
        <w:t>目  录</w:t>
      </w:r>
      <w:bookmarkEnd w:id="241"/>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八</w:t>
      </w:r>
      <w:r>
        <w:rPr>
          <w:rFonts w:hint="eastAsia" w:ascii="宋体" w:hAnsi="宋体" w:cs="宋体"/>
          <w:szCs w:val="21"/>
          <w:highlight w:val="none"/>
        </w:rPr>
        <w:t>、项目实施方案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九</w:t>
      </w:r>
      <w:r>
        <w:rPr>
          <w:rFonts w:hint="eastAsia" w:ascii="宋体" w:hAnsi="宋体" w:cs="宋体"/>
          <w:szCs w:val="21"/>
          <w:highlight w:val="none"/>
        </w:rPr>
        <w:t>、供应商企业实力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一</w:t>
      </w:r>
      <w:r>
        <w:rPr>
          <w:rFonts w:hint="eastAsia" w:ascii="宋体" w:hAnsi="宋体" w:cs="宋体"/>
          <w:szCs w:val="21"/>
          <w:highlight w:val="none"/>
        </w:rPr>
        <w:t>、中小企业声明函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二</w:t>
      </w:r>
      <w:r>
        <w:rPr>
          <w:rFonts w:hint="eastAsia" w:ascii="宋体" w:hAnsi="宋体" w:cs="宋体"/>
          <w:szCs w:val="21"/>
          <w:highlight w:val="none"/>
        </w:rPr>
        <w:t>、残疾人福利性单位声明函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w:t>
      </w:r>
      <w:r>
        <w:rPr>
          <w:rFonts w:hint="eastAsia" w:ascii="宋体" w:hAnsi="宋体" w:cs="宋体"/>
          <w:szCs w:val="21"/>
          <w:highlight w:val="none"/>
          <w:lang w:eastAsia="zh-CN"/>
        </w:rPr>
        <w:t>三</w:t>
      </w:r>
      <w:r>
        <w:rPr>
          <w:rFonts w:hint="eastAsia" w:ascii="宋体" w:hAnsi="宋体" w:cs="宋体"/>
          <w:szCs w:val="21"/>
          <w:highlight w:val="none"/>
        </w:rPr>
        <w:t xml:space="preserve">、其他材料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242" w:name="_Toc358"/>
      <w:bookmarkStart w:id="243" w:name="_Toc24719"/>
      <w:bookmarkStart w:id="244" w:name="_Toc12151"/>
      <w:bookmarkStart w:id="245" w:name="_Toc184635138"/>
      <w:r>
        <w:rPr>
          <w:rFonts w:hint="eastAsia" w:ascii="宋体" w:hAnsi="宋体" w:cs="宋体"/>
          <w:highlight w:val="none"/>
        </w:rPr>
        <w:t>一、投标函及投标函附录</w:t>
      </w:r>
      <w:bookmarkEnd w:id="242"/>
      <w:bookmarkEnd w:id="243"/>
      <w:bookmarkEnd w:id="244"/>
      <w:bookmarkEnd w:id="245"/>
    </w:p>
    <w:p>
      <w:pPr>
        <w:pStyle w:val="6"/>
        <w:spacing w:line="360" w:lineRule="auto"/>
        <w:jc w:val="center"/>
        <w:rPr>
          <w:rFonts w:ascii="宋体" w:hAnsi="宋体" w:eastAsia="宋体" w:cs="宋体"/>
          <w:sz w:val="22"/>
          <w:szCs w:val="22"/>
          <w:highlight w:val="none"/>
        </w:rPr>
      </w:pPr>
      <w:bookmarkStart w:id="246" w:name="_Toc21686"/>
      <w:bookmarkStart w:id="247" w:name="_Toc18866"/>
      <w:bookmarkStart w:id="248" w:name="_Toc16310"/>
      <w:r>
        <w:rPr>
          <w:rFonts w:hint="eastAsia" w:ascii="宋体" w:hAnsi="宋体" w:eastAsia="宋体" w:cs="宋体"/>
          <w:sz w:val="22"/>
          <w:szCs w:val="22"/>
          <w:highlight w:val="none"/>
        </w:rPr>
        <w:t>（一）投标函</w:t>
      </w:r>
      <w:bookmarkEnd w:id="246"/>
      <w:bookmarkEnd w:id="247"/>
      <w:bookmarkEnd w:id="248"/>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6"/>
        <w:spacing w:line="360" w:lineRule="auto"/>
        <w:jc w:val="center"/>
        <w:rPr>
          <w:rFonts w:ascii="宋体" w:hAnsi="宋体" w:eastAsia="宋体" w:cs="宋体"/>
          <w:sz w:val="24"/>
          <w:szCs w:val="24"/>
          <w:highlight w:val="none"/>
        </w:rPr>
      </w:pPr>
      <w:bookmarkStart w:id="249" w:name="_Toc7903"/>
      <w:bookmarkStart w:id="250" w:name="_Toc18386"/>
      <w:bookmarkStart w:id="251" w:name="_Toc11903"/>
      <w:r>
        <w:rPr>
          <w:rFonts w:hint="eastAsia" w:ascii="宋体" w:hAnsi="宋体" w:eastAsia="宋体" w:cs="宋体"/>
          <w:sz w:val="24"/>
          <w:szCs w:val="24"/>
          <w:highlight w:val="none"/>
        </w:rPr>
        <w:t>（二）投标函附录</w:t>
      </w:r>
      <w:bookmarkEnd w:id="249"/>
      <w:bookmarkEnd w:id="250"/>
      <w:bookmarkEnd w:id="251"/>
    </w:p>
    <w:tbl>
      <w:tblPr>
        <w:tblStyle w:val="35"/>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252" w:name="_Toc184635139"/>
      <w:bookmarkStart w:id="253" w:name="_Toc3818"/>
      <w:bookmarkStart w:id="254" w:name="_Toc28453"/>
      <w:bookmarkStart w:id="255" w:name="_Toc12937"/>
      <w:r>
        <w:rPr>
          <w:rFonts w:hint="eastAsia" w:ascii="宋体" w:hAnsi="宋体" w:cs="宋体"/>
          <w:highlight w:val="none"/>
        </w:rPr>
        <w:t>二、法定代表人身份证明</w:t>
      </w:r>
      <w:bookmarkEnd w:id="252"/>
      <w:bookmarkEnd w:id="253"/>
      <w:bookmarkEnd w:id="254"/>
      <w:bookmarkEnd w:id="255"/>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256" w:name="_Toc15273"/>
      <w:bookmarkStart w:id="257" w:name="_Toc13029"/>
      <w:bookmarkStart w:id="258" w:name="_Toc184635140"/>
      <w:bookmarkStart w:id="259" w:name="_Toc9676"/>
      <w:r>
        <w:rPr>
          <w:rFonts w:hint="eastAsia" w:ascii="宋体" w:hAnsi="宋体" w:cs="宋体"/>
          <w:highlight w:val="none"/>
        </w:rPr>
        <w:t>三、授权委托书</w:t>
      </w:r>
      <w:bookmarkEnd w:id="256"/>
      <w:bookmarkEnd w:id="257"/>
      <w:bookmarkEnd w:id="258"/>
      <w:bookmarkEnd w:id="259"/>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260" w:name="_Toc15405"/>
      <w:bookmarkStart w:id="261" w:name="_Toc184635142"/>
      <w:bookmarkStart w:id="262" w:name="_Toc25132"/>
      <w:bookmarkStart w:id="263" w:name="_Toc341"/>
      <w:r>
        <w:rPr>
          <w:rFonts w:hint="eastAsia" w:ascii="宋体" w:hAnsi="宋体" w:cs="宋体"/>
          <w:highlight w:val="none"/>
        </w:rPr>
        <w:t>四、报价明细表</w:t>
      </w:r>
      <w:bookmarkEnd w:id="260"/>
    </w:p>
    <w:p>
      <w:pPr>
        <w:pStyle w:val="16"/>
        <w:spacing w:before="36"/>
        <w:ind w:left="640" w:right="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1.监理报酬清单说明</w:t>
      </w:r>
    </w:p>
    <w:p>
      <w:pPr>
        <w:pStyle w:val="16"/>
        <w:spacing w:before="151"/>
        <w:ind w:left="640" w:right="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2.监理报酬清单</w:t>
      </w:r>
    </w:p>
    <w:p>
      <w:pPr>
        <w:pStyle w:val="16"/>
        <w:spacing w:before="7"/>
        <w:rPr>
          <w:rFonts w:hint="eastAsia" w:ascii="宋体" w:hAnsi="宋体" w:eastAsia="宋体" w:cs="宋体"/>
          <w:color w:val="auto"/>
          <w:sz w:val="24"/>
          <w:szCs w:val="24"/>
          <w:highlight w:val="none"/>
        </w:rPr>
      </w:pPr>
    </w:p>
    <w:p>
      <w:pPr>
        <w:pStyle w:val="16"/>
        <w:spacing w:before="37" w:after="57"/>
        <w:ind w:right="114"/>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单位：人民币元</w:t>
      </w:r>
    </w:p>
    <w:tbl>
      <w:tblPr>
        <w:tblStyle w:val="35"/>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2439"/>
        <w:gridCol w:w="2834"/>
        <w:gridCol w:w="1500"/>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exact"/>
        </w:trPr>
        <w:tc>
          <w:tcPr>
            <w:tcW w:w="1066" w:type="dxa"/>
            <w:noWrap w:val="0"/>
            <w:vAlign w:val="center"/>
          </w:tcPr>
          <w:p>
            <w:pPr>
              <w:pStyle w:val="69"/>
              <w:spacing w:line="351" w:lineRule="exact"/>
              <w:ind w:left="173" w:right="17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39" w:type="dxa"/>
            <w:noWrap w:val="0"/>
            <w:vAlign w:val="center"/>
          </w:tcPr>
          <w:p>
            <w:pPr>
              <w:pStyle w:val="69"/>
              <w:spacing w:line="351" w:lineRule="exact"/>
              <w:ind w:right="3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监理报酬分项名称</w:t>
            </w:r>
          </w:p>
        </w:tc>
        <w:tc>
          <w:tcPr>
            <w:tcW w:w="2834" w:type="dxa"/>
            <w:noWrap w:val="0"/>
            <w:vAlign w:val="center"/>
          </w:tcPr>
          <w:p>
            <w:pPr>
              <w:pStyle w:val="69"/>
              <w:spacing w:line="351" w:lineRule="exact"/>
              <w:ind w:left="10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计算依据、过程和公式</w:t>
            </w:r>
          </w:p>
        </w:tc>
        <w:tc>
          <w:tcPr>
            <w:tcW w:w="1500" w:type="dxa"/>
            <w:noWrap w:val="0"/>
            <w:vAlign w:val="center"/>
          </w:tcPr>
          <w:p>
            <w:pPr>
              <w:pStyle w:val="69"/>
              <w:spacing w:line="351" w:lineRule="exact"/>
              <w:ind w:left="12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金额（元）</w:t>
            </w:r>
          </w:p>
        </w:tc>
        <w:tc>
          <w:tcPr>
            <w:tcW w:w="2383" w:type="dxa"/>
            <w:noWrap w:val="0"/>
            <w:vAlign w:val="center"/>
          </w:tcPr>
          <w:p>
            <w:pPr>
              <w:pStyle w:val="69"/>
              <w:spacing w:line="351" w:lineRule="exact"/>
              <w:ind w:left="735" w:right="7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066" w:type="dxa"/>
            <w:noWrap w:val="0"/>
            <w:vAlign w:val="center"/>
          </w:tcPr>
          <w:p>
            <w:pPr>
              <w:pStyle w:val="69"/>
              <w:spacing w:line="237"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39" w:type="dxa"/>
            <w:noWrap w:val="0"/>
            <w:vAlign w:val="top"/>
          </w:tcPr>
          <w:p>
            <w:pPr>
              <w:rPr>
                <w:rFonts w:hint="eastAsia" w:ascii="宋体" w:hAnsi="宋体" w:eastAsia="宋体" w:cs="宋体"/>
                <w:color w:val="auto"/>
                <w:sz w:val="24"/>
                <w:szCs w:val="24"/>
                <w:highlight w:val="none"/>
              </w:rPr>
            </w:pP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1066" w:type="dxa"/>
            <w:noWrap w:val="0"/>
            <w:vAlign w:val="center"/>
          </w:tcPr>
          <w:p>
            <w:pPr>
              <w:pStyle w:val="69"/>
              <w:spacing w:line="237"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39" w:type="dxa"/>
            <w:noWrap w:val="0"/>
            <w:vAlign w:val="top"/>
          </w:tcPr>
          <w:p>
            <w:pPr>
              <w:rPr>
                <w:rFonts w:hint="eastAsia" w:ascii="宋体" w:hAnsi="宋体" w:eastAsia="宋体" w:cs="宋体"/>
                <w:color w:val="auto"/>
                <w:sz w:val="24"/>
                <w:szCs w:val="24"/>
                <w:highlight w:val="none"/>
              </w:rPr>
            </w:pP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1066" w:type="dxa"/>
            <w:noWrap w:val="0"/>
            <w:vAlign w:val="center"/>
          </w:tcPr>
          <w:p>
            <w:pPr>
              <w:pStyle w:val="69"/>
              <w:spacing w:line="235"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39" w:type="dxa"/>
            <w:noWrap w:val="0"/>
            <w:vAlign w:val="top"/>
          </w:tcPr>
          <w:p>
            <w:pPr>
              <w:rPr>
                <w:rFonts w:hint="eastAsia" w:ascii="宋体" w:hAnsi="宋体" w:eastAsia="宋体" w:cs="宋体"/>
                <w:color w:val="auto"/>
                <w:sz w:val="24"/>
                <w:szCs w:val="24"/>
                <w:highlight w:val="none"/>
              </w:rPr>
            </w:pP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trPr>
        <w:tc>
          <w:tcPr>
            <w:tcW w:w="1066" w:type="dxa"/>
            <w:noWrap w:val="0"/>
            <w:vAlign w:val="center"/>
          </w:tcPr>
          <w:p>
            <w:pPr>
              <w:pStyle w:val="69"/>
              <w:spacing w:line="235"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39" w:type="dxa"/>
            <w:noWrap w:val="0"/>
            <w:vAlign w:val="top"/>
          </w:tcPr>
          <w:p>
            <w:pPr>
              <w:rPr>
                <w:rFonts w:hint="eastAsia" w:ascii="宋体" w:hAnsi="宋体" w:eastAsia="宋体" w:cs="宋体"/>
                <w:color w:val="auto"/>
                <w:sz w:val="24"/>
                <w:szCs w:val="24"/>
                <w:highlight w:val="none"/>
              </w:rPr>
            </w:pP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exact"/>
        </w:trPr>
        <w:tc>
          <w:tcPr>
            <w:tcW w:w="1066" w:type="dxa"/>
            <w:noWrap w:val="0"/>
            <w:vAlign w:val="center"/>
          </w:tcPr>
          <w:p>
            <w:pPr>
              <w:pStyle w:val="69"/>
              <w:spacing w:line="235"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39" w:type="dxa"/>
            <w:noWrap w:val="0"/>
            <w:vAlign w:val="top"/>
          </w:tcPr>
          <w:p>
            <w:pPr>
              <w:rPr>
                <w:rFonts w:hint="eastAsia" w:ascii="宋体" w:hAnsi="宋体" w:eastAsia="宋体" w:cs="宋体"/>
                <w:color w:val="auto"/>
                <w:sz w:val="24"/>
                <w:szCs w:val="24"/>
                <w:highlight w:val="none"/>
              </w:rPr>
            </w:pP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66" w:type="dxa"/>
            <w:noWrap w:val="0"/>
            <w:vAlign w:val="top"/>
          </w:tcPr>
          <w:p>
            <w:pPr>
              <w:pStyle w:val="69"/>
              <w:spacing w:before="53"/>
              <w:ind w:left="173" w:right="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39" w:type="dxa"/>
            <w:noWrap w:val="0"/>
            <w:vAlign w:val="top"/>
          </w:tcPr>
          <w:p>
            <w:pPr>
              <w:pStyle w:val="69"/>
              <w:spacing w:before="53"/>
              <w:ind w:left="340" w:right="3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34" w:type="dxa"/>
            <w:noWrap w:val="0"/>
            <w:vAlign w:val="top"/>
          </w:tcPr>
          <w:p>
            <w:pPr>
              <w:rPr>
                <w:rFonts w:hint="eastAsia" w:ascii="宋体" w:hAnsi="宋体" w:eastAsia="宋体" w:cs="宋体"/>
                <w:color w:val="auto"/>
                <w:sz w:val="24"/>
                <w:szCs w:val="24"/>
                <w:highlight w:val="none"/>
              </w:rPr>
            </w:pP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6339" w:type="dxa"/>
            <w:gridSpan w:val="3"/>
            <w:noWrap w:val="0"/>
            <w:vAlign w:val="top"/>
          </w:tcPr>
          <w:p>
            <w:pPr>
              <w:pStyle w:val="69"/>
              <w:spacing w:line="310" w:lineRule="exact"/>
              <w:ind w:left="2303" w:right="2304"/>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合计报价</w:t>
            </w:r>
          </w:p>
        </w:tc>
        <w:tc>
          <w:tcPr>
            <w:tcW w:w="1500" w:type="dxa"/>
            <w:noWrap w:val="0"/>
            <w:vAlign w:val="top"/>
          </w:tcPr>
          <w:p>
            <w:pPr>
              <w:rPr>
                <w:rFonts w:hint="eastAsia" w:ascii="宋体" w:hAnsi="宋体" w:eastAsia="宋体" w:cs="宋体"/>
                <w:color w:val="auto"/>
                <w:sz w:val="24"/>
                <w:szCs w:val="24"/>
                <w:highlight w:val="none"/>
              </w:rPr>
            </w:pPr>
          </w:p>
        </w:tc>
        <w:tc>
          <w:tcPr>
            <w:tcW w:w="2383" w:type="dxa"/>
            <w:noWrap w:val="0"/>
            <w:vAlign w:val="top"/>
          </w:tcPr>
          <w:p>
            <w:pPr>
              <w:rPr>
                <w:rFonts w:hint="eastAsia" w:ascii="宋体" w:hAnsi="宋体" w:eastAsia="宋体" w:cs="宋体"/>
                <w:color w:val="auto"/>
                <w:sz w:val="24"/>
                <w:szCs w:val="24"/>
                <w:highlight w:val="none"/>
              </w:rPr>
            </w:pPr>
          </w:p>
        </w:tc>
      </w:tr>
    </w:tbl>
    <w:p>
      <w:pPr>
        <w:adjustRightInd w:val="0"/>
        <w:snapToGrid w:val="0"/>
        <w:spacing w:line="440" w:lineRule="exact"/>
        <w:rPr>
          <w:rFonts w:hint="eastAsia" w:ascii="宋体" w:hAnsi="宋体" w:cs="宋体"/>
          <w:color w:val="000000"/>
          <w:sz w:val="24"/>
          <w:highlight w:val="none"/>
        </w:rPr>
      </w:pPr>
    </w:p>
    <w:p>
      <w:pPr>
        <w:adjustRightInd w:val="0"/>
        <w:snapToGrid w:val="0"/>
        <w:spacing w:line="440" w:lineRule="exact"/>
        <w:rPr>
          <w:rFonts w:ascii="宋体" w:hAnsi="宋体" w:cs="宋体"/>
          <w:color w:val="000000"/>
          <w:sz w:val="24"/>
          <w:highlight w:val="none"/>
        </w:rPr>
      </w:pPr>
      <w:r>
        <w:rPr>
          <w:rFonts w:hint="eastAsia" w:ascii="宋体" w:hAnsi="宋体" w:cs="宋体"/>
          <w:color w:val="000000"/>
          <w:sz w:val="24"/>
          <w:highlight w:val="none"/>
        </w:rPr>
        <w:t>注：投标人可根据实际情况自行添加删减表格内容。</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19"/>
        <w:rPr>
          <w:rFonts w:hAnsi="宋体" w:cs="宋体"/>
          <w:sz w:val="24"/>
          <w:szCs w:val="24"/>
          <w:highlight w:val="none"/>
        </w:rPr>
      </w:pPr>
    </w:p>
    <w:p>
      <w:pPr>
        <w:pStyle w:val="4"/>
        <w:spacing w:line="360" w:lineRule="auto"/>
        <w:jc w:val="center"/>
        <w:rPr>
          <w:rFonts w:ascii="宋体" w:hAnsi="宋体" w:cs="宋体"/>
          <w:highlight w:val="none"/>
        </w:rPr>
      </w:pPr>
      <w:bookmarkStart w:id="264" w:name="_Toc30652"/>
      <w:r>
        <w:rPr>
          <w:rFonts w:hint="eastAsia" w:ascii="宋体" w:hAnsi="宋体" w:cs="宋体"/>
          <w:highlight w:val="none"/>
        </w:rPr>
        <w:t>五、投标</w:t>
      </w:r>
      <w:bookmarkEnd w:id="261"/>
      <w:bookmarkEnd w:id="262"/>
      <w:bookmarkEnd w:id="263"/>
      <w:r>
        <w:rPr>
          <w:rFonts w:hint="eastAsia" w:ascii="宋体" w:hAnsi="宋体" w:cs="宋体"/>
          <w:highlight w:val="none"/>
        </w:rPr>
        <w:t>承诺函</w:t>
      </w:r>
      <w:bookmarkEnd w:id="264"/>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31"/>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31"/>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31"/>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31"/>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31"/>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31"/>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31"/>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265" w:name="_Toc7017"/>
      <w:r>
        <w:rPr>
          <w:rFonts w:hint="eastAsia" w:ascii="宋体" w:hAnsi="宋体" w:cs="宋体"/>
          <w:highlight w:val="none"/>
        </w:rPr>
        <w:t>六、招标代理服务费承诺函</w:t>
      </w:r>
      <w:bookmarkEnd w:id="265"/>
    </w:p>
    <w:p>
      <w:pPr>
        <w:pStyle w:val="31"/>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31"/>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1"/>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31"/>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31"/>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31"/>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pStyle w:val="21"/>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266" w:name="_Toc28879"/>
      <w:bookmarkStart w:id="267" w:name="_Toc20932"/>
      <w:bookmarkStart w:id="268" w:name="_Toc184635147"/>
      <w:bookmarkStart w:id="269" w:name="_Toc30211"/>
      <w:r>
        <w:rPr>
          <w:rFonts w:hint="eastAsia" w:ascii="宋体" w:hAnsi="宋体" w:cs="宋体"/>
          <w:highlight w:val="none"/>
        </w:rPr>
        <w:t>七、资格审查资料</w:t>
      </w:r>
      <w:bookmarkEnd w:id="266"/>
      <w:bookmarkEnd w:id="267"/>
      <w:bookmarkEnd w:id="268"/>
      <w:bookmarkEnd w:id="269"/>
    </w:p>
    <w:p>
      <w:pPr>
        <w:spacing w:line="360" w:lineRule="auto"/>
        <w:ind w:firstLine="480" w:firstLineChars="200"/>
        <w:rPr>
          <w:sz w:val="24"/>
          <w:highlight w:val="none"/>
        </w:rPr>
      </w:pPr>
      <w:bookmarkStart w:id="270" w:name="_Toc8665"/>
      <w:bookmarkStart w:id="271" w:name="_Toc23688"/>
      <w:r>
        <w:rPr>
          <w:rFonts w:hint="eastAsia"/>
          <w:sz w:val="24"/>
          <w:highlight w:val="none"/>
        </w:rPr>
        <w:t>附按照招标文件要求（投标须知前附表、评分办法前附表等）规定附相关证明材料</w:t>
      </w:r>
      <w:bookmarkEnd w:id="270"/>
      <w:bookmarkEnd w:id="271"/>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jc w:val="center"/>
        <w:rPr>
          <w:highlight w:val="none"/>
        </w:rPr>
      </w:pPr>
      <w:bookmarkStart w:id="272" w:name="_Toc14982"/>
      <w:r>
        <w:rPr>
          <w:rFonts w:hint="eastAsia"/>
          <w:highlight w:val="none"/>
          <w:lang w:eastAsia="zh-CN"/>
        </w:rPr>
        <w:t>八</w:t>
      </w:r>
      <w:r>
        <w:rPr>
          <w:rFonts w:hint="eastAsia"/>
          <w:highlight w:val="none"/>
        </w:rPr>
        <w:t>、项目实施方案</w:t>
      </w:r>
      <w:bookmarkEnd w:id="272"/>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highlight w:val="none"/>
        </w:rPr>
      </w:pPr>
      <w:bookmarkStart w:id="273" w:name="_Toc9500"/>
      <w:r>
        <w:rPr>
          <w:rFonts w:hint="eastAsia"/>
          <w:highlight w:val="none"/>
          <w:lang w:eastAsia="zh-CN"/>
        </w:rPr>
        <w:t>九</w:t>
      </w:r>
      <w:r>
        <w:rPr>
          <w:rFonts w:hint="eastAsia"/>
          <w:highlight w:val="none"/>
        </w:rPr>
        <w:t>、供应商企业实力</w:t>
      </w:r>
      <w:bookmarkEnd w:id="273"/>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9"/>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3"/>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274" w:name="_Toc27639"/>
      <w:bookmarkStart w:id="275" w:name="_Toc19591"/>
      <w:bookmarkStart w:id="276" w:name="_Toc15219"/>
      <w:r>
        <w:rPr>
          <w:rFonts w:hint="eastAsia" w:ascii="宋体" w:hAnsi="宋体" w:cs="宋体"/>
          <w:highlight w:val="none"/>
        </w:rPr>
        <w:t>十、反商业贿赂承诺书</w:t>
      </w:r>
      <w:bookmarkEnd w:id="274"/>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4"/>
        <w:spacing w:line="360" w:lineRule="auto"/>
        <w:jc w:val="center"/>
        <w:rPr>
          <w:rFonts w:ascii="宋体" w:hAnsi="宋体" w:cs="宋体"/>
          <w:highlight w:val="none"/>
        </w:rPr>
      </w:pPr>
      <w:bookmarkStart w:id="277" w:name="_Toc17540"/>
      <w:r>
        <w:rPr>
          <w:rFonts w:hint="eastAsia" w:ascii="宋体" w:hAnsi="宋体" w:cs="宋体"/>
          <w:highlight w:val="none"/>
        </w:rPr>
        <w:t>十</w:t>
      </w:r>
      <w:r>
        <w:rPr>
          <w:rFonts w:hint="eastAsia" w:ascii="宋体" w:hAnsi="宋体" w:cs="宋体"/>
          <w:highlight w:val="none"/>
          <w:lang w:eastAsia="zh-CN"/>
        </w:rPr>
        <w:t>一</w:t>
      </w:r>
      <w:r>
        <w:rPr>
          <w:rFonts w:hint="eastAsia" w:ascii="宋体" w:hAnsi="宋体" w:cs="宋体"/>
          <w:highlight w:val="none"/>
        </w:rPr>
        <w:t>、中小企业声明函</w:t>
      </w:r>
      <w:bookmarkEnd w:id="277"/>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lang w:eastAsia="zh-CN"/>
        </w:rPr>
        <w:t>其他未列明</w:t>
      </w:r>
      <w:r>
        <w:rPr>
          <w:rFonts w:hint="eastAsia" w:ascii="宋体" w:hAnsi="宋体" w:cs="宋体"/>
          <w:sz w:val="24"/>
          <w:highlight w:val="none"/>
        </w:rPr>
        <w:t>行业，承接企业为______（企业名称），从业人员______人，营业收入为______万元，资产总额为______万元，属于______（请填写：中型、小型、微型）企业。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2.______（标的名称），属于______行业，承接企业为______（企业名称），从业人员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1"/>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3"/>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278" w:name="_Toc12467"/>
      <w:r>
        <w:rPr>
          <w:rFonts w:hint="eastAsia" w:ascii="宋体" w:hAnsi="宋体" w:cs="宋体"/>
          <w:highlight w:val="none"/>
        </w:rPr>
        <w:t>十</w:t>
      </w:r>
      <w:r>
        <w:rPr>
          <w:rFonts w:hint="eastAsia" w:ascii="宋体" w:hAnsi="宋体" w:cs="宋体"/>
          <w:highlight w:val="none"/>
          <w:lang w:eastAsia="zh-CN"/>
        </w:rPr>
        <w:t>二</w:t>
      </w:r>
      <w:r>
        <w:rPr>
          <w:rFonts w:hint="eastAsia" w:ascii="宋体" w:hAnsi="宋体" w:cs="宋体"/>
          <w:highlight w:val="none"/>
        </w:rPr>
        <w:t>、残疾人福利性单位声明函</w:t>
      </w:r>
      <w:bookmarkEnd w:id="278"/>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16"/>
        <w:rPr>
          <w:rFonts w:ascii="宋体" w:hAnsi="宋体" w:cs="宋体"/>
          <w:highlight w:val="none"/>
        </w:rPr>
      </w:pPr>
    </w:p>
    <w:p>
      <w:pPr>
        <w:pStyle w:val="4"/>
        <w:spacing w:line="360" w:lineRule="auto"/>
        <w:jc w:val="center"/>
        <w:rPr>
          <w:rFonts w:ascii="宋体" w:hAnsi="宋体" w:cs="宋体"/>
          <w:highlight w:val="none"/>
        </w:rPr>
      </w:pPr>
      <w:bookmarkStart w:id="279" w:name="_Toc21264"/>
      <w:r>
        <w:rPr>
          <w:rFonts w:hint="eastAsia" w:ascii="宋体" w:hAnsi="宋体" w:cs="宋体"/>
          <w:highlight w:val="none"/>
        </w:rPr>
        <w:t>十</w:t>
      </w:r>
      <w:r>
        <w:rPr>
          <w:rFonts w:hint="eastAsia" w:ascii="宋体" w:hAnsi="宋体" w:cs="宋体"/>
          <w:highlight w:val="none"/>
          <w:lang w:eastAsia="zh-CN"/>
        </w:rPr>
        <w:t>三</w:t>
      </w:r>
      <w:r>
        <w:rPr>
          <w:rFonts w:hint="eastAsia" w:ascii="宋体" w:hAnsi="宋体" w:cs="宋体"/>
          <w:highlight w:val="none"/>
        </w:rPr>
        <w:t>、其他材料</w:t>
      </w:r>
      <w:bookmarkEnd w:id="275"/>
      <w:bookmarkEnd w:id="276"/>
      <w:bookmarkEnd w:id="279"/>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head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20B0609030804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16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220368"/>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sz w:val="16"/>
        <w:szCs w:val="16"/>
      </w:rPr>
    </w:pPr>
    <w:r>
      <w:rPr>
        <w:sz w:val="16"/>
        <w:szCs w:val="16"/>
      </w:rPr>
      <w:fldChar w:fldCharType="begin"/>
    </w:r>
    <w:r>
      <w:rPr>
        <w:rStyle w:val="39"/>
        <w:sz w:val="16"/>
        <w:szCs w:val="16"/>
      </w:rPr>
      <w:instrText xml:space="preserve">PAGE  </w:instrText>
    </w:r>
    <w:r>
      <w:rPr>
        <w:sz w:val="16"/>
        <w:szCs w:val="16"/>
      </w:rPr>
      <w:fldChar w:fldCharType="separate"/>
    </w:r>
    <w:r>
      <w:rPr>
        <w:rStyle w:val="39"/>
        <w:sz w:val="16"/>
        <w:szCs w:val="16"/>
      </w:rPr>
      <w:t>122</w:t>
    </w:r>
    <w:r>
      <w:rPr>
        <w:sz w:val="16"/>
        <w:szCs w:val="16"/>
      </w:rPr>
      <w:fldChar w:fldCharType="end"/>
    </w:r>
  </w:p>
  <w:p>
    <w:pPr>
      <w:pStyle w:val="23"/>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18"/>
        <w:lang w:val="en-US" w:eastAsia="zh-CN"/>
      </w:rPr>
      <w:t xml:space="preserve"> 中弘天合工程咨询有限公司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49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20AF1"/>
    <w:multiLevelType w:val="singleLevel"/>
    <w:tmpl w:val="A1A20AF1"/>
    <w:lvl w:ilvl="0" w:tentative="0">
      <w:start w:val="1"/>
      <w:numFmt w:val="decimal"/>
      <w:lvlText w:val="%1."/>
      <w:lvlJc w:val="left"/>
      <w:pPr>
        <w:ind w:left="905" w:hanging="425"/>
      </w:pPr>
      <w:rPr>
        <w:rFonts w:hint="default"/>
      </w:rPr>
    </w:lvl>
  </w:abstractNum>
  <w:abstractNum w:abstractNumId="1">
    <w:nsid w:val="AA74591E"/>
    <w:multiLevelType w:val="singleLevel"/>
    <w:tmpl w:val="AA74591E"/>
    <w:lvl w:ilvl="0" w:tentative="0">
      <w:start w:val="1"/>
      <w:numFmt w:val="chineseCounting"/>
      <w:suff w:val="nothing"/>
      <w:lvlText w:val="（%1）"/>
      <w:lvlJc w:val="left"/>
      <w:pPr>
        <w:ind w:left="0" w:firstLine="420"/>
      </w:pPr>
      <w:rPr>
        <w:rFonts w:hint="eastAsia"/>
      </w:rPr>
    </w:lvl>
  </w:abstractNum>
  <w:abstractNum w:abstractNumId="2">
    <w:nsid w:val="AD9E3293"/>
    <w:multiLevelType w:val="singleLevel"/>
    <w:tmpl w:val="AD9E3293"/>
    <w:lvl w:ilvl="0" w:tentative="0">
      <w:start w:val="1"/>
      <w:numFmt w:val="chineseCounting"/>
      <w:suff w:val="nothing"/>
      <w:lvlText w:val="（%1）"/>
      <w:lvlJc w:val="left"/>
      <w:pPr>
        <w:ind w:left="60" w:firstLine="420"/>
      </w:pPr>
      <w:rPr>
        <w:rFonts w:hint="eastAsia"/>
        <w:b w:val="0"/>
        <w:bCs w:val="0"/>
      </w:rPr>
    </w:lvl>
  </w:abstractNum>
  <w:abstractNum w:abstractNumId="3">
    <w:nsid w:val="B904E243"/>
    <w:multiLevelType w:val="singleLevel"/>
    <w:tmpl w:val="B904E243"/>
    <w:lvl w:ilvl="0" w:tentative="0">
      <w:start w:val="1"/>
      <w:numFmt w:val="chineseCounting"/>
      <w:suff w:val="nothing"/>
      <w:lvlText w:val="（%1）"/>
      <w:lvlJc w:val="left"/>
      <w:pPr>
        <w:ind w:left="0" w:firstLine="420"/>
      </w:pPr>
      <w:rPr>
        <w:rFonts w:hint="eastAsia"/>
        <w:b w:val="0"/>
        <w:bCs w:val="0"/>
      </w:rPr>
    </w:lvl>
  </w:abstractNum>
  <w:abstractNum w:abstractNumId="4">
    <w:nsid w:val="BF47C0CF"/>
    <w:multiLevelType w:val="singleLevel"/>
    <w:tmpl w:val="BF47C0CF"/>
    <w:lvl w:ilvl="0" w:tentative="0">
      <w:start w:val="1"/>
      <w:numFmt w:val="chineseCounting"/>
      <w:suff w:val="nothing"/>
      <w:lvlText w:val="（%1）"/>
      <w:lvlJc w:val="left"/>
      <w:pPr>
        <w:ind w:left="0" w:firstLine="420"/>
      </w:pPr>
      <w:rPr>
        <w:rFonts w:hint="eastAsia"/>
      </w:rPr>
    </w:lvl>
  </w:abstractNum>
  <w:abstractNum w:abstractNumId="5">
    <w:nsid w:val="DB79A07D"/>
    <w:multiLevelType w:val="singleLevel"/>
    <w:tmpl w:val="DB79A07D"/>
    <w:lvl w:ilvl="0" w:tentative="0">
      <w:start w:val="2"/>
      <w:numFmt w:val="chineseCounting"/>
      <w:suff w:val="space"/>
      <w:lvlText w:val="第%1章"/>
      <w:lvlJc w:val="left"/>
      <w:rPr>
        <w:rFonts w:hint="eastAsia"/>
      </w:rPr>
    </w:lvl>
  </w:abstractNum>
  <w:abstractNum w:abstractNumId="6">
    <w:nsid w:val="E1E2AB06"/>
    <w:multiLevelType w:val="singleLevel"/>
    <w:tmpl w:val="E1E2AB06"/>
    <w:lvl w:ilvl="0" w:tentative="0">
      <w:start w:val="1"/>
      <w:numFmt w:val="decimal"/>
      <w:lvlText w:val="%1."/>
      <w:lvlJc w:val="left"/>
      <w:pPr>
        <w:ind w:left="425" w:hanging="425"/>
      </w:pPr>
      <w:rPr>
        <w:rFonts w:hint="default"/>
      </w:rPr>
    </w:lvl>
  </w:abstractNum>
  <w:abstractNum w:abstractNumId="7">
    <w:nsid w:val="EC4D369C"/>
    <w:multiLevelType w:val="multilevel"/>
    <w:tmpl w:val="EC4D369C"/>
    <w:lvl w:ilvl="0" w:tentative="0">
      <w:start w:val="1"/>
      <w:numFmt w:val="chineseCountingThousand"/>
      <w:suff w:val="nothing"/>
      <w:lvlText w:val="%1、"/>
      <w:lvlJc w:val="left"/>
      <w:pPr>
        <w:ind w:left="0" w:firstLine="420"/>
      </w:pPr>
      <w:rPr>
        <w:rFonts w:hint="eastAsia" w:hAnsi="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suff w:val="nothing"/>
      <w:lvlText w:val="（%2）"/>
      <w:lvlJc w:val="left"/>
      <w:pPr>
        <w:ind w:left="0" w:firstLine="420"/>
      </w:pPr>
      <w:rPr>
        <w:rFonts w:hint="eastAsia" w:ascii="仿宋_GB2312" w:eastAsia="仿宋_GB2312"/>
        <w:b w:val="0"/>
        <w:i w:val="0"/>
        <w:sz w:val="28"/>
        <w:szCs w:val="28"/>
      </w:rPr>
    </w:lvl>
    <w:lvl w:ilvl="2" w:tentative="0">
      <w:start w:val="1"/>
      <w:numFmt w:val="decimal"/>
      <w:suff w:val="nothing"/>
      <w:lvlText w:val="%3."/>
      <w:lvlJc w:val="left"/>
      <w:pPr>
        <w:ind w:left="240" w:firstLine="420"/>
      </w:pPr>
      <w:rPr>
        <w:rFonts w:hint="eastAsia" w:ascii="仿宋_GB2312" w:eastAsia="仿宋_GB2312"/>
        <w:b w:val="0"/>
        <w:i w:val="0"/>
        <w:sz w:val="28"/>
        <w:szCs w:val="28"/>
      </w:rPr>
    </w:lvl>
    <w:lvl w:ilvl="3" w:tentative="0">
      <w:start w:val="1"/>
      <w:numFmt w:val="decimal"/>
      <w:suff w:val="nothing"/>
      <w:lvlText w:val="（%4）"/>
      <w:lvlJc w:val="left"/>
      <w:pPr>
        <w:ind w:left="5" w:firstLine="420"/>
      </w:pPr>
      <w:rPr>
        <w:rFonts w:hint="eastAsia" w:ascii="仿宋_GB2312" w:eastAsia="仿宋_GB2312"/>
        <w:b w:val="0"/>
        <w:i w:val="0"/>
        <w:sz w:val="28"/>
        <w:szCs w:val="28"/>
      </w:rPr>
    </w:lvl>
    <w:lvl w:ilvl="4" w:tentative="0">
      <w:start w:val="1"/>
      <w:numFmt w:val="bullet"/>
      <w:suff w:val="nothing"/>
      <w:lvlText w:val="①"/>
      <w:lvlJc w:val="left"/>
      <w:pPr>
        <w:ind w:left="0" w:firstLine="420"/>
      </w:pPr>
      <w:rPr>
        <w:rFonts w:hint="eastAsia" w:ascii="仿宋_GB2312" w:eastAsia="仿宋_GB2312"/>
        <w:b w:val="0"/>
        <w:i w:val="0"/>
        <w:color w:val="auto"/>
        <w:sz w:val="24"/>
      </w:rPr>
    </w:lvl>
    <w:lvl w:ilvl="5" w:tentative="0">
      <w:start w:val="1"/>
      <w:numFmt w:val="lowerLetter"/>
      <w:suff w:val="nothing"/>
      <w:lvlText w:val="%6."/>
      <w:lvlJc w:val="left"/>
      <w:pPr>
        <w:ind w:left="0" w:firstLine="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76DD26E"/>
    <w:multiLevelType w:val="singleLevel"/>
    <w:tmpl w:val="076DD26E"/>
    <w:lvl w:ilvl="0" w:tentative="0">
      <w:start w:val="1"/>
      <w:numFmt w:val="decimal"/>
      <w:lvlText w:val="%1."/>
      <w:lvlJc w:val="left"/>
      <w:pPr>
        <w:ind w:left="425" w:hanging="425"/>
      </w:pPr>
      <w:rPr>
        <w:rFonts w:hint="default"/>
      </w:rPr>
    </w:lvl>
  </w:abstractNum>
  <w:abstractNum w:abstractNumId="9">
    <w:nsid w:val="0C471CDB"/>
    <w:multiLevelType w:val="singleLevel"/>
    <w:tmpl w:val="0C471CDB"/>
    <w:lvl w:ilvl="0" w:tentative="0">
      <w:start w:val="1"/>
      <w:numFmt w:val="chineseCounting"/>
      <w:suff w:val="nothing"/>
      <w:lvlText w:val="（%1）"/>
      <w:lvlJc w:val="left"/>
      <w:pPr>
        <w:ind w:left="0" w:firstLine="420"/>
      </w:pPr>
      <w:rPr>
        <w:rFonts w:hint="eastAsia"/>
      </w:rPr>
    </w:lvl>
  </w:abstractNum>
  <w:abstractNum w:abstractNumId="10">
    <w:nsid w:val="1276862E"/>
    <w:multiLevelType w:val="singleLevel"/>
    <w:tmpl w:val="1276862E"/>
    <w:lvl w:ilvl="0" w:tentative="0">
      <w:start w:val="1"/>
      <w:numFmt w:val="decimal"/>
      <w:lvlText w:val="(%1)"/>
      <w:lvlJc w:val="left"/>
      <w:pPr>
        <w:ind w:left="425" w:hanging="425"/>
      </w:pPr>
      <w:rPr>
        <w:rFonts w:hint="default"/>
      </w:rPr>
    </w:lvl>
  </w:abstractNum>
  <w:abstractNum w:abstractNumId="11">
    <w:nsid w:val="14E77189"/>
    <w:multiLevelType w:val="singleLevel"/>
    <w:tmpl w:val="14E77189"/>
    <w:lvl w:ilvl="0" w:tentative="0">
      <w:start w:val="1"/>
      <w:numFmt w:val="chineseCounting"/>
      <w:suff w:val="nothing"/>
      <w:lvlText w:val="（%1）"/>
      <w:lvlJc w:val="left"/>
      <w:pPr>
        <w:ind w:left="0" w:firstLine="420"/>
      </w:pPr>
      <w:rPr>
        <w:rFonts w:hint="eastAsia"/>
      </w:rPr>
    </w:lvl>
  </w:abstractNum>
  <w:abstractNum w:abstractNumId="12">
    <w:nsid w:val="1DE005D3"/>
    <w:multiLevelType w:val="singleLevel"/>
    <w:tmpl w:val="1DE005D3"/>
    <w:lvl w:ilvl="0" w:tentative="0">
      <w:start w:val="1"/>
      <w:numFmt w:val="chineseCounting"/>
      <w:suff w:val="nothing"/>
      <w:lvlText w:val="%1、"/>
      <w:lvlJc w:val="left"/>
      <w:rPr>
        <w:rFonts w:hint="eastAsia"/>
      </w:rPr>
    </w:lvl>
  </w:abstractNum>
  <w:abstractNum w:abstractNumId="13">
    <w:nsid w:val="27CDD1DB"/>
    <w:multiLevelType w:val="singleLevel"/>
    <w:tmpl w:val="27CDD1DB"/>
    <w:lvl w:ilvl="0" w:tentative="0">
      <w:start w:val="1"/>
      <w:numFmt w:val="decimal"/>
      <w:lvlText w:val="%1."/>
      <w:lvlJc w:val="left"/>
      <w:pPr>
        <w:ind w:left="425" w:hanging="425"/>
      </w:pPr>
      <w:rPr>
        <w:rFonts w:hint="default"/>
      </w:rPr>
    </w:lvl>
  </w:abstractNum>
  <w:abstractNum w:abstractNumId="14">
    <w:nsid w:val="30CD8C79"/>
    <w:multiLevelType w:val="singleLevel"/>
    <w:tmpl w:val="30CD8C79"/>
    <w:lvl w:ilvl="0" w:tentative="0">
      <w:start w:val="1"/>
      <w:numFmt w:val="decimal"/>
      <w:lvlText w:val="%1."/>
      <w:lvlJc w:val="left"/>
      <w:pPr>
        <w:ind w:left="905" w:hanging="425"/>
      </w:pPr>
      <w:rPr>
        <w:rFonts w:hint="default"/>
      </w:rPr>
    </w:lvl>
  </w:abstractNum>
  <w:abstractNum w:abstractNumId="15">
    <w:nsid w:val="36645330"/>
    <w:multiLevelType w:val="singleLevel"/>
    <w:tmpl w:val="36645330"/>
    <w:lvl w:ilvl="0" w:tentative="0">
      <w:start w:val="1"/>
      <w:numFmt w:val="decimal"/>
      <w:lvlText w:val="(%1)"/>
      <w:lvlJc w:val="left"/>
      <w:pPr>
        <w:ind w:left="425" w:hanging="425"/>
      </w:pPr>
      <w:rPr>
        <w:rFonts w:hint="default"/>
      </w:rPr>
    </w:lvl>
  </w:abstractNum>
  <w:abstractNum w:abstractNumId="16">
    <w:nsid w:val="3E7DCAC7"/>
    <w:multiLevelType w:val="singleLevel"/>
    <w:tmpl w:val="3E7DCAC7"/>
    <w:lvl w:ilvl="0" w:tentative="0">
      <w:start w:val="1"/>
      <w:numFmt w:val="chineseCounting"/>
      <w:suff w:val="nothing"/>
      <w:lvlText w:val="（%1）"/>
      <w:lvlJc w:val="left"/>
      <w:pPr>
        <w:ind w:left="0" w:firstLine="420"/>
      </w:pPr>
      <w:rPr>
        <w:rFonts w:hint="eastAsia"/>
      </w:rPr>
    </w:lvl>
  </w:abstractNum>
  <w:abstractNum w:abstractNumId="17">
    <w:nsid w:val="41144AEC"/>
    <w:multiLevelType w:val="multilevel"/>
    <w:tmpl w:val="41144AEC"/>
    <w:lvl w:ilvl="0" w:tentative="0">
      <w:start w:val="1"/>
      <w:numFmt w:val="decimalEnclosedCircle"/>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483058EF"/>
    <w:multiLevelType w:val="singleLevel"/>
    <w:tmpl w:val="483058EF"/>
    <w:lvl w:ilvl="0" w:tentative="0">
      <w:start w:val="1"/>
      <w:numFmt w:val="decimal"/>
      <w:lvlText w:val="(%1)"/>
      <w:lvlJc w:val="left"/>
      <w:pPr>
        <w:ind w:left="425" w:hanging="425"/>
      </w:pPr>
      <w:rPr>
        <w:rFonts w:hint="default"/>
      </w:rPr>
    </w:lvl>
  </w:abstractNum>
  <w:abstractNum w:abstractNumId="19">
    <w:nsid w:val="49E27C16"/>
    <w:multiLevelType w:val="singleLevel"/>
    <w:tmpl w:val="49E27C16"/>
    <w:lvl w:ilvl="0" w:tentative="0">
      <w:start w:val="1"/>
      <w:numFmt w:val="chineseCounting"/>
      <w:suff w:val="nothing"/>
      <w:lvlText w:val="（%1）"/>
      <w:lvlJc w:val="left"/>
      <w:pPr>
        <w:ind w:left="0" w:firstLine="420"/>
      </w:pPr>
      <w:rPr>
        <w:rFonts w:hint="eastAsia"/>
      </w:rPr>
    </w:lvl>
  </w:abstractNum>
  <w:num w:numId="1">
    <w:abstractNumId w:val="12"/>
  </w:num>
  <w:num w:numId="2">
    <w:abstractNumId w:val="5"/>
  </w:num>
  <w:num w:numId="3">
    <w:abstractNumId w:val="7"/>
  </w:num>
  <w:num w:numId="4">
    <w:abstractNumId w:val="17"/>
  </w:num>
  <w:num w:numId="5">
    <w:abstractNumId w:val="3"/>
  </w:num>
  <w:num w:numId="6">
    <w:abstractNumId w:val="0"/>
  </w:num>
  <w:num w:numId="7">
    <w:abstractNumId w:val="14"/>
  </w:num>
  <w:num w:numId="8">
    <w:abstractNumId w:val="9"/>
  </w:num>
  <w:num w:numId="9">
    <w:abstractNumId w:val="4"/>
  </w:num>
  <w:num w:numId="10">
    <w:abstractNumId w:val="19"/>
  </w:num>
  <w:num w:numId="11">
    <w:abstractNumId w:val="1"/>
  </w:num>
  <w:num w:numId="12">
    <w:abstractNumId w:val="13"/>
  </w:num>
  <w:num w:numId="13">
    <w:abstractNumId w:val="15"/>
  </w:num>
  <w:num w:numId="14">
    <w:abstractNumId w:val="10"/>
  </w:num>
  <w:num w:numId="15">
    <w:abstractNumId w:val="2"/>
  </w:num>
  <w:num w:numId="16">
    <w:abstractNumId w:val="8"/>
  </w:num>
  <w:num w:numId="17">
    <w:abstractNumId w:val="18"/>
  </w:num>
  <w:num w:numId="18">
    <w:abstractNumId w:val="11"/>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0DF1"/>
    <w:rsid w:val="00752C3A"/>
    <w:rsid w:val="00755117"/>
    <w:rsid w:val="007568B1"/>
    <w:rsid w:val="00761A39"/>
    <w:rsid w:val="00765578"/>
    <w:rsid w:val="00770331"/>
    <w:rsid w:val="007710EC"/>
    <w:rsid w:val="00772479"/>
    <w:rsid w:val="00775170"/>
    <w:rsid w:val="00775A52"/>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2404"/>
    <w:rsid w:val="00936A46"/>
    <w:rsid w:val="00940636"/>
    <w:rsid w:val="009416FC"/>
    <w:rsid w:val="00941B8A"/>
    <w:rsid w:val="009438DA"/>
    <w:rsid w:val="00945580"/>
    <w:rsid w:val="00950B68"/>
    <w:rsid w:val="0095144B"/>
    <w:rsid w:val="00957B6B"/>
    <w:rsid w:val="00965AB7"/>
    <w:rsid w:val="00966667"/>
    <w:rsid w:val="0097049A"/>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E37DC"/>
    <w:rsid w:val="011122AE"/>
    <w:rsid w:val="0118401E"/>
    <w:rsid w:val="01224C76"/>
    <w:rsid w:val="013452E8"/>
    <w:rsid w:val="013B0DE8"/>
    <w:rsid w:val="013E5336"/>
    <w:rsid w:val="01451524"/>
    <w:rsid w:val="01487061"/>
    <w:rsid w:val="014929F8"/>
    <w:rsid w:val="01546E74"/>
    <w:rsid w:val="0159301C"/>
    <w:rsid w:val="01653306"/>
    <w:rsid w:val="016814B1"/>
    <w:rsid w:val="01765F88"/>
    <w:rsid w:val="017F5DEB"/>
    <w:rsid w:val="01865615"/>
    <w:rsid w:val="018948FB"/>
    <w:rsid w:val="019B7FF1"/>
    <w:rsid w:val="01B64DBC"/>
    <w:rsid w:val="01BD7A4F"/>
    <w:rsid w:val="01C85F78"/>
    <w:rsid w:val="01D32B76"/>
    <w:rsid w:val="01DE33E0"/>
    <w:rsid w:val="01EB07AB"/>
    <w:rsid w:val="01EC5C3E"/>
    <w:rsid w:val="01F22533"/>
    <w:rsid w:val="021A1019"/>
    <w:rsid w:val="02291098"/>
    <w:rsid w:val="0234468B"/>
    <w:rsid w:val="023664F2"/>
    <w:rsid w:val="025C126D"/>
    <w:rsid w:val="0262027F"/>
    <w:rsid w:val="026F68EA"/>
    <w:rsid w:val="027605E4"/>
    <w:rsid w:val="027C24BC"/>
    <w:rsid w:val="02886175"/>
    <w:rsid w:val="028D66E5"/>
    <w:rsid w:val="02932C69"/>
    <w:rsid w:val="029517B4"/>
    <w:rsid w:val="029A133E"/>
    <w:rsid w:val="02B77584"/>
    <w:rsid w:val="02D16BE5"/>
    <w:rsid w:val="02DA6A5E"/>
    <w:rsid w:val="02DC2186"/>
    <w:rsid w:val="02DD6F11"/>
    <w:rsid w:val="02E87FE4"/>
    <w:rsid w:val="02E97BB6"/>
    <w:rsid w:val="02FC7392"/>
    <w:rsid w:val="03056ED8"/>
    <w:rsid w:val="03062260"/>
    <w:rsid w:val="031B5B3F"/>
    <w:rsid w:val="032B6C3A"/>
    <w:rsid w:val="033A1937"/>
    <w:rsid w:val="034101F0"/>
    <w:rsid w:val="034722F9"/>
    <w:rsid w:val="035917B3"/>
    <w:rsid w:val="036B7422"/>
    <w:rsid w:val="03797A2B"/>
    <w:rsid w:val="03815B1E"/>
    <w:rsid w:val="038740F9"/>
    <w:rsid w:val="038A0F4D"/>
    <w:rsid w:val="038F5CF1"/>
    <w:rsid w:val="03912F41"/>
    <w:rsid w:val="03977E2B"/>
    <w:rsid w:val="039D2861"/>
    <w:rsid w:val="039D369E"/>
    <w:rsid w:val="03A21A69"/>
    <w:rsid w:val="03A41501"/>
    <w:rsid w:val="03C050B3"/>
    <w:rsid w:val="03C116DF"/>
    <w:rsid w:val="03C54F6F"/>
    <w:rsid w:val="03C932BE"/>
    <w:rsid w:val="03CB3EB9"/>
    <w:rsid w:val="03CD5D31"/>
    <w:rsid w:val="03CE1705"/>
    <w:rsid w:val="03D554AB"/>
    <w:rsid w:val="03DC6E2A"/>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437B16"/>
    <w:rsid w:val="044646A8"/>
    <w:rsid w:val="044D6D08"/>
    <w:rsid w:val="04570286"/>
    <w:rsid w:val="045804E9"/>
    <w:rsid w:val="045C5A66"/>
    <w:rsid w:val="04617A5D"/>
    <w:rsid w:val="0465768E"/>
    <w:rsid w:val="04756ABC"/>
    <w:rsid w:val="047A0169"/>
    <w:rsid w:val="04881B0C"/>
    <w:rsid w:val="048C7E10"/>
    <w:rsid w:val="049745EC"/>
    <w:rsid w:val="04A15406"/>
    <w:rsid w:val="04AB1797"/>
    <w:rsid w:val="04B3420E"/>
    <w:rsid w:val="04B471CA"/>
    <w:rsid w:val="04B90CE5"/>
    <w:rsid w:val="04BE75A2"/>
    <w:rsid w:val="04BE7A94"/>
    <w:rsid w:val="04C26011"/>
    <w:rsid w:val="04C57E88"/>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B34780"/>
    <w:rsid w:val="05B920F5"/>
    <w:rsid w:val="05BA5972"/>
    <w:rsid w:val="05BE40EE"/>
    <w:rsid w:val="05C1575D"/>
    <w:rsid w:val="05C30828"/>
    <w:rsid w:val="05C74181"/>
    <w:rsid w:val="05CF4EB3"/>
    <w:rsid w:val="05D1303A"/>
    <w:rsid w:val="05E42052"/>
    <w:rsid w:val="05FC0CD4"/>
    <w:rsid w:val="060A72F3"/>
    <w:rsid w:val="0611150F"/>
    <w:rsid w:val="06197597"/>
    <w:rsid w:val="06206C00"/>
    <w:rsid w:val="06244176"/>
    <w:rsid w:val="063021A9"/>
    <w:rsid w:val="064B6404"/>
    <w:rsid w:val="064C7850"/>
    <w:rsid w:val="0652786B"/>
    <w:rsid w:val="065B3392"/>
    <w:rsid w:val="06682DE6"/>
    <w:rsid w:val="06683B83"/>
    <w:rsid w:val="06734B80"/>
    <w:rsid w:val="06735DC5"/>
    <w:rsid w:val="067A0FD9"/>
    <w:rsid w:val="067B4CEE"/>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7101078"/>
    <w:rsid w:val="07161B74"/>
    <w:rsid w:val="071B5929"/>
    <w:rsid w:val="071B7025"/>
    <w:rsid w:val="072254F2"/>
    <w:rsid w:val="07240C51"/>
    <w:rsid w:val="072E2C4D"/>
    <w:rsid w:val="073E7DAB"/>
    <w:rsid w:val="0748560B"/>
    <w:rsid w:val="07512AE9"/>
    <w:rsid w:val="07577994"/>
    <w:rsid w:val="07603356"/>
    <w:rsid w:val="07633A48"/>
    <w:rsid w:val="07697D31"/>
    <w:rsid w:val="076F6E9A"/>
    <w:rsid w:val="077E2440"/>
    <w:rsid w:val="077E37DC"/>
    <w:rsid w:val="07835ED5"/>
    <w:rsid w:val="07866291"/>
    <w:rsid w:val="07871154"/>
    <w:rsid w:val="07997F47"/>
    <w:rsid w:val="07AF1FD4"/>
    <w:rsid w:val="07B23022"/>
    <w:rsid w:val="07B51A5F"/>
    <w:rsid w:val="07BA7779"/>
    <w:rsid w:val="07C87D48"/>
    <w:rsid w:val="07D21680"/>
    <w:rsid w:val="07DF60F7"/>
    <w:rsid w:val="07E23FA4"/>
    <w:rsid w:val="07E46421"/>
    <w:rsid w:val="07EF6CF5"/>
    <w:rsid w:val="07F6543F"/>
    <w:rsid w:val="080173C8"/>
    <w:rsid w:val="08057177"/>
    <w:rsid w:val="08070D6F"/>
    <w:rsid w:val="08114CA2"/>
    <w:rsid w:val="08150A1D"/>
    <w:rsid w:val="081859DC"/>
    <w:rsid w:val="081A7D8C"/>
    <w:rsid w:val="081E1916"/>
    <w:rsid w:val="0826551C"/>
    <w:rsid w:val="082B3377"/>
    <w:rsid w:val="08315BBE"/>
    <w:rsid w:val="083D1B3B"/>
    <w:rsid w:val="0840490D"/>
    <w:rsid w:val="08514A4D"/>
    <w:rsid w:val="085F72F5"/>
    <w:rsid w:val="08624090"/>
    <w:rsid w:val="087022D6"/>
    <w:rsid w:val="08806AA2"/>
    <w:rsid w:val="0881089F"/>
    <w:rsid w:val="08850D7B"/>
    <w:rsid w:val="08880137"/>
    <w:rsid w:val="088C0246"/>
    <w:rsid w:val="0893062D"/>
    <w:rsid w:val="08973958"/>
    <w:rsid w:val="08993BDC"/>
    <w:rsid w:val="089F64C2"/>
    <w:rsid w:val="08A059D4"/>
    <w:rsid w:val="08B80F70"/>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32249C"/>
    <w:rsid w:val="09380BA7"/>
    <w:rsid w:val="093E00A8"/>
    <w:rsid w:val="093E2345"/>
    <w:rsid w:val="09421A46"/>
    <w:rsid w:val="094516AC"/>
    <w:rsid w:val="09460104"/>
    <w:rsid w:val="09511D9C"/>
    <w:rsid w:val="097315B3"/>
    <w:rsid w:val="09731CEF"/>
    <w:rsid w:val="097A7FD3"/>
    <w:rsid w:val="097C79CF"/>
    <w:rsid w:val="098A05C8"/>
    <w:rsid w:val="099357EC"/>
    <w:rsid w:val="099B4796"/>
    <w:rsid w:val="09A1210B"/>
    <w:rsid w:val="09A339CE"/>
    <w:rsid w:val="09AC61C1"/>
    <w:rsid w:val="09B73AE9"/>
    <w:rsid w:val="09B75714"/>
    <w:rsid w:val="09B86A8D"/>
    <w:rsid w:val="09BC0421"/>
    <w:rsid w:val="09C45B60"/>
    <w:rsid w:val="09CE7C39"/>
    <w:rsid w:val="09D534B7"/>
    <w:rsid w:val="09DB41EB"/>
    <w:rsid w:val="09DC495F"/>
    <w:rsid w:val="09DD3876"/>
    <w:rsid w:val="09E0246A"/>
    <w:rsid w:val="09E66C0E"/>
    <w:rsid w:val="09EC6271"/>
    <w:rsid w:val="09EE29E7"/>
    <w:rsid w:val="09F2225F"/>
    <w:rsid w:val="09F53EAC"/>
    <w:rsid w:val="09F76B2C"/>
    <w:rsid w:val="0A023E16"/>
    <w:rsid w:val="0A074C42"/>
    <w:rsid w:val="0A0D05B5"/>
    <w:rsid w:val="0A103826"/>
    <w:rsid w:val="0A150A8E"/>
    <w:rsid w:val="0A352F73"/>
    <w:rsid w:val="0A387C7E"/>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20579"/>
    <w:rsid w:val="0AD374F8"/>
    <w:rsid w:val="0AD43F1F"/>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37193"/>
    <w:rsid w:val="0B64299B"/>
    <w:rsid w:val="0B64479A"/>
    <w:rsid w:val="0B725059"/>
    <w:rsid w:val="0B73066F"/>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3515D2"/>
    <w:rsid w:val="0C392B11"/>
    <w:rsid w:val="0C4F75A1"/>
    <w:rsid w:val="0C517260"/>
    <w:rsid w:val="0C53282E"/>
    <w:rsid w:val="0C554B91"/>
    <w:rsid w:val="0C6274FE"/>
    <w:rsid w:val="0C66774C"/>
    <w:rsid w:val="0C673DCB"/>
    <w:rsid w:val="0C6D3109"/>
    <w:rsid w:val="0C7D7694"/>
    <w:rsid w:val="0C8E1BC8"/>
    <w:rsid w:val="0C8F1B8C"/>
    <w:rsid w:val="0C8F3D96"/>
    <w:rsid w:val="0C987041"/>
    <w:rsid w:val="0C9B1932"/>
    <w:rsid w:val="0C9B3F7B"/>
    <w:rsid w:val="0CA0216C"/>
    <w:rsid w:val="0CA03E85"/>
    <w:rsid w:val="0CA041F5"/>
    <w:rsid w:val="0CA12A89"/>
    <w:rsid w:val="0CB012D7"/>
    <w:rsid w:val="0CBC085E"/>
    <w:rsid w:val="0CBD02E8"/>
    <w:rsid w:val="0CC0532C"/>
    <w:rsid w:val="0CD003CF"/>
    <w:rsid w:val="0CD01744"/>
    <w:rsid w:val="0CD315A4"/>
    <w:rsid w:val="0CDA62E9"/>
    <w:rsid w:val="0CE3748D"/>
    <w:rsid w:val="0CE70A1D"/>
    <w:rsid w:val="0CFB5EF4"/>
    <w:rsid w:val="0CFD6A07"/>
    <w:rsid w:val="0D020F0E"/>
    <w:rsid w:val="0D0A3999"/>
    <w:rsid w:val="0D0E2BAC"/>
    <w:rsid w:val="0D110C4F"/>
    <w:rsid w:val="0D196EB1"/>
    <w:rsid w:val="0D1C6E83"/>
    <w:rsid w:val="0D2176CA"/>
    <w:rsid w:val="0D2541EB"/>
    <w:rsid w:val="0D2723A0"/>
    <w:rsid w:val="0D2D4D8A"/>
    <w:rsid w:val="0D4576A3"/>
    <w:rsid w:val="0D487D89"/>
    <w:rsid w:val="0D4B3498"/>
    <w:rsid w:val="0D4B5BE1"/>
    <w:rsid w:val="0D4F16F4"/>
    <w:rsid w:val="0D5079AE"/>
    <w:rsid w:val="0D5711C4"/>
    <w:rsid w:val="0D572370"/>
    <w:rsid w:val="0D5D2AFC"/>
    <w:rsid w:val="0D5D3E94"/>
    <w:rsid w:val="0D88760F"/>
    <w:rsid w:val="0D9153C0"/>
    <w:rsid w:val="0D9415FB"/>
    <w:rsid w:val="0D987605"/>
    <w:rsid w:val="0D9F3A7F"/>
    <w:rsid w:val="0D9F5727"/>
    <w:rsid w:val="0DA323DA"/>
    <w:rsid w:val="0DA52F0A"/>
    <w:rsid w:val="0DAE501D"/>
    <w:rsid w:val="0DB56754"/>
    <w:rsid w:val="0DB91073"/>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2A60A5"/>
    <w:rsid w:val="0E2F1A1F"/>
    <w:rsid w:val="0E320043"/>
    <w:rsid w:val="0E3A5563"/>
    <w:rsid w:val="0E43066C"/>
    <w:rsid w:val="0E496B86"/>
    <w:rsid w:val="0E4A7E09"/>
    <w:rsid w:val="0E4E74BA"/>
    <w:rsid w:val="0E4F06DE"/>
    <w:rsid w:val="0E571A7F"/>
    <w:rsid w:val="0E587FAC"/>
    <w:rsid w:val="0E5F5FAE"/>
    <w:rsid w:val="0E5F69A6"/>
    <w:rsid w:val="0E657452"/>
    <w:rsid w:val="0E67012F"/>
    <w:rsid w:val="0E6B00B9"/>
    <w:rsid w:val="0E6C7FC6"/>
    <w:rsid w:val="0E6F6E27"/>
    <w:rsid w:val="0E705B90"/>
    <w:rsid w:val="0E744F9B"/>
    <w:rsid w:val="0E8B3131"/>
    <w:rsid w:val="0E8B3FA0"/>
    <w:rsid w:val="0E8D3D67"/>
    <w:rsid w:val="0E8E4B5E"/>
    <w:rsid w:val="0E923546"/>
    <w:rsid w:val="0E9418A7"/>
    <w:rsid w:val="0E9E397A"/>
    <w:rsid w:val="0EA36CEB"/>
    <w:rsid w:val="0EA66B4F"/>
    <w:rsid w:val="0EA8541A"/>
    <w:rsid w:val="0EAC51BD"/>
    <w:rsid w:val="0EB07778"/>
    <w:rsid w:val="0ECF4AF4"/>
    <w:rsid w:val="0EEA3F51"/>
    <w:rsid w:val="0EEF4BF7"/>
    <w:rsid w:val="0EF83F55"/>
    <w:rsid w:val="0F027AF2"/>
    <w:rsid w:val="0F09708E"/>
    <w:rsid w:val="0F0C4F63"/>
    <w:rsid w:val="0F0E2B29"/>
    <w:rsid w:val="0F135841"/>
    <w:rsid w:val="0F234B7B"/>
    <w:rsid w:val="0F2E0DF2"/>
    <w:rsid w:val="0F4D155D"/>
    <w:rsid w:val="0F597E36"/>
    <w:rsid w:val="0F5F073C"/>
    <w:rsid w:val="0F6031E9"/>
    <w:rsid w:val="0F664981"/>
    <w:rsid w:val="0F693606"/>
    <w:rsid w:val="0F6C3BC1"/>
    <w:rsid w:val="0F7470E9"/>
    <w:rsid w:val="0F7826CF"/>
    <w:rsid w:val="0F7C6757"/>
    <w:rsid w:val="0F7E5CE7"/>
    <w:rsid w:val="0F833A88"/>
    <w:rsid w:val="0F911842"/>
    <w:rsid w:val="0F96710E"/>
    <w:rsid w:val="0F9C112A"/>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06DF"/>
    <w:rsid w:val="10CB28D1"/>
    <w:rsid w:val="10CF36C0"/>
    <w:rsid w:val="10D73F5D"/>
    <w:rsid w:val="10DB1C9F"/>
    <w:rsid w:val="10DD3AC4"/>
    <w:rsid w:val="10E11713"/>
    <w:rsid w:val="10EC75D0"/>
    <w:rsid w:val="10F0483F"/>
    <w:rsid w:val="10FD6BE7"/>
    <w:rsid w:val="110E51BD"/>
    <w:rsid w:val="111313B4"/>
    <w:rsid w:val="11136A3C"/>
    <w:rsid w:val="11183AC2"/>
    <w:rsid w:val="1122264B"/>
    <w:rsid w:val="113D191A"/>
    <w:rsid w:val="113E22FA"/>
    <w:rsid w:val="1141240B"/>
    <w:rsid w:val="1152267D"/>
    <w:rsid w:val="11625BC3"/>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C42733"/>
    <w:rsid w:val="11D43F23"/>
    <w:rsid w:val="11D634BC"/>
    <w:rsid w:val="11D71598"/>
    <w:rsid w:val="11DA359A"/>
    <w:rsid w:val="11DD4D3C"/>
    <w:rsid w:val="11DE0128"/>
    <w:rsid w:val="11DE17CB"/>
    <w:rsid w:val="11E5248F"/>
    <w:rsid w:val="11E574F2"/>
    <w:rsid w:val="11F06A3F"/>
    <w:rsid w:val="12022C73"/>
    <w:rsid w:val="1202732E"/>
    <w:rsid w:val="120308CB"/>
    <w:rsid w:val="120E16EF"/>
    <w:rsid w:val="12142C4F"/>
    <w:rsid w:val="122F020C"/>
    <w:rsid w:val="123705E0"/>
    <w:rsid w:val="123A1263"/>
    <w:rsid w:val="123D6AE3"/>
    <w:rsid w:val="12433E61"/>
    <w:rsid w:val="12435BAF"/>
    <w:rsid w:val="12456F76"/>
    <w:rsid w:val="12482E99"/>
    <w:rsid w:val="12554304"/>
    <w:rsid w:val="12584BD6"/>
    <w:rsid w:val="12655FC3"/>
    <w:rsid w:val="12696E37"/>
    <w:rsid w:val="126A1D73"/>
    <w:rsid w:val="126C76F3"/>
    <w:rsid w:val="12724097"/>
    <w:rsid w:val="129B1E5C"/>
    <w:rsid w:val="129F645E"/>
    <w:rsid w:val="12B41589"/>
    <w:rsid w:val="12B659C6"/>
    <w:rsid w:val="12B85CD0"/>
    <w:rsid w:val="12B9706A"/>
    <w:rsid w:val="12BC3C8D"/>
    <w:rsid w:val="12C93CCE"/>
    <w:rsid w:val="12D21D69"/>
    <w:rsid w:val="12D246FB"/>
    <w:rsid w:val="12ED07D0"/>
    <w:rsid w:val="130220BC"/>
    <w:rsid w:val="13073411"/>
    <w:rsid w:val="130A7CFB"/>
    <w:rsid w:val="131B5B4D"/>
    <w:rsid w:val="13212A14"/>
    <w:rsid w:val="133718C1"/>
    <w:rsid w:val="13420116"/>
    <w:rsid w:val="13485C4D"/>
    <w:rsid w:val="13513AC1"/>
    <w:rsid w:val="1365147B"/>
    <w:rsid w:val="136F5FC9"/>
    <w:rsid w:val="13763164"/>
    <w:rsid w:val="138007AD"/>
    <w:rsid w:val="138828EE"/>
    <w:rsid w:val="138943CE"/>
    <w:rsid w:val="138F7A69"/>
    <w:rsid w:val="13916373"/>
    <w:rsid w:val="13966785"/>
    <w:rsid w:val="13CA79A5"/>
    <w:rsid w:val="13CB50E7"/>
    <w:rsid w:val="13D1150B"/>
    <w:rsid w:val="13D20640"/>
    <w:rsid w:val="13D732F5"/>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3F42F3"/>
    <w:rsid w:val="14412687"/>
    <w:rsid w:val="1441368D"/>
    <w:rsid w:val="144D5FB8"/>
    <w:rsid w:val="144D7638"/>
    <w:rsid w:val="144F0EE0"/>
    <w:rsid w:val="14597CA6"/>
    <w:rsid w:val="145C0D7F"/>
    <w:rsid w:val="14627670"/>
    <w:rsid w:val="147208C6"/>
    <w:rsid w:val="14720CA8"/>
    <w:rsid w:val="1480651C"/>
    <w:rsid w:val="14813049"/>
    <w:rsid w:val="1485486A"/>
    <w:rsid w:val="148766B3"/>
    <w:rsid w:val="148A009D"/>
    <w:rsid w:val="148A6F8C"/>
    <w:rsid w:val="14901F87"/>
    <w:rsid w:val="14A60C29"/>
    <w:rsid w:val="14A71DF5"/>
    <w:rsid w:val="14B16FF6"/>
    <w:rsid w:val="14B545B5"/>
    <w:rsid w:val="14B57709"/>
    <w:rsid w:val="14BB24E6"/>
    <w:rsid w:val="14CF4B90"/>
    <w:rsid w:val="14D005B2"/>
    <w:rsid w:val="14D40BC5"/>
    <w:rsid w:val="14D81C43"/>
    <w:rsid w:val="14DD2501"/>
    <w:rsid w:val="14DE1995"/>
    <w:rsid w:val="14DE7EA3"/>
    <w:rsid w:val="14E50558"/>
    <w:rsid w:val="14F30FDD"/>
    <w:rsid w:val="14F65E47"/>
    <w:rsid w:val="14FD5E62"/>
    <w:rsid w:val="15007F26"/>
    <w:rsid w:val="151E12DE"/>
    <w:rsid w:val="151E64FC"/>
    <w:rsid w:val="153E7AB0"/>
    <w:rsid w:val="15424CAE"/>
    <w:rsid w:val="15431BC1"/>
    <w:rsid w:val="15482861"/>
    <w:rsid w:val="154D5845"/>
    <w:rsid w:val="154F336F"/>
    <w:rsid w:val="15502EB7"/>
    <w:rsid w:val="15604521"/>
    <w:rsid w:val="15644CE6"/>
    <w:rsid w:val="156A610C"/>
    <w:rsid w:val="156E3119"/>
    <w:rsid w:val="15950580"/>
    <w:rsid w:val="159C631B"/>
    <w:rsid w:val="15A96FC0"/>
    <w:rsid w:val="15AA4E0A"/>
    <w:rsid w:val="15B067B4"/>
    <w:rsid w:val="15B14D7D"/>
    <w:rsid w:val="15C07A6F"/>
    <w:rsid w:val="15C63157"/>
    <w:rsid w:val="15CC07AB"/>
    <w:rsid w:val="15D1177C"/>
    <w:rsid w:val="15DB23B9"/>
    <w:rsid w:val="15DF11F2"/>
    <w:rsid w:val="15E51807"/>
    <w:rsid w:val="15EA0C31"/>
    <w:rsid w:val="15EA716B"/>
    <w:rsid w:val="15F260AE"/>
    <w:rsid w:val="15F44A9F"/>
    <w:rsid w:val="16027CCE"/>
    <w:rsid w:val="160767EC"/>
    <w:rsid w:val="160B7EBB"/>
    <w:rsid w:val="161F0F67"/>
    <w:rsid w:val="161F1EC8"/>
    <w:rsid w:val="1621287B"/>
    <w:rsid w:val="162915B0"/>
    <w:rsid w:val="162B2AEA"/>
    <w:rsid w:val="162D6F19"/>
    <w:rsid w:val="162F5942"/>
    <w:rsid w:val="163115DB"/>
    <w:rsid w:val="163B68A3"/>
    <w:rsid w:val="163C673D"/>
    <w:rsid w:val="16421C15"/>
    <w:rsid w:val="164E0096"/>
    <w:rsid w:val="16563027"/>
    <w:rsid w:val="16576A03"/>
    <w:rsid w:val="165E3A27"/>
    <w:rsid w:val="165E4C2B"/>
    <w:rsid w:val="16601F62"/>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7045C50"/>
    <w:rsid w:val="17115DCB"/>
    <w:rsid w:val="1715758D"/>
    <w:rsid w:val="17184788"/>
    <w:rsid w:val="17195D01"/>
    <w:rsid w:val="171F177F"/>
    <w:rsid w:val="17296B60"/>
    <w:rsid w:val="17383BFB"/>
    <w:rsid w:val="173F799D"/>
    <w:rsid w:val="1746670E"/>
    <w:rsid w:val="174B2CF4"/>
    <w:rsid w:val="17544A20"/>
    <w:rsid w:val="17563598"/>
    <w:rsid w:val="177305D1"/>
    <w:rsid w:val="17827D60"/>
    <w:rsid w:val="17891CD3"/>
    <w:rsid w:val="179030EC"/>
    <w:rsid w:val="179B2476"/>
    <w:rsid w:val="179E03CA"/>
    <w:rsid w:val="17A42166"/>
    <w:rsid w:val="17A66DF2"/>
    <w:rsid w:val="17B047EE"/>
    <w:rsid w:val="17C1169F"/>
    <w:rsid w:val="17C15AD8"/>
    <w:rsid w:val="17C603AD"/>
    <w:rsid w:val="17D026BE"/>
    <w:rsid w:val="17DA6E1C"/>
    <w:rsid w:val="17ED7A5B"/>
    <w:rsid w:val="17F2118E"/>
    <w:rsid w:val="17F5638D"/>
    <w:rsid w:val="17F72BAD"/>
    <w:rsid w:val="1804523A"/>
    <w:rsid w:val="18056E38"/>
    <w:rsid w:val="180E24AB"/>
    <w:rsid w:val="180E64B6"/>
    <w:rsid w:val="18230DE5"/>
    <w:rsid w:val="18253800"/>
    <w:rsid w:val="182E4DAB"/>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B4DD9"/>
    <w:rsid w:val="18860743"/>
    <w:rsid w:val="18975325"/>
    <w:rsid w:val="18A57BA5"/>
    <w:rsid w:val="18AA31ED"/>
    <w:rsid w:val="18AE4DC6"/>
    <w:rsid w:val="18B4181A"/>
    <w:rsid w:val="18C60582"/>
    <w:rsid w:val="18CD19A9"/>
    <w:rsid w:val="18D43D90"/>
    <w:rsid w:val="18D4609C"/>
    <w:rsid w:val="18DD0071"/>
    <w:rsid w:val="18E11E1D"/>
    <w:rsid w:val="18E611E1"/>
    <w:rsid w:val="18F157F6"/>
    <w:rsid w:val="18F5225B"/>
    <w:rsid w:val="18FB56F6"/>
    <w:rsid w:val="18FB6499"/>
    <w:rsid w:val="19026D77"/>
    <w:rsid w:val="19120C9B"/>
    <w:rsid w:val="191B4C30"/>
    <w:rsid w:val="19213891"/>
    <w:rsid w:val="19306300"/>
    <w:rsid w:val="193122EB"/>
    <w:rsid w:val="193B2DCA"/>
    <w:rsid w:val="193B4364"/>
    <w:rsid w:val="193D2731"/>
    <w:rsid w:val="194131F1"/>
    <w:rsid w:val="19432438"/>
    <w:rsid w:val="194373AD"/>
    <w:rsid w:val="194E3F63"/>
    <w:rsid w:val="19523F34"/>
    <w:rsid w:val="1953283D"/>
    <w:rsid w:val="19543171"/>
    <w:rsid w:val="19596D8C"/>
    <w:rsid w:val="195B36C8"/>
    <w:rsid w:val="195F417D"/>
    <w:rsid w:val="19630789"/>
    <w:rsid w:val="196332D9"/>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A1573"/>
    <w:rsid w:val="1A0D0502"/>
    <w:rsid w:val="1A0D1475"/>
    <w:rsid w:val="1A105C54"/>
    <w:rsid w:val="1A132E2D"/>
    <w:rsid w:val="1A134584"/>
    <w:rsid w:val="1A1876FA"/>
    <w:rsid w:val="1A1E1F14"/>
    <w:rsid w:val="1A234703"/>
    <w:rsid w:val="1A264770"/>
    <w:rsid w:val="1A27309C"/>
    <w:rsid w:val="1A2937CF"/>
    <w:rsid w:val="1A3560AD"/>
    <w:rsid w:val="1A3C0940"/>
    <w:rsid w:val="1A3D5D53"/>
    <w:rsid w:val="1A3D7594"/>
    <w:rsid w:val="1A4221F1"/>
    <w:rsid w:val="1A424ABA"/>
    <w:rsid w:val="1A48678A"/>
    <w:rsid w:val="1A564C81"/>
    <w:rsid w:val="1A564D3C"/>
    <w:rsid w:val="1A725422"/>
    <w:rsid w:val="1A781320"/>
    <w:rsid w:val="1A7840BB"/>
    <w:rsid w:val="1A7F369B"/>
    <w:rsid w:val="1A8D63F1"/>
    <w:rsid w:val="1A9133CF"/>
    <w:rsid w:val="1A9C2717"/>
    <w:rsid w:val="1AAF3A91"/>
    <w:rsid w:val="1AC21DA6"/>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F5FE7"/>
    <w:rsid w:val="1B2F74F8"/>
    <w:rsid w:val="1B3242FD"/>
    <w:rsid w:val="1B326F97"/>
    <w:rsid w:val="1B375D24"/>
    <w:rsid w:val="1B381767"/>
    <w:rsid w:val="1B3E6CD7"/>
    <w:rsid w:val="1B3F5B5A"/>
    <w:rsid w:val="1B4C062A"/>
    <w:rsid w:val="1B4F3197"/>
    <w:rsid w:val="1B5675BB"/>
    <w:rsid w:val="1B5A1702"/>
    <w:rsid w:val="1B5B58CF"/>
    <w:rsid w:val="1B63398E"/>
    <w:rsid w:val="1B6E1D13"/>
    <w:rsid w:val="1B717A18"/>
    <w:rsid w:val="1B7A6E01"/>
    <w:rsid w:val="1B7C164C"/>
    <w:rsid w:val="1B867A80"/>
    <w:rsid w:val="1B88518F"/>
    <w:rsid w:val="1B9437DE"/>
    <w:rsid w:val="1B9844B2"/>
    <w:rsid w:val="1B9D6122"/>
    <w:rsid w:val="1BA851DA"/>
    <w:rsid w:val="1BAF33FD"/>
    <w:rsid w:val="1BB1023B"/>
    <w:rsid w:val="1BB2566A"/>
    <w:rsid w:val="1BB62D57"/>
    <w:rsid w:val="1BBD7BEF"/>
    <w:rsid w:val="1BCD6688"/>
    <w:rsid w:val="1BD74068"/>
    <w:rsid w:val="1BE30B1D"/>
    <w:rsid w:val="1BE40175"/>
    <w:rsid w:val="1BE50696"/>
    <w:rsid w:val="1BE80E55"/>
    <w:rsid w:val="1BEB1E7D"/>
    <w:rsid w:val="1BFB492E"/>
    <w:rsid w:val="1C0652C0"/>
    <w:rsid w:val="1C154227"/>
    <w:rsid w:val="1C181CE4"/>
    <w:rsid w:val="1C1A09CD"/>
    <w:rsid w:val="1C2208E7"/>
    <w:rsid w:val="1C260735"/>
    <w:rsid w:val="1C35495A"/>
    <w:rsid w:val="1C3F3867"/>
    <w:rsid w:val="1C460CDF"/>
    <w:rsid w:val="1C48389A"/>
    <w:rsid w:val="1C49419E"/>
    <w:rsid w:val="1C504AC9"/>
    <w:rsid w:val="1C5F277E"/>
    <w:rsid w:val="1C636AC6"/>
    <w:rsid w:val="1C6B6C2B"/>
    <w:rsid w:val="1C6D688A"/>
    <w:rsid w:val="1C727070"/>
    <w:rsid w:val="1C7E20EE"/>
    <w:rsid w:val="1C980A44"/>
    <w:rsid w:val="1CB1341B"/>
    <w:rsid w:val="1CB346D5"/>
    <w:rsid w:val="1CB92C06"/>
    <w:rsid w:val="1CBE63F4"/>
    <w:rsid w:val="1CBF410A"/>
    <w:rsid w:val="1CC034CB"/>
    <w:rsid w:val="1CD35F20"/>
    <w:rsid w:val="1CD91276"/>
    <w:rsid w:val="1CD97FD9"/>
    <w:rsid w:val="1CDF2BB6"/>
    <w:rsid w:val="1CDF76C0"/>
    <w:rsid w:val="1CE758DB"/>
    <w:rsid w:val="1CFF7B37"/>
    <w:rsid w:val="1D0016D9"/>
    <w:rsid w:val="1D083E1C"/>
    <w:rsid w:val="1D097ABA"/>
    <w:rsid w:val="1D0F374B"/>
    <w:rsid w:val="1D173C7A"/>
    <w:rsid w:val="1D1F06C6"/>
    <w:rsid w:val="1D214670"/>
    <w:rsid w:val="1D2A22D9"/>
    <w:rsid w:val="1D2D3883"/>
    <w:rsid w:val="1D2D3D96"/>
    <w:rsid w:val="1D387C01"/>
    <w:rsid w:val="1D4330A6"/>
    <w:rsid w:val="1D4F705A"/>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DB2E6A"/>
    <w:rsid w:val="1EE676C9"/>
    <w:rsid w:val="1EF81065"/>
    <w:rsid w:val="1F02219A"/>
    <w:rsid w:val="1F071EB1"/>
    <w:rsid w:val="1F0D5829"/>
    <w:rsid w:val="1F122C4E"/>
    <w:rsid w:val="1F170B6F"/>
    <w:rsid w:val="1F1F440C"/>
    <w:rsid w:val="1F2A1176"/>
    <w:rsid w:val="1F341E8A"/>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A69C2"/>
    <w:rsid w:val="1F9B3DB6"/>
    <w:rsid w:val="1FAA448F"/>
    <w:rsid w:val="1FB603C8"/>
    <w:rsid w:val="1FB61963"/>
    <w:rsid w:val="1FD51E34"/>
    <w:rsid w:val="1FD8122E"/>
    <w:rsid w:val="1FDB7576"/>
    <w:rsid w:val="1FDE6A77"/>
    <w:rsid w:val="1FE01E51"/>
    <w:rsid w:val="1FE05976"/>
    <w:rsid w:val="1FE349B2"/>
    <w:rsid w:val="1FED6D47"/>
    <w:rsid w:val="1FFC664F"/>
    <w:rsid w:val="201051CF"/>
    <w:rsid w:val="2018275D"/>
    <w:rsid w:val="201B684B"/>
    <w:rsid w:val="20223FBB"/>
    <w:rsid w:val="202606B5"/>
    <w:rsid w:val="20271DCD"/>
    <w:rsid w:val="202A2F62"/>
    <w:rsid w:val="202F7BC1"/>
    <w:rsid w:val="20360CA0"/>
    <w:rsid w:val="2038322D"/>
    <w:rsid w:val="203C5EF0"/>
    <w:rsid w:val="203E0D8A"/>
    <w:rsid w:val="204A6594"/>
    <w:rsid w:val="204D251B"/>
    <w:rsid w:val="204E212C"/>
    <w:rsid w:val="205323F1"/>
    <w:rsid w:val="205A7B27"/>
    <w:rsid w:val="20734E45"/>
    <w:rsid w:val="207B4496"/>
    <w:rsid w:val="208F00E1"/>
    <w:rsid w:val="209135CB"/>
    <w:rsid w:val="209D0BD1"/>
    <w:rsid w:val="20A26336"/>
    <w:rsid w:val="20B10327"/>
    <w:rsid w:val="20BE7EDC"/>
    <w:rsid w:val="20C57844"/>
    <w:rsid w:val="20CA372A"/>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80A48"/>
    <w:rsid w:val="213A58CD"/>
    <w:rsid w:val="21417B5B"/>
    <w:rsid w:val="214C1078"/>
    <w:rsid w:val="214E3C78"/>
    <w:rsid w:val="214F178D"/>
    <w:rsid w:val="21567130"/>
    <w:rsid w:val="21583558"/>
    <w:rsid w:val="215D179D"/>
    <w:rsid w:val="215F60D5"/>
    <w:rsid w:val="216919E6"/>
    <w:rsid w:val="216D12CE"/>
    <w:rsid w:val="216E1235"/>
    <w:rsid w:val="216E1C59"/>
    <w:rsid w:val="217B6320"/>
    <w:rsid w:val="218334F8"/>
    <w:rsid w:val="218A2D3B"/>
    <w:rsid w:val="21930558"/>
    <w:rsid w:val="21940DCA"/>
    <w:rsid w:val="21A83E06"/>
    <w:rsid w:val="21B139E5"/>
    <w:rsid w:val="21B8261E"/>
    <w:rsid w:val="21B836CC"/>
    <w:rsid w:val="21C54DC4"/>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308C9"/>
    <w:rsid w:val="22266A65"/>
    <w:rsid w:val="22327324"/>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C52599"/>
    <w:rsid w:val="22C553AD"/>
    <w:rsid w:val="22CA30CD"/>
    <w:rsid w:val="22CE51C0"/>
    <w:rsid w:val="22D301B9"/>
    <w:rsid w:val="22DC0E41"/>
    <w:rsid w:val="22DD5403"/>
    <w:rsid w:val="22F67BDE"/>
    <w:rsid w:val="23056708"/>
    <w:rsid w:val="230671B1"/>
    <w:rsid w:val="23090BF0"/>
    <w:rsid w:val="232474D6"/>
    <w:rsid w:val="233101E6"/>
    <w:rsid w:val="23332F70"/>
    <w:rsid w:val="2336404E"/>
    <w:rsid w:val="233D50DF"/>
    <w:rsid w:val="23583375"/>
    <w:rsid w:val="23591D5A"/>
    <w:rsid w:val="235F1A74"/>
    <w:rsid w:val="23794F14"/>
    <w:rsid w:val="237D502D"/>
    <w:rsid w:val="237E1C1A"/>
    <w:rsid w:val="23941D44"/>
    <w:rsid w:val="239D64E7"/>
    <w:rsid w:val="239F72BE"/>
    <w:rsid w:val="23A41026"/>
    <w:rsid w:val="23AD1426"/>
    <w:rsid w:val="23AE00BF"/>
    <w:rsid w:val="23B2147E"/>
    <w:rsid w:val="23B64282"/>
    <w:rsid w:val="23B722E9"/>
    <w:rsid w:val="23C2284B"/>
    <w:rsid w:val="23C64BEA"/>
    <w:rsid w:val="23CC3013"/>
    <w:rsid w:val="23CF5E2F"/>
    <w:rsid w:val="23DB649D"/>
    <w:rsid w:val="23DC0405"/>
    <w:rsid w:val="23EA32C6"/>
    <w:rsid w:val="23F337B6"/>
    <w:rsid w:val="240B6223"/>
    <w:rsid w:val="24113A97"/>
    <w:rsid w:val="2415202A"/>
    <w:rsid w:val="242E679A"/>
    <w:rsid w:val="24305A06"/>
    <w:rsid w:val="24341DBF"/>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AE18E1"/>
    <w:rsid w:val="24B23CFA"/>
    <w:rsid w:val="24B44889"/>
    <w:rsid w:val="24B5534E"/>
    <w:rsid w:val="24BA7F43"/>
    <w:rsid w:val="24BE1CF0"/>
    <w:rsid w:val="24C06F83"/>
    <w:rsid w:val="24CE3DF9"/>
    <w:rsid w:val="24D21266"/>
    <w:rsid w:val="24D82C75"/>
    <w:rsid w:val="24DB0C6C"/>
    <w:rsid w:val="24E103B2"/>
    <w:rsid w:val="24E43AD0"/>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677AF"/>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C00FA"/>
    <w:rsid w:val="26466F0B"/>
    <w:rsid w:val="264D6E3A"/>
    <w:rsid w:val="26652725"/>
    <w:rsid w:val="2666496B"/>
    <w:rsid w:val="26696733"/>
    <w:rsid w:val="266A44D2"/>
    <w:rsid w:val="26785EB8"/>
    <w:rsid w:val="26793D44"/>
    <w:rsid w:val="267F099D"/>
    <w:rsid w:val="26825BD5"/>
    <w:rsid w:val="26825E47"/>
    <w:rsid w:val="2685572A"/>
    <w:rsid w:val="26864B4B"/>
    <w:rsid w:val="26AD4B51"/>
    <w:rsid w:val="26AF4742"/>
    <w:rsid w:val="26B21F0E"/>
    <w:rsid w:val="26B6002D"/>
    <w:rsid w:val="26B623E9"/>
    <w:rsid w:val="26B75F37"/>
    <w:rsid w:val="26BD4769"/>
    <w:rsid w:val="26C22823"/>
    <w:rsid w:val="26CF7759"/>
    <w:rsid w:val="26D72713"/>
    <w:rsid w:val="26DD6DA7"/>
    <w:rsid w:val="26DF3A19"/>
    <w:rsid w:val="26E2612C"/>
    <w:rsid w:val="26F7665D"/>
    <w:rsid w:val="26FC74DF"/>
    <w:rsid w:val="27067EF5"/>
    <w:rsid w:val="27142C74"/>
    <w:rsid w:val="27162ACB"/>
    <w:rsid w:val="271A73A3"/>
    <w:rsid w:val="271D05F5"/>
    <w:rsid w:val="272C3720"/>
    <w:rsid w:val="272F1B2C"/>
    <w:rsid w:val="273160D6"/>
    <w:rsid w:val="273A018A"/>
    <w:rsid w:val="27445ADF"/>
    <w:rsid w:val="274570C7"/>
    <w:rsid w:val="274C5E11"/>
    <w:rsid w:val="274C7B70"/>
    <w:rsid w:val="27546C2A"/>
    <w:rsid w:val="27596A66"/>
    <w:rsid w:val="2760603D"/>
    <w:rsid w:val="27640B0C"/>
    <w:rsid w:val="276C0EF2"/>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2B4E3F"/>
    <w:rsid w:val="282C28D3"/>
    <w:rsid w:val="282D763F"/>
    <w:rsid w:val="2830461D"/>
    <w:rsid w:val="28314EDA"/>
    <w:rsid w:val="28315C50"/>
    <w:rsid w:val="28340A02"/>
    <w:rsid w:val="28375523"/>
    <w:rsid w:val="283855A4"/>
    <w:rsid w:val="283A435E"/>
    <w:rsid w:val="283A6A73"/>
    <w:rsid w:val="284877C3"/>
    <w:rsid w:val="28502EF4"/>
    <w:rsid w:val="2851359F"/>
    <w:rsid w:val="28514EEA"/>
    <w:rsid w:val="28631D98"/>
    <w:rsid w:val="286B2542"/>
    <w:rsid w:val="28743959"/>
    <w:rsid w:val="287C6E1B"/>
    <w:rsid w:val="287D25D2"/>
    <w:rsid w:val="288515FD"/>
    <w:rsid w:val="288D1FB2"/>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D60AB"/>
    <w:rsid w:val="29140785"/>
    <w:rsid w:val="291F3D28"/>
    <w:rsid w:val="29205297"/>
    <w:rsid w:val="292761C4"/>
    <w:rsid w:val="29395DAE"/>
    <w:rsid w:val="2942755C"/>
    <w:rsid w:val="294764FE"/>
    <w:rsid w:val="29481279"/>
    <w:rsid w:val="294E60CA"/>
    <w:rsid w:val="295700F1"/>
    <w:rsid w:val="295B58AC"/>
    <w:rsid w:val="296300C5"/>
    <w:rsid w:val="29644D4B"/>
    <w:rsid w:val="29774872"/>
    <w:rsid w:val="297B09BA"/>
    <w:rsid w:val="297E1596"/>
    <w:rsid w:val="298769B3"/>
    <w:rsid w:val="29934B3A"/>
    <w:rsid w:val="29942A30"/>
    <w:rsid w:val="299A5C45"/>
    <w:rsid w:val="29A30A29"/>
    <w:rsid w:val="29A371BA"/>
    <w:rsid w:val="29AB36D1"/>
    <w:rsid w:val="29AC1183"/>
    <w:rsid w:val="29BD2B5E"/>
    <w:rsid w:val="29BE2F99"/>
    <w:rsid w:val="29C05009"/>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C0828"/>
    <w:rsid w:val="2A254FA2"/>
    <w:rsid w:val="2A2658E2"/>
    <w:rsid w:val="2A2C45F6"/>
    <w:rsid w:val="2A2C7040"/>
    <w:rsid w:val="2A3C34D4"/>
    <w:rsid w:val="2A47374E"/>
    <w:rsid w:val="2A4B279F"/>
    <w:rsid w:val="2A4C5B25"/>
    <w:rsid w:val="2A4E4E38"/>
    <w:rsid w:val="2A4E72C3"/>
    <w:rsid w:val="2A530137"/>
    <w:rsid w:val="2A541347"/>
    <w:rsid w:val="2A54453D"/>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70600"/>
    <w:rsid w:val="2AC7761A"/>
    <w:rsid w:val="2ACF5B71"/>
    <w:rsid w:val="2AD1615D"/>
    <w:rsid w:val="2ADE2945"/>
    <w:rsid w:val="2ADF03EB"/>
    <w:rsid w:val="2AE21F88"/>
    <w:rsid w:val="2AE97DCE"/>
    <w:rsid w:val="2AEB7602"/>
    <w:rsid w:val="2AEF3F25"/>
    <w:rsid w:val="2B0165AE"/>
    <w:rsid w:val="2B0A773A"/>
    <w:rsid w:val="2B116592"/>
    <w:rsid w:val="2B175E78"/>
    <w:rsid w:val="2B1C1BB6"/>
    <w:rsid w:val="2B232639"/>
    <w:rsid w:val="2B2B6F28"/>
    <w:rsid w:val="2B3322BC"/>
    <w:rsid w:val="2B332601"/>
    <w:rsid w:val="2B3B1D9A"/>
    <w:rsid w:val="2B3C5AAB"/>
    <w:rsid w:val="2B4372BD"/>
    <w:rsid w:val="2B452A68"/>
    <w:rsid w:val="2B4576C0"/>
    <w:rsid w:val="2B481875"/>
    <w:rsid w:val="2B5069D2"/>
    <w:rsid w:val="2B612B62"/>
    <w:rsid w:val="2B614F54"/>
    <w:rsid w:val="2B753BBD"/>
    <w:rsid w:val="2B7D6BB5"/>
    <w:rsid w:val="2B7F47BE"/>
    <w:rsid w:val="2B8054C5"/>
    <w:rsid w:val="2B89500E"/>
    <w:rsid w:val="2B950065"/>
    <w:rsid w:val="2B976850"/>
    <w:rsid w:val="2B9B5B30"/>
    <w:rsid w:val="2BA53244"/>
    <w:rsid w:val="2BA64D00"/>
    <w:rsid w:val="2BB22019"/>
    <w:rsid w:val="2BBE0F1E"/>
    <w:rsid w:val="2BBF6F28"/>
    <w:rsid w:val="2BC660ED"/>
    <w:rsid w:val="2BC900DC"/>
    <w:rsid w:val="2BE94401"/>
    <w:rsid w:val="2BF26D16"/>
    <w:rsid w:val="2BF445A2"/>
    <w:rsid w:val="2BFC7FD1"/>
    <w:rsid w:val="2BFD08C4"/>
    <w:rsid w:val="2BFD22BB"/>
    <w:rsid w:val="2BFE36A5"/>
    <w:rsid w:val="2C014B62"/>
    <w:rsid w:val="2C032CD8"/>
    <w:rsid w:val="2C11436F"/>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A44361"/>
    <w:rsid w:val="2CA44FE4"/>
    <w:rsid w:val="2CC05C38"/>
    <w:rsid w:val="2CD67481"/>
    <w:rsid w:val="2CD80D15"/>
    <w:rsid w:val="2CDD2306"/>
    <w:rsid w:val="2CDE7BC1"/>
    <w:rsid w:val="2CEC060F"/>
    <w:rsid w:val="2CED3D11"/>
    <w:rsid w:val="2CEE645F"/>
    <w:rsid w:val="2CF972DD"/>
    <w:rsid w:val="2D0627D7"/>
    <w:rsid w:val="2D0D0DC7"/>
    <w:rsid w:val="2D103021"/>
    <w:rsid w:val="2D151BC9"/>
    <w:rsid w:val="2D292BE5"/>
    <w:rsid w:val="2D29678C"/>
    <w:rsid w:val="2D2F2CFF"/>
    <w:rsid w:val="2D306EC8"/>
    <w:rsid w:val="2D377E06"/>
    <w:rsid w:val="2D3A01A0"/>
    <w:rsid w:val="2D482420"/>
    <w:rsid w:val="2D6973AD"/>
    <w:rsid w:val="2D6F68D9"/>
    <w:rsid w:val="2D7760EC"/>
    <w:rsid w:val="2D84414F"/>
    <w:rsid w:val="2D8F2781"/>
    <w:rsid w:val="2D922696"/>
    <w:rsid w:val="2D9409F2"/>
    <w:rsid w:val="2D9409FD"/>
    <w:rsid w:val="2DA52FC1"/>
    <w:rsid w:val="2DA70CC0"/>
    <w:rsid w:val="2DB263AF"/>
    <w:rsid w:val="2DB32E20"/>
    <w:rsid w:val="2DBA7589"/>
    <w:rsid w:val="2DC157A8"/>
    <w:rsid w:val="2DC16572"/>
    <w:rsid w:val="2DCB233F"/>
    <w:rsid w:val="2DCE60CD"/>
    <w:rsid w:val="2DD60937"/>
    <w:rsid w:val="2DDB4C35"/>
    <w:rsid w:val="2DEF7382"/>
    <w:rsid w:val="2DF21835"/>
    <w:rsid w:val="2DF621EC"/>
    <w:rsid w:val="2DFE7DE5"/>
    <w:rsid w:val="2E0E18AB"/>
    <w:rsid w:val="2E125449"/>
    <w:rsid w:val="2E18689A"/>
    <w:rsid w:val="2E223C3D"/>
    <w:rsid w:val="2E226994"/>
    <w:rsid w:val="2E2D6D97"/>
    <w:rsid w:val="2E2E1376"/>
    <w:rsid w:val="2E393C0E"/>
    <w:rsid w:val="2E4052D2"/>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4134A"/>
    <w:rsid w:val="2E981CE7"/>
    <w:rsid w:val="2EA77C31"/>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C25836"/>
    <w:rsid w:val="2FCC7756"/>
    <w:rsid w:val="2FD93402"/>
    <w:rsid w:val="2FDD44F0"/>
    <w:rsid w:val="2FE0047C"/>
    <w:rsid w:val="2FE01946"/>
    <w:rsid w:val="2FE37DD1"/>
    <w:rsid w:val="2FE462FB"/>
    <w:rsid w:val="30017608"/>
    <w:rsid w:val="300216E8"/>
    <w:rsid w:val="30047962"/>
    <w:rsid w:val="300D2FF9"/>
    <w:rsid w:val="300E12F2"/>
    <w:rsid w:val="30112B90"/>
    <w:rsid w:val="30310C54"/>
    <w:rsid w:val="3046149B"/>
    <w:rsid w:val="30497D18"/>
    <w:rsid w:val="30500E36"/>
    <w:rsid w:val="30565153"/>
    <w:rsid w:val="30605E6A"/>
    <w:rsid w:val="30640C50"/>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64ABB"/>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E3D8A"/>
    <w:rsid w:val="322152E3"/>
    <w:rsid w:val="32222220"/>
    <w:rsid w:val="322F48E2"/>
    <w:rsid w:val="324118CB"/>
    <w:rsid w:val="32466CF2"/>
    <w:rsid w:val="324B010F"/>
    <w:rsid w:val="324B0EAD"/>
    <w:rsid w:val="325440FF"/>
    <w:rsid w:val="32557876"/>
    <w:rsid w:val="326155E1"/>
    <w:rsid w:val="326769EF"/>
    <w:rsid w:val="327466C1"/>
    <w:rsid w:val="327E4F26"/>
    <w:rsid w:val="328214F6"/>
    <w:rsid w:val="3284518D"/>
    <w:rsid w:val="32883611"/>
    <w:rsid w:val="32907FCD"/>
    <w:rsid w:val="32993AC5"/>
    <w:rsid w:val="32A46494"/>
    <w:rsid w:val="32BB5035"/>
    <w:rsid w:val="32BD6FFF"/>
    <w:rsid w:val="32BF2D77"/>
    <w:rsid w:val="32C22F7B"/>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30BFB"/>
    <w:rsid w:val="337556E6"/>
    <w:rsid w:val="3390570F"/>
    <w:rsid w:val="33975BAE"/>
    <w:rsid w:val="33A73CE7"/>
    <w:rsid w:val="33AA194D"/>
    <w:rsid w:val="33AB5DE5"/>
    <w:rsid w:val="33B03C49"/>
    <w:rsid w:val="33C31FAF"/>
    <w:rsid w:val="33C87CB1"/>
    <w:rsid w:val="33D32A7B"/>
    <w:rsid w:val="33D47231"/>
    <w:rsid w:val="33D679A0"/>
    <w:rsid w:val="33D771F5"/>
    <w:rsid w:val="33EA4460"/>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8689F"/>
    <w:rsid w:val="3468672D"/>
    <w:rsid w:val="347A34A0"/>
    <w:rsid w:val="347A6CF0"/>
    <w:rsid w:val="34822D79"/>
    <w:rsid w:val="34827F87"/>
    <w:rsid w:val="3489363D"/>
    <w:rsid w:val="348C4EDB"/>
    <w:rsid w:val="349A75F8"/>
    <w:rsid w:val="34A06499"/>
    <w:rsid w:val="34A70D88"/>
    <w:rsid w:val="34AE770E"/>
    <w:rsid w:val="34B02841"/>
    <w:rsid w:val="34BC360E"/>
    <w:rsid w:val="34BE7782"/>
    <w:rsid w:val="34CC4737"/>
    <w:rsid w:val="34CE406A"/>
    <w:rsid w:val="34D4418C"/>
    <w:rsid w:val="34DD52CB"/>
    <w:rsid w:val="34DD5E4C"/>
    <w:rsid w:val="34E83338"/>
    <w:rsid w:val="34EA3AC9"/>
    <w:rsid w:val="34F034F6"/>
    <w:rsid w:val="34F84798"/>
    <w:rsid w:val="3514522E"/>
    <w:rsid w:val="35173B52"/>
    <w:rsid w:val="351806A2"/>
    <w:rsid w:val="351F2A87"/>
    <w:rsid w:val="352C636B"/>
    <w:rsid w:val="353169C7"/>
    <w:rsid w:val="35357CE1"/>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46140"/>
    <w:rsid w:val="35BB4244"/>
    <w:rsid w:val="35C96391"/>
    <w:rsid w:val="35CA2A85"/>
    <w:rsid w:val="35D75D81"/>
    <w:rsid w:val="35D812D6"/>
    <w:rsid w:val="35D97CE1"/>
    <w:rsid w:val="35E26994"/>
    <w:rsid w:val="35EE0BEE"/>
    <w:rsid w:val="35F41C6E"/>
    <w:rsid w:val="35FC1334"/>
    <w:rsid w:val="360C4DC0"/>
    <w:rsid w:val="36126550"/>
    <w:rsid w:val="36177EDF"/>
    <w:rsid w:val="361A4C88"/>
    <w:rsid w:val="361E47D3"/>
    <w:rsid w:val="3626673D"/>
    <w:rsid w:val="3627014F"/>
    <w:rsid w:val="363511EC"/>
    <w:rsid w:val="3637414A"/>
    <w:rsid w:val="364525F9"/>
    <w:rsid w:val="364738DB"/>
    <w:rsid w:val="36481187"/>
    <w:rsid w:val="364C70B3"/>
    <w:rsid w:val="3651018A"/>
    <w:rsid w:val="36530C69"/>
    <w:rsid w:val="365C1A62"/>
    <w:rsid w:val="3665323D"/>
    <w:rsid w:val="366F4808"/>
    <w:rsid w:val="3671271D"/>
    <w:rsid w:val="36874E86"/>
    <w:rsid w:val="3688674A"/>
    <w:rsid w:val="36894143"/>
    <w:rsid w:val="368C112B"/>
    <w:rsid w:val="368E14A3"/>
    <w:rsid w:val="368F2A60"/>
    <w:rsid w:val="368F480F"/>
    <w:rsid w:val="36927560"/>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3546"/>
    <w:rsid w:val="370E019C"/>
    <w:rsid w:val="3712762C"/>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853F7"/>
    <w:rsid w:val="37897458"/>
    <w:rsid w:val="379A283B"/>
    <w:rsid w:val="379D5333"/>
    <w:rsid w:val="37A04D9E"/>
    <w:rsid w:val="37A64C99"/>
    <w:rsid w:val="37AE3507"/>
    <w:rsid w:val="37BC5EC5"/>
    <w:rsid w:val="37C404E8"/>
    <w:rsid w:val="37CE3BAD"/>
    <w:rsid w:val="37D1326E"/>
    <w:rsid w:val="37DA62F9"/>
    <w:rsid w:val="37DB79A1"/>
    <w:rsid w:val="37E24C92"/>
    <w:rsid w:val="37EF378D"/>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81F14"/>
    <w:rsid w:val="39174FBC"/>
    <w:rsid w:val="3920043B"/>
    <w:rsid w:val="39290CD1"/>
    <w:rsid w:val="393324B7"/>
    <w:rsid w:val="39374D08"/>
    <w:rsid w:val="393A1B16"/>
    <w:rsid w:val="39461462"/>
    <w:rsid w:val="39513F3D"/>
    <w:rsid w:val="39531813"/>
    <w:rsid w:val="395711DD"/>
    <w:rsid w:val="395C627C"/>
    <w:rsid w:val="39666936"/>
    <w:rsid w:val="39711886"/>
    <w:rsid w:val="397B118B"/>
    <w:rsid w:val="397E37F5"/>
    <w:rsid w:val="39894753"/>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922B6"/>
    <w:rsid w:val="3A8D2E63"/>
    <w:rsid w:val="3A940645"/>
    <w:rsid w:val="3A9B586E"/>
    <w:rsid w:val="3AA700FA"/>
    <w:rsid w:val="3AAE3CB9"/>
    <w:rsid w:val="3AB21E20"/>
    <w:rsid w:val="3AB35224"/>
    <w:rsid w:val="3AB46F3A"/>
    <w:rsid w:val="3AB64A60"/>
    <w:rsid w:val="3AB85D9D"/>
    <w:rsid w:val="3AC828F8"/>
    <w:rsid w:val="3ACB354E"/>
    <w:rsid w:val="3ACB4F7F"/>
    <w:rsid w:val="3ACE045D"/>
    <w:rsid w:val="3AD0772F"/>
    <w:rsid w:val="3AD32F7F"/>
    <w:rsid w:val="3AD86400"/>
    <w:rsid w:val="3AD87AA5"/>
    <w:rsid w:val="3ADB7274"/>
    <w:rsid w:val="3AEF0788"/>
    <w:rsid w:val="3AEF224A"/>
    <w:rsid w:val="3AF26B40"/>
    <w:rsid w:val="3B004C27"/>
    <w:rsid w:val="3B184C72"/>
    <w:rsid w:val="3B1F3A0F"/>
    <w:rsid w:val="3B412CE2"/>
    <w:rsid w:val="3B455DE4"/>
    <w:rsid w:val="3B463708"/>
    <w:rsid w:val="3B4E4251"/>
    <w:rsid w:val="3B594187"/>
    <w:rsid w:val="3B5A3FBB"/>
    <w:rsid w:val="3B702CD0"/>
    <w:rsid w:val="3B704E16"/>
    <w:rsid w:val="3B755E62"/>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C030175"/>
    <w:rsid w:val="3C077371"/>
    <w:rsid w:val="3C0D199A"/>
    <w:rsid w:val="3C1C27EC"/>
    <w:rsid w:val="3C28373B"/>
    <w:rsid w:val="3C285FC6"/>
    <w:rsid w:val="3C2B6125"/>
    <w:rsid w:val="3C311D3C"/>
    <w:rsid w:val="3C316E0F"/>
    <w:rsid w:val="3C397601"/>
    <w:rsid w:val="3C511BB1"/>
    <w:rsid w:val="3C5C4C3C"/>
    <w:rsid w:val="3C7A51F9"/>
    <w:rsid w:val="3C7F0FB2"/>
    <w:rsid w:val="3C8259DF"/>
    <w:rsid w:val="3C861925"/>
    <w:rsid w:val="3C8B2FAF"/>
    <w:rsid w:val="3C8D3BAB"/>
    <w:rsid w:val="3C9022DC"/>
    <w:rsid w:val="3C91725A"/>
    <w:rsid w:val="3C934B3D"/>
    <w:rsid w:val="3CBB0654"/>
    <w:rsid w:val="3CC55EB5"/>
    <w:rsid w:val="3CC61B78"/>
    <w:rsid w:val="3CCA2213"/>
    <w:rsid w:val="3CD809B0"/>
    <w:rsid w:val="3CE323F2"/>
    <w:rsid w:val="3CE70D20"/>
    <w:rsid w:val="3CEB55E0"/>
    <w:rsid w:val="3CF36EA1"/>
    <w:rsid w:val="3CF867D3"/>
    <w:rsid w:val="3D07088A"/>
    <w:rsid w:val="3D0F026C"/>
    <w:rsid w:val="3D134BE2"/>
    <w:rsid w:val="3D1C4269"/>
    <w:rsid w:val="3D1C6F7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E020AB9"/>
    <w:rsid w:val="3E047158"/>
    <w:rsid w:val="3E0E64BB"/>
    <w:rsid w:val="3E1F3E06"/>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C17641"/>
    <w:rsid w:val="3ED447E6"/>
    <w:rsid w:val="3EDB72DD"/>
    <w:rsid w:val="3EE102A9"/>
    <w:rsid w:val="3EE73A21"/>
    <w:rsid w:val="3EE811F3"/>
    <w:rsid w:val="3EE871B2"/>
    <w:rsid w:val="3EEE0FC1"/>
    <w:rsid w:val="3EF23B8C"/>
    <w:rsid w:val="3F0A3769"/>
    <w:rsid w:val="3F0A5071"/>
    <w:rsid w:val="3F1653B1"/>
    <w:rsid w:val="3F1735F3"/>
    <w:rsid w:val="3F190F6E"/>
    <w:rsid w:val="3F1D4758"/>
    <w:rsid w:val="3F1E4B9D"/>
    <w:rsid w:val="3F2226C4"/>
    <w:rsid w:val="3F256EE9"/>
    <w:rsid w:val="3F356CB5"/>
    <w:rsid w:val="3F3D50B3"/>
    <w:rsid w:val="3F3E5D39"/>
    <w:rsid w:val="3F416534"/>
    <w:rsid w:val="3F424D20"/>
    <w:rsid w:val="3F4657D3"/>
    <w:rsid w:val="3F5C0DD0"/>
    <w:rsid w:val="3F5E59F9"/>
    <w:rsid w:val="3F696BFF"/>
    <w:rsid w:val="3F7153F9"/>
    <w:rsid w:val="3F727EFE"/>
    <w:rsid w:val="3F7A6934"/>
    <w:rsid w:val="3F8032BB"/>
    <w:rsid w:val="3F80388E"/>
    <w:rsid w:val="3F827DC4"/>
    <w:rsid w:val="3F853804"/>
    <w:rsid w:val="3F902CB7"/>
    <w:rsid w:val="3FC84440"/>
    <w:rsid w:val="3FD44FCD"/>
    <w:rsid w:val="3FD83E8A"/>
    <w:rsid w:val="3FFA4D2D"/>
    <w:rsid w:val="40095632"/>
    <w:rsid w:val="400A36E7"/>
    <w:rsid w:val="400E7545"/>
    <w:rsid w:val="40126718"/>
    <w:rsid w:val="402355DF"/>
    <w:rsid w:val="4029495B"/>
    <w:rsid w:val="402E126E"/>
    <w:rsid w:val="40302BB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E24EC"/>
    <w:rsid w:val="40D7424E"/>
    <w:rsid w:val="40DD0E36"/>
    <w:rsid w:val="40E46E5C"/>
    <w:rsid w:val="40F303CB"/>
    <w:rsid w:val="40F90B55"/>
    <w:rsid w:val="41063FF2"/>
    <w:rsid w:val="410C3FBE"/>
    <w:rsid w:val="410D61DB"/>
    <w:rsid w:val="41115C57"/>
    <w:rsid w:val="41181710"/>
    <w:rsid w:val="411C61E6"/>
    <w:rsid w:val="41224327"/>
    <w:rsid w:val="413367EF"/>
    <w:rsid w:val="41381C6C"/>
    <w:rsid w:val="413D1EF4"/>
    <w:rsid w:val="413D3165"/>
    <w:rsid w:val="41457AA4"/>
    <w:rsid w:val="41472FCE"/>
    <w:rsid w:val="4147740F"/>
    <w:rsid w:val="414A2574"/>
    <w:rsid w:val="41505427"/>
    <w:rsid w:val="415154E2"/>
    <w:rsid w:val="415622A2"/>
    <w:rsid w:val="415F4688"/>
    <w:rsid w:val="41620B77"/>
    <w:rsid w:val="416C5182"/>
    <w:rsid w:val="416F1F96"/>
    <w:rsid w:val="417116E0"/>
    <w:rsid w:val="41766D0B"/>
    <w:rsid w:val="417F09C3"/>
    <w:rsid w:val="41910018"/>
    <w:rsid w:val="41920E17"/>
    <w:rsid w:val="41981988"/>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D7E51"/>
    <w:rsid w:val="421361D5"/>
    <w:rsid w:val="42144D4F"/>
    <w:rsid w:val="42146F8E"/>
    <w:rsid w:val="421E3EFC"/>
    <w:rsid w:val="42220634"/>
    <w:rsid w:val="42222018"/>
    <w:rsid w:val="42253294"/>
    <w:rsid w:val="4226688D"/>
    <w:rsid w:val="42274448"/>
    <w:rsid w:val="42334BE8"/>
    <w:rsid w:val="42380453"/>
    <w:rsid w:val="42433BAD"/>
    <w:rsid w:val="42610060"/>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58C0"/>
    <w:rsid w:val="42C65997"/>
    <w:rsid w:val="42D24401"/>
    <w:rsid w:val="42DE1F4F"/>
    <w:rsid w:val="42E74C6D"/>
    <w:rsid w:val="42ED7CC6"/>
    <w:rsid w:val="42F1523C"/>
    <w:rsid w:val="42F554CE"/>
    <w:rsid w:val="42F8373B"/>
    <w:rsid w:val="42FF07D8"/>
    <w:rsid w:val="43032966"/>
    <w:rsid w:val="43122487"/>
    <w:rsid w:val="43124B66"/>
    <w:rsid w:val="431B0F22"/>
    <w:rsid w:val="43273465"/>
    <w:rsid w:val="432865EF"/>
    <w:rsid w:val="432B6955"/>
    <w:rsid w:val="432C156E"/>
    <w:rsid w:val="432E041B"/>
    <w:rsid w:val="4332264F"/>
    <w:rsid w:val="433229ED"/>
    <w:rsid w:val="433361C5"/>
    <w:rsid w:val="433E13D0"/>
    <w:rsid w:val="4365015C"/>
    <w:rsid w:val="43660FE1"/>
    <w:rsid w:val="43681119"/>
    <w:rsid w:val="436E413C"/>
    <w:rsid w:val="437224E2"/>
    <w:rsid w:val="43727203"/>
    <w:rsid w:val="437471CD"/>
    <w:rsid w:val="43796691"/>
    <w:rsid w:val="437C4538"/>
    <w:rsid w:val="438020AF"/>
    <w:rsid w:val="43817741"/>
    <w:rsid w:val="439671DC"/>
    <w:rsid w:val="439742C4"/>
    <w:rsid w:val="439A5FCD"/>
    <w:rsid w:val="439E1974"/>
    <w:rsid w:val="439E42E3"/>
    <w:rsid w:val="43A26833"/>
    <w:rsid w:val="43A77B03"/>
    <w:rsid w:val="43A917C6"/>
    <w:rsid w:val="43AB19E8"/>
    <w:rsid w:val="43AD17C6"/>
    <w:rsid w:val="43B9736F"/>
    <w:rsid w:val="43BB6C43"/>
    <w:rsid w:val="43C74730"/>
    <w:rsid w:val="43CD740D"/>
    <w:rsid w:val="43D32636"/>
    <w:rsid w:val="43D45F57"/>
    <w:rsid w:val="43DA1B60"/>
    <w:rsid w:val="43E330CE"/>
    <w:rsid w:val="43F01651"/>
    <w:rsid w:val="43F17DC7"/>
    <w:rsid w:val="43F65861"/>
    <w:rsid w:val="43FD4A49"/>
    <w:rsid w:val="440F1486"/>
    <w:rsid w:val="44125FF0"/>
    <w:rsid w:val="44153221"/>
    <w:rsid w:val="441D43A6"/>
    <w:rsid w:val="442C5D28"/>
    <w:rsid w:val="443171F6"/>
    <w:rsid w:val="44394E21"/>
    <w:rsid w:val="444572BC"/>
    <w:rsid w:val="44483951"/>
    <w:rsid w:val="445D7CFA"/>
    <w:rsid w:val="446A6BF4"/>
    <w:rsid w:val="446E63AB"/>
    <w:rsid w:val="44711DA1"/>
    <w:rsid w:val="447F4114"/>
    <w:rsid w:val="44811688"/>
    <w:rsid w:val="44825DD6"/>
    <w:rsid w:val="44844F8B"/>
    <w:rsid w:val="448571E5"/>
    <w:rsid w:val="449563AF"/>
    <w:rsid w:val="44A40A6B"/>
    <w:rsid w:val="44A60CB1"/>
    <w:rsid w:val="44B26B08"/>
    <w:rsid w:val="44C6292F"/>
    <w:rsid w:val="44D97E60"/>
    <w:rsid w:val="44DE283E"/>
    <w:rsid w:val="44DF4D9E"/>
    <w:rsid w:val="44E701F2"/>
    <w:rsid w:val="44F245D0"/>
    <w:rsid w:val="44FB21A7"/>
    <w:rsid w:val="450A6A4E"/>
    <w:rsid w:val="451263AA"/>
    <w:rsid w:val="451606EB"/>
    <w:rsid w:val="451738E9"/>
    <w:rsid w:val="451A45C1"/>
    <w:rsid w:val="451B0D27"/>
    <w:rsid w:val="451F07BF"/>
    <w:rsid w:val="45230F44"/>
    <w:rsid w:val="4527537C"/>
    <w:rsid w:val="45280308"/>
    <w:rsid w:val="452B27F6"/>
    <w:rsid w:val="452B3510"/>
    <w:rsid w:val="452B6700"/>
    <w:rsid w:val="452F45DD"/>
    <w:rsid w:val="452F6AFC"/>
    <w:rsid w:val="45331610"/>
    <w:rsid w:val="453B4799"/>
    <w:rsid w:val="453B7338"/>
    <w:rsid w:val="45480DF2"/>
    <w:rsid w:val="4552502D"/>
    <w:rsid w:val="455B46DA"/>
    <w:rsid w:val="458028AC"/>
    <w:rsid w:val="4584740B"/>
    <w:rsid w:val="458E0BAD"/>
    <w:rsid w:val="45961CCD"/>
    <w:rsid w:val="459A2DEB"/>
    <w:rsid w:val="45A1384A"/>
    <w:rsid w:val="45A201F8"/>
    <w:rsid w:val="45A26DFF"/>
    <w:rsid w:val="45AA5591"/>
    <w:rsid w:val="45B80C0E"/>
    <w:rsid w:val="45BF2BDA"/>
    <w:rsid w:val="45C4064D"/>
    <w:rsid w:val="45C800D7"/>
    <w:rsid w:val="45CF5A3E"/>
    <w:rsid w:val="45D30E0C"/>
    <w:rsid w:val="45D52F9E"/>
    <w:rsid w:val="45DC5976"/>
    <w:rsid w:val="45DD06F6"/>
    <w:rsid w:val="45E17A11"/>
    <w:rsid w:val="45E90090"/>
    <w:rsid w:val="45E91A4F"/>
    <w:rsid w:val="45EB352E"/>
    <w:rsid w:val="45FE1A61"/>
    <w:rsid w:val="4601278C"/>
    <w:rsid w:val="4606073D"/>
    <w:rsid w:val="461632EE"/>
    <w:rsid w:val="461676D0"/>
    <w:rsid w:val="46193BB2"/>
    <w:rsid w:val="461E16E1"/>
    <w:rsid w:val="461F140D"/>
    <w:rsid w:val="46386553"/>
    <w:rsid w:val="46466382"/>
    <w:rsid w:val="46492C2C"/>
    <w:rsid w:val="465C65EC"/>
    <w:rsid w:val="465D0EBC"/>
    <w:rsid w:val="46736F8A"/>
    <w:rsid w:val="46783C63"/>
    <w:rsid w:val="467B38AA"/>
    <w:rsid w:val="469568AC"/>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7016C6C"/>
    <w:rsid w:val="47077BD7"/>
    <w:rsid w:val="47086ED3"/>
    <w:rsid w:val="47095F17"/>
    <w:rsid w:val="47133829"/>
    <w:rsid w:val="471565BB"/>
    <w:rsid w:val="471C7883"/>
    <w:rsid w:val="473A35ED"/>
    <w:rsid w:val="473D7507"/>
    <w:rsid w:val="473E0DB8"/>
    <w:rsid w:val="4746506D"/>
    <w:rsid w:val="47476708"/>
    <w:rsid w:val="47492F1E"/>
    <w:rsid w:val="475A2820"/>
    <w:rsid w:val="47625413"/>
    <w:rsid w:val="476875BC"/>
    <w:rsid w:val="476F32F6"/>
    <w:rsid w:val="477E2B3E"/>
    <w:rsid w:val="478A7D6B"/>
    <w:rsid w:val="479417E9"/>
    <w:rsid w:val="47956D35"/>
    <w:rsid w:val="47A434E2"/>
    <w:rsid w:val="47C22AE5"/>
    <w:rsid w:val="47C5536D"/>
    <w:rsid w:val="47C65666"/>
    <w:rsid w:val="47C75839"/>
    <w:rsid w:val="47CC7396"/>
    <w:rsid w:val="47CD36FF"/>
    <w:rsid w:val="47D45CC4"/>
    <w:rsid w:val="47DC60AC"/>
    <w:rsid w:val="47DE0504"/>
    <w:rsid w:val="47EF750D"/>
    <w:rsid w:val="47F17265"/>
    <w:rsid w:val="47F308F3"/>
    <w:rsid w:val="47F91839"/>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B273D6"/>
    <w:rsid w:val="48B603A0"/>
    <w:rsid w:val="48C31FD0"/>
    <w:rsid w:val="48C65230"/>
    <w:rsid w:val="48C76253"/>
    <w:rsid w:val="48C93D5B"/>
    <w:rsid w:val="48CC4B57"/>
    <w:rsid w:val="48CD5CCF"/>
    <w:rsid w:val="48CE031E"/>
    <w:rsid w:val="48DD3786"/>
    <w:rsid w:val="48E27B4C"/>
    <w:rsid w:val="48F57672"/>
    <w:rsid w:val="48F90C30"/>
    <w:rsid w:val="490003D1"/>
    <w:rsid w:val="490966A2"/>
    <w:rsid w:val="490A448A"/>
    <w:rsid w:val="490C0DCE"/>
    <w:rsid w:val="490C50BF"/>
    <w:rsid w:val="49121B22"/>
    <w:rsid w:val="49164D77"/>
    <w:rsid w:val="491C4E95"/>
    <w:rsid w:val="491D5CAA"/>
    <w:rsid w:val="49233C45"/>
    <w:rsid w:val="49250F03"/>
    <w:rsid w:val="49341447"/>
    <w:rsid w:val="493D4A1E"/>
    <w:rsid w:val="493E010F"/>
    <w:rsid w:val="494815C9"/>
    <w:rsid w:val="494E5DA2"/>
    <w:rsid w:val="49576E05"/>
    <w:rsid w:val="495C4D88"/>
    <w:rsid w:val="4962016E"/>
    <w:rsid w:val="49635DB3"/>
    <w:rsid w:val="49676EE0"/>
    <w:rsid w:val="49764102"/>
    <w:rsid w:val="49781E26"/>
    <w:rsid w:val="4979115F"/>
    <w:rsid w:val="4979158B"/>
    <w:rsid w:val="49833BBA"/>
    <w:rsid w:val="498521CD"/>
    <w:rsid w:val="498D00C7"/>
    <w:rsid w:val="498E7890"/>
    <w:rsid w:val="49AF4568"/>
    <w:rsid w:val="49B71F2C"/>
    <w:rsid w:val="49B9553A"/>
    <w:rsid w:val="49CD3E81"/>
    <w:rsid w:val="49CF262B"/>
    <w:rsid w:val="49D9732B"/>
    <w:rsid w:val="49DE3EDA"/>
    <w:rsid w:val="49E902F3"/>
    <w:rsid w:val="49E942B3"/>
    <w:rsid w:val="49F707FF"/>
    <w:rsid w:val="49F70BB9"/>
    <w:rsid w:val="49FC134C"/>
    <w:rsid w:val="49FD6919"/>
    <w:rsid w:val="4A010AB8"/>
    <w:rsid w:val="4A081DEC"/>
    <w:rsid w:val="4A125EE4"/>
    <w:rsid w:val="4A13120E"/>
    <w:rsid w:val="4A1B23CC"/>
    <w:rsid w:val="4A235E6A"/>
    <w:rsid w:val="4A294FFD"/>
    <w:rsid w:val="4A3370A6"/>
    <w:rsid w:val="4A360DA7"/>
    <w:rsid w:val="4A4C3A6F"/>
    <w:rsid w:val="4A4C5106"/>
    <w:rsid w:val="4A50775E"/>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75D87"/>
    <w:rsid w:val="4AB8308F"/>
    <w:rsid w:val="4ABE526B"/>
    <w:rsid w:val="4ABF63CA"/>
    <w:rsid w:val="4AD33EE7"/>
    <w:rsid w:val="4AD55520"/>
    <w:rsid w:val="4AE07217"/>
    <w:rsid w:val="4AE157E1"/>
    <w:rsid w:val="4AEA27EC"/>
    <w:rsid w:val="4AF150A5"/>
    <w:rsid w:val="4AF3476B"/>
    <w:rsid w:val="4AF602D5"/>
    <w:rsid w:val="4AF636DD"/>
    <w:rsid w:val="4AF66371"/>
    <w:rsid w:val="4AF8077D"/>
    <w:rsid w:val="4AFA4E2C"/>
    <w:rsid w:val="4AFE0713"/>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832EB7"/>
    <w:rsid w:val="4B844BF6"/>
    <w:rsid w:val="4B8B09BD"/>
    <w:rsid w:val="4B8F2EDE"/>
    <w:rsid w:val="4B966813"/>
    <w:rsid w:val="4B9B18FE"/>
    <w:rsid w:val="4BA351AA"/>
    <w:rsid w:val="4BB12FD7"/>
    <w:rsid w:val="4BB2747D"/>
    <w:rsid w:val="4BBC5983"/>
    <w:rsid w:val="4BC31375"/>
    <w:rsid w:val="4BCB596E"/>
    <w:rsid w:val="4BCC68CC"/>
    <w:rsid w:val="4BD102CE"/>
    <w:rsid w:val="4BE03758"/>
    <w:rsid w:val="4BE470C8"/>
    <w:rsid w:val="4BE6307C"/>
    <w:rsid w:val="4BE8741D"/>
    <w:rsid w:val="4BEC3715"/>
    <w:rsid w:val="4BF93867"/>
    <w:rsid w:val="4BF97542"/>
    <w:rsid w:val="4C03387D"/>
    <w:rsid w:val="4C0E110B"/>
    <w:rsid w:val="4C0E2D26"/>
    <w:rsid w:val="4C0F311B"/>
    <w:rsid w:val="4C110E7C"/>
    <w:rsid w:val="4C176F5D"/>
    <w:rsid w:val="4C196A5A"/>
    <w:rsid w:val="4C1E32F4"/>
    <w:rsid w:val="4C2555A1"/>
    <w:rsid w:val="4C372E39"/>
    <w:rsid w:val="4C4A5008"/>
    <w:rsid w:val="4C522685"/>
    <w:rsid w:val="4C5502BE"/>
    <w:rsid w:val="4C606DB5"/>
    <w:rsid w:val="4C646C0F"/>
    <w:rsid w:val="4C6C0CAC"/>
    <w:rsid w:val="4C6E4F14"/>
    <w:rsid w:val="4C724775"/>
    <w:rsid w:val="4C7B155E"/>
    <w:rsid w:val="4C7D5CAE"/>
    <w:rsid w:val="4C8623A2"/>
    <w:rsid w:val="4C9478A8"/>
    <w:rsid w:val="4C95064C"/>
    <w:rsid w:val="4C9B6454"/>
    <w:rsid w:val="4C9E3C93"/>
    <w:rsid w:val="4CAB20A2"/>
    <w:rsid w:val="4CAF7561"/>
    <w:rsid w:val="4CC42BE1"/>
    <w:rsid w:val="4CCC1EC1"/>
    <w:rsid w:val="4CD0311C"/>
    <w:rsid w:val="4CD74710"/>
    <w:rsid w:val="4CE758D1"/>
    <w:rsid w:val="4CE853F7"/>
    <w:rsid w:val="4CEA0AD6"/>
    <w:rsid w:val="4CF023F8"/>
    <w:rsid w:val="4CF24964"/>
    <w:rsid w:val="4CFD291A"/>
    <w:rsid w:val="4CFD6A65"/>
    <w:rsid w:val="4D0A1B8C"/>
    <w:rsid w:val="4D155D24"/>
    <w:rsid w:val="4D1749F4"/>
    <w:rsid w:val="4D191715"/>
    <w:rsid w:val="4D292E6F"/>
    <w:rsid w:val="4D2B12E8"/>
    <w:rsid w:val="4D2B2F7F"/>
    <w:rsid w:val="4D327BC8"/>
    <w:rsid w:val="4D39745C"/>
    <w:rsid w:val="4D3C060B"/>
    <w:rsid w:val="4D4443C2"/>
    <w:rsid w:val="4D5362BA"/>
    <w:rsid w:val="4D5756EE"/>
    <w:rsid w:val="4D5D6AE7"/>
    <w:rsid w:val="4D665BEB"/>
    <w:rsid w:val="4D867633"/>
    <w:rsid w:val="4D875139"/>
    <w:rsid w:val="4D8D5092"/>
    <w:rsid w:val="4D8E5B3E"/>
    <w:rsid w:val="4D90494F"/>
    <w:rsid w:val="4D9228D6"/>
    <w:rsid w:val="4D9237BE"/>
    <w:rsid w:val="4D9A68AF"/>
    <w:rsid w:val="4D9A7815"/>
    <w:rsid w:val="4DA22C22"/>
    <w:rsid w:val="4DA37F9B"/>
    <w:rsid w:val="4DAB049A"/>
    <w:rsid w:val="4DB645A8"/>
    <w:rsid w:val="4DB84F31"/>
    <w:rsid w:val="4DBC7B9F"/>
    <w:rsid w:val="4DD35C4F"/>
    <w:rsid w:val="4DD6066A"/>
    <w:rsid w:val="4DDE2722"/>
    <w:rsid w:val="4DE05270"/>
    <w:rsid w:val="4DF30F26"/>
    <w:rsid w:val="4DF31F94"/>
    <w:rsid w:val="4DF45CEC"/>
    <w:rsid w:val="4DF740D0"/>
    <w:rsid w:val="4DFC7583"/>
    <w:rsid w:val="4DFD0C89"/>
    <w:rsid w:val="4E065762"/>
    <w:rsid w:val="4E116F5D"/>
    <w:rsid w:val="4E1232E2"/>
    <w:rsid w:val="4E152412"/>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8862BB"/>
    <w:rsid w:val="4E920523"/>
    <w:rsid w:val="4E943020"/>
    <w:rsid w:val="4EA00CA6"/>
    <w:rsid w:val="4EBD0262"/>
    <w:rsid w:val="4EC22A8C"/>
    <w:rsid w:val="4ED5147F"/>
    <w:rsid w:val="4ED82D9F"/>
    <w:rsid w:val="4EF913FF"/>
    <w:rsid w:val="4EF9701E"/>
    <w:rsid w:val="4EFE2249"/>
    <w:rsid w:val="4F0969CF"/>
    <w:rsid w:val="4F0A19E7"/>
    <w:rsid w:val="4F1A00F4"/>
    <w:rsid w:val="4F1B7208"/>
    <w:rsid w:val="4F1D2EA8"/>
    <w:rsid w:val="4F211769"/>
    <w:rsid w:val="4F2D34B9"/>
    <w:rsid w:val="4F42646A"/>
    <w:rsid w:val="4F493B1E"/>
    <w:rsid w:val="4F4D19E4"/>
    <w:rsid w:val="4F4E3AF6"/>
    <w:rsid w:val="4F517383"/>
    <w:rsid w:val="4F5346D7"/>
    <w:rsid w:val="4F586614"/>
    <w:rsid w:val="4F5970FC"/>
    <w:rsid w:val="4F5A0A34"/>
    <w:rsid w:val="4F5A1113"/>
    <w:rsid w:val="4F5D3ABD"/>
    <w:rsid w:val="4F620943"/>
    <w:rsid w:val="4F653CDB"/>
    <w:rsid w:val="4F6D1BD6"/>
    <w:rsid w:val="4F7113F7"/>
    <w:rsid w:val="4F7648C7"/>
    <w:rsid w:val="4F7F43D6"/>
    <w:rsid w:val="4F8668DA"/>
    <w:rsid w:val="4F873E34"/>
    <w:rsid w:val="4F9165F0"/>
    <w:rsid w:val="4F9B6F25"/>
    <w:rsid w:val="4FAA2D7A"/>
    <w:rsid w:val="4FAF1F53"/>
    <w:rsid w:val="4FC32735"/>
    <w:rsid w:val="4FC34172"/>
    <w:rsid w:val="4FC36743"/>
    <w:rsid w:val="4FD751DA"/>
    <w:rsid w:val="4FE151D2"/>
    <w:rsid w:val="4FE56AFB"/>
    <w:rsid w:val="4FEE2B8B"/>
    <w:rsid w:val="4FF145A1"/>
    <w:rsid w:val="4FF906B6"/>
    <w:rsid w:val="4FF9299C"/>
    <w:rsid w:val="4FF9746A"/>
    <w:rsid w:val="4FFB0E25"/>
    <w:rsid w:val="4FFD566F"/>
    <w:rsid w:val="50082051"/>
    <w:rsid w:val="50151D35"/>
    <w:rsid w:val="501A73E7"/>
    <w:rsid w:val="50221E39"/>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A22CD9"/>
    <w:rsid w:val="50B436E0"/>
    <w:rsid w:val="50B65F23"/>
    <w:rsid w:val="50BA6F1F"/>
    <w:rsid w:val="50BB4726"/>
    <w:rsid w:val="50C95097"/>
    <w:rsid w:val="50CE5494"/>
    <w:rsid w:val="50D7229F"/>
    <w:rsid w:val="50D824AF"/>
    <w:rsid w:val="50DC6685"/>
    <w:rsid w:val="50E15345"/>
    <w:rsid w:val="50ED2550"/>
    <w:rsid w:val="50F60EA5"/>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F2738"/>
    <w:rsid w:val="51561969"/>
    <w:rsid w:val="51567B9B"/>
    <w:rsid w:val="515D59EF"/>
    <w:rsid w:val="51701D35"/>
    <w:rsid w:val="517D4DC2"/>
    <w:rsid w:val="51846843"/>
    <w:rsid w:val="51861AC4"/>
    <w:rsid w:val="51864B3F"/>
    <w:rsid w:val="51922A94"/>
    <w:rsid w:val="519B68EE"/>
    <w:rsid w:val="51A6177C"/>
    <w:rsid w:val="51A7779A"/>
    <w:rsid w:val="51AB1D14"/>
    <w:rsid w:val="51B67BA8"/>
    <w:rsid w:val="51BE3FFD"/>
    <w:rsid w:val="51C16FCD"/>
    <w:rsid w:val="51C57EC1"/>
    <w:rsid w:val="51DB5DB4"/>
    <w:rsid w:val="51DF63F5"/>
    <w:rsid w:val="51EC3535"/>
    <w:rsid w:val="51F04373"/>
    <w:rsid w:val="51F53D5C"/>
    <w:rsid w:val="51F577C4"/>
    <w:rsid w:val="51FD2503"/>
    <w:rsid w:val="52024F0B"/>
    <w:rsid w:val="520A6BE9"/>
    <w:rsid w:val="520D24E1"/>
    <w:rsid w:val="521C5209"/>
    <w:rsid w:val="522228B1"/>
    <w:rsid w:val="52230D34"/>
    <w:rsid w:val="52261089"/>
    <w:rsid w:val="522B2DFA"/>
    <w:rsid w:val="522C608A"/>
    <w:rsid w:val="522D4002"/>
    <w:rsid w:val="522F4C78"/>
    <w:rsid w:val="5233653E"/>
    <w:rsid w:val="52351034"/>
    <w:rsid w:val="523B5E1E"/>
    <w:rsid w:val="524C1962"/>
    <w:rsid w:val="524F58BE"/>
    <w:rsid w:val="52526C26"/>
    <w:rsid w:val="5259105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652B"/>
    <w:rsid w:val="52D06FE2"/>
    <w:rsid w:val="52D15C16"/>
    <w:rsid w:val="52DF558A"/>
    <w:rsid w:val="5300648B"/>
    <w:rsid w:val="530230CD"/>
    <w:rsid w:val="530729CC"/>
    <w:rsid w:val="530D1303"/>
    <w:rsid w:val="53115006"/>
    <w:rsid w:val="53117ADB"/>
    <w:rsid w:val="53226403"/>
    <w:rsid w:val="53236AF5"/>
    <w:rsid w:val="532D72C8"/>
    <w:rsid w:val="532E7431"/>
    <w:rsid w:val="53303BA4"/>
    <w:rsid w:val="533672CD"/>
    <w:rsid w:val="5338046B"/>
    <w:rsid w:val="534F428A"/>
    <w:rsid w:val="5351022A"/>
    <w:rsid w:val="53525701"/>
    <w:rsid w:val="535B114A"/>
    <w:rsid w:val="535D65AD"/>
    <w:rsid w:val="53615697"/>
    <w:rsid w:val="536A5B30"/>
    <w:rsid w:val="536F4D1B"/>
    <w:rsid w:val="53737443"/>
    <w:rsid w:val="537C50A9"/>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37D7F"/>
    <w:rsid w:val="53FA3887"/>
    <w:rsid w:val="5400353C"/>
    <w:rsid w:val="54014B46"/>
    <w:rsid w:val="54031BB5"/>
    <w:rsid w:val="54044174"/>
    <w:rsid w:val="54071E2A"/>
    <w:rsid w:val="54082D02"/>
    <w:rsid w:val="540D0414"/>
    <w:rsid w:val="540E305A"/>
    <w:rsid w:val="540F0C26"/>
    <w:rsid w:val="540F5A72"/>
    <w:rsid w:val="54187AB4"/>
    <w:rsid w:val="54272CC6"/>
    <w:rsid w:val="542919A7"/>
    <w:rsid w:val="54295925"/>
    <w:rsid w:val="542A5FE7"/>
    <w:rsid w:val="54326406"/>
    <w:rsid w:val="543B4551"/>
    <w:rsid w:val="543F1C5C"/>
    <w:rsid w:val="544230C5"/>
    <w:rsid w:val="54433507"/>
    <w:rsid w:val="544C23C8"/>
    <w:rsid w:val="544F3523"/>
    <w:rsid w:val="54587C12"/>
    <w:rsid w:val="54594C1B"/>
    <w:rsid w:val="545A0EA4"/>
    <w:rsid w:val="54662927"/>
    <w:rsid w:val="54755D12"/>
    <w:rsid w:val="54762367"/>
    <w:rsid w:val="547C78E6"/>
    <w:rsid w:val="547E1F94"/>
    <w:rsid w:val="54852D1F"/>
    <w:rsid w:val="548C233A"/>
    <w:rsid w:val="549247FE"/>
    <w:rsid w:val="549A79DF"/>
    <w:rsid w:val="549D4AAB"/>
    <w:rsid w:val="54A20DC9"/>
    <w:rsid w:val="54B80036"/>
    <w:rsid w:val="54BC08A8"/>
    <w:rsid w:val="54C730CC"/>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F426F"/>
    <w:rsid w:val="55511311"/>
    <w:rsid w:val="55597DDE"/>
    <w:rsid w:val="555B36E7"/>
    <w:rsid w:val="555D2611"/>
    <w:rsid w:val="55616260"/>
    <w:rsid w:val="556524DF"/>
    <w:rsid w:val="556E454B"/>
    <w:rsid w:val="556E5219"/>
    <w:rsid w:val="55701244"/>
    <w:rsid w:val="55710991"/>
    <w:rsid w:val="557E290D"/>
    <w:rsid w:val="55833339"/>
    <w:rsid w:val="558F6A6B"/>
    <w:rsid w:val="55905000"/>
    <w:rsid w:val="559432B0"/>
    <w:rsid w:val="55967CC8"/>
    <w:rsid w:val="559C52E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F3D8B"/>
    <w:rsid w:val="5618252A"/>
    <w:rsid w:val="56195FC4"/>
    <w:rsid w:val="562154B5"/>
    <w:rsid w:val="56230B63"/>
    <w:rsid w:val="5623104D"/>
    <w:rsid w:val="56237053"/>
    <w:rsid w:val="56312D95"/>
    <w:rsid w:val="564135C2"/>
    <w:rsid w:val="564156CE"/>
    <w:rsid w:val="564A657C"/>
    <w:rsid w:val="565359EF"/>
    <w:rsid w:val="56674144"/>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879E1"/>
    <w:rsid w:val="56AB5FD3"/>
    <w:rsid w:val="56B0417B"/>
    <w:rsid w:val="56B970F3"/>
    <w:rsid w:val="56C91D8C"/>
    <w:rsid w:val="56CD148A"/>
    <w:rsid w:val="56D36451"/>
    <w:rsid w:val="56D40F85"/>
    <w:rsid w:val="56E11FFE"/>
    <w:rsid w:val="56E64265"/>
    <w:rsid w:val="56E86641"/>
    <w:rsid w:val="56EB5326"/>
    <w:rsid w:val="56F075CD"/>
    <w:rsid w:val="56F40992"/>
    <w:rsid w:val="56F86941"/>
    <w:rsid w:val="56FE672C"/>
    <w:rsid w:val="570659F4"/>
    <w:rsid w:val="57074E77"/>
    <w:rsid w:val="570761E2"/>
    <w:rsid w:val="57082475"/>
    <w:rsid w:val="57083A41"/>
    <w:rsid w:val="570C7F57"/>
    <w:rsid w:val="57204035"/>
    <w:rsid w:val="57221369"/>
    <w:rsid w:val="57285916"/>
    <w:rsid w:val="57290C0E"/>
    <w:rsid w:val="572B49D7"/>
    <w:rsid w:val="572E0F57"/>
    <w:rsid w:val="5734530F"/>
    <w:rsid w:val="574C17A5"/>
    <w:rsid w:val="575006E4"/>
    <w:rsid w:val="57534343"/>
    <w:rsid w:val="57551634"/>
    <w:rsid w:val="575639D5"/>
    <w:rsid w:val="57645A74"/>
    <w:rsid w:val="576636BF"/>
    <w:rsid w:val="57854515"/>
    <w:rsid w:val="57861FCD"/>
    <w:rsid w:val="578D47BC"/>
    <w:rsid w:val="57974DC0"/>
    <w:rsid w:val="579F0BA0"/>
    <w:rsid w:val="57AE1F2F"/>
    <w:rsid w:val="57B53024"/>
    <w:rsid w:val="57B74699"/>
    <w:rsid w:val="57B91DA5"/>
    <w:rsid w:val="57BA2125"/>
    <w:rsid w:val="57C0097E"/>
    <w:rsid w:val="57C4141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86CFE"/>
    <w:rsid w:val="585B12CA"/>
    <w:rsid w:val="58686926"/>
    <w:rsid w:val="58717B8D"/>
    <w:rsid w:val="587A6B3A"/>
    <w:rsid w:val="587F1E9D"/>
    <w:rsid w:val="58826B9D"/>
    <w:rsid w:val="58864E26"/>
    <w:rsid w:val="58895060"/>
    <w:rsid w:val="588F09B8"/>
    <w:rsid w:val="58907170"/>
    <w:rsid w:val="589D6D3E"/>
    <w:rsid w:val="58A2254E"/>
    <w:rsid w:val="58A40D0E"/>
    <w:rsid w:val="58A837E2"/>
    <w:rsid w:val="58A90AFC"/>
    <w:rsid w:val="58CB07D2"/>
    <w:rsid w:val="58D565A1"/>
    <w:rsid w:val="58E752C5"/>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F1EAF"/>
    <w:rsid w:val="59567CA3"/>
    <w:rsid w:val="595B266A"/>
    <w:rsid w:val="59610918"/>
    <w:rsid w:val="59706BE5"/>
    <w:rsid w:val="597102E2"/>
    <w:rsid w:val="5971043F"/>
    <w:rsid w:val="59775992"/>
    <w:rsid w:val="59874D97"/>
    <w:rsid w:val="59882F10"/>
    <w:rsid w:val="598A01F7"/>
    <w:rsid w:val="598B41B8"/>
    <w:rsid w:val="59932A2E"/>
    <w:rsid w:val="599C17F6"/>
    <w:rsid w:val="59A33563"/>
    <w:rsid w:val="59A636BE"/>
    <w:rsid w:val="59AB5D9E"/>
    <w:rsid w:val="59AB748D"/>
    <w:rsid w:val="59B06563"/>
    <w:rsid w:val="59B4260A"/>
    <w:rsid w:val="59B816D5"/>
    <w:rsid w:val="59BC3B74"/>
    <w:rsid w:val="59BC693F"/>
    <w:rsid w:val="59BD4892"/>
    <w:rsid w:val="59C00F19"/>
    <w:rsid w:val="59C31014"/>
    <w:rsid w:val="59C641DF"/>
    <w:rsid w:val="59C65335"/>
    <w:rsid w:val="59C65FAD"/>
    <w:rsid w:val="59C86701"/>
    <w:rsid w:val="59D13544"/>
    <w:rsid w:val="59D33D8C"/>
    <w:rsid w:val="59D46F33"/>
    <w:rsid w:val="59D800F7"/>
    <w:rsid w:val="59DA6F5F"/>
    <w:rsid w:val="59DD570D"/>
    <w:rsid w:val="59EC42D6"/>
    <w:rsid w:val="59F24DAB"/>
    <w:rsid w:val="59FC62E8"/>
    <w:rsid w:val="5A0203C4"/>
    <w:rsid w:val="5A03242E"/>
    <w:rsid w:val="5A0E104D"/>
    <w:rsid w:val="5A107ECC"/>
    <w:rsid w:val="5A161379"/>
    <w:rsid w:val="5A161770"/>
    <w:rsid w:val="5A17252D"/>
    <w:rsid w:val="5A182429"/>
    <w:rsid w:val="5A192E08"/>
    <w:rsid w:val="5A22309B"/>
    <w:rsid w:val="5A2A3B31"/>
    <w:rsid w:val="5A4906FA"/>
    <w:rsid w:val="5A4C6244"/>
    <w:rsid w:val="5A5A7D8D"/>
    <w:rsid w:val="5A6A1749"/>
    <w:rsid w:val="5A6A3DF7"/>
    <w:rsid w:val="5A6E7CBA"/>
    <w:rsid w:val="5A751A89"/>
    <w:rsid w:val="5A753B98"/>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102527"/>
    <w:rsid w:val="5B134716"/>
    <w:rsid w:val="5B1A029B"/>
    <w:rsid w:val="5B205367"/>
    <w:rsid w:val="5B227055"/>
    <w:rsid w:val="5B2870B8"/>
    <w:rsid w:val="5B2A44C3"/>
    <w:rsid w:val="5B3772C6"/>
    <w:rsid w:val="5B4012DE"/>
    <w:rsid w:val="5B4473E5"/>
    <w:rsid w:val="5B4E5D18"/>
    <w:rsid w:val="5B542B19"/>
    <w:rsid w:val="5B5E09DF"/>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C013209"/>
    <w:rsid w:val="5C0164C2"/>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6A1A7F"/>
    <w:rsid w:val="5C702A11"/>
    <w:rsid w:val="5C7D6B40"/>
    <w:rsid w:val="5C804CB1"/>
    <w:rsid w:val="5C860032"/>
    <w:rsid w:val="5C875E04"/>
    <w:rsid w:val="5C8B0D11"/>
    <w:rsid w:val="5C8E5CFA"/>
    <w:rsid w:val="5C9A4ED2"/>
    <w:rsid w:val="5CA066E2"/>
    <w:rsid w:val="5CA853BB"/>
    <w:rsid w:val="5CAA048E"/>
    <w:rsid w:val="5CB04B26"/>
    <w:rsid w:val="5CC2508E"/>
    <w:rsid w:val="5CC6525F"/>
    <w:rsid w:val="5CC95C81"/>
    <w:rsid w:val="5CCC13C0"/>
    <w:rsid w:val="5CD05197"/>
    <w:rsid w:val="5CD2552C"/>
    <w:rsid w:val="5CD3605E"/>
    <w:rsid w:val="5CEA1BB3"/>
    <w:rsid w:val="5CEB0235"/>
    <w:rsid w:val="5CEF45A9"/>
    <w:rsid w:val="5CFC41B2"/>
    <w:rsid w:val="5D0441E6"/>
    <w:rsid w:val="5D086F45"/>
    <w:rsid w:val="5D0A457F"/>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C56C7"/>
    <w:rsid w:val="5E1D1B4E"/>
    <w:rsid w:val="5E1D2120"/>
    <w:rsid w:val="5E1D4E3C"/>
    <w:rsid w:val="5E2427B4"/>
    <w:rsid w:val="5E27069A"/>
    <w:rsid w:val="5E2A4017"/>
    <w:rsid w:val="5E347D3F"/>
    <w:rsid w:val="5E3D23BC"/>
    <w:rsid w:val="5E472105"/>
    <w:rsid w:val="5E4A5A51"/>
    <w:rsid w:val="5E4C1E64"/>
    <w:rsid w:val="5E4C4C10"/>
    <w:rsid w:val="5E4D0988"/>
    <w:rsid w:val="5E63698F"/>
    <w:rsid w:val="5E6463FD"/>
    <w:rsid w:val="5E752EF9"/>
    <w:rsid w:val="5E7D7630"/>
    <w:rsid w:val="5E7F4165"/>
    <w:rsid w:val="5E8813AD"/>
    <w:rsid w:val="5E88724D"/>
    <w:rsid w:val="5E8C0EF7"/>
    <w:rsid w:val="5E99597B"/>
    <w:rsid w:val="5E9D2B78"/>
    <w:rsid w:val="5EA15444"/>
    <w:rsid w:val="5EB34391"/>
    <w:rsid w:val="5EB47F29"/>
    <w:rsid w:val="5EB76270"/>
    <w:rsid w:val="5EBF22C3"/>
    <w:rsid w:val="5EC677DA"/>
    <w:rsid w:val="5ED45D33"/>
    <w:rsid w:val="5ED92027"/>
    <w:rsid w:val="5EE53F70"/>
    <w:rsid w:val="5EE92277"/>
    <w:rsid w:val="5EEB5EAC"/>
    <w:rsid w:val="5EF51E1E"/>
    <w:rsid w:val="5EF7101F"/>
    <w:rsid w:val="5EFF503E"/>
    <w:rsid w:val="5F087C88"/>
    <w:rsid w:val="5F0A72A8"/>
    <w:rsid w:val="5F0C0E36"/>
    <w:rsid w:val="5F130392"/>
    <w:rsid w:val="5F143F93"/>
    <w:rsid w:val="5F156626"/>
    <w:rsid w:val="5F2814C5"/>
    <w:rsid w:val="5F3662EB"/>
    <w:rsid w:val="5F441B00"/>
    <w:rsid w:val="5F487ACD"/>
    <w:rsid w:val="5F4B322A"/>
    <w:rsid w:val="5F531FCE"/>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10473"/>
    <w:rsid w:val="5FB12993"/>
    <w:rsid w:val="5FB47E6E"/>
    <w:rsid w:val="5FB962D5"/>
    <w:rsid w:val="5FBC7AF6"/>
    <w:rsid w:val="5FCD1D80"/>
    <w:rsid w:val="5FCD523E"/>
    <w:rsid w:val="5FCE38DA"/>
    <w:rsid w:val="5FD21144"/>
    <w:rsid w:val="5FD36BC0"/>
    <w:rsid w:val="5FD622E3"/>
    <w:rsid w:val="5FE06C43"/>
    <w:rsid w:val="5FE10DF8"/>
    <w:rsid w:val="5FE60617"/>
    <w:rsid w:val="5FE66D44"/>
    <w:rsid w:val="5FEF2AB4"/>
    <w:rsid w:val="5FF147CE"/>
    <w:rsid w:val="600E31ED"/>
    <w:rsid w:val="60107A63"/>
    <w:rsid w:val="60137EF7"/>
    <w:rsid w:val="60152BED"/>
    <w:rsid w:val="601823AC"/>
    <w:rsid w:val="601825F6"/>
    <w:rsid w:val="603242D9"/>
    <w:rsid w:val="6038472C"/>
    <w:rsid w:val="603F3F85"/>
    <w:rsid w:val="60427936"/>
    <w:rsid w:val="604719D7"/>
    <w:rsid w:val="604F2971"/>
    <w:rsid w:val="605B3F9A"/>
    <w:rsid w:val="60602707"/>
    <w:rsid w:val="606A551E"/>
    <w:rsid w:val="606D317C"/>
    <w:rsid w:val="6072339A"/>
    <w:rsid w:val="60740B96"/>
    <w:rsid w:val="60875206"/>
    <w:rsid w:val="60881FE9"/>
    <w:rsid w:val="608E4738"/>
    <w:rsid w:val="608F1B31"/>
    <w:rsid w:val="609151FB"/>
    <w:rsid w:val="60967C35"/>
    <w:rsid w:val="609B5F08"/>
    <w:rsid w:val="60AC7B66"/>
    <w:rsid w:val="60B14442"/>
    <w:rsid w:val="60B17065"/>
    <w:rsid w:val="60BA77D7"/>
    <w:rsid w:val="60C025B5"/>
    <w:rsid w:val="60C23BAE"/>
    <w:rsid w:val="60CC028A"/>
    <w:rsid w:val="60CD222B"/>
    <w:rsid w:val="60D21624"/>
    <w:rsid w:val="60DD4245"/>
    <w:rsid w:val="60E53EF7"/>
    <w:rsid w:val="60EB71B9"/>
    <w:rsid w:val="60EF2310"/>
    <w:rsid w:val="60FA358A"/>
    <w:rsid w:val="6105134E"/>
    <w:rsid w:val="610565F9"/>
    <w:rsid w:val="6112728D"/>
    <w:rsid w:val="61131A15"/>
    <w:rsid w:val="61174A84"/>
    <w:rsid w:val="61184007"/>
    <w:rsid w:val="61192629"/>
    <w:rsid w:val="612770EE"/>
    <w:rsid w:val="61316F6A"/>
    <w:rsid w:val="613876CD"/>
    <w:rsid w:val="614215EB"/>
    <w:rsid w:val="61497B2C"/>
    <w:rsid w:val="614D27CE"/>
    <w:rsid w:val="615C247C"/>
    <w:rsid w:val="615D673B"/>
    <w:rsid w:val="6166423A"/>
    <w:rsid w:val="616B553A"/>
    <w:rsid w:val="61760025"/>
    <w:rsid w:val="61783C9A"/>
    <w:rsid w:val="617A3609"/>
    <w:rsid w:val="61862848"/>
    <w:rsid w:val="618D67E7"/>
    <w:rsid w:val="618F19E3"/>
    <w:rsid w:val="6194205D"/>
    <w:rsid w:val="619A2CC5"/>
    <w:rsid w:val="619B6549"/>
    <w:rsid w:val="619F1CCA"/>
    <w:rsid w:val="61A03F43"/>
    <w:rsid w:val="61A30EF3"/>
    <w:rsid w:val="61B47F74"/>
    <w:rsid w:val="61B62540"/>
    <w:rsid w:val="61BC1174"/>
    <w:rsid w:val="61BF4DD9"/>
    <w:rsid w:val="61C07EA9"/>
    <w:rsid w:val="61DE3D15"/>
    <w:rsid w:val="61E348DC"/>
    <w:rsid w:val="61E93B7D"/>
    <w:rsid w:val="61ED34A6"/>
    <w:rsid w:val="61FF4E24"/>
    <w:rsid w:val="620D46B6"/>
    <w:rsid w:val="62135653"/>
    <w:rsid w:val="62196DE1"/>
    <w:rsid w:val="62361E5F"/>
    <w:rsid w:val="624F5D2F"/>
    <w:rsid w:val="625314A1"/>
    <w:rsid w:val="62536426"/>
    <w:rsid w:val="625422E5"/>
    <w:rsid w:val="62606EDB"/>
    <w:rsid w:val="626547AE"/>
    <w:rsid w:val="62665122"/>
    <w:rsid w:val="62704D8B"/>
    <w:rsid w:val="62797205"/>
    <w:rsid w:val="62831DAD"/>
    <w:rsid w:val="628A1441"/>
    <w:rsid w:val="62AA3E21"/>
    <w:rsid w:val="62AB5E16"/>
    <w:rsid w:val="62AE2AAC"/>
    <w:rsid w:val="62B16496"/>
    <w:rsid w:val="62BA6BA1"/>
    <w:rsid w:val="62C01969"/>
    <w:rsid w:val="62C57469"/>
    <w:rsid w:val="62D46F10"/>
    <w:rsid w:val="62E413C1"/>
    <w:rsid w:val="62F15FE1"/>
    <w:rsid w:val="63020128"/>
    <w:rsid w:val="630A71DD"/>
    <w:rsid w:val="63113EF9"/>
    <w:rsid w:val="63234A46"/>
    <w:rsid w:val="63324C59"/>
    <w:rsid w:val="633921EE"/>
    <w:rsid w:val="633C1855"/>
    <w:rsid w:val="633F5973"/>
    <w:rsid w:val="63442381"/>
    <w:rsid w:val="634836E3"/>
    <w:rsid w:val="63492DD9"/>
    <w:rsid w:val="6349397A"/>
    <w:rsid w:val="634A2566"/>
    <w:rsid w:val="6350742C"/>
    <w:rsid w:val="63625D08"/>
    <w:rsid w:val="6365410F"/>
    <w:rsid w:val="636C0FEC"/>
    <w:rsid w:val="636C555A"/>
    <w:rsid w:val="63750F39"/>
    <w:rsid w:val="63775B72"/>
    <w:rsid w:val="63791CC3"/>
    <w:rsid w:val="637F4A15"/>
    <w:rsid w:val="638D55AC"/>
    <w:rsid w:val="638F6C7B"/>
    <w:rsid w:val="6391670C"/>
    <w:rsid w:val="63A84EC6"/>
    <w:rsid w:val="63AA5EAF"/>
    <w:rsid w:val="63AF5A0B"/>
    <w:rsid w:val="63B66A74"/>
    <w:rsid w:val="63C45EE3"/>
    <w:rsid w:val="63CF054E"/>
    <w:rsid w:val="63D80CF3"/>
    <w:rsid w:val="63D850D2"/>
    <w:rsid w:val="63D91A8B"/>
    <w:rsid w:val="63DC4C88"/>
    <w:rsid w:val="63DD5EB4"/>
    <w:rsid w:val="63E34F0E"/>
    <w:rsid w:val="63E6449C"/>
    <w:rsid w:val="64060E2E"/>
    <w:rsid w:val="640F56D4"/>
    <w:rsid w:val="641174AC"/>
    <w:rsid w:val="64196C93"/>
    <w:rsid w:val="641C77E2"/>
    <w:rsid w:val="64260DA1"/>
    <w:rsid w:val="64302039"/>
    <w:rsid w:val="64307141"/>
    <w:rsid w:val="644D555D"/>
    <w:rsid w:val="645A5484"/>
    <w:rsid w:val="646422D0"/>
    <w:rsid w:val="646577F6"/>
    <w:rsid w:val="646C600B"/>
    <w:rsid w:val="64720B91"/>
    <w:rsid w:val="6474555D"/>
    <w:rsid w:val="64747F00"/>
    <w:rsid w:val="6478722C"/>
    <w:rsid w:val="647C1D24"/>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EF09EB"/>
    <w:rsid w:val="64FE54CA"/>
    <w:rsid w:val="650D4497"/>
    <w:rsid w:val="65143D44"/>
    <w:rsid w:val="651613E3"/>
    <w:rsid w:val="651B15B0"/>
    <w:rsid w:val="6527143B"/>
    <w:rsid w:val="652877C0"/>
    <w:rsid w:val="652D6818"/>
    <w:rsid w:val="652E506F"/>
    <w:rsid w:val="65301A6D"/>
    <w:rsid w:val="6544019C"/>
    <w:rsid w:val="655645C6"/>
    <w:rsid w:val="655A20AF"/>
    <w:rsid w:val="655A6F7A"/>
    <w:rsid w:val="65651F67"/>
    <w:rsid w:val="65675C55"/>
    <w:rsid w:val="658610D4"/>
    <w:rsid w:val="65907900"/>
    <w:rsid w:val="65914FDE"/>
    <w:rsid w:val="65925828"/>
    <w:rsid w:val="65933E63"/>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A1DAF"/>
    <w:rsid w:val="663F7CD5"/>
    <w:rsid w:val="6646530B"/>
    <w:rsid w:val="664E57C2"/>
    <w:rsid w:val="6659717E"/>
    <w:rsid w:val="665B69E6"/>
    <w:rsid w:val="666C09E6"/>
    <w:rsid w:val="66733313"/>
    <w:rsid w:val="66756614"/>
    <w:rsid w:val="66772A46"/>
    <w:rsid w:val="6678468A"/>
    <w:rsid w:val="66942245"/>
    <w:rsid w:val="6697175E"/>
    <w:rsid w:val="66C10466"/>
    <w:rsid w:val="66CE6A4F"/>
    <w:rsid w:val="66D5657A"/>
    <w:rsid w:val="66E20AA0"/>
    <w:rsid w:val="66E75E1D"/>
    <w:rsid w:val="66E93F74"/>
    <w:rsid w:val="66F4471C"/>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C52C2"/>
    <w:rsid w:val="67AD1C66"/>
    <w:rsid w:val="67B0281E"/>
    <w:rsid w:val="67B94B53"/>
    <w:rsid w:val="67C362FC"/>
    <w:rsid w:val="67C82D03"/>
    <w:rsid w:val="67C9453B"/>
    <w:rsid w:val="67D930A6"/>
    <w:rsid w:val="67DF2C3C"/>
    <w:rsid w:val="67E25149"/>
    <w:rsid w:val="67E72B1F"/>
    <w:rsid w:val="67E81911"/>
    <w:rsid w:val="67F416E9"/>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DD4C4A"/>
    <w:rsid w:val="68E53790"/>
    <w:rsid w:val="68E70CB0"/>
    <w:rsid w:val="68E945E3"/>
    <w:rsid w:val="68EE35C4"/>
    <w:rsid w:val="68EE7A0C"/>
    <w:rsid w:val="68F265E7"/>
    <w:rsid w:val="691705A6"/>
    <w:rsid w:val="6919795E"/>
    <w:rsid w:val="69220E6D"/>
    <w:rsid w:val="69292E9A"/>
    <w:rsid w:val="692A1746"/>
    <w:rsid w:val="692B3CF4"/>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E3630"/>
    <w:rsid w:val="6A576555"/>
    <w:rsid w:val="6A6A5B03"/>
    <w:rsid w:val="6A75729C"/>
    <w:rsid w:val="6A7A0307"/>
    <w:rsid w:val="6A800DA0"/>
    <w:rsid w:val="6A85018B"/>
    <w:rsid w:val="6A8E34EA"/>
    <w:rsid w:val="6A9260A0"/>
    <w:rsid w:val="6A965AC7"/>
    <w:rsid w:val="6AA51915"/>
    <w:rsid w:val="6AA53E33"/>
    <w:rsid w:val="6AA675D8"/>
    <w:rsid w:val="6AAA163C"/>
    <w:rsid w:val="6AAA4522"/>
    <w:rsid w:val="6AAC6A84"/>
    <w:rsid w:val="6AB04778"/>
    <w:rsid w:val="6AB21D70"/>
    <w:rsid w:val="6AB609BA"/>
    <w:rsid w:val="6AB712C6"/>
    <w:rsid w:val="6ABA4E13"/>
    <w:rsid w:val="6AC0155F"/>
    <w:rsid w:val="6ACD525D"/>
    <w:rsid w:val="6ACF6FBC"/>
    <w:rsid w:val="6AD04D3A"/>
    <w:rsid w:val="6AD5622B"/>
    <w:rsid w:val="6AE144D8"/>
    <w:rsid w:val="6AE246BC"/>
    <w:rsid w:val="6AF23FE1"/>
    <w:rsid w:val="6AF40E2B"/>
    <w:rsid w:val="6AF55884"/>
    <w:rsid w:val="6B0062F1"/>
    <w:rsid w:val="6B074014"/>
    <w:rsid w:val="6B093B96"/>
    <w:rsid w:val="6B0A35C0"/>
    <w:rsid w:val="6B0F53AB"/>
    <w:rsid w:val="6B1C0707"/>
    <w:rsid w:val="6B1C748A"/>
    <w:rsid w:val="6B1F4553"/>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75532F"/>
    <w:rsid w:val="6B806768"/>
    <w:rsid w:val="6B806915"/>
    <w:rsid w:val="6B9820B2"/>
    <w:rsid w:val="6BA2165B"/>
    <w:rsid w:val="6BA53001"/>
    <w:rsid w:val="6BA76443"/>
    <w:rsid w:val="6BA90D4B"/>
    <w:rsid w:val="6BA94E3B"/>
    <w:rsid w:val="6BAD4940"/>
    <w:rsid w:val="6BB437D8"/>
    <w:rsid w:val="6BC428E4"/>
    <w:rsid w:val="6BC518B7"/>
    <w:rsid w:val="6BD912D9"/>
    <w:rsid w:val="6BE15BFB"/>
    <w:rsid w:val="6BE16F80"/>
    <w:rsid w:val="6BE64BDE"/>
    <w:rsid w:val="6BEC17E0"/>
    <w:rsid w:val="6BEC4622"/>
    <w:rsid w:val="6BF16DF6"/>
    <w:rsid w:val="6BF44D68"/>
    <w:rsid w:val="6BF56082"/>
    <w:rsid w:val="6BFD3396"/>
    <w:rsid w:val="6BFE241A"/>
    <w:rsid w:val="6BFF2C3D"/>
    <w:rsid w:val="6C0651DA"/>
    <w:rsid w:val="6C0841AF"/>
    <w:rsid w:val="6C111246"/>
    <w:rsid w:val="6C1503DA"/>
    <w:rsid w:val="6C270A6A"/>
    <w:rsid w:val="6C2D0006"/>
    <w:rsid w:val="6C2F0285"/>
    <w:rsid w:val="6C456249"/>
    <w:rsid w:val="6C740278"/>
    <w:rsid w:val="6C7C6EBB"/>
    <w:rsid w:val="6C830396"/>
    <w:rsid w:val="6C83516B"/>
    <w:rsid w:val="6C8B3985"/>
    <w:rsid w:val="6C9070DD"/>
    <w:rsid w:val="6C947A3E"/>
    <w:rsid w:val="6CA31FE4"/>
    <w:rsid w:val="6CA5001B"/>
    <w:rsid w:val="6CA62A89"/>
    <w:rsid w:val="6CB8420F"/>
    <w:rsid w:val="6CBD7344"/>
    <w:rsid w:val="6CBE2B63"/>
    <w:rsid w:val="6CC70577"/>
    <w:rsid w:val="6CC938CF"/>
    <w:rsid w:val="6CD36118"/>
    <w:rsid w:val="6CD63E85"/>
    <w:rsid w:val="6CDD6BCD"/>
    <w:rsid w:val="6CDE126B"/>
    <w:rsid w:val="6CE13ADD"/>
    <w:rsid w:val="6CE50439"/>
    <w:rsid w:val="6CE6585A"/>
    <w:rsid w:val="6CF66EFC"/>
    <w:rsid w:val="6CFE375E"/>
    <w:rsid w:val="6CFF1520"/>
    <w:rsid w:val="6D0020A2"/>
    <w:rsid w:val="6D0973A5"/>
    <w:rsid w:val="6D0E29E2"/>
    <w:rsid w:val="6D10380E"/>
    <w:rsid w:val="6D1234C8"/>
    <w:rsid w:val="6D1C6600"/>
    <w:rsid w:val="6D1D3696"/>
    <w:rsid w:val="6D2B0F02"/>
    <w:rsid w:val="6D3225DB"/>
    <w:rsid w:val="6D335185"/>
    <w:rsid w:val="6D395176"/>
    <w:rsid w:val="6D4844F6"/>
    <w:rsid w:val="6D6303D9"/>
    <w:rsid w:val="6D653565"/>
    <w:rsid w:val="6D69698D"/>
    <w:rsid w:val="6D83105A"/>
    <w:rsid w:val="6D84476F"/>
    <w:rsid w:val="6D8C41DE"/>
    <w:rsid w:val="6D8E4225"/>
    <w:rsid w:val="6D8E720B"/>
    <w:rsid w:val="6D922CB2"/>
    <w:rsid w:val="6D953770"/>
    <w:rsid w:val="6D976EF3"/>
    <w:rsid w:val="6D981C1F"/>
    <w:rsid w:val="6D9F3E14"/>
    <w:rsid w:val="6DA206CC"/>
    <w:rsid w:val="6DAC4971"/>
    <w:rsid w:val="6DB17879"/>
    <w:rsid w:val="6DD11F86"/>
    <w:rsid w:val="6DD230A6"/>
    <w:rsid w:val="6DD726D2"/>
    <w:rsid w:val="6DD90392"/>
    <w:rsid w:val="6DD95AE1"/>
    <w:rsid w:val="6DDE0FF0"/>
    <w:rsid w:val="6DEE320C"/>
    <w:rsid w:val="6DEF7365"/>
    <w:rsid w:val="6DF47BBB"/>
    <w:rsid w:val="6DF66946"/>
    <w:rsid w:val="6DFB0974"/>
    <w:rsid w:val="6DFB5F08"/>
    <w:rsid w:val="6DFF19CC"/>
    <w:rsid w:val="6E086724"/>
    <w:rsid w:val="6E1528F3"/>
    <w:rsid w:val="6E162B44"/>
    <w:rsid w:val="6E25680D"/>
    <w:rsid w:val="6E2F622C"/>
    <w:rsid w:val="6E384C50"/>
    <w:rsid w:val="6E3A4613"/>
    <w:rsid w:val="6E3C3C8E"/>
    <w:rsid w:val="6E3D7F5A"/>
    <w:rsid w:val="6E4C47B8"/>
    <w:rsid w:val="6E5E7306"/>
    <w:rsid w:val="6E64426E"/>
    <w:rsid w:val="6E66546E"/>
    <w:rsid w:val="6E692FB3"/>
    <w:rsid w:val="6E7837FF"/>
    <w:rsid w:val="6E9056C6"/>
    <w:rsid w:val="6E944EBF"/>
    <w:rsid w:val="6EA01C8E"/>
    <w:rsid w:val="6EA133EF"/>
    <w:rsid w:val="6EA3717F"/>
    <w:rsid w:val="6EA6211A"/>
    <w:rsid w:val="6EB360C5"/>
    <w:rsid w:val="6EB91922"/>
    <w:rsid w:val="6EBB5ED2"/>
    <w:rsid w:val="6EBC50B8"/>
    <w:rsid w:val="6ED65E9A"/>
    <w:rsid w:val="6EE169A3"/>
    <w:rsid w:val="6EEF035A"/>
    <w:rsid w:val="6EF958F1"/>
    <w:rsid w:val="6F015B8D"/>
    <w:rsid w:val="6F10699D"/>
    <w:rsid w:val="6F167501"/>
    <w:rsid w:val="6F1D29D0"/>
    <w:rsid w:val="6F1E43A6"/>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637F8"/>
    <w:rsid w:val="6FD02E60"/>
    <w:rsid w:val="6FD72CCE"/>
    <w:rsid w:val="6FDD1909"/>
    <w:rsid w:val="6FE32EFA"/>
    <w:rsid w:val="6FE77B44"/>
    <w:rsid w:val="6FE96150"/>
    <w:rsid w:val="6FF227AE"/>
    <w:rsid w:val="6FF62C2D"/>
    <w:rsid w:val="6FFA2EEA"/>
    <w:rsid w:val="6FFB5D62"/>
    <w:rsid w:val="70055FB9"/>
    <w:rsid w:val="70082C61"/>
    <w:rsid w:val="700A66D9"/>
    <w:rsid w:val="702459EC"/>
    <w:rsid w:val="702501BF"/>
    <w:rsid w:val="70292E75"/>
    <w:rsid w:val="702F37EA"/>
    <w:rsid w:val="70333E81"/>
    <w:rsid w:val="703774B4"/>
    <w:rsid w:val="70396D45"/>
    <w:rsid w:val="703C6965"/>
    <w:rsid w:val="70480676"/>
    <w:rsid w:val="70506CBA"/>
    <w:rsid w:val="70510F12"/>
    <w:rsid w:val="705A7660"/>
    <w:rsid w:val="706C4AA7"/>
    <w:rsid w:val="707A3C49"/>
    <w:rsid w:val="707D6EAA"/>
    <w:rsid w:val="707F0E75"/>
    <w:rsid w:val="708A6AA8"/>
    <w:rsid w:val="70922112"/>
    <w:rsid w:val="70985E4C"/>
    <w:rsid w:val="709D2EAA"/>
    <w:rsid w:val="70A83EE6"/>
    <w:rsid w:val="70AD212D"/>
    <w:rsid w:val="70B566F6"/>
    <w:rsid w:val="70C32899"/>
    <w:rsid w:val="70C571FE"/>
    <w:rsid w:val="70C607AE"/>
    <w:rsid w:val="70C60F8B"/>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141057"/>
    <w:rsid w:val="711B3313"/>
    <w:rsid w:val="7122572F"/>
    <w:rsid w:val="71232B5C"/>
    <w:rsid w:val="71243B3C"/>
    <w:rsid w:val="712938C7"/>
    <w:rsid w:val="7134597F"/>
    <w:rsid w:val="7137192A"/>
    <w:rsid w:val="713D048A"/>
    <w:rsid w:val="713D0DCB"/>
    <w:rsid w:val="71477AB6"/>
    <w:rsid w:val="7148708A"/>
    <w:rsid w:val="714929EC"/>
    <w:rsid w:val="71542301"/>
    <w:rsid w:val="71554626"/>
    <w:rsid w:val="7159714B"/>
    <w:rsid w:val="71601542"/>
    <w:rsid w:val="717540AE"/>
    <w:rsid w:val="718062CA"/>
    <w:rsid w:val="71885501"/>
    <w:rsid w:val="718F79D2"/>
    <w:rsid w:val="71902C0D"/>
    <w:rsid w:val="71956476"/>
    <w:rsid w:val="719F1D68"/>
    <w:rsid w:val="71A96FAF"/>
    <w:rsid w:val="71AD7C63"/>
    <w:rsid w:val="71B049C3"/>
    <w:rsid w:val="71B765E7"/>
    <w:rsid w:val="71BD4205"/>
    <w:rsid w:val="71BF0399"/>
    <w:rsid w:val="71CF3736"/>
    <w:rsid w:val="71D33ABB"/>
    <w:rsid w:val="71D71157"/>
    <w:rsid w:val="71E75B48"/>
    <w:rsid w:val="7205386D"/>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72B3"/>
    <w:rsid w:val="72CA264F"/>
    <w:rsid w:val="72CC32DA"/>
    <w:rsid w:val="72CC6A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92BE4"/>
    <w:rsid w:val="731C35D9"/>
    <w:rsid w:val="731E07BF"/>
    <w:rsid w:val="731F4362"/>
    <w:rsid w:val="732F69E9"/>
    <w:rsid w:val="73343940"/>
    <w:rsid w:val="7338428B"/>
    <w:rsid w:val="73413DB6"/>
    <w:rsid w:val="73504D4A"/>
    <w:rsid w:val="735E399C"/>
    <w:rsid w:val="736D3B07"/>
    <w:rsid w:val="738D5656"/>
    <w:rsid w:val="73935D80"/>
    <w:rsid w:val="739B3740"/>
    <w:rsid w:val="739C3A16"/>
    <w:rsid w:val="739D47D6"/>
    <w:rsid w:val="739E5A9F"/>
    <w:rsid w:val="73A958D5"/>
    <w:rsid w:val="73B426E2"/>
    <w:rsid w:val="73C6500C"/>
    <w:rsid w:val="73CF3731"/>
    <w:rsid w:val="73DF2180"/>
    <w:rsid w:val="73E346D9"/>
    <w:rsid w:val="73E4368C"/>
    <w:rsid w:val="73F136E7"/>
    <w:rsid w:val="73F14D3F"/>
    <w:rsid w:val="73F514E6"/>
    <w:rsid w:val="73F82909"/>
    <w:rsid w:val="73FB198B"/>
    <w:rsid w:val="73FD0D20"/>
    <w:rsid w:val="73FE5B68"/>
    <w:rsid w:val="740274B7"/>
    <w:rsid w:val="740C585E"/>
    <w:rsid w:val="740C6A95"/>
    <w:rsid w:val="741110E4"/>
    <w:rsid w:val="7414694F"/>
    <w:rsid w:val="74151258"/>
    <w:rsid w:val="74180B27"/>
    <w:rsid w:val="741D1307"/>
    <w:rsid w:val="74252DF5"/>
    <w:rsid w:val="742D20B1"/>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D105A"/>
    <w:rsid w:val="74CE0F93"/>
    <w:rsid w:val="74CF40A6"/>
    <w:rsid w:val="74D17287"/>
    <w:rsid w:val="74D75403"/>
    <w:rsid w:val="74E57CBB"/>
    <w:rsid w:val="74E667A8"/>
    <w:rsid w:val="74E86450"/>
    <w:rsid w:val="74E912A8"/>
    <w:rsid w:val="74F1789A"/>
    <w:rsid w:val="74F737BC"/>
    <w:rsid w:val="74F75707"/>
    <w:rsid w:val="74F90BF2"/>
    <w:rsid w:val="7504796A"/>
    <w:rsid w:val="75094540"/>
    <w:rsid w:val="750B5F50"/>
    <w:rsid w:val="750F1C1A"/>
    <w:rsid w:val="75220020"/>
    <w:rsid w:val="753E5BAE"/>
    <w:rsid w:val="754A7B14"/>
    <w:rsid w:val="754E52B9"/>
    <w:rsid w:val="75520D13"/>
    <w:rsid w:val="757721CB"/>
    <w:rsid w:val="75805669"/>
    <w:rsid w:val="75834AF7"/>
    <w:rsid w:val="75847030"/>
    <w:rsid w:val="758739F0"/>
    <w:rsid w:val="758F74BD"/>
    <w:rsid w:val="75957C9B"/>
    <w:rsid w:val="759E6DD1"/>
    <w:rsid w:val="75A44C93"/>
    <w:rsid w:val="75AB2697"/>
    <w:rsid w:val="75AD1FE0"/>
    <w:rsid w:val="75AE28DF"/>
    <w:rsid w:val="75B428E3"/>
    <w:rsid w:val="75B73A43"/>
    <w:rsid w:val="75BA542E"/>
    <w:rsid w:val="75BD2CCE"/>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F3DC0"/>
    <w:rsid w:val="76864DE9"/>
    <w:rsid w:val="768D17AC"/>
    <w:rsid w:val="76926DE7"/>
    <w:rsid w:val="769913BF"/>
    <w:rsid w:val="76A373F0"/>
    <w:rsid w:val="76A9202F"/>
    <w:rsid w:val="76AF4713"/>
    <w:rsid w:val="76D1785B"/>
    <w:rsid w:val="76D54004"/>
    <w:rsid w:val="76D7108B"/>
    <w:rsid w:val="76E45398"/>
    <w:rsid w:val="76E539FB"/>
    <w:rsid w:val="76E94496"/>
    <w:rsid w:val="76F20CBD"/>
    <w:rsid w:val="76F459ED"/>
    <w:rsid w:val="76F737F3"/>
    <w:rsid w:val="76F9062A"/>
    <w:rsid w:val="76FB4FCD"/>
    <w:rsid w:val="77025E6B"/>
    <w:rsid w:val="77112674"/>
    <w:rsid w:val="77177644"/>
    <w:rsid w:val="77197F14"/>
    <w:rsid w:val="77237533"/>
    <w:rsid w:val="772B321B"/>
    <w:rsid w:val="773A180E"/>
    <w:rsid w:val="7757406A"/>
    <w:rsid w:val="776834D0"/>
    <w:rsid w:val="776D790C"/>
    <w:rsid w:val="7770259E"/>
    <w:rsid w:val="777270A8"/>
    <w:rsid w:val="77727D8C"/>
    <w:rsid w:val="777A0EDA"/>
    <w:rsid w:val="777A1FEA"/>
    <w:rsid w:val="777D7FBA"/>
    <w:rsid w:val="77983E37"/>
    <w:rsid w:val="779B5F59"/>
    <w:rsid w:val="779C5E72"/>
    <w:rsid w:val="77AB379F"/>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2213C4"/>
    <w:rsid w:val="78282783"/>
    <w:rsid w:val="783A42F2"/>
    <w:rsid w:val="78456DA1"/>
    <w:rsid w:val="784B6519"/>
    <w:rsid w:val="78551D51"/>
    <w:rsid w:val="785823B5"/>
    <w:rsid w:val="78591D97"/>
    <w:rsid w:val="785A420E"/>
    <w:rsid w:val="785A794A"/>
    <w:rsid w:val="785E3A65"/>
    <w:rsid w:val="785E6CF5"/>
    <w:rsid w:val="786348BD"/>
    <w:rsid w:val="7883527A"/>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E3D88"/>
    <w:rsid w:val="790F26B5"/>
    <w:rsid w:val="79162F0C"/>
    <w:rsid w:val="79173195"/>
    <w:rsid w:val="791E2446"/>
    <w:rsid w:val="79206F6D"/>
    <w:rsid w:val="792C0D20"/>
    <w:rsid w:val="79305497"/>
    <w:rsid w:val="79363CE2"/>
    <w:rsid w:val="79387FF8"/>
    <w:rsid w:val="793F0E67"/>
    <w:rsid w:val="793F7983"/>
    <w:rsid w:val="79446861"/>
    <w:rsid w:val="794835E0"/>
    <w:rsid w:val="79486809"/>
    <w:rsid w:val="795221A9"/>
    <w:rsid w:val="795B0D9A"/>
    <w:rsid w:val="796125D6"/>
    <w:rsid w:val="79634253"/>
    <w:rsid w:val="796926C2"/>
    <w:rsid w:val="797812F4"/>
    <w:rsid w:val="79795A73"/>
    <w:rsid w:val="797D07AD"/>
    <w:rsid w:val="79843DDF"/>
    <w:rsid w:val="79900665"/>
    <w:rsid w:val="79A237F5"/>
    <w:rsid w:val="79B12C7A"/>
    <w:rsid w:val="79B340C0"/>
    <w:rsid w:val="79B63ACC"/>
    <w:rsid w:val="79BE09EB"/>
    <w:rsid w:val="79CC6C13"/>
    <w:rsid w:val="79CD3B77"/>
    <w:rsid w:val="79D31050"/>
    <w:rsid w:val="79DA35C0"/>
    <w:rsid w:val="79E07FA5"/>
    <w:rsid w:val="79E70027"/>
    <w:rsid w:val="79E85C3E"/>
    <w:rsid w:val="79F67CF8"/>
    <w:rsid w:val="79F72CF6"/>
    <w:rsid w:val="79FE6725"/>
    <w:rsid w:val="7A093B06"/>
    <w:rsid w:val="7A0C1342"/>
    <w:rsid w:val="7A0E2EDD"/>
    <w:rsid w:val="7A10031A"/>
    <w:rsid w:val="7A1C085C"/>
    <w:rsid w:val="7A211F69"/>
    <w:rsid w:val="7A253E3F"/>
    <w:rsid w:val="7A2B3E2A"/>
    <w:rsid w:val="7A2D0876"/>
    <w:rsid w:val="7A301BCA"/>
    <w:rsid w:val="7A410F49"/>
    <w:rsid w:val="7A4A0A61"/>
    <w:rsid w:val="7A4D633F"/>
    <w:rsid w:val="7A5377F9"/>
    <w:rsid w:val="7A5E1C81"/>
    <w:rsid w:val="7A600FC6"/>
    <w:rsid w:val="7A6D5FC5"/>
    <w:rsid w:val="7A7819CA"/>
    <w:rsid w:val="7A7838C0"/>
    <w:rsid w:val="7A7C4F7A"/>
    <w:rsid w:val="7A7E0C61"/>
    <w:rsid w:val="7A8970E3"/>
    <w:rsid w:val="7A8A3B30"/>
    <w:rsid w:val="7A904FE2"/>
    <w:rsid w:val="7A933257"/>
    <w:rsid w:val="7A9536AB"/>
    <w:rsid w:val="7A9C6D69"/>
    <w:rsid w:val="7AA1509A"/>
    <w:rsid w:val="7AA3725B"/>
    <w:rsid w:val="7ABC37A6"/>
    <w:rsid w:val="7AC775CB"/>
    <w:rsid w:val="7ACB1EA5"/>
    <w:rsid w:val="7ACB3A3E"/>
    <w:rsid w:val="7ACE0806"/>
    <w:rsid w:val="7AD46261"/>
    <w:rsid w:val="7AD518CD"/>
    <w:rsid w:val="7AD61FD9"/>
    <w:rsid w:val="7AE30252"/>
    <w:rsid w:val="7AE652B0"/>
    <w:rsid w:val="7AE910EE"/>
    <w:rsid w:val="7AED10D1"/>
    <w:rsid w:val="7B016602"/>
    <w:rsid w:val="7B0575E5"/>
    <w:rsid w:val="7B0C411B"/>
    <w:rsid w:val="7B127206"/>
    <w:rsid w:val="7B155901"/>
    <w:rsid w:val="7B186D1D"/>
    <w:rsid w:val="7B290B4F"/>
    <w:rsid w:val="7B2C2FC9"/>
    <w:rsid w:val="7B2C7E4B"/>
    <w:rsid w:val="7B2D6B78"/>
    <w:rsid w:val="7B371CF8"/>
    <w:rsid w:val="7B3B003F"/>
    <w:rsid w:val="7B4634E6"/>
    <w:rsid w:val="7B4F7A6E"/>
    <w:rsid w:val="7B5353D8"/>
    <w:rsid w:val="7B544F69"/>
    <w:rsid w:val="7B5C73C2"/>
    <w:rsid w:val="7B656509"/>
    <w:rsid w:val="7B74710A"/>
    <w:rsid w:val="7B872EB0"/>
    <w:rsid w:val="7B8767A2"/>
    <w:rsid w:val="7B8B147B"/>
    <w:rsid w:val="7BA95EDD"/>
    <w:rsid w:val="7BB11890"/>
    <w:rsid w:val="7BB51BEE"/>
    <w:rsid w:val="7BBF70AE"/>
    <w:rsid w:val="7BC0634F"/>
    <w:rsid w:val="7BCE316C"/>
    <w:rsid w:val="7BCF6B67"/>
    <w:rsid w:val="7BE52BAD"/>
    <w:rsid w:val="7BE62BA7"/>
    <w:rsid w:val="7BFB4C2B"/>
    <w:rsid w:val="7BFD22C7"/>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91CE3"/>
    <w:rsid w:val="7C814E01"/>
    <w:rsid w:val="7C8A6EA3"/>
    <w:rsid w:val="7C8F3058"/>
    <w:rsid w:val="7C8F5C4D"/>
    <w:rsid w:val="7CA45F39"/>
    <w:rsid w:val="7CA73C2D"/>
    <w:rsid w:val="7CB101A4"/>
    <w:rsid w:val="7CB575AC"/>
    <w:rsid w:val="7CBF4BC6"/>
    <w:rsid w:val="7CBF7F50"/>
    <w:rsid w:val="7CC74412"/>
    <w:rsid w:val="7CCD2A84"/>
    <w:rsid w:val="7CD00206"/>
    <w:rsid w:val="7CD25652"/>
    <w:rsid w:val="7CDC31AB"/>
    <w:rsid w:val="7CE225DF"/>
    <w:rsid w:val="7CE50D7E"/>
    <w:rsid w:val="7CF51226"/>
    <w:rsid w:val="7CFA491C"/>
    <w:rsid w:val="7D106DEC"/>
    <w:rsid w:val="7D1E7BFC"/>
    <w:rsid w:val="7D2A1843"/>
    <w:rsid w:val="7D30510B"/>
    <w:rsid w:val="7D3204F3"/>
    <w:rsid w:val="7D37124E"/>
    <w:rsid w:val="7D47083E"/>
    <w:rsid w:val="7D484C1D"/>
    <w:rsid w:val="7D4D49A2"/>
    <w:rsid w:val="7D5402C7"/>
    <w:rsid w:val="7D557F57"/>
    <w:rsid w:val="7D5F06EF"/>
    <w:rsid w:val="7D666116"/>
    <w:rsid w:val="7D6A184B"/>
    <w:rsid w:val="7D7737AB"/>
    <w:rsid w:val="7D7B4A27"/>
    <w:rsid w:val="7D7C7790"/>
    <w:rsid w:val="7D845821"/>
    <w:rsid w:val="7D88040A"/>
    <w:rsid w:val="7D911ED3"/>
    <w:rsid w:val="7DA22414"/>
    <w:rsid w:val="7DB01A4B"/>
    <w:rsid w:val="7DB17A8E"/>
    <w:rsid w:val="7DB31FA3"/>
    <w:rsid w:val="7DC13536"/>
    <w:rsid w:val="7DC17FA2"/>
    <w:rsid w:val="7DC744ED"/>
    <w:rsid w:val="7DC8020D"/>
    <w:rsid w:val="7DC90FEF"/>
    <w:rsid w:val="7DE55660"/>
    <w:rsid w:val="7DED7E33"/>
    <w:rsid w:val="7DF03594"/>
    <w:rsid w:val="7DF165F0"/>
    <w:rsid w:val="7DFB1D3B"/>
    <w:rsid w:val="7DFF3B64"/>
    <w:rsid w:val="7E052AF5"/>
    <w:rsid w:val="7E123328"/>
    <w:rsid w:val="7E1D2291"/>
    <w:rsid w:val="7E2B655D"/>
    <w:rsid w:val="7E3F75E3"/>
    <w:rsid w:val="7E46173D"/>
    <w:rsid w:val="7E541548"/>
    <w:rsid w:val="7E5433D1"/>
    <w:rsid w:val="7E5951AB"/>
    <w:rsid w:val="7E657884"/>
    <w:rsid w:val="7E665E65"/>
    <w:rsid w:val="7E7608A2"/>
    <w:rsid w:val="7E80604C"/>
    <w:rsid w:val="7E861766"/>
    <w:rsid w:val="7E926140"/>
    <w:rsid w:val="7E993C38"/>
    <w:rsid w:val="7EA41AAA"/>
    <w:rsid w:val="7EAB457A"/>
    <w:rsid w:val="7EAC1F5D"/>
    <w:rsid w:val="7EB1589C"/>
    <w:rsid w:val="7EB83495"/>
    <w:rsid w:val="7EC90417"/>
    <w:rsid w:val="7ED94432"/>
    <w:rsid w:val="7EDA08B5"/>
    <w:rsid w:val="7EDE7566"/>
    <w:rsid w:val="7EED19E8"/>
    <w:rsid w:val="7EFA3077"/>
    <w:rsid w:val="7EFC7F44"/>
    <w:rsid w:val="7F01339C"/>
    <w:rsid w:val="7F0331ED"/>
    <w:rsid w:val="7F053C25"/>
    <w:rsid w:val="7F1C2B1F"/>
    <w:rsid w:val="7F1E259D"/>
    <w:rsid w:val="7F1E6A05"/>
    <w:rsid w:val="7F1E7735"/>
    <w:rsid w:val="7F1F17D1"/>
    <w:rsid w:val="7F2040A3"/>
    <w:rsid w:val="7F253203"/>
    <w:rsid w:val="7F264BB1"/>
    <w:rsid w:val="7F277C71"/>
    <w:rsid w:val="7F2938FF"/>
    <w:rsid w:val="7F2B66E3"/>
    <w:rsid w:val="7F337985"/>
    <w:rsid w:val="7F396F9B"/>
    <w:rsid w:val="7F3C378F"/>
    <w:rsid w:val="7F4C4266"/>
    <w:rsid w:val="7F4D207E"/>
    <w:rsid w:val="7F534371"/>
    <w:rsid w:val="7F5D0CBC"/>
    <w:rsid w:val="7F5E7632"/>
    <w:rsid w:val="7F622FE4"/>
    <w:rsid w:val="7F650C4A"/>
    <w:rsid w:val="7F657DD4"/>
    <w:rsid w:val="7F680E49"/>
    <w:rsid w:val="7F6C0077"/>
    <w:rsid w:val="7F6F08D2"/>
    <w:rsid w:val="7F714D9C"/>
    <w:rsid w:val="7F9322BF"/>
    <w:rsid w:val="7F9B411C"/>
    <w:rsid w:val="7FA048BB"/>
    <w:rsid w:val="7FA62EF1"/>
    <w:rsid w:val="7FB26E61"/>
    <w:rsid w:val="7FB86C81"/>
    <w:rsid w:val="7FBA4923"/>
    <w:rsid w:val="7FBB4D4C"/>
    <w:rsid w:val="7FC723FF"/>
    <w:rsid w:val="7FCC32A3"/>
    <w:rsid w:val="7FD12D6F"/>
    <w:rsid w:val="7FD36012"/>
    <w:rsid w:val="7FDB4B99"/>
    <w:rsid w:val="7FEC6AB6"/>
    <w:rsid w:val="7FFA3DBB"/>
    <w:rsid w:val="F7B755F7"/>
    <w:rsid w:val="FA5B9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6"/>
    <w:qFormat/>
    <w:uiPriority w:val="0"/>
    <w:pPr>
      <w:outlineLvl w:val="1"/>
    </w:pPr>
    <w:rPr>
      <w:rFonts w:ascii="..ì." w:eastAsia="..ì."/>
      <w:szCs w:val="20"/>
    </w:rPr>
  </w:style>
  <w:style w:type="paragraph" w:styleId="4">
    <w:name w:val="heading 3"/>
    <w:basedOn w:val="5"/>
    <w:next w:val="1"/>
    <w:qFormat/>
    <w:uiPriority w:val="0"/>
    <w:pPr>
      <w:keepNext/>
      <w:keepLines/>
      <w:spacing w:before="260" w:after="260" w:line="415" w:lineRule="auto"/>
      <w:outlineLvl w:val="2"/>
    </w:pPr>
    <w:rPr>
      <w:sz w:val="32"/>
      <w:szCs w:val="32"/>
    </w:rPr>
  </w:style>
  <w:style w:type="paragraph" w:styleId="6">
    <w:name w:val="heading 4"/>
    <w:basedOn w:val="1"/>
    <w:next w:val="1"/>
    <w:link w:val="86"/>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itle"/>
    <w:basedOn w:val="1"/>
    <w:qFormat/>
    <w:uiPriority w:val="10"/>
    <w:pPr>
      <w:spacing w:before="240" w:after="60"/>
      <w:jc w:val="center"/>
      <w:outlineLvl w:val="0"/>
    </w:pPr>
    <w:rPr>
      <w:rFonts w:ascii="Arial" w:hAnsi="Arial"/>
      <w:b/>
      <w:bCs/>
      <w:sz w:val="32"/>
      <w:szCs w:val="32"/>
    </w:rPr>
  </w:style>
  <w:style w:type="paragraph" w:styleId="8">
    <w:name w:val="Note Heading"/>
    <w:basedOn w:val="9"/>
    <w:next w:val="9"/>
    <w:qFormat/>
    <w:uiPriority w:val="0"/>
    <w:rPr>
      <w:rFonts w:ascii="..ì." w:eastAsia="..ì." w:cs="Times New Roman"/>
      <w:color w:val="auto"/>
      <w:szCs w:val="20"/>
    </w:rPr>
  </w:style>
  <w:style w:type="paragraph" w:customStyle="1" w:styleId="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index 8"/>
    <w:basedOn w:val="1"/>
    <w:next w:val="1"/>
    <w:qFormat/>
    <w:uiPriority w:val="0"/>
    <w:pPr>
      <w:jc w:val="center"/>
    </w:pPr>
    <w:rPr>
      <w:color w:val="000000"/>
      <w:sz w:val="32"/>
    </w:r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toa heading"/>
    <w:basedOn w:val="1"/>
    <w:next w:val="1"/>
    <w:unhideWhenUsed/>
    <w:qFormat/>
    <w:uiPriority w:val="0"/>
    <w:rPr>
      <w:rFonts w:ascii="Cambria" w:hAnsi="Cambria" w:eastAsia="微软雅黑" w:cs="宋体"/>
      <w:szCs w:val="21"/>
    </w:rPr>
  </w:style>
  <w:style w:type="paragraph" w:styleId="14">
    <w:name w:val="annotation text"/>
    <w:basedOn w:val="1"/>
    <w:link w:val="80"/>
    <w:qFormat/>
    <w:uiPriority w:val="0"/>
    <w:pPr>
      <w:jc w:val="left"/>
    </w:pPr>
  </w:style>
  <w:style w:type="paragraph" w:styleId="15">
    <w:name w:val="Salutation"/>
    <w:basedOn w:val="9"/>
    <w:next w:val="9"/>
    <w:qFormat/>
    <w:uiPriority w:val="0"/>
    <w:rPr>
      <w:rFonts w:ascii="..ì." w:eastAsia="..ì." w:cs="Times New Roman"/>
      <w:color w:val="auto"/>
      <w:szCs w:val="20"/>
    </w:rPr>
  </w:style>
  <w:style w:type="paragraph" w:styleId="16">
    <w:name w:val="Body Text"/>
    <w:basedOn w:val="1"/>
    <w:link w:val="59"/>
    <w:qFormat/>
    <w:uiPriority w:val="0"/>
    <w:pPr>
      <w:spacing w:after="120"/>
    </w:pPr>
    <w:rPr>
      <w:szCs w:val="20"/>
    </w:rPr>
  </w:style>
  <w:style w:type="paragraph" w:styleId="17">
    <w:name w:val="Body Text Indent"/>
    <w:basedOn w:val="1"/>
    <w:qFormat/>
    <w:uiPriority w:val="0"/>
    <w:pPr>
      <w:spacing w:after="120"/>
      <w:ind w:left="420" w:leftChars="200"/>
    </w:pPr>
  </w:style>
  <w:style w:type="paragraph" w:styleId="18">
    <w:name w:val="toc 3"/>
    <w:basedOn w:val="1"/>
    <w:next w:val="1"/>
    <w:qFormat/>
    <w:uiPriority w:val="39"/>
    <w:pPr>
      <w:ind w:left="840" w:leftChars="400"/>
    </w:pPr>
  </w:style>
  <w:style w:type="paragraph" w:styleId="19">
    <w:name w:val="Plain Text"/>
    <w:basedOn w:val="1"/>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qFormat/>
    <w:uiPriority w:val="0"/>
    <w:rPr>
      <w:sz w:val="18"/>
      <w:szCs w:val="18"/>
    </w:rPr>
  </w:style>
  <w:style w:type="paragraph" w:styleId="23">
    <w:name w:val="footer"/>
    <w:basedOn w:val="1"/>
    <w:link w:val="82"/>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Body Text Indent 3"/>
    <w:basedOn w:val="1"/>
    <w:qFormat/>
    <w:uiPriority w:val="0"/>
    <w:pPr>
      <w:ind w:firstLine="420" w:firstLineChars="200"/>
    </w:pPr>
    <w:rPr>
      <w:rFonts w:ascii="宋体" w:hAnsi="宋体"/>
    </w:rPr>
  </w:style>
  <w:style w:type="paragraph" w:styleId="28">
    <w:name w:val="toc 2"/>
    <w:basedOn w:val="1"/>
    <w:next w:val="1"/>
    <w:qFormat/>
    <w:uiPriority w:val="39"/>
    <w:pPr>
      <w:ind w:left="420" w:leftChars="200"/>
    </w:pPr>
  </w:style>
  <w:style w:type="paragraph" w:styleId="29">
    <w:name w:val="Body Text 2"/>
    <w:basedOn w:val="1"/>
    <w:next w:val="16"/>
    <w:qFormat/>
    <w:uiPriority w:val="99"/>
    <w:pPr>
      <w:spacing w:line="360" w:lineRule="auto"/>
      <w:ind w:firstLine="480" w:firstLineChars="200"/>
    </w:pPr>
    <w:rPr>
      <w:rFonts w:ascii="仿宋_GB2312" w:hAnsi="宋体" w:eastAsia="仿宋_GB2312" w:cs="仿宋_GB2312"/>
      <w:kern w:val="0"/>
      <w:sz w:val="24"/>
    </w:r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2">
    <w:name w:val="annotation subject"/>
    <w:basedOn w:val="14"/>
    <w:next w:val="14"/>
    <w:link w:val="81"/>
    <w:semiHidden/>
    <w:unhideWhenUsed/>
    <w:qFormat/>
    <w:uiPriority w:val="0"/>
    <w:rPr>
      <w:b/>
      <w:bCs/>
    </w:rPr>
  </w:style>
  <w:style w:type="paragraph" w:styleId="33">
    <w:name w:val="Body Text First Indent"/>
    <w:basedOn w:val="16"/>
    <w:next w:val="1"/>
    <w:unhideWhenUsed/>
    <w:qFormat/>
    <w:uiPriority w:val="99"/>
    <w:pPr>
      <w:ind w:firstLine="720" w:firstLineChars="100"/>
    </w:pPr>
    <w:rPr>
      <w:rFonts w:ascii="Calibri" w:hAnsi="Calibri" w:cs="黑体"/>
      <w:sz w:val="24"/>
      <w:szCs w:val="22"/>
    </w:rPr>
  </w:style>
  <w:style w:type="paragraph" w:styleId="34">
    <w:name w:val="Body Text First Indent 2"/>
    <w:basedOn w:val="17"/>
    <w:qFormat/>
    <w:uiPriority w:val="0"/>
    <w:pPr>
      <w:ind w:firstLine="420" w:firstLineChars="200"/>
    </w:p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ascii="Times New Roman" w:hAnsi="Times New Roman" w:eastAsia="宋体" w:cs="Times New Roman"/>
      <w:b/>
      <w:sz w:val="19"/>
      <w:szCs w:val="19"/>
    </w:rPr>
  </w:style>
  <w:style w:type="character" w:styleId="39">
    <w:name w:val="page number"/>
    <w:qFormat/>
    <w:uiPriority w:val="0"/>
    <w:rPr>
      <w:rFonts w:ascii="Arial" w:hAnsi="Arial" w:eastAsia="黑体" w:cs="Times New Roman"/>
      <w:kern w:val="2"/>
      <w:sz w:val="21"/>
      <w:szCs w:val="21"/>
      <w:lang w:val="en-US" w:eastAsia="zh-CN" w:bidi="ar-SA"/>
    </w:rPr>
  </w:style>
  <w:style w:type="character" w:styleId="40">
    <w:name w:val="FollowedHyperlink"/>
    <w:basedOn w:val="37"/>
    <w:semiHidden/>
    <w:unhideWhenUsed/>
    <w:qFormat/>
    <w:uiPriority w:val="0"/>
    <w:rPr>
      <w:color w:val="000000"/>
      <w:sz w:val="18"/>
      <w:szCs w:val="18"/>
      <w:u w:val="none"/>
    </w:rPr>
  </w:style>
  <w:style w:type="character" w:styleId="41">
    <w:name w:val="Emphasis"/>
    <w:basedOn w:val="37"/>
    <w:qFormat/>
    <w:uiPriority w:val="0"/>
    <w:rPr>
      <w:b/>
    </w:rPr>
  </w:style>
  <w:style w:type="character" w:styleId="42">
    <w:name w:val="HTML Definition"/>
    <w:qFormat/>
    <w:uiPriority w:val="0"/>
    <w:rPr>
      <w:rFonts w:ascii="Times New Roman" w:hAnsi="Times New Roman" w:eastAsia="宋体" w:cs="Times New Roman"/>
      <w:i/>
      <w:color w:val="337AB7"/>
      <w:sz w:val="30"/>
      <w:szCs w:val="20"/>
      <w:u w:val="none"/>
    </w:rPr>
  </w:style>
  <w:style w:type="character" w:styleId="43">
    <w:name w:val="HTML Typewriter"/>
    <w:basedOn w:val="37"/>
    <w:semiHidden/>
    <w:unhideWhenUsed/>
    <w:qFormat/>
    <w:uiPriority w:val="0"/>
    <w:rPr>
      <w:rFonts w:hint="default" w:ascii="monospace" w:hAnsi="monospace" w:eastAsia="monospace" w:cs="monospace"/>
      <w:sz w:val="20"/>
    </w:rPr>
  </w:style>
  <w:style w:type="character" w:styleId="44">
    <w:name w:val="HTML Acronym"/>
    <w:basedOn w:val="37"/>
    <w:semiHidden/>
    <w:unhideWhenUsed/>
    <w:qFormat/>
    <w:uiPriority w:val="0"/>
  </w:style>
  <w:style w:type="character" w:styleId="45">
    <w:name w:val="HTML Variable"/>
    <w:basedOn w:val="37"/>
    <w:semiHidden/>
    <w:unhideWhenUsed/>
    <w:qFormat/>
    <w:uiPriority w:val="0"/>
  </w:style>
  <w:style w:type="character" w:styleId="46">
    <w:name w:val="Hyperlink"/>
    <w:basedOn w:val="37"/>
    <w:qFormat/>
    <w:uiPriority w:val="99"/>
    <w:rPr>
      <w:rFonts w:ascii="Times New Roman" w:hAnsi="Times New Roman" w:eastAsia="宋体" w:cs="Times New Roman"/>
      <w:color w:val="337AB7"/>
      <w:sz w:val="30"/>
      <w:szCs w:val="20"/>
      <w:u w:val="single"/>
    </w:rPr>
  </w:style>
  <w:style w:type="character" w:styleId="47">
    <w:name w:val="HTML Code"/>
    <w:qFormat/>
    <w:uiPriority w:val="0"/>
    <w:rPr>
      <w:rFonts w:hint="default" w:ascii="Menlo" w:hAnsi="Menlo" w:eastAsia="Menlo" w:cs="Menlo"/>
      <w:color w:val="C7254E"/>
      <w:sz w:val="21"/>
      <w:szCs w:val="21"/>
      <w:shd w:val="clear" w:color="auto" w:fill="F9F2F4"/>
    </w:rPr>
  </w:style>
  <w:style w:type="character" w:styleId="48">
    <w:name w:val="annotation reference"/>
    <w:qFormat/>
    <w:uiPriority w:val="0"/>
    <w:rPr>
      <w:rFonts w:cs="Times New Roman"/>
      <w:sz w:val="21"/>
      <w:szCs w:val="21"/>
    </w:rPr>
  </w:style>
  <w:style w:type="character" w:styleId="49">
    <w:name w:val="HTML Cite"/>
    <w:basedOn w:val="37"/>
    <w:semiHidden/>
    <w:unhideWhenUsed/>
    <w:qFormat/>
    <w:uiPriority w:val="0"/>
    <w:rPr>
      <w:vanish/>
    </w:rPr>
  </w:style>
  <w:style w:type="character" w:styleId="50">
    <w:name w:val="HTML Keyboard"/>
    <w:qFormat/>
    <w:uiPriority w:val="0"/>
    <w:rPr>
      <w:rFonts w:ascii="Menlo" w:hAnsi="Menlo" w:eastAsia="Menlo" w:cs="Menlo"/>
      <w:color w:val="FFFFFF"/>
      <w:sz w:val="21"/>
      <w:szCs w:val="21"/>
      <w:shd w:val="clear" w:color="auto" w:fill="333333"/>
    </w:rPr>
  </w:style>
  <w:style w:type="character" w:styleId="51">
    <w:name w:val="HTML Sample"/>
    <w:qFormat/>
    <w:uiPriority w:val="0"/>
    <w:rPr>
      <w:rFonts w:hint="default" w:ascii="Menlo" w:hAnsi="Menlo" w:eastAsia="Menlo" w:cs="Menlo"/>
      <w:sz w:val="21"/>
      <w:szCs w:val="21"/>
    </w:rPr>
  </w:style>
  <w:style w:type="paragraph" w:customStyle="1" w:styleId="5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3">
    <w:name w:val="无间隔1"/>
    <w:basedOn w:val="54"/>
    <w:next w:val="55"/>
    <w:qFormat/>
    <w:uiPriority w:val="1"/>
    <w:pPr>
      <w:spacing w:line="400" w:lineRule="exact"/>
    </w:pPr>
  </w:style>
  <w:style w:type="paragraph" w:customStyle="1" w:styleId="54">
    <w:name w:val="正文_0"/>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首行缩进） Char"/>
    <w:basedOn w:val="1"/>
    <w:next w:val="29"/>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6">
    <w:name w:val="BodyText1I"/>
    <w:basedOn w:val="57"/>
    <w:qFormat/>
    <w:uiPriority w:val="0"/>
    <w:pPr>
      <w:ind w:firstLine="420" w:firstLineChars="100"/>
    </w:pPr>
    <w:rPr>
      <w:szCs w:val="21"/>
    </w:rPr>
  </w:style>
  <w:style w:type="paragraph" w:customStyle="1" w:styleId="57">
    <w:name w:val="BodyText"/>
    <w:basedOn w:val="1"/>
    <w:next w:val="58"/>
    <w:qFormat/>
    <w:uiPriority w:val="0"/>
    <w:pPr>
      <w:snapToGrid w:val="0"/>
      <w:spacing w:line="360" w:lineRule="auto"/>
    </w:pPr>
    <w:rPr>
      <w:rFonts w:ascii="Arial" w:hAnsi="Arial" w:eastAsia="仿宋_GB2312"/>
      <w:sz w:val="31"/>
    </w:rPr>
  </w:style>
  <w:style w:type="paragraph" w:customStyle="1" w:styleId="58">
    <w:name w:val="UserStyle_9"/>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9">
    <w:name w:val="正文文本 字符"/>
    <w:link w:val="16"/>
    <w:qFormat/>
    <w:uiPriority w:val="0"/>
    <w:rPr>
      <w:rFonts w:ascii="Times New Roman" w:hAnsi="Times New Roman" w:eastAsia="宋体" w:cs="Times New Roman"/>
      <w:kern w:val="2"/>
      <w:sz w:val="21"/>
      <w:szCs w:val="20"/>
      <w:lang w:val="en-US" w:eastAsia="zh-CN" w:bidi="ar-SA"/>
    </w:rPr>
  </w:style>
  <w:style w:type="character" w:customStyle="1" w:styleId="60">
    <w:name w:val="已访问的超链接1"/>
    <w:qFormat/>
    <w:uiPriority w:val="0"/>
    <w:rPr>
      <w:rFonts w:ascii="Times New Roman" w:hAnsi="Times New Roman" w:eastAsia="宋体" w:cs="Times New Roman"/>
      <w:color w:val="337AB7"/>
      <w:sz w:val="30"/>
      <w:szCs w:val="20"/>
      <w:u w:val="single"/>
    </w:rPr>
  </w:style>
  <w:style w:type="paragraph" w:customStyle="1" w:styleId="61">
    <w:name w:val="Char"/>
    <w:basedOn w:val="1"/>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2">
    <w:name w:val="标题3"/>
    <w:basedOn w:val="1"/>
    <w:qFormat/>
    <w:uiPriority w:val="0"/>
    <w:pPr>
      <w:widowControl/>
      <w:spacing w:line="360" w:lineRule="auto"/>
      <w:jc w:val="center"/>
    </w:pPr>
    <w:rPr>
      <w:sz w:val="30"/>
      <w:szCs w:val="20"/>
    </w:rPr>
  </w:style>
  <w:style w:type="paragraph" w:customStyle="1" w:styleId="63">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z-窗体底端1"/>
    <w:basedOn w:val="1"/>
    <w:next w:val="1"/>
    <w:qFormat/>
    <w:uiPriority w:val="0"/>
    <w:pPr>
      <w:pBdr>
        <w:top w:val="single" w:color="auto" w:sz="6" w:space="1"/>
      </w:pBdr>
      <w:jc w:val="center"/>
    </w:pPr>
    <w:rPr>
      <w:rFonts w:ascii="Arial"/>
      <w:vanish/>
      <w:sz w:val="16"/>
    </w:rPr>
  </w:style>
  <w:style w:type="paragraph" w:customStyle="1" w:styleId="65">
    <w:name w:val="样式 标题 2 + Times New Roman 四号 非加粗 段前: 5 磅 段后: 0 磅 行距: 固定值 20..."/>
    <w:basedOn w:val="3"/>
    <w:qFormat/>
    <w:uiPriority w:val="0"/>
    <w:pPr>
      <w:spacing w:before="100" w:line="400" w:lineRule="exact"/>
    </w:pPr>
    <w:rPr>
      <w:rFonts w:ascii="Times New Roman" w:eastAsia="黑体" w:cs="宋体"/>
      <w:b/>
      <w:bCs/>
      <w:sz w:val="28"/>
    </w:rPr>
  </w:style>
  <w:style w:type="paragraph" w:customStyle="1" w:styleId="6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7">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69">
    <w:name w:val="Table Paragraph"/>
    <w:basedOn w:val="1"/>
    <w:qFormat/>
    <w:uiPriority w:val="1"/>
  </w:style>
  <w:style w:type="paragraph" w:customStyle="1" w:styleId="70">
    <w:name w:val="Char Char Char Char Char Char Char Char Char Char"/>
    <w:basedOn w:val="1"/>
    <w:qFormat/>
    <w:uiPriority w:val="0"/>
    <w:pPr>
      <w:tabs>
        <w:tab w:val="left" w:pos="360"/>
      </w:tabs>
      <w:ind w:left="360" w:hanging="360" w:hangingChars="200"/>
    </w:pPr>
    <w:rPr>
      <w:sz w:val="24"/>
    </w:rPr>
  </w:style>
  <w:style w:type="paragraph" w:customStyle="1" w:styleId="71">
    <w:name w:val="标题3-1"/>
    <w:basedOn w:val="4"/>
    <w:qFormat/>
    <w:uiPriority w:val="0"/>
    <w:pPr>
      <w:tabs>
        <w:tab w:val="left" w:pos="425"/>
      </w:tabs>
      <w:ind w:left="425" w:hanging="425"/>
    </w:pPr>
    <w:rPr>
      <w:sz w:val="24"/>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74">
    <w:name w:val="样式1"/>
    <w:basedOn w:val="1"/>
    <w:next w:val="6"/>
    <w:qFormat/>
    <w:uiPriority w:val="0"/>
    <w:pPr>
      <w:spacing w:line="360" w:lineRule="auto"/>
      <w:ind w:firstLine="420" w:firstLineChars="200"/>
    </w:pPr>
    <w:rPr>
      <w:rFonts w:ascii="宋体" w:hAnsi="宋体"/>
      <w:szCs w:val="21"/>
    </w:rPr>
  </w:style>
  <w:style w:type="paragraph" w:customStyle="1" w:styleId="75">
    <w:name w:val="普通文字"/>
    <w:basedOn w:val="1"/>
    <w:next w:val="1"/>
    <w:qFormat/>
    <w:uiPriority w:val="0"/>
    <w:pPr>
      <w:widowControl/>
    </w:pPr>
    <w:rPr>
      <w:rFonts w:ascii="宋体"/>
      <w:color w:val="000000"/>
      <w:szCs w:val="20"/>
    </w:rPr>
  </w:style>
  <w:style w:type="paragraph" w:customStyle="1" w:styleId="76">
    <w:name w:val="Char1 Char Char Char"/>
    <w:basedOn w:val="1"/>
    <w:qFormat/>
    <w:uiPriority w:val="0"/>
    <w:rPr>
      <w:rFonts w:ascii="Tahoma" w:hAnsi="Tahoma"/>
      <w:sz w:val="24"/>
      <w:szCs w:val="20"/>
    </w:rPr>
  </w:style>
  <w:style w:type="paragraph" w:customStyle="1" w:styleId="77">
    <w:name w:val="_Style 6"/>
    <w:basedOn w:val="2"/>
    <w:next w:val="1"/>
    <w:unhideWhenUsed/>
    <w:qFormat/>
    <w:uiPriority w:val="0"/>
    <w:pPr>
      <w:spacing w:line="578" w:lineRule="auto"/>
      <w:outlineLvl w:val="9"/>
    </w:p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9">
    <w:name w:val="标题 1 字符"/>
    <w:basedOn w:val="37"/>
    <w:link w:val="2"/>
    <w:qFormat/>
    <w:uiPriority w:val="0"/>
    <w:rPr>
      <w:b/>
      <w:bCs/>
      <w:kern w:val="44"/>
      <w:sz w:val="44"/>
      <w:szCs w:val="44"/>
    </w:rPr>
  </w:style>
  <w:style w:type="character" w:customStyle="1" w:styleId="80">
    <w:name w:val="批注文字 字符"/>
    <w:basedOn w:val="37"/>
    <w:link w:val="14"/>
    <w:qFormat/>
    <w:uiPriority w:val="0"/>
    <w:rPr>
      <w:kern w:val="2"/>
      <w:sz w:val="21"/>
      <w:szCs w:val="24"/>
    </w:rPr>
  </w:style>
  <w:style w:type="character" w:customStyle="1" w:styleId="81">
    <w:name w:val="批注主题 字符"/>
    <w:basedOn w:val="80"/>
    <w:link w:val="32"/>
    <w:semiHidden/>
    <w:qFormat/>
    <w:uiPriority w:val="0"/>
    <w:rPr>
      <w:b/>
      <w:bCs/>
      <w:kern w:val="2"/>
      <w:sz w:val="21"/>
      <w:szCs w:val="24"/>
    </w:rPr>
  </w:style>
  <w:style w:type="character" w:customStyle="1" w:styleId="82">
    <w:name w:val="页脚 字符"/>
    <w:basedOn w:val="37"/>
    <w:link w:val="23"/>
    <w:qFormat/>
    <w:uiPriority w:val="99"/>
    <w:rPr>
      <w:kern w:val="2"/>
      <w:sz w:val="18"/>
      <w:szCs w:val="18"/>
    </w:rPr>
  </w:style>
  <w:style w:type="table" w:customStyle="1" w:styleId="83">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4">
    <w:name w:val="*正文"/>
    <w:basedOn w:val="1"/>
    <w:qFormat/>
    <w:uiPriority w:val="0"/>
    <w:pPr>
      <w:spacing w:line="360" w:lineRule="auto"/>
      <w:ind w:firstLine="560" w:firstLineChars="200"/>
    </w:pPr>
    <w:rPr>
      <w:rFonts w:ascii="仿宋_GB2312" w:eastAsia="仿宋_GB2312"/>
      <w:sz w:val="28"/>
      <w:szCs w:val="28"/>
    </w:rPr>
  </w:style>
  <w:style w:type="paragraph" w:styleId="85">
    <w:name w:val="List Paragraph"/>
    <w:basedOn w:val="1"/>
    <w:qFormat/>
    <w:uiPriority w:val="34"/>
    <w:pPr>
      <w:ind w:firstLine="420" w:firstLineChars="200"/>
    </w:pPr>
    <w:rPr>
      <w:sz w:val="28"/>
    </w:rPr>
  </w:style>
  <w:style w:type="character" w:customStyle="1" w:styleId="86">
    <w:name w:val="标题 4 字符"/>
    <w:link w:val="6"/>
    <w:qFormat/>
    <w:uiPriority w:val="0"/>
    <w:rPr>
      <w:rFonts w:ascii="Arial" w:hAnsi="Arial" w:eastAsia="黑体"/>
      <w:b/>
      <w:bCs/>
      <w:sz w:val="28"/>
      <w:szCs w:val="28"/>
    </w:rPr>
  </w:style>
  <w:style w:type="character" w:customStyle="1" w:styleId="87">
    <w:name w:val="hover15"/>
    <w:basedOn w:val="37"/>
    <w:qFormat/>
    <w:uiPriority w:val="0"/>
  </w:style>
  <w:style w:type="paragraph" w:customStyle="1" w:styleId="88">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9">
    <w:name w:val="pa-0"/>
    <w:basedOn w:val="1"/>
    <w:qFormat/>
    <w:uiPriority w:val="0"/>
    <w:pPr>
      <w:widowControl/>
      <w:spacing w:line="340" w:lineRule="atLeast"/>
      <w:jc w:val="center"/>
    </w:pPr>
    <w:rPr>
      <w:rFonts w:ascii="宋体" w:hAnsi="宋体" w:cs="宋体"/>
      <w:kern w:val="0"/>
      <w:sz w:val="24"/>
    </w:rPr>
  </w:style>
  <w:style w:type="character" w:customStyle="1" w:styleId="90">
    <w:name w:val="font41"/>
    <w:basedOn w:val="37"/>
    <w:qFormat/>
    <w:uiPriority w:val="0"/>
    <w:rPr>
      <w:rFonts w:ascii="Calibri" w:hAnsi="Calibri" w:cs="Calibri"/>
      <w:color w:val="000000"/>
      <w:sz w:val="22"/>
      <w:szCs w:val="22"/>
      <w:u w:val="none"/>
    </w:rPr>
  </w:style>
  <w:style w:type="paragraph" w:customStyle="1" w:styleId="91">
    <w:name w:val="_Style 2"/>
    <w:basedOn w:val="1"/>
    <w:qFormat/>
    <w:uiPriority w:val="0"/>
    <w:pPr>
      <w:ind w:firstLine="420" w:firstLineChars="200"/>
    </w:pPr>
    <w:rPr>
      <w:sz w:val="18"/>
      <w:szCs w:val="18"/>
    </w:rPr>
  </w:style>
  <w:style w:type="character" w:customStyle="1" w:styleId="92">
    <w:name w:val="font51"/>
    <w:basedOn w:val="37"/>
    <w:qFormat/>
    <w:uiPriority w:val="0"/>
    <w:rPr>
      <w:rFonts w:ascii="Calibri" w:hAnsi="Calibri" w:cs="Calibri"/>
      <w:color w:val="000000"/>
      <w:sz w:val="22"/>
      <w:szCs w:val="22"/>
      <w:u w:val="none"/>
    </w:rPr>
  </w:style>
  <w:style w:type="character" w:customStyle="1" w:styleId="93">
    <w:name w:val="font01"/>
    <w:basedOn w:val="37"/>
    <w:qFormat/>
    <w:uiPriority w:val="0"/>
    <w:rPr>
      <w:rFonts w:hint="eastAsia" w:ascii="宋体" w:hAnsi="宋体" w:eastAsia="宋体" w:cs="宋体"/>
      <w:color w:val="000000"/>
      <w:sz w:val="22"/>
      <w:szCs w:val="22"/>
      <w:u w:val="none"/>
    </w:rPr>
  </w:style>
  <w:style w:type="paragraph" w:customStyle="1" w:styleId="94">
    <w:name w:val="列出段落1"/>
    <w:basedOn w:val="1"/>
    <w:qFormat/>
    <w:uiPriority w:val="0"/>
    <w:pPr>
      <w:ind w:firstLine="420" w:firstLineChars="200"/>
    </w:pPr>
  </w:style>
  <w:style w:type="paragraph" w:customStyle="1" w:styleId="95">
    <w:name w:val="正文缩进2"/>
    <w:basedOn w:val="1"/>
    <w:qFormat/>
    <w:uiPriority w:val="0"/>
    <w:pPr>
      <w:ind w:firstLine="420" w:firstLineChars="200"/>
    </w:pPr>
  </w:style>
  <w:style w:type="character" w:customStyle="1" w:styleId="96">
    <w:name w:val="标题 2 字符"/>
    <w:link w:val="3"/>
    <w:qFormat/>
    <w:uiPriority w:val="0"/>
    <w:rPr>
      <w:rFonts w:ascii="..ì." w:eastAsia="..ì."/>
      <w:szCs w:val="20"/>
    </w:rPr>
  </w:style>
  <w:style w:type="paragraph" w:customStyle="1" w:styleId="97">
    <w:name w:val="_Style 73"/>
    <w:basedOn w:val="1"/>
    <w:next w:val="85"/>
    <w:qFormat/>
    <w:uiPriority w:val="0"/>
    <w:pPr>
      <w:ind w:firstLine="420" w:firstLineChars="200"/>
    </w:pPr>
    <w:rPr>
      <w:rFonts w:ascii="Calibri" w:hAnsi="Calibri"/>
      <w:szCs w:val="22"/>
    </w:rPr>
  </w:style>
  <w:style w:type="character" w:customStyle="1" w:styleId="98">
    <w:name w:val="xiadan"/>
    <w:basedOn w:val="37"/>
    <w:qFormat/>
    <w:uiPriority w:val="0"/>
    <w:rPr>
      <w:shd w:val="clear" w:color="auto" w:fill="E4393C"/>
    </w:rPr>
  </w:style>
  <w:style w:type="character" w:customStyle="1" w:styleId="99">
    <w:name w:val="first-child"/>
    <w:basedOn w:val="37"/>
    <w:qFormat/>
    <w:uiPriority w:val="0"/>
    <w:rPr>
      <w:color w:val="1F3149"/>
      <w:sz w:val="24"/>
      <w:szCs w:val="24"/>
    </w:rPr>
  </w:style>
  <w:style w:type="character" w:customStyle="1" w:styleId="100">
    <w:name w:val="first-child1"/>
    <w:basedOn w:val="37"/>
    <w:qFormat/>
    <w:uiPriority w:val="0"/>
    <w:rPr>
      <w:color w:val="1F3149"/>
      <w:sz w:val="24"/>
      <w:szCs w:val="24"/>
    </w:rPr>
  </w:style>
  <w:style w:type="character" w:customStyle="1" w:styleId="101">
    <w:name w:val="fr"/>
    <w:basedOn w:val="37"/>
    <w:qFormat/>
    <w:uiPriority w:val="0"/>
  </w:style>
  <w:style w:type="character" w:customStyle="1" w:styleId="102">
    <w:name w:val="icon_ds"/>
    <w:basedOn w:val="37"/>
    <w:qFormat/>
    <w:uiPriority w:val="0"/>
  </w:style>
  <w:style w:type="character" w:customStyle="1" w:styleId="103">
    <w:name w:val="icon_ds1"/>
    <w:basedOn w:val="37"/>
    <w:qFormat/>
    <w:uiPriority w:val="0"/>
    <w:rPr>
      <w:sz w:val="21"/>
      <w:szCs w:val="21"/>
    </w:rPr>
  </w:style>
  <w:style w:type="character" w:customStyle="1" w:styleId="104">
    <w:name w:val="icon_gys"/>
    <w:basedOn w:val="37"/>
    <w:qFormat/>
    <w:uiPriority w:val="0"/>
    <w:rPr>
      <w:sz w:val="21"/>
      <w:szCs w:val="21"/>
    </w:rPr>
  </w:style>
  <w:style w:type="character" w:customStyle="1" w:styleId="105">
    <w:name w:val="redio1"/>
    <w:basedOn w:val="37"/>
    <w:qFormat/>
    <w:uiPriority w:val="0"/>
  </w:style>
  <w:style w:type="paragraph" w:customStyle="1" w:styleId="106">
    <w:name w:val="目录 21"/>
    <w:basedOn w:val="1"/>
    <w:qFormat/>
    <w:uiPriority w:val="1"/>
    <w:pPr>
      <w:ind w:left="100"/>
    </w:pPr>
    <w:rPr>
      <w:rFonts w:ascii="宋体" w:hAnsi="宋体"/>
      <w:szCs w:val="21"/>
    </w:rPr>
  </w:style>
  <w:style w:type="paragraph" w:customStyle="1" w:styleId="10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8">
    <w:name w:val="普通文字 Char Char"/>
    <w:qFormat/>
    <w:uiPriority w:val="0"/>
    <w:rPr>
      <w:rFonts w:ascii="宋体" w:hAnsi="Courier New" w:eastAsia="宋体"/>
      <w:kern w:val="2"/>
      <w:sz w:val="28"/>
      <w:lang w:val="en-US" w:eastAsia="zh-CN"/>
    </w:rPr>
  </w:style>
  <w:style w:type="paragraph" w:customStyle="1" w:styleId="109">
    <w:name w:val="_正文"/>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10">
    <w:name w:val="正文1"/>
    <w:basedOn w:val="1"/>
    <w:qFormat/>
    <w:uiPriority w:val="0"/>
    <w:pPr>
      <w:ind w:firstLine="420"/>
    </w:pPr>
    <w:rPr>
      <w:rFonts w:ascii="微软雅黑" w:hAnsi="微软雅黑" w:eastAsia="微软雅黑"/>
      <w:szCs w:val="28"/>
    </w:rPr>
  </w:style>
  <w:style w:type="paragraph" w:customStyle="1" w:styleId="111">
    <w:name w:val="标准正文样式"/>
    <w:basedOn w:val="112"/>
    <w:qFormat/>
    <w:uiPriority w:val="0"/>
    <w:pPr>
      <w:ind w:firstLine="560"/>
    </w:pPr>
    <w:rPr>
      <w:kern w:val="0"/>
      <w:sz w:val="28"/>
      <w:szCs w:val="24"/>
    </w:rPr>
  </w:style>
  <w:style w:type="paragraph" w:customStyle="1" w:styleId="112">
    <w:name w:val="样式 样式 正文首行缩进 2 + 首行缩进:  2 字符 + 首行缩进:  2 字符"/>
    <w:basedOn w:val="1"/>
    <w:qFormat/>
    <w:uiPriority w:val="0"/>
    <w:pPr>
      <w:ind w:firstLine="480"/>
    </w:pPr>
  </w:style>
  <w:style w:type="paragraph" w:customStyle="1" w:styleId="113">
    <w:name w:val="可研正文"/>
    <w:basedOn w:val="1"/>
    <w:next w:val="1"/>
    <w:qFormat/>
    <w:uiPriority w:val="0"/>
    <w:pPr>
      <w:snapToGrid w:val="0"/>
      <w:ind w:firstLine="640"/>
    </w:pPr>
    <w:rPr>
      <w:rFonts w:ascii="仿宋_GB2312" w:hAnsi="仿宋_GB2312" w:eastAsia="仿宋_GB2312" w:cs="仿宋_GB2312"/>
      <w:kern w:val="0"/>
      <w:sz w:val="28"/>
    </w:rPr>
  </w:style>
  <w:style w:type="paragraph" w:customStyle="1" w:styleId="114">
    <w:name w:val="__正文"/>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5">
    <w:name w:val="font31"/>
    <w:basedOn w:val="37"/>
    <w:qFormat/>
    <w:uiPriority w:val="0"/>
    <w:rPr>
      <w:rFonts w:hint="eastAsia" w:ascii="仿宋" w:hAnsi="仿宋" w:eastAsia="仿宋" w:cs="仿宋"/>
      <w:b/>
      <w:bCs/>
      <w:color w:val="000000"/>
      <w:sz w:val="24"/>
      <w:szCs w:val="24"/>
      <w:u w:val="none"/>
    </w:rPr>
  </w:style>
  <w:style w:type="character" w:customStyle="1" w:styleId="116">
    <w:name w:val="font21"/>
    <w:basedOn w:val="37"/>
    <w:qFormat/>
    <w:uiPriority w:val="0"/>
    <w:rPr>
      <w:rFonts w:hint="eastAsia" w:ascii="宋体" w:hAnsi="宋体" w:eastAsia="宋体" w:cs="宋体"/>
      <w:b/>
      <w:bCs/>
      <w:color w:val="000000"/>
      <w:sz w:val="24"/>
      <w:szCs w:val="24"/>
      <w:u w:val="none"/>
    </w:rPr>
  </w:style>
  <w:style w:type="paragraph" w:customStyle="1" w:styleId="117">
    <w:name w:val="正文_3"/>
    <w:next w:val="1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页脚_1"/>
    <w:basedOn w:val="117"/>
    <w:unhideWhenUsed/>
    <w:qFormat/>
    <w:uiPriority w:val="0"/>
    <w:pPr>
      <w:tabs>
        <w:tab w:val="center" w:pos="4153"/>
        <w:tab w:val="right" w:pos="8306"/>
      </w:tabs>
      <w:snapToGrid w:val="0"/>
      <w:jc w:val="left"/>
    </w:pPr>
    <w:rPr>
      <w:sz w:val="18"/>
      <w:szCs w:val="18"/>
    </w:rPr>
  </w:style>
  <w:style w:type="paragraph" w:customStyle="1" w:styleId="119">
    <w:name w:val="No Spacing"/>
    <w:basedOn w:val="1"/>
    <w:qFormat/>
    <w:uiPriority w:val="1"/>
    <w:pPr>
      <w:spacing w:after="0" w:afterLines="0"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39217</Words>
  <Characters>41874</Characters>
  <Lines>231</Lines>
  <Paragraphs>65</Paragraphs>
  <TotalTime>0</TotalTime>
  <ScaleCrop>false</ScaleCrop>
  <LinksUpToDate>false</LinksUpToDate>
  <CharactersWithSpaces>44462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2019-05-29T18:24:00Z</dcterms:created>
  <dc:creator>微软中国</dc:creator>
  <cp:lastModifiedBy>鱼卷卷</cp:lastModifiedBy>
  <cp:lastPrinted>2023-06-25T09:13:00Z</cp:lastPrinted>
  <dcterms:modified xsi:type="dcterms:W3CDTF">2024-06-06T08:28:53Z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