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EE57A">
      <w:pPr>
        <w:wordWrap w:val="0"/>
        <w:jc w:val="right"/>
        <w:rPr>
          <w:rFonts w:hint="eastAsia" w:ascii="宋体" w:hAnsi="宋体" w:eastAsia="宋体" w:cs="宋体"/>
          <w:b/>
          <w:bCs/>
          <w:sz w:val="36"/>
          <w:szCs w:val="36"/>
          <w:highlight w:val="none"/>
          <w:lang w:val="en-US" w:eastAsia="zh-CN"/>
        </w:rPr>
      </w:pPr>
      <w:bookmarkStart w:id="173" w:name="_GoBack"/>
      <w:bookmarkEnd w:id="173"/>
      <w:r>
        <w:rPr>
          <w:rFonts w:hint="eastAsia" w:ascii="宋体" w:hAnsi="宋体" w:cs="宋体"/>
          <w:b/>
          <w:bCs/>
          <w:sz w:val="36"/>
          <w:szCs w:val="36"/>
          <w:highlight w:val="none"/>
          <w:lang w:val="en-US" w:eastAsia="zh-CN"/>
        </w:rPr>
        <w:t xml:space="preserve"> </w:t>
      </w:r>
    </w:p>
    <w:p w14:paraId="65A3D369">
      <w:pPr>
        <w:jc w:val="center"/>
        <w:rPr>
          <w:rFonts w:hint="default"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2025年陕州区西李村乡方里村玉露香梨产业配套设施项目（设备采购）二次</w:t>
      </w:r>
    </w:p>
    <w:p w14:paraId="50C32087">
      <w:pPr>
        <w:jc w:val="center"/>
        <w:rPr>
          <w:rFonts w:hint="eastAsia" w:ascii="宋体" w:hAnsi="宋体" w:cs="宋体"/>
          <w:b/>
          <w:bCs/>
          <w:sz w:val="48"/>
          <w:szCs w:val="48"/>
          <w:highlight w:val="none"/>
          <w:lang w:eastAsia="zh-CN"/>
        </w:rPr>
      </w:pPr>
    </w:p>
    <w:p w14:paraId="38434BD9">
      <w:pPr>
        <w:jc w:val="center"/>
        <w:rPr>
          <w:rFonts w:hint="eastAsia" w:ascii="宋体" w:hAnsi="宋体" w:cs="宋体"/>
          <w:b/>
          <w:bCs/>
          <w:sz w:val="48"/>
          <w:szCs w:val="48"/>
          <w:highlight w:val="none"/>
          <w:lang w:eastAsia="zh-CN"/>
        </w:rPr>
      </w:pPr>
    </w:p>
    <w:p w14:paraId="4E802570">
      <w:pPr>
        <w:jc w:val="center"/>
        <w:rPr>
          <w:rFonts w:hint="eastAsia" w:ascii="宋体" w:hAnsi="宋体"/>
          <w:b/>
          <w:sz w:val="72"/>
          <w:szCs w:val="72"/>
          <w:highlight w:val="none"/>
        </w:rPr>
      </w:pPr>
    </w:p>
    <w:p w14:paraId="5FAC2881">
      <w:pPr>
        <w:bidi w:val="0"/>
        <w:jc w:val="center"/>
        <w:rPr>
          <w:rFonts w:hint="eastAsia"/>
          <w:b/>
          <w:bCs/>
          <w:sz w:val="52"/>
          <w:szCs w:val="56"/>
          <w:highlight w:val="none"/>
        </w:rPr>
      </w:pPr>
      <w:r>
        <w:rPr>
          <w:rFonts w:hint="eastAsia"/>
          <w:b/>
          <w:bCs/>
          <w:sz w:val="72"/>
          <w:szCs w:val="96"/>
          <w:highlight w:val="none"/>
        </w:rPr>
        <w:t>竞争性磋商文件</w:t>
      </w:r>
    </w:p>
    <w:p w14:paraId="3B2A24C0">
      <w:pPr>
        <w:spacing w:line="540" w:lineRule="exact"/>
        <w:jc w:val="both"/>
        <w:rPr>
          <w:rFonts w:ascii="宋体" w:hAnsi="宋体" w:cs="宋体"/>
          <w:sz w:val="28"/>
          <w:szCs w:val="28"/>
          <w:highlight w:val="none"/>
        </w:rPr>
      </w:pPr>
    </w:p>
    <w:p w14:paraId="636C1E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hint="default" w:ascii="宋体" w:hAnsi="宋体" w:cs="宋体"/>
          <w:color w:val="000000" w:themeColor="text1"/>
          <w:sz w:val="36"/>
          <w:szCs w:val="36"/>
          <w:highlight w:val="none"/>
          <w:lang w:val="en-US"/>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"javascript:;" \o "2025年陕州区西李村乡方里村玉露香梨产业配套设施项目（设备采购）"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rPr>
        <w:fldChar w:fldCharType="end"/>
      </w:r>
      <w:r>
        <w:rPr>
          <w:rFonts w:hint="eastAsia" w:ascii="宋体" w:hAnsi="宋体" w:cs="宋体"/>
          <w:color w:val="auto"/>
          <w:sz w:val="36"/>
          <w:szCs w:val="36"/>
          <w:highlight w:val="none"/>
        </w:rPr>
        <w:fldChar w:fldCharType="begin"/>
      </w:r>
      <w:r>
        <w:rPr>
          <w:rFonts w:hint="eastAsia" w:ascii="宋体" w:hAnsi="宋体" w:cs="宋体"/>
          <w:color w:val="auto"/>
          <w:sz w:val="36"/>
          <w:szCs w:val="36"/>
          <w:highlight w:val="none"/>
        </w:rPr>
        <w:instrText xml:space="preserve"> HYPERLINK "javascript:;" </w:instrText>
      </w:r>
      <w:r>
        <w:rPr>
          <w:rFonts w:hint="eastAsia" w:ascii="宋体" w:hAnsi="宋体" w:cs="宋体"/>
          <w:color w:val="auto"/>
          <w:sz w:val="36"/>
          <w:szCs w:val="36"/>
          <w:highlight w:val="none"/>
        </w:rPr>
        <w:fldChar w:fldCharType="separate"/>
      </w:r>
      <w:r>
        <w:rPr>
          <w:rFonts w:hint="eastAsia" w:ascii="宋体" w:hAnsi="宋体" w:cs="宋体"/>
          <w:color w:val="auto"/>
          <w:sz w:val="36"/>
          <w:szCs w:val="36"/>
          <w:highlight w:val="none"/>
          <w:lang w:eastAsia="zh-CN"/>
        </w:rPr>
        <w:t>SZGZ[2025]071-ZC043</w:t>
      </w:r>
      <w:r>
        <w:rPr>
          <w:rFonts w:hint="eastAsia" w:ascii="宋体" w:hAnsi="宋体" w:cs="宋体"/>
          <w:color w:val="auto"/>
          <w:sz w:val="36"/>
          <w:szCs w:val="36"/>
          <w:highlight w:val="none"/>
        </w:rPr>
        <w:fldChar w:fldCharType="end"/>
      </w:r>
      <w:r>
        <w:rPr>
          <w:rFonts w:hint="eastAsia" w:ascii="宋体" w:hAnsi="宋体" w:cs="宋体"/>
          <w:color w:val="000000" w:themeColor="text1"/>
          <w:sz w:val="36"/>
          <w:szCs w:val="36"/>
          <w:highlight w:val="none"/>
          <w:lang w:val="en-US" w:eastAsia="zh-CN"/>
          <w14:textFill>
            <w14:solidFill>
              <w14:schemeClr w14:val="tx1"/>
            </w14:solidFill>
          </w14:textFill>
        </w:rPr>
        <w:t xml:space="preserve">  陕州竞磋采购-2025-28</w:t>
      </w:r>
    </w:p>
    <w:p w14:paraId="7912F5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C00000"/>
          <w:sz w:val="20"/>
          <w:szCs w:val="20"/>
        </w:rPr>
      </w:pPr>
    </w:p>
    <w:p w14:paraId="63C489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C00000"/>
          <w:sz w:val="21"/>
          <w:szCs w:val="21"/>
        </w:rPr>
      </w:pPr>
    </w:p>
    <w:p w14:paraId="18F0D7CB">
      <w:pPr>
        <w:spacing w:line="540" w:lineRule="exact"/>
        <w:jc w:val="both"/>
        <w:rPr>
          <w:rFonts w:hint="eastAsia" w:ascii="宋体" w:hAnsi="宋体" w:cs="宋体"/>
          <w:sz w:val="40"/>
          <w:szCs w:val="40"/>
          <w:highlight w:val="none"/>
        </w:rPr>
      </w:pPr>
    </w:p>
    <w:p w14:paraId="0EC0667A">
      <w:pPr>
        <w:spacing w:line="360" w:lineRule="auto"/>
        <w:jc w:val="center"/>
        <w:rPr>
          <w:highlight w:val="none"/>
        </w:rPr>
      </w:pPr>
    </w:p>
    <w:p w14:paraId="20BD1A0C">
      <w:pPr>
        <w:spacing w:line="360" w:lineRule="auto"/>
        <w:jc w:val="center"/>
        <w:rPr>
          <w:rFonts w:ascii="黑体" w:hAnsi="黑体" w:eastAsia="黑体" w:cs="黑体"/>
          <w:b/>
          <w:bCs/>
          <w:sz w:val="30"/>
          <w:szCs w:val="30"/>
          <w:highlight w:val="none"/>
        </w:rPr>
      </w:pPr>
      <w:r>
        <w:rPr>
          <w:rFonts w:hint="eastAsia" w:ascii="宋体" w:hAnsi="宋体" w:eastAsia="宋体" w:cs="宋体"/>
          <w:b/>
          <w:bCs/>
          <w:highlight w:val="none"/>
        </w:rPr>
        <w:drawing>
          <wp:inline distT="0" distB="0" distL="114300" distR="114300">
            <wp:extent cx="2070735" cy="1884680"/>
            <wp:effectExtent l="0" t="0" r="571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070735" cy="1884680"/>
                    </a:xfrm>
                    <a:prstGeom prst="rect">
                      <a:avLst/>
                    </a:prstGeom>
                    <a:noFill/>
                    <a:ln>
                      <a:noFill/>
                    </a:ln>
                  </pic:spPr>
                </pic:pic>
              </a:graphicData>
            </a:graphic>
          </wp:inline>
        </w:drawing>
      </w:r>
    </w:p>
    <w:p w14:paraId="28BA7119">
      <w:pPr>
        <w:spacing w:line="360" w:lineRule="auto"/>
        <w:rPr>
          <w:rFonts w:hint="eastAsia" w:ascii="宋体" w:hAnsi="宋体" w:eastAsia="宋体" w:cs="宋体"/>
          <w:sz w:val="30"/>
          <w:szCs w:val="30"/>
          <w:highlight w:val="none"/>
          <w:lang w:eastAsia="zh-CN"/>
        </w:rPr>
      </w:pPr>
    </w:p>
    <w:p w14:paraId="3DF122BE">
      <w:pPr>
        <w:spacing w:line="360" w:lineRule="auto"/>
        <w:ind w:firstLine="900" w:firstLineChars="300"/>
        <w:rPr>
          <w:rFonts w:hint="eastAsia" w:ascii="宋体" w:hAnsi="宋体" w:eastAsia="宋体" w:cs="Times New Roman"/>
          <w:bCs/>
          <w:color w:val="000000"/>
          <w:sz w:val="24"/>
          <w:u w:val="single"/>
          <w:lang w:eastAsia="zh-CN"/>
        </w:rPr>
      </w:pPr>
      <w:r>
        <w:rPr>
          <w:rFonts w:hint="eastAsia" w:ascii="宋体" w:hAnsi="宋体" w:cs="宋体"/>
          <w:sz w:val="30"/>
          <w:szCs w:val="30"/>
          <w:highlight w:val="none"/>
          <w:lang w:val="en-US" w:eastAsia="zh-CN"/>
        </w:rPr>
        <w:t>采购</w:t>
      </w:r>
      <w:r>
        <w:rPr>
          <w:rFonts w:hint="eastAsia" w:ascii="宋体" w:hAnsi="宋体" w:eastAsia="宋体" w:cs="宋体"/>
          <w:sz w:val="30"/>
          <w:szCs w:val="30"/>
          <w:highlight w:val="none"/>
          <w:lang w:eastAsia="zh-CN"/>
        </w:rPr>
        <w:t>人：</w:t>
      </w:r>
      <w:r>
        <w:rPr>
          <w:rFonts w:hint="eastAsia" w:ascii="宋体" w:hAnsi="宋体" w:cs="宋体"/>
          <w:sz w:val="30"/>
          <w:szCs w:val="30"/>
          <w:highlight w:val="none"/>
          <w:lang w:eastAsia="zh-CN"/>
        </w:rPr>
        <w:t>三门峡市陕州区西李村乡人民政府</w:t>
      </w:r>
    </w:p>
    <w:p w14:paraId="547F38F7">
      <w:pPr>
        <w:spacing w:line="360" w:lineRule="auto"/>
        <w:ind w:firstLine="900" w:firstLineChars="300"/>
        <w:rPr>
          <w:rFonts w:hint="eastAsia" w:ascii="宋体" w:hAnsi="宋体" w:eastAsia="宋体" w:cs="宋体"/>
          <w:sz w:val="30"/>
          <w:szCs w:val="30"/>
          <w:highlight w:val="none"/>
          <w:lang w:eastAsia="zh-CN"/>
        </w:rPr>
      </w:pPr>
      <w:r>
        <w:rPr>
          <w:rFonts w:hint="eastAsia" w:ascii="宋体" w:hAnsi="宋体" w:cs="宋体"/>
          <w:sz w:val="30"/>
          <w:szCs w:val="30"/>
          <w:highlight w:val="none"/>
          <w:lang w:val="en-US" w:eastAsia="zh-CN"/>
        </w:rPr>
        <w:t>采购</w:t>
      </w:r>
      <w:r>
        <w:rPr>
          <w:rFonts w:hint="eastAsia" w:ascii="宋体" w:hAnsi="宋体" w:eastAsia="宋体" w:cs="宋体"/>
          <w:sz w:val="30"/>
          <w:szCs w:val="30"/>
          <w:highlight w:val="none"/>
          <w:lang w:eastAsia="zh-CN"/>
        </w:rPr>
        <w:t>代理机构：中诚联创工程管理有限公司</w:t>
      </w:r>
    </w:p>
    <w:p w14:paraId="3A6724EB">
      <w:pPr>
        <w:tabs>
          <w:tab w:val="left" w:pos="8820"/>
          <w:tab w:val="left" w:pos="9000"/>
        </w:tabs>
        <w:spacing w:line="360" w:lineRule="auto"/>
        <w:ind w:firstLine="900" w:firstLineChars="300"/>
        <w:rPr>
          <w:rFonts w:hint="eastAsia" w:hAnsi="宋体" w:cs="宋体"/>
          <w:b/>
          <w:bCs/>
          <w:sz w:val="28"/>
          <w:szCs w:val="28"/>
          <w:highlight w:val="none"/>
        </w:rPr>
        <w:sectPr>
          <w:footerReference r:id="rId3" w:type="default"/>
          <w:pgSz w:w="11907" w:h="16840"/>
          <w:pgMar w:top="1400" w:right="1418" w:bottom="1089" w:left="1418" w:header="624" w:footer="747" w:gutter="0"/>
          <w:cols w:space="720" w:num="1"/>
          <w:titlePg/>
          <w:docGrid w:type="linesAndChars" w:linePitch="312" w:charSpace="0"/>
        </w:sectPr>
      </w:pPr>
      <w:r>
        <w:rPr>
          <w:rFonts w:hint="eastAsia" w:ascii="宋体" w:hAnsi="宋体" w:cs="宋体"/>
          <w:sz w:val="30"/>
          <w:szCs w:val="30"/>
          <w:highlight w:val="none"/>
        </w:rPr>
        <w:t>日        期：</w:t>
      </w:r>
      <w:r>
        <w:rPr>
          <w:rFonts w:hint="eastAsia" w:ascii="宋体" w:hAnsi="宋体" w:cs="宋体"/>
          <w:spacing w:val="20"/>
          <w:sz w:val="30"/>
          <w:szCs w:val="30"/>
          <w:highlight w:val="none"/>
        </w:rPr>
        <w:t>二</w:t>
      </w:r>
      <w:r>
        <w:rPr>
          <w:rFonts w:hint="eastAsia" w:ascii="宋体" w:hAnsi="宋体" w:cs="宋体"/>
          <w:spacing w:val="20"/>
          <w:sz w:val="30"/>
          <w:szCs w:val="30"/>
          <w:highlight w:val="none"/>
          <w:lang w:eastAsia="zh-CN"/>
        </w:rPr>
        <w:t>零</w:t>
      </w:r>
      <w:r>
        <w:rPr>
          <w:rFonts w:hint="eastAsia" w:ascii="宋体" w:hAnsi="宋体" w:cs="宋体"/>
          <w:spacing w:val="20"/>
          <w:sz w:val="30"/>
          <w:szCs w:val="30"/>
          <w:highlight w:val="none"/>
        </w:rPr>
        <w:t>二</w:t>
      </w:r>
      <w:r>
        <w:rPr>
          <w:rFonts w:hint="eastAsia" w:ascii="宋体" w:hAnsi="宋体" w:cs="宋体"/>
          <w:spacing w:val="20"/>
          <w:sz w:val="30"/>
          <w:szCs w:val="30"/>
          <w:highlight w:val="none"/>
          <w:lang w:val="en-US" w:eastAsia="zh-CN"/>
        </w:rPr>
        <w:t>五</w:t>
      </w:r>
      <w:r>
        <w:rPr>
          <w:rFonts w:hint="eastAsia" w:ascii="宋体" w:hAnsi="宋体" w:cs="宋体"/>
          <w:color w:val="auto"/>
          <w:spacing w:val="20"/>
          <w:sz w:val="30"/>
          <w:szCs w:val="30"/>
          <w:highlight w:val="none"/>
        </w:rPr>
        <w:t>年</w:t>
      </w:r>
      <w:r>
        <w:rPr>
          <w:rFonts w:hint="eastAsia" w:ascii="宋体" w:hAnsi="宋体" w:cs="宋体"/>
          <w:color w:val="auto"/>
          <w:spacing w:val="20"/>
          <w:sz w:val="30"/>
          <w:szCs w:val="30"/>
          <w:highlight w:val="none"/>
          <w:lang w:val="en-US" w:eastAsia="zh-CN"/>
        </w:rPr>
        <w:t>五月</w:t>
      </w:r>
      <w:r>
        <w:rPr>
          <w:rFonts w:hint="eastAsia" w:ascii="宋体" w:hAnsi="宋体" w:cs="宋体"/>
          <w:color w:val="FF0000"/>
          <w:spacing w:val="20"/>
          <w:sz w:val="30"/>
          <w:szCs w:val="30"/>
          <w:highlight w:val="none"/>
          <w:lang w:val="en-US" w:eastAsia="zh-CN"/>
        </w:rPr>
        <w:t xml:space="preserve">  </w:t>
      </w:r>
    </w:p>
    <w:sdt>
      <w:sdtPr>
        <w:rPr>
          <w:rFonts w:ascii="宋体" w:hAnsi="宋体" w:eastAsia="宋体" w:cs="Times New Roman"/>
          <w:kern w:val="2"/>
          <w:sz w:val="21"/>
          <w:szCs w:val="22"/>
          <w:lang w:val="en-US" w:eastAsia="zh-CN" w:bidi="ar-SA"/>
        </w:rPr>
        <w:id w:val="147461572"/>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14:paraId="2594DACF">
          <w:pPr>
            <w:spacing w:before="0" w:beforeLines="0" w:after="0" w:afterLines="0" w:line="240" w:lineRule="auto"/>
            <w:ind w:left="0" w:leftChars="0" w:right="0" w:rightChars="0" w:firstLine="0" w:firstLineChars="0"/>
            <w:jc w:val="center"/>
            <w:rPr>
              <w:sz w:val="24"/>
              <w:szCs w:val="28"/>
            </w:rPr>
          </w:pPr>
          <w:bookmarkStart w:id="0" w:name="_Toc11855"/>
          <w:bookmarkStart w:id="1" w:name="OLE_LINK11"/>
          <w:r>
            <w:rPr>
              <w:rFonts w:ascii="宋体" w:hAnsi="宋体" w:eastAsia="宋体"/>
              <w:b/>
              <w:bCs/>
              <w:sz w:val="32"/>
              <w:szCs w:val="36"/>
            </w:rPr>
            <w:t>目录</w:t>
          </w:r>
        </w:p>
        <w:p w14:paraId="372F71B0">
          <w:pPr>
            <w:pStyle w:val="12"/>
            <w:tabs>
              <w:tab w:val="right" w:leader="dot" w:pos="9632"/>
              <w:tab w:val="clear" w:pos="8302"/>
            </w:tabs>
            <w:rPr>
              <w:sz w:val="24"/>
              <w:szCs w:val="24"/>
            </w:rPr>
          </w:pPr>
          <w:r>
            <w:rPr>
              <w:sz w:val="24"/>
              <w:szCs w:val="24"/>
            </w:rPr>
            <w:fldChar w:fldCharType="begin"/>
          </w:r>
          <w:r>
            <w:rPr>
              <w:sz w:val="24"/>
              <w:szCs w:val="24"/>
            </w:rPr>
            <w:instrText xml:space="preserve">TOC \o "1-1" \h \u </w:instrText>
          </w:r>
          <w:r>
            <w:rPr>
              <w:sz w:val="24"/>
              <w:szCs w:val="24"/>
            </w:rPr>
            <w:fldChar w:fldCharType="separate"/>
          </w:r>
          <w:r>
            <w:rPr>
              <w:sz w:val="24"/>
              <w:szCs w:val="24"/>
            </w:rPr>
            <w:fldChar w:fldCharType="begin"/>
          </w:r>
          <w:r>
            <w:rPr>
              <w:sz w:val="24"/>
              <w:szCs w:val="24"/>
            </w:rPr>
            <w:instrText xml:space="preserve"> HYPERLINK \l _Toc8180 </w:instrText>
          </w:r>
          <w:r>
            <w:rPr>
              <w:sz w:val="24"/>
              <w:szCs w:val="24"/>
            </w:rPr>
            <w:fldChar w:fldCharType="separate"/>
          </w:r>
          <w:r>
            <w:rPr>
              <w:rFonts w:hint="eastAsia"/>
              <w:sz w:val="24"/>
              <w:szCs w:val="24"/>
              <w:lang w:val="en-US" w:eastAsia="zh-CN"/>
            </w:rPr>
            <w:t xml:space="preserve">第一章 </w:t>
          </w:r>
          <w:r>
            <w:rPr>
              <w:rFonts w:hint="eastAsia"/>
              <w:sz w:val="24"/>
              <w:szCs w:val="32"/>
              <w:highlight w:val="none"/>
              <w:lang w:val="en-US" w:eastAsia="zh-CN"/>
            </w:rPr>
            <w:t>竞争性磋商公告</w:t>
          </w:r>
          <w:r>
            <w:rPr>
              <w:sz w:val="24"/>
              <w:szCs w:val="24"/>
            </w:rPr>
            <w:tab/>
          </w:r>
          <w:r>
            <w:rPr>
              <w:rFonts w:hint="eastAsia"/>
              <w:sz w:val="24"/>
              <w:szCs w:val="24"/>
              <w:lang w:val="en-US" w:eastAsia="zh-CN"/>
            </w:rPr>
            <w:t>3</w:t>
          </w:r>
          <w:r>
            <w:rPr>
              <w:sz w:val="24"/>
              <w:szCs w:val="24"/>
            </w:rPr>
            <w:fldChar w:fldCharType="end"/>
          </w:r>
        </w:p>
        <w:p w14:paraId="5F21EA42">
          <w:pPr>
            <w:pStyle w:val="12"/>
            <w:tabs>
              <w:tab w:val="right" w:leader="dot" w:pos="9632"/>
              <w:tab w:val="clear" w:pos="8302"/>
            </w:tabs>
            <w:rPr>
              <w:sz w:val="24"/>
              <w:szCs w:val="24"/>
            </w:rPr>
          </w:pPr>
          <w:r>
            <w:rPr>
              <w:sz w:val="24"/>
              <w:szCs w:val="24"/>
            </w:rPr>
            <w:fldChar w:fldCharType="begin"/>
          </w:r>
          <w:r>
            <w:rPr>
              <w:sz w:val="24"/>
              <w:szCs w:val="24"/>
            </w:rPr>
            <w:instrText xml:space="preserve"> HYPERLINK \l _Toc14828 </w:instrText>
          </w:r>
          <w:r>
            <w:rPr>
              <w:sz w:val="24"/>
              <w:szCs w:val="24"/>
            </w:rPr>
            <w:fldChar w:fldCharType="separate"/>
          </w:r>
          <w:r>
            <w:rPr>
              <w:rFonts w:hint="eastAsia"/>
              <w:sz w:val="24"/>
              <w:szCs w:val="24"/>
            </w:rPr>
            <w:t>第二章 响应人须知</w:t>
          </w:r>
          <w:r>
            <w:rPr>
              <w:sz w:val="24"/>
              <w:szCs w:val="24"/>
            </w:rPr>
            <w:tab/>
          </w:r>
          <w:r>
            <w:rPr>
              <w:sz w:val="24"/>
              <w:szCs w:val="24"/>
            </w:rPr>
            <w:fldChar w:fldCharType="begin"/>
          </w:r>
          <w:r>
            <w:rPr>
              <w:sz w:val="24"/>
              <w:szCs w:val="24"/>
            </w:rPr>
            <w:instrText xml:space="preserve"> PAGEREF _Toc14828 \h </w:instrText>
          </w:r>
          <w:r>
            <w:rPr>
              <w:sz w:val="24"/>
              <w:szCs w:val="24"/>
            </w:rPr>
            <w:fldChar w:fldCharType="separate"/>
          </w:r>
          <w:r>
            <w:rPr>
              <w:sz w:val="24"/>
              <w:szCs w:val="24"/>
            </w:rPr>
            <w:t>10</w:t>
          </w:r>
          <w:r>
            <w:rPr>
              <w:sz w:val="24"/>
              <w:szCs w:val="24"/>
            </w:rPr>
            <w:fldChar w:fldCharType="end"/>
          </w:r>
          <w:r>
            <w:rPr>
              <w:sz w:val="24"/>
              <w:szCs w:val="24"/>
            </w:rPr>
            <w:fldChar w:fldCharType="end"/>
          </w:r>
        </w:p>
        <w:p w14:paraId="0C84AC70">
          <w:pPr>
            <w:pStyle w:val="12"/>
            <w:tabs>
              <w:tab w:val="right" w:leader="dot" w:pos="9632"/>
              <w:tab w:val="clear" w:pos="8302"/>
            </w:tabs>
            <w:rPr>
              <w:sz w:val="24"/>
              <w:szCs w:val="24"/>
            </w:rPr>
          </w:pPr>
          <w:r>
            <w:rPr>
              <w:sz w:val="24"/>
              <w:szCs w:val="24"/>
            </w:rPr>
            <w:fldChar w:fldCharType="begin"/>
          </w:r>
          <w:r>
            <w:rPr>
              <w:sz w:val="24"/>
              <w:szCs w:val="24"/>
            </w:rPr>
            <w:instrText xml:space="preserve"> HYPERLINK \l _Toc19546 </w:instrText>
          </w:r>
          <w:r>
            <w:rPr>
              <w:sz w:val="24"/>
              <w:szCs w:val="24"/>
            </w:rPr>
            <w:fldChar w:fldCharType="separate"/>
          </w:r>
          <w:r>
            <w:rPr>
              <w:rFonts w:hint="eastAsia"/>
              <w:sz w:val="24"/>
              <w:szCs w:val="24"/>
            </w:rPr>
            <w:t>第三章 磋商办法</w:t>
          </w:r>
          <w:r>
            <w:rPr>
              <w:sz w:val="24"/>
              <w:szCs w:val="24"/>
            </w:rPr>
            <w:tab/>
          </w:r>
          <w:r>
            <w:rPr>
              <w:sz w:val="24"/>
              <w:szCs w:val="24"/>
            </w:rPr>
            <w:fldChar w:fldCharType="begin"/>
          </w:r>
          <w:r>
            <w:rPr>
              <w:sz w:val="24"/>
              <w:szCs w:val="24"/>
            </w:rPr>
            <w:instrText xml:space="preserve"> PAGEREF _Toc19546 \h </w:instrText>
          </w:r>
          <w:r>
            <w:rPr>
              <w:sz w:val="24"/>
              <w:szCs w:val="24"/>
            </w:rPr>
            <w:fldChar w:fldCharType="separate"/>
          </w:r>
          <w:r>
            <w:rPr>
              <w:sz w:val="24"/>
              <w:szCs w:val="24"/>
            </w:rPr>
            <w:t>28</w:t>
          </w:r>
          <w:r>
            <w:rPr>
              <w:sz w:val="24"/>
              <w:szCs w:val="24"/>
            </w:rPr>
            <w:fldChar w:fldCharType="end"/>
          </w:r>
          <w:r>
            <w:rPr>
              <w:sz w:val="24"/>
              <w:szCs w:val="24"/>
            </w:rPr>
            <w:fldChar w:fldCharType="end"/>
          </w:r>
        </w:p>
        <w:p w14:paraId="77CEB9B2">
          <w:pPr>
            <w:pStyle w:val="12"/>
            <w:tabs>
              <w:tab w:val="right" w:leader="dot" w:pos="9632"/>
              <w:tab w:val="clear" w:pos="8302"/>
            </w:tabs>
            <w:rPr>
              <w:sz w:val="24"/>
              <w:szCs w:val="24"/>
            </w:rPr>
          </w:pPr>
          <w:r>
            <w:rPr>
              <w:sz w:val="24"/>
              <w:szCs w:val="24"/>
            </w:rPr>
            <w:fldChar w:fldCharType="begin"/>
          </w:r>
          <w:r>
            <w:rPr>
              <w:sz w:val="24"/>
              <w:szCs w:val="24"/>
            </w:rPr>
            <w:instrText xml:space="preserve"> HYPERLINK \l _Toc15593 </w:instrText>
          </w:r>
          <w:r>
            <w:rPr>
              <w:sz w:val="24"/>
              <w:szCs w:val="24"/>
            </w:rPr>
            <w:fldChar w:fldCharType="separate"/>
          </w:r>
          <w:r>
            <w:rPr>
              <w:rFonts w:hint="eastAsia"/>
              <w:sz w:val="24"/>
              <w:szCs w:val="24"/>
            </w:rPr>
            <w:t>第四章 合同条款及格式</w:t>
          </w:r>
          <w:r>
            <w:rPr>
              <w:sz w:val="24"/>
              <w:szCs w:val="24"/>
            </w:rPr>
            <w:tab/>
          </w:r>
          <w:r>
            <w:rPr>
              <w:sz w:val="24"/>
              <w:szCs w:val="24"/>
            </w:rPr>
            <w:fldChar w:fldCharType="begin"/>
          </w:r>
          <w:r>
            <w:rPr>
              <w:sz w:val="24"/>
              <w:szCs w:val="24"/>
            </w:rPr>
            <w:instrText xml:space="preserve"> PAGEREF _Toc15593 \h </w:instrText>
          </w:r>
          <w:r>
            <w:rPr>
              <w:sz w:val="24"/>
              <w:szCs w:val="24"/>
            </w:rPr>
            <w:fldChar w:fldCharType="separate"/>
          </w:r>
          <w:r>
            <w:rPr>
              <w:sz w:val="24"/>
              <w:szCs w:val="24"/>
            </w:rPr>
            <w:t>43</w:t>
          </w:r>
          <w:r>
            <w:rPr>
              <w:sz w:val="24"/>
              <w:szCs w:val="24"/>
            </w:rPr>
            <w:fldChar w:fldCharType="end"/>
          </w:r>
          <w:r>
            <w:rPr>
              <w:sz w:val="24"/>
              <w:szCs w:val="24"/>
            </w:rPr>
            <w:fldChar w:fldCharType="end"/>
          </w:r>
        </w:p>
        <w:p w14:paraId="29DA3274">
          <w:pPr>
            <w:pStyle w:val="12"/>
            <w:tabs>
              <w:tab w:val="right" w:leader="dot" w:pos="9632"/>
              <w:tab w:val="clear" w:pos="8302"/>
            </w:tabs>
            <w:rPr>
              <w:sz w:val="24"/>
              <w:szCs w:val="24"/>
            </w:rPr>
          </w:pPr>
          <w:r>
            <w:rPr>
              <w:sz w:val="24"/>
              <w:szCs w:val="24"/>
            </w:rPr>
            <w:fldChar w:fldCharType="begin"/>
          </w:r>
          <w:r>
            <w:rPr>
              <w:sz w:val="24"/>
              <w:szCs w:val="24"/>
            </w:rPr>
            <w:instrText xml:space="preserve"> HYPERLINK \l _Toc12817 </w:instrText>
          </w:r>
          <w:r>
            <w:rPr>
              <w:sz w:val="24"/>
              <w:szCs w:val="24"/>
            </w:rPr>
            <w:fldChar w:fldCharType="separate"/>
          </w:r>
          <w:r>
            <w:rPr>
              <w:rFonts w:hint="eastAsia"/>
              <w:sz w:val="24"/>
              <w:szCs w:val="24"/>
            </w:rPr>
            <w:t xml:space="preserve">第五章 </w:t>
          </w:r>
          <w:r>
            <w:rPr>
              <w:rFonts w:hint="eastAsia"/>
              <w:sz w:val="24"/>
              <w:szCs w:val="24"/>
              <w:lang w:val="en-US" w:eastAsia="zh-CN"/>
            </w:rPr>
            <w:t>采购</w:t>
          </w:r>
          <w:r>
            <w:rPr>
              <w:rFonts w:hint="eastAsia"/>
              <w:sz w:val="24"/>
              <w:szCs w:val="24"/>
            </w:rPr>
            <w:t>清单</w:t>
          </w:r>
          <w:r>
            <w:rPr>
              <w:sz w:val="24"/>
              <w:szCs w:val="24"/>
            </w:rPr>
            <w:tab/>
          </w:r>
          <w:r>
            <w:rPr>
              <w:sz w:val="24"/>
              <w:szCs w:val="24"/>
            </w:rPr>
            <w:fldChar w:fldCharType="begin"/>
          </w:r>
          <w:r>
            <w:rPr>
              <w:sz w:val="24"/>
              <w:szCs w:val="24"/>
            </w:rPr>
            <w:instrText xml:space="preserve"> PAGEREF _Toc12817 \h </w:instrText>
          </w:r>
          <w:r>
            <w:rPr>
              <w:sz w:val="24"/>
              <w:szCs w:val="24"/>
            </w:rPr>
            <w:fldChar w:fldCharType="separate"/>
          </w:r>
          <w:r>
            <w:rPr>
              <w:sz w:val="24"/>
              <w:szCs w:val="24"/>
            </w:rPr>
            <w:t>63</w:t>
          </w:r>
          <w:r>
            <w:rPr>
              <w:sz w:val="24"/>
              <w:szCs w:val="24"/>
            </w:rPr>
            <w:fldChar w:fldCharType="end"/>
          </w:r>
          <w:r>
            <w:rPr>
              <w:sz w:val="24"/>
              <w:szCs w:val="24"/>
            </w:rPr>
            <w:fldChar w:fldCharType="end"/>
          </w:r>
        </w:p>
        <w:p w14:paraId="4D0ADF17">
          <w:pPr>
            <w:pStyle w:val="12"/>
            <w:tabs>
              <w:tab w:val="right" w:leader="dot" w:pos="9632"/>
              <w:tab w:val="clear" w:pos="8302"/>
            </w:tabs>
            <w:rPr>
              <w:sz w:val="24"/>
              <w:szCs w:val="24"/>
            </w:rPr>
          </w:pPr>
          <w:r>
            <w:rPr>
              <w:sz w:val="24"/>
              <w:szCs w:val="24"/>
            </w:rPr>
            <w:fldChar w:fldCharType="begin"/>
          </w:r>
          <w:r>
            <w:rPr>
              <w:sz w:val="24"/>
              <w:szCs w:val="24"/>
            </w:rPr>
            <w:instrText xml:space="preserve"> HYPERLINK \l _Toc31722 </w:instrText>
          </w:r>
          <w:r>
            <w:rPr>
              <w:sz w:val="24"/>
              <w:szCs w:val="24"/>
            </w:rPr>
            <w:fldChar w:fldCharType="separate"/>
          </w:r>
          <w:r>
            <w:rPr>
              <w:rFonts w:hint="eastAsia"/>
              <w:sz w:val="24"/>
              <w:szCs w:val="24"/>
              <w:lang w:val="en-US" w:eastAsia="zh-CN"/>
            </w:rPr>
            <w:t xml:space="preserve">第六章 </w:t>
          </w:r>
          <w:r>
            <w:rPr>
              <w:rFonts w:hint="eastAsia"/>
              <w:sz w:val="24"/>
              <w:szCs w:val="24"/>
            </w:rPr>
            <w:t>响应文件格式</w:t>
          </w:r>
          <w:r>
            <w:rPr>
              <w:sz w:val="24"/>
              <w:szCs w:val="24"/>
            </w:rPr>
            <w:tab/>
          </w:r>
          <w:r>
            <w:rPr>
              <w:sz w:val="24"/>
              <w:szCs w:val="24"/>
            </w:rPr>
            <w:fldChar w:fldCharType="begin"/>
          </w:r>
          <w:r>
            <w:rPr>
              <w:sz w:val="24"/>
              <w:szCs w:val="24"/>
            </w:rPr>
            <w:instrText xml:space="preserve"> PAGEREF _Toc31722 \h </w:instrText>
          </w:r>
          <w:r>
            <w:rPr>
              <w:sz w:val="24"/>
              <w:szCs w:val="24"/>
            </w:rPr>
            <w:fldChar w:fldCharType="separate"/>
          </w:r>
          <w:r>
            <w:rPr>
              <w:sz w:val="24"/>
              <w:szCs w:val="24"/>
            </w:rPr>
            <w:t>64</w:t>
          </w:r>
          <w:r>
            <w:rPr>
              <w:sz w:val="24"/>
              <w:szCs w:val="24"/>
            </w:rPr>
            <w:fldChar w:fldCharType="end"/>
          </w:r>
          <w:r>
            <w:rPr>
              <w:sz w:val="24"/>
              <w:szCs w:val="24"/>
            </w:rPr>
            <w:fldChar w:fldCharType="end"/>
          </w:r>
        </w:p>
        <w:p w14:paraId="2C1605BB">
          <w:pPr>
            <w:sectPr>
              <w:headerReference r:id="rId4" w:type="default"/>
              <w:pgSz w:w="11900" w:h="16838"/>
              <w:pgMar w:top="1077" w:right="1134" w:bottom="1077" w:left="1134" w:header="720" w:footer="720" w:gutter="0"/>
              <w:cols w:space="720" w:num="1"/>
              <w:docGrid w:type="lines" w:linePitch="360" w:charSpace="0"/>
            </w:sectPr>
          </w:pPr>
          <w:r>
            <w:rPr>
              <w:sz w:val="22"/>
              <w:szCs w:val="22"/>
            </w:rPr>
            <w:fldChar w:fldCharType="end"/>
          </w:r>
        </w:p>
      </w:sdtContent>
    </w:sdt>
    <w:p w14:paraId="360DC0AD">
      <w:pPr>
        <w:pStyle w:val="2"/>
        <w:bidi w:val="0"/>
        <w:jc w:val="center"/>
        <w:outlineLvl w:val="9"/>
        <w:rPr>
          <w:rFonts w:hint="eastAsia"/>
        </w:rPr>
      </w:pPr>
      <w:r>
        <w:t>第一章</w:t>
      </w:r>
      <w:r>
        <w:rPr>
          <w:rFonts w:hint="eastAsia"/>
        </w:rPr>
        <w:t xml:space="preserve"> 竞争性磋商公告</w:t>
      </w:r>
      <w:bookmarkEnd w:id="0"/>
    </w:p>
    <w:p w14:paraId="0C90C4BF">
      <w:pPr>
        <w:spacing w:line="480" w:lineRule="exact"/>
        <w:rPr>
          <w:rFonts w:ascii="宋体" w:hAnsi="宋体"/>
          <w:sz w:val="24"/>
          <w:szCs w:val="24"/>
        </w:rPr>
      </w:pPr>
      <w:r>
        <w:rPr>
          <w:rFonts w:ascii="宋体" w:hAnsi="宋体"/>
          <w:sz w:val="24"/>
          <w:szCs w:val="24"/>
        </w:rPr>
        <w:t>项目概况</w:t>
      </w:r>
    </w:p>
    <w:p w14:paraId="362F11AC">
      <w:pPr>
        <w:spacing w:line="48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cs="宋体"/>
          <w:sz w:val="24"/>
          <w:szCs w:val="24"/>
          <w:highlight w:val="none"/>
          <w:lang w:val="en-US" w:eastAsia="zh-CN"/>
        </w:rPr>
        <w:t>2025年陕州区西李村乡方里村玉露香梨产业配套设施项目（设备采购）二次的</w:t>
      </w:r>
      <w:r>
        <w:rPr>
          <w:rFonts w:hint="eastAsia" w:ascii="宋体" w:hAnsi="宋体" w:cs="宋体"/>
          <w:sz w:val="24"/>
          <w:szCs w:val="24"/>
        </w:rPr>
        <w:t>潜在响应人应在三门峡市公共资源交易中心网（网址：</w:t>
      </w:r>
      <w:r>
        <w:rPr>
          <w:rFonts w:ascii="宋体" w:hAnsi="宋体" w:cs="宋体"/>
          <w:sz w:val="24"/>
          <w:szCs w:val="24"/>
        </w:rPr>
        <w:fldChar w:fldCharType="begin"/>
      </w:r>
      <w:r>
        <w:rPr>
          <w:rFonts w:ascii="宋体" w:hAnsi="宋体" w:cs="宋体"/>
          <w:sz w:val="24"/>
          <w:szCs w:val="24"/>
        </w:rPr>
        <w:instrText xml:space="preserve"> HYPERLINK "</w:instrText>
      </w:r>
      <w:r>
        <w:rPr>
          <w:rFonts w:hint="eastAsia" w:ascii="宋体" w:hAnsi="宋体" w:cs="宋体"/>
          <w:sz w:val="24"/>
          <w:szCs w:val="24"/>
        </w:rPr>
        <w:instrText xml:space="preserve">http://gzjy.smx.gov.cn/）获取招标文件，并于2024年4月3日8时30分（北京时间）前递交响应文件。</w:instrText>
      </w:r>
      <w:r>
        <w:rPr>
          <w:rFonts w:ascii="宋体" w:hAnsi="宋体" w:cs="宋体"/>
          <w:sz w:val="24"/>
          <w:szCs w:val="24"/>
        </w:rPr>
        <w:instrText xml:space="preserve">" </w:instrText>
      </w:r>
      <w:r>
        <w:rPr>
          <w:rFonts w:ascii="宋体" w:hAnsi="宋体" w:cs="宋体"/>
          <w:sz w:val="24"/>
          <w:szCs w:val="24"/>
        </w:rPr>
        <w:fldChar w:fldCharType="separate"/>
      </w:r>
      <w:r>
        <w:rPr>
          <w:rFonts w:hint="eastAsia" w:ascii="宋体" w:hAnsi="宋体" w:cs="宋体"/>
          <w:sz w:val="24"/>
          <w:szCs w:val="24"/>
        </w:rPr>
        <w:t>http://gzjy.smx.gov.cn/）</w:t>
      </w:r>
      <w:r>
        <w:rPr>
          <w:rFonts w:ascii="宋体" w:hAnsi="宋体" w:cs="宋体"/>
          <w:sz w:val="24"/>
          <w:szCs w:val="24"/>
        </w:rPr>
        <w:fldChar w:fldCharType="end"/>
      </w:r>
      <w:r>
        <w:rPr>
          <w:rFonts w:hint="eastAsia" w:ascii="宋体" w:hAnsi="宋体" w:cs="宋体"/>
          <w:sz w:val="24"/>
          <w:szCs w:val="24"/>
        </w:rPr>
        <w:t>获取竞争性磋商文</w:t>
      </w:r>
      <w:r>
        <w:rPr>
          <w:rFonts w:hint="eastAsia" w:ascii="宋体" w:hAnsi="宋体" w:cs="宋体"/>
          <w:color w:val="auto"/>
          <w:sz w:val="24"/>
          <w:szCs w:val="24"/>
        </w:rPr>
        <w:t>件，并于</w:t>
      </w:r>
      <w:r>
        <w:rPr>
          <w:rFonts w:hint="eastAsia" w:ascii="宋体" w:hAnsi="宋体" w:cs="宋体"/>
          <w:color w:val="auto"/>
          <w:sz w:val="24"/>
          <w:szCs w:val="24"/>
          <w:lang w:val="en-US" w:eastAsia="zh-CN"/>
        </w:rPr>
        <w:t>2025</w:t>
      </w:r>
      <w:r>
        <w:rPr>
          <w:rFonts w:hint="eastAsia" w:ascii="宋体" w:hAnsi="宋体" w:cs="宋体"/>
          <w:color w:val="auto"/>
          <w:sz w:val="24"/>
          <w:szCs w:val="24"/>
        </w:rPr>
        <w:t>年0</w:t>
      </w:r>
      <w:r>
        <w:rPr>
          <w:rFonts w:hint="eastAsia" w:ascii="宋体" w:hAnsi="宋体" w:cs="宋体"/>
          <w:color w:val="auto"/>
          <w:sz w:val="24"/>
          <w:szCs w:val="24"/>
          <w:lang w:val="en-US" w:eastAsia="zh-CN"/>
        </w:rPr>
        <w:t>5</w:t>
      </w:r>
      <w:r>
        <w:rPr>
          <w:rFonts w:hint="eastAsia" w:ascii="宋体" w:hAnsi="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cs="宋体"/>
          <w:color w:val="auto"/>
          <w:sz w:val="24"/>
          <w:szCs w:val="24"/>
        </w:rPr>
        <w:t>日08时</w:t>
      </w:r>
      <w:r>
        <w:rPr>
          <w:rFonts w:hint="eastAsia" w:ascii="宋体" w:hAnsi="宋体" w:cs="宋体"/>
          <w:color w:val="auto"/>
          <w:sz w:val="24"/>
          <w:szCs w:val="24"/>
          <w:lang w:val="en-US" w:eastAsia="zh-CN"/>
        </w:rPr>
        <w:t>3</w:t>
      </w:r>
      <w:r>
        <w:rPr>
          <w:rFonts w:hint="eastAsia" w:ascii="宋体" w:hAnsi="宋体" w:cs="宋体"/>
          <w:color w:val="auto"/>
          <w:sz w:val="24"/>
          <w:szCs w:val="24"/>
        </w:rPr>
        <w:t>0分（北京时间）前递交响应文件。</w:t>
      </w:r>
    </w:p>
    <w:p w14:paraId="147941B8">
      <w:pPr>
        <w:spacing w:line="480" w:lineRule="exact"/>
        <w:ind w:firstLine="480" w:firstLineChars="200"/>
        <w:outlineLvl w:val="0"/>
        <w:rPr>
          <w:rFonts w:ascii="宋体" w:hAnsi="宋体"/>
          <w:color w:val="auto"/>
          <w:sz w:val="24"/>
          <w:szCs w:val="24"/>
          <w:highlight w:val="none"/>
        </w:rPr>
      </w:pPr>
      <w:bookmarkStart w:id="2" w:name="_Toc8180"/>
      <w:r>
        <w:rPr>
          <w:rFonts w:hint="eastAsia" w:ascii="宋体" w:hAnsi="宋体"/>
          <w:color w:val="auto"/>
          <w:sz w:val="24"/>
          <w:szCs w:val="24"/>
          <w:highlight w:val="none"/>
        </w:rPr>
        <w:t>一</w:t>
      </w:r>
      <w:r>
        <w:rPr>
          <w:rFonts w:ascii="宋体" w:hAnsi="宋体"/>
          <w:color w:val="auto"/>
          <w:sz w:val="24"/>
          <w:szCs w:val="24"/>
          <w:highlight w:val="none"/>
        </w:rPr>
        <w:t>、项目基本情况</w:t>
      </w:r>
      <w:bookmarkEnd w:id="2"/>
      <w:bookmarkStart w:id="3" w:name="OLE_LINK16"/>
    </w:p>
    <w:bookmarkEnd w:id="3"/>
    <w:p w14:paraId="6A1D9F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firstLineChars="200"/>
        <w:jc w:val="left"/>
        <w:rPr>
          <w:rFonts w:hint="eastAsia" w:ascii="宋体" w:hAnsi="宋体" w:cs="宋体"/>
          <w:color w:val="FF0000"/>
          <w:sz w:val="24"/>
          <w:szCs w:val="24"/>
          <w:highlight w:val="none"/>
        </w:rPr>
      </w:pPr>
      <w:r>
        <w:rPr>
          <w:rFonts w:hint="eastAsia" w:ascii="宋体" w:hAnsi="宋体"/>
          <w:color w:val="auto"/>
          <w:sz w:val="24"/>
          <w:szCs w:val="24"/>
          <w:highlight w:val="none"/>
        </w:rPr>
        <w:t>1.项目</w:t>
      </w:r>
      <w:r>
        <w:rPr>
          <w:rFonts w:ascii="宋体" w:hAnsi="宋体"/>
          <w:color w:val="auto"/>
          <w:sz w:val="24"/>
          <w:szCs w:val="24"/>
          <w:highlight w:val="none"/>
        </w:rPr>
        <w:t>编号</w:t>
      </w:r>
      <w:r>
        <w:rPr>
          <w:rFonts w:hint="eastAsia" w:ascii="宋体" w:hAnsi="宋体"/>
          <w:color w:val="auto"/>
          <w:sz w:val="24"/>
          <w:szCs w:val="24"/>
          <w:highlight w:val="none"/>
        </w:rPr>
        <w:t>：</w:t>
      </w: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HYPERLINK "javascript:;" \o "2025年陕州区西李村乡方里村玉露香梨产业配套设施项目（设备采购）" </w:instrText>
      </w:r>
      <w:r>
        <w:rPr>
          <w:rFonts w:hint="eastAsia" w:ascii="宋体" w:hAnsi="宋体"/>
          <w:color w:val="auto"/>
          <w:sz w:val="24"/>
          <w:szCs w:val="24"/>
          <w:highlight w:val="none"/>
        </w:rPr>
        <w:fldChar w:fldCharType="separate"/>
      </w:r>
      <w:r>
        <w:rPr>
          <w:rFonts w:hint="eastAsia" w:ascii="宋体" w:hAnsi="宋体"/>
          <w:color w:val="auto"/>
          <w:sz w:val="24"/>
          <w:szCs w:val="24"/>
          <w:highlight w:val="none"/>
        </w:rPr>
        <w:fldChar w:fldCharType="end"/>
      </w: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HYPERLINK "javascript:;" </w:instrText>
      </w:r>
      <w:r>
        <w:rPr>
          <w:rFonts w:hint="eastAsia" w:ascii="宋体" w:hAnsi="宋体"/>
          <w:color w:val="auto"/>
          <w:sz w:val="24"/>
          <w:szCs w:val="24"/>
          <w:highlight w:val="none"/>
        </w:rPr>
        <w:fldChar w:fldCharType="separate"/>
      </w:r>
      <w:r>
        <w:rPr>
          <w:rFonts w:hint="eastAsia" w:ascii="宋体" w:hAnsi="宋体"/>
          <w:color w:val="auto"/>
          <w:sz w:val="24"/>
          <w:szCs w:val="24"/>
          <w:highlight w:val="none"/>
          <w:lang w:eastAsia="zh-CN"/>
        </w:rPr>
        <w:t>SZGZ[2025]071-ZC043</w:t>
      </w:r>
      <w:r>
        <w:rPr>
          <w:rFonts w:hint="eastAsia" w:ascii="宋体" w:hAnsi="宋体"/>
          <w:color w:val="auto"/>
          <w:sz w:val="24"/>
          <w:szCs w:val="24"/>
          <w:highlight w:val="none"/>
        </w:rPr>
        <w:fldChar w:fldCharType="end"/>
      </w:r>
      <w:r>
        <w:rPr>
          <w:rFonts w:hint="eastAsia" w:ascii="宋体" w:hAnsi="宋体"/>
          <w:color w:val="auto"/>
          <w:sz w:val="24"/>
          <w:szCs w:val="24"/>
          <w:highlight w:val="none"/>
          <w:lang w:val="en-US" w:eastAsia="zh-CN"/>
        </w:rPr>
        <w:t xml:space="preserve">  陕</w:t>
      </w:r>
      <w:r>
        <w:rPr>
          <w:rFonts w:hint="eastAsia" w:ascii="宋体" w:hAnsi="宋体"/>
          <w:sz w:val="24"/>
          <w:szCs w:val="24"/>
          <w:highlight w:val="none"/>
          <w:lang w:val="en-US" w:eastAsia="zh-CN"/>
        </w:rPr>
        <w:t>州竞磋采购-2025-28</w:t>
      </w:r>
    </w:p>
    <w:p w14:paraId="7BDCD053">
      <w:pPr>
        <w:spacing w:line="480" w:lineRule="exact"/>
        <w:ind w:left="1439" w:leftChars="228" w:hanging="960" w:hangingChars="400"/>
        <w:rPr>
          <w:rFonts w:hint="eastAsia" w:ascii="宋体" w:hAnsi="宋体" w:cs="宋体"/>
          <w:color w:val="auto"/>
          <w:sz w:val="24"/>
          <w:szCs w:val="24"/>
          <w:highlight w:val="none"/>
          <w:lang w:val="en-US" w:eastAsia="zh-CN"/>
        </w:rPr>
      </w:pPr>
      <w:r>
        <w:rPr>
          <w:rFonts w:ascii="宋体" w:hAnsi="宋体"/>
          <w:color w:val="auto"/>
          <w:sz w:val="24"/>
          <w:szCs w:val="24"/>
          <w:highlight w:val="none"/>
        </w:rPr>
        <w:t>2.项目名称：</w:t>
      </w:r>
      <w:r>
        <w:rPr>
          <w:rFonts w:hint="eastAsia" w:ascii="宋体" w:hAnsi="宋体" w:cs="宋体"/>
          <w:color w:val="auto"/>
          <w:sz w:val="24"/>
          <w:szCs w:val="24"/>
          <w:highlight w:val="none"/>
          <w:lang w:val="en-US" w:eastAsia="zh-CN"/>
        </w:rPr>
        <w:t>2025年陕州区西李村乡方里村玉露香梨产业配套设施项目</w:t>
      </w:r>
    </w:p>
    <w:p w14:paraId="259002C0">
      <w:pPr>
        <w:spacing w:line="480" w:lineRule="exact"/>
        <w:ind w:left="1436" w:leftChars="684"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（设备采购）二次</w:t>
      </w:r>
    </w:p>
    <w:p w14:paraId="37583581">
      <w:pPr>
        <w:spacing w:line="480" w:lineRule="exact"/>
        <w:ind w:firstLine="480" w:firstLineChars="200"/>
        <w:rPr>
          <w:rFonts w:ascii="宋体" w:hAnsi="宋体" w:cs="宋体"/>
          <w:color w:val="auto"/>
          <w:sz w:val="24"/>
          <w:szCs w:val="24"/>
          <w:highlight w:val="none"/>
        </w:rPr>
      </w:pPr>
      <w:r>
        <w:rPr>
          <w:rFonts w:ascii="宋体" w:hAnsi="宋体"/>
          <w:color w:val="auto"/>
          <w:sz w:val="24"/>
          <w:szCs w:val="24"/>
          <w:highlight w:val="none"/>
        </w:rPr>
        <w:t>3.采购方式：竞争性磋商</w:t>
      </w:r>
    </w:p>
    <w:p w14:paraId="1D86293B">
      <w:pPr>
        <w:spacing w:line="48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4.</w:t>
      </w:r>
      <w:r>
        <w:rPr>
          <w:rFonts w:ascii="宋体" w:hAnsi="宋体"/>
          <w:color w:val="auto"/>
          <w:sz w:val="24"/>
          <w:szCs w:val="24"/>
          <w:highlight w:val="none"/>
        </w:rPr>
        <w:t>预算金额</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 xml:space="preserve">378230.00元    </w:t>
      </w:r>
    </w:p>
    <w:p w14:paraId="06524A21">
      <w:pPr>
        <w:spacing w:line="480" w:lineRule="exact"/>
        <w:ind w:firstLine="720" w:firstLineChars="300"/>
        <w:rPr>
          <w:rFonts w:ascii="宋体" w:hAnsi="宋体"/>
          <w:color w:val="auto"/>
          <w:sz w:val="24"/>
          <w:szCs w:val="24"/>
          <w:highlight w:val="none"/>
        </w:rPr>
      </w:pPr>
      <w:r>
        <w:rPr>
          <w:rFonts w:ascii="宋体" w:hAnsi="宋体"/>
          <w:color w:val="auto"/>
          <w:sz w:val="24"/>
          <w:szCs w:val="24"/>
          <w:highlight w:val="none"/>
        </w:rPr>
        <w:t>最高限价：</w:t>
      </w:r>
      <w:r>
        <w:rPr>
          <w:rFonts w:hint="eastAsia" w:ascii="宋体" w:hAnsi="宋体"/>
          <w:color w:val="auto"/>
          <w:sz w:val="24"/>
          <w:szCs w:val="24"/>
          <w:highlight w:val="none"/>
          <w:lang w:val="en-US" w:eastAsia="zh-CN"/>
        </w:rPr>
        <w:t>378230.00元</w:t>
      </w:r>
    </w:p>
    <w:tbl>
      <w:tblPr>
        <w:tblStyle w:val="18"/>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15"/>
        <w:gridCol w:w="2887"/>
        <w:gridCol w:w="1727"/>
        <w:gridCol w:w="1918"/>
      </w:tblGrid>
      <w:tr w14:paraId="2AE6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39" w:type="dxa"/>
            <w:noWrap w:val="0"/>
            <w:vAlign w:val="center"/>
          </w:tcPr>
          <w:p w14:paraId="5F867851">
            <w:pPr>
              <w:widowControl/>
              <w:spacing w:line="480" w:lineRule="exact"/>
              <w:jc w:val="center"/>
              <w:rPr>
                <w:rFonts w:ascii="宋体" w:hAnsi="宋体" w:cs="宋体"/>
                <w:color w:val="auto"/>
                <w:kern w:val="0"/>
                <w:sz w:val="24"/>
                <w:szCs w:val="24"/>
                <w:highlight w:val="none"/>
              </w:rPr>
            </w:pPr>
          </w:p>
          <w:p w14:paraId="186EE95D">
            <w:pPr>
              <w:widowControl/>
              <w:spacing w:line="480" w:lineRule="exac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序号</w:t>
            </w:r>
          </w:p>
        </w:tc>
        <w:tc>
          <w:tcPr>
            <w:tcW w:w="2115" w:type="dxa"/>
            <w:noWrap w:val="0"/>
            <w:vAlign w:val="center"/>
          </w:tcPr>
          <w:p w14:paraId="6AAAE2D9">
            <w:pPr>
              <w:widowControl/>
              <w:spacing w:line="480" w:lineRule="exact"/>
              <w:jc w:val="center"/>
              <w:rPr>
                <w:rFonts w:ascii="宋体" w:hAnsi="宋体" w:cs="宋体"/>
                <w:color w:val="auto"/>
                <w:kern w:val="0"/>
                <w:sz w:val="24"/>
                <w:szCs w:val="24"/>
                <w:highlight w:val="none"/>
              </w:rPr>
            </w:pPr>
            <w:r>
              <w:rPr>
                <w:rFonts w:hint="eastAsia" w:ascii="宋体" w:hAnsi="宋体"/>
                <w:color w:val="auto"/>
                <w:sz w:val="24"/>
                <w:szCs w:val="24"/>
                <w:highlight w:val="none"/>
                <w:lang w:val="en-US" w:eastAsia="zh-CN"/>
              </w:rPr>
              <w:t>包号</w:t>
            </w:r>
          </w:p>
        </w:tc>
        <w:tc>
          <w:tcPr>
            <w:tcW w:w="2887" w:type="dxa"/>
            <w:noWrap w:val="0"/>
            <w:vAlign w:val="center"/>
          </w:tcPr>
          <w:p w14:paraId="16FA1A46">
            <w:pPr>
              <w:widowControl/>
              <w:spacing w:line="48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包名称</w:t>
            </w:r>
          </w:p>
        </w:tc>
        <w:tc>
          <w:tcPr>
            <w:tcW w:w="1727" w:type="dxa"/>
            <w:noWrap w:val="0"/>
            <w:vAlign w:val="center"/>
          </w:tcPr>
          <w:p w14:paraId="4FC623E6">
            <w:pPr>
              <w:spacing w:line="480" w:lineRule="exact"/>
              <w:rPr>
                <w:rFonts w:hint="eastAsia" w:ascii="宋体" w:hAnsi="宋体"/>
                <w:color w:val="auto"/>
                <w:sz w:val="24"/>
                <w:szCs w:val="24"/>
                <w:highlight w:val="none"/>
              </w:rPr>
            </w:pPr>
            <w:r>
              <w:rPr>
                <w:rFonts w:hint="eastAsia" w:ascii="宋体" w:hAnsi="宋体"/>
                <w:color w:val="auto"/>
                <w:sz w:val="24"/>
                <w:szCs w:val="24"/>
                <w:highlight w:val="none"/>
              </w:rPr>
              <w:t>包预算（元）</w:t>
            </w:r>
          </w:p>
        </w:tc>
        <w:tc>
          <w:tcPr>
            <w:tcW w:w="1918" w:type="dxa"/>
            <w:noWrap w:val="0"/>
            <w:vAlign w:val="center"/>
          </w:tcPr>
          <w:p w14:paraId="4F9A45A6">
            <w:pPr>
              <w:spacing w:line="480" w:lineRule="exact"/>
              <w:rPr>
                <w:rFonts w:hint="eastAsia" w:ascii="宋体" w:hAnsi="宋体"/>
                <w:color w:val="auto"/>
                <w:sz w:val="24"/>
                <w:szCs w:val="24"/>
                <w:highlight w:val="none"/>
              </w:rPr>
            </w:pPr>
            <w:r>
              <w:rPr>
                <w:rFonts w:hint="eastAsia" w:ascii="宋体" w:hAnsi="宋体"/>
                <w:color w:val="auto"/>
                <w:sz w:val="24"/>
                <w:szCs w:val="24"/>
                <w:highlight w:val="none"/>
              </w:rPr>
              <w:t>包最高限价（元）</w:t>
            </w:r>
          </w:p>
        </w:tc>
      </w:tr>
      <w:tr w14:paraId="5041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39" w:type="dxa"/>
            <w:noWrap w:val="0"/>
            <w:vAlign w:val="center"/>
          </w:tcPr>
          <w:p w14:paraId="4470CED0">
            <w:pPr>
              <w:widowControl/>
              <w:spacing w:line="48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115" w:type="dxa"/>
            <w:noWrap w:val="0"/>
            <w:vAlign w:val="center"/>
          </w:tcPr>
          <w:p w14:paraId="1C161873">
            <w:pPr>
              <w:widowControl/>
              <w:spacing w:line="480" w:lineRule="exact"/>
              <w:jc w:val="center"/>
              <w:rPr>
                <w:rFonts w:hint="default" w:ascii="宋体" w:hAnsi="宋体"/>
                <w:color w:val="FF0000"/>
                <w:sz w:val="24"/>
                <w:szCs w:val="24"/>
                <w:highlight w:val="none"/>
                <w:lang w:val="en-US" w:eastAsia="zh-CN"/>
              </w:rPr>
            </w:pP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HYPERLINK "javascript:;" \o "2025年陕州区西李村乡方里村玉露香梨产业配套设施项目（设备采购）" </w:instrText>
            </w:r>
            <w:r>
              <w:rPr>
                <w:rFonts w:hint="eastAsia" w:ascii="宋体" w:hAnsi="宋体"/>
                <w:color w:val="auto"/>
                <w:sz w:val="24"/>
                <w:szCs w:val="24"/>
                <w:highlight w:val="none"/>
              </w:rPr>
              <w:fldChar w:fldCharType="separate"/>
            </w:r>
            <w:r>
              <w:rPr>
                <w:rFonts w:hint="eastAsia" w:ascii="宋体" w:hAnsi="宋体"/>
                <w:color w:val="auto"/>
                <w:sz w:val="24"/>
                <w:szCs w:val="24"/>
                <w:highlight w:val="none"/>
              </w:rPr>
              <w:fldChar w:fldCharType="end"/>
            </w: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HYPERLINK "javascript:;" </w:instrText>
            </w:r>
            <w:r>
              <w:rPr>
                <w:rFonts w:hint="eastAsia" w:ascii="宋体" w:hAnsi="宋体"/>
                <w:color w:val="auto"/>
                <w:sz w:val="24"/>
                <w:szCs w:val="24"/>
                <w:highlight w:val="none"/>
              </w:rPr>
              <w:fldChar w:fldCharType="separate"/>
            </w:r>
            <w:r>
              <w:rPr>
                <w:rFonts w:hint="eastAsia" w:ascii="宋体" w:hAnsi="宋体"/>
                <w:color w:val="auto"/>
                <w:sz w:val="24"/>
                <w:szCs w:val="24"/>
                <w:highlight w:val="none"/>
                <w:lang w:eastAsia="zh-CN"/>
              </w:rPr>
              <w:t>SZGZ[2025]071-ZC043</w:t>
            </w:r>
            <w:r>
              <w:rPr>
                <w:rFonts w:hint="eastAsia" w:ascii="宋体" w:hAnsi="宋体"/>
                <w:color w:val="auto"/>
                <w:sz w:val="24"/>
                <w:szCs w:val="24"/>
                <w:highlight w:val="none"/>
              </w:rPr>
              <w:fldChar w:fldCharType="end"/>
            </w:r>
            <w:r>
              <w:rPr>
                <w:rFonts w:hint="eastAsia" w:ascii="宋体" w:hAnsi="宋体"/>
                <w:color w:val="auto"/>
                <w:sz w:val="24"/>
                <w:szCs w:val="24"/>
                <w:highlight w:val="none"/>
                <w:lang w:val="en-US" w:eastAsia="zh-CN"/>
              </w:rPr>
              <w:t>-1</w:t>
            </w:r>
          </w:p>
        </w:tc>
        <w:tc>
          <w:tcPr>
            <w:tcW w:w="2887" w:type="dxa"/>
            <w:noWrap w:val="0"/>
            <w:vAlign w:val="center"/>
          </w:tcPr>
          <w:p w14:paraId="0B560414">
            <w:pPr>
              <w:spacing w:line="480" w:lineRule="exac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2025年陕州区西李村乡方里村玉露香梨产业配套设施项目（设备采购）二次</w:t>
            </w:r>
          </w:p>
        </w:tc>
        <w:tc>
          <w:tcPr>
            <w:tcW w:w="1727" w:type="dxa"/>
            <w:noWrap w:val="0"/>
            <w:vAlign w:val="center"/>
          </w:tcPr>
          <w:p w14:paraId="6A387136">
            <w:pPr>
              <w:widowControl/>
              <w:spacing w:line="480" w:lineRule="exact"/>
              <w:jc w:val="center"/>
              <w:rPr>
                <w:rFonts w:hint="eastAsia" w:ascii="宋体" w:hAnsi="宋体"/>
                <w:color w:val="FF0000"/>
                <w:sz w:val="24"/>
                <w:szCs w:val="24"/>
                <w:highlight w:val="none"/>
                <w:lang w:val="en-US" w:eastAsia="zh-CN"/>
              </w:rPr>
            </w:pPr>
            <w:r>
              <w:rPr>
                <w:rFonts w:hint="eastAsia" w:ascii="宋体" w:hAnsi="宋体"/>
                <w:color w:val="auto"/>
                <w:sz w:val="24"/>
                <w:szCs w:val="24"/>
                <w:highlight w:val="none"/>
                <w:lang w:val="en-US" w:eastAsia="zh-CN"/>
              </w:rPr>
              <w:t>378230.00</w:t>
            </w:r>
          </w:p>
        </w:tc>
        <w:tc>
          <w:tcPr>
            <w:tcW w:w="1918" w:type="dxa"/>
            <w:noWrap w:val="0"/>
            <w:vAlign w:val="center"/>
          </w:tcPr>
          <w:p w14:paraId="25372437">
            <w:pPr>
              <w:widowControl/>
              <w:spacing w:line="480" w:lineRule="exact"/>
              <w:jc w:val="center"/>
              <w:rPr>
                <w:rFonts w:hint="eastAsia" w:ascii="宋体" w:hAnsi="宋体"/>
                <w:color w:val="FF0000"/>
                <w:sz w:val="24"/>
                <w:szCs w:val="24"/>
                <w:highlight w:val="none"/>
                <w:lang w:val="en-US" w:eastAsia="zh-CN"/>
              </w:rPr>
            </w:pPr>
            <w:r>
              <w:rPr>
                <w:rFonts w:hint="eastAsia" w:ascii="宋体" w:hAnsi="宋体"/>
                <w:color w:val="auto"/>
                <w:sz w:val="24"/>
                <w:szCs w:val="24"/>
                <w:highlight w:val="none"/>
                <w:lang w:val="en-US" w:eastAsia="zh-CN"/>
              </w:rPr>
              <w:t>378230.00</w:t>
            </w:r>
          </w:p>
        </w:tc>
      </w:tr>
    </w:tbl>
    <w:p w14:paraId="06B608F9">
      <w:pPr>
        <w:rPr>
          <w:rFonts w:hint="eastAsia" w:ascii="宋体" w:hAnsi="宋体" w:eastAsia="宋体" w:cs="宋体"/>
          <w:color w:val="000000"/>
          <w:kern w:val="0"/>
          <w:sz w:val="24"/>
          <w:szCs w:val="24"/>
          <w:highlight w:val="none"/>
          <w:lang w:eastAsia="zh-CN"/>
        </w:rPr>
      </w:pPr>
    </w:p>
    <w:p w14:paraId="66D2A772">
      <w:pPr>
        <w:spacing w:line="480" w:lineRule="exact"/>
        <w:ind w:firstLine="480" w:firstLineChars="200"/>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采购需求（包括但不限于标的的名称、数量、简要技术需求或服务要求等）</w:t>
      </w:r>
    </w:p>
    <w:p w14:paraId="164690C4">
      <w:pPr>
        <w:spacing w:line="48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5.1项目概况：</w:t>
      </w:r>
      <w:r>
        <w:rPr>
          <w:rFonts w:hint="eastAsia" w:ascii="宋体" w:hAnsi="宋体" w:cs="Times New Roman"/>
          <w:sz w:val="24"/>
          <w:szCs w:val="24"/>
          <w:highlight w:val="none"/>
          <w:lang w:val="en-US" w:eastAsia="zh-CN"/>
        </w:rPr>
        <w:t>2025年陕州区西李村乡方里村玉露香梨产业配套设施项目</w:t>
      </w:r>
      <w:r>
        <w:rPr>
          <w:rFonts w:hint="eastAsia" w:ascii="宋体" w:hAnsi="宋体" w:eastAsia="宋体" w:cs="Times New Roman"/>
          <w:sz w:val="24"/>
          <w:szCs w:val="24"/>
          <w:highlight w:val="none"/>
          <w:lang w:val="en-US" w:eastAsia="zh-CN"/>
        </w:rPr>
        <w:t>位于三门峡市陕州区西李村乡方里村，主要</w:t>
      </w:r>
      <w:r>
        <w:rPr>
          <w:rFonts w:hint="eastAsia" w:ascii="宋体" w:hAnsi="宋体" w:cs="Times New Roman"/>
          <w:sz w:val="24"/>
          <w:szCs w:val="24"/>
          <w:highlight w:val="none"/>
          <w:lang w:val="en-US" w:eastAsia="zh-CN"/>
        </w:rPr>
        <w:t>采购</w:t>
      </w:r>
      <w:r>
        <w:rPr>
          <w:rFonts w:hint="eastAsia" w:ascii="宋体" w:hAnsi="宋体" w:eastAsia="宋体" w:cs="Times New Roman"/>
          <w:sz w:val="24"/>
          <w:szCs w:val="24"/>
          <w:highlight w:val="none"/>
          <w:lang w:val="en-US" w:eastAsia="zh-CN"/>
        </w:rPr>
        <w:t>内容:水冷谷轮涡旋机组（型号为25HP、 单台功率18.45kw）2台、水中霜冷风机（型号 为DD47/554SA、单台功率3kw）、离心式风幕机 （型号为2500型、单台功率1.1kw）；变压器1 个(型号为S13-100KV)；</w:t>
      </w:r>
    </w:p>
    <w:p w14:paraId="604D4CA9">
      <w:pPr>
        <w:spacing w:line="480" w:lineRule="exact"/>
        <w:ind w:firstLine="480" w:firstLineChars="200"/>
        <w:rPr>
          <w:rFonts w:hint="eastAsia" w:ascii="宋体" w:hAnsi="宋体" w:eastAsia="宋体" w:cs="Times New Roman"/>
          <w:sz w:val="24"/>
          <w:szCs w:val="24"/>
        </w:rPr>
      </w:pPr>
      <w:r>
        <w:rPr>
          <w:rFonts w:ascii="宋体" w:hAnsi="宋体"/>
          <w:sz w:val="24"/>
          <w:szCs w:val="24"/>
          <w:highlight w:val="none"/>
        </w:rPr>
        <w:t>5.2</w:t>
      </w:r>
      <w:r>
        <w:rPr>
          <w:rFonts w:hint="eastAsia" w:ascii="宋体" w:hAnsi="宋体"/>
          <w:sz w:val="24"/>
          <w:szCs w:val="24"/>
          <w:highlight w:val="none"/>
        </w:rPr>
        <w:t>磋商范围：</w:t>
      </w:r>
      <w:r>
        <w:rPr>
          <w:rFonts w:hint="eastAsia" w:ascii="宋体" w:hAnsi="宋体"/>
          <w:sz w:val="24"/>
          <w:szCs w:val="24"/>
        </w:rPr>
        <w:t>本项目竞争性磋商文</w:t>
      </w:r>
      <w:r>
        <w:rPr>
          <w:rFonts w:hint="eastAsia" w:ascii="宋体" w:hAnsi="宋体" w:eastAsia="宋体" w:cs="Times New Roman"/>
          <w:sz w:val="24"/>
          <w:szCs w:val="24"/>
        </w:rPr>
        <w:t>件、</w:t>
      </w:r>
      <w:r>
        <w:rPr>
          <w:rFonts w:hint="eastAsia" w:ascii="宋体" w:hAnsi="宋体" w:cs="Times New Roman"/>
          <w:sz w:val="24"/>
          <w:szCs w:val="24"/>
          <w:lang w:val="en-US" w:eastAsia="zh-CN"/>
        </w:rPr>
        <w:t>采购</w:t>
      </w:r>
      <w:r>
        <w:rPr>
          <w:rFonts w:hint="eastAsia" w:ascii="宋体" w:hAnsi="宋体" w:eastAsia="宋体" w:cs="Times New Roman"/>
          <w:sz w:val="24"/>
          <w:szCs w:val="24"/>
        </w:rPr>
        <w:t>清单等列明的所有内容。</w:t>
      </w:r>
    </w:p>
    <w:p w14:paraId="34943AEF">
      <w:pPr>
        <w:spacing w:line="480" w:lineRule="exact"/>
        <w:ind w:firstLine="480" w:firstLineChars="200"/>
        <w:rPr>
          <w:rFonts w:ascii="宋体" w:hAnsi="宋体"/>
          <w:sz w:val="24"/>
          <w:szCs w:val="24"/>
          <w:highlight w:val="none"/>
        </w:rPr>
      </w:pPr>
      <w:r>
        <w:rPr>
          <w:rFonts w:hint="eastAsia" w:ascii="宋体" w:hAnsi="宋体"/>
          <w:sz w:val="24"/>
          <w:szCs w:val="24"/>
          <w:highlight w:val="none"/>
        </w:rPr>
        <w:t>5.3资金来源：</w:t>
      </w:r>
      <w:r>
        <w:rPr>
          <w:rFonts w:hint="eastAsia" w:ascii="宋体" w:hAnsi="宋体"/>
          <w:sz w:val="24"/>
          <w:szCs w:val="24"/>
          <w:highlight w:val="none"/>
          <w:lang w:eastAsia="zh-CN"/>
        </w:rPr>
        <w:t>财政</w:t>
      </w:r>
      <w:r>
        <w:rPr>
          <w:rFonts w:hint="eastAsia" w:ascii="宋体" w:hAnsi="宋体"/>
          <w:sz w:val="24"/>
          <w:szCs w:val="24"/>
          <w:highlight w:val="none"/>
        </w:rPr>
        <w:t>资金，已落实。</w:t>
      </w:r>
    </w:p>
    <w:p w14:paraId="2306F165">
      <w:pPr>
        <w:spacing w:line="480" w:lineRule="exact"/>
        <w:ind w:firstLine="480" w:firstLineChars="200"/>
        <w:rPr>
          <w:rFonts w:hint="eastAsia" w:ascii="宋体" w:hAnsi="宋体" w:eastAsia="宋体" w:cs="宋体"/>
          <w:color w:val="auto"/>
          <w:sz w:val="22"/>
          <w:szCs w:val="24"/>
          <w:lang w:eastAsia="zh-CN"/>
        </w:rPr>
      </w:pPr>
      <w:r>
        <w:rPr>
          <w:rFonts w:ascii="宋体" w:hAnsi="宋体" w:cs="宋体"/>
          <w:sz w:val="24"/>
          <w:szCs w:val="24"/>
          <w:highlight w:val="none"/>
        </w:rPr>
        <w:t>5.</w:t>
      </w:r>
      <w:r>
        <w:rPr>
          <w:rFonts w:hint="eastAsia" w:ascii="宋体" w:hAnsi="宋体" w:cs="宋体"/>
          <w:sz w:val="24"/>
          <w:szCs w:val="24"/>
          <w:highlight w:val="none"/>
        </w:rPr>
        <w:t>4质量要求：</w:t>
      </w:r>
      <w:r>
        <w:rPr>
          <w:rFonts w:hint="eastAsia" w:ascii="宋体" w:hAnsi="宋体" w:cs="宋体"/>
          <w:sz w:val="24"/>
          <w:szCs w:val="24"/>
        </w:rPr>
        <w:t>合格，符合国家及行业相关标准</w:t>
      </w:r>
      <w:r>
        <w:rPr>
          <w:rFonts w:hint="eastAsia" w:ascii="宋体" w:hAnsi="宋体" w:cs="宋体"/>
          <w:sz w:val="24"/>
          <w:szCs w:val="24"/>
          <w:lang w:eastAsia="zh-CN"/>
        </w:rPr>
        <w:t>。</w:t>
      </w:r>
    </w:p>
    <w:p w14:paraId="413325D7">
      <w:pPr>
        <w:spacing w:line="48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rPr>
        <w:t>5.5</w:t>
      </w:r>
      <w:r>
        <w:rPr>
          <w:rFonts w:hint="eastAsia" w:ascii="宋体" w:hAnsi="宋体" w:cs="宋体"/>
          <w:sz w:val="24"/>
          <w:szCs w:val="24"/>
          <w:highlight w:val="none"/>
          <w:lang w:val="en-US" w:eastAsia="zh-CN"/>
        </w:rPr>
        <w:t>供货期：60日历天（完成安装及调试）。</w:t>
      </w:r>
    </w:p>
    <w:p w14:paraId="1652076A">
      <w:pPr>
        <w:spacing w:line="480" w:lineRule="exact"/>
        <w:ind w:firstLine="480" w:firstLineChars="200"/>
        <w:rPr>
          <w:rFonts w:hint="default" w:ascii="宋体" w:hAnsi="宋体" w:eastAsia="宋体" w:cs="宋体"/>
          <w:sz w:val="24"/>
          <w:szCs w:val="24"/>
          <w:highlight w:val="none"/>
          <w:lang w:val="en-US"/>
        </w:rPr>
      </w:pPr>
      <w:r>
        <w:rPr>
          <w:rFonts w:hint="eastAsia" w:ascii="宋体" w:hAnsi="宋体" w:cs="宋体"/>
          <w:sz w:val="24"/>
          <w:szCs w:val="24"/>
          <w:highlight w:val="none"/>
        </w:rPr>
        <w:t>5.6建设地点</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三门峡市陕州区西李村乡方里村</w:t>
      </w:r>
    </w:p>
    <w:p w14:paraId="6F2A0538">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5.7标段划分：</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个标段。</w:t>
      </w:r>
    </w:p>
    <w:p w14:paraId="5C0B90C9">
      <w:pPr>
        <w:numPr>
          <w:ilvl w:val="0"/>
          <w:numId w:val="1"/>
        </w:num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合同履行期限：</w:t>
      </w:r>
      <w:r>
        <w:rPr>
          <w:rFonts w:hint="eastAsia" w:ascii="宋体" w:hAnsi="宋体" w:cs="宋体"/>
          <w:sz w:val="24"/>
          <w:szCs w:val="24"/>
          <w:highlight w:val="none"/>
          <w:lang w:eastAsia="zh-CN"/>
        </w:rPr>
        <w:t>60日历天</w:t>
      </w:r>
    </w:p>
    <w:p w14:paraId="7FECD628">
      <w:pPr>
        <w:spacing w:line="480" w:lineRule="exact"/>
        <w:ind w:firstLine="480" w:firstLineChars="200"/>
        <w:rPr>
          <w:rFonts w:ascii="宋体" w:hAnsi="宋体"/>
          <w:sz w:val="24"/>
          <w:szCs w:val="24"/>
          <w:highlight w:val="none"/>
        </w:rPr>
      </w:pPr>
      <w:r>
        <w:rPr>
          <w:rFonts w:ascii="宋体" w:hAnsi="宋体"/>
          <w:sz w:val="24"/>
          <w:szCs w:val="24"/>
          <w:highlight w:val="none"/>
        </w:rPr>
        <w:t>7</w:t>
      </w:r>
      <w:r>
        <w:rPr>
          <w:rFonts w:hint="eastAsia" w:ascii="宋体" w:hAnsi="宋体"/>
          <w:sz w:val="24"/>
          <w:szCs w:val="24"/>
          <w:highlight w:val="none"/>
        </w:rPr>
        <w:t>、</w:t>
      </w:r>
      <w:r>
        <w:rPr>
          <w:rFonts w:ascii="宋体" w:hAnsi="宋体"/>
          <w:sz w:val="24"/>
          <w:szCs w:val="24"/>
          <w:highlight w:val="none"/>
        </w:rPr>
        <w:t>本项目是否接受联合体投标：否</w:t>
      </w:r>
    </w:p>
    <w:p w14:paraId="4245FAAF">
      <w:pPr>
        <w:spacing w:line="480" w:lineRule="exact"/>
        <w:ind w:firstLine="480" w:firstLineChars="200"/>
        <w:rPr>
          <w:rFonts w:ascii="宋体" w:hAnsi="宋体"/>
          <w:sz w:val="24"/>
          <w:szCs w:val="24"/>
          <w:highlight w:val="none"/>
        </w:rPr>
      </w:pPr>
      <w:r>
        <w:rPr>
          <w:rFonts w:ascii="宋体" w:hAnsi="宋体"/>
          <w:sz w:val="24"/>
          <w:szCs w:val="24"/>
          <w:highlight w:val="none"/>
        </w:rPr>
        <w:t>8</w:t>
      </w:r>
      <w:r>
        <w:rPr>
          <w:rFonts w:hint="eastAsia" w:ascii="宋体" w:hAnsi="宋体"/>
          <w:sz w:val="24"/>
          <w:szCs w:val="24"/>
          <w:highlight w:val="none"/>
        </w:rPr>
        <w:t>、</w:t>
      </w:r>
      <w:r>
        <w:rPr>
          <w:rFonts w:ascii="宋体" w:hAnsi="宋体"/>
          <w:sz w:val="24"/>
          <w:szCs w:val="24"/>
          <w:highlight w:val="none"/>
        </w:rPr>
        <w:t>是否接受进口产品：</w:t>
      </w:r>
      <w:r>
        <w:rPr>
          <w:rFonts w:hint="eastAsia" w:ascii="宋体" w:hAnsi="宋体"/>
          <w:sz w:val="24"/>
          <w:szCs w:val="24"/>
          <w:highlight w:val="none"/>
        </w:rPr>
        <w:t>否</w:t>
      </w:r>
    </w:p>
    <w:p w14:paraId="61E8A40E">
      <w:pPr>
        <w:spacing w:line="48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9、是否专门面向中小企业：</w:t>
      </w:r>
      <w:r>
        <w:rPr>
          <w:rFonts w:hint="eastAsia" w:ascii="宋体" w:hAnsi="宋体"/>
          <w:sz w:val="24"/>
          <w:szCs w:val="24"/>
          <w:highlight w:val="none"/>
          <w:lang w:eastAsia="zh-CN"/>
        </w:rPr>
        <w:t>否</w:t>
      </w:r>
    </w:p>
    <w:p w14:paraId="22E2CF2C">
      <w:pPr>
        <w:spacing w:line="480" w:lineRule="exact"/>
        <w:ind w:firstLine="480" w:firstLineChars="200"/>
        <w:outlineLvl w:val="0"/>
        <w:rPr>
          <w:rFonts w:hint="eastAsia" w:ascii="宋体" w:hAnsi="宋体" w:cs="宋体"/>
          <w:kern w:val="0"/>
          <w:sz w:val="24"/>
          <w:szCs w:val="24"/>
          <w:lang w:val="en-US" w:eastAsia="zh-CN"/>
        </w:rPr>
      </w:pPr>
      <w:bookmarkStart w:id="4" w:name="_Toc15914"/>
      <w:r>
        <w:rPr>
          <w:rFonts w:ascii="宋体" w:hAnsi="宋体"/>
          <w:sz w:val="24"/>
          <w:szCs w:val="24"/>
          <w:highlight w:val="none"/>
        </w:rPr>
        <w:t>二、</w:t>
      </w:r>
      <w:r>
        <w:rPr>
          <w:rFonts w:hint="eastAsia" w:ascii="宋体" w:hAnsi="宋体"/>
          <w:sz w:val="24"/>
          <w:szCs w:val="24"/>
          <w:highlight w:val="none"/>
        </w:rPr>
        <w:t>响应人</w:t>
      </w:r>
      <w:r>
        <w:rPr>
          <w:rFonts w:ascii="宋体" w:hAnsi="宋体"/>
          <w:sz w:val="24"/>
          <w:szCs w:val="24"/>
          <w:highlight w:val="none"/>
        </w:rPr>
        <w:t>资格要求</w:t>
      </w:r>
      <w:bookmarkEnd w:id="4"/>
      <w:bookmarkStart w:id="5" w:name="OLE_LINK2"/>
    </w:p>
    <w:p w14:paraId="6A6D7F5C">
      <w:pPr>
        <w:spacing w:line="48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07A84FC2">
      <w:pPr>
        <w:spacing w:line="480" w:lineRule="exact"/>
        <w:ind w:firstLine="480" w:firstLineChars="200"/>
        <w:rPr>
          <w:rFonts w:hint="eastAsia" w:ascii="宋体" w:hAnsi="宋体"/>
          <w:sz w:val="24"/>
          <w:szCs w:val="24"/>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sz w:val="24"/>
          <w:szCs w:val="24"/>
          <w:highlight w:val="none"/>
          <w:lang w:eastAsia="zh-CN"/>
        </w:rPr>
        <w:t>采购项目需要落实的政府采购政策：</w:t>
      </w:r>
      <w:r>
        <w:rPr>
          <w:rFonts w:hint="eastAsia" w:ascii="宋体" w:hAnsi="宋体"/>
          <w:sz w:val="24"/>
          <w:szCs w:val="24"/>
        </w:rPr>
        <w:t>本项目非专门面向中小企业，执行促进中小企业发展等政府采购政策。</w:t>
      </w:r>
    </w:p>
    <w:p w14:paraId="156E8C4F">
      <w:pPr>
        <w:spacing w:line="480" w:lineRule="exact"/>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1BDE7BC4">
      <w:pPr>
        <w:spacing w:line="480" w:lineRule="exact"/>
        <w:ind w:firstLine="480" w:firstLineChars="200"/>
        <w:rPr>
          <w:rFonts w:ascii="宋体" w:hAnsi="宋体"/>
          <w:sz w:val="24"/>
          <w:szCs w:val="24"/>
          <w:highlight w:val="none"/>
        </w:rPr>
      </w:pPr>
      <w:r>
        <w:rPr>
          <w:rFonts w:hint="eastAsia" w:ascii="宋体" w:hAnsi="宋体"/>
          <w:sz w:val="24"/>
          <w:szCs w:val="24"/>
          <w:highlight w:val="none"/>
        </w:rPr>
        <w:t>3.1</w:t>
      </w:r>
      <w:r>
        <w:rPr>
          <w:rFonts w:ascii="宋体" w:hAnsi="宋体"/>
          <w:sz w:val="24"/>
          <w:szCs w:val="24"/>
          <w:highlight w:val="none"/>
        </w:rPr>
        <w:t xml:space="preserve"> </w:t>
      </w:r>
      <w:r>
        <w:rPr>
          <w:rFonts w:hint="eastAsia" w:ascii="宋体" w:hAnsi="宋体"/>
          <w:sz w:val="24"/>
          <w:szCs w:val="24"/>
          <w:highlight w:val="none"/>
          <w:lang w:eastAsia="zh-CN"/>
        </w:rPr>
        <w:t>供应商</w:t>
      </w:r>
      <w:r>
        <w:rPr>
          <w:rFonts w:hint="eastAsia" w:ascii="宋体" w:hAnsi="宋体"/>
          <w:sz w:val="24"/>
          <w:szCs w:val="24"/>
          <w:highlight w:val="none"/>
        </w:rPr>
        <w:t>具备独立法人资格，具有合法有效的营业执照。</w:t>
      </w:r>
    </w:p>
    <w:p w14:paraId="2D0D3BDE">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3.2供应商参加本次采购活动前三年内，在经营活动中没有重大违法记录（提供承诺书，格式自拟）；</w:t>
      </w:r>
    </w:p>
    <w:p w14:paraId="36EF2F18">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3.3</w:t>
      </w:r>
      <w:r>
        <w:rPr>
          <w:rFonts w:hint="eastAsia" w:ascii="宋体" w:hAnsi="宋体"/>
          <w:sz w:val="24"/>
          <w:szCs w:val="24"/>
          <w:highlight w:val="none"/>
          <w:lang w:eastAsia="zh-CN"/>
        </w:rPr>
        <w:t>供应商</w:t>
      </w:r>
      <w:r>
        <w:rPr>
          <w:rFonts w:hint="eastAsia" w:ascii="宋体" w:hAnsi="宋体"/>
          <w:sz w:val="24"/>
          <w:szCs w:val="24"/>
          <w:highlight w:val="none"/>
        </w:rPr>
        <w:t>出具本企业无商业贿赂和不正当竞争行为承诺书，格式自拟。</w:t>
      </w:r>
    </w:p>
    <w:p w14:paraId="276A7BCE">
      <w:pPr>
        <w:spacing w:line="48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3.4</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，查询日期必须在公告发布之日之后</w:t>
      </w:r>
      <w:r>
        <w:rPr>
          <w:rFonts w:hint="eastAsia" w:ascii="宋体" w:hAnsi="宋体" w:cs="宋体"/>
          <w:kern w:val="0"/>
          <w:sz w:val="24"/>
          <w:szCs w:val="24"/>
          <w:highlight w:val="none"/>
        </w:rPr>
        <w:t>）。</w:t>
      </w:r>
    </w:p>
    <w:p w14:paraId="316F7E0B">
      <w:pPr>
        <w:spacing w:line="48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3.5</w:t>
      </w:r>
      <w:r>
        <w:rPr>
          <w:rFonts w:hint="eastAsia" w:ascii="宋体" w:hAnsi="宋体" w:cs="宋体"/>
          <w:kern w:val="0"/>
          <w:sz w:val="24"/>
          <w:szCs w:val="24"/>
          <w:highlight w:val="none"/>
          <w:lang w:eastAsia="zh-CN"/>
        </w:rPr>
        <w:t>单位负责人为同一人或者存在直接控股、管理关系的不同供应商，不得参加同一合同项下的采购活动（提供供应商在“国家企业信用信息公示系统”中公示的公司信息、股东或投资人信息”。）</w:t>
      </w:r>
    </w:p>
    <w:p w14:paraId="00552E94">
      <w:pPr>
        <w:spacing w:line="360" w:lineRule="auto"/>
        <w:ind w:firstLine="484" w:firstLineChars="202"/>
        <w:rPr>
          <w:rFonts w:ascii="宋体" w:hAnsi="宋体" w:eastAsia="宋体" w:cs="Times New Roman"/>
          <w:color w:val="auto"/>
          <w:sz w:val="22"/>
          <w:szCs w:val="24"/>
        </w:rPr>
      </w:pPr>
      <w:r>
        <w:rPr>
          <w:rFonts w:hint="eastAsia" w:ascii="宋体" w:hAnsi="宋体" w:cs="宋体"/>
          <w:kern w:val="0"/>
          <w:sz w:val="24"/>
          <w:szCs w:val="24"/>
          <w:highlight w:val="none"/>
          <w:lang w:eastAsia="zh-CN"/>
        </w:rPr>
        <w:t>3.6 本项目不允许联合体磋商，实行资格后审（提供非联合体声明函）；</w:t>
      </w:r>
      <w:r>
        <w:rPr>
          <w:rFonts w:hint="eastAsia" w:ascii="宋体" w:hAnsi="宋体" w:eastAsia="宋体" w:cs="Times New Roman"/>
          <w:color w:val="auto"/>
          <w:sz w:val="22"/>
          <w:szCs w:val="24"/>
        </w:rPr>
        <w:t xml:space="preserve"> </w:t>
      </w:r>
    </w:p>
    <w:bookmarkEnd w:id="5"/>
    <w:p w14:paraId="33FC3B6F">
      <w:pPr>
        <w:spacing w:line="480" w:lineRule="exact"/>
        <w:ind w:firstLine="480" w:firstLineChars="200"/>
        <w:outlineLvl w:val="0"/>
        <w:rPr>
          <w:rFonts w:ascii="宋体" w:hAnsi="宋体"/>
          <w:color w:val="auto"/>
          <w:sz w:val="24"/>
          <w:szCs w:val="24"/>
          <w:highlight w:val="none"/>
        </w:rPr>
      </w:pPr>
      <w:bookmarkStart w:id="6" w:name="_Toc8712"/>
      <w:r>
        <w:rPr>
          <w:rFonts w:hint="eastAsia" w:ascii="宋体" w:hAnsi="宋体" w:cs="宋体"/>
          <w:color w:val="auto"/>
          <w:sz w:val="24"/>
          <w:szCs w:val="24"/>
          <w:highlight w:val="none"/>
        </w:rPr>
        <w:t>三、获取</w:t>
      </w:r>
      <w:r>
        <w:rPr>
          <w:rFonts w:ascii="宋体" w:hAnsi="宋体"/>
          <w:color w:val="auto"/>
          <w:sz w:val="24"/>
          <w:szCs w:val="24"/>
          <w:highlight w:val="none"/>
        </w:rPr>
        <w:t>竞争性磋商文件</w:t>
      </w:r>
      <w:r>
        <w:rPr>
          <w:rFonts w:hint="eastAsia" w:ascii="宋体" w:hAnsi="宋体" w:cs="宋体"/>
          <w:color w:val="auto"/>
          <w:sz w:val="24"/>
          <w:szCs w:val="24"/>
          <w:highlight w:val="none"/>
        </w:rPr>
        <w:t>：</w:t>
      </w:r>
      <w:bookmarkEnd w:id="6"/>
    </w:p>
    <w:p w14:paraId="15A2AE86">
      <w:pPr>
        <w:spacing w:line="360" w:lineRule="auto"/>
        <w:ind w:firstLine="566" w:firstLineChars="236"/>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1.时</w:t>
      </w:r>
      <w:r>
        <w:rPr>
          <w:rFonts w:hint="eastAsia" w:ascii="宋体" w:hAnsi="宋体" w:cs="宋体"/>
          <w:bCs/>
          <w:color w:val="auto"/>
          <w:kern w:val="0"/>
          <w:sz w:val="24"/>
          <w:szCs w:val="24"/>
          <w:highlight w:val="none"/>
        </w:rPr>
        <w:t>间</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日，每天上午00:00至12:00，下午12:00至23:59</w:t>
      </w:r>
      <w:r>
        <w:rPr>
          <w:rFonts w:hint="eastAsia" w:ascii="宋体" w:hAnsi="宋体" w:cs="宋体"/>
          <w:color w:val="auto"/>
          <w:sz w:val="24"/>
          <w:szCs w:val="24"/>
          <w:highlight w:val="none"/>
          <w:lang w:eastAsia="zh-CN"/>
        </w:rPr>
        <w:t>。</w:t>
      </w:r>
    </w:p>
    <w:p w14:paraId="10215609">
      <w:pPr>
        <w:widowControl/>
        <w:spacing w:line="520" w:lineRule="exact"/>
        <w:ind w:firstLine="420" w:firstLineChars="175"/>
        <w:rPr>
          <w:rFonts w:hint="eastAsia" w:ascii="宋体" w:hAnsi="宋体" w:cs="宋体"/>
          <w:kern w:val="0"/>
          <w:sz w:val="24"/>
          <w:szCs w:val="24"/>
          <w:highlight w:val="none"/>
        </w:rPr>
      </w:pPr>
      <w:r>
        <w:rPr>
          <w:rFonts w:hint="eastAsia" w:ascii="宋体" w:hAnsi="宋体" w:cs="宋体"/>
          <w:bCs/>
          <w:color w:val="000000"/>
          <w:kern w:val="0"/>
          <w:sz w:val="24"/>
          <w:szCs w:val="24"/>
          <w:highlight w:val="none"/>
        </w:rPr>
        <w:t>2.地点：三门峡市公共资源交易</w:t>
      </w:r>
      <w:r>
        <w:rPr>
          <w:rFonts w:hint="eastAsia" w:ascii="宋体" w:hAnsi="宋体" w:cs="宋体"/>
          <w:bCs/>
          <w:kern w:val="0"/>
          <w:sz w:val="24"/>
          <w:szCs w:val="24"/>
          <w:highlight w:val="none"/>
        </w:rPr>
        <w:t>中心网</w:t>
      </w:r>
      <w:r>
        <w:rPr>
          <w:rFonts w:hint="eastAsia" w:ascii="宋体" w:hAnsi="宋体" w:cs="宋体"/>
          <w:kern w:val="0"/>
          <w:sz w:val="24"/>
          <w:szCs w:val="24"/>
          <w:highlight w:val="none"/>
        </w:rPr>
        <w:t>（网址：http://gzjy.smx.gov.cn/）</w:t>
      </w:r>
    </w:p>
    <w:p w14:paraId="64AA9EF0">
      <w:pPr>
        <w:widowControl/>
        <w:spacing w:line="520" w:lineRule="exact"/>
        <w:ind w:firstLine="420" w:firstLineChars="175"/>
        <w:jc w:val="left"/>
        <w:rPr>
          <w:rFonts w:ascii="宋体" w:hAnsi="宋体" w:cs="宋体"/>
          <w:sz w:val="24"/>
          <w:szCs w:val="24"/>
          <w:highlight w:val="none"/>
        </w:rPr>
      </w:pPr>
      <w:r>
        <w:rPr>
          <w:rFonts w:hint="eastAsia" w:ascii="宋体" w:hAnsi="宋体" w:cs="宋体"/>
          <w:sz w:val="24"/>
          <w:szCs w:val="24"/>
          <w:highlight w:val="none"/>
        </w:rPr>
        <w:t>3.方式：响应人凭CA数字证书通过三门峡市公共资源交易中心网（网址：http://gzjy.smx.gov.cn），</w:t>
      </w:r>
      <w:r>
        <w:rPr>
          <w:rFonts w:hint="eastAsia" w:ascii="宋体" w:hAnsi="宋体" w:cs="宋体"/>
          <w:kern w:val="0"/>
          <w:sz w:val="24"/>
          <w:szCs w:val="24"/>
          <w:highlight w:val="none"/>
        </w:rPr>
        <w:t>点击公共资源交易平台选择“交易主体登录”，在所参与项目右侧点击参与投标，即可直接下载本项目竞争性磋商文件。</w:t>
      </w:r>
    </w:p>
    <w:p w14:paraId="34074AD9">
      <w:pPr>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具体操作请查看以下链接：</w:t>
      </w:r>
    </w:p>
    <w:p w14:paraId="3566C894">
      <w:pPr>
        <w:wordWrap w:val="0"/>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三门峡市公共资源交易平台操作手册：</w:t>
      </w:r>
      <w:r>
        <w:rPr>
          <w:rFonts w:ascii="宋体" w:hAnsi="宋体" w:cs="宋体"/>
          <w:sz w:val="24"/>
          <w:szCs w:val="24"/>
          <w:highlight w:val="none"/>
        </w:rPr>
        <w:t>http://gzjy.smx.gov.cn/fwzn/004003/20200325/2b5a3a5a-f987-405c-993f-88f43e1d1ac3.html</w:t>
      </w:r>
    </w:p>
    <w:p w14:paraId="40EBD346">
      <w:pPr>
        <w:wordWrap w:val="0"/>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办理CA证书：</w:t>
      </w:r>
      <w:r>
        <w:rPr>
          <w:rFonts w:ascii="宋体" w:hAnsi="宋体" w:cs="宋体"/>
          <w:sz w:val="24"/>
          <w:szCs w:val="24"/>
          <w:highlight w:val="none"/>
        </w:rPr>
        <w:t>http://gzjy.smx.gov.cn/bzzx/008001/20231102/4defc9b5-408e-47f2-9e9f-1f376a06ee1f.html</w:t>
      </w:r>
    </w:p>
    <w:p w14:paraId="32BEB805">
      <w:pPr>
        <w:spacing w:line="520" w:lineRule="exact"/>
        <w:ind w:firstLine="420" w:firstLineChars="175"/>
        <w:rPr>
          <w:rFonts w:ascii="宋体" w:hAnsi="宋体" w:cs="宋体"/>
          <w:sz w:val="24"/>
          <w:szCs w:val="24"/>
          <w:highlight w:val="none"/>
        </w:rPr>
      </w:pPr>
      <w:r>
        <w:rPr>
          <w:rFonts w:hint="eastAsia" w:ascii="宋体" w:hAnsi="宋体" w:cs="宋体"/>
          <w:sz w:val="24"/>
          <w:szCs w:val="24"/>
          <w:highlight w:val="none"/>
        </w:rPr>
        <w:t>4.售价：0元</w:t>
      </w:r>
      <w:r>
        <w:rPr>
          <w:rFonts w:hint="eastAsia" w:ascii="宋体" w:hAnsi="宋体" w:cs="宋体"/>
          <w:sz w:val="24"/>
          <w:szCs w:val="24"/>
          <w:highlight w:val="none"/>
        </w:rPr>
        <w:tab/>
      </w:r>
    </w:p>
    <w:p w14:paraId="73BFC38E">
      <w:pPr>
        <w:widowControl/>
        <w:spacing w:line="520" w:lineRule="exact"/>
        <w:ind w:firstLine="420" w:firstLineChars="175"/>
        <w:outlineLvl w:val="0"/>
        <w:rPr>
          <w:rFonts w:ascii="宋体" w:hAnsi="宋体" w:cs="宋体"/>
          <w:bCs/>
          <w:kern w:val="0"/>
          <w:sz w:val="24"/>
          <w:szCs w:val="24"/>
          <w:highlight w:val="none"/>
        </w:rPr>
      </w:pPr>
      <w:bookmarkStart w:id="7" w:name="_Toc1753"/>
      <w:r>
        <w:rPr>
          <w:rFonts w:hint="eastAsia" w:ascii="宋体" w:hAnsi="宋体" w:cs="宋体"/>
          <w:bCs/>
          <w:kern w:val="0"/>
          <w:sz w:val="24"/>
          <w:szCs w:val="24"/>
          <w:highlight w:val="none"/>
        </w:rPr>
        <w:t>四、</w:t>
      </w:r>
      <w:r>
        <w:rPr>
          <w:rFonts w:hint="eastAsia" w:ascii="宋体" w:hAnsi="宋体" w:cs="宋体"/>
          <w:kern w:val="0"/>
          <w:sz w:val="24"/>
          <w:szCs w:val="24"/>
          <w:highlight w:val="none"/>
        </w:rPr>
        <w:t>响应文件提交</w:t>
      </w:r>
      <w:bookmarkEnd w:id="7"/>
    </w:p>
    <w:p w14:paraId="23910065">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1.截止时间：</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26</w:t>
      </w:r>
      <w:r>
        <w:rPr>
          <w:rFonts w:hint="eastAsia" w:ascii="宋体" w:hAnsi="宋体" w:cs="宋体"/>
          <w:bCs/>
          <w:color w:val="auto"/>
          <w:kern w:val="0"/>
          <w:sz w:val="24"/>
          <w:szCs w:val="24"/>
          <w:highlight w:val="none"/>
          <w:lang w:eastAsia="zh-CN"/>
        </w:rPr>
        <w:t>日08时</w:t>
      </w:r>
      <w:r>
        <w:rPr>
          <w:rFonts w:hint="eastAsia" w:ascii="宋体" w:hAnsi="宋体" w:cs="宋体"/>
          <w:bCs/>
          <w:color w:val="auto"/>
          <w:kern w:val="0"/>
          <w:sz w:val="24"/>
          <w:szCs w:val="24"/>
          <w:highlight w:val="none"/>
          <w:lang w:val="en-US" w:eastAsia="zh-CN"/>
        </w:rPr>
        <w:t>30</w:t>
      </w:r>
      <w:r>
        <w:rPr>
          <w:rFonts w:hint="eastAsia" w:ascii="宋体" w:hAnsi="宋体" w:cs="宋体"/>
          <w:bCs/>
          <w:color w:val="auto"/>
          <w:kern w:val="0"/>
          <w:sz w:val="24"/>
          <w:szCs w:val="24"/>
          <w:highlight w:val="none"/>
          <w:lang w:eastAsia="zh-CN"/>
        </w:rPr>
        <w:t>分</w:t>
      </w:r>
      <w:r>
        <w:rPr>
          <w:rFonts w:hint="eastAsia" w:ascii="宋体" w:hAnsi="宋体" w:cs="宋体"/>
          <w:bCs/>
          <w:color w:val="auto"/>
          <w:kern w:val="0"/>
          <w:sz w:val="24"/>
          <w:szCs w:val="24"/>
          <w:highlight w:val="none"/>
        </w:rPr>
        <w:t>（北京时间）</w:t>
      </w:r>
      <w:r>
        <w:rPr>
          <w:rFonts w:hint="eastAsia" w:ascii="宋体" w:hAnsi="宋体" w:cs="宋体"/>
          <w:bCs/>
          <w:color w:val="C00000"/>
          <w:kern w:val="0"/>
          <w:sz w:val="24"/>
          <w:szCs w:val="24"/>
          <w:highlight w:val="none"/>
        </w:rPr>
        <w:tab/>
      </w:r>
    </w:p>
    <w:p w14:paraId="3DA0F73F">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2.地点：加密电子响应文件须在磋商截止时间前通过三门峡市公共资源交易中心电子交易平台加密上传。逾期上传的或者未上传指定地点的响应文件，招标人不予受理。</w:t>
      </w:r>
    </w:p>
    <w:p w14:paraId="721460CB">
      <w:pPr>
        <w:widowControl/>
        <w:spacing w:line="520" w:lineRule="exact"/>
        <w:ind w:firstLine="420" w:firstLineChars="175"/>
        <w:outlineLvl w:val="0"/>
        <w:rPr>
          <w:rFonts w:hint="eastAsia" w:ascii="宋体" w:hAnsi="宋体" w:eastAsia="宋体" w:cs="宋体"/>
          <w:bCs/>
          <w:color w:val="auto"/>
          <w:kern w:val="0"/>
          <w:sz w:val="24"/>
          <w:szCs w:val="24"/>
          <w:highlight w:val="none"/>
          <w:lang w:val="en-US" w:eastAsia="zh-CN"/>
        </w:rPr>
      </w:pPr>
      <w:bookmarkStart w:id="8" w:name="_Toc859"/>
      <w:r>
        <w:rPr>
          <w:rFonts w:hint="eastAsia" w:ascii="宋体" w:hAnsi="宋体" w:cs="宋体"/>
          <w:bCs/>
          <w:color w:val="auto"/>
          <w:kern w:val="0"/>
          <w:sz w:val="24"/>
          <w:szCs w:val="24"/>
          <w:highlight w:val="none"/>
        </w:rPr>
        <w:t>五、响应文件开启</w:t>
      </w:r>
      <w:bookmarkEnd w:id="8"/>
      <w:r>
        <w:rPr>
          <w:rFonts w:hint="eastAsia" w:ascii="宋体" w:hAnsi="宋体" w:cs="宋体"/>
          <w:bCs/>
          <w:color w:val="auto"/>
          <w:kern w:val="0"/>
          <w:sz w:val="24"/>
          <w:szCs w:val="24"/>
          <w:highlight w:val="none"/>
        </w:rPr>
        <w:tab/>
      </w:r>
      <w:r>
        <w:rPr>
          <w:rFonts w:hint="eastAsia" w:ascii="宋体" w:hAnsi="宋体" w:cs="宋体"/>
          <w:bCs/>
          <w:color w:val="auto"/>
          <w:kern w:val="0"/>
          <w:sz w:val="24"/>
          <w:szCs w:val="24"/>
          <w:highlight w:val="none"/>
          <w:lang w:val="en-US" w:eastAsia="zh-CN"/>
        </w:rPr>
        <w:t xml:space="preserve"> </w:t>
      </w:r>
    </w:p>
    <w:p w14:paraId="43339337">
      <w:pPr>
        <w:widowControl/>
        <w:spacing w:line="520" w:lineRule="exact"/>
        <w:ind w:firstLine="420" w:firstLineChars="17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1.时间：</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5</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26</w:t>
      </w:r>
      <w:r>
        <w:rPr>
          <w:rFonts w:hint="eastAsia" w:ascii="宋体" w:hAnsi="宋体" w:cs="宋体"/>
          <w:bCs/>
          <w:color w:val="auto"/>
          <w:kern w:val="0"/>
          <w:sz w:val="24"/>
          <w:szCs w:val="24"/>
          <w:highlight w:val="none"/>
          <w:lang w:eastAsia="zh-CN"/>
        </w:rPr>
        <w:t>日08时</w:t>
      </w:r>
      <w:r>
        <w:rPr>
          <w:rFonts w:hint="eastAsia" w:ascii="宋体" w:hAnsi="宋体" w:cs="宋体"/>
          <w:bCs/>
          <w:color w:val="auto"/>
          <w:kern w:val="0"/>
          <w:sz w:val="24"/>
          <w:szCs w:val="24"/>
          <w:highlight w:val="none"/>
          <w:lang w:val="en-US" w:eastAsia="zh-CN"/>
        </w:rPr>
        <w:t>30</w:t>
      </w:r>
      <w:r>
        <w:rPr>
          <w:rFonts w:hint="eastAsia" w:ascii="宋体" w:hAnsi="宋体" w:cs="宋体"/>
          <w:bCs/>
          <w:color w:val="auto"/>
          <w:kern w:val="0"/>
          <w:sz w:val="24"/>
          <w:szCs w:val="24"/>
          <w:highlight w:val="none"/>
          <w:lang w:eastAsia="zh-CN"/>
        </w:rPr>
        <w:t>分</w:t>
      </w:r>
      <w:r>
        <w:rPr>
          <w:rFonts w:hint="eastAsia" w:ascii="宋体" w:hAnsi="宋体" w:cs="宋体"/>
          <w:bCs/>
          <w:color w:val="auto"/>
          <w:kern w:val="0"/>
          <w:sz w:val="24"/>
          <w:szCs w:val="24"/>
          <w:highlight w:val="none"/>
        </w:rPr>
        <w:t>（北京时间）</w:t>
      </w:r>
      <w:r>
        <w:rPr>
          <w:rFonts w:hint="eastAsia" w:ascii="宋体" w:hAnsi="宋体" w:cs="宋体"/>
          <w:bCs/>
          <w:color w:val="auto"/>
          <w:kern w:val="0"/>
          <w:sz w:val="24"/>
          <w:szCs w:val="24"/>
          <w:highlight w:val="none"/>
        </w:rPr>
        <w:tab/>
      </w:r>
    </w:p>
    <w:p w14:paraId="05339A1B">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color w:val="000000"/>
          <w:kern w:val="0"/>
          <w:sz w:val="24"/>
          <w:szCs w:val="24"/>
          <w:highlight w:val="none"/>
        </w:rPr>
        <w:t>2.地点：</w:t>
      </w:r>
      <w:r>
        <w:rPr>
          <w:rFonts w:hint="eastAsia" w:ascii="宋体" w:hAnsi="宋体" w:cs="宋体"/>
          <w:bCs/>
          <w:color w:val="000000"/>
          <w:kern w:val="0"/>
          <w:sz w:val="24"/>
          <w:szCs w:val="24"/>
          <w:highlight w:val="none"/>
          <w:lang w:eastAsia="zh-CN"/>
        </w:rPr>
        <w:t>三门峡市陕州区公共资源交易中心四楼开标室</w:t>
      </w:r>
      <w:r>
        <w:rPr>
          <w:rFonts w:hint="eastAsia" w:ascii="宋体" w:hAnsi="宋体" w:cs="宋体"/>
          <w:bCs/>
          <w:kern w:val="0"/>
          <w:sz w:val="24"/>
          <w:szCs w:val="24"/>
          <w:highlight w:val="none"/>
        </w:rPr>
        <w:t>。</w:t>
      </w:r>
      <w:r>
        <w:rPr>
          <w:rFonts w:hint="eastAsia" w:ascii="宋体" w:hAnsi="宋体" w:cs="宋体"/>
          <w:bCs/>
          <w:kern w:val="0"/>
          <w:sz w:val="24"/>
          <w:szCs w:val="24"/>
          <w:highlight w:val="none"/>
        </w:rPr>
        <w:tab/>
      </w:r>
    </w:p>
    <w:p w14:paraId="3B0E29F0">
      <w:pPr>
        <w:widowControl/>
        <w:spacing w:line="520" w:lineRule="exact"/>
        <w:ind w:firstLine="420" w:firstLineChars="175"/>
        <w:outlineLvl w:val="0"/>
        <w:rPr>
          <w:rFonts w:ascii="宋体" w:hAnsi="宋体" w:cs="宋体"/>
          <w:kern w:val="0"/>
          <w:sz w:val="24"/>
          <w:szCs w:val="24"/>
          <w:highlight w:val="none"/>
        </w:rPr>
      </w:pPr>
      <w:bookmarkStart w:id="9" w:name="_Toc14440"/>
      <w:r>
        <w:rPr>
          <w:rFonts w:hint="eastAsia" w:ascii="宋体" w:hAnsi="宋体" w:cs="宋体"/>
          <w:bCs/>
          <w:kern w:val="0"/>
          <w:sz w:val="24"/>
          <w:szCs w:val="24"/>
          <w:highlight w:val="none"/>
        </w:rPr>
        <w:t>六、</w:t>
      </w:r>
      <w:r>
        <w:rPr>
          <w:rFonts w:hint="eastAsia" w:ascii="宋体" w:hAnsi="宋体" w:cs="宋体"/>
          <w:kern w:val="0"/>
          <w:sz w:val="24"/>
          <w:szCs w:val="24"/>
          <w:highlight w:val="none"/>
        </w:rPr>
        <w:t>发布公告的媒介</w:t>
      </w:r>
      <w:bookmarkEnd w:id="9"/>
    </w:p>
    <w:p w14:paraId="41FDB67A">
      <w:pPr>
        <w:widowControl/>
        <w:spacing w:line="520" w:lineRule="exact"/>
        <w:ind w:firstLine="420" w:firstLineChars="175"/>
        <w:rPr>
          <w:rFonts w:ascii="宋体" w:hAnsi="宋体" w:cs="宋体"/>
          <w:bCs/>
          <w:color w:val="000000"/>
          <w:kern w:val="0"/>
          <w:sz w:val="24"/>
          <w:szCs w:val="24"/>
          <w:highlight w:val="none"/>
        </w:rPr>
      </w:pPr>
      <w:r>
        <w:rPr>
          <w:rFonts w:hint="eastAsia" w:ascii="宋体" w:hAnsi="宋体" w:cs="宋体"/>
          <w:bCs/>
          <w:color w:val="000000"/>
          <w:kern w:val="0"/>
          <w:sz w:val="24"/>
          <w:szCs w:val="24"/>
          <w:highlight w:val="none"/>
        </w:rPr>
        <w:t>本次竞争性磋商公告在</w:t>
      </w:r>
      <w:r>
        <w:rPr>
          <w:rFonts w:hint="eastAsia" w:ascii="宋体" w:hAnsi="宋体"/>
          <w:color w:val="000000"/>
          <w:sz w:val="24"/>
          <w:szCs w:val="24"/>
          <w:highlight w:val="none"/>
          <w:lang w:eastAsia="zh-CN"/>
        </w:rPr>
        <w:t>《中国采购与招标网》、《河南省政府采购网》和《三门峡市公共资源交易中心网》</w:t>
      </w:r>
      <w:r>
        <w:rPr>
          <w:rFonts w:hint="eastAsia" w:ascii="宋体" w:hAnsi="宋体" w:cs="宋体"/>
          <w:bCs/>
          <w:color w:val="000000"/>
          <w:kern w:val="0"/>
          <w:sz w:val="24"/>
          <w:szCs w:val="24"/>
          <w:highlight w:val="none"/>
        </w:rPr>
        <w:t>上发布。</w:t>
      </w:r>
    </w:p>
    <w:p w14:paraId="29EBAF21">
      <w:pPr>
        <w:widowControl/>
        <w:spacing w:line="520" w:lineRule="exact"/>
        <w:ind w:firstLine="420" w:firstLineChars="175"/>
        <w:outlineLvl w:val="0"/>
        <w:rPr>
          <w:rFonts w:ascii="宋体" w:hAnsi="宋体" w:cs="宋体"/>
          <w:bCs/>
          <w:kern w:val="0"/>
          <w:sz w:val="24"/>
          <w:szCs w:val="24"/>
          <w:highlight w:val="none"/>
        </w:rPr>
      </w:pPr>
      <w:bookmarkStart w:id="10" w:name="_Toc22327"/>
      <w:r>
        <w:rPr>
          <w:rFonts w:hint="eastAsia" w:ascii="宋体" w:hAnsi="宋体" w:cs="宋体"/>
          <w:bCs/>
          <w:kern w:val="0"/>
          <w:sz w:val="24"/>
          <w:szCs w:val="24"/>
          <w:highlight w:val="none"/>
        </w:rPr>
        <w:t>七、其他补充事宜</w:t>
      </w:r>
      <w:bookmarkEnd w:id="10"/>
      <w:r>
        <w:rPr>
          <w:rFonts w:hint="eastAsia" w:ascii="宋体" w:hAnsi="宋体" w:cs="宋体"/>
          <w:bCs/>
          <w:kern w:val="0"/>
          <w:sz w:val="24"/>
          <w:szCs w:val="24"/>
          <w:highlight w:val="none"/>
        </w:rPr>
        <w:tab/>
      </w:r>
    </w:p>
    <w:p w14:paraId="7B6690F6">
      <w:pPr>
        <w:widowControl/>
        <w:spacing w:line="520" w:lineRule="exact"/>
        <w:ind w:firstLine="420" w:firstLineChars="175"/>
        <w:jc w:val="left"/>
        <w:rPr>
          <w:rFonts w:ascii="宋体" w:hAnsi="宋体" w:cs="宋体"/>
          <w:bCs/>
          <w:kern w:val="0"/>
          <w:sz w:val="24"/>
          <w:szCs w:val="24"/>
          <w:highlight w:val="none"/>
        </w:rPr>
      </w:pPr>
      <w:r>
        <w:rPr>
          <w:rFonts w:ascii="宋体" w:hAnsi="宋体" w:cs="宋体"/>
          <w:bCs/>
          <w:kern w:val="0"/>
          <w:sz w:val="24"/>
          <w:szCs w:val="24"/>
          <w:highlight w:val="none"/>
        </w:rPr>
        <w:t>1.</w:t>
      </w:r>
      <w:r>
        <w:rPr>
          <w:rFonts w:hint="eastAsia" w:ascii="宋体" w:hAnsi="宋体" w:cs="宋体"/>
          <w:bCs/>
          <w:kern w:val="0"/>
          <w:sz w:val="24"/>
          <w:szCs w:val="24"/>
          <w:highlight w:val="none"/>
        </w:rPr>
        <w:t>本项目为不见面开标项目，开标当日，响应人无需到开标现场参加开标会议，响应人应当在磋商截止时间前，登陆不见面开标大厅选择登陆三门峡市公共资源电子招投标系统进行登陆（网址为http://120.194.249.36:10094/BidOpening/bidopeninghallaction/hall/login），在线准时参加开标活动并进行响应文件解密等。每位响应人的解密时间为开标时间起30分钟内完成。因响应人原因未能解密、解密失败或解密超时的将被拒绝。</w:t>
      </w:r>
    </w:p>
    <w:p w14:paraId="644EE319">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2.本项目为电子化、无纸化交易项目，开标时不再接受任何纸质资料，为保证您能投标成功，请需仔细阅读竞争性磋商文件和三门峡市公共资源交易中心官网业务办理指南。</w:t>
      </w:r>
    </w:p>
    <w:p w14:paraId="3DFD9DAF">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3.根据《河南省财政厅关于优化政府采购营商环境有关问题的通知》（豫财购【2019】4号）第6条的规定，磋商保证金不再收取。</w:t>
      </w:r>
    </w:p>
    <w:p w14:paraId="13BF4027">
      <w:pPr>
        <w:widowControl/>
        <w:spacing w:line="520" w:lineRule="exact"/>
        <w:ind w:firstLine="420" w:firstLineChars="175"/>
        <w:rPr>
          <w:rFonts w:hint="eastAsia" w:ascii="宋体" w:hAnsi="宋体" w:cs="宋体"/>
          <w:bCs/>
          <w:kern w:val="0"/>
          <w:sz w:val="24"/>
          <w:szCs w:val="24"/>
          <w:highlight w:val="none"/>
        </w:rPr>
      </w:pPr>
      <w:r>
        <w:rPr>
          <w:rFonts w:hint="eastAsia" w:ascii="宋体" w:hAnsi="宋体" w:cs="宋体"/>
          <w:bCs/>
          <w:kern w:val="0"/>
          <w:sz w:val="24"/>
          <w:szCs w:val="24"/>
          <w:highlight w:val="none"/>
        </w:rPr>
        <w:t>4.</w:t>
      </w:r>
      <w:r>
        <w:rPr>
          <w:rFonts w:hint="eastAsia"/>
          <w:highlight w:val="none"/>
        </w:rPr>
        <w:t xml:space="preserve"> </w:t>
      </w:r>
      <w:r>
        <w:rPr>
          <w:rFonts w:hint="eastAsia" w:ascii="宋体" w:hAnsi="宋体" w:cs="宋体"/>
          <w:bCs/>
          <w:kern w:val="0"/>
          <w:sz w:val="24"/>
          <w:szCs w:val="24"/>
          <w:highlight w:val="none"/>
        </w:rPr>
        <w:t>响应人应仔细阅读操作手册，在本公告中要求的磋商截止时间前完成响应文件的上传工作，并充分考虑人为操作等因素，因响应人操作不当造成的无法投标等一切后果，由响应人自行承担。</w:t>
      </w:r>
    </w:p>
    <w:p w14:paraId="50316EEE">
      <w:pPr>
        <w:widowControl/>
        <w:spacing w:line="520" w:lineRule="exact"/>
        <w:ind w:firstLine="420" w:firstLineChars="175"/>
        <w:rPr>
          <w:rFonts w:hint="eastAsia" w:ascii="宋体" w:hAnsi="宋体" w:cs="宋体"/>
          <w:bCs/>
          <w:kern w:val="0"/>
          <w:sz w:val="24"/>
          <w:szCs w:val="24"/>
          <w:highlight w:val="none"/>
        </w:rPr>
      </w:pPr>
      <w:r>
        <w:rPr>
          <w:rFonts w:hint="eastAsia" w:ascii="宋体" w:hAnsi="宋体" w:cs="宋体"/>
          <w:bCs/>
          <w:kern w:val="0"/>
          <w:sz w:val="24"/>
          <w:szCs w:val="24"/>
          <w:highlight w:val="none"/>
        </w:rPr>
        <w:t>5.本项目不组织响应人踏勘现场。</w:t>
      </w:r>
    </w:p>
    <w:p w14:paraId="76BCAB34">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6.本项目实行资格后审，审查内容以响应文件为准，可使用电子营业执照。其上传资料真实性由响应人自行承担，同时，响应人请完善主体库信息(基本信息不作为资格审查项)。</w:t>
      </w:r>
    </w:p>
    <w:p w14:paraId="63F73077">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7.评标打分部分：评标打分部分仍按照100分制原则进行，涉及到资格审查、企业业绩等计分部分时，以响应人自行上传到响应文件中的相应内容为准。</w:t>
      </w:r>
    </w:p>
    <w:p w14:paraId="6AB6F33F">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8.响应文件编制部分：在响应文件中要求响应人按照响应文件格式进行响应文件编制，在响应文件编制时，应明确将响应人企业基本情况、资质情况、业绩情况编入响应文件，便于进行资格审查及评标打分。</w:t>
      </w:r>
    </w:p>
    <w:p w14:paraId="6AF90028">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9.我单位（采购人）严格按三财购【2021】9号文要求的时限发布中标结果公告，发出中标通知书，签订采购合同，上传采购合同。</w:t>
      </w:r>
      <w:r>
        <w:rPr>
          <w:rFonts w:hint="eastAsia" w:ascii="宋体" w:hAnsi="宋体" w:cs="宋体"/>
          <w:bCs/>
          <w:kern w:val="0"/>
          <w:sz w:val="24"/>
          <w:szCs w:val="24"/>
          <w:highlight w:val="none"/>
        </w:rPr>
        <w:tab/>
      </w:r>
    </w:p>
    <w:p w14:paraId="63ACA22C">
      <w:pPr>
        <w:widowControl/>
        <w:spacing w:line="520" w:lineRule="exact"/>
        <w:ind w:firstLine="420" w:firstLineChars="175"/>
        <w:outlineLvl w:val="0"/>
        <w:rPr>
          <w:rFonts w:ascii="宋体" w:hAnsi="宋体" w:cs="宋体"/>
          <w:bCs/>
          <w:kern w:val="0"/>
          <w:sz w:val="24"/>
          <w:szCs w:val="24"/>
          <w:highlight w:val="none"/>
        </w:rPr>
      </w:pPr>
      <w:bookmarkStart w:id="11" w:name="_Toc18394"/>
      <w:r>
        <w:rPr>
          <w:rFonts w:hint="eastAsia" w:ascii="宋体" w:hAnsi="宋体" w:cs="宋体"/>
          <w:bCs/>
          <w:kern w:val="0"/>
          <w:sz w:val="24"/>
          <w:szCs w:val="24"/>
          <w:highlight w:val="none"/>
        </w:rPr>
        <w:t>八、凡对本次招标提出询问，请按照以下方式联系</w:t>
      </w:r>
      <w:bookmarkEnd w:id="11"/>
      <w:r>
        <w:rPr>
          <w:rFonts w:hint="eastAsia" w:ascii="宋体" w:hAnsi="宋体" w:cs="宋体"/>
          <w:bCs/>
          <w:kern w:val="0"/>
          <w:sz w:val="24"/>
          <w:szCs w:val="24"/>
          <w:highlight w:val="none"/>
        </w:rPr>
        <w:tab/>
      </w:r>
    </w:p>
    <w:p w14:paraId="69F94C7F">
      <w:pPr>
        <w:spacing w:line="520" w:lineRule="exact"/>
        <w:ind w:firstLine="420" w:firstLineChars="175"/>
        <w:jc w:val="left"/>
        <w:outlineLvl w:val="1"/>
        <w:rPr>
          <w:rFonts w:hint="eastAsia" w:ascii="宋体" w:hAnsi="宋体" w:cs="宋体"/>
          <w:sz w:val="24"/>
          <w:szCs w:val="24"/>
          <w:highlight w:val="none"/>
          <w:lang w:val="en-US" w:eastAsia="zh-CN"/>
        </w:rPr>
      </w:pPr>
      <w:r>
        <w:rPr>
          <w:rFonts w:ascii="宋体" w:hAnsi="宋体" w:cs="宋体"/>
          <w:sz w:val="24"/>
          <w:szCs w:val="24"/>
          <w:highlight w:val="none"/>
        </w:rPr>
        <w:t>1</w:t>
      </w:r>
      <w:r>
        <w:rPr>
          <w:rFonts w:hint="eastAsia" w:ascii="宋体" w:hAnsi="宋体" w:cs="宋体"/>
          <w:sz w:val="24"/>
          <w:szCs w:val="24"/>
          <w:highlight w:val="none"/>
          <w:lang w:val="en-US" w:eastAsia="zh-CN"/>
        </w:rPr>
        <w:t>采购人信息</w:t>
      </w:r>
    </w:p>
    <w:p w14:paraId="07E9DDCA">
      <w:pPr>
        <w:spacing w:line="520" w:lineRule="exact"/>
        <w:ind w:firstLine="420" w:firstLineChars="175"/>
        <w:jc w:val="left"/>
        <w:outlineLvl w:val="1"/>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名称</w:t>
      </w:r>
      <w:r>
        <w:rPr>
          <w:rFonts w:hint="eastAsia" w:ascii="宋体" w:hAnsi="宋体" w:cs="宋体"/>
          <w:sz w:val="24"/>
          <w:szCs w:val="24"/>
          <w:highlight w:val="none"/>
        </w:rPr>
        <w:t>：</w:t>
      </w:r>
      <w:r>
        <w:rPr>
          <w:rFonts w:hint="eastAsia" w:ascii="宋体" w:hAnsi="宋体" w:cs="宋体"/>
          <w:sz w:val="24"/>
          <w:szCs w:val="24"/>
          <w:highlight w:val="none"/>
          <w:lang w:eastAsia="zh-CN"/>
        </w:rPr>
        <w:t>三门峡市陕州区西李村乡人民政府</w:t>
      </w:r>
    </w:p>
    <w:p w14:paraId="50AC7EAC">
      <w:pPr>
        <w:spacing w:line="520" w:lineRule="exact"/>
        <w:ind w:firstLine="420" w:firstLineChars="175"/>
        <w:jc w:val="left"/>
        <w:rPr>
          <w:rFonts w:hint="eastAsia" w:ascii="宋体" w:hAnsi="宋体" w:eastAsia="宋体" w:cs="宋体"/>
          <w:sz w:val="24"/>
          <w:szCs w:val="24"/>
          <w:highlight w:val="none"/>
          <w:lang w:eastAsia="zh-CN"/>
        </w:rPr>
      </w:pPr>
      <w:bookmarkStart w:id="12" w:name="OLE_LINK7"/>
      <w:r>
        <w:rPr>
          <w:rFonts w:hint="eastAsia" w:ascii="宋体" w:hAnsi="宋体" w:cs="宋体"/>
          <w:sz w:val="24"/>
          <w:szCs w:val="24"/>
          <w:highlight w:val="none"/>
        </w:rPr>
        <w:t>地址：</w:t>
      </w:r>
      <w:r>
        <w:rPr>
          <w:rFonts w:hint="eastAsia" w:ascii="宋体" w:hAnsi="宋体" w:cs="宋体"/>
          <w:sz w:val="24"/>
          <w:szCs w:val="24"/>
          <w:highlight w:val="none"/>
          <w:lang w:eastAsia="zh-CN"/>
        </w:rPr>
        <w:t>三门峡市陕州区西李村乡</w:t>
      </w:r>
    </w:p>
    <w:p w14:paraId="25EB05FC">
      <w:pPr>
        <w:spacing w:line="520" w:lineRule="exact"/>
        <w:ind w:firstLine="420" w:firstLineChars="175"/>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刘淑巧</w:t>
      </w:r>
    </w:p>
    <w:p w14:paraId="47AA244E">
      <w:pPr>
        <w:spacing w:line="520" w:lineRule="exact"/>
        <w:ind w:firstLine="420" w:firstLineChars="175"/>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15729016329</w:t>
      </w:r>
    </w:p>
    <w:bookmarkEnd w:id="12"/>
    <w:p w14:paraId="3DE20C33">
      <w:pPr>
        <w:numPr>
          <w:ilvl w:val="0"/>
          <w:numId w:val="2"/>
        </w:numPr>
        <w:spacing w:line="520" w:lineRule="exact"/>
        <w:ind w:firstLine="420" w:firstLineChars="175"/>
        <w:jc w:val="left"/>
        <w:outlineLvl w:val="1"/>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w:t>
      </w:r>
      <w:r>
        <w:rPr>
          <w:rFonts w:hint="eastAsia" w:ascii="宋体" w:hAnsi="宋体" w:cs="宋体"/>
          <w:sz w:val="24"/>
          <w:szCs w:val="24"/>
          <w:highlight w:val="none"/>
        </w:rPr>
        <w:t>代理机构</w:t>
      </w:r>
      <w:r>
        <w:rPr>
          <w:rFonts w:hint="eastAsia" w:ascii="宋体" w:hAnsi="宋体" w:cs="宋体"/>
          <w:sz w:val="24"/>
          <w:szCs w:val="24"/>
          <w:highlight w:val="none"/>
          <w:lang w:val="en-US" w:eastAsia="zh-CN"/>
        </w:rPr>
        <w:t>信息</w:t>
      </w:r>
    </w:p>
    <w:p w14:paraId="5C703647">
      <w:pPr>
        <w:numPr>
          <w:ilvl w:val="0"/>
          <w:numId w:val="0"/>
        </w:numPr>
        <w:spacing w:line="520" w:lineRule="exact"/>
        <w:ind w:firstLine="480" w:firstLineChars="200"/>
        <w:jc w:val="left"/>
        <w:outlineLvl w:val="1"/>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名称</w:t>
      </w:r>
      <w:r>
        <w:rPr>
          <w:rFonts w:hint="eastAsia" w:ascii="宋体" w:hAnsi="宋体" w:cs="宋体"/>
          <w:sz w:val="24"/>
          <w:szCs w:val="24"/>
          <w:highlight w:val="none"/>
        </w:rPr>
        <w:t>：</w:t>
      </w:r>
      <w:bookmarkStart w:id="13" w:name="OLE_LINK9"/>
      <w:r>
        <w:rPr>
          <w:rFonts w:hint="eastAsia" w:ascii="宋体" w:hAnsi="宋体" w:cs="Times New Roman"/>
          <w:kern w:val="0"/>
          <w:sz w:val="24"/>
          <w:szCs w:val="24"/>
          <w:lang w:val="en-US" w:eastAsia="zh-CN"/>
        </w:rPr>
        <w:t>中诚联创工程管理有限公司</w:t>
      </w:r>
      <w:bookmarkEnd w:id="13"/>
    </w:p>
    <w:p w14:paraId="63A02C53">
      <w:pPr>
        <w:spacing w:line="520" w:lineRule="exact"/>
        <w:ind w:firstLine="480" w:firstLineChars="2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地址：郑州高新技术产业开发区电厂路河南省国家大学科技园（东区）</w:t>
      </w:r>
    </w:p>
    <w:p w14:paraId="3F0AD65D">
      <w:pPr>
        <w:spacing w:line="520" w:lineRule="exact"/>
        <w:ind w:left="1257" w:leftChars="570" w:hanging="60" w:hangingChars="25"/>
        <w:jc w:val="left"/>
        <w:rPr>
          <w:rFonts w:hint="eastAsia" w:ascii="宋体" w:hAnsi="宋体" w:eastAsia="宋体" w:cs="宋体"/>
          <w:color w:val="0000FF"/>
          <w:sz w:val="24"/>
          <w:szCs w:val="24"/>
          <w:highlight w:val="none"/>
          <w:lang w:eastAsia="zh-CN"/>
        </w:rPr>
      </w:pPr>
      <w:r>
        <w:rPr>
          <w:rFonts w:hint="eastAsia" w:ascii="宋体" w:hAnsi="宋体" w:eastAsia="宋体" w:cs="Times New Roman"/>
          <w:sz w:val="24"/>
          <w:szCs w:val="24"/>
          <w:lang w:val="en-US" w:eastAsia="zh-CN"/>
        </w:rPr>
        <w:t>18</w:t>
      </w:r>
      <w:r>
        <w:rPr>
          <w:rFonts w:hint="eastAsia" w:ascii="宋体" w:hAnsi="宋体"/>
          <w:sz w:val="24"/>
          <w:szCs w:val="24"/>
          <w:lang w:val="en-US" w:eastAsia="zh-CN"/>
        </w:rPr>
        <w:t>号楼C座大厦4层29号</w:t>
      </w:r>
    </w:p>
    <w:p w14:paraId="4614938B">
      <w:pPr>
        <w:spacing w:line="520" w:lineRule="exact"/>
        <w:ind w:firstLine="420" w:firstLineChars="175"/>
        <w:jc w:val="left"/>
        <w:rPr>
          <w:rFonts w:hint="eastAsia" w:ascii="宋体" w:hAnsi="宋体" w:eastAsia="宋体" w:cs="宋体"/>
          <w:sz w:val="24"/>
          <w:szCs w:val="24"/>
          <w:highlight w:val="none"/>
          <w:lang w:eastAsia="zh-CN"/>
        </w:rPr>
      </w:pPr>
      <w:bookmarkStart w:id="14" w:name="OLE_LINK10"/>
      <w:r>
        <w:rPr>
          <w:rFonts w:hint="eastAsia" w:ascii="宋体" w:hAnsi="宋体" w:cs="宋体"/>
          <w:sz w:val="24"/>
          <w:szCs w:val="24"/>
          <w:highlight w:val="none"/>
        </w:rPr>
        <w:t>联系人：</w:t>
      </w:r>
      <w:r>
        <w:rPr>
          <w:rFonts w:hint="eastAsia" w:ascii="宋体" w:hAnsi="宋体" w:cs="宋体"/>
          <w:sz w:val="24"/>
          <w:szCs w:val="24"/>
          <w:highlight w:val="none"/>
          <w:lang w:val="en-US" w:eastAsia="zh-CN"/>
        </w:rPr>
        <w:t>孔</w:t>
      </w:r>
      <w:r>
        <w:rPr>
          <w:rFonts w:hint="eastAsia" w:ascii="宋体" w:hAnsi="宋体" w:cs="宋体"/>
          <w:sz w:val="24"/>
          <w:szCs w:val="24"/>
          <w:highlight w:val="none"/>
          <w:lang w:eastAsia="zh-CN"/>
        </w:rPr>
        <w:t>女士</w:t>
      </w:r>
    </w:p>
    <w:p w14:paraId="34787A1E">
      <w:pPr>
        <w:spacing w:line="520" w:lineRule="exact"/>
        <w:ind w:firstLine="420" w:firstLineChars="175"/>
        <w:jc w:val="left"/>
        <w:rPr>
          <w:rFonts w:hint="eastAsia" w:ascii="宋体" w:hAnsi="宋体" w:cs="宋体"/>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eastAsia="zh-CN"/>
        </w:rPr>
        <w:t>1</w:t>
      </w:r>
      <w:r>
        <w:rPr>
          <w:rFonts w:hint="eastAsia" w:ascii="宋体" w:hAnsi="宋体" w:cs="宋体"/>
          <w:sz w:val="24"/>
          <w:szCs w:val="24"/>
          <w:highlight w:val="none"/>
          <w:lang w:val="en-US" w:eastAsia="zh-CN"/>
        </w:rPr>
        <w:t>9713986610</w:t>
      </w:r>
    </w:p>
    <w:bookmarkEnd w:id="1"/>
    <w:bookmarkEnd w:id="14"/>
    <w:p w14:paraId="006712DC">
      <w:pPr>
        <w:spacing w:line="460" w:lineRule="exact"/>
        <w:ind w:firstLine="420" w:firstLineChars="175"/>
        <w:outlineLvl w:val="1"/>
        <w:rPr>
          <w:rFonts w:ascii="宋体" w:hAnsi="宋体" w:cs="宋体"/>
          <w:sz w:val="24"/>
          <w:szCs w:val="24"/>
        </w:rPr>
      </w:pPr>
      <w:r>
        <w:rPr>
          <w:rFonts w:ascii="宋体" w:hAnsi="宋体" w:cs="宋体"/>
          <w:sz w:val="24"/>
          <w:szCs w:val="24"/>
        </w:rPr>
        <w:t>3</w:t>
      </w:r>
      <w:r>
        <w:rPr>
          <w:rFonts w:hint="eastAsia" w:ascii="宋体" w:hAnsi="宋体" w:cs="宋体"/>
          <w:sz w:val="24"/>
          <w:szCs w:val="24"/>
        </w:rPr>
        <w:t>.项目联系方式</w:t>
      </w:r>
    </w:p>
    <w:p w14:paraId="6CB6EE15">
      <w:pPr>
        <w:spacing w:line="460" w:lineRule="exact"/>
        <w:ind w:firstLine="420" w:firstLineChars="175"/>
        <w:jc w:val="left"/>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孔</w:t>
      </w:r>
      <w:r>
        <w:rPr>
          <w:rFonts w:hint="eastAsia" w:ascii="宋体" w:hAnsi="宋体" w:cs="宋体"/>
          <w:sz w:val="24"/>
          <w:szCs w:val="24"/>
          <w:highlight w:val="none"/>
          <w:lang w:eastAsia="zh-CN"/>
        </w:rPr>
        <w:t>女士</w:t>
      </w:r>
    </w:p>
    <w:p w14:paraId="1A157B0E">
      <w:pPr>
        <w:tabs>
          <w:tab w:val="left" w:pos="5040"/>
        </w:tabs>
        <w:spacing w:line="460" w:lineRule="exact"/>
        <w:ind w:firstLine="420" w:firstLineChars="175"/>
        <w:rPr>
          <w:rFonts w:hint="eastAsia" w:ascii="宋体" w:hAnsi="宋体" w:cs="宋体"/>
          <w:sz w:val="24"/>
          <w:szCs w:val="24"/>
        </w:rPr>
      </w:pPr>
      <w:r>
        <w:rPr>
          <w:rFonts w:hint="eastAsia" w:ascii="宋体" w:hAnsi="宋体" w:cs="宋体"/>
          <w:sz w:val="24"/>
          <w:szCs w:val="24"/>
        </w:rPr>
        <w:t>联系方式：</w:t>
      </w:r>
      <w:r>
        <w:rPr>
          <w:rFonts w:hint="eastAsia" w:ascii="宋体" w:hAnsi="宋体" w:cs="宋体"/>
          <w:sz w:val="24"/>
          <w:szCs w:val="24"/>
          <w:highlight w:val="none"/>
          <w:lang w:eastAsia="zh-CN"/>
        </w:rPr>
        <w:t>1</w:t>
      </w:r>
      <w:r>
        <w:rPr>
          <w:rFonts w:hint="eastAsia" w:ascii="宋体" w:hAnsi="宋体" w:cs="宋体"/>
          <w:sz w:val="24"/>
          <w:szCs w:val="24"/>
          <w:highlight w:val="none"/>
          <w:lang w:val="en-US" w:eastAsia="zh-CN"/>
        </w:rPr>
        <w:t>9713986610</w:t>
      </w:r>
      <w:r>
        <w:rPr>
          <w:rFonts w:ascii="宋体" w:hAnsi="宋体" w:cs="宋体"/>
          <w:sz w:val="24"/>
          <w:szCs w:val="24"/>
        </w:rPr>
        <w:t xml:space="preserve"> </w:t>
      </w:r>
    </w:p>
    <w:p w14:paraId="33E85524">
      <w:pPr>
        <w:pStyle w:val="2"/>
        <w:bidi w:val="0"/>
        <w:jc w:val="center"/>
        <w:rPr>
          <w:rFonts w:hint="eastAsia"/>
        </w:rPr>
      </w:pPr>
      <w:r>
        <w:rPr>
          <w:rFonts w:hint="eastAsia" w:ascii="宋体" w:hAnsi="宋体" w:cs="宋体"/>
          <w:szCs w:val="24"/>
          <w:highlight w:val="none"/>
        </w:rPr>
        <w:br w:type="page"/>
      </w:r>
      <w:bookmarkStart w:id="15" w:name="_Toc10438"/>
      <w:bookmarkStart w:id="16" w:name="_Toc14828"/>
      <w:r>
        <w:rPr>
          <w:rFonts w:hint="eastAsia"/>
        </w:rPr>
        <w:t>第二章   响应人须知</w:t>
      </w:r>
      <w:bookmarkEnd w:id="15"/>
      <w:bookmarkEnd w:id="16"/>
    </w:p>
    <w:p w14:paraId="2F80AFF2">
      <w:pPr>
        <w:keepNext/>
        <w:keepLines/>
        <w:spacing w:line="360" w:lineRule="auto"/>
        <w:ind w:left="851" w:leftChars="0" w:hanging="284" w:firstLineChars="0"/>
        <w:jc w:val="center"/>
        <w:outlineLvl w:val="9"/>
        <w:rPr>
          <w:rFonts w:ascii="黑体" w:hAnsi="宋体" w:eastAsia="黑体" w:cs="宋体"/>
          <w:sz w:val="24"/>
          <w:szCs w:val="24"/>
          <w:highlight w:val="none"/>
        </w:rPr>
      </w:pPr>
      <w:bookmarkStart w:id="17" w:name="_Toc31332"/>
      <w:bookmarkStart w:id="18" w:name="_Toc6916"/>
      <w:r>
        <w:rPr>
          <w:rFonts w:hint="eastAsia" w:ascii="黑体" w:hAnsi="宋体" w:eastAsia="黑体" w:cs="宋体"/>
          <w:sz w:val="24"/>
          <w:szCs w:val="24"/>
          <w:highlight w:val="none"/>
        </w:rPr>
        <w:t>响应人须知前附表</w:t>
      </w:r>
      <w:bookmarkEnd w:id="17"/>
      <w:bookmarkEnd w:id="18"/>
    </w:p>
    <w:tbl>
      <w:tblPr>
        <w:tblStyle w:val="1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9"/>
        <w:gridCol w:w="164"/>
        <w:gridCol w:w="1412"/>
        <w:gridCol w:w="425"/>
        <w:gridCol w:w="6663"/>
      </w:tblGrid>
      <w:tr w14:paraId="7F08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423B8B36">
            <w:pPr>
              <w:jc w:val="center"/>
              <w:rPr>
                <w:rFonts w:ascii="宋体" w:hAnsi="宋体" w:cs="宋体"/>
                <w:b/>
                <w:bCs/>
                <w:sz w:val="24"/>
                <w:szCs w:val="24"/>
                <w:highlight w:val="none"/>
              </w:rPr>
            </w:pPr>
            <w:r>
              <w:rPr>
                <w:rFonts w:hint="eastAsia" w:ascii="宋体" w:hAnsi="宋体" w:cs="宋体"/>
                <w:b/>
                <w:bCs/>
                <w:sz w:val="24"/>
                <w:szCs w:val="24"/>
                <w:highlight w:val="none"/>
              </w:rPr>
              <w:t>条款号</w:t>
            </w:r>
          </w:p>
        </w:tc>
        <w:tc>
          <w:tcPr>
            <w:tcW w:w="1837" w:type="dxa"/>
            <w:gridSpan w:val="2"/>
            <w:tcBorders>
              <w:top w:val="single" w:color="auto" w:sz="4" w:space="0"/>
              <w:left w:val="nil"/>
              <w:bottom w:val="single" w:color="auto" w:sz="4" w:space="0"/>
              <w:right w:val="single" w:color="auto" w:sz="4" w:space="0"/>
            </w:tcBorders>
            <w:noWrap w:val="0"/>
            <w:vAlign w:val="center"/>
          </w:tcPr>
          <w:p w14:paraId="28A42773">
            <w:pPr>
              <w:jc w:val="center"/>
              <w:rPr>
                <w:rFonts w:ascii="宋体" w:hAnsi="宋体" w:cs="宋体"/>
                <w:b/>
                <w:bCs/>
                <w:sz w:val="24"/>
                <w:szCs w:val="24"/>
                <w:highlight w:val="none"/>
              </w:rPr>
            </w:pPr>
            <w:r>
              <w:rPr>
                <w:rFonts w:hint="eastAsia" w:ascii="宋体" w:hAnsi="宋体" w:cs="宋体"/>
                <w:b/>
                <w:bCs/>
                <w:sz w:val="24"/>
                <w:szCs w:val="24"/>
                <w:highlight w:val="none"/>
              </w:rPr>
              <w:t>条款名称</w:t>
            </w:r>
          </w:p>
        </w:tc>
        <w:tc>
          <w:tcPr>
            <w:tcW w:w="6663" w:type="dxa"/>
            <w:tcBorders>
              <w:top w:val="single" w:color="auto" w:sz="4" w:space="0"/>
              <w:left w:val="nil"/>
              <w:bottom w:val="single" w:color="auto" w:sz="4" w:space="0"/>
              <w:right w:val="single" w:color="auto" w:sz="4" w:space="0"/>
            </w:tcBorders>
            <w:noWrap w:val="0"/>
            <w:vAlign w:val="center"/>
          </w:tcPr>
          <w:p w14:paraId="6E2263CB">
            <w:pPr>
              <w:jc w:val="center"/>
              <w:rPr>
                <w:rFonts w:ascii="宋体" w:hAnsi="宋体" w:cs="宋体"/>
                <w:b/>
                <w:bCs/>
                <w:sz w:val="24"/>
                <w:szCs w:val="24"/>
                <w:highlight w:val="none"/>
              </w:rPr>
            </w:pPr>
            <w:r>
              <w:rPr>
                <w:rFonts w:hint="eastAsia" w:ascii="宋体" w:hAnsi="宋体" w:cs="宋体"/>
                <w:b/>
                <w:bCs/>
                <w:sz w:val="24"/>
                <w:szCs w:val="24"/>
                <w:highlight w:val="none"/>
              </w:rPr>
              <w:t>编  列  内  容</w:t>
            </w:r>
          </w:p>
        </w:tc>
      </w:tr>
      <w:tr w14:paraId="1DB6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1E9042B5">
            <w:pPr>
              <w:jc w:val="center"/>
              <w:rPr>
                <w:rFonts w:ascii="宋体" w:hAnsi="宋体" w:cs="宋体"/>
                <w:sz w:val="24"/>
                <w:szCs w:val="24"/>
                <w:highlight w:val="none"/>
              </w:rPr>
            </w:pPr>
            <w:r>
              <w:rPr>
                <w:rFonts w:hint="eastAsia" w:ascii="宋体" w:hAnsi="宋体" w:cs="宋体"/>
                <w:sz w:val="24"/>
                <w:szCs w:val="24"/>
                <w:highlight w:val="none"/>
              </w:rPr>
              <w:t>1.1.2</w:t>
            </w:r>
          </w:p>
        </w:tc>
        <w:tc>
          <w:tcPr>
            <w:tcW w:w="1837" w:type="dxa"/>
            <w:gridSpan w:val="2"/>
            <w:tcBorders>
              <w:top w:val="single" w:color="auto" w:sz="4" w:space="0"/>
              <w:left w:val="nil"/>
              <w:bottom w:val="single" w:color="auto" w:sz="4" w:space="0"/>
              <w:right w:val="single" w:color="auto" w:sz="4" w:space="0"/>
            </w:tcBorders>
            <w:noWrap w:val="0"/>
            <w:vAlign w:val="center"/>
          </w:tcPr>
          <w:p w14:paraId="7861310A">
            <w:pPr>
              <w:widowControl/>
              <w:jc w:val="center"/>
              <w:rPr>
                <w:rFonts w:hint="default" w:ascii="宋体" w:eastAsia="宋体"/>
                <w:kern w:val="0"/>
                <w:sz w:val="24"/>
                <w:szCs w:val="24"/>
                <w:highlight w:val="none"/>
                <w:lang w:val="en-US" w:eastAsia="zh-CN"/>
              </w:rPr>
            </w:pPr>
            <w:r>
              <w:rPr>
                <w:rFonts w:hint="eastAsia" w:ascii="宋体"/>
                <w:kern w:val="0"/>
                <w:sz w:val="24"/>
                <w:szCs w:val="24"/>
                <w:highlight w:val="none"/>
                <w:lang w:val="en-US" w:eastAsia="zh-CN"/>
              </w:rPr>
              <w:t>采购人</w:t>
            </w:r>
          </w:p>
        </w:tc>
        <w:tc>
          <w:tcPr>
            <w:tcW w:w="6663" w:type="dxa"/>
            <w:tcBorders>
              <w:top w:val="single" w:color="auto" w:sz="4" w:space="0"/>
              <w:left w:val="nil"/>
              <w:bottom w:val="single" w:color="auto" w:sz="4" w:space="0"/>
              <w:right w:val="single" w:color="auto" w:sz="4" w:space="0"/>
            </w:tcBorders>
            <w:noWrap w:val="0"/>
            <w:vAlign w:val="center"/>
          </w:tcPr>
          <w:p w14:paraId="18FAE297">
            <w:pPr>
              <w:spacing w:line="440" w:lineRule="exact"/>
              <w:jc w:val="left"/>
              <w:rPr>
                <w:rFonts w:hint="eastAsia" w:ascii="宋体" w:hAnsi="宋体" w:eastAsia="宋体" w:cs="宋体"/>
                <w:sz w:val="24"/>
                <w:szCs w:val="24"/>
                <w:highlight w:val="none"/>
                <w:lang w:eastAsia="zh-CN"/>
              </w:rPr>
            </w:pPr>
            <w:r>
              <w:rPr>
                <w:rFonts w:hint="eastAsia" w:ascii="宋体" w:hAnsi="宋体" w:cs="宋体"/>
                <w:kern w:val="0"/>
                <w:sz w:val="24"/>
                <w:szCs w:val="28"/>
                <w:highlight w:val="none"/>
                <w:lang w:val="en-US" w:eastAsia="zh-CN"/>
              </w:rPr>
              <w:t>采购</w:t>
            </w:r>
            <w:r>
              <w:rPr>
                <w:rFonts w:hint="eastAsia" w:ascii="宋体" w:hAnsi="宋体" w:cs="宋体"/>
                <w:kern w:val="0"/>
                <w:sz w:val="24"/>
                <w:szCs w:val="28"/>
                <w:highlight w:val="none"/>
              </w:rPr>
              <w:t>人：</w:t>
            </w:r>
            <w:r>
              <w:rPr>
                <w:rFonts w:hint="eastAsia" w:ascii="宋体" w:hAnsi="宋体" w:cs="宋体"/>
                <w:sz w:val="24"/>
                <w:szCs w:val="24"/>
                <w:highlight w:val="none"/>
                <w:lang w:eastAsia="zh-CN"/>
              </w:rPr>
              <w:t>三门峡市陕州区西李村乡人民政府</w:t>
            </w:r>
          </w:p>
          <w:p w14:paraId="50CE9293">
            <w:pPr>
              <w:spacing w:line="440" w:lineRule="exact"/>
              <w:jc w:val="left"/>
              <w:rPr>
                <w:rFonts w:hint="eastAsia" w:ascii="宋体" w:hAnsi="宋体" w:eastAsia="宋体" w:cs="宋体"/>
                <w:kern w:val="0"/>
                <w:sz w:val="24"/>
                <w:szCs w:val="28"/>
                <w:highlight w:val="none"/>
                <w:lang w:eastAsia="zh-CN"/>
              </w:rPr>
            </w:pPr>
            <w:r>
              <w:rPr>
                <w:rFonts w:hint="eastAsia" w:ascii="宋体" w:hAnsi="宋体" w:cs="宋体"/>
                <w:kern w:val="0"/>
                <w:sz w:val="24"/>
                <w:szCs w:val="28"/>
                <w:highlight w:val="none"/>
              </w:rPr>
              <w:t>地址：</w:t>
            </w:r>
            <w:r>
              <w:rPr>
                <w:rFonts w:hint="eastAsia" w:ascii="宋体" w:hAnsi="宋体" w:cs="宋体"/>
                <w:sz w:val="24"/>
                <w:szCs w:val="24"/>
                <w:highlight w:val="none"/>
                <w:lang w:eastAsia="zh-CN"/>
              </w:rPr>
              <w:t>三门峡市陕州区西李村乡</w:t>
            </w:r>
          </w:p>
          <w:p w14:paraId="5D4FA099">
            <w:pPr>
              <w:spacing w:line="52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刘淑巧</w:t>
            </w:r>
          </w:p>
          <w:p w14:paraId="0DB0A4FB">
            <w:pPr>
              <w:spacing w:line="520" w:lineRule="exact"/>
              <w:jc w:val="left"/>
              <w:rPr>
                <w:rFonts w:hint="eastAsia" w:ascii="宋体" w:eastAsia="宋体"/>
                <w:color w:val="FF0000"/>
                <w:kern w:val="0"/>
                <w:sz w:val="24"/>
                <w:szCs w:val="24"/>
                <w:highlight w:val="none"/>
                <w:lang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15729016329</w:t>
            </w:r>
          </w:p>
        </w:tc>
      </w:tr>
      <w:tr w14:paraId="12DD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132DAEBB">
            <w:pPr>
              <w:jc w:val="center"/>
              <w:rPr>
                <w:rFonts w:ascii="宋体" w:hAnsi="宋体" w:cs="宋体"/>
                <w:sz w:val="24"/>
                <w:szCs w:val="24"/>
                <w:highlight w:val="none"/>
              </w:rPr>
            </w:pPr>
            <w:r>
              <w:rPr>
                <w:rFonts w:hint="eastAsia" w:ascii="宋体" w:hAnsi="宋体" w:cs="宋体"/>
                <w:sz w:val="24"/>
                <w:szCs w:val="24"/>
                <w:highlight w:val="none"/>
              </w:rPr>
              <w:t>1.1.3</w:t>
            </w:r>
          </w:p>
        </w:tc>
        <w:tc>
          <w:tcPr>
            <w:tcW w:w="1837" w:type="dxa"/>
            <w:gridSpan w:val="2"/>
            <w:tcBorders>
              <w:top w:val="single" w:color="auto" w:sz="4" w:space="0"/>
              <w:left w:val="nil"/>
              <w:bottom w:val="single" w:color="auto" w:sz="4" w:space="0"/>
              <w:right w:val="single" w:color="auto" w:sz="4" w:space="0"/>
            </w:tcBorders>
            <w:noWrap w:val="0"/>
            <w:vAlign w:val="center"/>
          </w:tcPr>
          <w:p w14:paraId="517A2F9B">
            <w:pPr>
              <w:spacing w:line="440" w:lineRule="exact"/>
              <w:jc w:val="left"/>
              <w:rPr>
                <w:rFonts w:hint="eastAsia" w:ascii="宋体" w:hAnsi="宋体" w:eastAsia="宋体" w:cs="Times New Roman"/>
                <w:sz w:val="24"/>
                <w:szCs w:val="24"/>
                <w:lang w:eastAsia="zh-CN"/>
              </w:rPr>
            </w:pPr>
            <w:r>
              <w:rPr>
                <w:rFonts w:hint="eastAsia" w:ascii="宋体" w:hAnsi="宋体" w:cs="Times New Roman"/>
                <w:sz w:val="24"/>
                <w:szCs w:val="24"/>
                <w:lang w:val="en-US" w:eastAsia="zh-CN"/>
              </w:rPr>
              <w:t>采购</w:t>
            </w:r>
            <w:r>
              <w:rPr>
                <w:rFonts w:hint="eastAsia" w:ascii="宋体" w:hAnsi="宋体" w:eastAsia="宋体" w:cs="Times New Roman"/>
                <w:sz w:val="24"/>
                <w:szCs w:val="24"/>
                <w:lang w:eastAsia="zh-CN"/>
              </w:rPr>
              <w:t>代理机构</w:t>
            </w:r>
          </w:p>
        </w:tc>
        <w:tc>
          <w:tcPr>
            <w:tcW w:w="6663" w:type="dxa"/>
            <w:tcBorders>
              <w:top w:val="single" w:color="auto" w:sz="4" w:space="0"/>
              <w:left w:val="nil"/>
              <w:bottom w:val="single" w:color="auto" w:sz="4" w:space="0"/>
              <w:right w:val="single" w:color="auto" w:sz="4" w:space="0"/>
            </w:tcBorders>
            <w:noWrap w:val="0"/>
            <w:vAlign w:val="center"/>
          </w:tcPr>
          <w:p w14:paraId="3DFBA05B">
            <w:pPr>
              <w:spacing w:line="440" w:lineRule="exact"/>
              <w:jc w:val="left"/>
              <w:rPr>
                <w:rFonts w:hint="eastAsia" w:ascii="宋体" w:hAnsi="宋体" w:eastAsia="宋体" w:cs="Times New Roman"/>
                <w:sz w:val="24"/>
                <w:szCs w:val="24"/>
                <w:lang w:eastAsia="zh-CN"/>
              </w:rPr>
            </w:pPr>
            <w:r>
              <w:rPr>
                <w:rFonts w:hint="eastAsia" w:ascii="宋体" w:hAnsi="宋体" w:cs="Times New Roman"/>
                <w:sz w:val="24"/>
                <w:szCs w:val="24"/>
                <w:lang w:val="en-US" w:eastAsia="zh-CN"/>
              </w:rPr>
              <w:t>采购</w:t>
            </w:r>
            <w:r>
              <w:rPr>
                <w:rFonts w:hint="eastAsia" w:ascii="宋体" w:hAnsi="宋体" w:eastAsia="宋体" w:cs="Times New Roman"/>
                <w:sz w:val="24"/>
                <w:szCs w:val="24"/>
                <w:lang w:eastAsia="zh-CN"/>
              </w:rPr>
              <w:t>代理机构：</w:t>
            </w:r>
            <w:r>
              <w:rPr>
                <w:rFonts w:hint="eastAsia" w:ascii="宋体" w:hAnsi="宋体" w:eastAsia="宋体" w:cs="Times New Roman"/>
                <w:sz w:val="24"/>
                <w:szCs w:val="24"/>
                <w:lang w:val="en-US" w:eastAsia="zh-CN"/>
              </w:rPr>
              <w:t>中诚联创工程管理有限公司</w:t>
            </w:r>
          </w:p>
          <w:p w14:paraId="54349215">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地    址：郑州高新技术产业开发区电厂路河南省国家大学科技园（东区）</w:t>
            </w:r>
            <w:r>
              <w:rPr>
                <w:rFonts w:hint="eastAsia" w:ascii="宋体" w:hAnsi="宋体" w:eastAsia="宋体" w:cs="Times New Roman"/>
                <w:sz w:val="24"/>
                <w:szCs w:val="24"/>
                <w:lang w:val="en-US" w:eastAsia="zh-CN"/>
              </w:rPr>
              <w:t>18号楼C座大厦4层29号</w:t>
            </w:r>
          </w:p>
          <w:p w14:paraId="5EFB0E6F">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联系人：</w:t>
            </w:r>
            <w:r>
              <w:rPr>
                <w:rFonts w:hint="eastAsia" w:ascii="宋体" w:hAnsi="宋体" w:cs="Times New Roman"/>
                <w:sz w:val="24"/>
                <w:szCs w:val="24"/>
                <w:lang w:val="en-US" w:eastAsia="zh-CN"/>
              </w:rPr>
              <w:t>孔</w:t>
            </w:r>
            <w:r>
              <w:rPr>
                <w:rFonts w:hint="eastAsia" w:ascii="宋体" w:hAnsi="宋体" w:eastAsia="宋体" w:cs="Times New Roman"/>
                <w:sz w:val="24"/>
                <w:szCs w:val="24"/>
                <w:lang w:eastAsia="zh-CN"/>
              </w:rPr>
              <w:t>女士</w:t>
            </w:r>
          </w:p>
          <w:p w14:paraId="2FC8CD6F">
            <w:pPr>
              <w:spacing w:line="440" w:lineRule="exact"/>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联系方式：1</w:t>
            </w:r>
            <w:r>
              <w:rPr>
                <w:rFonts w:hint="eastAsia" w:ascii="宋体" w:hAnsi="宋体" w:eastAsia="宋体" w:cs="Times New Roman"/>
                <w:sz w:val="24"/>
                <w:szCs w:val="24"/>
                <w:lang w:val="en-US" w:eastAsia="zh-CN"/>
              </w:rPr>
              <w:t>9713986610</w:t>
            </w:r>
          </w:p>
        </w:tc>
      </w:tr>
      <w:tr w14:paraId="4514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4BC50629">
            <w:pPr>
              <w:jc w:val="center"/>
              <w:rPr>
                <w:rFonts w:ascii="宋体" w:hAnsi="宋体" w:cs="宋体"/>
                <w:sz w:val="24"/>
                <w:szCs w:val="24"/>
                <w:highlight w:val="none"/>
              </w:rPr>
            </w:pPr>
            <w:r>
              <w:rPr>
                <w:rFonts w:hint="eastAsia" w:ascii="宋体" w:hAnsi="宋体" w:cs="宋体"/>
                <w:sz w:val="24"/>
                <w:szCs w:val="24"/>
                <w:highlight w:val="none"/>
              </w:rPr>
              <w:t>1.1.4</w:t>
            </w:r>
          </w:p>
        </w:tc>
        <w:tc>
          <w:tcPr>
            <w:tcW w:w="1837" w:type="dxa"/>
            <w:gridSpan w:val="2"/>
            <w:tcBorders>
              <w:top w:val="single" w:color="auto" w:sz="4" w:space="0"/>
              <w:left w:val="nil"/>
              <w:bottom w:val="single" w:color="auto" w:sz="4" w:space="0"/>
              <w:right w:val="single" w:color="auto" w:sz="4" w:space="0"/>
            </w:tcBorders>
            <w:noWrap w:val="0"/>
            <w:vAlign w:val="center"/>
          </w:tcPr>
          <w:p w14:paraId="608DC9B8">
            <w:pPr>
              <w:jc w:val="center"/>
              <w:rPr>
                <w:rFonts w:ascii="宋体" w:hAnsi="宋体" w:cs="宋体"/>
                <w:sz w:val="24"/>
                <w:szCs w:val="24"/>
                <w:highlight w:val="none"/>
              </w:rPr>
            </w:pPr>
            <w:r>
              <w:rPr>
                <w:rFonts w:hint="eastAsia" w:ascii="宋体" w:hAnsi="宋体" w:cs="宋体"/>
                <w:sz w:val="24"/>
                <w:szCs w:val="24"/>
                <w:highlight w:val="none"/>
              </w:rPr>
              <w:t>项目名称</w:t>
            </w:r>
          </w:p>
        </w:tc>
        <w:tc>
          <w:tcPr>
            <w:tcW w:w="6663" w:type="dxa"/>
            <w:tcBorders>
              <w:top w:val="single" w:color="auto" w:sz="4" w:space="0"/>
              <w:left w:val="nil"/>
              <w:bottom w:val="single" w:color="auto" w:sz="4" w:space="0"/>
              <w:right w:val="single" w:color="auto" w:sz="4" w:space="0"/>
            </w:tcBorders>
            <w:noWrap w:val="0"/>
            <w:vAlign w:val="center"/>
          </w:tcPr>
          <w:p w14:paraId="21948BDB">
            <w:pPr>
              <w:widowControl/>
              <w:spacing w:line="360" w:lineRule="auto"/>
              <w:rPr>
                <w:rFonts w:hint="default" w:ascii="宋体" w:eastAsia="宋体"/>
                <w:bCs/>
                <w:kern w:val="0"/>
                <w:sz w:val="24"/>
                <w:szCs w:val="24"/>
                <w:highlight w:val="none"/>
                <w:lang w:val="en-US" w:eastAsia="zh-CN"/>
              </w:rPr>
            </w:pPr>
            <w:r>
              <w:rPr>
                <w:rFonts w:hint="eastAsia" w:ascii="宋体" w:hAnsi="宋体" w:cs="宋体"/>
                <w:sz w:val="24"/>
                <w:szCs w:val="24"/>
                <w:highlight w:val="none"/>
                <w:lang w:val="en-US" w:eastAsia="zh-CN"/>
              </w:rPr>
              <w:t>2025年陕州区西李村乡方里村玉露香梨产业配套设施项目（设备采购）二次</w:t>
            </w:r>
          </w:p>
        </w:tc>
      </w:tr>
      <w:tr w14:paraId="4548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5084517C">
            <w:pPr>
              <w:jc w:val="center"/>
              <w:rPr>
                <w:rFonts w:ascii="宋体" w:hAnsi="宋体" w:cs="宋体"/>
                <w:sz w:val="24"/>
                <w:szCs w:val="24"/>
                <w:highlight w:val="none"/>
              </w:rPr>
            </w:pPr>
            <w:r>
              <w:rPr>
                <w:rFonts w:hint="eastAsia" w:ascii="宋体" w:hAnsi="宋体" w:cs="宋体"/>
                <w:sz w:val="24"/>
                <w:szCs w:val="24"/>
                <w:highlight w:val="none"/>
              </w:rPr>
              <w:t>1.1.5</w:t>
            </w:r>
          </w:p>
        </w:tc>
        <w:tc>
          <w:tcPr>
            <w:tcW w:w="1837" w:type="dxa"/>
            <w:gridSpan w:val="2"/>
            <w:tcBorders>
              <w:top w:val="single" w:color="auto" w:sz="4" w:space="0"/>
              <w:left w:val="nil"/>
              <w:bottom w:val="single" w:color="auto" w:sz="4" w:space="0"/>
              <w:right w:val="single" w:color="auto" w:sz="4" w:space="0"/>
            </w:tcBorders>
            <w:noWrap w:val="0"/>
            <w:vAlign w:val="center"/>
          </w:tcPr>
          <w:p w14:paraId="73BB2F56">
            <w:pPr>
              <w:jc w:val="center"/>
              <w:rPr>
                <w:rFonts w:ascii="宋体" w:hAnsi="宋体" w:cs="宋体"/>
                <w:sz w:val="24"/>
                <w:szCs w:val="24"/>
                <w:highlight w:val="none"/>
              </w:rPr>
            </w:pPr>
            <w:r>
              <w:rPr>
                <w:rFonts w:hint="eastAsia" w:ascii="宋体" w:hAnsi="宋体" w:cs="宋体"/>
                <w:sz w:val="24"/>
                <w:szCs w:val="24"/>
                <w:highlight w:val="none"/>
              </w:rPr>
              <w:t>建设地点</w:t>
            </w:r>
          </w:p>
        </w:tc>
        <w:tc>
          <w:tcPr>
            <w:tcW w:w="6663" w:type="dxa"/>
            <w:tcBorders>
              <w:top w:val="single" w:color="auto" w:sz="4" w:space="0"/>
              <w:left w:val="nil"/>
              <w:bottom w:val="single" w:color="auto" w:sz="4" w:space="0"/>
              <w:right w:val="single" w:color="auto" w:sz="4" w:space="0"/>
            </w:tcBorders>
            <w:noWrap w:val="0"/>
            <w:vAlign w:val="center"/>
          </w:tcPr>
          <w:p w14:paraId="636695CC">
            <w:pPr>
              <w:widowControl/>
              <w:spacing w:line="360" w:lineRule="auto"/>
              <w:rPr>
                <w:rFonts w:hint="eastAsia" w:ascii="宋体" w:hAnsi="宋体" w:eastAsia="宋体"/>
                <w:kern w:val="0"/>
                <w:sz w:val="24"/>
                <w:szCs w:val="24"/>
                <w:highlight w:val="none"/>
                <w:lang w:eastAsia="zh-CN"/>
              </w:rPr>
            </w:pPr>
            <w:r>
              <w:rPr>
                <w:rFonts w:hint="eastAsia" w:ascii="宋体" w:hAnsi="宋体" w:cs="宋体"/>
                <w:color w:val="auto"/>
                <w:kern w:val="0"/>
                <w:sz w:val="24"/>
                <w:szCs w:val="24"/>
                <w:highlight w:val="none"/>
              </w:rPr>
              <w:t>该工程位于</w:t>
            </w:r>
            <w:r>
              <w:rPr>
                <w:rFonts w:hint="eastAsia" w:ascii="宋体" w:hAnsi="宋体" w:cs="宋体"/>
                <w:color w:val="auto"/>
                <w:sz w:val="24"/>
                <w:szCs w:val="24"/>
                <w:lang w:val="en-US" w:eastAsia="zh-CN"/>
              </w:rPr>
              <w:t>三门峡市陕州区西李村乡方里村</w:t>
            </w:r>
          </w:p>
        </w:tc>
      </w:tr>
      <w:tr w14:paraId="7130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616EF3B0">
            <w:pPr>
              <w:jc w:val="center"/>
              <w:rPr>
                <w:rFonts w:ascii="宋体" w:hAnsi="宋体" w:cs="宋体"/>
                <w:sz w:val="24"/>
                <w:szCs w:val="24"/>
                <w:highlight w:val="none"/>
              </w:rPr>
            </w:pPr>
            <w:r>
              <w:rPr>
                <w:rFonts w:hint="eastAsia" w:ascii="宋体" w:hAnsi="宋体" w:cs="宋体"/>
                <w:sz w:val="24"/>
                <w:szCs w:val="24"/>
                <w:highlight w:val="none"/>
              </w:rPr>
              <w:t>1.2.1</w:t>
            </w:r>
          </w:p>
        </w:tc>
        <w:tc>
          <w:tcPr>
            <w:tcW w:w="1837" w:type="dxa"/>
            <w:gridSpan w:val="2"/>
            <w:tcBorders>
              <w:top w:val="single" w:color="auto" w:sz="4" w:space="0"/>
              <w:left w:val="nil"/>
              <w:bottom w:val="single" w:color="auto" w:sz="4" w:space="0"/>
              <w:right w:val="single" w:color="auto" w:sz="4" w:space="0"/>
            </w:tcBorders>
            <w:noWrap w:val="0"/>
            <w:vAlign w:val="center"/>
          </w:tcPr>
          <w:p w14:paraId="266C9F70">
            <w:pPr>
              <w:jc w:val="center"/>
              <w:rPr>
                <w:rFonts w:ascii="宋体" w:hAnsi="宋体" w:cs="宋体"/>
                <w:sz w:val="24"/>
                <w:szCs w:val="24"/>
                <w:highlight w:val="none"/>
              </w:rPr>
            </w:pPr>
            <w:r>
              <w:rPr>
                <w:rFonts w:hint="eastAsia" w:ascii="宋体" w:hAnsi="宋体" w:cs="宋体"/>
                <w:sz w:val="24"/>
                <w:szCs w:val="24"/>
                <w:highlight w:val="none"/>
              </w:rPr>
              <w:t>资金来源</w:t>
            </w:r>
          </w:p>
        </w:tc>
        <w:tc>
          <w:tcPr>
            <w:tcW w:w="6663" w:type="dxa"/>
            <w:tcBorders>
              <w:top w:val="single" w:color="auto" w:sz="4" w:space="0"/>
              <w:left w:val="nil"/>
              <w:bottom w:val="single" w:color="auto" w:sz="4" w:space="0"/>
              <w:right w:val="single" w:color="auto" w:sz="4" w:space="0"/>
            </w:tcBorders>
            <w:noWrap w:val="0"/>
            <w:vAlign w:val="center"/>
          </w:tcPr>
          <w:p w14:paraId="06058C8A">
            <w:pPr>
              <w:rPr>
                <w:rFonts w:ascii="宋体" w:hAnsi="宋体" w:cs="宋体"/>
                <w:sz w:val="24"/>
                <w:szCs w:val="24"/>
                <w:highlight w:val="none"/>
              </w:rPr>
            </w:pPr>
            <w:r>
              <w:rPr>
                <w:rFonts w:hint="eastAsia" w:ascii="宋体" w:hAnsi="宋体" w:cs="宋体"/>
                <w:sz w:val="24"/>
                <w:szCs w:val="24"/>
                <w:highlight w:val="none"/>
                <w:lang w:eastAsia="zh-CN"/>
              </w:rPr>
              <w:t>财政资金</w:t>
            </w:r>
            <w:r>
              <w:rPr>
                <w:rFonts w:hint="eastAsia" w:ascii="宋体" w:hAnsi="宋体" w:cs="宋体"/>
                <w:sz w:val="24"/>
                <w:szCs w:val="24"/>
                <w:highlight w:val="none"/>
              </w:rPr>
              <w:t>、已落实。</w:t>
            </w:r>
          </w:p>
        </w:tc>
      </w:tr>
      <w:tr w14:paraId="6C9D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2E052D38">
            <w:pPr>
              <w:jc w:val="center"/>
              <w:rPr>
                <w:rFonts w:ascii="宋体" w:hAnsi="宋体" w:cs="宋体"/>
                <w:sz w:val="24"/>
                <w:szCs w:val="24"/>
                <w:highlight w:val="none"/>
              </w:rPr>
            </w:pPr>
            <w:r>
              <w:rPr>
                <w:rFonts w:hint="eastAsia" w:ascii="宋体" w:hAnsi="宋体" w:cs="宋体"/>
                <w:sz w:val="24"/>
                <w:szCs w:val="24"/>
                <w:highlight w:val="none"/>
              </w:rPr>
              <w:t>1.3.1</w:t>
            </w:r>
          </w:p>
        </w:tc>
        <w:tc>
          <w:tcPr>
            <w:tcW w:w="1837" w:type="dxa"/>
            <w:gridSpan w:val="2"/>
            <w:tcBorders>
              <w:top w:val="single" w:color="auto" w:sz="4" w:space="0"/>
              <w:left w:val="nil"/>
              <w:bottom w:val="single" w:color="auto" w:sz="4" w:space="0"/>
              <w:right w:val="single" w:color="auto" w:sz="4" w:space="0"/>
            </w:tcBorders>
            <w:noWrap w:val="0"/>
            <w:vAlign w:val="center"/>
          </w:tcPr>
          <w:p w14:paraId="5D3E010C">
            <w:pPr>
              <w:jc w:val="center"/>
              <w:rPr>
                <w:rFonts w:ascii="宋体" w:hAnsi="宋体" w:cs="宋体"/>
                <w:sz w:val="24"/>
                <w:szCs w:val="24"/>
                <w:highlight w:val="none"/>
              </w:rPr>
            </w:pPr>
            <w:r>
              <w:rPr>
                <w:rFonts w:hint="eastAsia" w:ascii="宋体" w:hAnsi="宋体" w:cs="宋体"/>
                <w:sz w:val="24"/>
                <w:szCs w:val="24"/>
                <w:highlight w:val="none"/>
              </w:rPr>
              <w:t>磋商范围</w:t>
            </w:r>
          </w:p>
        </w:tc>
        <w:tc>
          <w:tcPr>
            <w:tcW w:w="6663" w:type="dxa"/>
            <w:tcBorders>
              <w:top w:val="single" w:color="auto" w:sz="4" w:space="0"/>
              <w:left w:val="nil"/>
              <w:bottom w:val="single" w:color="auto" w:sz="4" w:space="0"/>
              <w:right w:val="single" w:color="auto" w:sz="4" w:space="0"/>
            </w:tcBorders>
            <w:noWrap w:val="0"/>
            <w:vAlign w:val="center"/>
          </w:tcPr>
          <w:p w14:paraId="38A5CA00">
            <w:pPr>
              <w:snapToGrid w:val="0"/>
              <w:textAlignment w:val="baseline"/>
              <w:rPr>
                <w:rFonts w:ascii="宋体" w:hAnsi="宋体" w:cs="宋体"/>
                <w:bCs/>
                <w:kern w:val="0"/>
                <w:sz w:val="24"/>
                <w:szCs w:val="24"/>
                <w:highlight w:val="none"/>
              </w:rPr>
            </w:pPr>
            <w:r>
              <w:rPr>
                <w:rFonts w:hint="eastAsia" w:ascii="宋体" w:hAnsi="宋体" w:cs="宋体"/>
                <w:bCs/>
                <w:kern w:val="0"/>
                <w:sz w:val="24"/>
                <w:szCs w:val="24"/>
                <w:highlight w:val="none"/>
                <w:lang w:eastAsia="zh-CN"/>
              </w:rPr>
              <w:t>本项目竞争性磋商</w:t>
            </w:r>
            <w:r>
              <w:rPr>
                <w:rFonts w:hint="eastAsia" w:ascii="宋体" w:hAnsi="宋体" w:eastAsia="宋体" w:cs="宋体"/>
                <w:bCs/>
                <w:kern w:val="0"/>
                <w:sz w:val="24"/>
                <w:szCs w:val="24"/>
                <w:highlight w:val="none"/>
                <w:lang w:eastAsia="zh-CN"/>
              </w:rPr>
              <w:t>文件、</w:t>
            </w:r>
            <w:r>
              <w:rPr>
                <w:rFonts w:hint="eastAsia" w:ascii="宋体" w:hAnsi="宋体" w:cs="宋体"/>
                <w:bCs/>
                <w:kern w:val="0"/>
                <w:sz w:val="24"/>
                <w:szCs w:val="24"/>
                <w:highlight w:val="none"/>
                <w:lang w:val="en-US" w:eastAsia="zh-CN"/>
              </w:rPr>
              <w:t>采购</w:t>
            </w:r>
            <w:r>
              <w:rPr>
                <w:rFonts w:hint="eastAsia" w:ascii="宋体" w:hAnsi="宋体" w:cs="宋体"/>
                <w:bCs/>
                <w:kern w:val="0"/>
                <w:sz w:val="24"/>
                <w:szCs w:val="24"/>
                <w:highlight w:val="none"/>
                <w:lang w:eastAsia="zh-CN"/>
              </w:rPr>
              <w:t>清单等列明的所有内容</w:t>
            </w:r>
          </w:p>
        </w:tc>
      </w:tr>
      <w:tr w14:paraId="0CDC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172D0764">
            <w:pPr>
              <w:jc w:val="center"/>
              <w:rPr>
                <w:rFonts w:ascii="宋体" w:hAnsi="宋体" w:cs="宋体"/>
                <w:sz w:val="24"/>
                <w:szCs w:val="24"/>
                <w:highlight w:val="none"/>
              </w:rPr>
            </w:pPr>
            <w:r>
              <w:rPr>
                <w:rFonts w:hint="eastAsia" w:ascii="宋体" w:hAnsi="宋体" w:cs="宋体"/>
                <w:sz w:val="24"/>
                <w:szCs w:val="24"/>
                <w:highlight w:val="none"/>
              </w:rPr>
              <w:t>1.3.2</w:t>
            </w:r>
          </w:p>
        </w:tc>
        <w:tc>
          <w:tcPr>
            <w:tcW w:w="1837" w:type="dxa"/>
            <w:gridSpan w:val="2"/>
            <w:tcBorders>
              <w:top w:val="single" w:color="auto" w:sz="4" w:space="0"/>
              <w:left w:val="nil"/>
              <w:bottom w:val="single" w:color="auto" w:sz="4" w:space="0"/>
              <w:right w:val="single" w:color="auto" w:sz="4" w:space="0"/>
            </w:tcBorders>
            <w:noWrap w:val="0"/>
            <w:vAlign w:val="center"/>
          </w:tcPr>
          <w:p w14:paraId="197D346C">
            <w:pPr>
              <w:snapToGrid w:val="0"/>
              <w:jc w:val="center"/>
              <w:textAlignment w:val="baseline"/>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val="en-US" w:eastAsia="zh-CN"/>
              </w:rPr>
              <w:t>供货</w:t>
            </w:r>
            <w:r>
              <w:rPr>
                <w:rFonts w:hint="eastAsia" w:ascii="宋体" w:hAnsi="宋体" w:cs="宋体"/>
                <w:bCs/>
                <w:kern w:val="0"/>
                <w:sz w:val="24"/>
                <w:szCs w:val="24"/>
                <w:highlight w:val="none"/>
                <w:lang w:eastAsia="zh-CN"/>
              </w:rPr>
              <w:t>期</w:t>
            </w:r>
          </w:p>
        </w:tc>
        <w:tc>
          <w:tcPr>
            <w:tcW w:w="6663" w:type="dxa"/>
            <w:tcBorders>
              <w:top w:val="single" w:color="auto" w:sz="4" w:space="0"/>
              <w:left w:val="nil"/>
              <w:bottom w:val="single" w:color="auto" w:sz="4" w:space="0"/>
              <w:right w:val="single" w:color="auto" w:sz="4" w:space="0"/>
            </w:tcBorders>
            <w:noWrap w:val="0"/>
            <w:vAlign w:val="center"/>
          </w:tcPr>
          <w:p w14:paraId="72244CDF">
            <w:pPr>
              <w:spacing w:line="480" w:lineRule="exact"/>
              <w:rPr>
                <w:rFonts w:hint="eastAsia" w:ascii="宋体" w:hAnsi="宋体" w:cs="宋体"/>
                <w:bCs/>
                <w:kern w:val="0"/>
                <w:sz w:val="24"/>
                <w:szCs w:val="24"/>
                <w:highlight w:val="none"/>
                <w:lang w:eastAsia="zh-CN"/>
              </w:rPr>
            </w:pPr>
            <w:r>
              <w:rPr>
                <w:rFonts w:hint="eastAsia" w:ascii="宋体" w:hAnsi="宋体" w:cs="宋体"/>
                <w:sz w:val="24"/>
                <w:szCs w:val="24"/>
                <w:highlight w:val="none"/>
                <w:lang w:val="en-US" w:eastAsia="zh-CN"/>
              </w:rPr>
              <w:t>60日历天（完成安装及调试）</w:t>
            </w:r>
          </w:p>
        </w:tc>
      </w:tr>
      <w:tr w14:paraId="2885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3EA4C85E">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1.3.3</w:t>
            </w:r>
          </w:p>
        </w:tc>
        <w:tc>
          <w:tcPr>
            <w:tcW w:w="1837" w:type="dxa"/>
            <w:gridSpan w:val="2"/>
            <w:tcBorders>
              <w:top w:val="single" w:color="auto" w:sz="4" w:space="0"/>
              <w:left w:val="nil"/>
              <w:bottom w:val="single" w:color="auto" w:sz="4" w:space="0"/>
              <w:right w:val="single" w:color="auto" w:sz="4" w:space="0"/>
            </w:tcBorders>
            <w:noWrap w:val="0"/>
            <w:vAlign w:val="center"/>
          </w:tcPr>
          <w:p w14:paraId="466BEE88">
            <w:pPr>
              <w:snapToGrid w:val="0"/>
              <w:jc w:val="center"/>
              <w:textAlignment w:val="baseline"/>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eastAsia="zh-CN"/>
              </w:rPr>
              <w:t>质保期</w:t>
            </w:r>
          </w:p>
        </w:tc>
        <w:tc>
          <w:tcPr>
            <w:tcW w:w="6663" w:type="dxa"/>
            <w:tcBorders>
              <w:top w:val="single" w:color="auto" w:sz="4" w:space="0"/>
              <w:left w:val="nil"/>
              <w:bottom w:val="single" w:color="auto" w:sz="4" w:space="0"/>
              <w:right w:val="single" w:color="auto" w:sz="4" w:space="0"/>
            </w:tcBorders>
            <w:noWrap w:val="0"/>
            <w:vAlign w:val="center"/>
          </w:tcPr>
          <w:p w14:paraId="798A4659">
            <w:pPr>
              <w:spacing w:line="480" w:lineRule="exac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1年</w:t>
            </w:r>
          </w:p>
        </w:tc>
      </w:tr>
      <w:tr w14:paraId="6CDB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53CE6997">
            <w:pPr>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rPr>
              <w:t>1.3.</w:t>
            </w:r>
            <w:r>
              <w:rPr>
                <w:rFonts w:hint="eastAsia" w:ascii="宋体" w:hAnsi="宋体" w:cs="宋体"/>
                <w:sz w:val="24"/>
                <w:szCs w:val="24"/>
                <w:highlight w:val="none"/>
                <w:lang w:val="en-US" w:eastAsia="zh-CN"/>
              </w:rPr>
              <w:t>4</w:t>
            </w:r>
          </w:p>
        </w:tc>
        <w:tc>
          <w:tcPr>
            <w:tcW w:w="1837" w:type="dxa"/>
            <w:gridSpan w:val="2"/>
            <w:tcBorders>
              <w:top w:val="single" w:color="auto" w:sz="4" w:space="0"/>
              <w:left w:val="nil"/>
              <w:bottom w:val="single" w:color="auto" w:sz="4" w:space="0"/>
              <w:right w:val="single" w:color="auto" w:sz="4" w:space="0"/>
            </w:tcBorders>
            <w:noWrap w:val="0"/>
            <w:vAlign w:val="center"/>
          </w:tcPr>
          <w:p w14:paraId="0B9ADA7E">
            <w:pPr>
              <w:jc w:val="center"/>
              <w:rPr>
                <w:rFonts w:ascii="宋体" w:hAnsi="宋体" w:cs="宋体"/>
                <w:sz w:val="24"/>
                <w:szCs w:val="24"/>
                <w:highlight w:val="none"/>
              </w:rPr>
            </w:pPr>
            <w:r>
              <w:rPr>
                <w:rFonts w:hint="eastAsia" w:ascii="宋体" w:hAnsi="宋体" w:cs="宋体"/>
                <w:sz w:val="24"/>
                <w:szCs w:val="24"/>
                <w:highlight w:val="none"/>
              </w:rPr>
              <w:t>质量要求</w:t>
            </w:r>
          </w:p>
        </w:tc>
        <w:tc>
          <w:tcPr>
            <w:tcW w:w="6663" w:type="dxa"/>
            <w:tcBorders>
              <w:top w:val="single" w:color="auto" w:sz="4" w:space="0"/>
              <w:left w:val="nil"/>
              <w:bottom w:val="single" w:color="auto" w:sz="4" w:space="0"/>
              <w:right w:val="single" w:color="auto" w:sz="4" w:space="0"/>
            </w:tcBorders>
            <w:noWrap w:val="0"/>
            <w:vAlign w:val="center"/>
          </w:tcPr>
          <w:p w14:paraId="70901009">
            <w:pPr>
              <w:tabs>
                <w:tab w:val="left" w:pos="142"/>
                <w:tab w:val="left" w:pos="993"/>
                <w:tab w:val="left" w:pos="1276"/>
                <w:tab w:val="left" w:pos="1701"/>
                <w:tab w:val="left" w:pos="1843"/>
              </w:tabs>
              <w:spacing w:line="440" w:lineRule="exact"/>
              <w:jc w:val="left"/>
              <w:rPr>
                <w:rFonts w:hint="eastAsia" w:ascii="宋体" w:hAnsi="宋体" w:eastAsia="宋体" w:cs="宋体"/>
                <w:kern w:val="0"/>
                <w:sz w:val="24"/>
                <w:szCs w:val="24"/>
                <w:highlight w:val="none"/>
                <w:lang w:eastAsia="zh-CN"/>
              </w:rPr>
            </w:pPr>
            <w:r>
              <w:rPr>
                <w:rFonts w:hint="eastAsia" w:ascii="宋体" w:hAnsi="宋体" w:cs="宋体"/>
                <w:sz w:val="24"/>
                <w:szCs w:val="24"/>
              </w:rPr>
              <w:t>合格，符合国家及行业相关标准</w:t>
            </w:r>
          </w:p>
        </w:tc>
      </w:tr>
      <w:tr w14:paraId="684A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430DFF09">
            <w:pPr>
              <w:jc w:val="center"/>
              <w:rPr>
                <w:rFonts w:ascii="宋体" w:hAnsi="宋体" w:cs="宋体"/>
                <w:sz w:val="24"/>
                <w:szCs w:val="24"/>
                <w:highlight w:val="none"/>
              </w:rPr>
            </w:pPr>
            <w:r>
              <w:rPr>
                <w:rFonts w:hint="eastAsia" w:ascii="宋体" w:hAnsi="宋体" w:cs="宋体"/>
                <w:sz w:val="24"/>
                <w:szCs w:val="24"/>
                <w:highlight w:val="none"/>
              </w:rPr>
              <w:t>1.4.1</w:t>
            </w:r>
          </w:p>
        </w:tc>
        <w:tc>
          <w:tcPr>
            <w:tcW w:w="1837" w:type="dxa"/>
            <w:gridSpan w:val="2"/>
            <w:tcBorders>
              <w:top w:val="single" w:color="auto" w:sz="4" w:space="0"/>
              <w:left w:val="nil"/>
              <w:bottom w:val="single" w:color="auto" w:sz="4" w:space="0"/>
              <w:right w:val="single" w:color="auto" w:sz="4" w:space="0"/>
            </w:tcBorders>
            <w:noWrap w:val="0"/>
            <w:vAlign w:val="center"/>
          </w:tcPr>
          <w:p w14:paraId="3EEC855B">
            <w:pPr>
              <w:jc w:val="center"/>
              <w:rPr>
                <w:rFonts w:ascii="宋体" w:hAnsi="宋体" w:cs="宋体"/>
                <w:sz w:val="24"/>
                <w:szCs w:val="24"/>
                <w:highlight w:val="none"/>
              </w:rPr>
            </w:pPr>
            <w:r>
              <w:rPr>
                <w:rFonts w:hint="eastAsia" w:ascii="宋体" w:hAnsi="宋体" w:cs="宋体"/>
                <w:sz w:val="24"/>
                <w:szCs w:val="24"/>
                <w:highlight w:val="none"/>
              </w:rPr>
              <w:t>响应人资质</w:t>
            </w:r>
          </w:p>
          <w:p w14:paraId="46F60036">
            <w:pPr>
              <w:jc w:val="center"/>
              <w:rPr>
                <w:rFonts w:ascii="宋体" w:hAnsi="宋体" w:cs="宋体"/>
                <w:sz w:val="24"/>
                <w:szCs w:val="24"/>
                <w:highlight w:val="none"/>
              </w:rPr>
            </w:pPr>
            <w:r>
              <w:rPr>
                <w:rFonts w:hint="eastAsia" w:ascii="宋体" w:hAnsi="宋体" w:cs="宋体"/>
                <w:sz w:val="24"/>
                <w:szCs w:val="24"/>
                <w:highlight w:val="none"/>
              </w:rPr>
              <w:t>条件、能力</w:t>
            </w:r>
          </w:p>
          <w:p w14:paraId="0AEF6FBE">
            <w:pPr>
              <w:ind w:firstLine="240" w:firstLineChars="100"/>
              <w:jc w:val="center"/>
              <w:rPr>
                <w:rFonts w:ascii="宋体" w:hAnsi="宋体" w:cs="宋体"/>
                <w:sz w:val="24"/>
                <w:szCs w:val="24"/>
                <w:highlight w:val="none"/>
              </w:rPr>
            </w:pPr>
            <w:r>
              <w:rPr>
                <w:rFonts w:hint="eastAsia" w:ascii="宋体" w:hAnsi="宋体" w:cs="宋体"/>
                <w:sz w:val="24"/>
                <w:szCs w:val="24"/>
                <w:highlight w:val="none"/>
              </w:rPr>
              <w:t>和信誉</w:t>
            </w:r>
          </w:p>
        </w:tc>
        <w:tc>
          <w:tcPr>
            <w:tcW w:w="6663" w:type="dxa"/>
            <w:tcBorders>
              <w:top w:val="single" w:color="auto" w:sz="4" w:space="0"/>
              <w:left w:val="nil"/>
              <w:bottom w:val="single" w:color="auto" w:sz="4" w:space="0"/>
              <w:right w:val="single" w:color="auto" w:sz="4" w:space="0"/>
            </w:tcBorders>
            <w:noWrap w:val="0"/>
            <w:vAlign w:val="center"/>
          </w:tcPr>
          <w:p w14:paraId="4A5313D4">
            <w:pPr>
              <w:spacing w:line="480" w:lineRule="exact"/>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满足《中华人民共和国政府采购法》第二十二条规定；</w:t>
            </w:r>
          </w:p>
          <w:p w14:paraId="59CA6D0E">
            <w:pPr>
              <w:spacing w:line="480" w:lineRule="exact"/>
              <w:ind w:firstLine="480" w:firstLineChars="200"/>
              <w:rPr>
                <w:rFonts w:hint="eastAsia" w:ascii="宋体" w:hAnsi="宋体"/>
                <w:sz w:val="24"/>
                <w:szCs w:val="24"/>
              </w:rPr>
            </w:pPr>
            <w:r>
              <w:rPr>
                <w:rFonts w:ascii="宋体" w:hAnsi="宋体"/>
                <w:sz w:val="24"/>
                <w:szCs w:val="24"/>
                <w:highlight w:val="none"/>
              </w:rPr>
              <w:t>2</w:t>
            </w:r>
            <w:r>
              <w:rPr>
                <w:rFonts w:hint="eastAsia" w:ascii="宋体" w:hAnsi="宋体"/>
                <w:sz w:val="24"/>
                <w:szCs w:val="24"/>
                <w:highlight w:val="none"/>
              </w:rPr>
              <w:t>.</w:t>
            </w:r>
            <w:r>
              <w:rPr>
                <w:rFonts w:hint="eastAsia" w:ascii="宋体" w:hAnsi="宋体"/>
                <w:sz w:val="24"/>
                <w:szCs w:val="24"/>
                <w:highlight w:val="none"/>
                <w:lang w:eastAsia="zh-CN"/>
              </w:rPr>
              <w:t>采购项目需要落实的政府采购政策：</w:t>
            </w:r>
            <w:r>
              <w:rPr>
                <w:rFonts w:hint="eastAsia" w:ascii="宋体" w:hAnsi="宋体"/>
                <w:sz w:val="24"/>
                <w:szCs w:val="24"/>
              </w:rPr>
              <w:t>本项目非专门面向中小企业，执行促进中小企业发展等政府采购政策。</w:t>
            </w:r>
          </w:p>
          <w:p w14:paraId="1E631F6D">
            <w:pPr>
              <w:spacing w:line="480" w:lineRule="exact"/>
              <w:ind w:firstLine="480" w:firstLineChars="20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w:t>
            </w:r>
            <w:r>
              <w:rPr>
                <w:rFonts w:ascii="宋体" w:hAnsi="宋体"/>
                <w:sz w:val="24"/>
                <w:szCs w:val="24"/>
                <w:highlight w:val="none"/>
              </w:rPr>
              <w:t>本项目的特定资格要求</w:t>
            </w:r>
            <w:r>
              <w:rPr>
                <w:rFonts w:hint="eastAsia" w:ascii="宋体" w:hAnsi="宋体"/>
                <w:sz w:val="24"/>
                <w:szCs w:val="24"/>
                <w:highlight w:val="none"/>
              </w:rPr>
              <w:t>：</w:t>
            </w:r>
          </w:p>
          <w:p w14:paraId="36AF5482">
            <w:pPr>
              <w:spacing w:line="480" w:lineRule="exact"/>
              <w:ind w:firstLine="480" w:firstLineChars="200"/>
              <w:rPr>
                <w:rFonts w:ascii="宋体" w:hAnsi="宋体"/>
                <w:sz w:val="24"/>
                <w:szCs w:val="24"/>
                <w:highlight w:val="none"/>
              </w:rPr>
            </w:pPr>
            <w:r>
              <w:rPr>
                <w:rFonts w:hint="eastAsia" w:ascii="宋体" w:hAnsi="宋体"/>
                <w:sz w:val="24"/>
                <w:szCs w:val="24"/>
                <w:highlight w:val="none"/>
              </w:rPr>
              <w:t>3.1</w:t>
            </w:r>
            <w:r>
              <w:rPr>
                <w:rFonts w:ascii="宋体" w:hAnsi="宋体"/>
                <w:sz w:val="24"/>
                <w:szCs w:val="24"/>
                <w:highlight w:val="none"/>
              </w:rPr>
              <w:t xml:space="preserve"> </w:t>
            </w:r>
            <w:r>
              <w:rPr>
                <w:rFonts w:hint="eastAsia" w:ascii="宋体" w:hAnsi="宋体"/>
                <w:sz w:val="24"/>
                <w:szCs w:val="24"/>
                <w:highlight w:val="none"/>
                <w:lang w:eastAsia="zh-CN"/>
              </w:rPr>
              <w:t>供应商</w:t>
            </w:r>
            <w:r>
              <w:rPr>
                <w:rFonts w:hint="eastAsia" w:ascii="宋体" w:hAnsi="宋体"/>
                <w:sz w:val="24"/>
                <w:szCs w:val="24"/>
                <w:highlight w:val="none"/>
              </w:rPr>
              <w:t>具备独立法人资格，具有合法有效的营业执照。</w:t>
            </w:r>
          </w:p>
          <w:p w14:paraId="0DDD822D">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3.2供应商参加本次采购活动前三年内，在经营活动中没有重大违法记录（提供承诺书，格式自拟）；</w:t>
            </w:r>
          </w:p>
          <w:p w14:paraId="24FC3D3E">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3.3</w:t>
            </w:r>
            <w:r>
              <w:rPr>
                <w:rFonts w:hint="eastAsia" w:ascii="宋体" w:hAnsi="宋体"/>
                <w:sz w:val="24"/>
                <w:szCs w:val="24"/>
                <w:highlight w:val="none"/>
                <w:lang w:eastAsia="zh-CN"/>
              </w:rPr>
              <w:t>供应商</w:t>
            </w:r>
            <w:r>
              <w:rPr>
                <w:rFonts w:hint="eastAsia" w:ascii="宋体" w:hAnsi="宋体"/>
                <w:sz w:val="24"/>
                <w:szCs w:val="24"/>
                <w:highlight w:val="none"/>
              </w:rPr>
              <w:t>出具本企业无商业贿赂和不正当竞争行为承诺书，格式自拟。</w:t>
            </w:r>
          </w:p>
          <w:p w14:paraId="5E665EBD">
            <w:pPr>
              <w:spacing w:line="48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3.4</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，查询日期必须在公告发布之日之后</w:t>
            </w:r>
            <w:r>
              <w:rPr>
                <w:rFonts w:hint="eastAsia" w:ascii="宋体" w:hAnsi="宋体" w:cs="宋体"/>
                <w:kern w:val="0"/>
                <w:sz w:val="24"/>
                <w:szCs w:val="24"/>
                <w:highlight w:val="none"/>
              </w:rPr>
              <w:t>）。</w:t>
            </w:r>
          </w:p>
          <w:p w14:paraId="64A3074F">
            <w:pPr>
              <w:spacing w:line="48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3.5</w:t>
            </w:r>
            <w:r>
              <w:rPr>
                <w:rFonts w:hint="eastAsia" w:ascii="宋体" w:hAnsi="宋体" w:cs="宋体"/>
                <w:kern w:val="0"/>
                <w:sz w:val="24"/>
                <w:szCs w:val="24"/>
                <w:highlight w:val="none"/>
                <w:lang w:eastAsia="zh-CN"/>
              </w:rPr>
              <w:t>单位负责人为同一人或者存在直接控股、管理关系的不同供应商，不得参加同一合同项下的采购活动（提供供应商在“国家企业信用信息公示系统”中公示的公司信息、股东或投资人信息”。）</w:t>
            </w:r>
          </w:p>
          <w:p w14:paraId="5B5C8BC2">
            <w:pPr>
              <w:spacing w:line="360" w:lineRule="auto"/>
              <w:ind w:firstLine="484" w:firstLineChars="202"/>
              <w:rPr>
                <w:rFonts w:hint="eastAsia" w:ascii="宋体" w:hAnsi="宋体" w:cs="宋体"/>
                <w:kern w:val="0"/>
                <w:sz w:val="24"/>
                <w:szCs w:val="24"/>
                <w:highlight w:val="none"/>
              </w:rPr>
            </w:pPr>
            <w:r>
              <w:rPr>
                <w:rFonts w:hint="eastAsia" w:ascii="宋体" w:hAnsi="宋体" w:cs="宋体"/>
                <w:kern w:val="0"/>
                <w:sz w:val="24"/>
                <w:szCs w:val="24"/>
                <w:highlight w:val="none"/>
                <w:lang w:eastAsia="zh-CN"/>
              </w:rPr>
              <w:t>3.6 本项目不允许联合体磋商，实行资格后审（提供非联合体声明函）；</w:t>
            </w:r>
            <w:r>
              <w:rPr>
                <w:rFonts w:hint="eastAsia" w:ascii="宋体" w:hAnsi="宋体" w:eastAsia="宋体" w:cs="Times New Roman"/>
                <w:color w:val="auto"/>
                <w:sz w:val="22"/>
                <w:szCs w:val="24"/>
              </w:rPr>
              <w:t xml:space="preserve"> </w:t>
            </w:r>
          </w:p>
        </w:tc>
      </w:tr>
      <w:tr w14:paraId="14AE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04B3FAA">
            <w:pPr>
              <w:jc w:val="center"/>
              <w:rPr>
                <w:rFonts w:ascii="宋体" w:hAnsi="宋体" w:cs="宋体"/>
                <w:sz w:val="24"/>
                <w:szCs w:val="24"/>
                <w:highlight w:val="none"/>
              </w:rPr>
            </w:pPr>
            <w:r>
              <w:rPr>
                <w:rFonts w:hint="eastAsia" w:ascii="宋体" w:hAnsi="宋体" w:cs="宋体"/>
                <w:sz w:val="24"/>
                <w:szCs w:val="24"/>
                <w:highlight w:val="none"/>
              </w:rPr>
              <w:t>1.4.2</w:t>
            </w:r>
          </w:p>
        </w:tc>
        <w:tc>
          <w:tcPr>
            <w:tcW w:w="1837" w:type="dxa"/>
            <w:gridSpan w:val="2"/>
            <w:tcBorders>
              <w:top w:val="single" w:color="auto" w:sz="4" w:space="0"/>
              <w:left w:val="nil"/>
              <w:bottom w:val="single" w:color="auto" w:sz="4" w:space="0"/>
              <w:right w:val="single" w:color="auto" w:sz="4" w:space="0"/>
            </w:tcBorders>
            <w:noWrap w:val="0"/>
            <w:vAlign w:val="center"/>
          </w:tcPr>
          <w:p w14:paraId="1F9B691C">
            <w:pPr>
              <w:jc w:val="center"/>
              <w:rPr>
                <w:rFonts w:ascii="宋体" w:hAnsi="宋体" w:cs="宋体"/>
                <w:sz w:val="24"/>
                <w:szCs w:val="24"/>
                <w:highlight w:val="none"/>
              </w:rPr>
            </w:pPr>
            <w:r>
              <w:rPr>
                <w:rFonts w:hint="eastAsia" w:ascii="宋体" w:hAnsi="宋体" w:cs="宋体"/>
                <w:sz w:val="24"/>
                <w:szCs w:val="24"/>
                <w:highlight w:val="none"/>
              </w:rPr>
              <w:t>是否接受</w:t>
            </w:r>
          </w:p>
          <w:p w14:paraId="67823DC0">
            <w:pPr>
              <w:jc w:val="center"/>
              <w:rPr>
                <w:rFonts w:ascii="宋体" w:hAnsi="宋体" w:cs="宋体"/>
                <w:sz w:val="24"/>
                <w:szCs w:val="24"/>
                <w:highlight w:val="none"/>
              </w:rPr>
            </w:pPr>
            <w:r>
              <w:rPr>
                <w:rFonts w:hint="eastAsia" w:ascii="宋体" w:hAnsi="宋体" w:cs="宋体"/>
                <w:sz w:val="24"/>
                <w:szCs w:val="24"/>
                <w:highlight w:val="none"/>
              </w:rPr>
              <w:t xml:space="preserve">联合体   </w:t>
            </w:r>
          </w:p>
        </w:tc>
        <w:tc>
          <w:tcPr>
            <w:tcW w:w="6663" w:type="dxa"/>
            <w:tcBorders>
              <w:top w:val="single" w:color="auto" w:sz="4" w:space="0"/>
              <w:left w:val="nil"/>
              <w:bottom w:val="single" w:color="auto" w:sz="4" w:space="0"/>
              <w:right w:val="single" w:color="auto" w:sz="4" w:space="0"/>
            </w:tcBorders>
            <w:noWrap w:val="0"/>
            <w:vAlign w:val="center"/>
          </w:tcPr>
          <w:p w14:paraId="006C44F0">
            <w:pPr>
              <w:rPr>
                <w:rFonts w:ascii="宋体" w:hAnsi="宋体" w:cs="宋体"/>
                <w:sz w:val="24"/>
                <w:szCs w:val="24"/>
                <w:highlight w:val="none"/>
              </w:rPr>
            </w:pPr>
            <w:r>
              <w:rPr>
                <w:rFonts w:hint="eastAsia" w:ascii="宋体" w:hAnsi="宋体" w:cs="宋体"/>
                <w:sz w:val="24"/>
                <w:szCs w:val="24"/>
                <w:highlight w:val="none"/>
              </w:rPr>
              <w:t>■不接受</w:t>
            </w:r>
          </w:p>
        </w:tc>
      </w:tr>
      <w:tr w14:paraId="3978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6EFB89D">
            <w:pPr>
              <w:jc w:val="center"/>
              <w:rPr>
                <w:rFonts w:ascii="宋体" w:hAnsi="宋体" w:cs="宋体"/>
                <w:sz w:val="24"/>
                <w:szCs w:val="24"/>
                <w:highlight w:val="none"/>
              </w:rPr>
            </w:pPr>
            <w:r>
              <w:rPr>
                <w:rFonts w:hint="eastAsia" w:ascii="宋体" w:hAnsi="宋体" w:cs="宋体"/>
                <w:sz w:val="24"/>
                <w:szCs w:val="24"/>
                <w:highlight w:val="none"/>
              </w:rPr>
              <w:t>1.9.1</w:t>
            </w:r>
          </w:p>
        </w:tc>
        <w:tc>
          <w:tcPr>
            <w:tcW w:w="1837" w:type="dxa"/>
            <w:gridSpan w:val="2"/>
            <w:tcBorders>
              <w:top w:val="single" w:color="auto" w:sz="4" w:space="0"/>
              <w:left w:val="nil"/>
              <w:bottom w:val="single" w:color="auto" w:sz="4" w:space="0"/>
              <w:right w:val="single" w:color="auto" w:sz="4" w:space="0"/>
            </w:tcBorders>
            <w:noWrap w:val="0"/>
            <w:vAlign w:val="center"/>
          </w:tcPr>
          <w:p w14:paraId="5EFA1F13">
            <w:pPr>
              <w:ind w:firstLine="240" w:firstLineChars="100"/>
              <w:jc w:val="center"/>
              <w:rPr>
                <w:rFonts w:ascii="宋体" w:hAnsi="宋体" w:cs="宋体"/>
                <w:sz w:val="24"/>
                <w:szCs w:val="24"/>
                <w:highlight w:val="none"/>
              </w:rPr>
            </w:pPr>
            <w:r>
              <w:rPr>
                <w:rFonts w:hint="eastAsia" w:ascii="宋体" w:hAnsi="宋体" w:cs="宋体"/>
                <w:sz w:val="24"/>
                <w:szCs w:val="24"/>
                <w:highlight w:val="none"/>
              </w:rPr>
              <w:t>踏勘现场</w:t>
            </w:r>
          </w:p>
        </w:tc>
        <w:tc>
          <w:tcPr>
            <w:tcW w:w="6663" w:type="dxa"/>
            <w:tcBorders>
              <w:top w:val="single" w:color="auto" w:sz="4" w:space="0"/>
              <w:left w:val="nil"/>
              <w:bottom w:val="single" w:color="auto" w:sz="4" w:space="0"/>
              <w:right w:val="single" w:color="auto" w:sz="4" w:space="0"/>
            </w:tcBorders>
            <w:noWrap w:val="0"/>
            <w:vAlign w:val="center"/>
          </w:tcPr>
          <w:p w14:paraId="125BEE7E">
            <w:pPr>
              <w:rPr>
                <w:rFonts w:ascii="宋体" w:hAnsi="宋体" w:cs="宋体"/>
                <w:sz w:val="24"/>
                <w:szCs w:val="24"/>
                <w:highlight w:val="none"/>
              </w:rPr>
            </w:pPr>
            <w:r>
              <w:rPr>
                <w:rFonts w:hint="eastAsia" w:ascii="宋体" w:hAnsi="宋体" w:cs="宋体"/>
                <w:sz w:val="24"/>
                <w:szCs w:val="24"/>
                <w:highlight w:val="none"/>
              </w:rPr>
              <w:t>■不组织</w:t>
            </w:r>
          </w:p>
        </w:tc>
      </w:tr>
      <w:tr w14:paraId="2BC7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74BBEBD">
            <w:pPr>
              <w:jc w:val="center"/>
              <w:rPr>
                <w:rFonts w:ascii="宋体" w:hAnsi="宋体" w:cs="宋体"/>
                <w:sz w:val="24"/>
                <w:szCs w:val="24"/>
                <w:highlight w:val="none"/>
              </w:rPr>
            </w:pPr>
            <w:r>
              <w:rPr>
                <w:rFonts w:hint="eastAsia" w:ascii="宋体" w:hAnsi="宋体" w:cs="宋体"/>
                <w:sz w:val="24"/>
                <w:szCs w:val="24"/>
                <w:highlight w:val="none"/>
              </w:rPr>
              <w:t>1.10.1</w:t>
            </w:r>
          </w:p>
        </w:tc>
        <w:tc>
          <w:tcPr>
            <w:tcW w:w="1837" w:type="dxa"/>
            <w:gridSpan w:val="2"/>
            <w:tcBorders>
              <w:top w:val="single" w:color="auto" w:sz="4" w:space="0"/>
              <w:left w:val="nil"/>
              <w:bottom w:val="single" w:color="auto" w:sz="4" w:space="0"/>
              <w:right w:val="single" w:color="auto" w:sz="4" w:space="0"/>
            </w:tcBorders>
            <w:noWrap w:val="0"/>
            <w:vAlign w:val="center"/>
          </w:tcPr>
          <w:p w14:paraId="79F4DBA0">
            <w:pPr>
              <w:jc w:val="center"/>
              <w:rPr>
                <w:rFonts w:ascii="宋体" w:hAnsi="宋体" w:cs="宋体"/>
                <w:sz w:val="24"/>
                <w:szCs w:val="24"/>
                <w:highlight w:val="none"/>
              </w:rPr>
            </w:pPr>
            <w:r>
              <w:rPr>
                <w:rFonts w:hint="eastAsia" w:ascii="宋体" w:hAnsi="宋体" w:cs="宋体"/>
                <w:sz w:val="24"/>
                <w:szCs w:val="24"/>
                <w:highlight w:val="none"/>
              </w:rPr>
              <w:t>磋商预备会</w:t>
            </w:r>
          </w:p>
        </w:tc>
        <w:tc>
          <w:tcPr>
            <w:tcW w:w="6663" w:type="dxa"/>
            <w:tcBorders>
              <w:top w:val="single" w:color="auto" w:sz="4" w:space="0"/>
              <w:left w:val="nil"/>
              <w:bottom w:val="single" w:color="auto" w:sz="4" w:space="0"/>
              <w:right w:val="single" w:color="auto" w:sz="4" w:space="0"/>
            </w:tcBorders>
            <w:noWrap w:val="0"/>
            <w:vAlign w:val="center"/>
          </w:tcPr>
          <w:p w14:paraId="3C245D26">
            <w:pPr>
              <w:rPr>
                <w:rFonts w:ascii="宋体" w:hAnsi="宋体" w:cs="宋体"/>
                <w:sz w:val="24"/>
                <w:szCs w:val="24"/>
                <w:highlight w:val="none"/>
              </w:rPr>
            </w:pPr>
            <w:r>
              <w:rPr>
                <w:rFonts w:hint="eastAsia" w:ascii="宋体" w:hAnsi="宋体" w:cs="宋体"/>
                <w:sz w:val="24"/>
                <w:szCs w:val="24"/>
                <w:highlight w:val="none"/>
              </w:rPr>
              <w:t>■不召开</w:t>
            </w:r>
          </w:p>
        </w:tc>
      </w:tr>
      <w:tr w14:paraId="3256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7634990F">
            <w:pPr>
              <w:jc w:val="center"/>
              <w:rPr>
                <w:rFonts w:ascii="宋体" w:hAnsi="宋体" w:cs="宋体"/>
                <w:sz w:val="24"/>
                <w:szCs w:val="24"/>
                <w:highlight w:val="none"/>
              </w:rPr>
            </w:pPr>
            <w:r>
              <w:rPr>
                <w:rFonts w:hint="eastAsia" w:ascii="宋体" w:hAnsi="宋体" w:cs="宋体"/>
                <w:sz w:val="24"/>
                <w:szCs w:val="24"/>
                <w:highlight w:val="none"/>
              </w:rPr>
              <w:t>1.11</w:t>
            </w:r>
          </w:p>
        </w:tc>
        <w:tc>
          <w:tcPr>
            <w:tcW w:w="1837" w:type="dxa"/>
            <w:gridSpan w:val="2"/>
            <w:tcBorders>
              <w:top w:val="single" w:color="auto" w:sz="4" w:space="0"/>
              <w:left w:val="nil"/>
              <w:bottom w:val="single" w:color="auto" w:sz="4" w:space="0"/>
              <w:right w:val="single" w:color="auto" w:sz="4" w:space="0"/>
            </w:tcBorders>
            <w:noWrap w:val="0"/>
            <w:vAlign w:val="center"/>
          </w:tcPr>
          <w:p w14:paraId="7B1F2650">
            <w:pPr>
              <w:jc w:val="center"/>
              <w:rPr>
                <w:rFonts w:ascii="宋体" w:hAnsi="宋体" w:cs="宋体"/>
                <w:sz w:val="24"/>
                <w:szCs w:val="24"/>
                <w:highlight w:val="none"/>
              </w:rPr>
            </w:pPr>
            <w:r>
              <w:rPr>
                <w:rFonts w:hint="eastAsia" w:ascii="宋体" w:hAnsi="宋体" w:cs="宋体"/>
                <w:sz w:val="24"/>
                <w:szCs w:val="24"/>
                <w:highlight w:val="none"/>
              </w:rPr>
              <w:t>分  包</w:t>
            </w:r>
          </w:p>
        </w:tc>
        <w:tc>
          <w:tcPr>
            <w:tcW w:w="6663" w:type="dxa"/>
            <w:tcBorders>
              <w:top w:val="single" w:color="auto" w:sz="4" w:space="0"/>
              <w:left w:val="nil"/>
              <w:bottom w:val="single" w:color="auto" w:sz="4" w:space="0"/>
              <w:right w:val="single" w:color="auto" w:sz="4" w:space="0"/>
            </w:tcBorders>
            <w:noWrap w:val="0"/>
            <w:vAlign w:val="center"/>
          </w:tcPr>
          <w:p w14:paraId="668AE348">
            <w:pPr>
              <w:rPr>
                <w:rFonts w:ascii="宋体" w:hAnsi="宋体" w:cs="宋体"/>
                <w:sz w:val="24"/>
                <w:szCs w:val="24"/>
                <w:highlight w:val="none"/>
              </w:rPr>
            </w:pPr>
            <w:r>
              <w:rPr>
                <w:rFonts w:hint="eastAsia" w:ascii="宋体" w:hAnsi="宋体" w:cs="宋体"/>
                <w:sz w:val="24"/>
                <w:szCs w:val="24"/>
                <w:highlight w:val="none"/>
              </w:rPr>
              <w:t>■不允许</w:t>
            </w:r>
          </w:p>
        </w:tc>
      </w:tr>
      <w:tr w14:paraId="3AD4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47407D1">
            <w:pPr>
              <w:jc w:val="center"/>
              <w:rPr>
                <w:rFonts w:ascii="宋体" w:hAnsi="宋体" w:cs="宋体"/>
                <w:sz w:val="24"/>
                <w:szCs w:val="24"/>
                <w:highlight w:val="none"/>
              </w:rPr>
            </w:pPr>
            <w:r>
              <w:rPr>
                <w:rFonts w:hint="eastAsia" w:ascii="宋体" w:hAnsi="宋体" w:cs="宋体"/>
                <w:sz w:val="24"/>
                <w:szCs w:val="24"/>
                <w:highlight w:val="none"/>
              </w:rPr>
              <w:t>1.12</w:t>
            </w:r>
          </w:p>
        </w:tc>
        <w:tc>
          <w:tcPr>
            <w:tcW w:w="1837" w:type="dxa"/>
            <w:gridSpan w:val="2"/>
            <w:tcBorders>
              <w:top w:val="single" w:color="auto" w:sz="4" w:space="0"/>
              <w:left w:val="nil"/>
              <w:bottom w:val="single" w:color="auto" w:sz="4" w:space="0"/>
              <w:right w:val="single" w:color="auto" w:sz="4" w:space="0"/>
            </w:tcBorders>
            <w:noWrap w:val="0"/>
            <w:vAlign w:val="center"/>
          </w:tcPr>
          <w:p w14:paraId="0A2C5A91">
            <w:pPr>
              <w:jc w:val="center"/>
              <w:rPr>
                <w:rFonts w:ascii="宋体" w:hAnsi="宋体" w:cs="宋体"/>
                <w:sz w:val="24"/>
                <w:szCs w:val="24"/>
                <w:highlight w:val="none"/>
              </w:rPr>
            </w:pPr>
            <w:r>
              <w:rPr>
                <w:rFonts w:hint="eastAsia" w:ascii="宋体" w:hAnsi="宋体" w:cs="宋体"/>
                <w:sz w:val="24"/>
                <w:szCs w:val="24"/>
                <w:highlight w:val="none"/>
              </w:rPr>
              <w:t>偏  离</w:t>
            </w:r>
          </w:p>
        </w:tc>
        <w:tc>
          <w:tcPr>
            <w:tcW w:w="6663" w:type="dxa"/>
            <w:tcBorders>
              <w:top w:val="single" w:color="auto" w:sz="4" w:space="0"/>
              <w:left w:val="nil"/>
              <w:bottom w:val="single" w:color="auto" w:sz="4" w:space="0"/>
              <w:right w:val="single" w:color="auto" w:sz="4" w:space="0"/>
            </w:tcBorders>
            <w:noWrap w:val="0"/>
            <w:vAlign w:val="center"/>
          </w:tcPr>
          <w:p w14:paraId="36E0FA67">
            <w:pPr>
              <w:rPr>
                <w:rFonts w:ascii="宋体" w:hAnsi="宋体" w:cs="宋体"/>
                <w:sz w:val="24"/>
                <w:szCs w:val="24"/>
                <w:highlight w:val="none"/>
              </w:rPr>
            </w:pPr>
            <w:r>
              <w:rPr>
                <w:rFonts w:hint="eastAsia" w:ascii="宋体" w:hAnsi="宋体" w:cs="宋体"/>
                <w:sz w:val="24"/>
                <w:szCs w:val="24"/>
                <w:highlight w:val="none"/>
              </w:rPr>
              <w:t>■不允许</w:t>
            </w:r>
          </w:p>
        </w:tc>
      </w:tr>
      <w:tr w14:paraId="2C59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783CE5D3">
            <w:pPr>
              <w:jc w:val="center"/>
              <w:rPr>
                <w:rFonts w:ascii="宋体" w:hAnsi="宋体" w:cs="宋体"/>
                <w:sz w:val="24"/>
                <w:szCs w:val="24"/>
                <w:highlight w:val="none"/>
              </w:rPr>
            </w:pPr>
            <w:r>
              <w:rPr>
                <w:rFonts w:hint="eastAsia" w:ascii="宋体" w:hAnsi="宋体" w:cs="宋体"/>
                <w:sz w:val="24"/>
                <w:szCs w:val="24"/>
                <w:highlight w:val="none"/>
              </w:rPr>
              <w:t>2.1</w:t>
            </w:r>
          </w:p>
        </w:tc>
        <w:tc>
          <w:tcPr>
            <w:tcW w:w="1837" w:type="dxa"/>
            <w:gridSpan w:val="2"/>
            <w:tcBorders>
              <w:top w:val="single" w:color="auto" w:sz="4" w:space="0"/>
              <w:left w:val="nil"/>
              <w:bottom w:val="single" w:color="auto" w:sz="4" w:space="0"/>
              <w:right w:val="single" w:color="auto" w:sz="4" w:space="0"/>
            </w:tcBorders>
            <w:noWrap w:val="0"/>
            <w:vAlign w:val="center"/>
          </w:tcPr>
          <w:p w14:paraId="5D2752CF">
            <w:pPr>
              <w:jc w:val="center"/>
              <w:rPr>
                <w:rFonts w:ascii="宋体" w:hAnsi="宋体" w:cs="宋体"/>
                <w:sz w:val="24"/>
                <w:szCs w:val="24"/>
                <w:highlight w:val="none"/>
              </w:rPr>
            </w:pPr>
            <w:r>
              <w:rPr>
                <w:rFonts w:hint="eastAsia" w:ascii="宋体" w:hAnsi="宋体" w:cs="宋体"/>
                <w:sz w:val="24"/>
                <w:szCs w:val="24"/>
                <w:highlight w:val="none"/>
              </w:rPr>
              <w:t>构成磋商文件的其他材料</w:t>
            </w:r>
          </w:p>
        </w:tc>
        <w:tc>
          <w:tcPr>
            <w:tcW w:w="6663" w:type="dxa"/>
            <w:tcBorders>
              <w:top w:val="single" w:color="auto" w:sz="4" w:space="0"/>
              <w:left w:val="nil"/>
              <w:bottom w:val="single" w:color="auto" w:sz="4" w:space="0"/>
              <w:right w:val="single" w:color="auto" w:sz="4" w:space="0"/>
            </w:tcBorders>
            <w:noWrap w:val="0"/>
            <w:vAlign w:val="center"/>
          </w:tcPr>
          <w:p w14:paraId="1AD507DF">
            <w:pPr>
              <w:spacing w:line="400" w:lineRule="exact"/>
              <w:rPr>
                <w:rFonts w:ascii="宋体" w:hAnsi="宋体" w:cs="宋体"/>
                <w:sz w:val="24"/>
                <w:szCs w:val="24"/>
                <w:highlight w:val="none"/>
              </w:rPr>
            </w:pPr>
            <w:r>
              <w:rPr>
                <w:rFonts w:hint="eastAsia" w:ascii="宋体" w:hAnsi="宋体" w:cs="宋体"/>
                <w:sz w:val="24"/>
                <w:szCs w:val="24"/>
                <w:highlight w:val="none"/>
              </w:rPr>
              <w:t>对竞争性磋商文件所作的澄清（含答疑）、修改，补充构成竞争性磋商文件的组成部分。</w:t>
            </w:r>
          </w:p>
        </w:tc>
      </w:tr>
      <w:tr w14:paraId="477F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2720C3BF">
            <w:pPr>
              <w:jc w:val="center"/>
              <w:rPr>
                <w:rFonts w:ascii="宋体" w:hAnsi="宋体" w:cs="宋体"/>
                <w:sz w:val="24"/>
                <w:szCs w:val="24"/>
                <w:highlight w:val="none"/>
              </w:rPr>
            </w:pPr>
            <w:r>
              <w:rPr>
                <w:rFonts w:hint="eastAsia" w:ascii="宋体" w:hAnsi="宋体" w:cs="宋体"/>
                <w:sz w:val="24"/>
                <w:szCs w:val="24"/>
                <w:highlight w:val="none"/>
              </w:rPr>
              <w:t>2.2.1</w:t>
            </w:r>
          </w:p>
        </w:tc>
        <w:tc>
          <w:tcPr>
            <w:tcW w:w="1837" w:type="dxa"/>
            <w:gridSpan w:val="2"/>
            <w:tcBorders>
              <w:top w:val="single" w:color="auto" w:sz="4" w:space="0"/>
              <w:left w:val="nil"/>
              <w:bottom w:val="single" w:color="auto" w:sz="4" w:space="0"/>
              <w:right w:val="single" w:color="auto" w:sz="4" w:space="0"/>
            </w:tcBorders>
            <w:noWrap w:val="0"/>
            <w:vAlign w:val="center"/>
          </w:tcPr>
          <w:p w14:paraId="6E2B14E4">
            <w:pPr>
              <w:jc w:val="center"/>
              <w:rPr>
                <w:rFonts w:ascii="宋体" w:hAnsi="宋体" w:cs="宋体"/>
                <w:sz w:val="24"/>
                <w:szCs w:val="24"/>
                <w:highlight w:val="none"/>
              </w:rPr>
            </w:pPr>
            <w:r>
              <w:rPr>
                <w:rFonts w:hint="eastAsia" w:ascii="宋体" w:hAnsi="宋体" w:cs="宋体"/>
                <w:sz w:val="24"/>
                <w:szCs w:val="24"/>
                <w:highlight w:val="none"/>
              </w:rPr>
              <w:t>响应人要求澄清竞争性磋商文件的截止时间</w:t>
            </w:r>
          </w:p>
        </w:tc>
        <w:tc>
          <w:tcPr>
            <w:tcW w:w="6663" w:type="dxa"/>
            <w:tcBorders>
              <w:top w:val="single" w:color="auto" w:sz="4" w:space="0"/>
              <w:left w:val="nil"/>
              <w:bottom w:val="single" w:color="auto" w:sz="4" w:space="0"/>
              <w:right w:val="single" w:color="auto" w:sz="4" w:space="0"/>
            </w:tcBorders>
            <w:noWrap w:val="0"/>
            <w:vAlign w:val="center"/>
          </w:tcPr>
          <w:p w14:paraId="7666CE81">
            <w:pPr>
              <w:rPr>
                <w:rFonts w:ascii="宋体" w:hAnsi="宋体" w:cs="宋体"/>
                <w:sz w:val="24"/>
                <w:szCs w:val="24"/>
                <w:highlight w:val="none"/>
              </w:rPr>
            </w:pPr>
            <w:r>
              <w:rPr>
                <w:rFonts w:hint="eastAsia" w:ascii="宋体" w:hAnsi="宋体" w:cs="宋体"/>
                <w:sz w:val="24"/>
                <w:szCs w:val="24"/>
                <w:highlight w:val="none"/>
              </w:rPr>
              <w:t>响应文件递交截止时间5日前</w:t>
            </w:r>
          </w:p>
        </w:tc>
      </w:tr>
      <w:tr w14:paraId="6D30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D952B6F">
            <w:pPr>
              <w:jc w:val="center"/>
              <w:rPr>
                <w:rFonts w:ascii="宋体" w:hAnsi="宋体" w:cs="宋体"/>
                <w:sz w:val="24"/>
                <w:szCs w:val="24"/>
                <w:highlight w:val="none"/>
              </w:rPr>
            </w:pPr>
            <w:r>
              <w:rPr>
                <w:rFonts w:hint="eastAsia" w:ascii="宋体" w:hAnsi="宋体" w:cs="宋体"/>
                <w:sz w:val="24"/>
                <w:szCs w:val="24"/>
                <w:highlight w:val="none"/>
              </w:rPr>
              <w:t>2.2.2</w:t>
            </w:r>
          </w:p>
        </w:tc>
        <w:tc>
          <w:tcPr>
            <w:tcW w:w="1837" w:type="dxa"/>
            <w:gridSpan w:val="2"/>
            <w:tcBorders>
              <w:top w:val="single" w:color="auto" w:sz="4" w:space="0"/>
              <w:left w:val="nil"/>
              <w:bottom w:val="single" w:color="auto" w:sz="4" w:space="0"/>
              <w:right w:val="single" w:color="auto" w:sz="4" w:space="0"/>
            </w:tcBorders>
            <w:noWrap w:val="0"/>
            <w:vAlign w:val="center"/>
          </w:tcPr>
          <w:p w14:paraId="47F22A86">
            <w:pPr>
              <w:ind w:left="240" w:hanging="240" w:hangingChars="100"/>
              <w:jc w:val="center"/>
              <w:rPr>
                <w:rFonts w:ascii="宋体" w:hAnsi="宋体" w:cs="宋体"/>
                <w:color w:val="auto"/>
                <w:sz w:val="24"/>
                <w:szCs w:val="24"/>
                <w:highlight w:val="none"/>
              </w:rPr>
            </w:pPr>
            <w:r>
              <w:rPr>
                <w:rFonts w:hint="eastAsia" w:ascii="宋体" w:hAnsi="宋体" w:cs="宋体"/>
                <w:color w:val="auto"/>
                <w:sz w:val="24"/>
                <w:szCs w:val="24"/>
                <w:highlight w:val="none"/>
              </w:rPr>
              <w:t>响应文件递</w:t>
            </w:r>
          </w:p>
          <w:p w14:paraId="07BAD3B8">
            <w:pPr>
              <w:ind w:left="240" w:hanging="240" w:hangingChars="100"/>
              <w:jc w:val="center"/>
              <w:rPr>
                <w:rFonts w:ascii="宋体" w:hAnsi="宋体" w:cs="宋体"/>
                <w:color w:val="auto"/>
                <w:sz w:val="24"/>
                <w:szCs w:val="24"/>
                <w:highlight w:val="none"/>
              </w:rPr>
            </w:pPr>
            <w:r>
              <w:rPr>
                <w:rFonts w:hint="eastAsia" w:ascii="宋体" w:hAnsi="宋体" w:cs="宋体"/>
                <w:color w:val="auto"/>
                <w:sz w:val="24"/>
                <w:szCs w:val="24"/>
                <w:highlight w:val="none"/>
              </w:rPr>
              <w:t>交截止时间</w:t>
            </w:r>
          </w:p>
        </w:tc>
        <w:tc>
          <w:tcPr>
            <w:tcW w:w="6663" w:type="dxa"/>
            <w:tcBorders>
              <w:top w:val="single" w:color="auto" w:sz="4" w:space="0"/>
              <w:left w:val="nil"/>
              <w:bottom w:val="single" w:color="auto" w:sz="4" w:space="0"/>
              <w:right w:val="single" w:color="auto" w:sz="4" w:space="0"/>
            </w:tcBorders>
            <w:noWrap w:val="0"/>
            <w:vAlign w:val="center"/>
          </w:tcPr>
          <w:p w14:paraId="7030FF36">
            <w:pP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lang w:eastAsia="zh-CN"/>
              </w:rPr>
              <w:t>日08时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分</w:t>
            </w:r>
          </w:p>
        </w:tc>
      </w:tr>
      <w:tr w14:paraId="4ED5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673F793A">
            <w:pPr>
              <w:jc w:val="center"/>
              <w:rPr>
                <w:rFonts w:ascii="宋体" w:hAnsi="宋体" w:cs="宋体"/>
                <w:sz w:val="24"/>
                <w:szCs w:val="24"/>
                <w:highlight w:val="none"/>
              </w:rPr>
            </w:pPr>
            <w:r>
              <w:rPr>
                <w:rFonts w:hint="eastAsia" w:ascii="宋体" w:hAnsi="宋体" w:cs="宋体"/>
                <w:sz w:val="24"/>
                <w:szCs w:val="24"/>
                <w:highlight w:val="none"/>
              </w:rPr>
              <w:t>2.2.3</w:t>
            </w:r>
          </w:p>
        </w:tc>
        <w:tc>
          <w:tcPr>
            <w:tcW w:w="1837" w:type="dxa"/>
            <w:gridSpan w:val="2"/>
            <w:tcBorders>
              <w:top w:val="single" w:color="auto" w:sz="4" w:space="0"/>
              <w:left w:val="nil"/>
              <w:bottom w:val="single" w:color="auto" w:sz="4" w:space="0"/>
              <w:right w:val="single" w:color="auto" w:sz="4" w:space="0"/>
            </w:tcBorders>
            <w:noWrap w:val="0"/>
            <w:vAlign w:val="center"/>
          </w:tcPr>
          <w:p w14:paraId="2663B415">
            <w:pPr>
              <w:jc w:val="center"/>
              <w:rPr>
                <w:rFonts w:ascii="宋体" w:hAnsi="宋体" w:cs="宋体"/>
                <w:sz w:val="24"/>
                <w:szCs w:val="24"/>
                <w:highlight w:val="none"/>
              </w:rPr>
            </w:pPr>
            <w:r>
              <w:rPr>
                <w:rFonts w:hint="eastAsia" w:ascii="宋体" w:hAnsi="宋体" w:cs="宋体"/>
                <w:sz w:val="24"/>
                <w:szCs w:val="24"/>
                <w:highlight w:val="none"/>
              </w:rPr>
              <w:t>响应人确认收到竞争性磋商文件澄清的时间</w:t>
            </w:r>
          </w:p>
        </w:tc>
        <w:tc>
          <w:tcPr>
            <w:tcW w:w="6663" w:type="dxa"/>
            <w:tcBorders>
              <w:top w:val="single" w:color="auto" w:sz="4" w:space="0"/>
              <w:left w:val="nil"/>
              <w:bottom w:val="single" w:color="auto" w:sz="4" w:space="0"/>
              <w:right w:val="single" w:color="auto" w:sz="4" w:space="0"/>
            </w:tcBorders>
            <w:noWrap w:val="0"/>
            <w:vAlign w:val="center"/>
          </w:tcPr>
          <w:p w14:paraId="1BEDA302">
            <w:pPr>
              <w:spacing w:line="288" w:lineRule="auto"/>
              <w:rPr>
                <w:rFonts w:ascii="宋体" w:hAnsi="宋体" w:cs="宋体"/>
                <w:sz w:val="24"/>
                <w:szCs w:val="24"/>
                <w:highlight w:val="none"/>
                <w:u w:val="single"/>
              </w:rPr>
            </w:pPr>
            <w:r>
              <w:rPr>
                <w:rFonts w:hint="eastAsia" w:ascii="宋体" w:hAnsi="宋体" w:cs="宋体"/>
                <w:sz w:val="24"/>
                <w:szCs w:val="24"/>
                <w:highlight w:val="none"/>
              </w:rPr>
              <w:t>在收到相应澄清文件后</w:t>
            </w:r>
            <w:r>
              <w:rPr>
                <w:rFonts w:hint="eastAsia" w:ascii="宋体" w:hAnsi="宋体" w:cs="宋体"/>
                <w:sz w:val="24"/>
                <w:szCs w:val="24"/>
                <w:highlight w:val="none"/>
                <w:u w:val="single"/>
              </w:rPr>
              <w:t xml:space="preserve"> 24 </w:t>
            </w:r>
            <w:r>
              <w:rPr>
                <w:rFonts w:hint="eastAsia" w:ascii="宋体" w:hAnsi="宋体" w:cs="宋体"/>
                <w:sz w:val="24"/>
                <w:szCs w:val="24"/>
                <w:highlight w:val="none"/>
              </w:rPr>
              <w:t>小时内</w:t>
            </w:r>
          </w:p>
        </w:tc>
      </w:tr>
      <w:tr w14:paraId="3E5E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5FF71019">
            <w:pPr>
              <w:jc w:val="center"/>
              <w:rPr>
                <w:rFonts w:ascii="宋体" w:hAnsi="宋体" w:cs="宋体"/>
                <w:sz w:val="24"/>
                <w:szCs w:val="24"/>
                <w:highlight w:val="none"/>
              </w:rPr>
            </w:pPr>
            <w:r>
              <w:rPr>
                <w:rFonts w:hint="eastAsia" w:ascii="宋体" w:hAnsi="宋体" w:cs="宋体"/>
                <w:sz w:val="24"/>
                <w:szCs w:val="24"/>
                <w:highlight w:val="none"/>
              </w:rPr>
              <w:t>2.3.2</w:t>
            </w:r>
          </w:p>
        </w:tc>
        <w:tc>
          <w:tcPr>
            <w:tcW w:w="1837" w:type="dxa"/>
            <w:gridSpan w:val="2"/>
            <w:tcBorders>
              <w:top w:val="single" w:color="auto" w:sz="4" w:space="0"/>
              <w:left w:val="nil"/>
              <w:bottom w:val="single" w:color="auto" w:sz="4" w:space="0"/>
              <w:right w:val="single" w:color="auto" w:sz="4" w:space="0"/>
            </w:tcBorders>
            <w:noWrap w:val="0"/>
            <w:vAlign w:val="center"/>
          </w:tcPr>
          <w:p w14:paraId="248B31B1">
            <w:pPr>
              <w:jc w:val="center"/>
              <w:rPr>
                <w:rFonts w:ascii="宋体" w:hAnsi="宋体" w:cs="宋体"/>
                <w:sz w:val="24"/>
                <w:szCs w:val="24"/>
                <w:highlight w:val="none"/>
              </w:rPr>
            </w:pPr>
            <w:r>
              <w:rPr>
                <w:rFonts w:hint="eastAsia" w:ascii="宋体" w:hAnsi="宋体" w:cs="宋体"/>
                <w:sz w:val="24"/>
                <w:szCs w:val="24"/>
                <w:highlight w:val="none"/>
              </w:rPr>
              <w:t>响应人确认收到竞争性磋商文件修改的时间</w:t>
            </w:r>
          </w:p>
        </w:tc>
        <w:tc>
          <w:tcPr>
            <w:tcW w:w="6663" w:type="dxa"/>
            <w:tcBorders>
              <w:top w:val="single" w:color="auto" w:sz="4" w:space="0"/>
              <w:left w:val="nil"/>
              <w:bottom w:val="single" w:color="auto" w:sz="4" w:space="0"/>
              <w:right w:val="single" w:color="auto" w:sz="4" w:space="0"/>
            </w:tcBorders>
            <w:noWrap w:val="0"/>
            <w:vAlign w:val="center"/>
          </w:tcPr>
          <w:p w14:paraId="3E3C10BA">
            <w:pPr>
              <w:spacing w:line="288" w:lineRule="auto"/>
              <w:rPr>
                <w:rFonts w:ascii="宋体" w:hAnsi="宋体" w:cs="宋体"/>
                <w:sz w:val="24"/>
                <w:szCs w:val="24"/>
                <w:highlight w:val="none"/>
              </w:rPr>
            </w:pPr>
            <w:r>
              <w:rPr>
                <w:rFonts w:hint="eastAsia" w:ascii="宋体" w:hAnsi="宋体" w:cs="宋体"/>
                <w:sz w:val="24"/>
                <w:szCs w:val="24"/>
                <w:highlight w:val="none"/>
              </w:rPr>
              <w:t>在收到相应修改文件后</w:t>
            </w:r>
            <w:r>
              <w:rPr>
                <w:rFonts w:hint="eastAsia" w:ascii="宋体" w:hAnsi="宋体" w:cs="宋体"/>
                <w:sz w:val="24"/>
                <w:szCs w:val="24"/>
                <w:highlight w:val="none"/>
                <w:u w:val="single"/>
              </w:rPr>
              <w:t xml:space="preserve"> 24</w:t>
            </w:r>
            <w:r>
              <w:rPr>
                <w:rFonts w:hint="eastAsia" w:ascii="宋体" w:hAnsi="宋体" w:cs="宋体"/>
                <w:sz w:val="24"/>
                <w:szCs w:val="24"/>
                <w:highlight w:val="none"/>
              </w:rPr>
              <w:t>小时内</w:t>
            </w:r>
          </w:p>
        </w:tc>
      </w:tr>
      <w:tr w14:paraId="302A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267E61F0">
            <w:pPr>
              <w:jc w:val="center"/>
              <w:rPr>
                <w:rFonts w:ascii="宋体" w:hAnsi="宋体" w:cs="宋体"/>
                <w:sz w:val="24"/>
                <w:szCs w:val="24"/>
                <w:highlight w:val="none"/>
              </w:rPr>
            </w:pPr>
            <w:r>
              <w:rPr>
                <w:rFonts w:hint="eastAsia" w:ascii="宋体" w:hAnsi="宋体" w:cs="宋体"/>
                <w:sz w:val="24"/>
                <w:szCs w:val="24"/>
                <w:highlight w:val="none"/>
              </w:rPr>
              <w:t>3.1.1</w:t>
            </w:r>
          </w:p>
        </w:tc>
        <w:tc>
          <w:tcPr>
            <w:tcW w:w="1837" w:type="dxa"/>
            <w:gridSpan w:val="2"/>
            <w:tcBorders>
              <w:top w:val="single" w:color="auto" w:sz="4" w:space="0"/>
              <w:left w:val="nil"/>
              <w:bottom w:val="single" w:color="auto" w:sz="4" w:space="0"/>
              <w:right w:val="single" w:color="auto" w:sz="4" w:space="0"/>
            </w:tcBorders>
            <w:noWrap w:val="0"/>
            <w:vAlign w:val="center"/>
          </w:tcPr>
          <w:p w14:paraId="4A5821C0">
            <w:pPr>
              <w:jc w:val="center"/>
              <w:rPr>
                <w:rFonts w:ascii="宋体" w:hAnsi="宋体" w:cs="宋体"/>
                <w:sz w:val="24"/>
                <w:szCs w:val="24"/>
                <w:highlight w:val="none"/>
              </w:rPr>
            </w:pPr>
            <w:r>
              <w:rPr>
                <w:rFonts w:hint="eastAsia" w:ascii="宋体" w:hAnsi="宋体" w:cs="宋体"/>
                <w:sz w:val="24"/>
                <w:szCs w:val="24"/>
                <w:highlight w:val="none"/>
              </w:rPr>
              <w:t>构成响应文件的其他材料</w:t>
            </w:r>
          </w:p>
        </w:tc>
        <w:tc>
          <w:tcPr>
            <w:tcW w:w="6663" w:type="dxa"/>
            <w:tcBorders>
              <w:top w:val="single" w:color="auto" w:sz="4" w:space="0"/>
              <w:left w:val="nil"/>
              <w:bottom w:val="single" w:color="auto" w:sz="4" w:space="0"/>
              <w:right w:val="single" w:color="auto" w:sz="4" w:space="0"/>
            </w:tcBorders>
            <w:noWrap w:val="0"/>
            <w:vAlign w:val="center"/>
          </w:tcPr>
          <w:p w14:paraId="1C871308">
            <w:pPr>
              <w:spacing w:line="288" w:lineRule="auto"/>
              <w:rPr>
                <w:rFonts w:ascii="宋体" w:hAnsi="宋体" w:cs="宋体"/>
                <w:b/>
                <w:bCs/>
                <w:sz w:val="24"/>
                <w:szCs w:val="24"/>
                <w:highlight w:val="none"/>
              </w:rPr>
            </w:pPr>
            <w:r>
              <w:rPr>
                <w:rFonts w:hint="eastAsia" w:ascii="宋体" w:hAnsi="宋体" w:cs="宋体"/>
                <w:b/>
                <w:bCs/>
                <w:sz w:val="24"/>
                <w:szCs w:val="24"/>
                <w:highlight w:val="none"/>
              </w:rPr>
              <w:t>/</w:t>
            </w:r>
          </w:p>
        </w:tc>
      </w:tr>
      <w:tr w14:paraId="49EF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45CB336B">
            <w:pPr>
              <w:jc w:val="center"/>
              <w:rPr>
                <w:rFonts w:ascii="宋体" w:hAnsi="宋体" w:cs="宋体"/>
                <w:sz w:val="24"/>
                <w:szCs w:val="24"/>
                <w:highlight w:val="none"/>
              </w:rPr>
            </w:pPr>
            <w:r>
              <w:rPr>
                <w:rFonts w:hint="eastAsia" w:ascii="宋体" w:hAnsi="宋体" w:cs="宋体"/>
                <w:sz w:val="24"/>
                <w:szCs w:val="24"/>
                <w:highlight w:val="none"/>
              </w:rPr>
              <w:t>3.3.1</w:t>
            </w:r>
          </w:p>
        </w:tc>
        <w:tc>
          <w:tcPr>
            <w:tcW w:w="1837" w:type="dxa"/>
            <w:gridSpan w:val="2"/>
            <w:tcBorders>
              <w:top w:val="single" w:color="auto" w:sz="4" w:space="0"/>
              <w:left w:val="nil"/>
              <w:bottom w:val="single" w:color="auto" w:sz="4" w:space="0"/>
              <w:right w:val="single" w:color="auto" w:sz="4" w:space="0"/>
            </w:tcBorders>
            <w:noWrap w:val="0"/>
            <w:vAlign w:val="center"/>
          </w:tcPr>
          <w:p w14:paraId="6670D2E0">
            <w:pPr>
              <w:jc w:val="center"/>
              <w:rPr>
                <w:rFonts w:ascii="宋体" w:hAnsi="宋体" w:cs="宋体"/>
                <w:sz w:val="24"/>
                <w:szCs w:val="24"/>
                <w:highlight w:val="none"/>
              </w:rPr>
            </w:pPr>
            <w:r>
              <w:rPr>
                <w:rFonts w:hint="eastAsia" w:ascii="宋体" w:hAnsi="宋体" w:cs="宋体"/>
                <w:sz w:val="24"/>
                <w:szCs w:val="24"/>
                <w:highlight w:val="none"/>
              </w:rPr>
              <w:t>磋商有效期</w:t>
            </w:r>
          </w:p>
        </w:tc>
        <w:tc>
          <w:tcPr>
            <w:tcW w:w="6663" w:type="dxa"/>
            <w:tcBorders>
              <w:top w:val="single" w:color="auto" w:sz="4" w:space="0"/>
              <w:left w:val="nil"/>
              <w:bottom w:val="single" w:color="auto" w:sz="4" w:space="0"/>
              <w:right w:val="single" w:color="auto" w:sz="4" w:space="0"/>
            </w:tcBorders>
            <w:noWrap w:val="0"/>
            <w:vAlign w:val="center"/>
          </w:tcPr>
          <w:p w14:paraId="478B6DEC">
            <w:pPr>
              <w:rPr>
                <w:rFonts w:ascii="宋体" w:hAnsi="宋体" w:cs="宋体"/>
                <w:sz w:val="24"/>
                <w:szCs w:val="24"/>
                <w:highlight w:val="none"/>
              </w:rPr>
            </w:pPr>
            <w:r>
              <w:rPr>
                <w:rFonts w:hint="eastAsia" w:ascii="宋体" w:hAnsi="宋体" w:cs="宋体"/>
                <w:sz w:val="24"/>
                <w:szCs w:val="24"/>
                <w:highlight w:val="none"/>
              </w:rPr>
              <w:t>磋商截止之日起60日历天</w:t>
            </w:r>
          </w:p>
        </w:tc>
      </w:tr>
      <w:tr w14:paraId="0A52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6A2AAFF4">
            <w:pPr>
              <w:jc w:val="center"/>
              <w:rPr>
                <w:rFonts w:ascii="宋体" w:hAnsi="宋体" w:cs="宋体"/>
                <w:sz w:val="24"/>
                <w:szCs w:val="24"/>
                <w:highlight w:val="none"/>
              </w:rPr>
            </w:pPr>
            <w:r>
              <w:rPr>
                <w:rFonts w:hint="eastAsia" w:ascii="宋体" w:hAnsi="宋体" w:cs="宋体"/>
                <w:sz w:val="24"/>
                <w:szCs w:val="24"/>
                <w:highlight w:val="none"/>
              </w:rPr>
              <w:t>3.5.3</w:t>
            </w:r>
          </w:p>
        </w:tc>
        <w:tc>
          <w:tcPr>
            <w:tcW w:w="1837" w:type="dxa"/>
            <w:gridSpan w:val="2"/>
            <w:tcBorders>
              <w:top w:val="single" w:color="auto" w:sz="4" w:space="0"/>
              <w:left w:val="nil"/>
              <w:bottom w:val="single" w:color="auto" w:sz="4" w:space="0"/>
              <w:right w:val="single" w:color="auto" w:sz="4" w:space="0"/>
            </w:tcBorders>
            <w:noWrap w:val="0"/>
            <w:vAlign w:val="center"/>
          </w:tcPr>
          <w:p w14:paraId="698AC91C">
            <w:pPr>
              <w:jc w:val="center"/>
              <w:rPr>
                <w:rFonts w:ascii="宋体" w:hAnsi="宋体" w:cs="宋体"/>
                <w:color w:val="000000"/>
                <w:sz w:val="24"/>
                <w:szCs w:val="24"/>
                <w:highlight w:val="none"/>
              </w:rPr>
            </w:pPr>
            <w:r>
              <w:rPr>
                <w:rFonts w:hint="eastAsia" w:ascii="宋体" w:hAnsi="宋体" w:cs="宋体"/>
                <w:color w:val="000000"/>
                <w:sz w:val="24"/>
                <w:szCs w:val="24"/>
                <w:highlight w:val="none"/>
              </w:rPr>
              <w:t>近年完成的类似项目的年份要求</w:t>
            </w:r>
          </w:p>
        </w:tc>
        <w:tc>
          <w:tcPr>
            <w:tcW w:w="6663" w:type="dxa"/>
            <w:tcBorders>
              <w:top w:val="single" w:color="auto" w:sz="4" w:space="0"/>
              <w:left w:val="nil"/>
              <w:bottom w:val="single" w:color="auto" w:sz="4" w:space="0"/>
              <w:right w:val="single" w:color="auto" w:sz="4" w:space="0"/>
            </w:tcBorders>
            <w:noWrap w:val="0"/>
            <w:vAlign w:val="center"/>
          </w:tcPr>
          <w:p w14:paraId="65F52910">
            <w:pPr>
              <w:spacing w:line="288" w:lineRule="auto"/>
              <w:rPr>
                <w:rFonts w:ascii="宋体" w:hAnsi="宋体" w:cs="宋体"/>
                <w:color w:val="000000"/>
                <w:sz w:val="24"/>
                <w:szCs w:val="24"/>
                <w:highlight w:val="none"/>
                <w:u w:val="single"/>
              </w:rPr>
            </w:pPr>
            <w:r>
              <w:rPr>
                <w:rFonts w:hint="eastAsia" w:ascii="宋体" w:hAnsi="宋体" w:cs="宋体"/>
                <w:color w:val="000000"/>
                <w:sz w:val="24"/>
                <w:szCs w:val="24"/>
                <w:highlight w:val="none"/>
                <w:u w:val="single"/>
              </w:rPr>
              <w:t>近</w:t>
            </w:r>
            <w:r>
              <w:rPr>
                <w:rFonts w:hint="eastAsia" w:ascii="宋体" w:hAnsi="宋体" w:cs="宋体"/>
                <w:color w:val="000000"/>
                <w:sz w:val="24"/>
                <w:szCs w:val="24"/>
                <w:highlight w:val="none"/>
              </w:rPr>
              <w:t>年</w:t>
            </w:r>
            <w:r>
              <w:rPr>
                <w:rFonts w:hint="eastAsia" w:ascii="宋体" w:hAnsi="宋体" w:cs="宋体"/>
                <w:color w:val="auto"/>
                <w:sz w:val="24"/>
                <w:szCs w:val="24"/>
                <w:highlight w:val="none"/>
              </w:rPr>
              <w:t>，</w:t>
            </w:r>
            <w:r>
              <w:rPr>
                <w:rFonts w:hint="eastAsia" w:ascii="宋体" w:hAnsi="宋体" w:cs="宋体"/>
                <w:color w:val="auto"/>
                <w:sz w:val="24"/>
                <w:szCs w:val="24"/>
              </w:rPr>
              <w:t>指</w:t>
            </w:r>
            <w:r>
              <w:rPr>
                <w:rFonts w:hint="eastAsia" w:ascii="宋体" w:hAnsi="宋体" w:cs="宋体"/>
                <w:color w:val="auto"/>
                <w:sz w:val="24"/>
                <w:szCs w:val="24"/>
                <w:u w:val="single"/>
              </w:rPr>
              <w:t>2021</w:t>
            </w:r>
            <w:r>
              <w:rPr>
                <w:rFonts w:hint="eastAsia" w:ascii="宋体" w:hAnsi="宋体" w:cs="宋体"/>
                <w:color w:val="auto"/>
                <w:sz w:val="24"/>
                <w:szCs w:val="24"/>
              </w:rPr>
              <w:t>年</w:t>
            </w:r>
            <w:r>
              <w:rPr>
                <w:rFonts w:hint="eastAsia" w:ascii="宋体" w:hAnsi="宋体" w:cs="宋体"/>
                <w:color w:val="auto"/>
                <w:sz w:val="24"/>
                <w:szCs w:val="24"/>
                <w:u w:val="single"/>
              </w:rPr>
              <w:t>1</w:t>
            </w:r>
            <w:r>
              <w:rPr>
                <w:rFonts w:hint="eastAsia" w:ascii="宋体" w:hAnsi="宋体" w:cs="宋体"/>
                <w:color w:val="auto"/>
                <w:sz w:val="24"/>
                <w:szCs w:val="24"/>
              </w:rPr>
              <w:t>月</w:t>
            </w:r>
            <w:r>
              <w:rPr>
                <w:rFonts w:hint="eastAsia" w:ascii="宋体" w:hAnsi="宋体" w:cs="宋体"/>
                <w:color w:val="auto"/>
                <w:sz w:val="24"/>
                <w:szCs w:val="24"/>
                <w:u w:val="single"/>
              </w:rPr>
              <w:t>1</w:t>
            </w:r>
            <w:r>
              <w:rPr>
                <w:rFonts w:hint="eastAsia" w:ascii="宋体" w:hAnsi="宋体" w:cs="宋体"/>
                <w:color w:val="auto"/>
                <w:sz w:val="24"/>
                <w:szCs w:val="24"/>
              </w:rPr>
              <w:t>日以来</w:t>
            </w:r>
          </w:p>
        </w:tc>
      </w:tr>
      <w:tr w14:paraId="6339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4558AFEC">
            <w:pPr>
              <w:jc w:val="center"/>
              <w:rPr>
                <w:rFonts w:ascii="宋体" w:hAnsi="宋体" w:cs="宋体"/>
                <w:sz w:val="24"/>
                <w:szCs w:val="24"/>
                <w:highlight w:val="none"/>
              </w:rPr>
            </w:pPr>
            <w:r>
              <w:rPr>
                <w:rFonts w:hint="eastAsia" w:ascii="宋体" w:hAnsi="宋体" w:cs="宋体"/>
                <w:sz w:val="24"/>
                <w:szCs w:val="24"/>
                <w:highlight w:val="none"/>
              </w:rPr>
              <w:t>3.6</w:t>
            </w:r>
          </w:p>
        </w:tc>
        <w:tc>
          <w:tcPr>
            <w:tcW w:w="1837" w:type="dxa"/>
            <w:gridSpan w:val="2"/>
            <w:tcBorders>
              <w:top w:val="single" w:color="auto" w:sz="4" w:space="0"/>
              <w:left w:val="nil"/>
              <w:bottom w:val="single" w:color="auto" w:sz="4" w:space="0"/>
              <w:right w:val="single" w:color="auto" w:sz="4" w:space="0"/>
            </w:tcBorders>
            <w:noWrap w:val="0"/>
            <w:vAlign w:val="center"/>
          </w:tcPr>
          <w:p w14:paraId="1B6F3E9B">
            <w:pPr>
              <w:jc w:val="center"/>
              <w:rPr>
                <w:rFonts w:ascii="宋体" w:hAnsi="宋体" w:cs="宋体"/>
                <w:sz w:val="24"/>
                <w:szCs w:val="24"/>
                <w:highlight w:val="none"/>
              </w:rPr>
            </w:pPr>
            <w:r>
              <w:rPr>
                <w:rFonts w:hint="eastAsia" w:ascii="宋体" w:hAnsi="宋体" w:cs="宋体"/>
                <w:sz w:val="24"/>
                <w:szCs w:val="24"/>
                <w:highlight w:val="none"/>
              </w:rPr>
              <w:t>是否允许递交备选磋商方案</w:t>
            </w:r>
          </w:p>
        </w:tc>
        <w:tc>
          <w:tcPr>
            <w:tcW w:w="6663" w:type="dxa"/>
            <w:tcBorders>
              <w:top w:val="single" w:color="auto" w:sz="4" w:space="0"/>
              <w:left w:val="nil"/>
              <w:bottom w:val="single" w:color="auto" w:sz="4" w:space="0"/>
              <w:right w:val="single" w:color="auto" w:sz="4" w:space="0"/>
            </w:tcBorders>
            <w:noWrap w:val="0"/>
            <w:vAlign w:val="center"/>
          </w:tcPr>
          <w:p w14:paraId="70AF4F83">
            <w:pPr>
              <w:spacing w:line="288" w:lineRule="auto"/>
              <w:rPr>
                <w:rFonts w:ascii="宋体" w:hAnsi="宋体" w:cs="宋体"/>
                <w:sz w:val="24"/>
                <w:szCs w:val="24"/>
                <w:highlight w:val="none"/>
              </w:rPr>
            </w:pPr>
            <w:r>
              <w:rPr>
                <w:rFonts w:hint="eastAsia" w:ascii="宋体" w:hAnsi="宋体" w:cs="宋体"/>
                <w:sz w:val="24"/>
                <w:szCs w:val="24"/>
                <w:highlight w:val="none"/>
              </w:rPr>
              <w:t>■不允许</w:t>
            </w:r>
          </w:p>
        </w:tc>
      </w:tr>
      <w:tr w14:paraId="15A4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5A970790">
            <w:pPr>
              <w:jc w:val="center"/>
              <w:rPr>
                <w:rFonts w:ascii="宋体" w:hAnsi="宋体" w:cs="宋体"/>
                <w:sz w:val="24"/>
                <w:szCs w:val="24"/>
                <w:highlight w:val="none"/>
              </w:rPr>
            </w:pPr>
            <w:r>
              <w:rPr>
                <w:rFonts w:hint="eastAsia" w:ascii="宋体" w:hAnsi="宋体" w:cs="宋体"/>
                <w:sz w:val="24"/>
                <w:szCs w:val="24"/>
                <w:highlight w:val="none"/>
              </w:rPr>
              <w:t>3.7.3</w:t>
            </w:r>
          </w:p>
        </w:tc>
        <w:tc>
          <w:tcPr>
            <w:tcW w:w="1837" w:type="dxa"/>
            <w:gridSpan w:val="2"/>
            <w:tcBorders>
              <w:top w:val="single" w:color="auto" w:sz="4" w:space="0"/>
              <w:left w:val="nil"/>
              <w:bottom w:val="single" w:color="auto" w:sz="4" w:space="0"/>
              <w:right w:val="single" w:color="auto" w:sz="4" w:space="0"/>
            </w:tcBorders>
            <w:noWrap w:val="0"/>
            <w:vAlign w:val="center"/>
          </w:tcPr>
          <w:p w14:paraId="6C997936">
            <w:pPr>
              <w:jc w:val="center"/>
              <w:rPr>
                <w:rFonts w:ascii="宋体" w:hAnsi="宋体" w:cs="宋体"/>
                <w:sz w:val="24"/>
                <w:szCs w:val="24"/>
                <w:highlight w:val="none"/>
              </w:rPr>
            </w:pPr>
            <w:r>
              <w:rPr>
                <w:rFonts w:hint="eastAsia" w:ascii="宋体" w:hAnsi="宋体" w:cs="宋体"/>
                <w:sz w:val="24"/>
                <w:szCs w:val="24"/>
                <w:highlight w:val="none"/>
              </w:rPr>
              <w:t>签字和（或）盖章要求</w:t>
            </w:r>
          </w:p>
        </w:tc>
        <w:tc>
          <w:tcPr>
            <w:tcW w:w="6663" w:type="dxa"/>
            <w:tcBorders>
              <w:top w:val="single" w:color="auto" w:sz="4" w:space="0"/>
              <w:left w:val="nil"/>
              <w:bottom w:val="single" w:color="auto" w:sz="4" w:space="0"/>
              <w:right w:val="single" w:color="auto" w:sz="4" w:space="0"/>
            </w:tcBorders>
            <w:noWrap w:val="0"/>
            <w:vAlign w:val="center"/>
          </w:tcPr>
          <w:p w14:paraId="3EADE697">
            <w:pPr>
              <w:spacing w:line="400" w:lineRule="exact"/>
              <w:rPr>
                <w:rFonts w:ascii="宋体" w:hAnsi="宋体" w:cs="宋体"/>
                <w:sz w:val="24"/>
                <w:szCs w:val="24"/>
                <w:highlight w:val="none"/>
              </w:rPr>
            </w:pPr>
            <w:r>
              <w:rPr>
                <w:rFonts w:hint="eastAsia" w:ascii="宋体" w:hAnsi="宋体" w:cs="宋体"/>
                <w:sz w:val="24"/>
                <w:szCs w:val="24"/>
                <w:highlight w:val="none"/>
              </w:rPr>
              <w:t>电子化响应文件的签章：</w:t>
            </w:r>
          </w:p>
          <w:p w14:paraId="2C58D18D">
            <w:pPr>
              <w:spacing w:line="400" w:lineRule="exact"/>
              <w:rPr>
                <w:rFonts w:hint="eastAsia" w:ascii="宋体" w:hAnsi="宋体" w:cs="宋体"/>
                <w:sz w:val="24"/>
                <w:szCs w:val="24"/>
                <w:highlight w:val="none"/>
              </w:rPr>
            </w:pPr>
            <w:r>
              <w:rPr>
                <w:rFonts w:hint="eastAsia" w:ascii="宋体" w:hAnsi="宋体" w:cs="宋体"/>
                <w:sz w:val="24"/>
                <w:szCs w:val="24"/>
                <w:highlight w:val="none"/>
              </w:rPr>
              <w:t>1、响应人在生成电子化响应文件后，应对电子化响应文件进行签章，未对电子化响应文件进行签章的视为无效投标。</w:t>
            </w:r>
          </w:p>
          <w:p w14:paraId="4E50E2B6">
            <w:pPr>
              <w:spacing w:line="400" w:lineRule="exact"/>
              <w:rPr>
                <w:rFonts w:hint="eastAsia" w:ascii="宋体" w:hAnsi="宋体" w:cs="宋体"/>
                <w:sz w:val="24"/>
                <w:szCs w:val="24"/>
                <w:highlight w:val="none"/>
              </w:rPr>
            </w:pPr>
            <w:r>
              <w:rPr>
                <w:rFonts w:hint="eastAsia" w:ascii="宋体" w:hAnsi="宋体" w:cs="宋体"/>
                <w:sz w:val="24"/>
                <w:szCs w:val="24"/>
                <w:highlight w:val="none"/>
              </w:rPr>
              <w:t>2、竞争性磋商文件中要求法定代表人或授权委托人盖章的，响应人在进行电子化响应文件签章时，以签盖法定代表人签章为准。</w:t>
            </w:r>
          </w:p>
          <w:p w14:paraId="1C6BEB90">
            <w:pPr>
              <w:spacing w:line="400" w:lineRule="exact"/>
              <w:jc w:val="left"/>
              <w:rPr>
                <w:rFonts w:ascii="宋体" w:hAnsi="宋体" w:cs="宋体"/>
                <w:sz w:val="24"/>
                <w:szCs w:val="24"/>
                <w:highlight w:val="none"/>
              </w:rPr>
            </w:pPr>
            <w:r>
              <w:rPr>
                <w:rFonts w:hint="eastAsia" w:ascii="宋体" w:hAnsi="宋体" w:cs="宋体"/>
                <w:sz w:val="24"/>
                <w:szCs w:val="24"/>
                <w:highlight w:val="none"/>
              </w:rPr>
              <w:t>3、电子化响应文件工具请点击</w:t>
            </w:r>
            <w:r>
              <w:rPr>
                <w:rFonts w:ascii="宋体" w:hAnsi="宋体" w:cs="宋体"/>
                <w:color w:val="auto"/>
                <w:sz w:val="24"/>
                <w:szCs w:val="24"/>
                <w:highlight w:val="none"/>
              </w:rPr>
              <w:t>https://download.bqpoint.com/download/downloaddetail.html?SourceFrom=Ztb&amp;ZtbSoftXiaQuCode=1532&amp;ZtbSoftType=tballinclusive</w:t>
            </w:r>
            <w:r>
              <w:rPr>
                <w:rFonts w:hint="eastAsia" w:ascii="宋体" w:hAnsi="宋体" w:cs="宋体"/>
                <w:sz w:val="24"/>
                <w:szCs w:val="24"/>
                <w:highlight w:val="none"/>
              </w:rPr>
              <w:t>进行下载。</w:t>
            </w:r>
          </w:p>
        </w:tc>
      </w:tr>
      <w:tr w14:paraId="6049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421D236">
            <w:pPr>
              <w:jc w:val="center"/>
              <w:rPr>
                <w:rFonts w:ascii="宋体" w:hAnsi="宋体" w:cs="宋体"/>
                <w:sz w:val="24"/>
                <w:szCs w:val="24"/>
                <w:highlight w:val="none"/>
              </w:rPr>
            </w:pPr>
            <w:r>
              <w:rPr>
                <w:rFonts w:hint="eastAsia" w:ascii="宋体" w:hAnsi="宋体" w:cs="宋体"/>
                <w:sz w:val="24"/>
                <w:szCs w:val="24"/>
                <w:highlight w:val="none"/>
              </w:rPr>
              <w:t>3.7.4</w:t>
            </w:r>
          </w:p>
        </w:tc>
        <w:tc>
          <w:tcPr>
            <w:tcW w:w="1837" w:type="dxa"/>
            <w:gridSpan w:val="2"/>
            <w:tcBorders>
              <w:top w:val="single" w:color="auto" w:sz="4" w:space="0"/>
              <w:left w:val="nil"/>
              <w:bottom w:val="single" w:color="auto" w:sz="4" w:space="0"/>
              <w:right w:val="single" w:color="auto" w:sz="4" w:space="0"/>
            </w:tcBorders>
            <w:noWrap w:val="0"/>
            <w:vAlign w:val="center"/>
          </w:tcPr>
          <w:p w14:paraId="67C92162">
            <w:pPr>
              <w:jc w:val="center"/>
              <w:rPr>
                <w:rFonts w:ascii="宋体" w:hAnsi="宋体" w:cs="宋体"/>
                <w:sz w:val="24"/>
                <w:szCs w:val="24"/>
                <w:highlight w:val="none"/>
              </w:rPr>
            </w:pPr>
            <w:r>
              <w:rPr>
                <w:rFonts w:hint="eastAsia" w:ascii="宋体" w:hAnsi="宋体" w:cs="宋体"/>
                <w:sz w:val="24"/>
                <w:szCs w:val="24"/>
                <w:highlight w:val="none"/>
              </w:rPr>
              <w:t>响应文件</w:t>
            </w:r>
          </w:p>
        </w:tc>
        <w:tc>
          <w:tcPr>
            <w:tcW w:w="6663" w:type="dxa"/>
            <w:tcBorders>
              <w:top w:val="single" w:color="auto" w:sz="4" w:space="0"/>
              <w:left w:val="nil"/>
              <w:bottom w:val="single" w:color="auto" w:sz="4" w:space="0"/>
              <w:right w:val="single" w:color="auto" w:sz="4" w:space="0"/>
            </w:tcBorders>
            <w:noWrap w:val="0"/>
            <w:vAlign w:val="center"/>
          </w:tcPr>
          <w:p w14:paraId="7C797E91">
            <w:pPr>
              <w:spacing w:line="400" w:lineRule="exact"/>
              <w:jc w:val="left"/>
              <w:rPr>
                <w:rFonts w:ascii="宋体" w:hAnsi="宋体" w:cs="宋体"/>
                <w:sz w:val="24"/>
                <w:szCs w:val="24"/>
                <w:highlight w:val="none"/>
              </w:rPr>
            </w:pPr>
            <w:r>
              <w:rPr>
                <w:rFonts w:hint="eastAsia" w:ascii="宋体" w:hAnsi="宋体" w:cs="宋体"/>
                <w:sz w:val="24"/>
                <w:szCs w:val="24"/>
                <w:highlight w:val="none"/>
              </w:rPr>
              <w:t>用CA在电子平台上传电子响应文件，在磋商截止时间前成功上传至三门峡市公共资源电子化交易系统。本项目为电子化、无纸化交易项目</w:t>
            </w:r>
          </w:p>
        </w:tc>
      </w:tr>
      <w:tr w14:paraId="33C1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67055357">
            <w:pPr>
              <w:jc w:val="center"/>
              <w:rPr>
                <w:rFonts w:ascii="宋体" w:hAnsi="宋体" w:cs="宋体"/>
                <w:sz w:val="24"/>
                <w:szCs w:val="24"/>
                <w:highlight w:val="none"/>
              </w:rPr>
            </w:pPr>
            <w:r>
              <w:rPr>
                <w:rFonts w:hint="eastAsia" w:ascii="宋体" w:hAnsi="宋体" w:cs="宋体"/>
                <w:sz w:val="24"/>
                <w:szCs w:val="24"/>
                <w:highlight w:val="none"/>
              </w:rPr>
              <w:t>4.2.2</w:t>
            </w:r>
          </w:p>
        </w:tc>
        <w:tc>
          <w:tcPr>
            <w:tcW w:w="1837" w:type="dxa"/>
            <w:gridSpan w:val="2"/>
            <w:tcBorders>
              <w:top w:val="single" w:color="auto" w:sz="4" w:space="0"/>
              <w:left w:val="nil"/>
              <w:bottom w:val="single" w:color="auto" w:sz="4" w:space="0"/>
              <w:right w:val="single" w:color="auto" w:sz="4" w:space="0"/>
            </w:tcBorders>
            <w:noWrap w:val="0"/>
            <w:vAlign w:val="center"/>
          </w:tcPr>
          <w:p w14:paraId="0DCF1A38">
            <w:pPr>
              <w:jc w:val="center"/>
              <w:rPr>
                <w:rFonts w:ascii="宋体" w:hAnsi="宋体" w:cs="宋体"/>
                <w:sz w:val="24"/>
                <w:szCs w:val="24"/>
                <w:highlight w:val="none"/>
              </w:rPr>
            </w:pPr>
            <w:r>
              <w:rPr>
                <w:rFonts w:hint="eastAsia" w:ascii="宋体" w:hAnsi="宋体" w:cs="宋体"/>
                <w:sz w:val="24"/>
                <w:szCs w:val="24"/>
                <w:highlight w:val="none"/>
              </w:rPr>
              <w:t>递交响应文件地点</w:t>
            </w:r>
          </w:p>
        </w:tc>
        <w:tc>
          <w:tcPr>
            <w:tcW w:w="6663" w:type="dxa"/>
            <w:tcBorders>
              <w:top w:val="single" w:color="auto" w:sz="4" w:space="0"/>
              <w:left w:val="nil"/>
              <w:bottom w:val="single" w:color="auto" w:sz="4" w:space="0"/>
              <w:right w:val="single" w:color="auto" w:sz="4" w:space="0"/>
            </w:tcBorders>
            <w:noWrap w:val="0"/>
            <w:vAlign w:val="center"/>
          </w:tcPr>
          <w:p w14:paraId="61C9B005">
            <w:pPr>
              <w:spacing w:before="180" w:beforeLines="50" w:line="288"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三门峡市陕州区公共资源交易中心四楼开标室</w:t>
            </w:r>
          </w:p>
        </w:tc>
      </w:tr>
      <w:tr w14:paraId="1FA3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04E66765">
            <w:pPr>
              <w:jc w:val="center"/>
              <w:rPr>
                <w:rFonts w:ascii="宋体" w:hAnsi="宋体" w:cs="宋体"/>
                <w:sz w:val="24"/>
                <w:szCs w:val="24"/>
                <w:highlight w:val="none"/>
              </w:rPr>
            </w:pPr>
            <w:r>
              <w:rPr>
                <w:rFonts w:hint="eastAsia" w:ascii="宋体" w:hAnsi="宋体" w:cs="宋体"/>
                <w:sz w:val="24"/>
                <w:szCs w:val="24"/>
                <w:highlight w:val="none"/>
              </w:rPr>
              <w:t>4.2.3</w:t>
            </w:r>
          </w:p>
        </w:tc>
        <w:tc>
          <w:tcPr>
            <w:tcW w:w="1837" w:type="dxa"/>
            <w:gridSpan w:val="2"/>
            <w:tcBorders>
              <w:top w:val="single" w:color="auto" w:sz="4" w:space="0"/>
              <w:left w:val="nil"/>
              <w:bottom w:val="single" w:color="auto" w:sz="4" w:space="0"/>
              <w:right w:val="single" w:color="auto" w:sz="4" w:space="0"/>
            </w:tcBorders>
            <w:noWrap w:val="0"/>
            <w:vAlign w:val="center"/>
          </w:tcPr>
          <w:p w14:paraId="1AFC144E">
            <w:pPr>
              <w:jc w:val="center"/>
              <w:rPr>
                <w:rFonts w:ascii="宋体" w:hAnsi="宋体" w:cs="宋体"/>
                <w:sz w:val="24"/>
                <w:szCs w:val="24"/>
                <w:highlight w:val="none"/>
              </w:rPr>
            </w:pPr>
            <w:r>
              <w:rPr>
                <w:rFonts w:hint="eastAsia" w:ascii="宋体" w:hAnsi="宋体" w:cs="宋体"/>
                <w:sz w:val="24"/>
                <w:szCs w:val="24"/>
                <w:highlight w:val="none"/>
              </w:rPr>
              <w:t>是否退还响应文件</w:t>
            </w:r>
          </w:p>
        </w:tc>
        <w:tc>
          <w:tcPr>
            <w:tcW w:w="6663" w:type="dxa"/>
            <w:tcBorders>
              <w:top w:val="single" w:color="auto" w:sz="4" w:space="0"/>
              <w:left w:val="nil"/>
              <w:bottom w:val="single" w:color="auto" w:sz="4" w:space="0"/>
              <w:right w:val="single" w:color="auto" w:sz="4" w:space="0"/>
            </w:tcBorders>
            <w:noWrap w:val="0"/>
            <w:vAlign w:val="center"/>
          </w:tcPr>
          <w:p w14:paraId="58D7A856">
            <w:pPr>
              <w:spacing w:line="288" w:lineRule="auto"/>
              <w:rPr>
                <w:rFonts w:ascii="宋体" w:hAnsi="宋体" w:cs="宋体"/>
                <w:sz w:val="24"/>
                <w:szCs w:val="24"/>
                <w:highlight w:val="none"/>
              </w:rPr>
            </w:pPr>
            <w:r>
              <w:rPr>
                <w:rFonts w:hint="eastAsia" w:ascii="宋体" w:hAnsi="宋体" w:cs="宋体"/>
                <w:sz w:val="24"/>
                <w:szCs w:val="24"/>
                <w:highlight w:val="none"/>
              </w:rPr>
              <w:t>否</w:t>
            </w:r>
          </w:p>
        </w:tc>
      </w:tr>
      <w:tr w14:paraId="4660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4A0BD210">
            <w:pPr>
              <w:jc w:val="center"/>
              <w:rPr>
                <w:rFonts w:ascii="宋体" w:hAnsi="宋体" w:cs="宋体"/>
                <w:sz w:val="24"/>
                <w:szCs w:val="24"/>
                <w:highlight w:val="none"/>
              </w:rPr>
            </w:pPr>
            <w:r>
              <w:rPr>
                <w:rFonts w:hint="eastAsia" w:ascii="宋体" w:hAnsi="宋体" w:cs="宋体"/>
                <w:sz w:val="24"/>
                <w:szCs w:val="24"/>
                <w:highlight w:val="none"/>
              </w:rPr>
              <w:t>5.1</w:t>
            </w:r>
          </w:p>
        </w:tc>
        <w:tc>
          <w:tcPr>
            <w:tcW w:w="1837" w:type="dxa"/>
            <w:gridSpan w:val="2"/>
            <w:tcBorders>
              <w:top w:val="single" w:color="auto" w:sz="4" w:space="0"/>
              <w:left w:val="nil"/>
              <w:bottom w:val="single" w:color="auto" w:sz="4" w:space="0"/>
              <w:right w:val="single" w:color="auto" w:sz="4" w:space="0"/>
            </w:tcBorders>
            <w:noWrap w:val="0"/>
            <w:vAlign w:val="center"/>
          </w:tcPr>
          <w:p w14:paraId="44BCBF2E">
            <w:pPr>
              <w:jc w:val="center"/>
              <w:rPr>
                <w:rFonts w:ascii="宋体" w:hAnsi="宋体" w:cs="宋体"/>
                <w:color w:val="auto"/>
                <w:sz w:val="24"/>
                <w:szCs w:val="24"/>
                <w:highlight w:val="none"/>
              </w:rPr>
            </w:pPr>
            <w:r>
              <w:rPr>
                <w:rFonts w:hint="eastAsia" w:ascii="宋体" w:hAnsi="宋体" w:cs="宋体"/>
                <w:color w:val="auto"/>
                <w:sz w:val="24"/>
                <w:szCs w:val="24"/>
                <w:highlight w:val="none"/>
              </w:rPr>
              <w:t>磋商时间和</w:t>
            </w:r>
          </w:p>
          <w:p w14:paraId="330B950F">
            <w:pPr>
              <w:jc w:val="center"/>
              <w:rPr>
                <w:rFonts w:ascii="宋体" w:hAnsi="宋体" w:cs="宋体"/>
                <w:color w:val="auto"/>
                <w:sz w:val="24"/>
                <w:szCs w:val="24"/>
                <w:highlight w:val="none"/>
              </w:rPr>
            </w:pPr>
            <w:r>
              <w:rPr>
                <w:rFonts w:hint="eastAsia" w:ascii="宋体" w:hAnsi="宋体" w:cs="宋体"/>
                <w:color w:val="auto"/>
                <w:sz w:val="24"/>
                <w:szCs w:val="24"/>
                <w:highlight w:val="none"/>
              </w:rPr>
              <w:t>地点</w:t>
            </w:r>
          </w:p>
        </w:tc>
        <w:tc>
          <w:tcPr>
            <w:tcW w:w="6663" w:type="dxa"/>
            <w:tcBorders>
              <w:top w:val="single" w:color="auto" w:sz="4" w:space="0"/>
              <w:left w:val="nil"/>
              <w:bottom w:val="single" w:color="auto" w:sz="4" w:space="0"/>
              <w:right w:val="single" w:color="auto" w:sz="4" w:space="0"/>
            </w:tcBorders>
            <w:noWrap w:val="0"/>
            <w:vAlign w:val="center"/>
          </w:tcPr>
          <w:p w14:paraId="0321B25B">
            <w:pPr>
              <w:spacing w:line="400" w:lineRule="exact"/>
              <w:rPr>
                <w:rFonts w:hint="eastAsia" w:ascii="宋体" w:hAnsi="宋体" w:cs="宋体"/>
                <w:color w:val="FF0000"/>
                <w:sz w:val="24"/>
                <w:szCs w:val="24"/>
                <w:highlight w:val="none"/>
                <w:lang w:eastAsia="zh-CN"/>
              </w:rPr>
            </w:pPr>
            <w:r>
              <w:rPr>
                <w:rFonts w:hint="eastAsia" w:ascii="宋体" w:hAnsi="宋体" w:cs="宋体"/>
                <w:color w:val="auto"/>
                <w:sz w:val="24"/>
                <w:szCs w:val="24"/>
                <w:highlight w:val="none"/>
              </w:rPr>
              <w:t>磋商时间：</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lang w:eastAsia="zh-CN"/>
              </w:rPr>
              <w:t>日08时</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lang w:eastAsia="zh-CN"/>
              </w:rPr>
              <w:t>分</w:t>
            </w:r>
          </w:p>
          <w:p w14:paraId="7E2E3B71">
            <w:pPr>
              <w:spacing w:line="40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磋商地点：</w:t>
            </w:r>
            <w:r>
              <w:rPr>
                <w:rFonts w:hint="eastAsia" w:ascii="宋体" w:hAnsi="宋体" w:cs="宋体"/>
                <w:color w:val="auto"/>
                <w:sz w:val="24"/>
                <w:szCs w:val="24"/>
                <w:highlight w:val="none"/>
                <w:lang w:eastAsia="zh-CN"/>
              </w:rPr>
              <w:t>三门峡市陕州区公共资源交易中心四楼开标室</w:t>
            </w:r>
          </w:p>
        </w:tc>
      </w:tr>
      <w:tr w14:paraId="3233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6CD7DBBF">
            <w:pPr>
              <w:jc w:val="center"/>
              <w:rPr>
                <w:rFonts w:ascii="宋体" w:hAnsi="宋体" w:cs="宋体"/>
                <w:sz w:val="24"/>
                <w:szCs w:val="24"/>
                <w:highlight w:val="none"/>
              </w:rPr>
            </w:pPr>
            <w:r>
              <w:rPr>
                <w:rFonts w:hint="eastAsia" w:ascii="宋体" w:hAnsi="宋体" w:cs="宋体"/>
                <w:sz w:val="24"/>
                <w:szCs w:val="24"/>
                <w:highlight w:val="none"/>
              </w:rPr>
              <w:t>5.2</w:t>
            </w:r>
          </w:p>
        </w:tc>
        <w:tc>
          <w:tcPr>
            <w:tcW w:w="1837" w:type="dxa"/>
            <w:gridSpan w:val="2"/>
            <w:tcBorders>
              <w:top w:val="single" w:color="auto" w:sz="4" w:space="0"/>
              <w:left w:val="nil"/>
              <w:bottom w:val="single" w:color="auto" w:sz="4" w:space="0"/>
              <w:right w:val="single" w:color="auto" w:sz="4" w:space="0"/>
            </w:tcBorders>
            <w:noWrap w:val="0"/>
            <w:vAlign w:val="center"/>
          </w:tcPr>
          <w:p w14:paraId="51A97D05">
            <w:pPr>
              <w:jc w:val="center"/>
              <w:rPr>
                <w:rFonts w:ascii="宋体" w:hAnsi="宋体" w:cs="宋体"/>
                <w:sz w:val="24"/>
                <w:szCs w:val="24"/>
                <w:highlight w:val="none"/>
              </w:rPr>
            </w:pPr>
            <w:r>
              <w:rPr>
                <w:rFonts w:hint="eastAsia" w:ascii="宋体" w:hAnsi="宋体" w:cs="宋体"/>
                <w:sz w:val="24"/>
                <w:szCs w:val="24"/>
                <w:highlight w:val="none"/>
              </w:rPr>
              <w:t>开标顺序</w:t>
            </w:r>
          </w:p>
        </w:tc>
        <w:tc>
          <w:tcPr>
            <w:tcW w:w="6663" w:type="dxa"/>
            <w:tcBorders>
              <w:top w:val="single" w:color="auto" w:sz="4" w:space="0"/>
              <w:left w:val="nil"/>
              <w:bottom w:val="single" w:color="auto" w:sz="4" w:space="0"/>
              <w:right w:val="single" w:color="auto" w:sz="4" w:space="0"/>
            </w:tcBorders>
            <w:noWrap w:val="0"/>
            <w:vAlign w:val="center"/>
          </w:tcPr>
          <w:p w14:paraId="23572A79">
            <w:pPr>
              <w:jc w:val="left"/>
              <w:rPr>
                <w:rFonts w:ascii="宋体" w:hAnsi="宋体" w:cs="宋体"/>
                <w:sz w:val="24"/>
                <w:szCs w:val="24"/>
                <w:highlight w:val="none"/>
              </w:rPr>
            </w:pPr>
            <w:r>
              <w:rPr>
                <w:rFonts w:hint="eastAsia" w:ascii="宋体" w:hAnsi="宋体" w:cs="宋体"/>
                <w:sz w:val="24"/>
                <w:szCs w:val="24"/>
                <w:highlight w:val="none"/>
              </w:rPr>
              <w:t>按电子响应文件上传的顺序开标</w:t>
            </w:r>
          </w:p>
        </w:tc>
      </w:tr>
      <w:tr w14:paraId="5215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32C547DE">
            <w:pPr>
              <w:jc w:val="center"/>
              <w:rPr>
                <w:rFonts w:ascii="宋体" w:hAnsi="宋体" w:cs="宋体"/>
                <w:sz w:val="24"/>
                <w:szCs w:val="24"/>
                <w:highlight w:val="none"/>
              </w:rPr>
            </w:pPr>
            <w:r>
              <w:rPr>
                <w:rFonts w:hint="eastAsia" w:ascii="宋体" w:hAnsi="宋体" w:cs="宋体"/>
                <w:sz w:val="24"/>
                <w:szCs w:val="24"/>
                <w:highlight w:val="none"/>
              </w:rPr>
              <w:t>6.1.1</w:t>
            </w:r>
          </w:p>
        </w:tc>
        <w:tc>
          <w:tcPr>
            <w:tcW w:w="1837" w:type="dxa"/>
            <w:gridSpan w:val="2"/>
            <w:tcBorders>
              <w:top w:val="single" w:color="auto" w:sz="4" w:space="0"/>
              <w:left w:val="nil"/>
              <w:bottom w:val="single" w:color="auto" w:sz="4" w:space="0"/>
              <w:right w:val="single" w:color="auto" w:sz="4" w:space="0"/>
            </w:tcBorders>
            <w:noWrap w:val="0"/>
            <w:vAlign w:val="center"/>
          </w:tcPr>
          <w:p w14:paraId="4E1282BF">
            <w:pPr>
              <w:jc w:val="center"/>
              <w:rPr>
                <w:rFonts w:ascii="宋体" w:hAnsi="宋体" w:cs="宋体"/>
                <w:sz w:val="24"/>
                <w:szCs w:val="24"/>
                <w:highlight w:val="none"/>
              </w:rPr>
            </w:pPr>
            <w:r>
              <w:rPr>
                <w:rFonts w:hint="eastAsia" w:ascii="宋体" w:hAnsi="宋体" w:cs="宋体"/>
                <w:sz w:val="24"/>
                <w:szCs w:val="24"/>
                <w:highlight w:val="none"/>
              </w:rPr>
              <w:t>磋商小组的组建</w:t>
            </w:r>
          </w:p>
        </w:tc>
        <w:tc>
          <w:tcPr>
            <w:tcW w:w="6663" w:type="dxa"/>
            <w:tcBorders>
              <w:top w:val="single" w:color="auto" w:sz="4" w:space="0"/>
              <w:left w:val="nil"/>
              <w:bottom w:val="single" w:color="auto" w:sz="4" w:space="0"/>
              <w:right w:val="single" w:color="auto" w:sz="4" w:space="0"/>
            </w:tcBorders>
            <w:noWrap w:val="0"/>
            <w:vAlign w:val="center"/>
          </w:tcPr>
          <w:p w14:paraId="2DC49ED5">
            <w:pPr>
              <w:spacing w:line="400" w:lineRule="exact"/>
              <w:rPr>
                <w:rFonts w:ascii="宋体" w:hAnsi="宋体" w:cs="宋体"/>
                <w:sz w:val="24"/>
                <w:szCs w:val="24"/>
                <w:highlight w:val="none"/>
              </w:rPr>
            </w:pPr>
            <w:r>
              <w:rPr>
                <w:rFonts w:hint="eastAsia" w:ascii="宋体" w:hAnsi="宋体" w:cs="宋体"/>
                <w:sz w:val="24"/>
                <w:szCs w:val="24"/>
                <w:highlight w:val="none"/>
              </w:rPr>
              <w:t>磋商小组构成：3人</w:t>
            </w:r>
            <w:r>
              <w:rPr>
                <w:rFonts w:hint="eastAsia" w:ascii="宋体" w:hAnsi="宋体" w:cs="宋体"/>
                <w:sz w:val="24"/>
                <w:szCs w:val="24"/>
                <w:highlight w:val="none"/>
                <w:lang w:eastAsia="zh-CN"/>
              </w:rPr>
              <w:t>，</w:t>
            </w:r>
            <w:r>
              <w:rPr>
                <w:rFonts w:hint="eastAsia" w:ascii="宋体" w:hAnsi="宋体" w:cs="宋体"/>
                <w:color w:val="auto"/>
                <w:sz w:val="24"/>
                <w:szCs w:val="24"/>
                <w:highlight w:val="none"/>
              </w:rPr>
              <w:t>其中</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代表</w:t>
            </w:r>
            <w:r>
              <w:rPr>
                <w:rFonts w:hint="eastAsia" w:ascii="宋体" w:hAnsi="宋体" w:cs="宋体"/>
                <w:color w:val="auto"/>
                <w:sz w:val="24"/>
                <w:szCs w:val="24"/>
                <w:highlight w:val="none"/>
                <w:u w:val="single"/>
              </w:rPr>
              <w:t xml:space="preserve"> 1</w:t>
            </w:r>
            <w:r>
              <w:rPr>
                <w:rFonts w:hint="eastAsia" w:ascii="宋体" w:hAnsi="宋体" w:cs="宋体"/>
                <w:color w:val="auto"/>
                <w:sz w:val="24"/>
                <w:szCs w:val="24"/>
                <w:highlight w:val="none"/>
              </w:rPr>
              <w:t>人，专</w:t>
            </w:r>
            <w:r>
              <w:rPr>
                <w:rFonts w:hint="eastAsia" w:ascii="宋体" w:hAnsi="宋体" w:cs="宋体"/>
                <w:sz w:val="24"/>
                <w:szCs w:val="24"/>
                <w:highlight w:val="none"/>
              </w:rPr>
              <w:t>家</w:t>
            </w:r>
            <w:r>
              <w:rPr>
                <w:rFonts w:hint="eastAsia" w:ascii="宋体" w:hAnsi="宋体" w:cs="宋体"/>
                <w:sz w:val="24"/>
                <w:szCs w:val="24"/>
                <w:highlight w:val="none"/>
                <w:u w:val="single"/>
              </w:rPr>
              <w:t>2</w:t>
            </w:r>
            <w:r>
              <w:rPr>
                <w:rFonts w:hint="eastAsia" w:ascii="宋体" w:hAnsi="宋体" w:cs="宋体"/>
                <w:sz w:val="24"/>
                <w:szCs w:val="24"/>
                <w:highlight w:val="none"/>
              </w:rPr>
              <w:t>人；</w:t>
            </w:r>
          </w:p>
          <w:p w14:paraId="71E0CA1E">
            <w:pPr>
              <w:spacing w:line="400" w:lineRule="exact"/>
              <w:rPr>
                <w:rFonts w:ascii="宋体" w:hAnsi="宋体" w:cs="宋体"/>
                <w:sz w:val="24"/>
                <w:szCs w:val="24"/>
                <w:highlight w:val="none"/>
              </w:rPr>
            </w:pPr>
            <w:r>
              <w:rPr>
                <w:rFonts w:hint="eastAsia" w:ascii="宋体" w:hAnsi="宋体" w:cs="宋体"/>
                <w:sz w:val="24"/>
                <w:szCs w:val="24"/>
                <w:highlight w:val="none"/>
              </w:rPr>
              <w:t>2名专家确定方式：通过相关专家库随机抽取。</w:t>
            </w:r>
          </w:p>
        </w:tc>
      </w:tr>
      <w:tr w14:paraId="2745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731A3985">
            <w:pPr>
              <w:jc w:val="center"/>
              <w:rPr>
                <w:rFonts w:ascii="宋体" w:hAnsi="宋体" w:cs="宋体"/>
                <w:sz w:val="24"/>
                <w:szCs w:val="24"/>
                <w:highlight w:val="none"/>
              </w:rPr>
            </w:pPr>
            <w:r>
              <w:rPr>
                <w:rFonts w:hint="eastAsia" w:ascii="宋体" w:hAnsi="宋体" w:cs="宋体"/>
                <w:sz w:val="24"/>
                <w:szCs w:val="24"/>
                <w:highlight w:val="none"/>
              </w:rPr>
              <w:t>7.1</w:t>
            </w:r>
          </w:p>
        </w:tc>
        <w:tc>
          <w:tcPr>
            <w:tcW w:w="1837" w:type="dxa"/>
            <w:gridSpan w:val="2"/>
            <w:tcBorders>
              <w:top w:val="single" w:color="auto" w:sz="4" w:space="0"/>
              <w:left w:val="nil"/>
              <w:bottom w:val="single" w:color="auto" w:sz="4" w:space="0"/>
              <w:right w:val="single" w:color="auto" w:sz="4" w:space="0"/>
            </w:tcBorders>
            <w:noWrap w:val="0"/>
            <w:vAlign w:val="center"/>
          </w:tcPr>
          <w:p w14:paraId="3787B29F">
            <w:pPr>
              <w:jc w:val="center"/>
              <w:rPr>
                <w:rFonts w:ascii="宋体" w:hAnsi="宋体" w:cs="宋体"/>
                <w:sz w:val="24"/>
                <w:szCs w:val="24"/>
                <w:highlight w:val="none"/>
              </w:rPr>
            </w:pPr>
            <w:r>
              <w:rPr>
                <w:rFonts w:hint="eastAsia" w:ascii="宋体" w:hAnsi="宋体" w:cs="宋体"/>
                <w:sz w:val="24"/>
                <w:szCs w:val="24"/>
                <w:highlight w:val="none"/>
              </w:rPr>
              <w:t>是否授权评标委员会确定</w:t>
            </w:r>
          </w:p>
          <w:p w14:paraId="1EC45A1A">
            <w:pPr>
              <w:jc w:val="center"/>
              <w:rPr>
                <w:rFonts w:ascii="宋体" w:hAnsi="宋体" w:cs="宋体"/>
                <w:sz w:val="24"/>
                <w:szCs w:val="24"/>
                <w:highlight w:val="none"/>
              </w:rPr>
            </w:pPr>
            <w:r>
              <w:rPr>
                <w:rFonts w:hint="eastAsia" w:ascii="宋体" w:hAnsi="宋体" w:cs="宋体"/>
                <w:sz w:val="24"/>
                <w:szCs w:val="24"/>
                <w:highlight w:val="none"/>
              </w:rPr>
              <w:t>中标人</w:t>
            </w:r>
          </w:p>
        </w:tc>
        <w:tc>
          <w:tcPr>
            <w:tcW w:w="6663" w:type="dxa"/>
            <w:tcBorders>
              <w:top w:val="single" w:color="auto" w:sz="4" w:space="0"/>
              <w:left w:val="nil"/>
              <w:bottom w:val="single" w:color="auto" w:sz="4" w:space="0"/>
              <w:right w:val="single" w:color="auto" w:sz="4" w:space="0"/>
            </w:tcBorders>
            <w:noWrap w:val="0"/>
            <w:vAlign w:val="center"/>
          </w:tcPr>
          <w:p w14:paraId="06829D5B">
            <w:pPr>
              <w:spacing w:line="288" w:lineRule="auto"/>
              <w:rPr>
                <w:rFonts w:ascii="宋体" w:hAnsi="宋体" w:cs="宋体"/>
                <w:sz w:val="24"/>
                <w:szCs w:val="24"/>
                <w:highlight w:val="none"/>
              </w:rPr>
            </w:pPr>
            <w:r>
              <w:rPr>
                <w:rFonts w:hint="eastAsia" w:ascii="宋体" w:hAnsi="宋体" w:cs="宋体"/>
                <w:sz w:val="24"/>
                <w:szCs w:val="24"/>
                <w:highlight w:val="none"/>
              </w:rPr>
              <w:t>否，按顺序推荐的成交候选人数：</w:t>
            </w:r>
            <w:r>
              <w:rPr>
                <w:rFonts w:hint="eastAsia" w:ascii="宋体" w:hAnsi="宋体" w:cs="宋体"/>
                <w:sz w:val="24"/>
                <w:szCs w:val="24"/>
                <w:highlight w:val="none"/>
                <w:u w:val="single"/>
              </w:rPr>
              <w:t>3名</w:t>
            </w:r>
          </w:p>
        </w:tc>
      </w:tr>
      <w:tr w14:paraId="2ACC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77C0AA65">
            <w:pPr>
              <w:jc w:val="center"/>
              <w:rPr>
                <w:rFonts w:hint="eastAsia" w:ascii="宋体" w:hAnsi="宋体" w:cs="宋体"/>
                <w:sz w:val="24"/>
                <w:szCs w:val="24"/>
                <w:highlight w:val="none"/>
              </w:rPr>
            </w:pPr>
            <w:r>
              <w:rPr>
                <w:rFonts w:hint="eastAsia" w:ascii="宋体" w:hAnsi="宋体" w:cs="宋体"/>
                <w:sz w:val="24"/>
                <w:szCs w:val="24"/>
                <w:highlight w:val="none"/>
              </w:rPr>
              <w:t>7.2</w:t>
            </w:r>
          </w:p>
        </w:tc>
        <w:tc>
          <w:tcPr>
            <w:tcW w:w="1837" w:type="dxa"/>
            <w:gridSpan w:val="2"/>
            <w:tcBorders>
              <w:top w:val="single" w:color="auto" w:sz="4" w:space="0"/>
              <w:left w:val="nil"/>
              <w:bottom w:val="single" w:color="auto" w:sz="4" w:space="0"/>
              <w:right w:val="single" w:color="auto" w:sz="4" w:space="0"/>
            </w:tcBorders>
            <w:noWrap w:val="0"/>
            <w:vAlign w:val="center"/>
          </w:tcPr>
          <w:p w14:paraId="6463D1C1">
            <w:pPr>
              <w:spacing w:line="360" w:lineRule="auto"/>
              <w:jc w:val="center"/>
              <w:rPr>
                <w:rFonts w:ascii="宋体" w:hAnsi="宋体"/>
                <w:sz w:val="24"/>
                <w:highlight w:val="none"/>
              </w:rPr>
            </w:pPr>
            <w:r>
              <w:rPr>
                <w:rFonts w:hint="eastAsia" w:ascii="宋体" w:hAnsi="宋体"/>
                <w:sz w:val="24"/>
                <w:highlight w:val="none"/>
              </w:rPr>
              <w:t>磋商保证金</w:t>
            </w:r>
          </w:p>
        </w:tc>
        <w:tc>
          <w:tcPr>
            <w:tcW w:w="6663" w:type="dxa"/>
            <w:tcBorders>
              <w:top w:val="single" w:color="auto" w:sz="4" w:space="0"/>
              <w:left w:val="nil"/>
              <w:bottom w:val="single" w:color="auto" w:sz="4" w:space="0"/>
              <w:right w:val="single" w:color="auto" w:sz="4" w:space="0"/>
            </w:tcBorders>
            <w:noWrap w:val="0"/>
            <w:vAlign w:val="center"/>
          </w:tcPr>
          <w:p w14:paraId="728D41AF">
            <w:pPr>
              <w:spacing w:line="400" w:lineRule="exact"/>
              <w:rPr>
                <w:rFonts w:ascii="宋体" w:hAnsi="宋体"/>
                <w:sz w:val="24"/>
                <w:highlight w:val="none"/>
              </w:rPr>
            </w:pPr>
            <w:r>
              <w:rPr>
                <w:rFonts w:hint="eastAsia" w:ascii="宋体" w:hAnsi="宋体"/>
                <w:sz w:val="24"/>
                <w:highlight w:val="none"/>
              </w:rPr>
              <w:t>根据《河南省财政厅关于优化政府采购营商环境有关问题的通知》（豫财购【2019】4号）第6条的规定，磋商保证金不再收取</w:t>
            </w:r>
          </w:p>
        </w:tc>
      </w:tr>
      <w:tr w14:paraId="54E6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635E0F64">
            <w:pPr>
              <w:autoSpaceDE w:val="0"/>
              <w:autoSpaceDN w:val="0"/>
              <w:adjustRightInd w:val="0"/>
              <w:spacing w:line="400" w:lineRule="exact"/>
              <w:jc w:val="center"/>
              <w:rPr>
                <w:rFonts w:ascii="宋体" w:hAnsi="宋体" w:cs="宋体"/>
                <w:sz w:val="24"/>
                <w:szCs w:val="24"/>
                <w:highlight w:val="none"/>
              </w:rPr>
            </w:pPr>
            <w:r>
              <w:rPr>
                <w:rFonts w:hint="eastAsia" w:ascii="宋体" w:hAnsi="宋体" w:cs="宋体"/>
                <w:kern w:val="0"/>
                <w:sz w:val="24"/>
                <w:szCs w:val="24"/>
                <w:highlight w:val="none"/>
              </w:rPr>
              <w:t>7.3</w:t>
            </w:r>
          </w:p>
        </w:tc>
        <w:tc>
          <w:tcPr>
            <w:tcW w:w="1837" w:type="dxa"/>
            <w:gridSpan w:val="2"/>
            <w:tcBorders>
              <w:top w:val="single" w:color="auto" w:sz="4" w:space="0"/>
              <w:left w:val="nil"/>
              <w:bottom w:val="single" w:color="auto" w:sz="4" w:space="0"/>
              <w:right w:val="single" w:color="auto" w:sz="4" w:space="0"/>
            </w:tcBorders>
            <w:noWrap w:val="0"/>
            <w:vAlign w:val="center"/>
          </w:tcPr>
          <w:p w14:paraId="4D58B14A">
            <w:pPr>
              <w:autoSpaceDE w:val="0"/>
              <w:autoSpaceDN w:val="0"/>
              <w:adjustRightInd w:val="0"/>
              <w:spacing w:line="400" w:lineRule="exact"/>
              <w:jc w:val="center"/>
              <w:rPr>
                <w:rFonts w:ascii="宋体" w:hAnsi="宋体" w:cs="宋体"/>
                <w:sz w:val="24"/>
                <w:szCs w:val="24"/>
                <w:highlight w:val="none"/>
              </w:rPr>
            </w:pPr>
            <w:r>
              <w:rPr>
                <w:rFonts w:hint="eastAsia" w:ascii="宋体" w:hAnsi="宋体" w:cs="宋体"/>
                <w:spacing w:val="-6"/>
                <w:sz w:val="24"/>
                <w:szCs w:val="24"/>
                <w:highlight w:val="none"/>
              </w:rPr>
              <w:t>是否要求响应人在递交响应文件时，同时递交响应文件</w:t>
            </w:r>
          </w:p>
        </w:tc>
        <w:tc>
          <w:tcPr>
            <w:tcW w:w="6663" w:type="dxa"/>
            <w:tcBorders>
              <w:top w:val="single" w:color="auto" w:sz="4" w:space="0"/>
              <w:left w:val="nil"/>
              <w:bottom w:val="single" w:color="auto" w:sz="4" w:space="0"/>
              <w:right w:val="single" w:color="auto" w:sz="4" w:space="0"/>
            </w:tcBorders>
            <w:noWrap w:val="0"/>
            <w:vAlign w:val="center"/>
          </w:tcPr>
          <w:p w14:paraId="368F628F">
            <w:pPr>
              <w:tabs>
                <w:tab w:val="left" w:pos="180"/>
              </w:tabs>
              <w:spacing w:line="400" w:lineRule="exact"/>
              <w:rPr>
                <w:rFonts w:ascii="宋体" w:hAnsi="宋体" w:cs="宋体"/>
                <w:sz w:val="24"/>
                <w:highlight w:val="none"/>
              </w:rPr>
            </w:pPr>
            <w:r>
              <w:rPr>
                <w:rFonts w:hint="eastAsia" w:ascii="宋体" w:hAnsi="宋体" w:cs="宋体"/>
                <w:sz w:val="24"/>
                <w:highlight w:val="none"/>
              </w:rPr>
              <w:t>开标时不再递交纸质响应文件，中标单位领取中标通知书时提交三份纸质响应文件（响应文件应按以下要求装订：胶装，应有目录，并逐页标注连续页码）</w:t>
            </w:r>
          </w:p>
        </w:tc>
      </w:tr>
      <w:tr w14:paraId="42CB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8" w:type="dxa"/>
            <w:gridSpan w:val="3"/>
            <w:tcBorders>
              <w:top w:val="single" w:color="auto" w:sz="4" w:space="0"/>
              <w:left w:val="single" w:color="auto" w:sz="4" w:space="0"/>
              <w:bottom w:val="single" w:color="auto" w:sz="4" w:space="0"/>
              <w:right w:val="single" w:color="auto" w:sz="4" w:space="0"/>
            </w:tcBorders>
            <w:noWrap w:val="0"/>
            <w:vAlign w:val="center"/>
          </w:tcPr>
          <w:p w14:paraId="50696A31">
            <w:pPr>
              <w:autoSpaceDE w:val="0"/>
              <w:autoSpaceDN w:val="0"/>
              <w:adjustRightInd w:val="0"/>
              <w:spacing w:line="400" w:lineRule="exact"/>
              <w:jc w:val="center"/>
              <w:rPr>
                <w:rFonts w:hint="eastAsia" w:ascii="宋体" w:hAnsi="宋体" w:cs="宋体"/>
                <w:spacing w:val="-6"/>
                <w:sz w:val="24"/>
                <w:szCs w:val="24"/>
                <w:highlight w:val="none"/>
              </w:rPr>
            </w:pPr>
            <w:r>
              <w:rPr>
                <w:rFonts w:hint="eastAsia" w:ascii="宋体" w:hAnsi="宋体" w:cs="宋体"/>
                <w:spacing w:val="-6"/>
                <w:sz w:val="24"/>
                <w:szCs w:val="24"/>
                <w:highlight w:val="none"/>
              </w:rPr>
              <w:t>8</w:t>
            </w:r>
          </w:p>
        </w:tc>
        <w:tc>
          <w:tcPr>
            <w:tcW w:w="1837" w:type="dxa"/>
            <w:gridSpan w:val="2"/>
            <w:tcBorders>
              <w:top w:val="single" w:color="auto" w:sz="4" w:space="0"/>
              <w:left w:val="nil"/>
              <w:bottom w:val="single" w:color="auto" w:sz="4" w:space="0"/>
              <w:right w:val="single" w:color="auto" w:sz="4" w:space="0"/>
            </w:tcBorders>
            <w:noWrap w:val="0"/>
            <w:vAlign w:val="center"/>
          </w:tcPr>
          <w:p w14:paraId="2DE4ABB5">
            <w:pPr>
              <w:rPr>
                <w:rFonts w:hint="eastAsia" w:ascii="宋体" w:hAnsi="宋体" w:cs="宋体"/>
                <w:spacing w:val="-6"/>
                <w:sz w:val="24"/>
                <w:szCs w:val="24"/>
                <w:highlight w:val="none"/>
              </w:rPr>
            </w:pPr>
            <w:r>
              <w:rPr>
                <w:rFonts w:hint="eastAsia" w:ascii="宋体" w:hAnsi="宋体" w:cs="宋体"/>
                <w:spacing w:val="-6"/>
                <w:sz w:val="24"/>
                <w:szCs w:val="24"/>
                <w:highlight w:val="none"/>
              </w:rPr>
              <w:t>其他补充内容</w:t>
            </w:r>
          </w:p>
        </w:tc>
        <w:tc>
          <w:tcPr>
            <w:tcW w:w="6663" w:type="dxa"/>
            <w:tcBorders>
              <w:top w:val="single" w:color="auto" w:sz="4" w:space="0"/>
              <w:left w:val="nil"/>
              <w:bottom w:val="single" w:color="auto" w:sz="4" w:space="0"/>
              <w:right w:val="single" w:color="auto" w:sz="4" w:space="0"/>
            </w:tcBorders>
            <w:noWrap w:val="0"/>
            <w:vAlign w:val="center"/>
          </w:tcPr>
          <w:p w14:paraId="5810693C">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1.本项目实行资格后审，审查内容以响应文件为准，可使用电子营业执照。其上传资料真实性由响应人自行承担，同时，响应人请完善主体库信息(基本信息不作为资格审查项)。</w:t>
            </w:r>
          </w:p>
          <w:p w14:paraId="536CBB0E">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2.评标打分部分：评标打分部分仍按照100分制原则进行，涉及到资格审查、企业业绩等计分部分时，以响应人自行上传到响应文件中的相应内容为准。</w:t>
            </w:r>
          </w:p>
          <w:p w14:paraId="3D2CA678">
            <w:pPr>
              <w:widowControl/>
              <w:spacing w:line="520" w:lineRule="exact"/>
              <w:ind w:firstLine="420" w:firstLineChars="175"/>
              <w:rPr>
                <w:rFonts w:ascii="宋体" w:hAnsi="宋体" w:cs="宋体"/>
                <w:bCs/>
                <w:kern w:val="0"/>
                <w:sz w:val="24"/>
                <w:szCs w:val="24"/>
                <w:highlight w:val="none"/>
              </w:rPr>
            </w:pPr>
            <w:r>
              <w:rPr>
                <w:rFonts w:hint="eastAsia" w:ascii="宋体" w:hAnsi="宋体" w:cs="宋体"/>
                <w:bCs/>
                <w:kern w:val="0"/>
                <w:sz w:val="24"/>
                <w:szCs w:val="24"/>
                <w:highlight w:val="none"/>
              </w:rPr>
              <w:t>3.响应文件编制部分：在响应文件中要求响应人按照响应文件格式进行响应文件编制，在响应文件编制时，应明确将响应人企业基本情况、资质情况、业绩情况编入响应文件，便于进行资格审查及评标打分。</w:t>
            </w:r>
          </w:p>
          <w:p w14:paraId="01B828FB">
            <w:pPr>
              <w:tabs>
                <w:tab w:val="left" w:pos="180"/>
              </w:tabs>
              <w:spacing w:line="400" w:lineRule="exact"/>
              <w:ind w:firstLine="480" w:firstLineChars="200"/>
              <w:rPr>
                <w:rFonts w:hint="eastAsia"/>
                <w:highlight w:val="none"/>
              </w:rPr>
            </w:pPr>
            <w:r>
              <w:rPr>
                <w:rFonts w:hint="eastAsia" w:ascii="宋体" w:hAnsi="宋体" w:cs="宋体"/>
                <w:bCs/>
                <w:kern w:val="0"/>
                <w:sz w:val="24"/>
                <w:szCs w:val="24"/>
                <w:highlight w:val="none"/>
              </w:rPr>
              <w:t>4.我单位（采购人）严格按三财购【2021】9号文要求的时限发布中标结果公告，发出中标通知书，签订采购合同，上传采购合同。</w:t>
            </w:r>
          </w:p>
        </w:tc>
      </w:tr>
      <w:tr w14:paraId="4701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2E3D271F">
            <w:pPr>
              <w:rPr>
                <w:rFonts w:ascii="宋体" w:hAnsi="宋体" w:cs="宋体"/>
                <w:sz w:val="24"/>
                <w:szCs w:val="24"/>
                <w:highlight w:val="none"/>
              </w:rPr>
            </w:pPr>
            <w:r>
              <w:rPr>
                <w:rFonts w:hint="eastAsia" w:ascii="宋体" w:hAnsi="宋体" w:cs="宋体"/>
                <w:sz w:val="24"/>
                <w:szCs w:val="24"/>
                <w:highlight w:val="none"/>
              </w:rPr>
              <w:t>10.需要补充的其他内容</w:t>
            </w:r>
          </w:p>
        </w:tc>
      </w:tr>
      <w:tr w14:paraId="0377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74B00BD7">
            <w:pPr>
              <w:rPr>
                <w:rFonts w:ascii="宋体" w:hAnsi="宋体" w:cs="宋体"/>
                <w:sz w:val="24"/>
                <w:szCs w:val="24"/>
                <w:highlight w:val="none"/>
              </w:rPr>
            </w:pPr>
            <w:r>
              <w:rPr>
                <w:rFonts w:hint="eastAsia" w:ascii="宋体" w:hAnsi="宋体" w:cs="宋体"/>
                <w:sz w:val="24"/>
                <w:szCs w:val="24"/>
                <w:highlight w:val="none"/>
              </w:rPr>
              <w:t>10.1词语定义</w:t>
            </w:r>
          </w:p>
        </w:tc>
      </w:tr>
      <w:tr w14:paraId="7B6F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2C6502DF">
            <w:pPr>
              <w:spacing w:line="312" w:lineRule="auto"/>
              <w:jc w:val="center"/>
              <w:rPr>
                <w:rFonts w:ascii="宋体" w:hAnsi="宋体" w:cs="宋体"/>
                <w:sz w:val="24"/>
                <w:szCs w:val="24"/>
                <w:highlight w:val="none"/>
              </w:rPr>
            </w:pPr>
            <w:r>
              <w:rPr>
                <w:rFonts w:hint="eastAsia" w:ascii="宋体" w:hAnsi="宋体" w:cs="宋体"/>
                <w:sz w:val="24"/>
                <w:szCs w:val="24"/>
                <w:highlight w:val="none"/>
              </w:rPr>
              <w:t>10.2</w:t>
            </w:r>
          </w:p>
        </w:tc>
        <w:tc>
          <w:tcPr>
            <w:tcW w:w="1576" w:type="dxa"/>
            <w:gridSpan w:val="2"/>
            <w:tcBorders>
              <w:top w:val="single" w:color="auto" w:sz="4" w:space="0"/>
              <w:left w:val="nil"/>
              <w:bottom w:val="single" w:color="auto" w:sz="4" w:space="0"/>
              <w:right w:val="single" w:color="auto" w:sz="4" w:space="0"/>
            </w:tcBorders>
            <w:noWrap w:val="0"/>
            <w:vAlign w:val="center"/>
          </w:tcPr>
          <w:p w14:paraId="3127DA2C">
            <w:pPr>
              <w:jc w:val="center"/>
              <w:rPr>
                <w:rFonts w:ascii="宋体" w:hAnsi="宋体" w:cs="宋体"/>
                <w:color w:val="000000"/>
                <w:sz w:val="24"/>
                <w:szCs w:val="24"/>
                <w:highlight w:val="none"/>
              </w:rPr>
            </w:pPr>
            <w:r>
              <w:rPr>
                <w:rFonts w:hint="eastAsia" w:ascii="宋体" w:hAnsi="宋体" w:cs="宋体"/>
                <w:color w:val="000000"/>
                <w:sz w:val="24"/>
                <w:szCs w:val="24"/>
                <w:highlight w:val="none"/>
              </w:rPr>
              <w:t>招标控制价</w:t>
            </w:r>
          </w:p>
        </w:tc>
        <w:tc>
          <w:tcPr>
            <w:tcW w:w="7088" w:type="dxa"/>
            <w:gridSpan w:val="2"/>
            <w:tcBorders>
              <w:top w:val="single" w:color="auto" w:sz="4" w:space="0"/>
              <w:left w:val="nil"/>
              <w:bottom w:val="single" w:color="auto" w:sz="4" w:space="0"/>
              <w:right w:val="single" w:color="auto" w:sz="4" w:space="0"/>
            </w:tcBorders>
            <w:noWrap w:val="0"/>
            <w:vAlign w:val="center"/>
          </w:tcPr>
          <w:p w14:paraId="33A8611E">
            <w:pPr>
              <w:spacing w:line="480" w:lineRule="exact"/>
              <w:rPr>
                <w:rFonts w:ascii="宋体" w:hAnsi="宋体" w:cs="宋体"/>
                <w:color w:val="000000"/>
                <w:sz w:val="24"/>
                <w:szCs w:val="24"/>
                <w:highlight w:val="none"/>
              </w:rPr>
            </w:pPr>
            <w:r>
              <w:rPr>
                <w:rFonts w:hint="eastAsia" w:ascii="宋体" w:hAnsi="宋体" w:eastAsia="宋体" w:cs="宋体"/>
                <w:color w:val="000000"/>
                <w:sz w:val="24"/>
                <w:highlight w:val="none"/>
                <w:lang w:val="en-US" w:eastAsia="zh-CN"/>
              </w:rPr>
              <w:t>378230.00元</w:t>
            </w:r>
            <w:r>
              <w:rPr>
                <w:rFonts w:hint="eastAsia" w:ascii="宋体" w:hAnsi="宋体" w:eastAsia="宋体" w:cs="Times New Roman"/>
                <w:color w:val="000000"/>
                <w:sz w:val="24"/>
                <w:szCs w:val="24"/>
                <w:highlight w:val="none"/>
                <w:lang w:eastAsia="zh-CN"/>
              </w:rPr>
              <w:t>；</w:t>
            </w:r>
            <w:r>
              <w:rPr>
                <w:rFonts w:hint="eastAsia" w:ascii="宋体" w:hAnsi="宋体" w:cs="宋体"/>
                <w:color w:val="000000"/>
                <w:sz w:val="24"/>
                <w:highlight w:val="none"/>
              </w:rPr>
              <w:t>招标控制价是招标人控制招标工程造价的最高限价</w:t>
            </w:r>
            <w:r>
              <w:rPr>
                <w:rFonts w:hint="eastAsia" w:ascii="宋体" w:hAnsi="宋体" w:cs="宋体"/>
                <w:color w:val="000000"/>
                <w:spacing w:val="1"/>
                <w:sz w:val="24"/>
                <w:highlight w:val="none"/>
              </w:rPr>
              <w:t>，</w:t>
            </w:r>
            <w:r>
              <w:rPr>
                <w:rFonts w:hint="eastAsia" w:ascii="宋体" w:hAnsi="宋体" w:cs="宋体"/>
                <w:color w:val="000000"/>
                <w:sz w:val="24"/>
                <w:highlight w:val="none"/>
              </w:rPr>
              <w:t>高于招标控制价的其磋商将被否决。一次报价和最终报价高于招标控制价的其磋商将被否决</w:t>
            </w:r>
          </w:p>
        </w:tc>
      </w:tr>
      <w:tr w14:paraId="539D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4CF1A300">
            <w:pPr>
              <w:spacing w:line="312" w:lineRule="auto"/>
              <w:jc w:val="center"/>
              <w:rPr>
                <w:rFonts w:hint="eastAsia" w:ascii="宋体" w:hAnsi="宋体" w:cs="宋体"/>
                <w:sz w:val="24"/>
                <w:szCs w:val="24"/>
                <w:highlight w:val="none"/>
              </w:rPr>
            </w:pPr>
            <w:r>
              <w:rPr>
                <w:rFonts w:hint="eastAsia" w:ascii="宋体" w:hAnsi="宋体" w:cs="宋体"/>
                <w:sz w:val="24"/>
                <w:szCs w:val="24"/>
                <w:highlight w:val="none"/>
              </w:rPr>
              <w:t>10.3</w:t>
            </w:r>
          </w:p>
        </w:tc>
        <w:tc>
          <w:tcPr>
            <w:tcW w:w="1576" w:type="dxa"/>
            <w:gridSpan w:val="2"/>
            <w:tcBorders>
              <w:top w:val="single" w:color="auto" w:sz="4" w:space="0"/>
              <w:left w:val="nil"/>
              <w:bottom w:val="single" w:color="auto" w:sz="4" w:space="0"/>
              <w:right w:val="single" w:color="auto" w:sz="4" w:space="0"/>
            </w:tcBorders>
            <w:noWrap w:val="0"/>
            <w:vAlign w:val="center"/>
          </w:tcPr>
          <w:p w14:paraId="6860D921">
            <w:pPr>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招标代理服务费</w:t>
            </w:r>
          </w:p>
        </w:tc>
        <w:tc>
          <w:tcPr>
            <w:tcW w:w="7088" w:type="dxa"/>
            <w:gridSpan w:val="2"/>
            <w:tcBorders>
              <w:top w:val="single" w:color="auto" w:sz="4" w:space="0"/>
              <w:left w:val="nil"/>
              <w:bottom w:val="single" w:color="auto" w:sz="4" w:space="0"/>
              <w:right w:val="single" w:color="auto" w:sz="4" w:space="0"/>
            </w:tcBorders>
            <w:noWrap w:val="0"/>
            <w:vAlign w:val="center"/>
          </w:tcPr>
          <w:p w14:paraId="16390392">
            <w:pPr>
              <w:spacing w:line="44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本招标项目代理服务费参考关于印发《河南省招标代理服务收费指导意见》的通知（豫招协[2023]002号）按规定收取，由中标人支付</w:t>
            </w:r>
          </w:p>
        </w:tc>
      </w:tr>
      <w:tr w14:paraId="3B71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2EB431F1">
            <w:pPr>
              <w:spacing w:line="312" w:lineRule="auto"/>
              <w:jc w:val="center"/>
              <w:rPr>
                <w:rFonts w:ascii="宋体" w:hAnsi="宋体" w:cs="宋体"/>
                <w:sz w:val="24"/>
                <w:szCs w:val="24"/>
                <w:highlight w:val="none"/>
              </w:rPr>
            </w:pPr>
            <w:r>
              <w:rPr>
                <w:rFonts w:hint="eastAsia" w:ascii="宋体" w:hAnsi="宋体" w:cs="宋体"/>
                <w:sz w:val="24"/>
                <w:szCs w:val="24"/>
                <w:highlight w:val="none"/>
              </w:rPr>
              <w:t>10.4</w:t>
            </w:r>
          </w:p>
        </w:tc>
        <w:tc>
          <w:tcPr>
            <w:tcW w:w="1576" w:type="dxa"/>
            <w:gridSpan w:val="2"/>
            <w:tcBorders>
              <w:top w:val="single" w:color="auto" w:sz="4" w:space="0"/>
              <w:left w:val="nil"/>
              <w:bottom w:val="single" w:color="auto" w:sz="4" w:space="0"/>
              <w:right w:val="single" w:color="auto" w:sz="4" w:space="0"/>
            </w:tcBorders>
            <w:noWrap w:val="0"/>
            <w:vAlign w:val="center"/>
          </w:tcPr>
          <w:p w14:paraId="62A40E05">
            <w:pPr>
              <w:spacing w:line="400" w:lineRule="exact"/>
              <w:ind w:right="-153" w:rightChars="-73"/>
              <w:jc w:val="center"/>
              <w:rPr>
                <w:rFonts w:ascii="宋体" w:hAnsi="宋体" w:cs="宋体"/>
                <w:sz w:val="24"/>
                <w:szCs w:val="24"/>
                <w:highlight w:val="none"/>
              </w:rPr>
            </w:pPr>
            <w:r>
              <w:rPr>
                <w:rFonts w:hint="eastAsia" w:ascii="宋体" w:hAnsi="宋体" w:cs="宋体"/>
                <w:sz w:val="24"/>
                <w:szCs w:val="24"/>
                <w:highlight w:val="none"/>
              </w:rPr>
              <w:t>报价</w:t>
            </w:r>
          </w:p>
        </w:tc>
        <w:tc>
          <w:tcPr>
            <w:tcW w:w="7088" w:type="dxa"/>
            <w:gridSpan w:val="2"/>
            <w:tcBorders>
              <w:top w:val="single" w:color="auto" w:sz="4" w:space="0"/>
              <w:left w:val="nil"/>
              <w:bottom w:val="single" w:color="auto" w:sz="4" w:space="0"/>
              <w:right w:val="single" w:color="auto" w:sz="4" w:space="0"/>
            </w:tcBorders>
            <w:noWrap w:val="0"/>
            <w:vAlign w:val="center"/>
          </w:tcPr>
          <w:p w14:paraId="0D962CB8">
            <w:pPr>
              <w:autoSpaceDE w:val="0"/>
              <w:autoSpaceDN w:val="0"/>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本次磋商应以人民币报价，分两次进行报价</w:t>
            </w:r>
          </w:p>
        </w:tc>
      </w:tr>
      <w:tr w14:paraId="3844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2CCD3F27">
            <w:pPr>
              <w:spacing w:line="312" w:lineRule="auto"/>
              <w:jc w:val="center"/>
              <w:rPr>
                <w:rFonts w:ascii="宋体" w:hAnsi="宋体" w:cs="宋体"/>
                <w:sz w:val="24"/>
                <w:szCs w:val="24"/>
                <w:highlight w:val="none"/>
              </w:rPr>
            </w:pPr>
            <w:r>
              <w:rPr>
                <w:rFonts w:hint="eastAsia" w:ascii="宋体" w:hAnsi="宋体" w:cs="宋体"/>
                <w:sz w:val="24"/>
                <w:szCs w:val="24"/>
                <w:highlight w:val="none"/>
              </w:rPr>
              <w:t>10.5</w:t>
            </w:r>
          </w:p>
        </w:tc>
        <w:tc>
          <w:tcPr>
            <w:tcW w:w="1576" w:type="dxa"/>
            <w:gridSpan w:val="2"/>
            <w:tcBorders>
              <w:top w:val="single" w:color="auto" w:sz="4" w:space="0"/>
              <w:left w:val="nil"/>
              <w:bottom w:val="single" w:color="auto" w:sz="4" w:space="0"/>
              <w:right w:val="single" w:color="auto" w:sz="4" w:space="0"/>
            </w:tcBorders>
            <w:noWrap w:val="0"/>
            <w:vAlign w:val="center"/>
          </w:tcPr>
          <w:p w14:paraId="5D951BD5">
            <w:pPr>
              <w:spacing w:line="400" w:lineRule="exact"/>
              <w:ind w:right="-153" w:rightChars="-73"/>
              <w:jc w:val="center"/>
              <w:rPr>
                <w:rFonts w:ascii="宋体" w:hAnsi="宋体" w:cs="宋体"/>
                <w:sz w:val="24"/>
                <w:szCs w:val="24"/>
                <w:highlight w:val="none"/>
              </w:rPr>
            </w:pPr>
            <w:r>
              <w:rPr>
                <w:rFonts w:hint="eastAsia" w:ascii="宋体" w:hAnsi="宋体" w:cs="宋体"/>
                <w:sz w:val="24"/>
                <w:szCs w:val="24"/>
                <w:highlight w:val="none"/>
              </w:rPr>
              <w:t>付款方式</w:t>
            </w:r>
          </w:p>
        </w:tc>
        <w:tc>
          <w:tcPr>
            <w:tcW w:w="7088" w:type="dxa"/>
            <w:gridSpan w:val="2"/>
            <w:tcBorders>
              <w:top w:val="single" w:color="auto" w:sz="4" w:space="0"/>
              <w:left w:val="nil"/>
              <w:bottom w:val="single" w:color="auto" w:sz="4" w:space="0"/>
              <w:right w:val="single" w:color="auto" w:sz="4" w:space="0"/>
            </w:tcBorders>
            <w:noWrap w:val="0"/>
            <w:vAlign w:val="center"/>
          </w:tcPr>
          <w:p w14:paraId="0E9D40E8">
            <w:pPr>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成交后甲乙双方协商确定</w:t>
            </w:r>
          </w:p>
        </w:tc>
      </w:tr>
      <w:tr w14:paraId="0D7E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24CE5FEF">
            <w:pPr>
              <w:spacing w:line="312" w:lineRule="auto"/>
              <w:jc w:val="center"/>
              <w:rPr>
                <w:rFonts w:ascii="宋体" w:hAnsi="宋体" w:cs="宋体"/>
                <w:sz w:val="24"/>
                <w:szCs w:val="24"/>
                <w:highlight w:val="none"/>
              </w:rPr>
            </w:pPr>
            <w:r>
              <w:rPr>
                <w:rFonts w:hint="eastAsia" w:ascii="宋体" w:hAnsi="宋体" w:cs="宋体"/>
                <w:sz w:val="24"/>
                <w:szCs w:val="24"/>
                <w:highlight w:val="none"/>
              </w:rPr>
              <w:t>10.6</w:t>
            </w:r>
          </w:p>
        </w:tc>
        <w:tc>
          <w:tcPr>
            <w:tcW w:w="1576" w:type="dxa"/>
            <w:gridSpan w:val="2"/>
            <w:tcBorders>
              <w:top w:val="single" w:color="auto" w:sz="4" w:space="0"/>
              <w:left w:val="nil"/>
              <w:bottom w:val="single" w:color="auto" w:sz="4" w:space="0"/>
              <w:right w:val="single" w:color="auto" w:sz="4" w:space="0"/>
            </w:tcBorders>
            <w:noWrap w:val="0"/>
            <w:vAlign w:val="center"/>
          </w:tcPr>
          <w:p w14:paraId="496A4C32">
            <w:pPr>
              <w:spacing w:line="400" w:lineRule="exact"/>
              <w:ind w:right="-153" w:rightChars="-73"/>
              <w:jc w:val="both"/>
              <w:rPr>
                <w:rFonts w:ascii="宋体" w:hAnsi="宋体" w:cs="宋体"/>
                <w:sz w:val="24"/>
                <w:szCs w:val="24"/>
                <w:highlight w:val="none"/>
              </w:rPr>
            </w:pPr>
            <w:r>
              <w:rPr>
                <w:rFonts w:hint="eastAsia" w:ascii="宋体" w:hAnsi="宋体" w:cs="宋体"/>
                <w:sz w:val="24"/>
                <w:szCs w:val="24"/>
                <w:highlight w:val="none"/>
              </w:rPr>
              <w:t>本项目所属</w:t>
            </w:r>
          </w:p>
          <w:p w14:paraId="52D341D4">
            <w:pPr>
              <w:spacing w:line="400" w:lineRule="exact"/>
              <w:ind w:right="-153" w:rightChars="-73"/>
              <w:jc w:val="center"/>
              <w:rPr>
                <w:rFonts w:hint="eastAsia" w:ascii="宋体" w:hAnsi="宋体" w:cs="宋体"/>
                <w:sz w:val="24"/>
                <w:szCs w:val="24"/>
                <w:highlight w:val="none"/>
              </w:rPr>
            </w:pPr>
            <w:r>
              <w:rPr>
                <w:rFonts w:hint="eastAsia" w:ascii="宋体" w:hAnsi="宋体" w:cs="宋体"/>
                <w:sz w:val="24"/>
                <w:szCs w:val="24"/>
                <w:highlight w:val="none"/>
              </w:rPr>
              <w:t>行业</w:t>
            </w:r>
          </w:p>
        </w:tc>
        <w:tc>
          <w:tcPr>
            <w:tcW w:w="7088" w:type="dxa"/>
            <w:gridSpan w:val="2"/>
            <w:tcBorders>
              <w:top w:val="single" w:color="auto" w:sz="4" w:space="0"/>
              <w:left w:val="nil"/>
              <w:bottom w:val="single" w:color="auto" w:sz="4" w:space="0"/>
              <w:right w:val="single" w:color="auto" w:sz="4" w:space="0"/>
            </w:tcBorders>
            <w:noWrap w:val="0"/>
            <w:vAlign w:val="center"/>
          </w:tcPr>
          <w:p w14:paraId="52BBAE9E">
            <w:pPr>
              <w:spacing w:line="400" w:lineRule="exact"/>
              <w:ind w:right="-153" w:rightChars="-73"/>
              <w:jc w:val="left"/>
              <w:rPr>
                <w:rFonts w:hint="eastAsia" w:ascii="宋体" w:hAnsi="宋体" w:eastAsia="宋体" w:cs="宋体"/>
                <w:sz w:val="24"/>
                <w:szCs w:val="24"/>
                <w:highlight w:val="none"/>
                <w:lang w:val="en-US" w:eastAsia="zh-CN"/>
              </w:rPr>
            </w:pPr>
            <w:r>
              <w:rPr>
                <w:rFonts w:hint="eastAsia" w:ascii="宋体" w:hAnsi="宋体" w:eastAsia="宋体" w:cs="宋体"/>
                <w:color w:val="auto"/>
                <w:sz w:val="22"/>
              </w:rPr>
              <w:t>工业</w:t>
            </w:r>
          </w:p>
        </w:tc>
      </w:tr>
      <w:tr w14:paraId="4C91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21DAD8CE">
            <w:pPr>
              <w:spacing w:line="312" w:lineRule="auto"/>
              <w:jc w:val="center"/>
              <w:rPr>
                <w:rFonts w:ascii="宋体" w:hAnsi="宋体" w:cs="宋体"/>
                <w:sz w:val="24"/>
                <w:szCs w:val="24"/>
                <w:highlight w:val="none"/>
              </w:rPr>
            </w:pPr>
            <w:r>
              <w:rPr>
                <w:rFonts w:hint="eastAsia" w:ascii="宋体" w:hAnsi="宋体" w:cs="宋体"/>
                <w:sz w:val="24"/>
                <w:szCs w:val="24"/>
                <w:highlight w:val="none"/>
              </w:rPr>
              <w:t>10.7</w:t>
            </w:r>
          </w:p>
        </w:tc>
        <w:tc>
          <w:tcPr>
            <w:tcW w:w="1576" w:type="dxa"/>
            <w:gridSpan w:val="2"/>
            <w:tcBorders>
              <w:top w:val="single" w:color="auto" w:sz="4" w:space="0"/>
              <w:left w:val="nil"/>
              <w:bottom w:val="single" w:color="auto" w:sz="4" w:space="0"/>
              <w:right w:val="single" w:color="auto" w:sz="4" w:space="0"/>
            </w:tcBorders>
            <w:noWrap w:val="0"/>
            <w:vAlign w:val="center"/>
          </w:tcPr>
          <w:p w14:paraId="15ECF54A">
            <w:pPr>
              <w:jc w:val="center"/>
              <w:rPr>
                <w:rFonts w:ascii="宋体" w:hAnsi="宋体" w:cs="宋体"/>
                <w:sz w:val="24"/>
                <w:szCs w:val="24"/>
                <w:highlight w:val="none"/>
              </w:rPr>
            </w:pPr>
            <w:r>
              <w:rPr>
                <w:rFonts w:hint="eastAsia" w:ascii="宋体" w:hAnsi="宋体" w:cs="宋体"/>
                <w:sz w:val="24"/>
                <w:szCs w:val="24"/>
                <w:highlight w:val="none"/>
              </w:rPr>
              <w:t>竞争性磋商文件的解释</w:t>
            </w:r>
          </w:p>
        </w:tc>
        <w:tc>
          <w:tcPr>
            <w:tcW w:w="7088" w:type="dxa"/>
            <w:gridSpan w:val="2"/>
            <w:tcBorders>
              <w:top w:val="single" w:color="auto" w:sz="4" w:space="0"/>
              <w:left w:val="nil"/>
              <w:bottom w:val="single" w:color="auto" w:sz="4" w:space="0"/>
              <w:right w:val="single" w:color="auto" w:sz="4" w:space="0"/>
            </w:tcBorders>
            <w:noWrap w:val="0"/>
            <w:vAlign w:val="center"/>
          </w:tcPr>
          <w:p w14:paraId="4F8995C9">
            <w:pPr>
              <w:spacing w:line="400" w:lineRule="exact"/>
              <w:ind w:right="-153" w:rightChars="-73"/>
              <w:jc w:val="left"/>
              <w:rPr>
                <w:rFonts w:ascii="宋体" w:hAnsi="宋体" w:cs="宋体"/>
                <w:sz w:val="24"/>
                <w:szCs w:val="24"/>
                <w:highlight w:val="none"/>
              </w:rPr>
            </w:pPr>
            <w:r>
              <w:rPr>
                <w:rFonts w:hint="eastAsia" w:ascii="宋体" w:hAnsi="宋体" w:cs="宋体"/>
                <w:sz w:val="24"/>
                <w:szCs w:val="24"/>
                <w:highlight w:val="none"/>
              </w:rPr>
              <w:t>在符合相关法律法规的前提下，竞争性磋商文件的解释权归招标人所有。本竞争性磋商文件中其他部分内容与响应人须知前附表不一致的，以响应人须知前附表为准</w:t>
            </w:r>
          </w:p>
        </w:tc>
      </w:tr>
      <w:tr w14:paraId="00A1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6570D16B">
            <w:pPr>
              <w:jc w:val="center"/>
              <w:rPr>
                <w:rFonts w:ascii="宋体" w:hAnsi="宋体" w:cs="宋体"/>
                <w:b/>
                <w:bCs/>
                <w:sz w:val="24"/>
                <w:szCs w:val="24"/>
                <w:highlight w:val="none"/>
              </w:rPr>
            </w:pPr>
            <w:r>
              <w:rPr>
                <w:rFonts w:hint="eastAsia" w:ascii="宋体" w:hAnsi="宋体" w:cs="宋体"/>
                <w:sz w:val="24"/>
                <w:szCs w:val="24"/>
                <w:highlight w:val="none"/>
              </w:rPr>
              <w:t>10.8</w:t>
            </w:r>
          </w:p>
        </w:tc>
        <w:tc>
          <w:tcPr>
            <w:tcW w:w="1576" w:type="dxa"/>
            <w:gridSpan w:val="2"/>
            <w:tcBorders>
              <w:top w:val="single" w:color="auto" w:sz="4" w:space="0"/>
              <w:left w:val="nil"/>
              <w:bottom w:val="single" w:color="auto" w:sz="4" w:space="0"/>
              <w:right w:val="single" w:color="auto" w:sz="4" w:space="0"/>
            </w:tcBorders>
            <w:noWrap w:val="0"/>
            <w:vAlign w:val="center"/>
          </w:tcPr>
          <w:p w14:paraId="703D0460">
            <w:pPr>
              <w:jc w:val="center"/>
              <w:rPr>
                <w:rFonts w:ascii="宋体" w:hAnsi="宋体" w:cs="宋体"/>
                <w:sz w:val="24"/>
                <w:szCs w:val="24"/>
                <w:highlight w:val="none"/>
              </w:rPr>
            </w:pPr>
            <w:r>
              <w:rPr>
                <w:rFonts w:hint="eastAsia" w:ascii="宋体" w:hAnsi="宋体" w:cs="宋体"/>
                <w:sz w:val="24"/>
                <w:szCs w:val="24"/>
                <w:highlight w:val="none"/>
              </w:rPr>
              <w:t>答疑</w:t>
            </w:r>
          </w:p>
        </w:tc>
        <w:tc>
          <w:tcPr>
            <w:tcW w:w="7088" w:type="dxa"/>
            <w:gridSpan w:val="2"/>
            <w:tcBorders>
              <w:top w:val="single" w:color="auto" w:sz="4" w:space="0"/>
              <w:left w:val="nil"/>
              <w:bottom w:val="single" w:color="auto" w:sz="4" w:space="0"/>
              <w:right w:val="single" w:color="auto" w:sz="4" w:space="0"/>
            </w:tcBorders>
            <w:noWrap w:val="0"/>
            <w:vAlign w:val="center"/>
          </w:tcPr>
          <w:p w14:paraId="0FC3FFB0">
            <w:pPr>
              <w:spacing w:line="400" w:lineRule="exact"/>
              <w:ind w:right="-153" w:rightChars="-73"/>
              <w:jc w:val="left"/>
              <w:rPr>
                <w:rFonts w:hint="eastAsia" w:ascii="宋体" w:hAnsi="宋体" w:cs="宋体"/>
                <w:sz w:val="24"/>
                <w:szCs w:val="24"/>
                <w:highlight w:val="none"/>
              </w:rPr>
            </w:pPr>
            <w:r>
              <w:rPr>
                <w:rFonts w:hint="eastAsia" w:ascii="宋体" w:hAnsi="宋体" w:cs="宋体"/>
                <w:sz w:val="24"/>
                <w:szCs w:val="24"/>
                <w:highlight w:val="none"/>
              </w:rPr>
              <w:t>需要解答的疑问以书面形式加盖单位公章递交至招标人或代理机构，逾期提交的问题概不做回复。招标人将需要解答的</w:t>
            </w:r>
          </w:p>
          <w:p w14:paraId="2888C235">
            <w:pPr>
              <w:spacing w:line="400" w:lineRule="exact"/>
              <w:ind w:right="-153" w:rightChars="-73"/>
              <w:jc w:val="left"/>
              <w:rPr>
                <w:rFonts w:ascii="宋体" w:hAnsi="宋体" w:cs="宋体"/>
                <w:b/>
                <w:bCs/>
                <w:sz w:val="24"/>
                <w:szCs w:val="24"/>
                <w:highlight w:val="none"/>
              </w:rPr>
            </w:pPr>
            <w:r>
              <w:rPr>
                <w:rFonts w:hint="eastAsia" w:ascii="宋体" w:hAnsi="宋体" w:cs="宋体"/>
                <w:sz w:val="24"/>
                <w:szCs w:val="24"/>
                <w:highlight w:val="none"/>
              </w:rPr>
              <w:t>内容以公告形式发至所有潜在响应人</w:t>
            </w:r>
          </w:p>
        </w:tc>
      </w:tr>
      <w:tr w14:paraId="4DAD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7491FF1C">
            <w:pPr>
              <w:rPr>
                <w:rFonts w:ascii="宋体" w:hAnsi="宋体" w:cs="宋体"/>
                <w:sz w:val="24"/>
                <w:szCs w:val="24"/>
                <w:highlight w:val="none"/>
              </w:rPr>
            </w:pPr>
            <w:r>
              <w:rPr>
                <w:rFonts w:hint="eastAsia" w:ascii="宋体" w:hAnsi="宋体" w:cs="宋体"/>
                <w:sz w:val="24"/>
                <w:szCs w:val="24"/>
                <w:highlight w:val="none"/>
              </w:rPr>
              <w:t>10.9结果公示</w:t>
            </w:r>
          </w:p>
        </w:tc>
      </w:tr>
      <w:tr w14:paraId="5C5C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4D8EB6D5">
            <w:pPr>
              <w:spacing w:line="312" w:lineRule="auto"/>
              <w:rPr>
                <w:rFonts w:ascii="宋体" w:hAnsi="宋体" w:cs="宋体"/>
                <w:sz w:val="24"/>
                <w:szCs w:val="24"/>
                <w:highlight w:val="none"/>
              </w:rPr>
            </w:pPr>
          </w:p>
        </w:tc>
        <w:tc>
          <w:tcPr>
            <w:tcW w:w="8664" w:type="dxa"/>
            <w:gridSpan w:val="4"/>
            <w:tcBorders>
              <w:top w:val="single" w:color="auto" w:sz="4" w:space="0"/>
              <w:left w:val="nil"/>
              <w:bottom w:val="single" w:color="auto" w:sz="4" w:space="0"/>
              <w:right w:val="single" w:color="auto" w:sz="4" w:space="0"/>
            </w:tcBorders>
            <w:noWrap w:val="0"/>
            <w:vAlign w:val="center"/>
          </w:tcPr>
          <w:p w14:paraId="61FEF005">
            <w:pPr>
              <w:rPr>
                <w:rFonts w:ascii="宋体" w:hAnsi="宋体" w:cs="宋体"/>
                <w:sz w:val="24"/>
                <w:szCs w:val="24"/>
                <w:highlight w:val="none"/>
              </w:rPr>
            </w:pPr>
            <w:r>
              <w:rPr>
                <w:rFonts w:hint="eastAsia" w:ascii="宋体" w:hAnsi="宋体" w:cs="宋体"/>
                <w:sz w:val="24"/>
                <w:szCs w:val="24"/>
                <w:highlight w:val="none"/>
              </w:rPr>
              <w:t>在</w:t>
            </w:r>
            <w:r>
              <w:rPr>
                <w:rFonts w:hint="eastAsia" w:ascii="宋体" w:hAnsi="宋体" w:cs="宋体"/>
                <w:sz w:val="24"/>
                <w:szCs w:val="24"/>
                <w:highlight w:val="none"/>
                <w:lang w:eastAsia="zh-CN"/>
              </w:rPr>
              <w:t>《中国采购与招标网》、《河南省政府采购网》和《三门峡市公共资源交易中心网》</w:t>
            </w:r>
            <w:r>
              <w:rPr>
                <w:rFonts w:hint="eastAsia" w:ascii="宋体" w:hAnsi="宋体" w:cs="宋体"/>
                <w:sz w:val="24"/>
                <w:szCs w:val="24"/>
                <w:highlight w:val="none"/>
              </w:rPr>
              <w:t>同时进行公示，公示期</w:t>
            </w:r>
            <w:r>
              <w:rPr>
                <w:rFonts w:ascii="宋体" w:hAnsi="宋体" w:cs="宋体"/>
                <w:sz w:val="24"/>
                <w:szCs w:val="24"/>
                <w:highlight w:val="none"/>
              </w:rPr>
              <w:t>1个工作日</w:t>
            </w:r>
          </w:p>
        </w:tc>
      </w:tr>
      <w:tr w14:paraId="262C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31F8E28C">
            <w:pPr>
              <w:ind w:left="240" w:hanging="240" w:hangingChars="100"/>
              <w:rPr>
                <w:rFonts w:ascii="宋体" w:hAnsi="宋体" w:cs="宋体"/>
                <w:sz w:val="24"/>
                <w:szCs w:val="24"/>
                <w:highlight w:val="none"/>
              </w:rPr>
            </w:pPr>
            <w:r>
              <w:rPr>
                <w:rFonts w:hint="eastAsia" w:ascii="宋体" w:hAnsi="宋体" w:cs="宋体"/>
                <w:sz w:val="24"/>
                <w:szCs w:val="24"/>
                <w:highlight w:val="none"/>
              </w:rPr>
              <w:t>10.10知识产权</w:t>
            </w:r>
          </w:p>
        </w:tc>
      </w:tr>
      <w:tr w14:paraId="2610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0BAF72AE">
            <w:pPr>
              <w:spacing w:line="312" w:lineRule="auto"/>
              <w:rPr>
                <w:rFonts w:ascii="宋体" w:hAnsi="宋体" w:cs="宋体"/>
                <w:sz w:val="24"/>
                <w:szCs w:val="24"/>
                <w:highlight w:val="none"/>
              </w:rPr>
            </w:pPr>
          </w:p>
        </w:tc>
        <w:tc>
          <w:tcPr>
            <w:tcW w:w="8664" w:type="dxa"/>
            <w:gridSpan w:val="4"/>
            <w:tcBorders>
              <w:top w:val="single" w:color="auto" w:sz="4" w:space="0"/>
              <w:left w:val="nil"/>
              <w:bottom w:val="single" w:color="auto" w:sz="4" w:space="0"/>
              <w:right w:val="single" w:color="auto" w:sz="4" w:space="0"/>
            </w:tcBorders>
            <w:noWrap w:val="0"/>
            <w:vAlign w:val="center"/>
          </w:tcPr>
          <w:p w14:paraId="72E63B0A">
            <w:pPr>
              <w:spacing w:line="400" w:lineRule="exact"/>
              <w:rPr>
                <w:rFonts w:ascii="宋体" w:hAnsi="宋体" w:cs="宋体"/>
                <w:sz w:val="24"/>
                <w:szCs w:val="24"/>
                <w:highlight w:val="none"/>
              </w:rPr>
            </w:pPr>
            <w:r>
              <w:rPr>
                <w:rFonts w:hint="eastAsia" w:ascii="宋体" w:hAnsi="宋体" w:cs="宋体"/>
                <w:sz w:val="24"/>
                <w:szCs w:val="24"/>
                <w:highlight w:val="none"/>
              </w:rPr>
              <w:t>构成本竞争性磋商文件各个组成部分的文件，未经招标人书面同意，响应人不得擅自复印和用于非本招标项目所需的其他目的。招标人全部或者部分使用未中标人响应文件中的技术成果或技术方案时，需征得其书面同意，并不得擅自复印或提供给第三人</w:t>
            </w:r>
          </w:p>
        </w:tc>
      </w:tr>
      <w:tr w14:paraId="7B69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0D4FBC34">
            <w:pPr>
              <w:rPr>
                <w:rFonts w:ascii="宋体" w:hAnsi="宋体" w:cs="宋体"/>
                <w:sz w:val="24"/>
                <w:szCs w:val="24"/>
                <w:highlight w:val="none"/>
              </w:rPr>
            </w:pPr>
            <w:r>
              <w:rPr>
                <w:rFonts w:hint="eastAsia" w:ascii="宋体" w:hAnsi="宋体" w:cs="宋体"/>
                <w:sz w:val="24"/>
                <w:szCs w:val="24"/>
                <w:highlight w:val="none"/>
              </w:rPr>
              <w:t>10.11重新招标的其他情形</w:t>
            </w:r>
          </w:p>
        </w:tc>
      </w:tr>
      <w:tr w14:paraId="0824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45DBF090">
            <w:pPr>
              <w:spacing w:line="312" w:lineRule="auto"/>
              <w:rPr>
                <w:rFonts w:ascii="宋体" w:hAnsi="宋体" w:cs="宋体"/>
                <w:sz w:val="24"/>
                <w:szCs w:val="24"/>
                <w:highlight w:val="none"/>
              </w:rPr>
            </w:pPr>
          </w:p>
        </w:tc>
        <w:tc>
          <w:tcPr>
            <w:tcW w:w="8664" w:type="dxa"/>
            <w:gridSpan w:val="4"/>
            <w:tcBorders>
              <w:top w:val="single" w:color="auto" w:sz="4" w:space="0"/>
              <w:left w:val="nil"/>
              <w:bottom w:val="single" w:color="auto" w:sz="4" w:space="0"/>
              <w:right w:val="single" w:color="auto" w:sz="4" w:space="0"/>
            </w:tcBorders>
            <w:noWrap w:val="0"/>
            <w:vAlign w:val="center"/>
          </w:tcPr>
          <w:p w14:paraId="61F0AECA">
            <w:pPr>
              <w:spacing w:line="400" w:lineRule="exact"/>
              <w:rPr>
                <w:rFonts w:ascii="宋体" w:hAnsi="宋体" w:cs="宋体"/>
                <w:sz w:val="24"/>
                <w:szCs w:val="24"/>
                <w:highlight w:val="none"/>
              </w:rPr>
            </w:pPr>
            <w:r>
              <w:rPr>
                <w:rFonts w:hint="eastAsia" w:ascii="宋体" w:hAnsi="宋体" w:cs="宋体"/>
                <w:sz w:val="24"/>
                <w:szCs w:val="24"/>
                <w:highlight w:val="none"/>
              </w:rPr>
              <w:t>除响应人须知正文规定的情形外，除非已经产生中标候选人，在磋商有效期内同意延长磋商有效期的响应人少于三个的，招标人应当依法重新招标</w:t>
            </w:r>
          </w:p>
        </w:tc>
      </w:tr>
      <w:tr w14:paraId="1BD6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1B44CDF6">
            <w:pPr>
              <w:ind w:left="240" w:hanging="240" w:hangingChars="100"/>
              <w:rPr>
                <w:rFonts w:ascii="宋体" w:hAnsi="宋体" w:cs="宋体"/>
                <w:sz w:val="24"/>
                <w:szCs w:val="24"/>
                <w:highlight w:val="none"/>
              </w:rPr>
            </w:pPr>
            <w:r>
              <w:rPr>
                <w:rFonts w:hint="eastAsia" w:ascii="宋体" w:hAnsi="宋体" w:cs="宋体"/>
                <w:sz w:val="24"/>
                <w:szCs w:val="24"/>
                <w:highlight w:val="none"/>
              </w:rPr>
              <w:t>10.12同义词语</w:t>
            </w:r>
          </w:p>
        </w:tc>
      </w:tr>
      <w:tr w14:paraId="7049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63501251">
            <w:pPr>
              <w:spacing w:line="312" w:lineRule="auto"/>
              <w:rPr>
                <w:rFonts w:ascii="宋体" w:hAnsi="宋体" w:cs="宋体"/>
                <w:sz w:val="24"/>
                <w:szCs w:val="24"/>
                <w:highlight w:val="none"/>
              </w:rPr>
            </w:pPr>
          </w:p>
        </w:tc>
        <w:tc>
          <w:tcPr>
            <w:tcW w:w="8664" w:type="dxa"/>
            <w:gridSpan w:val="4"/>
            <w:tcBorders>
              <w:top w:val="single" w:color="auto" w:sz="4" w:space="0"/>
              <w:left w:val="nil"/>
              <w:bottom w:val="single" w:color="auto" w:sz="4" w:space="0"/>
              <w:right w:val="single" w:color="auto" w:sz="4" w:space="0"/>
            </w:tcBorders>
            <w:noWrap w:val="0"/>
            <w:vAlign w:val="center"/>
          </w:tcPr>
          <w:p w14:paraId="2FBF23B8">
            <w:pPr>
              <w:spacing w:line="400" w:lineRule="exact"/>
              <w:rPr>
                <w:rFonts w:ascii="宋体" w:hAnsi="宋体" w:cs="宋体"/>
                <w:sz w:val="24"/>
                <w:szCs w:val="24"/>
                <w:highlight w:val="none"/>
              </w:rPr>
            </w:pPr>
            <w:r>
              <w:rPr>
                <w:rFonts w:hint="eastAsia" w:ascii="宋体" w:hAnsi="宋体" w:cs="宋体"/>
                <w:sz w:val="24"/>
                <w:szCs w:val="24"/>
                <w:highlight w:val="none"/>
              </w:rPr>
              <w:t>构成竞争性磋商文件组成部分的“通用合同条款”、“专用合同条款”、“技术标准和要求”和“工程量清单”等章节中出现的措辞“发包人”和“承包人”，在招标投标阶段应当分别按“招标人”和“响应人”进行理解。</w:t>
            </w:r>
          </w:p>
        </w:tc>
      </w:tr>
      <w:tr w14:paraId="4557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184640EC">
            <w:pPr>
              <w:ind w:left="240" w:hanging="240" w:hangingChars="100"/>
              <w:rPr>
                <w:rFonts w:ascii="宋体" w:hAnsi="宋体" w:cs="宋体"/>
                <w:sz w:val="24"/>
                <w:szCs w:val="24"/>
                <w:highlight w:val="none"/>
              </w:rPr>
            </w:pPr>
            <w:r>
              <w:rPr>
                <w:rFonts w:hint="eastAsia" w:ascii="宋体" w:hAnsi="宋体" w:cs="宋体"/>
                <w:sz w:val="24"/>
                <w:szCs w:val="24"/>
                <w:highlight w:val="none"/>
              </w:rPr>
              <w:t>10.13监  督</w:t>
            </w:r>
          </w:p>
        </w:tc>
      </w:tr>
      <w:tr w14:paraId="527A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gridSpan w:val="2"/>
            <w:tcBorders>
              <w:top w:val="single" w:color="auto" w:sz="4" w:space="0"/>
              <w:left w:val="single" w:color="auto" w:sz="4" w:space="0"/>
              <w:bottom w:val="single" w:color="auto" w:sz="4" w:space="0"/>
              <w:right w:val="single" w:color="auto" w:sz="4" w:space="0"/>
            </w:tcBorders>
            <w:noWrap w:val="0"/>
            <w:vAlign w:val="center"/>
          </w:tcPr>
          <w:p w14:paraId="1184DD14">
            <w:pPr>
              <w:spacing w:line="312" w:lineRule="auto"/>
              <w:rPr>
                <w:rFonts w:ascii="宋体" w:hAnsi="宋体" w:cs="宋体"/>
                <w:sz w:val="24"/>
                <w:szCs w:val="24"/>
                <w:highlight w:val="none"/>
              </w:rPr>
            </w:pPr>
          </w:p>
        </w:tc>
        <w:tc>
          <w:tcPr>
            <w:tcW w:w="8664" w:type="dxa"/>
            <w:gridSpan w:val="4"/>
            <w:tcBorders>
              <w:top w:val="single" w:color="auto" w:sz="4" w:space="0"/>
              <w:left w:val="nil"/>
              <w:bottom w:val="single" w:color="auto" w:sz="4" w:space="0"/>
              <w:right w:val="single" w:color="auto" w:sz="4" w:space="0"/>
            </w:tcBorders>
            <w:noWrap w:val="0"/>
            <w:vAlign w:val="center"/>
          </w:tcPr>
          <w:p w14:paraId="6832AD19">
            <w:pPr>
              <w:spacing w:line="400" w:lineRule="exact"/>
              <w:rPr>
                <w:rFonts w:ascii="宋体" w:hAnsi="宋体" w:cs="宋体"/>
                <w:sz w:val="24"/>
                <w:szCs w:val="24"/>
                <w:highlight w:val="none"/>
              </w:rPr>
            </w:pPr>
            <w:r>
              <w:rPr>
                <w:rFonts w:hint="eastAsia" w:ascii="宋体" w:hAnsi="宋体" w:cs="宋体"/>
                <w:sz w:val="24"/>
                <w:szCs w:val="24"/>
                <w:highlight w:val="none"/>
              </w:rPr>
              <w:t>本项目的招标投标活动及其相关当事人应当接受有管辖权的招标投标行政监督部门依法实施的监督。</w:t>
            </w:r>
          </w:p>
        </w:tc>
      </w:tr>
      <w:tr w14:paraId="2780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14:paraId="1D1DB13C">
            <w:pPr>
              <w:rPr>
                <w:rFonts w:ascii="宋体" w:hAnsi="宋体" w:cs="宋体"/>
                <w:b/>
                <w:bCs/>
                <w:sz w:val="24"/>
                <w:szCs w:val="24"/>
                <w:highlight w:val="none"/>
              </w:rPr>
            </w:pPr>
            <w:r>
              <w:rPr>
                <w:rFonts w:hint="eastAsia" w:ascii="宋体" w:hAnsi="宋体" w:cs="宋体"/>
                <w:sz w:val="24"/>
                <w:szCs w:val="24"/>
                <w:highlight w:val="none"/>
              </w:rPr>
              <w:t>10.14电子化交易注意事项</w:t>
            </w:r>
          </w:p>
        </w:tc>
      </w:tr>
      <w:tr w14:paraId="678B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14:paraId="31A1BD5B">
            <w:pPr>
              <w:jc w:val="center"/>
              <w:rPr>
                <w:rFonts w:ascii="宋体" w:hAnsi="宋体" w:cs="宋体"/>
                <w:sz w:val="24"/>
                <w:szCs w:val="24"/>
                <w:highlight w:val="none"/>
              </w:rPr>
            </w:pPr>
          </w:p>
        </w:tc>
        <w:tc>
          <w:tcPr>
            <w:tcW w:w="8733" w:type="dxa"/>
            <w:gridSpan w:val="5"/>
            <w:tcBorders>
              <w:top w:val="single" w:color="auto" w:sz="4" w:space="0"/>
              <w:left w:val="nil"/>
              <w:bottom w:val="single" w:color="auto" w:sz="4" w:space="0"/>
              <w:right w:val="single" w:color="auto" w:sz="4" w:space="0"/>
            </w:tcBorders>
            <w:noWrap w:val="0"/>
            <w:vAlign w:val="center"/>
          </w:tcPr>
          <w:p w14:paraId="763DE369">
            <w:pPr>
              <w:ind w:firstLine="480" w:firstLineChars="200"/>
              <w:rPr>
                <w:rFonts w:hint="eastAsia" w:ascii="宋体" w:hAnsi="宋体"/>
                <w:sz w:val="24"/>
                <w:szCs w:val="24"/>
                <w:highlight w:val="none"/>
              </w:rPr>
            </w:pPr>
            <w:r>
              <w:rPr>
                <w:rFonts w:hint="eastAsia" w:ascii="宋体" w:hAnsi="宋体"/>
                <w:sz w:val="24"/>
                <w:szCs w:val="24"/>
                <w:highlight w:val="none"/>
              </w:rPr>
              <w:t>具体要求：本项目为电子化、无纸化交易项目，响应文件是响应人、供应商（以下简称“响应人”）通过中心响应文件制作系统制作，并经过签章和加密后生成的电子版响应文件。</w:t>
            </w:r>
          </w:p>
          <w:p w14:paraId="0E2632B7">
            <w:pPr>
              <w:ind w:firstLine="480" w:firstLineChars="200"/>
              <w:jc w:val="left"/>
              <w:rPr>
                <w:rFonts w:hint="eastAsia" w:ascii="宋体" w:hAnsi="宋体"/>
                <w:sz w:val="24"/>
                <w:szCs w:val="24"/>
                <w:highlight w:val="none"/>
              </w:rPr>
            </w:pPr>
            <w:r>
              <w:rPr>
                <w:rFonts w:hint="eastAsia" w:ascii="宋体" w:hAnsi="宋体"/>
                <w:sz w:val="24"/>
                <w:szCs w:val="24"/>
                <w:highlight w:val="none"/>
              </w:rPr>
              <w:t>电子化响应文件具体制作文件请点击</w:t>
            </w:r>
            <w:r>
              <w:rPr>
                <w:rFonts w:ascii="宋体" w:hAnsi="宋体"/>
                <w:sz w:val="24"/>
                <w:szCs w:val="24"/>
                <w:highlight w:val="none"/>
              </w:rPr>
              <w:t>https://download.bqpoint.com/download/downloaddetail.html?SourceFrom=Ztb&amp;ZtbSoftXiaQuCode=1532&amp;ZtbSoftType=tballinclusive</w:t>
            </w:r>
            <w:r>
              <w:rPr>
                <w:rFonts w:hint="eastAsia" w:ascii="宋体" w:hAnsi="宋体"/>
                <w:sz w:val="24"/>
                <w:szCs w:val="24"/>
                <w:highlight w:val="none"/>
              </w:rPr>
              <w:t>进行下载。</w:t>
            </w:r>
          </w:p>
          <w:p w14:paraId="2A1B86CF">
            <w:pPr>
              <w:ind w:firstLine="480" w:firstLineChars="200"/>
              <w:rPr>
                <w:rFonts w:hint="eastAsia" w:ascii="宋体" w:hAnsi="宋体"/>
                <w:sz w:val="24"/>
                <w:szCs w:val="24"/>
                <w:highlight w:val="none"/>
              </w:rPr>
            </w:pPr>
            <w:r>
              <w:rPr>
                <w:rFonts w:hint="eastAsia" w:ascii="宋体" w:hAnsi="宋体"/>
                <w:sz w:val="24"/>
                <w:szCs w:val="24"/>
                <w:highlight w:val="none"/>
              </w:rPr>
              <w:t>温馨提示：本项目为电子化、无纸化交易项目，为保证您能投标成功，请需仔细阅读以下条款。</w:t>
            </w:r>
          </w:p>
          <w:p w14:paraId="40632657">
            <w:pPr>
              <w:ind w:firstLine="480" w:firstLineChars="200"/>
              <w:rPr>
                <w:rFonts w:hint="eastAsia" w:ascii="宋体" w:hAnsi="宋体"/>
                <w:sz w:val="24"/>
                <w:szCs w:val="24"/>
                <w:highlight w:val="none"/>
              </w:rPr>
            </w:pPr>
            <w:r>
              <w:rPr>
                <w:rFonts w:hint="eastAsia" w:ascii="宋体" w:hAnsi="宋体"/>
                <w:sz w:val="24"/>
                <w:szCs w:val="24"/>
                <w:highlight w:val="none"/>
              </w:rPr>
              <w:t>一、电子化投标</w:t>
            </w:r>
          </w:p>
          <w:p w14:paraId="07C85FF1">
            <w:pPr>
              <w:ind w:firstLine="480" w:firstLineChars="200"/>
              <w:rPr>
                <w:rFonts w:hint="eastAsia" w:ascii="宋体" w:hAnsi="宋体"/>
                <w:sz w:val="24"/>
                <w:szCs w:val="24"/>
                <w:highlight w:val="none"/>
              </w:rPr>
            </w:pPr>
            <w:r>
              <w:rPr>
                <w:rFonts w:hint="eastAsia" w:ascii="宋体" w:hAnsi="宋体"/>
                <w:sz w:val="24"/>
                <w:szCs w:val="24"/>
                <w:highlight w:val="none"/>
              </w:rPr>
              <w:t>（一）电子化响应文件的签章</w:t>
            </w:r>
          </w:p>
          <w:p w14:paraId="3DC2FCB1">
            <w:pPr>
              <w:ind w:firstLine="480" w:firstLineChars="200"/>
              <w:rPr>
                <w:rFonts w:hint="eastAsia" w:ascii="宋体" w:hAnsi="宋体"/>
                <w:sz w:val="24"/>
                <w:szCs w:val="24"/>
                <w:highlight w:val="none"/>
              </w:rPr>
            </w:pPr>
            <w:r>
              <w:rPr>
                <w:rFonts w:hint="eastAsia" w:ascii="宋体" w:hAnsi="宋体"/>
                <w:sz w:val="24"/>
                <w:szCs w:val="24"/>
                <w:highlight w:val="none"/>
              </w:rPr>
              <w:t>1、响应人在生成电子化响应文件后，应对电子化响应文件进行签章，未进行签章的视为无效投标。</w:t>
            </w:r>
          </w:p>
          <w:p w14:paraId="52B06ACA">
            <w:pPr>
              <w:ind w:firstLine="480" w:firstLineChars="200"/>
              <w:rPr>
                <w:rFonts w:hint="eastAsia" w:ascii="宋体" w:hAnsi="宋体"/>
                <w:sz w:val="24"/>
                <w:szCs w:val="24"/>
                <w:highlight w:val="none"/>
              </w:rPr>
            </w:pPr>
            <w:r>
              <w:rPr>
                <w:rFonts w:hint="eastAsia" w:ascii="宋体" w:hAnsi="宋体"/>
                <w:sz w:val="24"/>
                <w:szCs w:val="24"/>
                <w:highlight w:val="none"/>
              </w:rPr>
              <w:t>2、竞争性磋商文件中要求法定代表人或授权委托人签字或盖章的，响应人在进行电子化响应文件签章时，以签盖法定代表人签章为准。</w:t>
            </w:r>
          </w:p>
          <w:p w14:paraId="47AC69DC">
            <w:pPr>
              <w:ind w:firstLine="480" w:firstLineChars="200"/>
              <w:rPr>
                <w:rFonts w:hint="eastAsia" w:ascii="宋体" w:hAnsi="宋体"/>
                <w:sz w:val="24"/>
                <w:szCs w:val="24"/>
                <w:highlight w:val="none"/>
              </w:rPr>
            </w:pPr>
            <w:r>
              <w:rPr>
                <w:rFonts w:hint="eastAsia" w:ascii="宋体" w:hAnsi="宋体"/>
                <w:sz w:val="24"/>
                <w:szCs w:val="24"/>
                <w:highlight w:val="none"/>
              </w:rPr>
              <w:t>（二）电子化响应文件的格式及上传投标</w:t>
            </w:r>
          </w:p>
          <w:p w14:paraId="5AF0776D">
            <w:pPr>
              <w:ind w:firstLine="480" w:firstLineChars="200"/>
              <w:jc w:val="left"/>
              <w:rPr>
                <w:rFonts w:hint="eastAsia" w:ascii="宋体" w:hAnsi="宋体"/>
                <w:sz w:val="24"/>
                <w:szCs w:val="24"/>
                <w:highlight w:val="none"/>
              </w:rPr>
            </w:pPr>
            <w:r>
              <w:rPr>
                <w:rFonts w:hint="eastAsia" w:ascii="宋体" w:hAnsi="宋体"/>
                <w:sz w:val="24"/>
                <w:szCs w:val="24"/>
                <w:highlight w:val="none"/>
              </w:rPr>
              <w:t>1、响应人所上传的电子化响应文件，应是通过中心响应文件制作系统制作的（响应文件制作工具下载地址：</w:t>
            </w:r>
            <w:r>
              <w:rPr>
                <w:rFonts w:ascii="宋体" w:hAnsi="宋体"/>
                <w:sz w:val="24"/>
                <w:szCs w:val="24"/>
                <w:highlight w:val="none"/>
              </w:rPr>
              <w:t>https://download.bqpoint.com/download/downloaddetail.html?SourceFrom=Ztb&amp;ZtbSoftXiaQuCode=1532&amp;ZtbSoftType=tballinclusive</w:t>
            </w:r>
            <w:r>
              <w:rPr>
                <w:rFonts w:hint="eastAsia" w:ascii="宋体" w:hAnsi="宋体"/>
                <w:sz w:val="24"/>
                <w:szCs w:val="24"/>
                <w:highlight w:val="none"/>
              </w:rPr>
              <w:t>），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14:paraId="7CF8F031">
            <w:pPr>
              <w:ind w:firstLine="480" w:firstLineChars="200"/>
              <w:rPr>
                <w:rFonts w:hint="eastAsia" w:ascii="宋体" w:hAnsi="宋体"/>
                <w:sz w:val="24"/>
                <w:szCs w:val="24"/>
                <w:highlight w:val="none"/>
              </w:rPr>
            </w:pPr>
            <w:r>
              <w:rPr>
                <w:rFonts w:hint="eastAsia" w:ascii="宋体" w:hAnsi="宋体"/>
                <w:sz w:val="24"/>
                <w:szCs w:val="24"/>
                <w:highlight w:val="none"/>
              </w:rPr>
              <w:t>注：响应人投报多个标段的，需要每个标段单独制作电子响应文件。</w:t>
            </w:r>
          </w:p>
          <w:p w14:paraId="448D1900">
            <w:pPr>
              <w:ind w:firstLine="480" w:firstLineChars="200"/>
              <w:rPr>
                <w:rFonts w:hint="eastAsia" w:ascii="宋体" w:hAnsi="宋体"/>
                <w:sz w:val="24"/>
                <w:szCs w:val="24"/>
                <w:highlight w:val="none"/>
              </w:rPr>
            </w:pPr>
            <w:r>
              <w:rPr>
                <w:rFonts w:hint="eastAsia" w:ascii="宋体" w:hAnsi="宋体"/>
                <w:sz w:val="24"/>
                <w:szCs w:val="24"/>
                <w:highlight w:val="none"/>
              </w:rPr>
              <w:t>2、电子化响应文件应在磋商截止时间前成功上传至三门峡市公共资源电子化交易系统。至磋商截止时间止，仍未上传成功的电子化响应文件将不予接收。</w:t>
            </w:r>
          </w:p>
          <w:p w14:paraId="01DD0571">
            <w:pPr>
              <w:ind w:firstLine="480" w:firstLineChars="200"/>
              <w:rPr>
                <w:rFonts w:hint="eastAsia" w:ascii="宋体" w:hAnsi="宋体"/>
                <w:sz w:val="24"/>
                <w:szCs w:val="24"/>
                <w:highlight w:val="none"/>
              </w:rPr>
            </w:pPr>
            <w:r>
              <w:rPr>
                <w:rFonts w:hint="eastAsia" w:ascii="宋体" w:hAnsi="宋体"/>
                <w:sz w:val="24"/>
                <w:szCs w:val="24"/>
                <w:highlight w:val="none"/>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技术联系电话：</w:t>
            </w:r>
            <w:r>
              <w:rPr>
                <w:rFonts w:ascii="宋体" w:hAnsi="宋体"/>
                <w:sz w:val="24"/>
                <w:szCs w:val="24"/>
                <w:highlight w:val="none"/>
              </w:rPr>
              <w:t>0398-3117871  客服</w:t>
            </w:r>
            <w:r>
              <w:rPr>
                <w:rFonts w:hint="eastAsia" w:ascii="宋体" w:hAnsi="宋体"/>
                <w:sz w:val="24"/>
                <w:szCs w:val="24"/>
                <w:highlight w:val="none"/>
              </w:rPr>
              <w:t>电话：4009980000</w:t>
            </w:r>
          </w:p>
          <w:p w14:paraId="0DA525A8">
            <w:pPr>
              <w:ind w:firstLine="480" w:firstLineChars="200"/>
              <w:rPr>
                <w:rFonts w:hint="eastAsia" w:ascii="宋体" w:hAnsi="宋体"/>
                <w:sz w:val="24"/>
                <w:szCs w:val="24"/>
                <w:highlight w:val="none"/>
              </w:rPr>
            </w:pPr>
            <w:r>
              <w:rPr>
                <w:rFonts w:hint="eastAsia" w:ascii="宋体" w:hAnsi="宋体"/>
                <w:sz w:val="24"/>
                <w:szCs w:val="24"/>
                <w:highlight w:val="none"/>
              </w:rPr>
              <w:t>（三）电子化项目开标、解密、评标</w:t>
            </w:r>
          </w:p>
          <w:p w14:paraId="6D87921B">
            <w:pPr>
              <w:ind w:firstLine="480" w:firstLineChars="200"/>
              <w:rPr>
                <w:rFonts w:hint="eastAsia" w:ascii="宋体" w:hAnsi="宋体"/>
                <w:sz w:val="24"/>
                <w:szCs w:val="24"/>
                <w:highlight w:val="none"/>
              </w:rPr>
            </w:pPr>
            <w:r>
              <w:rPr>
                <w:rFonts w:hint="eastAsia" w:ascii="宋体" w:hAnsi="宋体"/>
                <w:sz w:val="24"/>
                <w:szCs w:val="24"/>
                <w:highlight w:val="none"/>
              </w:rPr>
              <w:t>1、本项目采用电子化、无纸化进行磋商，开标当日，响应人无需到开标现场参加开标会议，响应人应当在磋商截止时间前，登陆不见面开标大厅选择登陆三门峡市公共资源电子招投标系统进行登陆（网址为</w:t>
            </w:r>
            <w:r>
              <w:rPr>
                <w:rFonts w:hint="eastAsia" w:ascii="宋体" w:hAnsi="宋体" w:cs="宋体"/>
                <w:sz w:val="24"/>
                <w:highlight w:val="none"/>
              </w:rPr>
              <w:t>http://120.194.249.36:10094/BidOpening/bidopeninghallaction/hall/login</w:t>
            </w:r>
            <w:r>
              <w:rPr>
                <w:rFonts w:hint="eastAsia" w:ascii="宋体" w:hAnsi="宋体"/>
                <w:sz w:val="24"/>
                <w:szCs w:val="24"/>
                <w:highlight w:val="none"/>
              </w:rPr>
              <w:t>）,在线准时参加开标活动并进行响应文件解密等。</w:t>
            </w:r>
          </w:p>
          <w:p w14:paraId="5DB32EDC">
            <w:pPr>
              <w:ind w:firstLine="480" w:firstLineChars="200"/>
              <w:rPr>
                <w:rFonts w:hint="eastAsia" w:ascii="宋体" w:hAnsi="宋体"/>
                <w:sz w:val="24"/>
                <w:szCs w:val="24"/>
                <w:highlight w:val="none"/>
              </w:rPr>
            </w:pPr>
            <w:r>
              <w:rPr>
                <w:rFonts w:hint="eastAsia" w:ascii="宋体" w:hAnsi="宋体"/>
                <w:sz w:val="24"/>
                <w:szCs w:val="24"/>
                <w:highlight w:val="none"/>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7231C1EE">
            <w:pPr>
              <w:ind w:firstLine="480" w:firstLineChars="200"/>
              <w:rPr>
                <w:rFonts w:hint="eastAsia" w:ascii="宋体" w:hAnsi="宋体"/>
                <w:sz w:val="24"/>
                <w:szCs w:val="24"/>
                <w:highlight w:val="none"/>
              </w:rPr>
            </w:pPr>
            <w:r>
              <w:rPr>
                <w:rFonts w:hint="eastAsia" w:ascii="宋体" w:hAnsi="宋体"/>
                <w:sz w:val="24"/>
                <w:szCs w:val="24"/>
                <w:highlight w:val="none"/>
              </w:rPr>
              <w:t>3、电子化响应文件解密异常的处理</w:t>
            </w:r>
          </w:p>
          <w:p w14:paraId="6728FC54">
            <w:pPr>
              <w:ind w:firstLine="480" w:firstLineChars="200"/>
              <w:rPr>
                <w:rFonts w:hint="eastAsia" w:ascii="宋体" w:hAnsi="宋体"/>
                <w:sz w:val="24"/>
                <w:szCs w:val="24"/>
                <w:highlight w:val="none"/>
              </w:rPr>
            </w:pPr>
            <w:r>
              <w:rPr>
                <w:rFonts w:hint="eastAsia" w:ascii="宋体" w:hAnsi="宋体"/>
                <w:sz w:val="24"/>
                <w:szCs w:val="24"/>
                <w:highlight w:val="none"/>
              </w:rPr>
              <w:t>如出现响应人的电子响应文件无法解密等异常情况，响应人应及时致电中介服务机构说明。响应文件异常，按以下步骤进行处理：</w:t>
            </w:r>
          </w:p>
          <w:p w14:paraId="31DE3ECD">
            <w:pPr>
              <w:ind w:firstLine="480" w:firstLineChars="200"/>
              <w:rPr>
                <w:rFonts w:hint="eastAsia" w:ascii="宋体" w:hAnsi="宋体"/>
                <w:sz w:val="24"/>
                <w:szCs w:val="24"/>
                <w:highlight w:val="none"/>
              </w:rPr>
            </w:pPr>
            <w:r>
              <w:rPr>
                <w:rFonts w:hint="eastAsia" w:ascii="宋体" w:hAnsi="宋体"/>
                <w:sz w:val="24"/>
                <w:szCs w:val="24"/>
                <w:highlight w:val="none"/>
              </w:rPr>
              <w:t>（1）首先由技术人员进行问题排查。</w:t>
            </w:r>
          </w:p>
          <w:p w14:paraId="0D186551">
            <w:pPr>
              <w:ind w:firstLine="480" w:firstLineChars="200"/>
              <w:rPr>
                <w:rFonts w:hint="eastAsia" w:ascii="宋体" w:hAnsi="宋体"/>
                <w:sz w:val="24"/>
                <w:szCs w:val="24"/>
                <w:highlight w:val="none"/>
              </w:rPr>
            </w:pPr>
            <w:r>
              <w:rPr>
                <w:rFonts w:hint="eastAsia" w:ascii="宋体" w:hAnsi="宋体"/>
                <w:sz w:val="24"/>
                <w:szCs w:val="24"/>
                <w:highlight w:val="none"/>
              </w:rPr>
              <w:t>（2）经技术人员排查后，是响应人文件自身问题导致投标文件无法解密的，该响应文件将不予接收、解密。开标会议继续进行。</w:t>
            </w:r>
          </w:p>
          <w:p w14:paraId="521D4FBD">
            <w:pPr>
              <w:ind w:firstLine="480" w:firstLineChars="200"/>
              <w:rPr>
                <w:rFonts w:hint="eastAsia" w:ascii="宋体" w:hAnsi="宋体"/>
                <w:sz w:val="24"/>
                <w:szCs w:val="24"/>
                <w:highlight w:val="none"/>
              </w:rPr>
            </w:pPr>
            <w:r>
              <w:rPr>
                <w:rFonts w:hint="eastAsia" w:ascii="宋体" w:hAnsi="宋体"/>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6770DF39">
            <w:pPr>
              <w:ind w:firstLine="480" w:firstLineChars="200"/>
              <w:rPr>
                <w:rFonts w:hint="eastAsia" w:ascii="宋体" w:hAnsi="宋体"/>
                <w:sz w:val="24"/>
                <w:szCs w:val="24"/>
                <w:highlight w:val="none"/>
              </w:rPr>
            </w:pPr>
            <w:r>
              <w:rPr>
                <w:rFonts w:hint="eastAsia" w:ascii="宋体" w:hAnsi="宋体"/>
                <w:sz w:val="24"/>
                <w:szCs w:val="24"/>
                <w:highlight w:val="none"/>
              </w:rPr>
              <w:t>4、待所有响应人响应文件解密完成后，由中介服务机构操作，对所有已解密响应文件进行解密。</w:t>
            </w:r>
          </w:p>
          <w:p w14:paraId="3127132F">
            <w:pPr>
              <w:ind w:firstLine="480" w:firstLineChars="200"/>
              <w:rPr>
                <w:rFonts w:hint="eastAsia" w:ascii="宋体" w:hAnsi="宋体"/>
                <w:sz w:val="24"/>
                <w:szCs w:val="24"/>
                <w:highlight w:val="none"/>
              </w:rPr>
            </w:pPr>
            <w:r>
              <w:rPr>
                <w:rFonts w:hint="eastAsia" w:ascii="宋体" w:hAnsi="宋体"/>
                <w:sz w:val="24"/>
                <w:szCs w:val="24"/>
                <w:highlight w:val="none"/>
              </w:rPr>
              <w:t>响应人应保证在磋商期间电话、电脑、网络能够正常工作，响应人因停电、电脑病毒、网络堵塞等原因，未在规定的解密时间内对响应文件进行解密的，其响应文件不予接收。</w:t>
            </w:r>
          </w:p>
          <w:p w14:paraId="4960E6B4">
            <w:pPr>
              <w:ind w:firstLine="480" w:firstLineChars="200"/>
              <w:rPr>
                <w:rFonts w:hint="eastAsia" w:ascii="宋体" w:hAnsi="宋体"/>
                <w:sz w:val="24"/>
                <w:szCs w:val="24"/>
                <w:highlight w:val="none"/>
              </w:rPr>
            </w:pPr>
            <w:r>
              <w:rPr>
                <w:rFonts w:hint="eastAsia" w:ascii="宋体" w:hAnsi="宋体"/>
                <w:sz w:val="24"/>
                <w:szCs w:val="24"/>
                <w:highlight w:val="none"/>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636B288C">
            <w:pPr>
              <w:ind w:firstLine="480" w:firstLineChars="200"/>
              <w:rPr>
                <w:rFonts w:hint="eastAsia" w:ascii="宋体" w:hAnsi="宋体"/>
                <w:sz w:val="24"/>
                <w:szCs w:val="24"/>
                <w:highlight w:val="none"/>
              </w:rPr>
            </w:pPr>
            <w:r>
              <w:rPr>
                <w:rFonts w:hint="eastAsia" w:ascii="宋体" w:hAnsi="宋体"/>
                <w:sz w:val="24"/>
                <w:szCs w:val="24"/>
                <w:highlight w:val="none"/>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7E92EA58">
            <w:pPr>
              <w:ind w:firstLine="480" w:firstLineChars="200"/>
              <w:rPr>
                <w:rFonts w:hint="eastAsia" w:ascii="宋体" w:hAnsi="宋体"/>
                <w:sz w:val="24"/>
                <w:szCs w:val="24"/>
                <w:highlight w:val="none"/>
              </w:rPr>
            </w:pPr>
            <w:r>
              <w:rPr>
                <w:rFonts w:hint="eastAsia" w:ascii="宋体" w:hAnsi="宋体"/>
                <w:sz w:val="24"/>
                <w:szCs w:val="24"/>
                <w:highlight w:val="none"/>
              </w:rPr>
              <w:t>7、如评标委员会对需要回复的响应人连续三次致电未接通的，视为响应人放弃回复，评标委员会将自行对需要回复的内容进行认定。</w:t>
            </w:r>
          </w:p>
          <w:p w14:paraId="340D8A80">
            <w:pPr>
              <w:ind w:firstLine="480" w:firstLineChars="200"/>
              <w:rPr>
                <w:rFonts w:hint="eastAsia" w:ascii="宋体" w:hAnsi="宋体"/>
                <w:sz w:val="24"/>
                <w:szCs w:val="24"/>
                <w:highlight w:val="none"/>
              </w:rPr>
            </w:pPr>
            <w:r>
              <w:rPr>
                <w:rFonts w:hint="eastAsia" w:ascii="宋体" w:hAnsi="宋体"/>
                <w:sz w:val="24"/>
                <w:szCs w:val="24"/>
                <w:highlight w:val="none"/>
              </w:rPr>
              <w:t>二、相关证书原件的提交</w:t>
            </w:r>
          </w:p>
          <w:p w14:paraId="75CDEB0E">
            <w:pPr>
              <w:spacing w:line="400" w:lineRule="exact"/>
              <w:ind w:firstLine="480" w:firstLineChars="200"/>
              <w:rPr>
                <w:rFonts w:ascii="宋体" w:hAnsi="宋体"/>
                <w:sz w:val="24"/>
                <w:szCs w:val="24"/>
                <w:highlight w:val="none"/>
              </w:rPr>
            </w:pPr>
            <w:r>
              <w:rPr>
                <w:rFonts w:hint="eastAsia" w:ascii="宋体" w:hAnsi="宋体"/>
                <w:sz w:val="24"/>
                <w:szCs w:val="24"/>
                <w:highlight w:val="none"/>
              </w:rPr>
              <w:t>（一）响应人应保证上传内容齐全，真实有效，原件扫描件清晰可辨。因响应人上传原因导致应得分项而未得分或资格审查不合格等情况的，由响应人自行承担责任。</w:t>
            </w:r>
          </w:p>
          <w:p w14:paraId="7E711264">
            <w:pPr>
              <w:spacing w:line="400" w:lineRule="exact"/>
              <w:ind w:firstLine="482" w:firstLineChars="200"/>
              <w:rPr>
                <w:rFonts w:ascii="宋体" w:hAnsi="宋体" w:cs="宋体"/>
                <w:b/>
                <w:bCs/>
                <w:kern w:val="0"/>
                <w:sz w:val="24"/>
                <w:szCs w:val="24"/>
                <w:highlight w:val="none"/>
              </w:rPr>
            </w:pPr>
            <w:r>
              <w:rPr>
                <w:rFonts w:hint="eastAsia" w:ascii="宋体" w:hAnsi="宋体"/>
                <w:b/>
                <w:sz w:val="24"/>
                <w:szCs w:val="24"/>
                <w:highlight w:val="none"/>
              </w:rPr>
              <w:t>提示：本项目为电子化、无纸化交易项目，为保证您能投标成功，请需仔细阅读以上条款。</w:t>
            </w:r>
          </w:p>
        </w:tc>
      </w:tr>
    </w:tbl>
    <w:p w14:paraId="7976E853">
      <w:pPr>
        <w:rPr>
          <w:rFonts w:ascii="宋体" w:hAnsi="宋体" w:cs="宋体"/>
          <w:b/>
          <w:bCs/>
          <w:kern w:val="0"/>
          <w:sz w:val="24"/>
          <w:szCs w:val="24"/>
          <w:highlight w:val="none"/>
        </w:rPr>
      </w:pPr>
    </w:p>
    <w:p w14:paraId="3BDA5D5D">
      <w:pPr>
        <w:spacing w:line="520" w:lineRule="exact"/>
        <w:ind w:firstLine="482" w:firstLineChars="200"/>
        <w:outlineLvl w:val="0"/>
        <w:rPr>
          <w:rFonts w:hint="eastAsia" w:ascii="宋体" w:hAnsi="宋体" w:cs="宋体"/>
          <w:b/>
          <w:bCs/>
          <w:kern w:val="0"/>
          <w:sz w:val="24"/>
          <w:szCs w:val="24"/>
          <w:highlight w:val="none"/>
        </w:rPr>
      </w:pPr>
      <w:bookmarkStart w:id="19" w:name="_Toc22065"/>
      <w:r>
        <w:rPr>
          <w:rFonts w:hint="eastAsia" w:ascii="宋体" w:hAnsi="宋体" w:cs="宋体"/>
          <w:b/>
          <w:bCs/>
          <w:kern w:val="0"/>
          <w:sz w:val="24"/>
          <w:szCs w:val="24"/>
          <w:highlight w:val="none"/>
        </w:rPr>
        <w:t>1.总则</w:t>
      </w:r>
      <w:bookmarkEnd w:id="19"/>
    </w:p>
    <w:p w14:paraId="5AF0C717">
      <w:pPr>
        <w:spacing w:line="520" w:lineRule="exact"/>
        <w:ind w:firstLine="482" w:firstLineChars="200"/>
        <w:outlineLvl w:val="1"/>
        <w:rPr>
          <w:rFonts w:hint="eastAsia" w:ascii="宋体" w:hAnsi="宋体" w:cs="宋体"/>
          <w:b/>
          <w:bCs/>
          <w:kern w:val="0"/>
          <w:sz w:val="24"/>
          <w:szCs w:val="24"/>
          <w:highlight w:val="none"/>
        </w:rPr>
      </w:pPr>
      <w:r>
        <w:rPr>
          <w:rFonts w:hint="eastAsia" w:ascii="宋体" w:hAnsi="宋体" w:cs="宋体"/>
          <w:b/>
          <w:bCs/>
          <w:kern w:val="0"/>
          <w:sz w:val="24"/>
          <w:szCs w:val="24"/>
          <w:highlight w:val="none"/>
        </w:rPr>
        <w:t>1.1项目概况</w:t>
      </w:r>
    </w:p>
    <w:p w14:paraId="14D0A67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   1.1.1 根据《中华人民共和国招标投标法》《中华人民共和国政府采购法》《政府采购竞争性磋商采购方式管理办法》《政府采购货物和服务招标投标管理办法》等有关法律、法规和规章的规定，本项目已具备磋商条件，现对本项目进行竞争性磋商。</w:t>
      </w:r>
    </w:p>
    <w:p w14:paraId="572B083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1.1.2 本招标项目招标人：见响应人须知前附表。</w:t>
      </w:r>
    </w:p>
    <w:p w14:paraId="5249880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1.1.3 本招标项目招标代理机构：见响应人须知前附表。</w:t>
      </w:r>
    </w:p>
    <w:p w14:paraId="6392B6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1.1.4 本招标项目名称：见响应人须知前附表。</w:t>
      </w:r>
    </w:p>
    <w:p w14:paraId="0741D64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1.1.5 本招标项目建设地点：见响应人须知前附表。</w:t>
      </w:r>
    </w:p>
    <w:p w14:paraId="33B2550F">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1.2 资金来源</w:t>
      </w:r>
    </w:p>
    <w:p w14:paraId="568F2C3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1.2.1 本招标项目的资金来源：见响应人须知前附表。</w:t>
      </w:r>
    </w:p>
    <w:p w14:paraId="4BF51973">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1.3 磋商范围、计划工期和质量要求</w:t>
      </w:r>
    </w:p>
    <w:p w14:paraId="2099C32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1.3.1 本次磋商范围：见响应人须知前附表。</w:t>
      </w:r>
    </w:p>
    <w:p w14:paraId="64A7EFF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1.3.2 本工程的计划工期：见响应人须知前附表。</w:t>
      </w:r>
    </w:p>
    <w:p w14:paraId="3B4D6EB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1.3.3 本工程的质量要求：见响应人须知前附表。</w:t>
      </w:r>
    </w:p>
    <w:p w14:paraId="5552737A">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1.4响应人资格要求</w:t>
      </w:r>
    </w:p>
    <w:p w14:paraId="572B956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1.4.1 响应人应具备承担本工程施工的资质条件、能力和信誉见前附表。</w:t>
      </w:r>
    </w:p>
    <w:p w14:paraId="628E3D3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1.4.2 响应人不得存在下列情形之一：</w:t>
      </w:r>
    </w:p>
    <w:p w14:paraId="522DD70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(l）为招标人不具有独立法人资格的附属机构（单位）；</w:t>
      </w:r>
    </w:p>
    <w:p w14:paraId="7D428BC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(2）为本磋商项目前期准备提供设计或咨询服务，但设计施工总承包的除外；</w:t>
      </w:r>
    </w:p>
    <w:p w14:paraId="33D9770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(3）为本磋商项目的监理人；</w:t>
      </w:r>
    </w:p>
    <w:p w14:paraId="7133BDC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(4）为本磋商项目的代建人；</w:t>
      </w:r>
    </w:p>
    <w:p w14:paraId="17BBCB7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(5）为本磋商项目提供采购代理服务的；</w:t>
      </w:r>
    </w:p>
    <w:p w14:paraId="6B1022DF">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(6）与本磋商项目的监理人或代建人或采购代理机构同为一个法定代表人的；</w:t>
      </w:r>
    </w:p>
    <w:p w14:paraId="4C5FE26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(7）与本磋商项目的监理人或代建人或采购代理机构相互控股或参股的；</w:t>
      </w:r>
    </w:p>
    <w:p w14:paraId="434E142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(8）与本磋商项目的监理人或代建人或采购代理机构相互任职或工作的；</w:t>
      </w:r>
    </w:p>
    <w:p w14:paraId="136ACD5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(9）被责令停业的；</w:t>
      </w:r>
    </w:p>
    <w:p w14:paraId="0BE7D31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(10）被暂停或取消磋商资格的；</w:t>
      </w:r>
    </w:p>
    <w:p w14:paraId="5C79574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(11）财产被接管或冻结的；</w:t>
      </w:r>
    </w:p>
    <w:p w14:paraId="25DAB42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(12）在最近三年内有骗取成交或严重违约或重大质量问题的。</w:t>
      </w:r>
    </w:p>
    <w:p w14:paraId="535ADC6F">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1.5 费用承担</w:t>
      </w:r>
    </w:p>
    <w:p w14:paraId="6371C61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响应人准备和参加磋商活动发生的费用自理。</w:t>
      </w:r>
    </w:p>
    <w:p w14:paraId="79DEDAA5">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1.6 保密</w:t>
      </w:r>
    </w:p>
    <w:p w14:paraId="50B7B16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参与磋商活动的各方应对磋商文件和响应文件中的商业和技术等秘密保密，违者应对由此造成的后果承担法律责任。</w:t>
      </w:r>
    </w:p>
    <w:p w14:paraId="1DFF7E26">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1.7 语言文字</w:t>
      </w:r>
    </w:p>
    <w:p w14:paraId="6DCCFBD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除专用术语外，与采购磋商有关的语言均使用中文。必要时专用术语应附有中文注释。</w:t>
      </w:r>
    </w:p>
    <w:p w14:paraId="17879DE9">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1.8 计量单位</w:t>
      </w:r>
    </w:p>
    <w:p w14:paraId="06BC451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14:paraId="6B57CD07">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1.9 踏勘现场</w:t>
      </w:r>
    </w:p>
    <w:p w14:paraId="44DA7A3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不组织。</w:t>
      </w:r>
    </w:p>
    <w:p w14:paraId="0D0FD766">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1.10 磋商预备会</w:t>
      </w:r>
    </w:p>
    <w:p w14:paraId="0231B7C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不组织</w:t>
      </w:r>
    </w:p>
    <w:p w14:paraId="47D5B002">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1.11 分包</w:t>
      </w:r>
    </w:p>
    <w:p w14:paraId="42D2D60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不允许分包。</w:t>
      </w:r>
    </w:p>
    <w:p w14:paraId="1B0C17DD">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1.12 偏离</w:t>
      </w:r>
    </w:p>
    <w:p w14:paraId="512F2234">
      <w:pPr>
        <w:spacing w:line="520" w:lineRule="exact"/>
        <w:ind w:firstLine="480" w:firstLineChars="200"/>
        <w:rPr>
          <w:rFonts w:hint="eastAsia" w:ascii="宋体" w:hAnsi="宋体" w:cs="宋体"/>
          <w:sz w:val="24"/>
          <w:szCs w:val="24"/>
          <w:highlight w:val="none"/>
        </w:rPr>
      </w:pPr>
      <w:bookmarkStart w:id="20" w:name="_Toc184635072"/>
      <w:bookmarkEnd w:id="20"/>
      <w:r>
        <w:rPr>
          <w:rFonts w:hint="eastAsia" w:ascii="宋体" w:hAnsi="宋体" w:cs="宋体"/>
          <w:sz w:val="24"/>
          <w:szCs w:val="24"/>
          <w:highlight w:val="none"/>
        </w:rPr>
        <w:t>不允许偏离。</w:t>
      </w:r>
    </w:p>
    <w:p w14:paraId="4B3E8874">
      <w:pPr>
        <w:keepNext/>
        <w:keepLines/>
        <w:spacing w:line="520" w:lineRule="exact"/>
        <w:ind w:left="851" w:leftChars="0" w:hanging="284" w:firstLineChars="0"/>
        <w:outlineLvl w:val="0"/>
        <w:rPr>
          <w:rFonts w:hint="eastAsia" w:ascii="宋体" w:hAnsi="宋体" w:cs="宋体"/>
          <w:sz w:val="24"/>
          <w:szCs w:val="24"/>
          <w:highlight w:val="none"/>
        </w:rPr>
      </w:pPr>
      <w:bookmarkStart w:id="21" w:name="_Toc466566784"/>
      <w:bookmarkEnd w:id="21"/>
      <w:bookmarkStart w:id="22" w:name="_Toc11942"/>
      <w:bookmarkStart w:id="23" w:name="_Toc466566695"/>
      <w:r>
        <w:rPr>
          <w:rFonts w:hint="eastAsia" w:ascii="宋体" w:hAnsi="宋体" w:cs="宋体"/>
          <w:sz w:val="24"/>
          <w:szCs w:val="24"/>
          <w:highlight w:val="none"/>
        </w:rPr>
        <w:t>2．竞争性磋商文件</w:t>
      </w:r>
      <w:bookmarkEnd w:id="22"/>
      <w:bookmarkEnd w:id="23"/>
    </w:p>
    <w:p w14:paraId="151B8B79">
      <w:pPr>
        <w:keepNext/>
        <w:keepLines/>
        <w:spacing w:line="520" w:lineRule="exact"/>
        <w:ind w:left="851" w:hanging="284"/>
        <w:outlineLvl w:val="1"/>
        <w:rPr>
          <w:rFonts w:hint="eastAsia" w:ascii="宋体" w:hAnsi="宋体" w:cs="宋体"/>
          <w:sz w:val="24"/>
          <w:szCs w:val="24"/>
          <w:highlight w:val="none"/>
        </w:rPr>
      </w:pPr>
      <w:r>
        <w:rPr>
          <w:rFonts w:hint="eastAsia" w:ascii="宋体" w:hAnsi="宋体" w:cs="宋体"/>
          <w:sz w:val="24"/>
          <w:szCs w:val="24"/>
          <w:highlight w:val="none"/>
        </w:rPr>
        <w:t>2.1 竞争性磋商文件的组成</w:t>
      </w:r>
    </w:p>
    <w:p w14:paraId="2F9B02E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本竞争性磋商文件包括：</w:t>
      </w:r>
    </w:p>
    <w:p w14:paraId="347697E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(1）竞争性磋商公告；</w:t>
      </w:r>
    </w:p>
    <w:p w14:paraId="3917FBC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(2）响应人须知；</w:t>
      </w:r>
    </w:p>
    <w:p w14:paraId="2993A6A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(3）磋商办法；</w:t>
      </w:r>
    </w:p>
    <w:p w14:paraId="65467C51">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(4）合同条款及格式；</w:t>
      </w:r>
    </w:p>
    <w:p w14:paraId="518E410F">
      <w:pPr>
        <w:spacing w:line="520" w:lineRule="exact"/>
        <w:ind w:firstLine="424" w:firstLineChars="177"/>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采购</w:t>
      </w:r>
      <w:r>
        <w:rPr>
          <w:rFonts w:hint="eastAsia" w:ascii="宋体" w:hAnsi="宋体" w:cs="宋体"/>
          <w:sz w:val="24"/>
          <w:szCs w:val="24"/>
        </w:rPr>
        <w:t>清单；</w:t>
      </w:r>
    </w:p>
    <w:p w14:paraId="054950D0">
      <w:pPr>
        <w:spacing w:line="520" w:lineRule="exact"/>
        <w:ind w:firstLine="424" w:firstLineChars="177"/>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）响应文件格式；</w:t>
      </w:r>
    </w:p>
    <w:p w14:paraId="66EC60A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对竞争性磋商文件所作的澄清、修改，构成竞争性文件的组成部分。</w:t>
      </w:r>
    </w:p>
    <w:p w14:paraId="0146BC60">
      <w:pPr>
        <w:keepNext/>
        <w:keepLines/>
        <w:spacing w:line="520" w:lineRule="exact"/>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2.2 竞争性磋商文件的澄清</w:t>
      </w:r>
    </w:p>
    <w:p w14:paraId="3F8E1B9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2.2.1</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响应人应仔细阅读和检查竞争性磋商文件的全部内容。如发现内容不完整或附件不全，应及时向招标人提出，以便补齐。如有疑问，应在响应人须知前附表规定的时间在三门峡市公共资源交易系统中提出质询，要求招标人对竞争性磋商文件予以澄清。</w:t>
      </w:r>
      <w:r>
        <w:rPr>
          <w:rFonts w:hint="eastAsia" w:ascii="宋体" w:hAnsi="宋体" w:cs="宋体"/>
          <w:sz w:val="24"/>
          <w:szCs w:val="24"/>
          <w:highlight w:val="none"/>
        </w:rPr>
        <w:br w:type="textWrapping"/>
      </w:r>
      <w:r>
        <w:rPr>
          <w:rFonts w:hint="eastAsia" w:ascii="宋体" w:hAnsi="宋体" w:cs="宋体"/>
          <w:sz w:val="24"/>
          <w:szCs w:val="24"/>
          <w:highlight w:val="none"/>
        </w:rPr>
        <w:t xml:space="preserve">    2.2.2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14:paraId="136E105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2.2.3 响应人应自行查看澄清信息。</w:t>
      </w:r>
    </w:p>
    <w:p w14:paraId="79BA453B">
      <w:pPr>
        <w:spacing w:line="360" w:lineRule="auto"/>
        <w:ind w:firstLine="482" w:firstLineChars="200"/>
        <w:outlineLvl w:val="1"/>
        <w:rPr>
          <w:rFonts w:hint="eastAsia" w:ascii="宋体" w:hAnsi="宋体" w:cs="宋体"/>
          <w:b/>
          <w:bCs/>
          <w:sz w:val="24"/>
          <w:szCs w:val="24"/>
          <w:highlight w:val="none"/>
        </w:rPr>
      </w:pPr>
      <w:r>
        <w:rPr>
          <w:rFonts w:hint="eastAsia" w:ascii="宋体" w:hAnsi="宋体" w:cs="宋体"/>
          <w:b/>
          <w:bCs/>
          <w:sz w:val="24"/>
          <w:szCs w:val="24"/>
          <w:highlight w:val="none"/>
        </w:rPr>
        <w:t>2.3 竞争性磋商文件的修改</w:t>
      </w:r>
    </w:p>
    <w:p w14:paraId="40B17A57">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2.3.1 在磋商截止时间5天前，招标人可以修改竞争性磋商文件，并以变更公告形式通知所有已购买竞争性磋商文件的响应人</w:t>
      </w:r>
      <w:r>
        <w:rPr>
          <w:rFonts w:hint="eastAsia" w:ascii="宋体" w:hAnsi="宋体" w:cs="宋体"/>
          <w:sz w:val="24"/>
          <w:szCs w:val="24"/>
          <w:highlight w:val="none"/>
          <w:lang w:eastAsia="zh-CN"/>
        </w:rPr>
        <w:t>。</w:t>
      </w:r>
    </w:p>
    <w:p w14:paraId="57A0CB2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2.3.2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38AA73C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2.3.3为使响应人在准备响应文件时有合理的时间考虑竞争性磋商文件的修改，招标代理机构可酌情推迟磋商截止时间和磋商时间，但应当至少在磋商截止时间三个日历日前将变更时间以发布变更公告的形式通知所有响应人。该修改内容为竞争性磋商文件的组成部分。在此情况下，招标人和响应人受磋商截止期制约的所有权利和义务均应延长至新的截止日期。</w:t>
      </w:r>
      <w:bookmarkStart w:id="24" w:name="_Toc184635073"/>
      <w:bookmarkEnd w:id="24"/>
      <w:r>
        <w:rPr>
          <w:rFonts w:hint="eastAsia" w:ascii="宋体" w:hAnsi="宋体" w:cs="宋体"/>
          <w:sz w:val="24"/>
          <w:szCs w:val="24"/>
          <w:highlight w:val="none"/>
        </w:rPr>
        <w:t xml:space="preserve"> </w:t>
      </w:r>
    </w:p>
    <w:p w14:paraId="645D22D6">
      <w:pPr>
        <w:spacing w:line="360" w:lineRule="auto"/>
        <w:ind w:firstLine="482" w:firstLineChars="200"/>
        <w:outlineLvl w:val="0"/>
        <w:rPr>
          <w:rFonts w:hint="eastAsia" w:ascii="宋体" w:hAnsi="宋体" w:cs="宋体"/>
          <w:b/>
          <w:sz w:val="24"/>
          <w:szCs w:val="24"/>
          <w:highlight w:val="none"/>
        </w:rPr>
      </w:pPr>
      <w:bookmarkStart w:id="25" w:name="_Toc20330"/>
      <w:r>
        <w:rPr>
          <w:rFonts w:hint="eastAsia" w:ascii="宋体" w:hAnsi="宋体" w:cs="宋体"/>
          <w:b/>
          <w:sz w:val="24"/>
          <w:szCs w:val="24"/>
          <w:highlight w:val="none"/>
        </w:rPr>
        <w:t>3．响应文件</w:t>
      </w:r>
      <w:bookmarkEnd w:id="25"/>
    </w:p>
    <w:p w14:paraId="540DF04A">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3.1 响应文件的组成</w:t>
      </w:r>
    </w:p>
    <w:p w14:paraId="65FBEE1A">
      <w:pPr>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3.1.1 响应文件应包括下列内容：</w:t>
      </w:r>
    </w:p>
    <w:p w14:paraId="0335F2C0">
      <w:pPr>
        <w:autoSpaceDE w:val="0"/>
        <w:autoSpaceDN w:val="0"/>
        <w:adjustRightInd w:val="0"/>
        <w:spacing w:line="480" w:lineRule="exact"/>
        <w:ind w:firstLine="482" w:firstLineChars="200"/>
        <w:jc w:val="left"/>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详见第六章响应文件格式</w:t>
      </w:r>
    </w:p>
    <w:p w14:paraId="5332FFDE">
      <w:pPr>
        <w:autoSpaceDE w:val="0"/>
        <w:autoSpaceDN w:val="0"/>
        <w:adjustRightInd w:val="0"/>
        <w:spacing w:line="480" w:lineRule="exact"/>
        <w:ind w:firstLine="482" w:firstLineChars="200"/>
        <w:jc w:val="left"/>
        <w:rPr>
          <w:rFonts w:hint="eastAsia" w:ascii="宋体" w:hAnsi="宋体" w:cs="宋体"/>
          <w:b/>
          <w:bCs/>
          <w:kern w:val="0"/>
          <w:sz w:val="24"/>
          <w:szCs w:val="24"/>
          <w:highlight w:val="none"/>
        </w:rPr>
      </w:pPr>
      <w:r>
        <w:rPr>
          <w:rFonts w:hint="eastAsia" w:ascii="宋体" w:hAnsi="宋体" w:cs="宋体"/>
          <w:b/>
          <w:bCs/>
          <w:kern w:val="0"/>
          <w:sz w:val="24"/>
          <w:szCs w:val="24"/>
          <w:highlight w:val="none"/>
        </w:rPr>
        <w:t>3.2 磋商报价</w:t>
      </w:r>
    </w:p>
    <w:p w14:paraId="0D4B59DA">
      <w:pPr>
        <w:spacing w:line="336" w:lineRule="auto"/>
        <w:ind w:firstLine="480" w:firstLineChars="200"/>
        <w:rPr>
          <w:rFonts w:ascii="宋体" w:hAnsi="宋体"/>
          <w:sz w:val="24"/>
          <w:szCs w:val="24"/>
          <w:highlight w:val="none"/>
        </w:rPr>
      </w:pPr>
      <w:r>
        <w:rPr>
          <w:rFonts w:ascii="宋体" w:hAnsi="宋体" w:cs="_5b8b_4f53"/>
          <w:bCs/>
          <w:sz w:val="24"/>
          <w:szCs w:val="24"/>
          <w:highlight w:val="none"/>
        </w:rPr>
        <w:t>3</w:t>
      </w:r>
      <w:r>
        <w:rPr>
          <w:rFonts w:hint="eastAsia" w:ascii="宋体" w:hAnsi="宋体" w:cs="_5b8b_4f53"/>
          <w:bCs/>
          <w:sz w:val="24"/>
          <w:szCs w:val="24"/>
          <w:highlight w:val="none"/>
        </w:rPr>
        <w:t>.</w:t>
      </w:r>
      <w:r>
        <w:rPr>
          <w:rFonts w:ascii="宋体" w:hAnsi="宋体" w:cs="_5b8b_4f53"/>
          <w:bCs/>
          <w:sz w:val="24"/>
          <w:szCs w:val="24"/>
          <w:highlight w:val="none"/>
        </w:rPr>
        <w:t>2.</w:t>
      </w:r>
      <w:r>
        <w:rPr>
          <w:rFonts w:hint="eastAsia" w:ascii="宋体" w:hAnsi="宋体" w:cs="_5b8b_4f53"/>
          <w:bCs/>
          <w:sz w:val="24"/>
          <w:szCs w:val="24"/>
          <w:highlight w:val="none"/>
        </w:rPr>
        <w:t>1</w:t>
      </w:r>
      <w:r>
        <w:rPr>
          <w:rFonts w:hint="eastAsia" w:ascii="宋体" w:hAnsi="宋体"/>
          <w:sz w:val="24"/>
          <w:szCs w:val="24"/>
          <w:highlight w:val="none"/>
        </w:rPr>
        <w:t>响应人的报价应含有所投项目、税费、交付后约定期限内免费后续工程等所发生的一切应有费用。</w:t>
      </w:r>
    </w:p>
    <w:p w14:paraId="221B8CD0">
      <w:pPr>
        <w:spacing w:line="336" w:lineRule="auto"/>
        <w:ind w:firstLine="480" w:firstLineChars="200"/>
        <w:rPr>
          <w:rFonts w:ascii="宋体" w:hAnsi="宋体"/>
          <w:sz w:val="24"/>
          <w:szCs w:val="24"/>
          <w:highlight w:val="none"/>
        </w:rPr>
      </w:pPr>
      <w:r>
        <w:rPr>
          <w:rFonts w:hint="eastAsia" w:ascii="宋体" w:hAnsi="宋体"/>
          <w:sz w:val="24"/>
          <w:szCs w:val="24"/>
          <w:highlight w:val="none"/>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65EA355D">
      <w:pPr>
        <w:spacing w:line="336" w:lineRule="auto"/>
        <w:ind w:firstLine="480" w:firstLineChars="200"/>
        <w:rPr>
          <w:rFonts w:ascii="宋体" w:hAnsi="宋体"/>
          <w:sz w:val="24"/>
          <w:szCs w:val="24"/>
          <w:highlight w:val="none"/>
        </w:rPr>
      </w:pPr>
      <w:r>
        <w:rPr>
          <w:rFonts w:hint="eastAsia" w:ascii="宋体" w:hAnsi="宋体"/>
          <w:sz w:val="24"/>
          <w:szCs w:val="24"/>
          <w:highlight w:val="none"/>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招标人不接受任何选择报价。</w:t>
      </w:r>
    </w:p>
    <w:p w14:paraId="7617E458">
      <w:pPr>
        <w:spacing w:line="336" w:lineRule="auto"/>
        <w:ind w:firstLine="480" w:firstLineChars="200"/>
        <w:rPr>
          <w:rFonts w:ascii="宋体" w:hAnsi="宋体"/>
          <w:sz w:val="24"/>
          <w:szCs w:val="24"/>
          <w:highlight w:val="none"/>
        </w:rPr>
      </w:pPr>
      <w:r>
        <w:rPr>
          <w:rFonts w:ascii="宋体" w:hAnsi="宋体"/>
          <w:sz w:val="24"/>
          <w:szCs w:val="24"/>
          <w:highlight w:val="none"/>
        </w:rPr>
        <w:t>3.2.3</w:t>
      </w:r>
      <w:r>
        <w:rPr>
          <w:rFonts w:hint="eastAsia" w:ascii="宋体" w:hAnsi="宋体"/>
          <w:sz w:val="24"/>
          <w:szCs w:val="24"/>
          <w:highlight w:val="none"/>
        </w:rPr>
        <w:t xml:space="preserve"> 磋商报价包括的风险范围为：响应人应结合自身条件，并充分考虑本项目难度、工期的要求、质量要求以及市场因素、现场环境因素、社会因素、市场价格调整因素等各方面原因合理报价。但不得低于企业实际成本。  </w:t>
      </w:r>
      <w:r>
        <w:rPr>
          <w:rFonts w:ascii="宋体" w:hAnsi="宋体"/>
          <w:sz w:val="24"/>
          <w:szCs w:val="24"/>
          <w:highlight w:val="none"/>
        </w:rPr>
        <w:t xml:space="preserve"> </w:t>
      </w:r>
    </w:p>
    <w:p w14:paraId="063B61AA">
      <w:pPr>
        <w:spacing w:line="336" w:lineRule="auto"/>
        <w:ind w:firstLine="480" w:firstLineChars="200"/>
        <w:rPr>
          <w:rFonts w:ascii="宋体" w:hAnsi="宋体"/>
          <w:sz w:val="24"/>
          <w:szCs w:val="24"/>
          <w:highlight w:val="none"/>
        </w:rPr>
      </w:pPr>
      <w:r>
        <w:rPr>
          <w:rFonts w:hint="eastAsia" w:ascii="宋体" w:hAnsi="宋体"/>
          <w:sz w:val="24"/>
          <w:szCs w:val="24"/>
          <w:highlight w:val="none"/>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招标人不另行支付。</w:t>
      </w:r>
    </w:p>
    <w:p w14:paraId="10590003">
      <w:pPr>
        <w:spacing w:line="336" w:lineRule="auto"/>
        <w:ind w:firstLine="480" w:firstLineChars="200"/>
        <w:rPr>
          <w:rFonts w:hint="eastAsia" w:ascii="宋体" w:hAnsi="宋体"/>
          <w:sz w:val="24"/>
          <w:szCs w:val="24"/>
          <w:highlight w:val="none"/>
        </w:rPr>
      </w:pPr>
      <w:r>
        <w:rPr>
          <w:rFonts w:ascii="宋体" w:hAnsi="宋体"/>
          <w:sz w:val="24"/>
          <w:szCs w:val="24"/>
          <w:highlight w:val="none"/>
        </w:rPr>
        <w:t>3.2.</w:t>
      </w:r>
      <w:r>
        <w:rPr>
          <w:rFonts w:hint="eastAsia" w:ascii="宋体" w:hAnsi="宋体"/>
          <w:sz w:val="24"/>
          <w:szCs w:val="24"/>
          <w:highlight w:val="none"/>
        </w:rPr>
        <w:t>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211C1D73">
      <w:pPr>
        <w:spacing w:line="336" w:lineRule="auto"/>
        <w:ind w:firstLine="480" w:firstLineChars="200"/>
        <w:rPr>
          <w:rFonts w:hint="eastAsia" w:ascii="宋体" w:hAnsi="宋体"/>
          <w:sz w:val="24"/>
          <w:szCs w:val="24"/>
          <w:highlight w:val="none"/>
        </w:rPr>
      </w:pPr>
      <w:r>
        <w:rPr>
          <w:rFonts w:ascii="宋体" w:hAnsi="宋体"/>
          <w:sz w:val="24"/>
          <w:szCs w:val="24"/>
          <w:highlight w:val="none"/>
        </w:rPr>
        <w:t>3.2.</w:t>
      </w:r>
      <w:r>
        <w:rPr>
          <w:rFonts w:hint="eastAsia" w:ascii="宋体" w:hAnsi="宋体"/>
          <w:sz w:val="24"/>
          <w:szCs w:val="24"/>
          <w:highlight w:val="none"/>
        </w:rPr>
        <w:t>5 全部报价均应以人民币为计量币种，并以人民币进行结算。</w:t>
      </w:r>
    </w:p>
    <w:p w14:paraId="5FD0D900">
      <w:pPr>
        <w:spacing w:line="336" w:lineRule="auto"/>
        <w:ind w:firstLine="480" w:firstLineChars="200"/>
        <w:rPr>
          <w:rFonts w:hint="eastAsia" w:ascii="宋体" w:hAnsi="宋体" w:cs="宋体"/>
          <w:sz w:val="24"/>
          <w:szCs w:val="24"/>
          <w:highlight w:val="none"/>
        </w:rPr>
      </w:pPr>
      <w:r>
        <w:rPr>
          <w:rFonts w:hint="eastAsia" w:ascii="宋体" w:hAnsi="宋体"/>
          <w:sz w:val="24"/>
          <w:szCs w:val="24"/>
          <w:highlight w:val="none"/>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w:t>
      </w:r>
      <w:r>
        <w:rPr>
          <w:rFonts w:hint="eastAsia" w:ascii="宋体" w:hAnsi="宋体" w:cs="宋体"/>
          <w:sz w:val="24"/>
          <w:szCs w:val="24"/>
          <w:highlight w:val="none"/>
        </w:rPr>
        <w:t>的风险费用，响应人成交后则无权因此要求任何服务周期或费用上的索赔。</w:t>
      </w:r>
    </w:p>
    <w:p w14:paraId="1D73B6E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3.2.7施工期间由于工程条件发生变化或响应人原因造成技术方案的更改，所增加的措施费用及服务周期一概不予调整，相应的费用响应人应在磋商报价中充分考虑，招标人不另支付。</w:t>
      </w:r>
    </w:p>
    <w:p w14:paraId="6ED243AF">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3.2.8增值税属不可竞争费用，如违背国家税收规定的，对未按规定计取增值税的响应人，其磋商报价按低于成本价处理。</w:t>
      </w:r>
    </w:p>
    <w:p w14:paraId="6230DBE5">
      <w:pPr>
        <w:keepNext/>
        <w:keepLines/>
        <w:spacing w:line="520" w:lineRule="exact"/>
        <w:ind w:firstLine="482" w:firstLineChars="200"/>
        <w:outlineLvl w:val="9"/>
        <w:rPr>
          <w:rFonts w:hint="eastAsia" w:ascii="宋体" w:hAnsi="宋体" w:cs="宋体"/>
          <w:b/>
          <w:bCs/>
          <w:sz w:val="24"/>
          <w:szCs w:val="24"/>
          <w:highlight w:val="none"/>
        </w:rPr>
      </w:pPr>
      <w:r>
        <w:rPr>
          <w:rFonts w:hint="eastAsia" w:ascii="宋体" w:hAnsi="宋体" w:cs="宋体"/>
          <w:b/>
          <w:bCs/>
          <w:sz w:val="24"/>
          <w:szCs w:val="24"/>
          <w:highlight w:val="none"/>
        </w:rPr>
        <w:t>3.3 磋商有效期</w:t>
      </w:r>
    </w:p>
    <w:p w14:paraId="752CC4A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3.3.1 在响应人须知前附表规定的磋商有效期内，响应人不得要求撤销或修改其响应文件。</w:t>
      </w:r>
    </w:p>
    <w:p w14:paraId="371A5B7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3.3.2 出现特殊情况需要延长磋商有效期的，招标人以书面形式通知所有响应人延长磋商有效期。响应人同意延长的，不得要求或被允许修改或撤销其响应文件；响应人拒绝延长的，其磋商失效。</w:t>
      </w:r>
    </w:p>
    <w:p w14:paraId="3331A7B6">
      <w:pPr>
        <w:spacing w:line="480" w:lineRule="exact"/>
        <w:ind w:firstLine="482" w:firstLineChars="200"/>
        <w:jc w:val="left"/>
        <w:rPr>
          <w:rFonts w:hint="eastAsia" w:ascii="宋体" w:hAnsi="宋体" w:cs="宋体"/>
          <w:kern w:val="0"/>
          <w:sz w:val="24"/>
          <w:szCs w:val="24"/>
          <w:highlight w:val="none"/>
        </w:rPr>
      </w:pPr>
      <w:r>
        <w:rPr>
          <w:rFonts w:hint="eastAsia" w:ascii="宋体" w:hAnsi="宋体" w:cs="宋体"/>
          <w:b/>
          <w:sz w:val="24"/>
          <w:szCs w:val="24"/>
          <w:highlight w:val="none"/>
        </w:rPr>
        <w:t>3.4 磋商保证金：</w:t>
      </w:r>
      <w:r>
        <w:rPr>
          <w:rFonts w:hint="eastAsia" w:ascii="宋体" w:hAnsi="宋体" w:cs="宋体"/>
          <w:kern w:val="0"/>
          <w:sz w:val="24"/>
          <w:highlight w:val="none"/>
        </w:rPr>
        <w:t>按照《河南省财政厅关于</w:t>
      </w:r>
      <w:r>
        <w:rPr>
          <w:rFonts w:hint="eastAsia" w:ascii="宋体" w:hAnsi="宋体" w:cs="宋体"/>
          <w:kern w:val="0"/>
          <w:sz w:val="24"/>
          <w:szCs w:val="24"/>
          <w:highlight w:val="none"/>
        </w:rPr>
        <w:t>优化政府采购营商环境有关问题的通知》（豫财购[2019]4号文）的要求本项目不再收取磋商保证金。</w:t>
      </w:r>
    </w:p>
    <w:p w14:paraId="5DECB0DD">
      <w:pPr>
        <w:spacing w:line="480" w:lineRule="exact"/>
        <w:ind w:firstLine="482" w:firstLineChars="200"/>
        <w:jc w:val="left"/>
        <w:rPr>
          <w:rFonts w:hint="eastAsia" w:ascii="宋体" w:hAnsi="宋体" w:cs="宋体"/>
          <w:b/>
          <w:sz w:val="24"/>
          <w:szCs w:val="24"/>
          <w:highlight w:val="none"/>
        </w:rPr>
      </w:pPr>
      <w:r>
        <w:rPr>
          <w:rFonts w:hint="eastAsia" w:ascii="宋体" w:hAnsi="宋体" w:cs="宋体"/>
          <w:b/>
          <w:sz w:val="24"/>
          <w:szCs w:val="24"/>
          <w:highlight w:val="none"/>
        </w:rPr>
        <w:t>3.5 资格审查资料</w:t>
      </w:r>
    </w:p>
    <w:p w14:paraId="31BF5BAF">
      <w:pPr>
        <w:spacing w:line="48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3.5.1</w:t>
      </w:r>
      <w:r>
        <w:rPr>
          <w:rFonts w:ascii="宋体" w:hAnsi="宋体"/>
          <w:sz w:val="24"/>
          <w:szCs w:val="24"/>
          <w:highlight w:val="none"/>
        </w:rPr>
        <w:t>满足《中华人民共和国政府采购法》第二十二条规定；</w:t>
      </w:r>
    </w:p>
    <w:p w14:paraId="27DB9832">
      <w:pPr>
        <w:spacing w:line="480" w:lineRule="exact"/>
        <w:ind w:firstLine="480" w:firstLineChars="200"/>
        <w:rPr>
          <w:rFonts w:hint="eastAsia" w:ascii="宋体" w:hAnsi="宋体"/>
          <w:color w:val="auto"/>
          <w:sz w:val="24"/>
          <w:szCs w:val="24"/>
        </w:rPr>
      </w:pPr>
      <w:r>
        <w:rPr>
          <w:rFonts w:hint="eastAsia" w:ascii="宋体" w:hAnsi="宋体"/>
          <w:color w:val="auto"/>
          <w:sz w:val="24"/>
          <w:szCs w:val="24"/>
          <w:highlight w:val="none"/>
          <w:lang w:val="en-US" w:eastAsia="zh-CN"/>
        </w:rPr>
        <w:t>3.5.2</w:t>
      </w:r>
      <w:r>
        <w:rPr>
          <w:rFonts w:hint="eastAsia" w:ascii="宋体" w:hAnsi="宋体"/>
          <w:color w:val="auto"/>
          <w:sz w:val="24"/>
          <w:szCs w:val="24"/>
          <w:highlight w:val="none"/>
          <w:lang w:eastAsia="zh-CN"/>
        </w:rPr>
        <w:t>采购项目需要落实的政府采购政策：</w:t>
      </w:r>
      <w:r>
        <w:rPr>
          <w:rFonts w:hint="eastAsia" w:ascii="宋体" w:hAnsi="宋体"/>
          <w:color w:val="auto"/>
          <w:sz w:val="24"/>
          <w:szCs w:val="24"/>
        </w:rPr>
        <w:t>本项目非专门面向中小企业，执行促进中小企业发展等政府采购政策。</w:t>
      </w:r>
    </w:p>
    <w:p w14:paraId="7300ACB5">
      <w:pPr>
        <w:spacing w:line="48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3.5.3</w:t>
      </w:r>
      <w:r>
        <w:rPr>
          <w:rFonts w:ascii="宋体" w:hAnsi="宋体"/>
          <w:sz w:val="24"/>
          <w:szCs w:val="24"/>
          <w:highlight w:val="none"/>
        </w:rPr>
        <w:t>本项目的特定资格要求</w:t>
      </w:r>
      <w:r>
        <w:rPr>
          <w:rFonts w:hint="eastAsia" w:ascii="宋体" w:hAnsi="宋体"/>
          <w:sz w:val="24"/>
          <w:szCs w:val="24"/>
          <w:highlight w:val="none"/>
        </w:rPr>
        <w:t>：</w:t>
      </w:r>
    </w:p>
    <w:p w14:paraId="74275B42">
      <w:pPr>
        <w:spacing w:line="48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3.5.3.1</w:t>
      </w:r>
      <w:r>
        <w:rPr>
          <w:rFonts w:ascii="宋体" w:hAnsi="宋体"/>
          <w:sz w:val="24"/>
          <w:szCs w:val="24"/>
          <w:highlight w:val="none"/>
        </w:rPr>
        <w:t xml:space="preserve"> </w:t>
      </w:r>
      <w:r>
        <w:rPr>
          <w:rFonts w:hint="eastAsia" w:ascii="宋体" w:hAnsi="宋体"/>
          <w:sz w:val="24"/>
          <w:szCs w:val="24"/>
          <w:highlight w:val="none"/>
          <w:lang w:eastAsia="zh-CN"/>
        </w:rPr>
        <w:t>供应商</w:t>
      </w:r>
      <w:r>
        <w:rPr>
          <w:rFonts w:hint="eastAsia" w:ascii="宋体" w:hAnsi="宋体"/>
          <w:sz w:val="24"/>
          <w:szCs w:val="24"/>
          <w:highlight w:val="none"/>
        </w:rPr>
        <w:t>具备独立法人资格，具有合法有效的营业执照。</w:t>
      </w:r>
    </w:p>
    <w:p w14:paraId="7E191885">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5.3.2</w:t>
      </w:r>
      <w:r>
        <w:rPr>
          <w:rFonts w:hint="eastAsia" w:ascii="宋体" w:hAnsi="宋体"/>
          <w:sz w:val="24"/>
          <w:szCs w:val="24"/>
          <w:highlight w:val="none"/>
        </w:rPr>
        <w:t>供应商参加本次采购活动前三年内，在经营活动中没有重大违法记录（提供承诺书，格式自拟）；</w:t>
      </w:r>
    </w:p>
    <w:p w14:paraId="704E02CD">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5.3.3</w:t>
      </w:r>
      <w:r>
        <w:rPr>
          <w:rFonts w:hint="eastAsia" w:ascii="宋体" w:hAnsi="宋体"/>
          <w:sz w:val="24"/>
          <w:szCs w:val="24"/>
          <w:highlight w:val="none"/>
          <w:lang w:eastAsia="zh-CN"/>
        </w:rPr>
        <w:t>供应商</w:t>
      </w:r>
      <w:r>
        <w:rPr>
          <w:rFonts w:hint="eastAsia" w:ascii="宋体" w:hAnsi="宋体"/>
          <w:sz w:val="24"/>
          <w:szCs w:val="24"/>
          <w:highlight w:val="none"/>
        </w:rPr>
        <w:t>人出具本企业无商业贿赂和不正当竞争行为承诺书，格式自拟；</w:t>
      </w:r>
    </w:p>
    <w:p w14:paraId="2BFA0736">
      <w:pPr>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5.3.4</w:t>
      </w:r>
      <w:r>
        <w:rPr>
          <w:rFonts w:hint="eastAsia" w:ascii="宋体" w:hAnsi="宋体" w:cs="宋体"/>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宋体" w:hAnsi="宋体" w:cs="宋体"/>
          <w:kern w:val="0"/>
          <w:sz w:val="24"/>
          <w:szCs w:val="24"/>
          <w:highlight w:val="none"/>
          <w:lang w:eastAsia="zh-CN"/>
        </w:rPr>
        <w:t>，查询日期必须在公告发布之日之后</w:t>
      </w:r>
      <w:r>
        <w:rPr>
          <w:rFonts w:hint="eastAsia" w:ascii="宋体" w:hAnsi="宋体" w:cs="宋体"/>
          <w:kern w:val="0"/>
          <w:sz w:val="24"/>
          <w:szCs w:val="24"/>
          <w:highlight w:val="none"/>
        </w:rPr>
        <w:t>）</w:t>
      </w:r>
      <w:r>
        <w:rPr>
          <w:rFonts w:hint="eastAsia" w:ascii="宋体" w:hAnsi="宋体"/>
          <w:sz w:val="24"/>
          <w:szCs w:val="24"/>
          <w:highlight w:val="none"/>
        </w:rPr>
        <w:t>。</w:t>
      </w:r>
    </w:p>
    <w:p w14:paraId="5AF03AC8">
      <w:pPr>
        <w:spacing w:line="480" w:lineRule="exact"/>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w:t>
      </w:r>
      <w:r>
        <w:rPr>
          <w:rFonts w:hint="eastAsia" w:ascii="宋体" w:hAnsi="宋体" w:cs="宋体"/>
          <w:kern w:val="0"/>
          <w:sz w:val="24"/>
          <w:szCs w:val="24"/>
          <w:highlight w:val="none"/>
          <w:lang w:val="en-US" w:eastAsia="zh-CN"/>
        </w:rPr>
        <w:t>5.3.5</w:t>
      </w:r>
      <w:r>
        <w:rPr>
          <w:rFonts w:hint="eastAsia" w:ascii="宋体" w:hAnsi="宋体" w:cs="宋体"/>
          <w:kern w:val="0"/>
          <w:sz w:val="24"/>
          <w:szCs w:val="24"/>
          <w:highlight w:val="none"/>
          <w:lang w:eastAsia="zh-CN"/>
        </w:rPr>
        <w:t>单位负责人为同一人或者存在直接控股、管理关系的不同供应商，不得参加同一合同项下的采购活动（提供供应商在“国家企业信用信息公示系统”中公示的公司信息、股东或投资人信息”。）</w:t>
      </w:r>
      <w:r>
        <w:rPr>
          <w:rFonts w:hint="eastAsia" w:ascii="宋体" w:hAnsi="宋体" w:cs="宋体"/>
          <w:kern w:val="0"/>
          <w:sz w:val="24"/>
          <w:szCs w:val="24"/>
          <w:highlight w:val="none"/>
        </w:rPr>
        <w:t>。</w:t>
      </w:r>
    </w:p>
    <w:p w14:paraId="21F7FD76">
      <w:pPr>
        <w:spacing w:line="360" w:lineRule="auto"/>
        <w:ind w:firstLine="484" w:firstLineChars="202"/>
        <w:rPr>
          <w:rFonts w:ascii="宋体" w:hAnsi="宋体" w:eastAsia="宋体" w:cs="Times New Roman"/>
          <w:color w:val="auto"/>
          <w:sz w:val="22"/>
          <w:szCs w:val="24"/>
        </w:rPr>
      </w:pPr>
      <w:r>
        <w:rPr>
          <w:rFonts w:hint="eastAsia" w:ascii="宋体" w:hAnsi="宋体" w:cs="宋体"/>
          <w:kern w:val="0"/>
          <w:sz w:val="24"/>
          <w:szCs w:val="24"/>
          <w:highlight w:val="none"/>
          <w:lang w:eastAsia="zh-CN"/>
        </w:rPr>
        <w:t>3.</w:t>
      </w:r>
      <w:r>
        <w:rPr>
          <w:rFonts w:hint="eastAsia" w:ascii="宋体" w:hAnsi="宋体" w:cs="宋体"/>
          <w:kern w:val="0"/>
          <w:sz w:val="24"/>
          <w:szCs w:val="24"/>
          <w:highlight w:val="none"/>
          <w:lang w:val="en-US" w:eastAsia="zh-CN"/>
        </w:rPr>
        <w:t>5.3.6</w:t>
      </w:r>
      <w:r>
        <w:rPr>
          <w:rFonts w:hint="eastAsia" w:ascii="宋体" w:hAnsi="宋体" w:cs="宋体"/>
          <w:kern w:val="0"/>
          <w:sz w:val="24"/>
          <w:szCs w:val="24"/>
          <w:highlight w:val="none"/>
          <w:lang w:eastAsia="zh-CN"/>
        </w:rPr>
        <w:t xml:space="preserve"> 本项目不允许联合体磋商，实行资格后审（提供非联合体声明函）；</w:t>
      </w:r>
      <w:r>
        <w:rPr>
          <w:rFonts w:hint="eastAsia" w:ascii="宋体" w:hAnsi="宋体" w:eastAsia="宋体" w:cs="Times New Roman"/>
          <w:color w:val="auto"/>
          <w:sz w:val="22"/>
          <w:szCs w:val="24"/>
        </w:rPr>
        <w:t xml:space="preserve"> </w:t>
      </w:r>
    </w:p>
    <w:p w14:paraId="43F28612">
      <w:pPr>
        <w:spacing w:line="480" w:lineRule="exact"/>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3.6 响应文件的编制</w:t>
      </w:r>
    </w:p>
    <w:p w14:paraId="03ABEE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3.6.1 响应文件应按第</w:t>
      </w:r>
      <w:r>
        <w:rPr>
          <w:rFonts w:hint="eastAsia" w:ascii="宋体" w:hAnsi="宋体" w:cs="宋体"/>
          <w:sz w:val="24"/>
          <w:szCs w:val="24"/>
          <w:highlight w:val="none"/>
          <w:lang w:val="en-US" w:eastAsia="zh-CN"/>
        </w:rPr>
        <w:t>六</w:t>
      </w:r>
      <w:r>
        <w:rPr>
          <w:rFonts w:hint="eastAsia" w:ascii="宋体" w:hAnsi="宋体" w:cs="宋体"/>
          <w:sz w:val="24"/>
          <w:szCs w:val="24"/>
          <w:highlight w:val="none"/>
        </w:rPr>
        <w:t>章“响应文件格式”进行编写，如有必要，可以增加附页，作为响应文件的组成部分。其中，磋商函附录在满足磋商文件实质性要求的基础上，可以提出比磋商文件要求更有利于招标人的承诺。</w:t>
      </w:r>
    </w:p>
    <w:p w14:paraId="19277A4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3.6.2 响应文件应当对磋商文件有关工期要求、磋商有效期、质量要求、磋商范围等实质性内容作出响应。</w:t>
      </w:r>
    </w:p>
    <w:p w14:paraId="13E3221D">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3.7 响应文件的签署</w:t>
      </w:r>
    </w:p>
    <w:p w14:paraId="174AD60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3.7.1电子响应文件必须上传电子评标系统</w:t>
      </w:r>
      <w:r>
        <w:rPr>
          <w:rFonts w:hint="eastAsia" w:ascii="宋体" w:hAnsi="宋体" w:cs="宋体"/>
          <w:b/>
          <w:bCs/>
          <w:sz w:val="24"/>
          <w:szCs w:val="24"/>
          <w:highlight w:val="none"/>
        </w:rPr>
        <w:t>。</w:t>
      </w:r>
    </w:p>
    <w:p w14:paraId="00FE9DD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3.7.2电子响应文件由响应人的法定代表人签字或盖章。</w:t>
      </w:r>
      <w:bookmarkStart w:id="26" w:name="_Toc184635074"/>
      <w:bookmarkEnd w:id="26"/>
    </w:p>
    <w:p w14:paraId="1EE7B8DD">
      <w:pPr>
        <w:numPr>
          <w:ilvl w:val="0"/>
          <w:numId w:val="3"/>
        </w:numPr>
        <w:spacing w:line="520" w:lineRule="exact"/>
        <w:ind w:left="0" w:leftChars="0" w:firstLine="482" w:firstLineChars="200"/>
        <w:outlineLvl w:val="0"/>
        <w:rPr>
          <w:rFonts w:hint="eastAsia" w:ascii="宋体" w:hAnsi="宋体" w:cs="宋体"/>
          <w:b/>
          <w:bCs/>
          <w:kern w:val="28"/>
          <w:sz w:val="24"/>
          <w:szCs w:val="24"/>
          <w:highlight w:val="none"/>
        </w:rPr>
      </w:pPr>
      <w:bookmarkStart w:id="27" w:name="_Toc6369"/>
      <w:r>
        <w:rPr>
          <w:rFonts w:hint="eastAsia" w:ascii="宋体" w:hAnsi="宋体" w:cs="宋体"/>
          <w:b/>
          <w:bCs/>
          <w:kern w:val="28"/>
          <w:sz w:val="24"/>
          <w:szCs w:val="24"/>
          <w:highlight w:val="none"/>
        </w:rPr>
        <w:t>磋商</w:t>
      </w:r>
      <w:bookmarkEnd w:id="27"/>
    </w:p>
    <w:p w14:paraId="47467304">
      <w:pPr>
        <w:spacing w:line="520" w:lineRule="exact"/>
        <w:ind w:firstLine="480" w:firstLineChars="200"/>
        <w:outlineLvl w:val="1"/>
        <w:rPr>
          <w:rFonts w:hint="eastAsia" w:ascii="宋体" w:hAnsi="宋体" w:cs="宋体"/>
          <w:sz w:val="24"/>
          <w:szCs w:val="24"/>
          <w:highlight w:val="none"/>
        </w:rPr>
      </w:pPr>
      <w:r>
        <w:rPr>
          <w:rFonts w:hint="eastAsia" w:ascii="宋体" w:hAnsi="宋体" w:cs="宋体"/>
          <w:sz w:val="24"/>
          <w:szCs w:val="24"/>
          <w:highlight w:val="none"/>
        </w:rPr>
        <w:t>4.1电子响应文件的递交</w:t>
      </w:r>
    </w:p>
    <w:p w14:paraId="66426A0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4.1.1响应人应在规定的磋商截止时间前递交响应文件。</w:t>
      </w:r>
    </w:p>
    <w:p w14:paraId="6CA6E31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4.1.2响应人递交响应文件的地点：见响应人须知前附表。</w:t>
      </w:r>
      <w:bookmarkStart w:id="28" w:name="_Toc466566785"/>
      <w:bookmarkEnd w:id="28"/>
      <w:bookmarkStart w:id="29" w:name="_Toc466566696"/>
      <w:bookmarkEnd w:id="29"/>
      <w:bookmarkStart w:id="30" w:name="_Toc184635075"/>
    </w:p>
    <w:p w14:paraId="1E77EFF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4.1.3 逾期送达或者未送达指定地点的响应文件，招标人不予受理。</w:t>
      </w:r>
      <w:bookmarkEnd w:id="30"/>
    </w:p>
    <w:p w14:paraId="46192F0A">
      <w:pPr>
        <w:spacing w:line="520" w:lineRule="exact"/>
        <w:ind w:firstLine="482" w:firstLineChars="200"/>
        <w:outlineLvl w:val="0"/>
        <w:rPr>
          <w:rFonts w:hint="eastAsia" w:ascii="宋体" w:hAnsi="宋体" w:cs="宋体"/>
          <w:b/>
          <w:bCs/>
          <w:sz w:val="24"/>
          <w:szCs w:val="24"/>
          <w:highlight w:val="none"/>
        </w:rPr>
      </w:pPr>
      <w:bookmarkStart w:id="31" w:name="_Toc31398"/>
      <w:r>
        <w:rPr>
          <w:rFonts w:hint="eastAsia" w:ascii="宋体" w:hAnsi="宋体" w:cs="宋体"/>
          <w:b/>
          <w:bCs/>
          <w:sz w:val="24"/>
          <w:szCs w:val="24"/>
          <w:highlight w:val="none"/>
        </w:rPr>
        <w:t>5．磋商</w:t>
      </w:r>
      <w:bookmarkEnd w:id="31"/>
    </w:p>
    <w:p w14:paraId="448264A7">
      <w:pPr>
        <w:spacing w:line="520" w:lineRule="exact"/>
        <w:ind w:firstLine="482" w:firstLineChars="200"/>
        <w:outlineLvl w:val="1"/>
        <w:rPr>
          <w:rFonts w:hint="eastAsia" w:ascii="宋体" w:hAnsi="宋体" w:cs="宋体"/>
          <w:b/>
          <w:sz w:val="24"/>
          <w:szCs w:val="24"/>
          <w:highlight w:val="none"/>
        </w:rPr>
      </w:pPr>
      <w:r>
        <w:rPr>
          <w:rFonts w:hint="eastAsia" w:ascii="宋体" w:hAnsi="宋体" w:cs="宋体"/>
          <w:b/>
          <w:sz w:val="24"/>
          <w:szCs w:val="24"/>
          <w:highlight w:val="none"/>
        </w:rPr>
        <w:t>5.1 磋商时间和地点</w:t>
      </w:r>
    </w:p>
    <w:p w14:paraId="2DC68F0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招标人在本磋商文件规定的响应文件递交截止时间（磋商时间）和地点竞争性磋商。</w:t>
      </w:r>
    </w:p>
    <w:p w14:paraId="0BA4D356">
      <w:pPr>
        <w:spacing w:line="520" w:lineRule="exact"/>
        <w:ind w:firstLine="482" w:firstLineChars="200"/>
        <w:outlineLvl w:val="1"/>
        <w:rPr>
          <w:rFonts w:hint="eastAsia" w:ascii="宋体" w:hAnsi="宋体" w:cs="宋体"/>
          <w:sz w:val="24"/>
          <w:szCs w:val="24"/>
          <w:highlight w:val="none"/>
        </w:rPr>
      </w:pPr>
      <w:r>
        <w:rPr>
          <w:rFonts w:hint="eastAsia" w:ascii="宋体" w:hAnsi="宋体" w:cs="宋体"/>
          <w:b/>
          <w:bCs/>
          <w:sz w:val="24"/>
          <w:szCs w:val="24"/>
          <w:highlight w:val="none"/>
        </w:rPr>
        <w:t>5.2  磋商程序</w:t>
      </w:r>
    </w:p>
    <w:p w14:paraId="103399A1">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5.2.1招标人按须知前附表规定的时间和地点磋商；</w:t>
      </w:r>
    </w:p>
    <w:p w14:paraId="19355113">
      <w:pPr>
        <w:snapToGrid w:val="0"/>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5.2.2本项目采用</w:t>
      </w:r>
      <w:r>
        <w:rPr>
          <w:rFonts w:hint="eastAsia" w:ascii="宋体" w:hAnsi="宋体" w:cs="宋体"/>
          <w:b/>
          <w:bCs/>
          <w:sz w:val="24"/>
          <w:szCs w:val="24"/>
          <w:highlight w:val="none"/>
        </w:rPr>
        <w:t>电子化、无纸化</w:t>
      </w:r>
      <w:r>
        <w:rPr>
          <w:rFonts w:hint="eastAsia" w:ascii="宋体" w:hAnsi="宋体" w:cs="宋体"/>
          <w:sz w:val="24"/>
          <w:szCs w:val="24"/>
          <w:highlight w:val="none"/>
        </w:rPr>
        <w:t>进行磋商；</w:t>
      </w:r>
    </w:p>
    <w:p w14:paraId="321FC25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5.2.3响应文件有下列情况之一的,招标人将不予接收：</w:t>
      </w:r>
    </w:p>
    <w:p w14:paraId="5F0D560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5.2.3.1响应文件递交截止时间后上传的；</w:t>
      </w:r>
    </w:p>
    <w:p w14:paraId="4712749D">
      <w:pPr>
        <w:autoSpaceDE w:val="0"/>
        <w:spacing w:line="6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5.2.4按照响应文件上传顺序进行解密；</w:t>
      </w:r>
    </w:p>
    <w:p w14:paraId="5DB74EEE">
      <w:pPr>
        <w:autoSpaceDE w:val="0"/>
        <w:spacing w:line="6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5.2.5经确认无误后，按照报送时间顺序确定磋商顺序；</w:t>
      </w:r>
    </w:p>
    <w:p w14:paraId="23CB6EB4">
      <w:pPr>
        <w:autoSpaceDE w:val="0"/>
        <w:spacing w:line="6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5.2.6磋商时响应人可登录到交易系统中在磋商解密栏中点击磋商一览表查看自己的磋商报价。如对磋商过程有异议的，应在响应人解密成功后20分钟内向中介服务机构电话质疑。</w:t>
      </w:r>
    </w:p>
    <w:p w14:paraId="340538FE">
      <w:pPr>
        <w:spacing w:line="520" w:lineRule="exact"/>
        <w:ind w:firstLine="482" w:firstLineChars="200"/>
        <w:outlineLvl w:val="0"/>
        <w:rPr>
          <w:rFonts w:hint="eastAsia" w:ascii="宋体" w:hAnsi="宋体" w:cs="宋体"/>
          <w:b/>
          <w:bCs/>
          <w:kern w:val="28"/>
          <w:sz w:val="24"/>
          <w:szCs w:val="24"/>
          <w:highlight w:val="none"/>
        </w:rPr>
      </w:pPr>
      <w:bookmarkStart w:id="32" w:name="_Toc5765"/>
      <w:r>
        <w:rPr>
          <w:rFonts w:hint="eastAsia" w:ascii="宋体" w:hAnsi="宋体" w:cs="宋体"/>
          <w:b/>
          <w:bCs/>
          <w:kern w:val="28"/>
          <w:sz w:val="24"/>
          <w:szCs w:val="24"/>
          <w:highlight w:val="none"/>
        </w:rPr>
        <w:t>6. 磋商细则</w:t>
      </w:r>
      <w:bookmarkEnd w:id="32"/>
    </w:p>
    <w:p w14:paraId="7B39C05F">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6.1招标人按照上传响应文件时间的顺序，决定磋商顺序；</w:t>
      </w:r>
    </w:p>
    <w:p w14:paraId="484BB89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14:paraId="1BB149D9">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6.3本次磋商中，响应文件中的磋商报价为第一次报价。</w:t>
      </w:r>
    </w:p>
    <w:p w14:paraId="3A5CD79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6.4响应人可以在磋商小组规定的时间内进行第二次报价，通过交易中心系统以电子形式递交，第二次报价为最终报价。</w:t>
      </w:r>
    </w:p>
    <w:p w14:paraId="560E6C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6.5本项目采用综合评分法，磋商小组成员综合评审各响应人提交的响应文件，按总得分由高到低的顺序推荐3名成交候选人，并编写评审报告。</w:t>
      </w:r>
    </w:p>
    <w:p w14:paraId="0DAA1555">
      <w:pPr>
        <w:spacing w:line="520" w:lineRule="exact"/>
        <w:ind w:firstLine="482" w:firstLineChars="200"/>
        <w:outlineLvl w:val="0"/>
        <w:rPr>
          <w:rFonts w:hint="eastAsia" w:ascii="宋体" w:hAnsi="宋体" w:cs="宋体"/>
          <w:b/>
          <w:bCs/>
          <w:sz w:val="24"/>
          <w:szCs w:val="24"/>
          <w:highlight w:val="none"/>
        </w:rPr>
      </w:pPr>
      <w:bookmarkStart w:id="33" w:name="_Toc19533"/>
      <w:r>
        <w:rPr>
          <w:rFonts w:hint="eastAsia" w:ascii="宋体" w:hAnsi="宋体" w:cs="宋体"/>
          <w:b/>
          <w:bCs/>
          <w:sz w:val="24"/>
          <w:szCs w:val="24"/>
          <w:highlight w:val="none"/>
        </w:rPr>
        <w:t>7、磋商</w:t>
      </w:r>
      <w:bookmarkEnd w:id="33"/>
    </w:p>
    <w:p w14:paraId="32471FC1">
      <w:pPr>
        <w:widowControl/>
        <w:spacing w:line="520" w:lineRule="exact"/>
        <w:ind w:firstLine="480" w:firstLineChars="200"/>
        <w:rPr>
          <w:rFonts w:hint="eastAsia" w:ascii="宋体" w:hAnsi="宋体" w:cs="宋体"/>
          <w:sz w:val="24"/>
          <w:szCs w:val="24"/>
          <w:highlight w:val="none"/>
        </w:rPr>
      </w:pPr>
      <w:r>
        <w:rPr>
          <w:rFonts w:hint="eastAsia" w:ascii="宋体" w:hAnsi="宋体" w:cs="宋体"/>
          <w:kern w:val="0"/>
          <w:sz w:val="24"/>
          <w:szCs w:val="24"/>
          <w:highlight w:val="none"/>
        </w:rPr>
        <w:t>7</w:t>
      </w:r>
      <w:r>
        <w:rPr>
          <w:rFonts w:hint="eastAsia" w:ascii="宋体" w:hAnsi="宋体" w:cs="宋体"/>
          <w:sz w:val="24"/>
          <w:szCs w:val="24"/>
          <w:highlight w:val="none"/>
        </w:rPr>
        <w:t>.1磋商小组由招标人依法组建，负责磋商。根据《政府采购竞争性磋商采购方式管理办法》的规定，磋商小组应当履行以下义务：</w:t>
      </w:r>
    </w:p>
    <w:p w14:paraId="56C30E10">
      <w:pPr>
        <w:widowControl/>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（一）遵纪守法，客观、公正、廉洁地履行职责；</w:t>
      </w:r>
    </w:p>
    <w:p w14:paraId="0D07AC58">
      <w:pPr>
        <w:widowControl/>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（二）根据竞争性磋商文件的规定独立进行评审，对个人的评审意见承担法律责任；</w:t>
      </w:r>
    </w:p>
    <w:p w14:paraId="4793E521">
      <w:pPr>
        <w:widowControl/>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（三）参与磋商报告的起草；</w:t>
      </w:r>
    </w:p>
    <w:p w14:paraId="0290A9FA">
      <w:pPr>
        <w:widowControl/>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（四）配合招标人、采购代理机构答复响应标人提出的质疑；</w:t>
      </w:r>
    </w:p>
    <w:p w14:paraId="0330DC4D">
      <w:pPr>
        <w:widowControl/>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（五）配合财政部门的投诉处理和监督检查工作。</w:t>
      </w:r>
    </w:p>
    <w:p w14:paraId="6754F47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7.2磋商小组由有关技术、经济方面的专家组成。磋商小组人数及技术、经济专家的确定方式见响应标人须知前附表。</w:t>
      </w:r>
    </w:p>
    <w:p w14:paraId="381C569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7.3 磋商原则</w:t>
      </w:r>
    </w:p>
    <w:p w14:paraId="60CC76D1">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7.3.1严格按照竞争性磋商文件中的所有相关规定；按照“公平、公正、科学”的原则进行磋商。</w:t>
      </w:r>
    </w:p>
    <w:p w14:paraId="2AEA7BE1">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7.3.2反对不正当竞争。</w:t>
      </w:r>
    </w:p>
    <w:p w14:paraId="47F408A5">
      <w:pPr>
        <w:spacing w:line="520" w:lineRule="exact"/>
        <w:ind w:firstLine="482" w:firstLineChars="200"/>
        <w:outlineLvl w:val="0"/>
        <w:rPr>
          <w:rFonts w:hint="eastAsia" w:ascii="宋体" w:hAnsi="宋体" w:cs="宋体"/>
          <w:b/>
          <w:bCs/>
          <w:sz w:val="24"/>
          <w:szCs w:val="24"/>
          <w:highlight w:val="none"/>
        </w:rPr>
      </w:pPr>
      <w:bookmarkStart w:id="34" w:name="_Toc26617"/>
      <w:r>
        <w:rPr>
          <w:rFonts w:hint="eastAsia" w:ascii="宋体" w:hAnsi="宋体" w:cs="宋体"/>
          <w:b/>
          <w:bCs/>
          <w:sz w:val="24"/>
          <w:szCs w:val="24"/>
          <w:highlight w:val="none"/>
        </w:rPr>
        <w:t>8、磋商过程的保密</w:t>
      </w:r>
      <w:bookmarkEnd w:id="34"/>
    </w:p>
    <w:p w14:paraId="6E9BC75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8.1响应文件的审查、澄清、评价和比较的有关资料以及成交候选人的推荐情况，与磋商有关的其他任何情况均应严格保密。</w:t>
      </w:r>
    </w:p>
    <w:p w14:paraId="50BB221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8.2在响应文件的评审和比较、成交候选人推荐以及授予合同的过程中，响应人向招标人和磋商小组施加影响的任何行为，都将会导致其磋商被拒绝。</w:t>
      </w:r>
    </w:p>
    <w:p w14:paraId="1047AE71">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8.3招标人不对未成交人就磋商过程以及未能成交原因作出任何解释。未成交人不得向磋商小组成员和其他有关人员索问磋商过程的情况和资料。</w:t>
      </w:r>
    </w:p>
    <w:p w14:paraId="2D515AF5">
      <w:pPr>
        <w:spacing w:line="520" w:lineRule="exact"/>
        <w:ind w:firstLine="482" w:firstLineChars="200"/>
        <w:outlineLvl w:val="0"/>
        <w:rPr>
          <w:rFonts w:hint="eastAsia" w:ascii="宋体" w:hAnsi="宋体" w:cs="宋体"/>
          <w:b/>
          <w:bCs/>
          <w:sz w:val="24"/>
          <w:szCs w:val="24"/>
          <w:highlight w:val="none"/>
        </w:rPr>
      </w:pPr>
      <w:bookmarkStart w:id="35" w:name="_Toc4701"/>
      <w:r>
        <w:rPr>
          <w:rFonts w:hint="eastAsia" w:ascii="宋体" w:hAnsi="宋体" w:cs="宋体"/>
          <w:b/>
          <w:bCs/>
          <w:sz w:val="24"/>
          <w:szCs w:val="24"/>
          <w:highlight w:val="none"/>
        </w:rPr>
        <w:t>9、响应文件的澄清</w:t>
      </w:r>
      <w:bookmarkEnd w:id="35"/>
    </w:p>
    <w:p w14:paraId="39BA91B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2DB44E2F">
      <w:pPr>
        <w:spacing w:line="520" w:lineRule="exact"/>
        <w:ind w:firstLine="482" w:firstLineChars="200"/>
        <w:outlineLvl w:val="0"/>
        <w:rPr>
          <w:rFonts w:hint="eastAsia" w:ascii="宋体" w:hAnsi="宋体" w:cs="宋体"/>
          <w:b/>
          <w:bCs/>
          <w:sz w:val="24"/>
          <w:szCs w:val="24"/>
          <w:highlight w:val="none"/>
        </w:rPr>
      </w:pPr>
      <w:bookmarkStart w:id="36" w:name="_Toc15784"/>
      <w:r>
        <w:rPr>
          <w:rFonts w:hint="eastAsia" w:ascii="宋体" w:hAnsi="宋体" w:cs="宋体"/>
          <w:b/>
          <w:bCs/>
          <w:sz w:val="24"/>
          <w:szCs w:val="24"/>
          <w:highlight w:val="none"/>
        </w:rPr>
        <w:t>10、响应文件的初步评审</w:t>
      </w:r>
      <w:bookmarkEnd w:id="36"/>
    </w:p>
    <w:p w14:paraId="0DEC8FE8">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10.1根据初步评审要求经审查有效的响应文件，才能提交磋商小组进行评审。</w:t>
      </w:r>
    </w:p>
    <w:p w14:paraId="6A43BFF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10.2磋商小组首先评定每份响应文件是否实质上响应了竞争性磋商文件的要求。所谓实质上响应，是指响应文件与竞争性磋商文件的所有实质性条款、条件和要求相符，无显著差异或保留，或者对合同中约定的招标人的权利和响应人的义务方面造成重大的限制，纠正这些差异或保留，将会对其他实质上响应竞争性磋商文件要求的响应人的竞争地位产生不公正的影响。</w:t>
      </w:r>
    </w:p>
    <w:p w14:paraId="6308D5B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10.3如果响应文件实质上不响应竞争性磋商文件的要求，招标人将予以拒绝，并且不允许响应人通过修改或撤消其不符合要求的差异或保留，使之成为具有响应性的磋商。</w:t>
      </w:r>
    </w:p>
    <w:p w14:paraId="358ECC5E">
      <w:pPr>
        <w:spacing w:line="520" w:lineRule="exact"/>
        <w:ind w:firstLine="482" w:firstLineChars="200"/>
        <w:outlineLvl w:val="0"/>
        <w:rPr>
          <w:rFonts w:hint="eastAsia" w:ascii="宋体" w:hAnsi="宋体" w:cs="宋体"/>
          <w:b/>
          <w:bCs/>
          <w:sz w:val="24"/>
          <w:szCs w:val="24"/>
          <w:highlight w:val="none"/>
        </w:rPr>
      </w:pPr>
      <w:bookmarkStart w:id="37" w:name="_Toc5206"/>
      <w:r>
        <w:rPr>
          <w:rFonts w:hint="eastAsia" w:ascii="宋体" w:hAnsi="宋体" w:cs="宋体"/>
          <w:b/>
          <w:bCs/>
          <w:sz w:val="24"/>
          <w:szCs w:val="24"/>
          <w:highlight w:val="none"/>
        </w:rPr>
        <w:t>11.响应文件计算错误的修正</w:t>
      </w:r>
      <w:bookmarkEnd w:id="37"/>
    </w:p>
    <w:p w14:paraId="481DFC5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11.1磋商小组将对确定为实质上响应竞争性磋商文件要求的响应文件进行校核，看其是否有计算或表达上的错误，修正错误的原则如下：</w:t>
      </w:r>
    </w:p>
    <w:p w14:paraId="59B2B5A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11.1.1如果数字表示的金额和用文字表示的金额不一致时，应以文字表示的金额为准；</w:t>
      </w:r>
    </w:p>
    <w:p w14:paraId="1569EA3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11.1.2当单价与数量的乘积与合价不一致时，以单价为准，除非磋商小组认为单价有明显的小数点错误，此时应以标出的合价为准，并修改单价。</w:t>
      </w:r>
    </w:p>
    <w:p w14:paraId="5BCEF58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11.2按上述修正错误的原则及方法调整或修正响应文件的磋商报价，响应人同意后，调整后的磋商报价对响应人起约束作用。如果响应人不接受修正后的报价，则磋商小组对其不再进行评审。</w:t>
      </w:r>
    </w:p>
    <w:p w14:paraId="390FAD36">
      <w:pPr>
        <w:spacing w:line="520" w:lineRule="exact"/>
        <w:ind w:firstLine="482" w:firstLineChars="200"/>
        <w:outlineLvl w:val="0"/>
        <w:rPr>
          <w:rFonts w:hint="eastAsia" w:ascii="宋体" w:hAnsi="宋体" w:cs="宋体"/>
          <w:b/>
          <w:bCs/>
          <w:sz w:val="24"/>
          <w:szCs w:val="24"/>
          <w:highlight w:val="none"/>
        </w:rPr>
      </w:pPr>
      <w:bookmarkStart w:id="38" w:name="_Toc16075"/>
      <w:r>
        <w:rPr>
          <w:rFonts w:hint="eastAsia" w:ascii="宋体" w:hAnsi="宋体" w:cs="宋体"/>
          <w:b/>
          <w:bCs/>
          <w:sz w:val="24"/>
          <w:szCs w:val="24"/>
          <w:highlight w:val="none"/>
        </w:rPr>
        <w:t>12. 响应文件的评审、比较和否决</w:t>
      </w:r>
      <w:bookmarkEnd w:id="38"/>
    </w:p>
    <w:p w14:paraId="486FE1C0">
      <w:pPr>
        <w:snapToGrid w:val="0"/>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12.1磋商小组仅对在实质上响应竞争性磋商文件要求的响应文件进行评估和比较。</w:t>
      </w:r>
    </w:p>
    <w:p w14:paraId="060F913C">
      <w:pPr>
        <w:snapToGrid w:val="0"/>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4448AC8D">
      <w:pPr>
        <w:snapToGrid w:val="0"/>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12.3在首轮磋商的基础上，磋商小组讨论、分析、综合各种因素后，决定是否与各方再次进行磋商。 </w:t>
      </w:r>
    </w:p>
    <w:p w14:paraId="6A32F57E">
      <w:pPr>
        <w:spacing w:line="520" w:lineRule="exact"/>
        <w:ind w:firstLine="482" w:firstLineChars="200"/>
        <w:outlineLvl w:val="0"/>
        <w:rPr>
          <w:rFonts w:hint="eastAsia" w:ascii="宋体" w:hAnsi="宋体" w:cs="宋体"/>
          <w:b/>
          <w:bCs/>
          <w:sz w:val="24"/>
          <w:szCs w:val="24"/>
          <w:highlight w:val="none"/>
        </w:rPr>
      </w:pPr>
      <w:bookmarkStart w:id="39" w:name="_Toc19294"/>
      <w:r>
        <w:rPr>
          <w:rFonts w:hint="eastAsia" w:ascii="宋体" w:hAnsi="宋体" w:cs="宋体"/>
          <w:b/>
          <w:bCs/>
          <w:sz w:val="24"/>
          <w:szCs w:val="24"/>
          <w:highlight w:val="none"/>
        </w:rPr>
        <w:t>13、定标</w:t>
      </w:r>
      <w:bookmarkEnd w:id="39"/>
    </w:p>
    <w:p w14:paraId="7A4723E2">
      <w:pPr>
        <w:snapToGrid w:val="0"/>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磋商小组成员综合评审各响应人提交的响应文件，按总得分由高到低的顺序推荐3名成交候选人。</w:t>
      </w:r>
    </w:p>
    <w:p w14:paraId="22E8DBB0">
      <w:pPr>
        <w:spacing w:line="520" w:lineRule="exact"/>
        <w:ind w:firstLine="482" w:firstLineChars="200"/>
        <w:outlineLvl w:val="0"/>
        <w:rPr>
          <w:rFonts w:hint="eastAsia" w:ascii="宋体" w:hAnsi="宋体" w:cs="宋体"/>
          <w:b/>
          <w:bCs/>
          <w:sz w:val="24"/>
          <w:szCs w:val="24"/>
          <w:highlight w:val="none"/>
        </w:rPr>
      </w:pPr>
      <w:bookmarkStart w:id="40" w:name="_Toc31613"/>
      <w:r>
        <w:rPr>
          <w:rFonts w:hint="eastAsia" w:ascii="宋体" w:hAnsi="宋体" w:cs="宋体"/>
          <w:b/>
          <w:bCs/>
          <w:sz w:val="24"/>
          <w:szCs w:val="24"/>
          <w:highlight w:val="none"/>
        </w:rPr>
        <w:t>14、合同的授予</w:t>
      </w:r>
      <w:bookmarkEnd w:id="40"/>
    </w:p>
    <w:p w14:paraId="2C5DD358">
      <w:pPr>
        <w:spacing w:line="520" w:lineRule="exact"/>
        <w:ind w:firstLine="480" w:firstLineChars="200"/>
        <w:outlineLvl w:val="1"/>
        <w:rPr>
          <w:rFonts w:hint="eastAsia" w:ascii="宋体" w:hAnsi="宋体" w:cs="宋体"/>
          <w:sz w:val="24"/>
          <w:szCs w:val="24"/>
          <w:highlight w:val="none"/>
        </w:rPr>
      </w:pPr>
      <w:r>
        <w:rPr>
          <w:rFonts w:hint="eastAsia" w:ascii="宋体" w:hAnsi="宋体" w:cs="宋体"/>
          <w:sz w:val="24"/>
          <w:szCs w:val="24"/>
          <w:highlight w:val="none"/>
        </w:rPr>
        <w:t>14.1合同授予标准</w:t>
      </w:r>
    </w:p>
    <w:p w14:paraId="6DD51C23">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本磋商项目的合同将授予按本须知办法确定的成交人。</w:t>
      </w:r>
    </w:p>
    <w:p w14:paraId="36EBF2DF">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15.成交通知书</w:t>
      </w:r>
    </w:p>
    <w:p w14:paraId="538379C6">
      <w:pPr>
        <w:spacing w:line="520" w:lineRule="exact"/>
        <w:ind w:firstLine="480" w:firstLineChars="200"/>
        <w:outlineLvl w:val="0"/>
        <w:rPr>
          <w:rFonts w:hint="eastAsia" w:ascii="宋体" w:hAnsi="宋体" w:cs="宋体"/>
          <w:sz w:val="24"/>
          <w:szCs w:val="24"/>
          <w:highlight w:val="none"/>
        </w:rPr>
      </w:pPr>
      <w:bookmarkStart w:id="41" w:name="_Toc15498"/>
      <w:r>
        <w:rPr>
          <w:rFonts w:hint="eastAsia" w:ascii="宋体" w:hAnsi="宋体" w:cs="宋体"/>
          <w:sz w:val="24"/>
          <w:szCs w:val="24"/>
          <w:highlight w:val="none"/>
        </w:rPr>
        <w:t>15.l成交人确定后，招标人将向成交人发出成交通知书。</w:t>
      </w:r>
      <w:bookmarkEnd w:id="41"/>
    </w:p>
    <w:p w14:paraId="2365834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15.2成交通知书是合同的组成部分。</w:t>
      </w:r>
    </w:p>
    <w:p w14:paraId="78CA74B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15.3招标人将在发出成交通知书的同时，将成交结果通知所有未成交的响应人。</w:t>
      </w:r>
    </w:p>
    <w:p w14:paraId="33652D69">
      <w:pPr>
        <w:spacing w:line="520" w:lineRule="exact"/>
        <w:ind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16、合同协议书的签订</w:t>
      </w:r>
    </w:p>
    <w:p w14:paraId="3E2AF09A">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16.l招标人与成交人将于成交通知书发出之日起30日内，按照竞争性磋商文件和成交人的响应文件签订合同。</w:t>
      </w:r>
    </w:p>
    <w:p w14:paraId="20BC0B64">
      <w:pPr>
        <w:spacing w:line="520" w:lineRule="exact"/>
        <w:ind w:firstLine="480" w:firstLineChars="200"/>
        <w:rPr>
          <w:rFonts w:hint="eastAsia" w:ascii="宋体" w:hAnsi="宋体" w:cs="宋体"/>
          <w:b/>
          <w:bCs/>
          <w:sz w:val="24"/>
          <w:szCs w:val="24"/>
          <w:highlight w:val="none"/>
        </w:rPr>
      </w:pPr>
      <w:r>
        <w:rPr>
          <w:rFonts w:hint="eastAsia" w:ascii="宋体" w:hAnsi="宋体" w:cs="宋体"/>
          <w:sz w:val="24"/>
          <w:szCs w:val="24"/>
          <w:highlight w:val="none"/>
        </w:rPr>
        <w:t>16.2</w:t>
      </w:r>
      <w:r>
        <w:rPr>
          <w:rFonts w:hint="eastAsia" w:ascii="宋体" w:hAnsi="宋体" w:cs="宋体"/>
          <w:spacing w:val="-3"/>
          <w:sz w:val="24"/>
          <w:szCs w:val="24"/>
          <w:highlight w:val="none"/>
        </w:rPr>
        <w:t>成交人无正当理由拒签合同的</w:t>
      </w:r>
      <w:r>
        <w:rPr>
          <w:rFonts w:hint="eastAsia" w:ascii="宋体" w:hAnsi="宋体" w:cs="宋体"/>
          <w:sz w:val="24"/>
          <w:szCs w:val="24"/>
          <w:highlight w:val="none"/>
        </w:rPr>
        <w:t>，则招标人将废除授标，同时依法承担相应的法律责任。</w:t>
      </w:r>
    </w:p>
    <w:p w14:paraId="3823B978">
      <w:pPr>
        <w:pStyle w:val="2"/>
        <w:bidi w:val="0"/>
        <w:jc w:val="center"/>
        <w:rPr>
          <w:rFonts w:hint="eastAsia"/>
        </w:rPr>
      </w:pPr>
      <w:r>
        <w:rPr>
          <w:rFonts w:ascii="宋体" w:hAnsi="宋体" w:cs="宋体"/>
          <w:szCs w:val="24"/>
          <w:highlight w:val="none"/>
        </w:rPr>
        <w:br w:type="page"/>
      </w:r>
      <w:r>
        <w:t xml:space="preserve"> </w:t>
      </w:r>
      <w:bookmarkStart w:id="42" w:name="_Toc16114"/>
      <w:bookmarkStart w:id="43" w:name="_Toc19546"/>
      <w:r>
        <w:rPr>
          <w:rFonts w:hint="eastAsia"/>
        </w:rPr>
        <w:t xml:space="preserve">第三章 </w:t>
      </w:r>
      <w:r>
        <w:t xml:space="preserve"> </w:t>
      </w:r>
      <w:r>
        <w:rPr>
          <w:rFonts w:hint="eastAsia"/>
        </w:rPr>
        <w:t>磋商办法</w:t>
      </w:r>
      <w:bookmarkEnd w:id="42"/>
      <w:bookmarkEnd w:id="43"/>
    </w:p>
    <w:p w14:paraId="3BFD0B4B">
      <w:pPr>
        <w:numPr>
          <w:ilvl w:val="0"/>
          <w:numId w:val="4"/>
        </w:numPr>
        <w:spacing w:line="520" w:lineRule="exact"/>
        <w:ind w:firstLine="482" w:firstLineChars="200"/>
        <w:rPr>
          <w:rFonts w:hint="eastAsia" w:ascii="宋体" w:hAnsi="宋体" w:cs="宋体"/>
          <w:b/>
          <w:sz w:val="24"/>
          <w:szCs w:val="24"/>
          <w:highlight w:val="none"/>
        </w:rPr>
      </w:pPr>
      <w:r>
        <w:rPr>
          <w:rFonts w:hint="eastAsia" w:ascii="宋体" w:hAnsi="宋体" w:cs="宋体"/>
          <w:b/>
          <w:bCs/>
          <w:kern w:val="0"/>
          <w:sz w:val="24"/>
          <w:szCs w:val="24"/>
          <w:highlight w:val="none"/>
        </w:rPr>
        <w:t>本次磋商采用综合评分法：</w:t>
      </w:r>
      <w:r>
        <w:rPr>
          <w:rFonts w:hint="eastAsia" w:ascii="宋体" w:hAnsi="宋体" w:cs="宋体"/>
          <w:sz w:val="24"/>
          <w:szCs w:val="24"/>
          <w:highlight w:val="none"/>
        </w:rPr>
        <w:t>磋商小组对满足竞争性磋商文件实质性要求和提交最终报价的响应文件，按本章节规定的评分标准进行综合评分，并按得分由高到低顺序推荐3名成交候选人。</w:t>
      </w:r>
      <w:bookmarkStart w:id="44" w:name="_Toc179632619"/>
      <w:bookmarkEnd w:id="44"/>
      <w:bookmarkStart w:id="45" w:name="_Toc19618"/>
      <w:bookmarkEnd w:id="45"/>
      <w:bookmarkStart w:id="46" w:name="_Toc28030"/>
      <w:bookmarkEnd w:id="46"/>
      <w:bookmarkStart w:id="47" w:name="_Toc29880"/>
      <w:r>
        <w:rPr>
          <w:rFonts w:hint="eastAsia" w:ascii="宋体" w:hAnsi="宋体" w:cs="宋体"/>
          <w:b/>
          <w:sz w:val="24"/>
          <w:szCs w:val="24"/>
          <w:highlight w:val="none"/>
        </w:rPr>
        <w:t>若有效响应人少于3家，磋商小组认为有效响应人具备竞争性的可继续进行评审。</w:t>
      </w:r>
    </w:p>
    <w:p w14:paraId="513D6503">
      <w:pPr>
        <w:spacing w:line="520" w:lineRule="exact"/>
        <w:ind w:firstLine="482" w:firstLineChars="200"/>
        <w:outlineLvl w:val="0"/>
        <w:rPr>
          <w:rFonts w:hint="eastAsia" w:ascii="宋体" w:hAnsi="宋体" w:cs="宋体"/>
          <w:b/>
          <w:bCs/>
          <w:sz w:val="24"/>
          <w:szCs w:val="24"/>
          <w:highlight w:val="none"/>
        </w:rPr>
      </w:pPr>
      <w:bookmarkStart w:id="48" w:name="_Toc3698"/>
      <w:r>
        <w:rPr>
          <w:rFonts w:hint="eastAsia" w:ascii="宋体" w:hAnsi="宋体" w:cs="宋体"/>
          <w:b/>
          <w:bCs/>
          <w:sz w:val="24"/>
          <w:szCs w:val="24"/>
          <w:highlight w:val="none"/>
        </w:rPr>
        <w:t>2. 评审标准</w:t>
      </w:r>
      <w:bookmarkEnd w:id="47"/>
      <w:bookmarkEnd w:id="48"/>
    </w:p>
    <w:p w14:paraId="4EC88F1F">
      <w:pPr>
        <w:spacing w:line="520" w:lineRule="exact"/>
        <w:ind w:firstLine="420" w:firstLineChars="175"/>
        <w:outlineLvl w:val="1"/>
        <w:rPr>
          <w:rFonts w:hint="eastAsia" w:ascii="宋体" w:hAnsi="宋体" w:cs="宋体"/>
          <w:sz w:val="24"/>
          <w:szCs w:val="24"/>
          <w:highlight w:val="none"/>
        </w:rPr>
      </w:pPr>
      <w:bookmarkStart w:id="49" w:name="_Toc179632620"/>
      <w:bookmarkEnd w:id="49"/>
      <w:bookmarkStart w:id="50" w:name="_Toc31847"/>
      <w:bookmarkEnd w:id="50"/>
      <w:bookmarkStart w:id="51" w:name="_Toc12931"/>
      <w:bookmarkEnd w:id="51"/>
      <w:bookmarkStart w:id="52" w:name="_Toc23196"/>
      <w:bookmarkEnd w:id="52"/>
      <w:r>
        <w:rPr>
          <w:rFonts w:hint="eastAsia" w:ascii="宋体" w:hAnsi="宋体" w:cs="宋体"/>
          <w:sz w:val="24"/>
          <w:szCs w:val="24"/>
          <w:highlight w:val="none"/>
        </w:rPr>
        <w:t>2.1 初步评审标准</w:t>
      </w:r>
    </w:p>
    <w:p w14:paraId="3D71137D">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 xml:space="preserve">2.1.1 </w:t>
      </w:r>
      <w:r>
        <w:rPr>
          <w:rFonts w:hint="eastAsia" w:ascii="宋体" w:hAnsi="宋体" w:cs="宋体"/>
          <w:sz w:val="24"/>
          <w:szCs w:val="24"/>
          <w:highlight w:val="none"/>
          <w:lang w:eastAsia="zh-CN"/>
        </w:rPr>
        <w:t>符合性评审标准</w:t>
      </w:r>
      <w:r>
        <w:rPr>
          <w:rFonts w:hint="eastAsia" w:ascii="宋体" w:hAnsi="宋体" w:cs="宋体"/>
          <w:sz w:val="24"/>
          <w:szCs w:val="24"/>
          <w:highlight w:val="none"/>
        </w:rPr>
        <w:t>：见磋商办法前附表。</w:t>
      </w:r>
    </w:p>
    <w:p w14:paraId="39B64458">
      <w:pPr>
        <w:spacing w:line="520" w:lineRule="exact"/>
        <w:ind w:firstLine="420" w:firstLineChars="175"/>
        <w:rPr>
          <w:rFonts w:hint="eastAsia" w:ascii="宋体" w:hAnsi="宋体" w:cs="宋体"/>
          <w:sz w:val="24"/>
          <w:szCs w:val="24"/>
          <w:highlight w:val="none"/>
        </w:rPr>
      </w:pPr>
      <w:r>
        <w:rPr>
          <w:rFonts w:hint="eastAsia" w:ascii="宋体" w:hAnsi="宋体" w:cs="宋体"/>
          <w:sz w:val="24"/>
          <w:szCs w:val="24"/>
          <w:highlight w:val="none"/>
        </w:rPr>
        <w:t>2.1.2 资格</w:t>
      </w:r>
      <w:r>
        <w:rPr>
          <w:rFonts w:hint="eastAsia" w:ascii="宋体" w:hAnsi="宋体" w:cs="宋体"/>
          <w:sz w:val="24"/>
          <w:szCs w:val="24"/>
          <w:highlight w:val="none"/>
          <w:lang w:val="en-US" w:eastAsia="zh-CN"/>
        </w:rPr>
        <w:t>性</w:t>
      </w:r>
      <w:r>
        <w:rPr>
          <w:rFonts w:hint="eastAsia" w:ascii="宋体" w:hAnsi="宋体" w:cs="宋体"/>
          <w:sz w:val="24"/>
          <w:szCs w:val="24"/>
          <w:highlight w:val="none"/>
        </w:rPr>
        <w:t>评审标准：见磋商办法前附表。</w:t>
      </w:r>
    </w:p>
    <w:p w14:paraId="3A5B2537">
      <w:pPr>
        <w:spacing w:line="520" w:lineRule="exact"/>
        <w:ind w:firstLine="420" w:firstLineChars="175"/>
        <w:rPr>
          <w:rFonts w:hint="eastAsia" w:ascii="宋体" w:hAnsi="宋体" w:cs="宋体"/>
          <w:sz w:val="24"/>
          <w:szCs w:val="24"/>
          <w:highlight w:val="none"/>
        </w:rPr>
      </w:pPr>
      <w:bookmarkStart w:id="53" w:name="_Toc607"/>
      <w:bookmarkEnd w:id="53"/>
      <w:bookmarkStart w:id="54" w:name="_Toc179632621"/>
      <w:bookmarkEnd w:id="54"/>
      <w:bookmarkStart w:id="55" w:name="_Toc16603"/>
      <w:bookmarkEnd w:id="55"/>
      <w:bookmarkStart w:id="56" w:name="_Toc11804"/>
      <w:bookmarkEnd w:id="56"/>
      <w:r>
        <w:rPr>
          <w:rFonts w:hint="eastAsia" w:ascii="宋体" w:hAnsi="宋体" w:cs="宋体"/>
          <w:sz w:val="24"/>
          <w:szCs w:val="24"/>
          <w:highlight w:val="none"/>
        </w:rPr>
        <w:t>2.1.3 响应性评审标准：见磋商办法前附表。</w:t>
      </w:r>
    </w:p>
    <w:p w14:paraId="1E8F99F9">
      <w:pPr>
        <w:spacing w:line="520" w:lineRule="exact"/>
        <w:ind w:firstLine="420" w:firstLineChars="175"/>
        <w:outlineLvl w:val="1"/>
        <w:rPr>
          <w:rFonts w:hint="eastAsia" w:ascii="宋体" w:hAnsi="宋体" w:cs="宋体"/>
          <w:sz w:val="24"/>
          <w:szCs w:val="24"/>
          <w:highlight w:val="none"/>
        </w:rPr>
      </w:pPr>
      <w:r>
        <w:rPr>
          <w:rFonts w:hint="eastAsia" w:ascii="宋体" w:hAnsi="宋体" w:cs="宋体"/>
          <w:sz w:val="24"/>
          <w:szCs w:val="24"/>
          <w:highlight w:val="none"/>
        </w:rPr>
        <w:t>2.2 分值构成与评分标准</w:t>
      </w:r>
    </w:p>
    <w:p w14:paraId="45622C34">
      <w:pPr>
        <w:spacing w:line="52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sz w:val="24"/>
          <w:szCs w:val="24"/>
          <w:highlight w:val="none"/>
        </w:rPr>
        <w:t>2.2.1 分值构成</w:t>
      </w:r>
      <w:r>
        <w:rPr>
          <w:rFonts w:hint="eastAsia" w:ascii="宋体" w:hAnsi="宋体" w:cs="宋体"/>
          <w:sz w:val="24"/>
          <w:szCs w:val="24"/>
          <w:highlight w:val="none"/>
          <w:lang w:eastAsia="zh-CN"/>
        </w:rPr>
        <w:t>：</w:t>
      </w:r>
      <w:r>
        <w:rPr>
          <w:rFonts w:hint="eastAsia" w:ascii="宋体" w:hAnsi="宋体" w:cs="宋体"/>
          <w:sz w:val="24"/>
          <w:szCs w:val="24"/>
          <w:highlight w:val="none"/>
        </w:rPr>
        <w:t>见磋商办法前附表</w:t>
      </w:r>
    </w:p>
    <w:p w14:paraId="78B7673F">
      <w:pPr>
        <w:spacing w:line="520" w:lineRule="exact"/>
        <w:ind w:firstLine="480" w:firstLineChars="200"/>
        <w:rPr>
          <w:rFonts w:hint="eastAsia" w:ascii="宋体" w:hAnsi="宋体" w:cs="宋体"/>
          <w:sz w:val="24"/>
          <w:szCs w:val="24"/>
          <w:highlight w:val="none"/>
        </w:rPr>
      </w:pPr>
      <w:r>
        <w:rPr>
          <w:rFonts w:hint="eastAsia" w:ascii="宋体" w:hAnsi="宋体" w:cs="宋体"/>
          <w:color w:val="000000"/>
          <w:sz w:val="24"/>
          <w:szCs w:val="24"/>
          <w:highlight w:val="none"/>
        </w:rPr>
        <w:t>2.2.2  评分标准：见磋商办法</w:t>
      </w:r>
      <w:r>
        <w:rPr>
          <w:rFonts w:hint="eastAsia" w:ascii="宋体" w:hAnsi="宋体" w:cs="宋体"/>
          <w:sz w:val="24"/>
          <w:szCs w:val="24"/>
          <w:highlight w:val="none"/>
        </w:rPr>
        <w:t>前附表。</w:t>
      </w:r>
      <w:bookmarkStart w:id="57" w:name="_Toc11715"/>
      <w:bookmarkEnd w:id="57"/>
      <w:bookmarkStart w:id="58" w:name="_Toc152045604"/>
      <w:bookmarkEnd w:id="58"/>
      <w:bookmarkStart w:id="59" w:name="_Toc25534"/>
      <w:bookmarkEnd w:id="59"/>
      <w:bookmarkStart w:id="60" w:name="_Toc13158"/>
      <w:bookmarkEnd w:id="60"/>
      <w:bookmarkStart w:id="61" w:name="_Toc144974571"/>
      <w:bookmarkEnd w:id="61"/>
      <w:bookmarkStart w:id="62" w:name="_Toc179632622"/>
      <w:bookmarkEnd w:id="62"/>
      <w:bookmarkStart w:id="63" w:name="_Toc152042381"/>
    </w:p>
    <w:p w14:paraId="57513F2F">
      <w:pPr>
        <w:spacing w:line="520" w:lineRule="exact"/>
        <w:ind w:firstLine="482" w:firstLineChars="200"/>
        <w:outlineLvl w:val="0"/>
        <w:rPr>
          <w:rFonts w:hint="eastAsia" w:ascii="宋体" w:hAnsi="宋体" w:cs="宋体"/>
          <w:b/>
          <w:bCs/>
          <w:sz w:val="24"/>
          <w:szCs w:val="24"/>
          <w:highlight w:val="none"/>
        </w:rPr>
      </w:pPr>
      <w:bookmarkStart w:id="64" w:name="_Toc29760"/>
      <w:r>
        <w:rPr>
          <w:rFonts w:hint="eastAsia" w:ascii="宋体" w:hAnsi="宋体" w:cs="宋体"/>
          <w:b/>
          <w:bCs/>
          <w:sz w:val="24"/>
          <w:szCs w:val="24"/>
          <w:highlight w:val="none"/>
        </w:rPr>
        <w:t>3. 磋商程序</w:t>
      </w:r>
      <w:bookmarkEnd w:id="63"/>
      <w:bookmarkEnd w:id="64"/>
    </w:p>
    <w:p w14:paraId="2495286D">
      <w:pPr>
        <w:spacing w:line="520" w:lineRule="exact"/>
        <w:ind w:firstLine="480" w:firstLineChars="200"/>
        <w:outlineLvl w:val="1"/>
        <w:rPr>
          <w:rFonts w:hint="eastAsia" w:ascii="宋体" w:hAnsi="宋体" w:cs="宋体"/>
          <w:sz w:val="24"/>
          <w:szCs w:val="24"/>
          <w:highlight w:val="none"/>
        </w:rPr>
      </w:pPr>
      <w:bookmarkStart w:id="65" w:name="_Toc31010"/>
      <w:bookmarkEnd w:id="65"/>
      <w:bookmarkStart w:id="66" w:name="_Toc30372"/>
      <w:bookmarkEnd w:id="66"/>
      <w:bookmarkStart w:id="67" w:name="_Toc152042382"/>
      <w:bookmarkEnd w:id="67"/>
      <w:bookmarkStart w:id="68" w:name="_Toc8644"/>
      <w:bookmarkEnd w:id="68"/>
      <w:bookmarkStart w:id="69" w:name="_Toc152045605"/>
      <w:bookmarkEnd w:id="69"/>
      <w:bookmarkStart w:id="70" w:name="_Toc144974572"/>
      <w:bookmarkEnd w:id="70"/>
      <w:bookmarkStart w:id="71" w:name="_Toc179632623"/>
      <w:r>
        <w:rPr>
          <w:rFonts w:hint="eastAsia" w:ascii="宋体" w:hAnsi="宋体" w:cs="宋体"/>
          <w:sz w:val="24"/>
          <w:szCs w:val="24"/>
          <w:highlight w:val="none"/>
        </w:rPr>
        <w:t>3.1 初步评审</w:t>
      </w:r>
      <w:bookmarkEnd w:id="71"/>
    </w:p>
    <w:p w14:paraId="4ECC23FC">
      <w:pPr>
        <w:spacing w:line="5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sz w:val="24"/>
          <w:szCs w:val="24"/>
          <w:highlight w:val="none"/>
        </w:rPr>
        <w:t>3.1.</w:t>
      </w:r>
      <w:r>
        <w:rPr>
          <w:rFonts w:ascii="宋体" w:hAnsi="宋体" w:cs="宋体"/>
          <w:sz w:val="24"/>
          <w:szCs w:val="24"/>
          <w:highlight w:val="none"/>
        </w:rPr>
        <w:t>1</w:t>
      </w:r>
      <w:r>
        <w:rPr>
          <w:rFonts w:hint="eastAsia" w:ascii="宋体" w:hAnsi="宋体" w:cs="宋体"/>
          <w:sz w:val="24"/>
          <w:szCs w:val="24"/>
          <w:highlight w:val="none"/>
        </w:rPr>
        <w:t>磋商小组依据本章磋商办法前附表规定的标准，对符合资格的供应商的磋商文件进行初步审查，以确定其是否满足磋商文件的实质性要求，有一项不符合评审标准的，磋商小组应当认定其磋商响应无效。</w:t>
      </w:r>
    </w:p>
    <w:p w14:paraId="25A76AB5">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ascii="宋体" w:hAnsi="宋体" w:cs="宋体"/>
          <w:sz w:val="24"/>
          <w:szCs w:val="24"/>
          <w:highlight w:val="none"/>
        </w:rPr>
        <w:t>2</w:t>
      </w:r>
      <w:r>
        <w:rPr>
          <w:rFonts w:hint="eastAsia" w:ascii="宋体" w:hAnsi="宋体" w:cs="宋体"/>
          <w:sz w:val="24"/>
          <w:szCs w:val="24"/>
          <w:highlight w:val="none"/>
        </w:rPr>
        <w:t>响应人有以下情形之一的，其磋商作无效标处理：</w:t>
      </w:r>
    </w:p>
    <w:p w14:paraId="33A2E890">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（1）串通磋商或弄虚作假或有其他违法行为的；</w:t>
      </w:r>
    </w:p>
    <w:p w14:paraId="5ED5263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（2）不按磋商小组要求澄清、说明或补正的。</w:t>
      </w:r>
    </w:p>
    <w:p w14:paraId="60FBB0D7">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3.1.</w:t>
      </w:r>
      <w:r>
        <w:rPr>
          <w:rFonts w:hint="eastAsia" w:ascii="宋体" w:hAnsi="宋体" w:cs="宋体"/>
          <w:sz w:val="24"/>
          <w:szCs w:val="24"/>
          <w:highlight w:val="none"/>
          <w:lang w:val="en-US" w:eastAsia="zh-CN"/>
        </w:rPr>
        <w:t>3</w:t>
      </w:r>
      <w:r>
        <w:rPr>
          <w:rFonts w:hint="eastAsia" w:ascii="宋体" w:hAnsi="宋体" w:cs="宋体"/>
          <w:sz w:val="24"/>
          <w:szCs w:val="24"/>
          <w:highlight w:val="none"/>
        </w:rPr>
        <w:t>磋商报价有算术错误的，磋商小组按以下原则对磋商报价进行修正，修正的价格经响应人书面确认后具有约束力。响应人不接受修正价格的，其磋商将被否决。</w:t>
      </w:r>
    </w:p>
    <w:p w14:paraId="631071C0">
      <w:pPr>
        <w:spacing w:line="520" w:lineRule="exact"/>
        <w:ind w:firstLine="480" w:firstLineChars="200"/>
        <w:rPr>
          <w:rFonts w:hint="eastAsia" w:ascii="宋体" w:hAnsi="宋体" w:cs="宋体"/>
          <w:sz w:val="24"/>
          <w:szCs w:val="24"/>
          <w:highlight w:val="none"/>
        </w:rPr>
      </w:pPr>
      <w:bookmarkStart w:id="72" w:name="_Toc152042383"/>
      <w:bookmarkEnd w:id="72"/>
      <w:r>
        <w:rPr>
          <w:rFonts w:hint="eastAsia" w:ascii="宋体" w:hAnsi="宋体" w:cs="宋体"/>
          <w:sz w:val="24"/>
          <w:szCs w:val="24"/>
          <w:highlight w:val="none"/>
        </w:rPr>
        <w:t>（1）响应文件中的大写金额与小写金额不一致的，以大写金额为准；</w:t>
      </w:r>
    </w:p>
    <w:p w14:paraId="7F103EF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（2）总价金额与依据单价计算出的结果不一致的，以单价金额为准修正总价，但单价金额小数点有明显错误的除外。</w:t>
      </w:r>
    </w:p>
    <w:p w14:paraId="428EFE6E">
      <w:pPr>
        <w:spacing w:line="520" w:lineRule="exact"/>
        <w:ind w:firstLine="480" w:firstLineChars="200"/>
        <w:outlineLvl w:val="1"/>
        <w:rPr>
          <w:rFonts w:hint="eastAsia" w:ascii="宋体" w:hAnsi="宋体" w:cs="宋体"/>
          <w:sz w:val="24"/>
          <w:szCs w:val="24"/>
          <w:highlight w:val="none"/>
        </w:rPr>
      </w:pPr>
      <w:bookmarkStart w:id="73" w:name="_Toc144974573"/>
      <w:bookmarkEnd w:id="73"/>
      <w:bookmarkStart w:id="74" w:name="_Toc179632624"/>
      <w:bookmarkEnd w:id="74"/>
      <w:bookmarkStart w:id="75" w:name="_Toc152042384"/>
      <w:bookmarkEnd w:id="75"/>
      <w:bookmarkStart w:id="76" w:name="_Toc152045606"/>
      <w:r>
        <w:rPr>
          <w:rFonts w:hint="eastAsia" w:ascii="宋体" w:hAnsi="宋体" w:cs="宋体"/>
          <w:sz w:val="24"/>
          <w:szCs w:val="24"/>
          <w:highlight w:val="none"/>
        </w:rPr>
        <w:t>3.2 详细评审</w:t>
      </w:r>
      <w:bookmarkEnd w:id="76"/>
    </w:p>
    <w:p w14:paraId="737FB17C">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3.2.1 磋商小组按本章第2.2款规定的量化因素和分值进行打分，并计算出综合评估得分。</w:t>
      </w:r>
    </w:p>
    <w:p w14:paraId="1A24CEA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3.2.2 磋商小组发现响应人最终提交的报价明显低于其他磋商报价，或者在设有招标控制价时明显低于招标控制价，使得其磋商报价可能低于其个别成本的，应当要求该响应人作出书面说明并提供相应的证明材料。响应人不能合理说明或者不能提供相应证明材料的，由磋商小组认定该响应人以低于成本报价竞标，其磋商作无效标处理。</w:t>
      </w:r>
    </w:p>
    <w:p w14:paraId="7E6C2F9E">
      <w:pPr>
        <w:spacing w:line="520" w:lineRule="exact"/>
        <w:ind w:firstLine="480" w:firstLineChars="200"/>
        <w:outlineLvl w:val="1"/>
        <w:rPr>
          <w:rFonts w:hint="eastAsia" w:ascii="宋体" w:hAnsi="宋体" w:cs="宋体"/>
          <w:sz w:val="24"/>
          <w:szCs w:val="24"/>
          <w:highlight w:val="none"/>
        </w:rPr>
      </w:pPr>
      <w:bookmarkStart w:id="77" w:name="_Toc421698384"/>
      <w:bookmarkEnd w:id="77"/>
      <w:bookmarkStart w:id="78" w:name="_Toc466566800"/>
      <w:bookmarkEnd w:id="78"/>
      <w:bookmarkStart w:id="79" w:name="_Toc144974575"/>
      <w:bookmarkEnd w:id="79"/>
      <w:bookmarkStart w:id="80" w:name="_Toc423358132"/>
      <w:bookmarkEnd w:id="80"/>
      <w:bookmarkStart w:id="81" w:name="_Toc401926485"/>
      <w:bookmarkEnd w:id="81"/>
      <w:bookmarkStart w:id="82" w:name="_Toc152042385"/>
      <w:bookmarkEnd w:id="82"/>
      <w:bookmarkStart w:id="83" w:name="_Toc466566711"/>
      <w:bookmarkEnd w:id="83"/>
      <w:bookmarkStart w:id="84" w:name="_Toc179632625"/>
      <w:bookmarkEnd w:id="84"/>
      <w:bookmarkStart w:id="85" w:name="_Toc418605429"/>
      <w:bookmarkEnd w:id="85"/>
      <w:bookmarkStart w:id="86" w:name="_Toc418608950"/>
      <w:bookmarkEnd w:id="86"/>
      <w:bookmarkStart w:id="87" w:name="_Toc421805017"/>
      <w:bookmarkEnd w:id="87"/>
      <w:bookmarkStart w:id="88" w:name="_Toc387498748"/>
      <w:bookmarkEnd w:id="88"/>
      <w:bookmarkStart w:id="89" w:name="_Toc389384087"/>
      <w:bookmarkEnd w:id="89"/>
      <w:bookmarkStart w:id="90" w:name="_Toc401512224"/>
      <w:bookmarkEnd w:id="90"/>
      <w:bookmarkStart w:id="91" w:name="_Toc152045607"/>
      <w:r>
        <w:rPr>
          <w:rFonts w:hint="eastAsia" w:ascii="宋体" w:hAnsi="宋体" w:cs="宋体"/>
          <w:sz w:val="24"/>
          <w:szCs w:val="24"/>
          <w:highlight w:val="none"/>
        </w:rPr>
        <w:t xml:space="preserve">3.3 </w:t>
      </w:r>
      <w:bookmarkEnd w:id="91"/>
      <w:r>
        <w:rPr>
          <w:rFonts w:hint="eastAsia" w:ascii="宋体" w:hAnsi="宋体" w:cs="宋体"/>
          <w:sz w:val="24"/>
          <w:szCs w:val="24"/>
          <w:highlight w:val="none"/>
        </w:rPr>
        <w:t>响应文件的澄清和补正</w:t>
      </w:r>
    </w:p>
    <w:p w14:paraId="6959E7BB">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3.3.1在磋商过程中，磋商小组可以书面形式要求响应人对所提交响应文件中不明确的内容进行书面澄清或说明，或者对细微偏差进行补正。磋商小组不接受响应人主动提出的澄清、说明或补正。</w:t>
      </w:r>
    </w:p>
    <w:p w14:paraId="35818F76">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3.3.2在磋商过程中，磋商小组对响应文件中含义不明确、对同类问题表述不一致或者有明显文字和计算错误的内容可以要求响应人作必要的澄清、说明或者补正。</w:t>
      </w:r>
    </w:p>
    <w:p w14:paraId="471EF2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w:t>
      </w: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 澄清、说明和补正不得改变响应文件的实质性内容（算术性错误修正的除外）。响应人的书面澄清、说明和补正属于响应文件的组成部分。</w:t>
      </w:r>
    </w:p>
    <w:p w14:paraId="196C84C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3.3.</w:t>
      </w:r>
      <w:r>
        <w:rPr>
          <w:rFonts w:hint="eastAsia" w:ascii="宋体" w:hAnsi="宋体" w:cs="宋体"/>
          <w:sz w:val="24"/>
          <w:szCs w:val="24"/>
          <w:highlight w:val="none"/>
          <w:lang w:val="en-US" w:eastAsia="zh-CN"/>
        </w:rPr>
        <w:t>4</w:t>
      </w:r>
      <w:r>
        <w:rPr>
          <w:rFonts w:hint="eastAsia" w:ascii="宋体" w:hAnsi="宋体" w:cs="宋体"/>
          <w:sz w:val="24"/>
          <w:szCs w:val="24"/>
          <w:highlight w:val="none"/>
        </w:rPr>
        <w:t xml:space="preserve"> 磋商小组对响应人提交的澄清、说明或补正有疑问的，可以要求响应人进一步澄清、说明或补正，直至满足磋商小组的要求。</w:t>
      </w:r>
    </w:p>
    <w:p w14:paraId="6C55CD35">
      <w:pPr>
        <w:spacing w:line="520" w:lineRule="exact"/>
        <w:ind w:firstLine="480" w:firstLineChars="200"/>
        <w:outlineLvl w:val="1"/>
        <w:rPr>
          <w:rFonts w:hint="eastAsia" w:ascii="宋体" w:hAnsi="宋体" w:cs="宋体"/>
          <w:sz w:val="24"/>
          <w:szCs w:val="24"/>
          <w:highlight w:val="none"/>
        </w:rPr>
      </w:pPr>
      <w:bookmarkStart w:id="92" w:name="_Toc179632626"/>
      <w:bookmarkEnd w:id="92"/>
      <w:bookmarkStart w:id="93" w:name="_Toc418608951"/>
      <w:bookmarkEnd w:id="93"/>
      <w:bookmarkStart w:id="94" w:name="_Toc401512225"/>
      <w:bookmarkEnd w:id="94"/>
      <w:bookmarkStart w:id="95" w:name="_Toc152045608"/>
      <w:bookmarkEnd w:id="95"/>
      <w:bookmarkStart w:id="96" w:name="_Toc421698385"/>
      <w:bookmarkEnd w:id="96"/>
      <w:bookmarkStart w:id="97" w:name="_Toc423358133"/>
      <w:bookmarkEnd w:id="97"/>
      <w:bookmarkStart w:id="98" w:name="_Toc152042386"/>
      <w:bookmarkEnd w:id="98"/>
      <w:bookmarkStart w:id="99" w:name="_Toc418605430"/>
      <w:bookmarkEnd w:id="99"/>
      <w:bookmarkStart w:id="100" w:name="_Toc401926486"/>
      <w:bookmarkEnd w:id="100"/>
      <w:bookmarkStart w:id="101" w:name="_Toc466566801"/>
      <w:bookmarkEnd w:id="101"/>
      <w:bookmarkStart w:id="102" w:name="_Toc144974576"/>
      <w:bookmarkEnd w:id="102"/>
      <w:bookmarkStart w:id="103" w:name="_Toc466566712"/>
      <w:bookmarkEnd w:id="103"/>
      <w:bookmarkStart w:id="104" w:name="_Toc389384088"/>
      <w:bookmarkEnd w:id="104"/>
      <w:bookmarkStart w:id="105" w:name="_Toc421805018"/>
      <w:bookmarkEnd w:id="105"/>
      <w:bookmarkStart w:id="106" w:name="_Toc387498749"/>
      <w:r>
        <w:rPr>
          <w:rFonts w:hint="eastAsia" w:ascii="宋体" w:hAnsi="宋体" w:cs="宋体"/>
          <w:sz w:val="24"/>
          <w:szCs w:val="24"/>
          <w:highlight w:val="none"/>
        </w:rPr>
        <w:t>3.4响应人的最终得分</w:t>
      </w:r>
      <w:bookmarkEnd w:id="106"/>
    </w:p>
    <w:p w14:paraId="11443314">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（1）磋商小组完成对最终磋商报价、技术标和综合标的汇总后，取平均值作为该响应人的最终得分。</w:t>
      </w:r>
    </w:p>
    <w:p w14:paraId="4EF242C2">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（2）计算分值均保留两位小数。</w:t>
      </w:r>
    </w:p>
    <w:p w14:paraId="0E2E81EC">
      <w:pPr>
        <w:spacing w:line="520" w:lineRule="exact"/>
        <w:ind w:firstLine="480" w:firstLineChars="200"/>
        <w:outlineLvl w:val="1"/>
        <w:rPr>
          <w:rFonts w:hint="eastAsia" w:ascii="宋体" w:hAnsi="宋体" w:cs="宋体"/>
          <w:sz w:val="24"/>
          <w:szCs w:val="24"/>
          <w:highlight w:val="none"/>
        </w:rPr>
      </w:pPr>
      <w:r>
        <w:rPr>
          <w:rFonts w:hint="eastAsia" w:ascii="宋体" w:hAnsi="宋体" w:cs="宋体"/>
          <w:sz w:val="24"/>
          <w:szCs w:val="24"/>
          <w:highlight w:val="none"/>
        </w:rPr>
        <w:t>3.5磋商结果</w:t>
      </w:r>
    </w:p>
    <w:p w14:paraId="517B1ACE">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3.5.1磋商小组按照得分由高到低的顺序推荐3名成交候选人。</w:t>
      </w:r>
    </w:p>
    <w:p w14:paraId="24C4E3FD">
      <w:pPr>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3.5.2 磋商小组完成磋商后，应当向招标人提交书面评标报告。</w:t>
      </w:r>
    </w:p>
    <w:p w14:paraId="3EC06380">
      <w:pPr>
        <w:spacing w:line="520" w:lineRule="exact"/>
        <w:jc w:val="center"/>
        <w:outlineLvl w:val="2"/>
        <w:rPr>
          <w:rFonts w:ascii="宋体" w:hAnsi="宋体" w:eastAsia="宋体" w:cs="宋体"/>
          <w:color w:val="000000" w:themeColor="text1"/>
          <w:kern w:val="36"/>
          <w:sz w:val="32"/>
          <w:szCs w:val="32"/>
          <w14:textFill>
            <w14:solidFill>
              <w14:schemeClr w14:val="tx1"/>
            </w14:solidFill>
          </w14:textFill>
        </w:rPr>
      </w:pPr>
      <w:r>
        <w:rPr>
          <w:b/>
          <w:sz w:val="30"/>
          <w:szCs w:val="30"/>
          <w:highlight w:val="none"/>
        </w:rPr>
        <w:br w:type="page"/>
      </w:r>
      <w:r>
        <w:rPr>
          <w:rFonts w:ascii="宋体" w:hAnsi="宋体" w:eastAsia="宋体" w:cs="宋体"/>
          <w:color w:val="000000" w:themeColor="text1"/>
          <w:kern w:val="36"/>
          <w:sz w:val="32"/>
          <w:szCs w:val="32"/>
          <w14:textFill>
            <w14:solidFill>
              <w14:schemeClr w14:val="tx1"/>
            </w14:solidFill>
          </w14:textFill>
        </w:rPr>
        <w:t>评审标准</w:t>
      </w:r>
      <w:bookmarkStart w:id="107" w:name="_Toc16556"/>
    </w:p>
    <w:tbl>
      <w:tblPr>
        <w:tblStyle w:val="18"/>
        <w:tblpPr w:leftFromText="180" w:rightFromText="180" w:vertAnchor="text" w:horzAnchor="margin" w:tblpY="631"/>
        <w:tblOverlap w:val="never"/>
        <w:tblW w:w="9606"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134"/>
        <w:gridCol w:w="213"/>
        <w:gridCol w:w="484"/>
        <w:gridCol w:w="1009"/>
        <w:gridCol w:w="420"/>
        <w:gridCol w:w="5529"/>
      </w:tblGrid>
      <w:tr w14:paraId="27FCD6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0" w:hRule="atLeast"/>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6A45A496">
            <w:pPr>
              <w:spacing w:line="500" w:lineRule="exact"/>
              <w:jc w:val="center"/>
              <w:rPr>
                <w:rFonts w:ascii="宋体" w:hAnsi="宋体"/>
                <w:b/>
                <w:bCs/>
                <w:sz w:val="24"/>
                <w:szCs w:val="24"/>
                <w:highlight w:val="none"/>
              </w:rPr>
            </w:pPr>
            <w:r>
              <w:rPr>
                <w:rFonts w:hint="eastAsia" w:ascii="宋体" w:hAnsi="宋体"/>
                <w:b/>
                <w:bCs/>
                <w:sz w:val="24"/>
                <w:szCs w:val="24"/>
                <w:highlight w:val="none"/>
              </w:rPr>
              <w:t>条款号</w:t>
            </w:r>
          </w:p>
        </w:tc>
        <w:tc>
          <w:tcPr>
            <w:tcW w:w="2126" w:type="dxa"/>
            <w:gridSpan w:val="4"/>
            <w:tcBorders>
              <w:top w:val="single" w:color="auto" w:sz="4" w:space="0"/>
              <w:left w:val="nil"/>
              <w:bottom w:val="single" w:color="auto" w:sz="4" w:space="0"/>
              <w:right w:val="single" w:color="auto" w:sz="4" w:space="0"/>
            </w:tcBorders>
            <w:noWrap w:val="0"/>
            <w:vAlign w:val="center"/>
          </w:tcPr>
          <w:p w14:paraId="781A202D">
            <w:pPr>
              <w:spacing w:line="500" w:lineRule="exact"/>
              <w:jc w:val="center"/>
              <w:rPr>
                <w:rFonts w:ascii="宋体" w:hAnsi="宋体"/>
                <w:b/>
                <w:bCs/>
                <w:sz w:val="24"/>
                <w:szCs w:val="24"/>
                <w:highlight w:val="none"/>
              </w:rPr>
            </w:pPr>
            <w:r>
              <w:rPr>
                <w:rFonts w:hint="eastAsia" w:ascii="宋体" w:hAnsi="宋体"/>
                <w:b/>
                <w:bCs/>
                <w:sz w:val="24"/>
                <w:szCs w:val="24"/>
                <w:highlight w:val="none"/>
              </w:rPr>
              <w:t>评审因素</w:t>
            </w:r>
          </w:p>
        </w:tc>
        <w:tc>
          <w:tcPr>
            <w:tcW w:w="5529" w:type="dxa"/>
            <w:tcBorders>
              <w:top w:val="single" w:color="auto" w:sz="4" w:space="0"/>
              <w:left w:val="nil"/>
              <w:bottom w:val="single" w:color="auto" w:sz="4" w:space="0"/>
              <w:right w:val="single" w:color="auto" w:sz="4" w:space="0"/>
            </w:tcBorders>
            <w:noWrap w:val="0"/>
            <w:vAlign w:val="center"/>
          </w:tcPr>
          <w:p w14:paraId="4CF3AC54">
            <w:pPr>
              <w:spacing w:line="500" w:lineRule="exact"/>
              <w:jc w:val="center"/>
              <w:rPr>
                <w:rFonts w:ascii="宋体" w:hAnsi="宋体"/>
                <w:b/>
                <w:bCs/>
                <w:sz w:val="24"/>
                <w:szCs w:val="24"/>
                <w:highlight w:val="none"/>
              </w:rPr>
            </w:pPr>
            <w:r>
              <w:rPr>
                <w:rFonts w:hint="eastAsia" w:ascii="宋体" w:hAnsi="宋体"/>
                <w:b/>
                <w:bCs/>
                <w:sz w:val="24"/>
                <w:szCs w:val="24"/>
                <w:highlight w:val="none"/>
              </w:rPr>
              <w:t>评审标准</w:t>
            </w:r>
          </w:p>
        </w:tc>
      </w:tr>
      <w:tr w14:paraId="36D35F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43" w:hRule="atLeast"/>
        </w:trPr>
        <w:tc>
          <w:tcPr>
            <w:tcW w:w="817" w:type="dxa"/>
            <w:vMerge w:val="restart"/>
            <w:tcBorders>
              <w:top w:val="single" w:color="auto" w:sz="4" w:space="0"/>
              <w:left w:val="single" w:color="auto" w:sz="4" w:space="0"/>
              <w:right w:val="single" w:color="auto" w:sz="4" w:space="0"/>
            </w:tcBorders>
            <w:noWrap w:val="0"/>
            <w:vAlign w:val="center"/>
          </w:tcPr>
          <w:p w14:paraId="71345B47">
            <w:pPr>
              <w:spacing w:line="500" w:lineRule="exact"/>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1.1.1</w:t>
            </w:r>
          </w:p>
        </w:tc>
        <w:tc>
          <w:tcPr>
            <w:tcW w:w="1134" w:type="dxa"/>
            <w:vMerge w:val="restart"/>
            <w:tcBorders>
              <w:top w:val="single" w:color="auto" w:sz="4" w:space="0"/>
              <w:left w:val="single" w:color="auto" w:sz="4" w:space="0"/>
              <w:right w:val="single" w:color="auto" w:sz="4" w:space="0"/>
            </w:tcBorders>
            <w:noWrap w:val="0"/>
            <w:vAlign w:val="center"/>
          </w:tcPr>
          <w:p w14:paraId="1032C050">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符合性评审标准</w:t>
            </w:r>
          </w:p>
        </w:tc>
        <w:tc>
          <w:tcPr>
            <w:tcW w:w="2126" w:type="dxa"/>
            <w:gridSpan w:val="4"/>
            <w:tcBorders>
              <w:top w:val="single" w:color="auto" w:sz="4" w:space="0"/>
              <w:left w:val="nil"/>
              <w:bottom w:val="single" w:color="auto" w:sz="4" w:space="0"/>
              <w:right w:val="single" w:color="auto" w:sz="4" w:space="0"/>
            </w:tcBorders>
            <w:noWrap w:val="0"/>
            <w:vAlign w:val="center"/>
          </w:tcPr>
          <w:p w14:paraId="34C05C8F">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rPr>
              <w:t>供应商名称</w:t>
            </w:r>
          </w:p>
        </w:tc>
        <w:tc>
          <w:tcPr>
            <w:tcW w:w="5529" w:type="dxa"/>
            <w:tcBorders>
              <w:top w:val="single" w:color="auto" w:sz="4" w:space="0"/>
              <w:left w:val="nil"/>
              <w:bottom w:val="single" w:color="auto" w:sz="4" w:space="0"/>
              <w:right w:val="single" w:color="auto" w:sz="4" w:space="0"/>
            </w:tcBorders>
            <w:noWrap w:val="0"/>
            <w:vAlign w:val="center"/>
          </w:tcPr>
          <w:p w14:paraId="05A8FF96">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sz w:val="24"/>
                <w:szCs w:val="24"/>
              </w:rPr>
              <w:t>与营业执照一致</w:t>
            </w:r>
          </w:p>
        </w:tc>
      </w:tr>
      <w:tr w14:paraId="20D68D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2" w:hRule="atLeast"/>
        </w:trPr>
        <w:tc>
          <w:tcPr>
            <w:tcW w:w="817" w:type="dxa"/>
            <w:vMerge w:val="continue"/>
            <w:tcBorders>
              <w:left w:val="single" w:color="auto" w:sz="4" w:space="0"/>
              <w:bottom w:val="single" w:color="auto" w:sz="4" w:space="0"/>
              <w:right w:val="single" w:color="auto" w:sz="4" w:space="0"/>
            </w:tcBorders>
            <w:noWrap w:val="0"/>
            <w:vAlign w:val="center"/>
          </w:tcPr>
          <w:p w14:paraId="340CD6F0">
            <w:pPr>
              <w:spacing w:line="500" w:lineRule="exact"/>
              <w:jc w:val="center"/>
              <w:rPr>
                <w:rFonts w:hint="eastAsia" w:ascii="宋体" w:hAnsi="宋体"/>
                <w:sz w:val="24"/>
                <w:szCs w:val="24"/>
                <w:highlight w:val="none"/>
                <w:lang w:val="en-US" w:eastAsia="zh-CN"/>
              </w:rPr>
            </w:pPr>
          </w:p>
        </w:tc>
        <w:tc>
          <w:tcPr>
            <w:tcW w:w="1134" w:type="dxa"/>
            <w:vMerge w:val="continue"/>
            <w:tcBorders>
              <w:left w:val="single" w:color="auto" w:sz="4" w:space="0"/>
              <w:right w:val="single" w:color="auto" w:sz="4" w:space="0"/>
            </w:tcBorders>
            <w:noWrap w:val="0"/>
            <w:vAlign w:val="center"/>
          </w:tcPr>
          <w:p w14:paraId="3BAD2EF5">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nil"/>
              <w:bottom w:val="single" w:color="auto" w:sz="4" w:space="0"/>
              <w:right w:val="single" w:color="auto" w:sz="4" w:space="0"/>
            </w:tcBorders>
            <w:noWrap w:val="0"/>
            <w:vAlign w:val="center"/>
          </w:tcPr>
          <w:p w14:paraId="39B6213D">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rPr>
              <w:t>签字或盖章</w:t>
            </w:r>
          </w:p>
        </w:tc>
        <w:tc>
          <w:tcPr>
            <w:tcW w:w="5529" w:type="dxa"/>
            <w:tcBorders>
              <w:top w:val="single" w:color="auto" w:sz="4" w:space="0"/>
              <w:left w:val="nil"/>
              <w:bottom w:val="single" w:color="auto" w:sz="4" w:space="0"/>
              <w:right w:val="single" w:color="auto" w:sz="4" w:space="0"/>
            </w:tcBorders>
            <w:noWrap w:val="0"/>
            <w:vAlign w:val="center"/>
          </w:tcPr>
          <w:p w14:paraId="13412824">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sz w:val="24"/>
                <w:szCs w:val="24"/>
              </w:rPr>
              <w:t>按磋商文件要求签字或盖章</w:t>
            </w:r>
          </w:p>
        </w:tc>
      </w:tr>
      <w:tr w14:paraId="612480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7" w:hRule="atLeast"/>
        </w:trPr>
        <w:tc>
          <w:tcPr>
            <w:tcW w:w="817" w:type="dxa"/>
            <w:vMerge w:val="continue"/>
            <w:tcBorders>
              <w:left w:val="single" w:color="auto" w:sz="4" w:space="0"/>
              <w:bottom w:val="single" w:color="auto" w:sz="4" w:space="0"/>
              <w:right w:val="single" w:color="auto" w:sz="4" w:space="0"/>
            </w:tcBorders>
            <w:noWrap w:val="0"/>
            <w:vAlign w:val="center"/>
          </w:tcPr>
          <w:p w14:paraId="0D1D5D66">
            <w:pPr>
              <w:spacing w:line="500" w:lineRule="exact"/>
              <w:jc w:val="center"/>
              <w:rPr>
                <w:rFonts w:hint="eastAsia" w:ascii="宋体" w:hAnsi="宋体"/>
                <w:sz w:val="24"/>
                <w:szCs w:val="24"/>
                <w:highlight w:val="none"/>
                <w:lang w:val="en-US" w:eastAsia="zh-CN"/>
              </w:rPr>
            </w:pPr>
          </w:p>
        </w:tc>
        <w:tc>
          <w:tcPr>
            <w:tcW w:w="1134" w:type="dxa"/>
            <w:vMerge w:val="continue"/>
            <w:tcBorders>
              <w:left w:val="single" w:color="auto" w:sz="4" w:space="0"/>
              <w:bottom w:val="single" w:color="auto" w:sz="4" w:space="0"/>
              <w:right w:val="single" w:color="auto" w:sz="4" w:space="0"/>
            </w:tcBorders>
            <w:noWrap w:val="0"/>
            <w:vAlign w:val="center"/>
          </w:tcPr>
          <w:p w14:paraId="71F257F2">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nil"/>
              <w:bottom w:val="single" w:color="auto" w:sz="4" w:space="0"/>
              <w:right w:val="single" w:color="auto" w:sz="4" w:space="0"/>
            </w:tcBorders>
            <w:noWrap w:val="0"/>
            <w:vAlign w:val="center"/>
          </w:tcPr>
          <w:p w14:paraId="345C54C1">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rPr>
              <w:t>磋商报价</w:t>
            </w:r>
          </w:p>
        </w:tc>
        <w:tc>
          <w:tcPr>
            <w:tcW w:w="5529" w:type="dxa"/>
            <w:tcBorders>
              <w:top w:val="single" w:color="auto" w:sz="4" w:space="0"/>
              <w:left w:val="nil"/>
              <w:bottom w:val="single" w:color="auto" w:sz="4" w:space="0"/>
              <w:right w:val="single" w:color="auto" w:sz="4" w:space="0"/>
            </w:tcBorders>
            <w:noWrap w:val="0"/>
            <w:vAlign w:val="center"/>
          </w:tcPr>
          <w:p w14:paraId="4DBF273A">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sz w:val="24"/>
                <w:szCs w:val="24"/>
              </w:rPr>
              <w:t>供应商的磋商报价不得高于采购人的预算价，否则其投标将予否决。</w:t>
            </w:r>
          </w:p>
        </w:tc>
      </w:tr>
      <w:tr w14:paraId="5CABFE1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85" w:hRule="atLeast"/>
        </w:trPr>
        <w:tc>
          <w:tcPr>
            <w:tcW w:w="817" w:type="dxa"/>
            <w:vMerge w:val="restart"/>
            <w:tcBorders>
              <w:top w:val="single" w:color="auto" w:sz="4" w:space="0"/>
              <w:left w:val="single" w:color="auto" w:sz="4" w:space="0"/>
              <w:right w:val="single" w:color="auto" w:sz="4" w:space="0"/>
            </w:tcBorders>
            <w:noWrap w:val="0"/>
            <w:vAlign w:val="center"/>
          </w:tcPr>
          <w:p w14:paraId="222EE1E0">
            <w:pPr>
              <w:spacing w:line="500" w:lineRule="exact"/>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1.1.2</w:t>
            </w:r>
          </w:p>
        </w:tc>
        <w:tc>
          <w:tcPr>
            <w:tcW w:w="1134" w:type="dxa"/>
            <w:vMerge w:val="restart"/>
            <w:tcBorders>
              <w:top w:val="single" w:color="auto" w:sz="4" w:space="0"/>
              <w:left w:val="single" w:color="auto" w:sz="4" w:space="0"/>
              <w:right w:val="single" w:color="auto" w:sz="4" w:space="0"/>
            </w:tcBorders>
            <w:noWrap w:val="0"/>
            <w:vAlign w:val="center"/>
          </w:tcPr>
          <w:p w14:paraId="3C3D61D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资格</w:t>
            </w:r>
            <w:r>
              <w:rPr>
                <w:rFonts w:hint="eastAsia" w:asciiTheme="minorEastAsia" w:hAnsiTheme="minorEastAsia" w:eastAsiaTheme="minorEastAsia" w:cstheme="minorEastAsia"/>
                <w:sz w:val="24"/>
                <w:szCs w:val="24"/>
                <w:highlight w:val="none"/>
                <w:lang w:val="en-US" w:eastAsia="zh-CN"/>
              </w:rPr>
              <w:t>性</w:t>
            </w:r>
            <w:r>
              <w:rPr>
                <w:rFonts w:hint="eastAsia" w:asciiTheme="minorEastAsia" w:hAnsiTheme="minorEastAsia" w:eastAsiaTheme="minorEastAsia" w:cstheme="minorEastAsia"/>
                <w:sz w:val="24"/>
                <w:szCs w:val="24"/>
                <w:highlight w:val="none"/>
              </w:rPr>
              <w:t>评审标准</w:t>
            </w:r>
          </w:p>
        </w:tc>
        <w:tc>
          <w:tcPr>
            <w:tcW w:w="2126" w:type="dxa"/>
            <w:gridSpan w:val="4"/>
            <w:tcBorders>
              <w:top w:val="single" w:color="auto" w:sz="4" w:space="0"/>
              <w:left w:val="nil"/>
              <w:bottom w:val="single" w:color="auto" w:sz="4" w:space="0"/>
              <w:right w:val="single" w:color="auto" w:sz="4" w:space="0"/>
            </w:tcBorders>
            <w:shd w:val="clear" w:color="auto" w:fill="auto"/>
            <w:noWrap w:val="0"/>
            <w:vAlign w:val="center"/>
          </w:tcPr>
          <w:p w14:paraId="3D4DA174">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满足《中华人民共和国政府采购法》第二十二条规定</w:t>
            </w:r>
          </w:p>
        </w:tc>
        <w:tc>
          <w:tcPr>
            <w:tcW w:w="5529" w:type="dxa"/>
            <w:tcBorders>
              <w:top w:val="single" w:color="auto" w:sz="4" w:space="0"/>
              <w:left w:val="nil"/>
              <w:bottom w:val="single" w:color="auto" w:sz="4" w:space="0"/>
              <w:right w:val="single" w:color="auto" w:sz="4" w:space="0"/>
            </w:tcBorders>
            <w:shd w:val="clear" w:color="auto" w:fill="auto"/>
            <w:noWrap w:val="0"/>
            <w:vAlign w:val="center"/>
          </w:tcPr>
          <w:p w14:paraId="728D7A86">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满足《中华人民共和国政府采购法》第二十二条规定（相关证明资料或承诺书）</w:t>
            </w:r>
            <w:r>
              <w:rPr>
                <w:rFonts w:hint="eastAsia" w:asciiTheme="minorEastAsia" w:hAnsiTheme="minorEastAsia" w:eastAsiaTheme="minorEastAsia" w:cstheme="minorEastAsia"/>
                <w:sz w:val="24"/>
                <w:szCs w:val="24"/>
                <w:highlight w:val="none"/>
                <w:lang w:eastAsia="zh-CN"/>
              </w:rPr>
              <w:t>。</w:t>
            </w:r>
          </w:p>
        </w:tc>
      </w:tr>
      <w:tr w14:paraId="369126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60222660">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0856A5BA">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nil"/>
              <w:bottom w:val="single" w:color="auto" w:sz="4" w:space="0"/>
              <w:right w:val="single" w:color="auto" w:sz="4" w:space="0"/>
            </w:tcBorders>
            <w:noWrap w:val="0"/>
            <w:vAlign w:val="center"/>
          </w:tcPr>
          <w:p w14:paraId="06E0F3D2">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营业执照</w:t>
            </w:r>
          </w:p>
        </w:tc>
        <w:tc>
          <w:tcPr>
            <w:tcW w:w="5529" w:type="dxa"/>
            <w:tcBorders>
              <w:top w:val="single" w:color="auto" w:sz="4" w:space="0"/>
              <w:left w:val="nil"/>
              <w:bottom w:val="single" w:color="auto" w:sz="4" w:space="0"/>
              <w:right w:val="single" w:color="auto" w:sz="4" w:space="0"/>
            </w:tcBorders>
            <w:noWrap w:val="0"/>
            <w:vAlign w:val="center"/>
          </w:tcPr>
          <w:p w14:paraId="03813031">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具备独立法人资格，具有合法有效的营业执照</w:t>
            </w:r>
          </w:p>
        </w:tc>
      </w:tr>
      <w:tr w14:paraId="653B34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8" w:hRule="atLeast"/>
        </w:trPr>
        <w:tc>
          <w:tcPr>
            <w:tcW w:w="817" w:type="dxa"/>
            <w:vMerge w:val="continue"/>
            <w:tcBorders>
              <w:left w:val="single" w:color="auto" w:sz="4" w:space="0"/>
              <w:right w:val="single" w:color="auto" w:sz="4" w:space="0"/>
            </w:tcBorders>
            <w:noWrap w:val="0"/>
            <w:vAlign w:val="center"/>
          </w:tcPr>
          <w:p w14:paraId="5C985DEA">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7EBDA743">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nil"/>
              <w:bottom w:val="single" w:color="auto" w:sz="4" w:space="0"/>
              <w:right w:val="single" w:color="auto" w:sz="4" w:space="0"/>
            </w:tcBorders>
            <w:noWrap w:val="0"/>
            <w:vAlign w:val="center"/>
          </w:tcPr>
          <w:p w14:paraId="6E3B5B4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没有重大违法记录</w:t>
            </w:r>
          </w:p>
        </w:tc>
        <w:tc>
          <w:tcPr>
            <w:tcW w:w="5529" w:type="dxa"/>
            <w:tcBorders>
              <w:top w:val="single" w:color="auto" w:sz="4" w:space="0"/>
              <w:left w:val="nil"/>
              <w:bottom w:val="single" w:color="auto" w:sz="4" w:space="0"/>
              <w:right w:val="single" w:color="auto" w:sz="4" w:space="0"/>
            </w:tcBorders>
            <w:noWrap w:val="0"/>
            <w:vAlign w:val="center"/>
          </w:tcPr>
          <w:p w14:paraId="01634B66">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供应商参加本次采购活动前三年内，在经营活动中没有重大违法记录（提供承诺书，格式自拟）；</w:t>
            </w:r>
          </w:p>
        </w:tc>
      </w:tr>
      <w:tr w14:paraId="0A1893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070" w:hRule="atLeast"/>
        </w:trPr>
        <w:tc>
          <w:tcPr>
            <w:tcW w:w="817" w:type="dxa"/>
            <w:vMerge w:val="continue"/>
            <w:tcBorders>
              <w:left w:val="single" w:color="auto" w:sz="4" w:space="0"/>
              <w:right w:val="single" w:color="auto" w:sz="4" w:space="0"/>
            </w:tcBorders>
            <w:noWrap w:val="0"/>
            <w:vAlign w:val="center"/>
          </w:tcPr>
          <w:p w14:paraId="310F2D33">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4E7D886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nil"/>
              <w:right w:val="single" w:color="auto" w:sz="4" w:space="0"/>
            </w:tcBorders>
            <w:noWrap w:val="0"/>
            <w:vAlign w:val="center"/>
          </w:tcPr>
          <w:p w14:paraId="3DBADE63">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无商业贿赂和不正当竞争行为</w:t>
            </w:r>
          </w:p>
        </w:tc>
        <w:tc>
          <w:tcPr>
            <w:tcW w:w="5529" w:type="dxa"/>
            <w:tcBorders>
              <w:top w:val="single" w:color="auto" w:sz="4" w:space="0"/>
              <w:left w:val="nil"/>
              <w:bottom w:val="single" w:color="auto" w:sz="4" w:space="0"/>
              <w:right w:val="single" w:color="auto" w:sz="4" w:space="0"/>
            </w:tcBorders>
            <w:noWrap w:val="0"/>
            <w:vAlign w:val="center"/>
          </w:tcPr>
          <w:p w14:paraId="7B17EDE5">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出具本企业无商业贿赂和不正当竞争行为承诺书，格式自拟</w:t>
            </w:r>
          </w:p>
        </w:tc>
      </w:tr>
      <w:tr w14:paraId="42D3E2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78" w:hRule="atLeast"/>
        </w:trPr>
        <w:tc>
          <w:tcPr>
            <w:tcW w:w="817" w:type="dxa"/>
            <w:vMerge w:val="continue"/>
            <w:tcBorders>
              <w:left w:val="single" w:color="auto" w:sz="4" w:space="0"/>
              <w:right w:val="single" w:color="auto" w:sz="4" w:space="0"/>
            </w:tcBorders>
            <w:noWrap w:val="0"/>
            <w:vAlign w:val="center"/>
          </w:tcPr>
          <w:p w14:paraId="6C378D30">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2F85A4A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nil"/>
              <w:bottom w:val="single" w:color="auto" w:sz="4" w:space="0"/>
              <w:right w:val="single" w:color="auto" w:sz="4" w:space="0"/>
            </w:tcBorders>
            <w:noWrap w:val="0"/>
            <w:vAlign w:val="center"/>
          </w:tcPr>
          <w:p w14:paraId="5BBC1C8A">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rPr>
              <w:t>信用截图</w:t>
            </w:r>
          </w:p>
        </w:tc>
        <w:tc>
          <w:tcPr>
            <w:tcW w:w="5529" w:type="dxa"/>
            <w:tcBorders>
              <w:top w:val="single" w:color="auto" w:sz="4" w:space="0"/>
              <w:left w:val="nil"/>
              <w:bottom w:val="single" w:color="auto" w:sz="4" w:space="0"/>
              <w:right w:val="single" w:color="auto" w:sz="4" w:space="0"/>
            </w:tcBorders>
            <w:noWrap w:val="0"/>
            <w:vAlign w:val="center"/>
          </w:tcPr>
          <w:p w14:paraId="6DDC237D">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记录名单”，查询渠道： “中国执行信息公开网”网站（http://zxgk.court.gov.cn/shixin）“信用中国”网站（www.creditchina.gov.cn）、中国政府采购网（www.ccgp.gov.cn）；（提供“中国执行信息公开网”、“信用中国”和“中国政府采购网”网站的查询信息截图</w:t>
            </w:r>
            <w:r>
              <w:rPr>
                <w:rFonts w:hint="eastAsia" w:asciiTheme="minorEastAsia" w:hAnsiTheme="minorEastAsia" w:eastAsiaTheme="minorEastAsia" w:cstheme="minorEastAsia"/>
                <w:kern w:val="0"/>
                <w:sz w:val="24"/>
                <w:szCs w:val="24"/>
                <w:highlight w:val="none"/>
                <w:lang w:eastAsia="zh-CN"/>
              </w:rPr>
              <w:t>，查询日期必须在公告发布之日之后</w:t>
            </w:r>
            <w:r>
              <w:rPr>
                <w:rFonts w:hint="eastAsia" w:asciiTheme="minorEastAsia" w:hAnsiTheme="minorEastAsia" w:eastAsiaTheme="minorEastAsia" w:cstheme="minorEastAsia"/>
                <w:kern w:val="0"/>
                <w:sz w:val="24"/>
                <w:szCs w:val="24"/>
                <w:highlight w:val="none"/>
              </w:rPr>
              <w:t>）</w:t>
            </w:r>
          </w:p>
        </w:tc>
      </w:tr>
      <w:tr w14:paraId="020938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553" w:hRule="atLeast"/>
        </w:trPr>
        <w:tc>
          <w:tcPr>
            <w:tcW w:w="817" w:type="dxa"/>
            <w:vMerge w:val="continue"/>
            <w:tcBorders>
              <w:left w:val="single" w:color="auto" w:sz="4" w:space="0"/>
              <w:right w:val="single" w:color="auto" w:sz="4" w:space="0"/>
            </w:tcBorders>
            <w:noWrap w:val="0"/>
            <w:vAlign w:val="center"/>
          </w:tcPr>
          <w:p w14:paraId="63D6CDFC">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3F6D123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nil"/>
              <w:bottom w:val="single" w:color="auto" w:sz="4" w:space="0"/>
              <w:right w:val="single" w:color="auto" w:sz="4" w:space="0"/>
            </w:tcBorders>
            <w:noWrap w:val="0"/>
            <w:vAlign w:val="center"/>
          </w:tcPr>
          <w:p w14:paraId="67938782">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rPr>
              <w:t>其他要求</w:t>
            </w:r>
          </w:p>
        </w:tc>
        <w:tc>
          <w:tcPr>
            <w:tcW w:w="5529" w:type="dxa"/>
            <w:tcBorders>
              <w:top w:val="single" w:color="auto" w:sz="4" w:space="0"/>
              <w:left w:val="nil"/>
              <w:bottom w:val="single" w:color="auto" w:sz="4" w:space="0"/>
              <w:right w:val="single" w:color="auto" w:sz="4" w:space="0"/>
            </w:tcBorders>
            <w:noWrap w:val="0"/>
            <w:vAlign w:val="center"/>
          </w:tcPr>
          <w:p w14:paraId="41DCE3BC">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eastAsia="zh-CN"/>
              </w:rPr>
              <w:t>单位负责人为同一人或者存在直接控股、管理关系的不同供应商，不得参加同一合同项下的采购活动（提供供应商在“国家企业信用信息公示系统”中公示的公司信息、股东或投资人信息”。）</w:t>
            </w:r>
          </w:p>
        </w:tc>
      </w:tr>
      <w:tr w14:paraId="17CD1F6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82" w:hRule="atLeast"/>
        </w:trPr>
        <w:tc>
          <w:tcPr>
            <w:tcW w:w="817" w:type="dxa"/>
            <w:vMerge w:val="continue"/>
            <w:tcBorders>
              <w:left w:val="single" w:color="auto" w:sz="4" w:space="0"/>
              <w:right w:val="single" w:color="auto" w:sz="4" w:space="0"/>
            </w:tcBorders>
            <w:noWrap w:val="0"/>
            <w:vAlign w:val="center"/>
          </w:tcPr>
          <w:p w14:paraId="30264760">
            <w:pPr>
              <w:spacing w:line="500" w:lineRule="exact"/>
              <w:jc w:val="center"/>
              <w:rPr>
                <w:rFonts w:hint="eastAsia" w:ascii="宋体" w:hAnsi="宋体"/>
                <w:sz w:val="24"/>
                <w:szCs w:val="24"/>
                <w:highlight w:val="none"/>
              </w:rPr>
            </w:pPr>
          </w:p>
        </w:tc>
        <w:tc>
          <w:tcPr>
            <w:tcW w:w="1134" w:type="dxa"/>
            <w:vMerge w:val="continue"/>
            <w:tcBorders>
              <w:left w:val="single" w:color="auto" w:sz="4" w:space="0"/>
              <w:right w:val="single" w:color="auto" w:sz="4" w:space="0"/>
            </w:tcBorders>
            <w:noWrap w:val="0"/>
            <w:vAlign w:val="center"/>
          </w:tcPr>
          <w:p w14:paraId="0977759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nil"/>
              <w:right w:val="single" w:color="auto" w:sz="4" w:space="0"/>
            </w:tcBorders>
            <w:noWrap w:val="0"/>
            <w:vAlign w:val="center"/>
          </w:tcPr>
          <w:p w14:paraId="14C38325">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kern w:val="0"/>
                <w:sz w:val="24"/>
                <w:szCs w:val="24"/>
                <w:highlight w:val="none"/>
                <w:lang w:eastAsia="zh-CN"/>
              </w:rPr>
              <w:t>联合体</w:t>
            </w:r>
          </w:p>
        </w:tc>
        <w:tc>
          <w:tcPr>
            <w:tcW w:w="5529" w:type="dxa"/>
            <w:tcBorders>
              <w:top w:val="single" w:color="auto" w:sz="4" w:space="0"/>
              <w:left w:val="nil"/>
              <w:bottom w:val="single" w:color="auto" w:sz="4" w:space="0"/>
              <w:right w:val="single" w:color="auto" w:sz="4" w:space="0"/>
            </w:tcBorders>
            <w:noWrap w:val="0"/>
            <w:vAlign w:val="center"/>
          </w:tcPr>
          <w:p w14:paraId="0099575E">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lang w:eastAsia="zh-CN"/>
              </w:rPr>
              <w:t>本项目不允许联合体磋商，实行资格后审（提供非联合体声明函）</w:t>
            </w:r>
          </w:p>
        </w:tc>
      </w:tr>
      <w:tr w14:paraId="4AE83E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70"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2F52B08B">
            <w:pPr>
              <w:spacing w:line="5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1.1.3</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3475D132">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响应性</w:t>
            </w:r>
            <w:r>
              <w:rPr>
                <w:rFonts w:hint="eastAsia" w:asciiTheme="minorEastAsia" w:hAnsiTheme="minorEastAsia" w:eastAsiaTheme="minorEastAsia" w:cstheme="minorEastAsia"/>
                <w:sz w:val="24"/>
                <w:szCs w:val="24"/>
                <w:highlight w:val="none"/>
              </w:rPr>
              <w:t>评审</w:t>
            </w:r>
            <w:r>
              <w:rPr>
                <w:rFonts w:hint="eastAsia" w:asciiTheme="minorEastAsia" w:hAnsiTheme="minorEastAsia" w:eastAsiaTheme="minorEastAsia" w:cstheme="minorEastAsia"/>
                <w:sz w:val="24"/>
                <w:szCs w:val="24"/>
                <w:highlight w:val="none"/>
                <w:lang w:val="en-US" w:eastAsia="zh-CN"/>
              </w:rPr>
              <w:t>标准</w:t>
            </w:r>
          </w:p>
        </w:tc>
        <w:tc>
          <w:tcPr>
            <w:tcW w:w="2126" w:type="dxa"/>
            <w:gridSpan w:val="4"/>
            <w:tcBorders>
              <w:top w:val="single" w:color="auto" w:sz="4" w:space="0"/>
              <w:left w:val="single" w:color="auto" w:sz="4" w:space="0"/>
              <w:bottom w:val="single" w:color="auto" w:sz="4" w:space="0"/>
              <w:right w:val="single" w:color="auto" w:sz="4" w:space="0"/>
            </w:tcBorders>
            <w:noWrap w:val="0"/>
            <w:vAlign w:val="center"/>
          </w:tcPr>
          <w:p w14:paraId="684FF2E7">
            <w:pPr>
              <w:keepNext w:val="0"/>
              <w:keepLines w:val="0"/>
              <w:pageBreakBefore w:val="0"/>
              <w:widowControl w:val="0"/>
              <w:kinsoku/>
              <w:wordWrap/>
              <w:overflowPunct/>
              <w:topLinePunct w:val="0"/>
              <w:bidi w:val="0"/>
              <w:adjustRightInd/>
              <w:snapToGrid/>
              <w:spacing w:line="240" w:lineRule="auto"/>
              <w:jc w:val="left"/>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磋商内容</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1AB03747">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sz w:val="24"/>
                <w:szCs w:val="24"/>
                <w:highlight w:val="none"/>
              </w:rPr>
            </w:pPr>
            <w:r>
              <w:rPr>
                <w:rFonts w:hint="eastAsia" w:ascii="宋体" w:hAnsi="宋体"/>
                <w:color w:val="auto"/>
                <w:sz w:val="24"/>
                <w:szCs w:val="24"/>
              </w:rPr>
              <w:t>本项目竞争性磋商文件、</w:t>
            </w:r>
            <w:r>
              <w:rPr>
                <w:rFonts w:hint="eastAsia" w:ascii="宋体" w:hAnsi="宋体"/>
                <w:color w:val="auto"/>
                <w:sz w:val="24"/>
                <w:szCs w:val="24"/>
                <w:lang w:val="en-US" w:eastAsia="zh-CN"/>
              </w:rPr>
              <w:t>采购</w:t>
            </w:r>
            <w:r>
              <w:rPr>
                <w:rFonts w:hint="eastAsia" w:ascii="宋体" w:hAnsi="宋体"/>
                <w:color w:val="auto"/>
                <w:sz w:val="24"/>
                <w:szCs w:val="24"/>
              </w:rPr>
              <w:t>清单等列明的所有内容。</w:t>
            </w:r>
          </w:p>
        </w:tc>
      </w:tr>
      <w:tr w14:paraId="111D00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26"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6A108196">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CF8BE14">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2113A2F0">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auto"/>
                <w:sz w:val="24"/>
                <w:szCs w:val="24"/>
                <w:lang w:val="en-US" w:eastAsia="zh-CN"/>
              </w:rPr>
              <w:t>供货期</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5C702A">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color w:val="auto"/>
                <w:sz w:val="24"/>
                <w:szCs w:val="24"/>
                <w:lang w:val="en-US" w:eastAsia="zh-CN"/>
              </w:rPr>
              <w:t>60日历天（完成安装及调试）</w:t>
            </w:r>
          </w:p>
        </w:tc>
      </w:tr>
      <w:tr w14:paraId="005511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09"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68440320">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7C69DA8">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A05053A">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质保期</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674B85">
            <w:pPr>
              <w:keepNext w:val="0"/>
              <w:keepLines w:val="0"/>
              <w:pageBreakBefore w:val="0"/>
              <w:widowControl w:val="0"/>
              <w:kinsoku/>
              <w:wordWrap/>
              <w:overflowPunct/>
              <w:topLinePunct w:val="0"/>
              <w:bidi w:val="0"/>
              <w:adjustRightInd/>
              <w:snapToGrid/>
              <w:spacing w:line="240" w:lineRule="auto"/>
              <w:jc w:val="lef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1年</w:t>
            </w:r>
          </w:p>
        </w:tc>
      </w:tr>
      <w:tr w14:paraId="6BB60B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8"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0A3D1A87">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F0BD254">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E538431">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质量</w:t>
            </w:r>
            <w:r>
              <w:rPr>
                <w:rFonts w:hint="eastAsia" w:asciiTheme="minorEastAsia" w:hAnsiTheme="minorEastAsia" w:eastAsiaTheme="minorEastAsia" w:cstheme="minorEastAsia"/>
                <w:color w:val="auto"/>
                <w:sz w:val="24"/>
                <w:szCs w:val="24"/>
                <w:lang w:val="en-US" w:eastAsia="zh-CN"/>
              </w:rPr>
              <w:t>要求</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4D6702">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合格，符合国家及行业相关标准</w:t>
            </w:r>
          </w:p>
        </w:tc>
      </w:tr>
      <w:tr w14:paraId="6A6512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4"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34D0BB6B">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287093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EFA9BC2">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磋商有效期</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C8992E">
            <w:pPr>
              <w:keepNext w:val="0"/>
              <w:keepLines w:val="0"/>
              <w:pageBreakBefore w:val="0"/>
              <w:widowControl w:val="0"/>
              <w:kinsoku/>
              <w:wordWrap/>
              <w:overflowPunct/>
              <w:topLinePunct w:val="0"/>
              <w:bidi w:val="0"/>
              <w:adjustRightInd/>
              <w:snapToGrid/>
              <w:spacing w:line="240" w:lineRule="auto"/>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Cs/>
                <w:color w:val="auto"/>
                <w:sz w:val="24"/>
                <w:szCs w:val="24"/>
              </w:rPr>
              <w:t>磋商截止之日起</w:t>
            </w:r>
            <w:r>
              <w:rPr>
                <w:rFonts w:hint="eastAsia" w:asciiTheme="minorEastAsia" w:hAnsiTheme="minorEastAsia" w:eastAsiaTheme="minorEastAsia" w:cstheme="minorEastAsia"/>
                <w:bCs/>
                <w:color w:val="auto"/>
                <w:sz w:val="24"/>
                <w:szCs w:val="24"/>
                <w:lang w:val="en-US" w:eastAsia="zh-CN"/>
              </w:rPr>
              <w:t>60</w:t>
            </w:r>
            <w:r>
              <w:rPr>
                <w:rFonts w:hint="eastAsia" w:asciiTheme="minorEastAsia" w:hAnsiTheme="minorEastAsia" w:eastAsiaTheme="minorEastAsia" w:cstheme="minorEastAsia"/>
                <w:bCs/>
                <w:color w:val="auto"/>
                <w:sz w:val="24"/>
                <w:szCs w:val="24"/>
              </w:rPr>
              <w:t>日历天</w:t>
            </w:r>
          </w:p>
        </w:tc>
      </w:tr>
      <w:tr w14:paraId="38A15E3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93"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47B90B38">
            <w:pPr>
              <w:spacing w:line="500" w:lineRule="exact"/>
              <w:jc w:val="center"/>
              <w:rPr>
                <w:rFonts w:hint="eastAsia" w:ascii="宋体" w:hAnsi="宋体" w:cs="宋体"/>
                <w:sz w:val="24"/>
                <w:szCs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EF2A39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Theme="minorEastAsia" w:hAnsiTheme="minorEastAsia" w:eastAsiaTheme="minorEastAsia" w:cstheme="minorEastAsia"/>
                <w:sz w:val="24"/>
                <w:szCs w:val="24"/>
                <w:highlight w:val="none"/>
              </w:rPr>
            </w:pPr>
          </w:p>
        </w:tc>
        <w:tc>
          <w:tcPr>
            <w:tcW w:w="2126" w:type="dxa"/>
            <w:gridSpan w:val="4"/>
            <w:tcBorders>
              <w:top w:val="single" w:color="auto" w:sz="4" w:space="0"/>
              <w:left w:val="single" w:color="auto" w:sz="4" w:space="0"/>
              <w:right w:val="single" w:color="auto" w:sz="4" w:space="0"/>
            </w:tcBorders>
            <w:shd w:val="clear" w:color="auto" w:fill="auto"/>
            <w:noWrap w:val="0"/>
            <w:vAlign w:val="center"/>
          </w:tcPr>
          <w:p w14:paraId="1757A33F">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sz w:val="24"/>
                <w:szCs w:val="24"/>
                <w:highlight w:val="none"/>
              </w:rPr>
              <w:t>磋商总报价</w:t>
            </w:r>
          </w:p>
        </w:tc>
        <w:tc>
          <w:tcPr>
            <w:tcW w:w="55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020846">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sz w:val="24"/>
                <w:szCs w:val="24"/>
                <w:highlight w:val="none"/>
              </w:rPr>
              <w:t>响应人磋商总报价不得高于招标人公布的招标控制价，否则其投标将予否决。</w:t>
            </w:r>
          </w:p>
        </w:tc>
      </w:tr>
      <w:tr w14:paraId="0B672D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867D251">
            <w:pPr>
              <w:spacing w:line="50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1.2.1</w:t>
            </w:r>
          </w:p>
        </w:tc>
        <w:tc>
          <w:tcPr>
            <w:tcW w:w="3260" w:type="dxa"/>
            <w:gridSpan w:val="5"/>
            <w:tcBorders>
              <w:top w:val="single" w:color="auto" w:sz="4" w:space="0"/>
              <w:left w:val="single" w:color="auto" w:sz="4" w:space="0"/>
              <w:bottom w:val="single" w:color="auto" w:sz="4" w:space="0"/>
              <w:right w:val="single" w:color="auto" w:sz="4" w:space="0"/>
            </w:tcBorders>
            <w:noWrap w:val="0"/>
            <w:vAlign w:val="center"/>
          </w:tcPr>
          <w:p w14:paraId="39D4100B">
            <w:pPr>
              <w:keepNext w:val="0"/>
              <w:keepLines w:val="0"/>
              <w:pageBreakBefore w:val="0"/>
              <w:widowControl w:val="0"/>
              <w:kinsoku/>
              <w:wordWrap/>
              <w:overflowPunct/>
              <w:topLinePunct w:val="0"/>
              <w:autoSpaceDE w:val="0"/>
              <w:autoSpaceDN w:val="0"/>
              <w:bidi w:val="0"/>
              <w:adjustRightInd/>
              <w:snapToGrid/>
              <w:spacing w:before="50" w:line="240" w:lineRule="auto"/>
              <w:ind w:right="97"/>
              <w:jc w:val="center"/>
              <w:textAlignment w:val="auto"/>
              <w:rPr>
                <w:rFonts w:hint="eastAsia" w:asciiTheme="minorEastAsia" w:hAnsiTheme="minorEastAsia" w:eastAsiaTheme="minorEastAsia" w:cstheme="minorEastAsia"/>
                <w:color w:val="000000" w:themeColor="text1"/>
                <w:spacing w:val="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kern w:val="0"/>
                <w:sz w:val="24"/>
                <w:szCs w:val="24"/>
                <w14:textFill>
                  <w14:solidFill>
                    <w14:schemeClr w14:val="tx1"/>
                  </w14:solidFill>
                </w14:textFill>
              </w:rPr>
              <w:t>分值构成</w:t>
            </w:r>
          </w:p>
          <w:p w14:paraId="7F1876B0">
            <w:pPr>
              <w:keepNext w:val="0"/>
              <w:keepLines w:val="0"/>
              <w:pageBreakBefore w:val="0"/>
              <w:widowControl w:val="0"/>
              <w:kinsoku/>
              <w:wordWrap/>
              <w:overflowPunct/>
              <w:topLinePunct w:val="0"/>
              <w:autoSpaceDE w:val="0"/>
              <w:autoSpaceDN w:val="0"/>
              <w:bidi w:val="0"/>
              <w:adjustRightInd/>
              <w:snapToGrid/>
              <w:spacing w:before="50" w:line="240" w:lineRule="auto"/>
              <w:ind w:right="97" w:rightChars="0" w:firstLine="67" w:firstLineChars="28"/>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pacing w:val="1"/>
                <w:kern w:val="0"/>
                <w:sz w:val="24"/>
                <w:szCs w:val="24"/>
                <w14:textFill>
                  <w14:solidFill>
                    <w14:schemeClr w14:val="tx1"/>
                  </w14:solidFill>
                </w14:textFill>
              </w:rPr>
              <w:t>(总分100分)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51851A38">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000000" w:themeColor="text1"/>
                <w:spacing w:val="-6"/>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24"/>
                <w:szCs w:val="24"/>
                <w14:textFill>
                  <w14:solidFill>
                    <w14:schemeClr w14:val="tx1"/>
                  </w14:solidFill>
                </w14:textFill>
              </w:rPr>
              <w:t>磋商报价：30分；</w:t>
            </w:r>
          </w:p>
          <w:p w14:paraId="458BB937">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000000" w:themeColor="text1"/>
                <w:spacing w:val="-6"/>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24"/>
                <w:szCs w:val="24"/>
                <w14:textFill>
                  <w14:solidFill>
                    <w14:schemeClr w14:val="tx1"/>
                  </w14:solidFill>
                </w14:textFill>
              </w:rPr>
              <w:t>技术部分：</w:t>
            </w:r>
            <w:r>
              <w:rPr>
                <w:rFonts w:hint="eastAsia" w:asciiTheme="minorEastAsia" w:hAnsiTheme="minorEastAsia" w:eastAsiaTheme="minorEastAsia" w:cstheme="minorEastAsia"/>
                <w:color w:val="000000" w:themeColor="text1"/>
                <w:spacing w:val="-6"/>
                <w:kern w:val="0"/>
                <w:sz w:val="24"/>
                <w:szCs w:val="24"/>
                <w:lang w:val="en-US" w:eastAsia="zh-CN"/>
                <w14:textFill>
                  <w14:solidFill>
                    <w14:schemeClr w14:val="tx1"/>
                  </w14:solidFill>
                </w14:textFill>
              </w:rPr>
              <w:t>40</w:t>
            </w:r>
            <w:r>
              <w:rPr>
                <w:rFonts w:hint="eastAsia" w:asciiTheme="minorEastAsia" w:hAnsiTheme="minorEastAsia" w:eastAsiaTheme="minorEastAsia" w:cstheme="minorEastAsia"/>
                <w:color w:val="000000" w:themeColor="text1"/>
                <w:spacing w:val="-6"/>
                <w:kern w:val="0"/>
                <w:sz w:val="24"/>
                <w:szCs w:val="24"/>
                <w14:textFill>
                  <w14:solidFill>
                    <w14:schemeClr w14:val="tx1"/>
                  </w14:solidFill>
                </w14:textFill>
              </w:rPr>
              <w:t>分；</w:t>
            </w:r>
          </w:p>
          <w:p w14:paraId="7487DF84">
            <w:pPr>
              <w:keepNext w:val="0"/>
              <w:keepLines w:val="0"/>
              <w:pageBreakBefore w:val="0"/>
              <w:widowControl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pacing w:val="-6"/>
                <w:kern w:val="0"/>
                <w:sz w:val="24"/>
                <w:szCs w:val="24"/>
                <w14:textFill>
                  <w14:solidFill>
                    <w14:schemeClr w14:val="tx1"/>
                  </w14:solidFill>
                </w14:textFill>
              </w:rPr>
              <w:t>综合部分：</w:t>
            </w:r>
            <w:r>
              <w:rPr>
                <w:rFonts w:hint="eastAsia" w:asciiTheme="minorEastAsia" w:hAnsiTheme="minorEastAsia" w:eastAsiaTheme="minorEastAsia" w:cstheme="minorEastAsia"/>
                <w:color w:val="000000" w:themeColor="text1"/>
                <w:spacing w:val="-6"/>
                <w:kern w:val="0"/>
                <w:sz w:val="24"/>
                <w:szCs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pacing w:val="-6"/>
                <w:kern w:val="0"/>
                <w:sz w:val="24"/>
                <w:szCs w:val="24"/>
                <w14:textFill>
                  <w14:solidFill>
                    <w14:schemeClr w14:val="tx1"/>
                  </w14:solidFill>
                </w14:textFill>
              </w:rPr>
              <w:t>分。</w:t>
            </w:r>
          </w:p>
        </w:tc>
      </w:tr>
      <w:tr w14:paraId="62CC2C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0813B53">
            <w:pPr>
              <w:spacing w:line="500" w:lineRule="exact"/>
              <w:jc w:val="center"/>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1.2.2</w:t>
            </w:r>
          </w:p>
        </w:tc>
        <w:tc>
          <w:tcPr>
            <w:tcW w:w="3260" w:type="dxa"/>
            <w:gridSpan w:val="5"/>
            <w:tcBorders>
              <w:top w:val="single" w:color="auto" w:sz="4" w:space="0"/>
              <w:left w:val="single" w:color="auto" w:sz="4" w:space="0"/>
              <w:bottom w:val="single" w:color="auto" w:sz="4" w:space="0"/>
              <w:right w:val="single" w:color="auto" w:sz="4" w:space="0"/>
            </w:tcBorders>
            <w:noWrap w:val="0"/>
            <w:vAlign w:val="center"/>
          </w:tcPr>
          <w:p w14:paraId="0B994EF5">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000000" w:themeColor="text1"/>
                <w:spacing w:val="1"/>
                <w:kern w:val="0"/>
                <w:sz w:val="24"/>
                <w:szCs w:val="24"/>
                <w14:textFill>
                  <w14:solidFill>
                    <w14:schemeClr w14:val="tx1"/>
                  </w14:solidFill>
                </w14:textFill>
              </w:rPr>
            </w:pPr>
            <w:r>
              <w:rPr>
                <w:rFonts w:hint="eastAsia" w:ascii="新宋体" w:hAnsi="新宋体" w:eastAsia="新宋体" w:cs="新宋体"/>
                <w:color w:val="000000" w:themeColor="text1"/>
                <w:spacing w:val="1"/>
                <w:kern w:val="0"/>
                <w:sz w:val="24"/>
                <w:szCs w:val="24"/>
                <w14:textFill>
                  <w14:solidFill>
                    <w14:schemeClr w14:val="tx1"/>
                  </w14:solidFill>
                </w14:textFill>
              </w:rPr>
              <w:t>磋商报价（30分）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77F0DDA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1、本项目设招标控制价，高于招标控制价的按废标处理。经评标委员会研究认定为恶意低价竞标的按废标处理。</w:t>
            </w:r>
          </w:p>
          <w:p w14:paraId="0920BA9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2、满足磋商文件要求且最后报价最低的响应人的价格为磋商基准价，其价格分为满分。其他响应人的价格分统一按照下列公式计算：</w:t>
            </w:r>
          </w:p>
          <w:p w14:paraId="4925BDB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磋商报价得分=（磋商基准价/最后磋商报价）×30%×100</w:t>
            </w:r>
          </w:p>
          <w:p w14:paraId="13A8777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项目评审过程中，不得去掉最后报价中的最高报价和最低报价。</w:t>
            </w:r>
          </w:p>
          <w:p w14:paraId="401D788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3、采购项目需要落实的政府采购政策：本项目执行促进中小型企业发展政策（残疾人福利性企业、监狱企业视同小微企业）、强制采购节能产品、优先采购节能环保产品等政府采购政策。</w:t>
            </w:r>
          </w:p>
          <w:p w14:paraId="3D42C0A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价格优惠：对中小企业的价格给予20%的扣除优惠，用扣除后的价格参与评审。</w:t>
            </w:r>
          </w:p>
          <w:p w14:paraId="014A87E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注：须提供《中小企业声明函》</w:t>
            </w:r>
          </w:p>
          <w:p w14:paraId="0CFF266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4A7C0B3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000000" w:themeColor="text1"/>
                <w:spacing w:val="-6"/>
                <w:kern w:val="0"/>
                <w:sz w:val="24"/>
                <w:szCs w:val="24"/>
                <w14:textFill>
                  <w14:solidFill>
                    <w14:schemeClr w14:val="tx1"/>
                  </w14:solidFill>
                </w14:textFill>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报价处理。</w:t>
            </w:r>
          </w:p>
        </w:tc>
      </w:tr>
      <w:tr w14:paraId="14E8296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vMerge w:val="restart"/>
            <w:tcBorders>
              <w:top w:val="single" w:color="auto" w:sz="4" w:space="0"/>
              <w:left w:val="single" w:color="auto" w:sz="4" w:space="0"/>
              <w:right w:val="single" w:color="auto" w:sz="4" w:space="0"/>
            </w:tcBorders>
            <w:noWrap w:val="0"/>
            <w:vAlign w:val="center"/>
          </w:tcPr>
          <w:p w14:paraId="40B93480">
            <w:pPr>
              <w:spacing w:line="500" w:lineRule="exact"/>
              <w:jc w:val="center"/>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1.2.3</w:t>
            </w:r>
          </w:p>
        </w:tc>
        <w:tc>
          <w:tcPr>
            <w:tcW w:w="1831" w:type="dxa"/>
            <w:gridSpan w:val="3"/>
            <w:vMerge w:val="restart"/>
            <w:tcBorders>
              <w:top w:val="single" w:color="auto" w:sz="4" w:space="0"/>
              <w:left w:val="single" w:color="auto" w:sz="4" w:space="0"/>
              <w:right w:val="single" w:color="auto" w:sz="4" w:space="0"/>
            </w:tcBorders>
            <w:noWrap w:val="0"/>
            <w:vAlign w:val="center"/>
          </w:tcPr>
          <w:p w14:paraId="424DDAFE">
            <w:pPr>
              <w:spacing w:line="44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技术部分</w:t>
            </w:r>
          </w:p>
          <w:p w14:paraId="22094EB0">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000000" w:themeColor="text1"/>
                <w:spacing w:val="1"/>
                <w:kern w:val="0"/>
                <w:sz w:val="24"/>
                <w:szCs w:val="24"/>
                <w14:textFill>
                  <w14:solidFill>
                    <w14:schemeClr w14:val="tx1"/>
                  </w14:solidFill>
                </w14:textFill>
              </w:rPr>
            </w:pPr>
            <w:r>
              <w:rPr>
                <w:rFonts w:hint="eastAsia" w:ascii="新宋体" w:hAnsi="新宋体" w:eastAsia="新宋体" w:cs="新宋体"/>
                <w:color w:val="auto"/>
                <w:sz w:val="24"/>
                <w:szCs w:val="24"/>
              </w:rPr>
              <w:t>（40分）</w:t>
            </w: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14:paraId="7684EA34">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技术参数及要求符合情况（10分）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1AFD68A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产品技术参数满足磋商文件要求得满分10分，每有一项负偏离扣0.5分，扣完为止。</w:t>
            </w:r>
          </w:p>
          <w:p w14:paraId="0B83CF7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注：供应商在《技术</w:t>
            </w:r>
            <w:r>
              <w:rPr>
                <w:rFonts w:hint="eastAsia" w:asciiTheme="minorEastAsia" w:hAnsiTheme="minorEastAsia" w:eastAsiaTheme="minorEastAsia" w:cstheme="minorEastAsia"/>
                <w:color w:val="auto"/>
                <w:sz w:val="24"/>
                <w:szCs w:val="24"/>
                <w:lang w:val="en-US" w:eastAsia="zh-CN"/>
              </w:rPr>
              <w:t>规格偏离</w:t>
            </w:r>
            <w:r>
              <w:rPr>
                <w:rFonts w:hint="eastAsia" w:asciiTheme="minorEastAsia" w:hAnsiTheme="minorEastAsia" w:eastAsiaTheme="minorEastAsia" w:cstheme="minorEastAsia"/>
                <w:color w:val="auto"/>
                <w:sz w:val="24"/>
                <w:szCs w:val="24"/>
              </w:rPr>
              <w:t>表》的偏</w:t>
            </w:r>
            <w:r>
              <w:rPr>
                <w:rFonts w:hint="eastAsia" w:asciiTheme="minorEastAsia" w:hAnsiTheme="minorEastAsia" w:eastAsiaTheme="minorEastAsia" w:cstheme="minorEastAsia"/>
                <w:color w:val="auto"/>
                <w:sz w:val="24"/>
                <w:szCs w:val="24"/>
                <w:lang w:val="en-US" w:eastAsia="zh-CN"/>
              </w:rPr>
              <w:t>离</w:t>
            </w:r>
            <w:r>
              <w:rPr>
                <w:rFonts w:hint="eastAsia" w:asciiTheme="minorEastAsia" w:hAnsiTheme="minorEastAsia" w:eastAsiaTheme="minorEastAsia" w:cstheme="minorEastAsia"/>
                <w:color w:val="auto"/>
                <w:sz w:val="24"/>
                <w:szCs w:val="24"/>
              </w:rPr>
              <w:t>说明处填写 “正偏离、符合、负偏离”，并根据招标参数在相应的技术支持文件上做出醒目标注。</w:t>
            </w:r>
          </w:p>
          <w:p w14:paraId="7D2A66C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b w:val="0"/>
                <w:bCs w:val="0"/>
                <w:color w:val="FF0000"/>
                <w:sz w:val="24"/>
                <w:szCs w:val="24"/>
                <w:highlight w:val="none"/>
                <w:lang w:val="en-US" w:eastAsia="zh-CN"/>
              </w:rPr>
            </w:pPr>
            <w:r>
              <w:rPr>
                <w:rFonts w:hint="eastAsia" w:asciiTheme="minorEastAsia" w:hAnsiTheme="minorEastAsia" w:eastAsiaTheme="minorEastAsia" w:cstheme="minorEastAsia"/>
                <w:color w:val="auto"/>
                <w:sz w:val="24"/>
                <w:szCs w:val="24"/>
              </w:rPr>
              <w:t>技术参数如有缺漏项的视为技术参数重大偏离，按无效标处理。</w:t>
            </w:r>
          </w:p>
        </w:tc>
      </w:tr>
      <w:tr w14:paraId="71901E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vMerge w:val="continue"/>
            <w:tcBorders>
              <w:left w:val="single" w:color="auto" w:sz="4" w:space="0"/>
              <w:right w:val="single" w:color="auto" w:sz="4" w:space="0"/>
            </w:tcBorders>
            <w:noWrap w:val="0"/>
            <w:vAlign w:val="center"/>
          </w:tcPr>
          <w:p w14:paraId="7D0DC645">
            <w:pPr>
              <w:spacing w:line="500" w:lineRule="exact"/>
              <w:jc w:val="center"/>
              <w:rPr>
                <w:rFonts w:hint="eastAsia" w:ascii="新宋体" w:hAnsi="新宋体" w:eastAsia="新宋体" w:cs="新宋体"/>
                <w:sz w:val="24"/>
                <w:szCs w:val="24"/>
                <w:highlight w:val="none"/>
                <w:lang w:val="en-US" w:eastAsia="zh-CN"/>
              </w:rPr>
            </w:pPr>
          </w:p>
        </w:tc>
        <w:tc>
          <w:tcPr>
            <w:tcW w:w="1831" w:type="dxa"/>
            <w:gridSpan w:val="3"/>
            <w:vMerge w:val="continue"/>
            <w:tcBorders>
              <w:left w:val="single" w:color="auto" w:sz="4" w:space="0"/>
              <w:right w:val="single" w:color="auto" w:sz="4" w:space="0"/>
            </w:tcBorders>
            <w:noWrap w:val="0"/>
            <w:vAlign w:val="center"/>
          </w:tcPr>
          <w:p w14:paraId="32ECD292">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14:paraId="2EE88182">
            <w:pPr>
              <w:keepNext w:val="0"/>
              <w:keepLines w:val="0"/>
              <w:pageBreakBefore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服务方案</w:t>
            </w:r>
          </w:p>
          <w:p w14:paraId="5E9C51BD">
            <w:pPr>
              <w:keepNext w:val="0"/>
              <w:keepLines w:val="0"/>
              <w:pageBreakBefore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769CF40C">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1.项目服务方案内容详尽、完整、思路清晰；组织机构合理、人员分工明确；服务人员、送货车辆及所需设施配备齐全；具有科学、完整的应急保障方案和应急供货能力得10分；</w:t>
            </w:r>
          </w:p>
          <w:p w14:paraId="0F358A29">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2.项目服务方案内容较具体，较合理可行，组织机构较健全，人员及送货车辆等设施配备满足项目服务需要；有较科学、合理的应急供货保证方案得8分；</w:t>
            </w:r>
          </w:p>
          <w:p w14:paraId="45749C06">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3.项目服务方案内容基本合理可行，有项目所需的服务人员及送货车辆等；有较科学、合理的应急供货保证方案得6分；</w:t>
            </w:r>
          </w:p>
          <w:p w14:paraId="26E48D2F">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4.有项目服务方案，服务方案内容基本满足项目需求得4分。</w:t>
            </w:r>
          </w:p>
          <w:p w14:paraId="56AC93DE">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5.完全不满足得0分。</w:t>
            </w:r>
          </w:p>
        </w:tc>
      </w:tr>
      <w:tr w14:paraId="44E74DF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vMerge w:val="continue"/>
            <w:tcBorders>
              <w:left w:val="single" w:color="auto" w:sz="4" w:space="0"/>
              <w:right w:val="single" w:color="auto" w:sz="4" w:space="0"/>
            </w:tcBorders>
            <w:noWrap w:val="0"/>
            <w:vAlign w:val="center"/>
          </w:tcPr>
          <w:p w14:paraId="1ED1A338">
            <w:pPr>
              <w:spacing w:line="500" w:lineRule="exact"/>
              <w:jc w:val="center"/>
              <w:rPr>
                <w:rFonts w:hint="eastAsia" w:ascii="新宋体" w:hAnsi="新宋体" w:eastAsia="新宋体" w:cs="新宋体"/>
                <w:sz w:val="24"/>
                <w:szCs w:val="24"/>
                <w:highlight w:val="none"/>
                <w:lang w:val="en-US" w:eastAsia="zh-CN"/>
              </w:rPr>
            </w:pPr>
          </w:p>
        </w:tc>
        <w:tc>
          <w:tcPr>
            <w:tcW w:w="1831" w:type="dxa"/>
            <w:gridSpan w:val="3"/>
            <w:vMerge w:val="continue"/>
            <w:tcBorders>
              <w:left w:val="single" w:color="auto" w:sz="4" w:space="0"/>
              <w:right w:val="single" w:color="auto" w:sz="4" w:space="0"/>
            </w:tcBorders>
            <w:noWrap w:val="0"/>
            <w:vAlign w:val="center"/>
          </w:tcPr>
          <w:p w14:paraId="49FA4DB5">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14:paraId="3F5B416E">
            <w:pPr>
              <w:keepNext w:val="0"/>
              <w:keepLines w:val="0"/>
              <w:pageBreakBefore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质量保证措施</w:t>
            </w:r>
          </w:p>
          <w:p w14:paraId="780611BD">
            <w:pPr>
              <w:keepNext w:val="0"/>
              <w:keepLines w:val="0"/>
              <w:pageBreakBefore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36962614">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质量保证措施（建立完善的设备质量管理制度，严格实行岗位质量规范及质量责任，产品标准，技术标准严格按照有关标准进行生产、销售及质量异常处理办法等）</w:t>
            </w:r>
          </w:p>
          <w:p w14:paraId="78F79436">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1.有完善的产品质量管理制度，质量保证措施内容全面、合理以达到提高产品质量的目的，方案切实可行，切实合理可行，易于操作实现得10分；</w:t>
            </w:r>
          </w:p>
          <w:p w14:paraId="4E169352">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2.有较完善得产品质量管理制度，质量保证措施内容较全面、合理得8分；</w:t>
            </w:r>
          </w:p>
          <w:p w14:paraId="2674C42D">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3.质量保证措施内容合理、可行，较全面体现保证产品质量承诺得6分 ；</w:t>
            </w:r>
          </w:p>
          <w:p w14:paraId="168C99A0">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4.有质量保证措施，内容不够完善、不易实现得3分；</w:t>
            </w:r>
          </w:p>
          <w:p w14:paraId="4BDD42BD">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5.完全不满足得0分。</w:t>
            </w:r>
          </w:p>
        </w:tc>
      </w:tr>
      <w:tr w14:paraId="7F9DB3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vMerge w:val="continue"/>
            <w:tcBorders>
              <w:left w:val="single" w:color="auto" w:sz="4" w:space="0"/>
              <w:bottom w:val="single" w:color="auto" w:sz="4" w:space="0"/>
              <w:right w:val="single" w:color="auto" w:sz="4" w:space="0"/>
            </w:tcBorders>
            <w:noWrap w:val="0"/>
            <w:vAlign w:val="center"/>
          </w:tcPr>
          <w:p w14:paraId="74B1A1B2">
            <w:pPr>
              <w:spacing w:line="500" w:lineRule="exact"/>
              <w:jc w:val="center"/>
              <w:rPr>
                <w:rFonts w:hint="eastAsia" w:ascii="新宋体" w:hAnsi="新宋体" w:eastAsia="新宋体" w:cs="新宋体"/>
                <w:sz w:val="24"/>
                <w:szCs w:val="24"/>
                <w:highlight w:val="none"/>
                <w:lang w:val="en-US" w:eastAsia="zh-CN"/>
              </w:rPr>
            </w:pPr>
          </w:p>
        </w:tc>
        <w:tc>
          <w:tcPr>
            <w:tcW w:w="1831" w:type="dxa"/>
            <w:gridSpan w:val="3"/>
            <w:vMerge w:val="continue"/>
            <w:tcBorders>
              <w:left w:val="single" w:color="auto" w:sz="4" w:space="0"/>
              <w:bottom w:val="single" w:color="auto" w:sz="4" w:space="0"/>
              <w:right w:val="single" w:color="auto" w:sz="4" w:space="0"/>
            </w:tcBorders>
            <w:noWrap w:val="0"/>
            <w:vAlign w:val="center"/>
          </w:tcPr>
          <w:p w14:paraId="5945648F">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14:paraId="4A036127">
            <w:pPr>
              <w:keepNext w:val="0"/>
              <w:keepLines w:val="0"/>
              <w:pageBreakBefore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供货及安装方案</w:t>
            </w:r>
          </w:p>
          <w:p w14:paraId="4EFDAA6C">
            <w:pPr>
              <w:keepNext w:val="0"/>
              <w:keepLines w:val="0"/>
              <w:pageBreakBefore w:val="0"/>
              <w:kinsoku/>
              <w:wordWrap/>
              <w:overflowPunct/>
              <w:topLinePunct w:val="0"/>
              <w:bidi w:val="0"/>
              <w:adjustRightInd/>
              <w:snapToGrid w:val="0"/>
              <w:spacing w:line="24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lang w:val="en-US" w:eastAsia="zh-CN"/>
              </w:rPr>
              <w:t>10分）</w:t>
            </w:r>
          </w:p>
        </w:tc>
        <w:tc>
          <w:tcPr>
            <w:tcW w:w="5529" w:type="dxa"/>
            <w:tcBorders>
              <w:top w:val="single" w:color="auto" w:sz="4" w:space="0"/>
              <w:left w:val="single" w:color="auto" w:sz="4" w:space="0"/>
              <w:bottom w:val="single" w:color="auto" w:sz="4" w:space="0"/>
              <w:right w:val="single" w:color="auto" w:sz="4" w:space="0"/>
            </w:tcBorders>
            <w:noWrap w:val="0"/>
            <w:vAlign w:val="center"/>
          </w:tcPr>
          <w:p w14:paraId="45380E1C">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根据安装方案和技术指导措施的合理性、可实施性等方面，方案完整详实，针对性强，可行性强，提供的服务优于本项目采购需求的得4分；方案简单，基本完整，有一定针对性，满足本项目的采购需求的得2分；方案不够完整，缺乏针对性，可行性差，对本项目实施中有一定差距的得1分；不提供不得分。</w:t>
            </w:r>
          </w:p>
          <w:p w14:paraId="040E7972">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2、产品运输及保管方案合理得3分；基本合理得2分，不合理或不提供不得分。</w:t>
            </w:r>
          </w:p>
          <w:p w14:paraId="75719461">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供应计划保障措施计划切实可行、措施方案完整详实，针对性强，可行性强，提供的服务优于本项目采购需求的得3分；方案简单，基本完整，有一定针对性，满足本项目的采购需求的得2分；方案不够完整，缺乏针对性，可行性差，对本项目实施中有一定差距的得1分；不提供不得分。</w:t>
            </w:r>
          </w:p>
        </w:tc>
      </w:tr>
      <w:tr w14:paraId="737C3C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09507774">
            <w:pPr>
              <w:spacing w:line="500" w:lineRule="exact"/>
              <w:jc w:val="center"/>
              <w:rPr>
                <w:rFonts w:hint="eastAsia" w:ascii="新宋体" w:hAnsi="新宋体" w:eastAsia="新宋体" w:cs="新宋体"/>
                <w:sz w:val="24"/>
                <w:szCs w:val="24"/>
                <w:highlight w:val="none"/>
                <w:lang w:val="en-US" w:eastAsia="zh-CN"/>
              </w:rPr>
            </w:pPr>
          </w:p>
        </w:tc>
        <w:tc>
          <w:tcPr>
            <w:tcW w:w="1831" w:type="dxa"/>
            <w:gridSpan w:val="3"/>
            <w:tcBorders>
              <w:top w:val="single" w:color="auto" w:sz="4" w:space="0"/>
              <w:left w:val="single" w:color="auto" w:sz="4" w:space="0"/>
              <w:bottom w:val="single" w:color="auto" w:sz="4" w:space="0"/>
              <w:right w:val="single" w:color="auto" w:sz="4" w:space="0"/>
            </w:tcBorders>
            <w:noWrap w:val="0"/>
            <w:vAlign w:val="center"/>
          </w:tcPr>
          <w:p w14:paraId="19ED60A2">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p>
        </w:tc>
        <w:tc>
          <w:tcPr>
            <w:tcW w:w="6958" w:type="dxa"/>
            <w:gridSpan w:val="3"/>
            <w:tcBorders>
              <w:top w:val="single" w:color="auto" w:sz="4" w:space="0"/>
              <w:left w:val="single" w:color="auto" w:sz="4" w:space="0"/>
              <w:bottom w:val="single" w:color="auto" w:sz="4" w:space="0"/>
              <w:right w:val="single" w:color="auto" w:sz="4" w:space="0"/>
            </w:tcBorders>
            <w:noWrap w:val="0"/>
            <w:vAlign w:val="center"/>
          </w:tcPr>
          <w:p w14:paraId="01D3013C">
            <w:pPr>
              <w:keepNext w:val="0"/>
              <w:keepLines w:val="0"/>
              <w:pageBreakBefore w:val="0"/>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以上项目若有缺项的，该项为0分；不缺项的，不低于最低分。</w:t>
            </w:r>
          </w:p>
        </w:tc>
      </w:tr>
      <w:tr w14:paraId="0523B8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8" w:hRule="atLeast"/>
        </w:trPr>
        <w:tc>
          <w:tcPr>
            <w:tcW w:w="817" w:type="dxa"/>
            <w:vMerge w:val="restart"/>
            <w:tcBorders>
              <w:top w:val="single" w:color="auto" w:sz="4" w:space="0"/>
              <w:left w:val="single" w:color="auto" w:sz="4" w:space="0"/>
              <w:right w:val="single" w:color="auto" w:sz="4" w:space="0"/>
            </w:tcBorders>
            <w:noWrap w:val="0"/>
            <w:vAlign w:val="center"/>
          </w:tcPr>
          <w:p w14:paraId="42AB4C0E">
            <w:pPr>
              <w:spacing w:line="500" w:lineRule="exact"/>
              <w:jc w:val="center"/>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1.2.4</w:t>
            </w:r>
          </w:p>
        </w:tc>
        <w:tc>
          <w:tcPr>
            <w:tcW w:w="1347" w:type="dxa"/>
            <w:gridSpan w:val="2"/>
            <w:vMerge w:val="restart"/>
            <w:tcBorders>
              <w:top w:val="single" w:color="auto" w:sz="4" w:space="0"/>
              <w:left w:val="single" w:color="auto" w:sz="4" w:space="0"/>
              <w:right w:val="single" w:color="auto" w:sz="4" w:space="0"/>
            </w:tcBorders>
            <w:noWrap w:val="0"/>
            <w:vAlign w:val="center"/>
          </w:tcPr>
          <w:p w14:paraId="7709A947">
            <w:pPr>
              <w:spacing w:line="440" w:lineRule="exac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eastAsia="zh-CN"/>
              </w:rPr>
              <w:t>商务</w:t>
            </w:r>
            <w:r>
              <w:rPr>
                <w:rFonts w:hint="eastAsia" w:ascii="新宋体" w:hAnsi="新宋体" w:eastAsia="新宋体" w:cs="新宋体"/>
                <w:color w:val="auto"/>
                <w:sz w:val="24"/>
                <w:szCs w:val="24"/>
              </w:rPr>
              <w:t>部分</w:t>
            </w:r>
          </w:p>
          <w:p w14:paraId="030701B9">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（30分）</w:t>
            </w:r>
          </w:p>
        </w:tc>
        <w:tc>
          <w:tcPr>
            <w:tcW w:w="149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A40A4EF">
            <w:pPr>
              <w:keepNext w:val="0"/>
              <w:keepLines w:val="0"/>
              <w:pageBreakBefore w:val="0"/>
              <w:kinsoku/>
              <w:wordWrap/>
              <w:overflowPunct/>
              <w:topLinePunct w:val="0"/>
              <w:bidi w:val="0"/>
              <w:adjustRightInd/>
              <w:spacing w:before="57"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企业业绩</w:t>
            </w:r>
          </w:p>
          <w:p w14:paraId="00E4C674">
            <w:pPr>
              <w:keepNext w:val="0"/>
              <w:keepLines w:val="0"/>
              <w:pageBreakBefore w:val="0"/>
              <w:kinsoku/>
              <w:wordWrap/>
              <w:overflowPunct/>
              <w:topLinePunct w:val="0"/>
              <w:bidi w:val="0"/>
              <w:adjustRightInd/>
              <w:spacing w:before="57" w:line="240" w:lineRule="auto"/>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（9分）</w:t>
            </w:r>
          </w:p>
        </w:tc>
        <w:tc>
          <w:tcPr>
            <w:tcW w:w="594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5C2E3F4">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自202</w:t>
            </w: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年1月1日（以合同签订时间为准）以来，供应商具有类似项目业绩合同，每有一份得3分，最多得9分。（在响应文件中附合同协议书复印件并加盖公章，否则不得分）</w:t>
            </w:r>
          </w:p>
        </w:tc>
      </w:tr>
      <w:tr w14:paraId="0B72F8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7" w:hRule="atLeast"/>
        </w:trPr>
        <w:tc>
          <w:tcPr>
            <w:tcW w:w="817" w:type="dxa"/>
            <w:vMerge w:val="continue"/>
            <w:tcBorders>
              <w:left w:val="single" w:color="auto" w:sz="4" w:space="0"/>
              <w:right w:val="single" w:color="auto" w:sz="4" w:space="0"/>
            </w:tcBorders>
            <w:noWrap w:val="0"/>
            <w:vAlign w:val="center"/>
          </w:tcPr>
          <w:p w14:paraId="337EA2BD">
            <w:pPr>
              <w:spacing w:line="500" w:lineRule="exact"/>
              <w:jc w:val="center"/>
              <w:rPr>
                <w:rFonts w:hint="eastAsia" w:ascii="新宋体" w:hAnsi="新宋体" w:eastAsia="新宋体" w:cs="新宋体"/>
                <w:sz w:val="24"/>
                <w:szCs w:val="24"/>
                <w:highlight w:val="none"/>
                <w:lang w:val="en-US" w:eastAsia="zh-CN"/>
              </w:rPr>
            </w:pPr>
          </w:p>
        </w:tc>
        <w:tc>
          <w:tcPr>
            <w:tcW w:w="1347" w:type="dxa"/>
            <w:gridSpan w:val="2"/>
            <w:vMerge w:val="continue"/>
            <w:tcBorders>
              <w:left w:val="single" w:color="auto" w:sz="4" w:space="0"/>
              <w:right w:val="single" w:color="auto" w:sz="4" w:space="0"/>
            </w:tcBorders>
            <w:noWrap w:val="0"/>
            <w:vAlign w:val="center"/>
          </w:tcPr>
          <w:p w14:paraId="5F11A00D">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p>
        </w:tc>
        <w:tc>
          <w:tcPr>
            <w:tcW w:w="149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E89211D">
            <w:pPr>
              <w:keepNext w:val="0"/>
              <w:keepLines w:val="0"/>
              <w:pageBreakBefore w:val="0"/>
              <w:kinsoku/>
              <w:wordWrap/>
              <w:overflowPunct/>
              <w:topLinePunct w:val="0"/>
              <w:bidi w:val="0"/>
              <w:adjustRightInd/>
              <w:spacing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服务承诺</w:t>
            </w:r>
          </w:p>
          <w:p w14:paraId="34ABFFD4">
            <w:pPr>
              <w:keepNext w:val="0"/>
              <w:keepLines w:val="0"/>
              <w:pageBreakBefore w:val="0"/>
              <w:kinsoku/>
              <w:wordWrap/>
              <w:overflowPunct/>
              <w:topLinePunct w:val="0"/>
              <w:bidi w:val="0"/>
              <w:adjustRightInd/>
              <w:spacing w:line="24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（10分）</w:t>
            </w:r>
          </w:p>
        </w:tc>
        <w:tc>
          <w:tcPr>
            <w:tcW w:w="5949"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303B7F09">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服务承诺至少包含设备故障的响应时间、问题处理、定期巡检方案、培训等售后服务内容。</w:t>
            </w:r>
          </w:p>
          <w:p w14:paraId="1C4F3EB7">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1.提供详细的服务承诺，包括联系人、联系方式、问题解决质量、送货方式等服务承诺及供应商认为需要说明的其他服务计划等，承诺内容完整、合理、可行得10分。</w:t>
            </w:r>
          </w:p>
          <w:p w14:paraId="5F933B83">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2.服务承诺有联系人、联系方式、问题解决质量、送货方式等服务承诺，承诺内容较完善得6分。</w:t>
            </w:r>
          </w:p>
          <w:p w14:paraId="4809733E">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3.服务承诺内容一般，基本符合项目需求得2分。</w:t>
            </w:r>
          </w:p>
          <w:p w14:paraId="02E5E302">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0"/>
                <w:sz w:val="24"/>
                <w:szCs w:val="24"/>
              </w:rPr>
              <w:t>4.服务承诺完全不符合项目要求得0分。</w:t>
            </w:r>
          </w:p>
        </w:tc>
      </w:tr>
      <w:tr w14:paraId="658918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vMerge w:val="continue"/>
            <w:tcBorders>
              <w:left w:val="single" w:color="auto" w:sz="4" w:space="0"/>
              <w:right w:val="single" w:color="auto" w:sz="4" w:space="0"/>
            </w:tcBorders>
            <w:noWrap w:val="0"/>
            <w:vAlign w:val="center"/>
          </w:tcPr>
          <w:p w14:paraId="12328E48">
            <w:pPr>
              <w:spacing w:line="500" w:lineRule="exact"/>
              <w:jc w:val="center"/>
              <w:rPr>
                <w:rFonts w:hint="eastAsia" w:ascii="新宋体" w:hAnsi="新宋体" w:eastAsia="新宋体" w:cs="新宋体"/>
                <w:sz w:val="24"/>
                <w:szCs w:val="24"/>
                <w:highlight w:val="none"/>
                <w:lang w:val="en-US" w:eastAsia="zh-CN"/>
              </w:rPr>
            </w:pPr>
          </w:p>
        </w:tc>
        <w:tc>
          <w:tcPr>
            <w:tcW w:w="1347" w:type="dxa"/>
            <w:gridSpan w:val="2"/>
            <w:vMerge w:val="continue"/>
            <w:tcBorders>
              <w:left w:val="single" w:color="auto" w:sz="4" w:space="0"/>
              <w:right w:val="single" w:color="auto" w:sz="4" w:space="0"/>
            </w:tcBorders>
            <w:noWrap w:val="0"/>
            <w:vAlign w:val="center"/>
          </w:tcPr>
          <w:p w14:paraId="1ACDFB29">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p>
        </w:tc>
        <w:tc>
          <w:tcPr>
            <w:tcW w:w="149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F496596">
            <w:pPr>
              <w:keepNext w:val="0"/>
              <w:keepLines w:val="0"/>
              <w:suppressLineNumbers w:val="0"/>
              <w:spacing w:before="0" w:beforeAutospacing="0" w:after="0" w:afterAutospacing="0" w:line="300" w:lineRule="exact"/>
              <w:ind w:left="0" w:leftChars="0" w:right="0" w:rightChars="0"/>
              <w:jc w:val="center"/>
              <w:rPr>
                <w:rFonts w:hint="eastAsia" w:asciiTheme="minorEastAsia" w:hAnsiTheme="minorEastAsia" w:eastAsiaTheme="minorEastAsia" w:cstheme="minorEastAsia"/>
                <w:color w:val="auto"/>
                <w:kern w:val="0"/>
                <w:sz w:val="24"/>
                <w:szCs w:val="24"/>
                <w:lang w:val="en-US" w:eastAsia="zh-CN" w:bidi="ar-SA"/>
              </w:rPr>
            </w:pPr>
            <w:r>
              <w:rPr>
                <w:rFonts w:hint="default" w:asciiTheme="minorEastAsia" w:hAnsiTheme="minorEastAsia" w:eastAsiaTheme="minorEastAsia" w:cstheme="minorEastAsia"/>
                <w:color w:val="auto"/>
                <w:kern w:val="0"/>
                <w:sz w:val="24"/>
                <w:szCs w:val="24"/>
              </w:rPr>
              <w:t>应急处理方案（</w:t>
            </w: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分）</w:t>
            </w:r>
          </w:p>
        </w:tc>
        <w:tc>
          <w:tcPr>
            <w:tcW w:w="594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612C7F3">
            <w:pPr>
              <w:keepNext w:val="0"/>
              <w:keepLines w:val="0"/>
              <w:pageBreakBefore w:val="0"/>
              <w:kinsoku/>
              <w:wordWrap/>
              <w:overflowPunct/>
              <w:topLinePunct w:val="0"/>
              <w:bidi w:val="0"/>
              <w:adjustRightInd/>
              <w:spacing w:before="57" w:line="240" w:lineRule="auto"/>
              <w:jc w:val="left"/>
              <w:textAlignment w:val="auto"/>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w:t>
            </w:r>
            <w:r>
              <w:rPr>
                <w:rFonts w:hint="default" w:asciiTheme="minorEastAsia" w:hAnsiTheme="minorEastAsia" w:eastAsiaTheme="minorEastAsia" w:cstheme="minorEastAsia"/>
                <w:color w:val="auto"/>
                <w:kern w:val="0"/>
                <w:sz w:val="24"/>
                <w:szCs w:val="24"/>
              </w:rPr>
              <w:t>提供科学可行的应急处理方案；</w:t>
            </w:r>
          </w:p>
          <w:p w14:paraId="0CA19951">
            <w:pPr>
              <w:keepNext w:val="0"/>
              <w:keepLines w:val="0"/>
              <w:pageBreakBefore w:val="0"/>
              <w:kinsoku/>
              <w:wordWrap/>
              <w:overflowPunct/>
              <w:topLinePunct w:val="0"/>
              <w:bidi w:val="0"/>
              <w:adjustRightInd/>
              <w:spacing w:before="57" w:line="240" w:lineRule="auto"/>
              <w:jc w:val="left"/>
              <w:textAlignment w:val="auto"/>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内容完整、切实可行，完全符合本项目需求的得</w:t>
            </w: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分；</w:t>
            </w:r>
          </w:p>
          <w:p w14:paraId="5170CF51">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内容较为完善、较切实可行，较符合本项目需求的得，得</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分；</w:t>
            </w:r>
          </w:p>
          <w:p w14:paraId="3C0A05EB">
            <w:pPr>
              <w:keepNext w:val="0"/>
              <w:keepLines w:val="0"/>
              <w:pageBreakBefore w:val="0"/>
              <w:kinsoku/>
              <w:wordWrap/>
              <w:overflowPunct/>
              <w:topLinePunct w:val="0"/>
              <w:bidi w:val="0"/>
              <w:adjustRightInd/>
              <w:spacing w:before="57" w:line="240" w:lineRule="auto"/>
              <w:jc w:val="left"/>
              <w:textAlignment w:val="auto"/>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内容基本完善，基本可行，基本符合本项目需求的得</w:t>
            </w: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分；</w:t>
            </w:r>
          </w:p>
          <w:p w14:paraId="11D8D80F">
            <w:pPr>
              <w:keepNext w:val="0"/>
              <w:keepLines w:val="0"/>
              <w:pageBreakBefore w:val="0"/>
              <w:kinsoku/>
              <w:wordWrap/>
              <w:overflowPunct/>
              <w:topLinePunct w:val="0"/>
              <w:bidi w:val="0"/>
              <w:adjustRightInd/>
              <w:spacing w:before="57" w:line="240" w:lineRule="auto"/>
              <w:jc w:val="left"/>
              <w:textAlignment w:val="auto"/>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内容存在不合理项、存在实施难度的得2分；</w:t>
            </w:r>
          </w:p>
          <w:p w14:paraId="696558CE">
            <w:pPr>
              <w:keepNext w:val="0"/>
              <w:keepLines w:val="0"/>
              <w:pageBreakBefore w:val="0"/>
              <w:kinsoku/>
              <w:wordWrap/>
              <w:overflowPunct/>
              <w:topLinePunct w:val="0"/>
              <w:bidi w:val="0"/>
              <w:adjustRightInd/>
              <w:spacing w:before="57" w:line="240" w:lineRule="auto"/>
              <w:jc w:val="left"/>
              <w:textAlignment w:val="auto"/>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内容前后不连贯导致语义不明或存在与本项目无关内容的得1分；</w:t>
            </w:r>
          </w:p>
          <w:p w14:paraId="1307E054">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未针对本项描述的得0分。</w:t>
            </w:r>
          </w:p>
        </w:tc>
      </w:tr>
      <w:tr w14:paraId="2843E9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vMerge w:val="continue"/>
            <w:tcBorders>
              <w:left w:val="single" w:color="auto" w:sz="4" w:space="0"/>
              <w:right w:val="single" w:color="auto" w:sz="4" w:space="0"/>
            </w:tcBorders>
            <w:noWrap w:val="0"/>
            <w:vAlign w:val="center"/>
          </w:tcPr>
          <w:p w14:paraId="3F6889E0">
            <w:pPr>
              <w:spacing w:line="500" w:lineRule="exact"/>
              <w:jc w:val="center"/>
              <w:rPr>
                <w:rFonts w:hint="eastAsia" w:ascii="新宋体" w:hAnsi="新宋体" w:eastAsia="新宋体" w:cs="新宋体"/>
                <w:sz w:val="24"/>
                <w:szCs w:val="24"/>
                <w:highlight w:val="none"/>
                <w:lang w:val="en-US" w:eastAsia="zh-CN"/>
              </w:rPr>
            </w:pPr>
          </w:p>
        </w:tc>
        <w:tc>
          <w:tcPr>
            <w:tcW w:w="1347" w:type="dxa"/>
            <w:gridSpan w:val="2"/>
            <w:vMerge w:val="continue"/>
            <w:tcBorders>
              <w:left w:val="single" w:color="auto" w:sz="4" w:space="0"/>
              <w:right w:val="single" w:color="auto" w:sz="4" w:space="0"/>
            </w:tcBorders>
            <w:noWrap w:val="0"/>
            <w:vAlign w:val="center"/>
          </w:tcPr>
          <w:p w14:paraId="7FD8BF4A">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p>
        </w:tc>
        <w:tc>
          <w:tcPr>
            <w:tcW w:w="149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B09BF70">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val="zh-CN"/>
              </w:rPr>
            </w:pPr>
            <w:r>
              <w:rPr>
                <w:rFonts w:hint="eastAsia" w:ascii="宋体" w:hAnsi="宋体" w:eastAsia="宋体" w:cs="宋体"/>
                <w:sz w:val="24"/>
                <w:szCs w:val="24"/>
                <w:lang w:val="zh-CN"/>
              </w:rPr>
              <w:t>售后服务</w:t>
            </w:r>
          </w:p>
          <w:p w14:paraId="0FB2691A">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(3分）</w:t>
            </w:r>
          </w:p>
        </w:tc>
        <w:tc>
          <w:tcPr>
            <w:tcW w:w="5949"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170B51DD">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有健全的售后服务规章制度、用户档案、用户保修卡、维修服务准则，售后服务体系完整、计划可行，包括交货期、售后服务、响应时间、解决问题时间的，</w:t>
            </w:r>
            <w:r>
              <w:rPr>
                <w:rFonts w:hint="eastAsia" w:ascii="宋体" w:hAnsi="宋体" w:eastAsia="宋体" w:cs="宋体"/>
                <w:sz w:val="24"/>
                <w:szCs w:val="24"/>
                <w:lang w:val="en-US" w:eastAsia="zh-CN"/>
              </w:rPr>
              <w:t>承诺内容详实，考虑周全，针对性强的得3</w:t>
            </w:r>
            <w:r>
              <w:rPr>
                <w:rFonts w:hint="eastAsia" w:ascii="宋体" w:hAnsi="宋体" w:eastAsia="宋体" w:cs="宋体"/>
                <w:sz w:val="24"/>
                <w:szCs w:val="24"/>
                <w:lang w:val="zh-CN"/>
              </w:rPr>
              <w:t>分；</w:t>
            </w:r>
          </w:p>
          <w:p w14:paraId="09D233D6">
            <w:pPr>
              <w:pStyle w:val="4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rPr>
                <w:rFonts w:hint="eastAsia" w:ascii="宋体" w:hAnsi="宋体" w:eastAsia="宋体" w:cs="宋体"/>
                <w:sz w:val="24"/>
                <w:szCs w:val="24"/>
                <w:lang w:val="zh-CN" w:eastAsia="zh-CN" w:bidi="ar-SA"/>
              </w:rPr>
            </w:pPr>
            <w:r>
              <w:rPr>
                <w:rFonts w:hint="eastAsia" w:ascii="宋体" w:hAnsi="宋体" w:eastAsia="宋体" w:cs="宋体"/>
                <w:sz w:val="24"/>
                <w:szCs w:val="24"/>
                <w:lang w:val="en-US" w:eastAsia="zh-CN"/>
              </w:rPr>
              <w:t>承诺内容简单，考虑基本周全，针对性一般的得 2分；承诺基本完整、考虑不周全得1分。不提供不得分。</w:t>
            </w:r>
          </w:p>
        </w:tc>
      </w:tr>
      <w:tr w14:paraId="1F67140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9" w:hRule="atLeast"/>
        </w:trPr>
        <w:tc>
          <w:tcPr>
            <w:tcW w:w="817" w:type="dxa"/>
            <w:vMerge w:val="continue"/>
            <w:tcBorders>
              <w:left w:val="single" w:color="auto" w:sz="4" w:space="0"/>
              <w:bottom w:val="single" w:color="auto" w:sz="4" w:space="0"/>
              <w:right w:val="single" w:color="auto" w:sz="4" w:space="0"/>
            </w:tcBorders>
            <w:noWrap w:val="0"/>
            <w:vAlign w:val="center"/>
          </w:tcPr>
          <w:p w14:paraId="5727C0C7">
            <w:pPr>
              <w:spacing w:line="500" w:lineRule="exact"/>
              <w:jc w:val="center"/>
              <w:rPr>
                <w:rFonts w:hint="eastAsia" w:ascii="新宋体" w:hAnsi="新宋体" w:eastAsia="新宋体" w:cs="新宋体"/>
                <w:sz w:val="24"/>
                <w:szCs w:val="24"/>
                <w:highlight w:val="none"/>
                <w:lang w:val="en-US" w:eastAsia="zh-CN"/>
              </w:rPr>
            </w:pPr>
          </w:p>
        </w:tc>
        <w:tc>
          <w:tcPr>
            <w:tcW w:w="1347" w:type="dxa"/>
            <w:gridSpan w:val="2"/>
            <w:vMerge w:val="continue"/>
            <w:tcBorders>
              <w:left w:val="single" w:color="auto" w:sz="4" w:space="0"/>
              <w:bottom w:val="single" w:color="auto" w:sz="4" w:space="0"/>
              <w:right w:val="single" w:color="auto" w:sz="4" w:space="0"/>
            </w:tcBorders>
            <w:noWrap w:val="0"/>
            <w:vAlign w:val="center"/>
          </w:tcPr>
          <w:p w14:paraId="7C8C80EC">
            <w:pPr>
              <w:autoSpaceDE w:val="0"/>
              <w:autoSpaceDN w:val="0"/>
              <w:adjustRightInd w:val="0"/>
              <w:spacing w:before="50" w:line="480" w:lineRule="exact"/>
              <w:ind w:left="59" w:leftChars="28" w:right="96" w:rightChars="0" w:firstLine="4" w:firstLineChars="2"/>
              <w:jc w:val="center"/>
              <w:rPr>
                <w:rFonts w:hint="eastAsia" w:ascii="新宋体" w:hAnsi="新宋体" w:eastAsia="新宋体" w:cs="新宋体"/>
                <w:color w:val="auto"/>
                <w:sz w:val="24"/>
                <w:szCs w:val="24"/>
              </w:rPr>
            </w:pPr>
          </w:p>
        </w:tc>
        <w:tc>
          <w:tcPr>
            <w:tcW w:w="149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D58B397">
            <w:pPr>
              <w:keepNext w:val="0"/>
              <w:keepLines w:val="0"/>
              <w:pageBreakBefore w:val="0"/>
              <w:kinsoku/>
              <w:wordWrap/>
              <w:overflowPunct/>
              <w:topLinePunct w:val="0"/>
              <w:bidi w:val="0"/>
              <w:adjustRightInd/>
              <w:spacing w:before="57" w:line="240" w:lineRule="auto"/>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优惠承诺</w:t>
            </w:r>
          </w:p>
          <w:p w14:paraId="1668F044">
            <w:pPr>
              <w:keepNext w:val="0"/>
              <w:keepLines w:val="0"/>
              <w:pageBreakBefore w:val="0"/>
              <w:kinsoku/>
              <w:wordWrap/>
              <w:overflowPunct/>
              <w:topLinePunct w:val="0"/>
              <w:bidi w:val="0"/>
              <w:adjustRightInd/>
              <w:spacing w:before="57" w:line="240" w:lineRule="auto"/>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（2分）</w:t>
            </w:r>
          </w:p>
        </w:tc>
        <w:tc>
          <w:tcPr>
            <w:tcW w:w="594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00201D3">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1.</w:t>
            </w:r>
            <w:r>
              <w:rPr>
                <w:rFonts w:hint="eastAsia" w:asciiTheme="minorEastAsia" w:hAnsiTheme="minorEastAsia" w:eastAsiaTheme="minorEastAsia" w:cstheme="minorEastAsia"/>
                <w:color w:val="auto"/>
                <w:kern w:val="0"/>
                <w:sz w:val="24"/>
                <w:szCs w:val="24"/>
              </w:rPr>
              <w:t>优惠承诺应是符合项目的实质性优惠承诺，确保依法依规，优惠合理，详实可行的，得2分；</w:t>
            </w:r>
          </w:p>
          <w:p w14:paraId="1C50993C">
            <w:pPr>
              <w:keepNext w:val="0"/>
              <w:keepLines w:val="0"/>
              <w:pageBreakBefore w:val="0"/>
              <w:kinsoku/>
              <w:wordWrap/>
              <w:overflowPunct/>
              <w:topLinePunct w:val="0"/>
              <w:bidi w:val="0"/>
              <w:adjustRightInd/>
              <w:spacing w:before="57" w:line="240" w:lineRule="auto"/>
              <w:jc w:val="left"/>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基本合理，可行的，得1分；缺项不得分。</w:t>
            </w:r>
          </w:p>
        </w:tc>
      </w:tr>
    </w:tbl>
    <w:p w14:paraId="737D78EB">
      <w:pPr>
        <w:snapToGrid w:val="0"/>
        <w:spacing w:line="360" w:lineRule="auto"/>
        <w:ind w:firstLine="482" w:firstLineChars="200"/>
        <w:jc w:val="left"/>
        <w:rPr>
          <w:rFonts w:hint="eastAsia" w:ascii="新宋体" w:hAnsi="新宋体" w:eastAsia="新宋体" w:cs="新宋体"/>
          <w:b/>
          <w:bCs/>
          <w:color w:val="auto"/>
          <w:sz w:val="24"/>
          <w:szCs w:val="24"/>
          <w:lang w:val="en-US" w:eastAsia="zh-CN"/>
        </w:rPr>
      </w:pPr>
      <w:r>
        <w:rPr>
          <w:rFonts w:hint="eastAsia" w:ascii="新宋体" w:hAnsi="新宋体" w:eastAsia="新宋体" w:cs="新宋体"/>
          <w:b/>
          <w:bCs/>
          <w:color w:val="auto"/>
          <w:sz w:val="24"/>
          <w:szCs w:val="24"/>
        </w:rPr>
        <w:t>注:评标打分部分仍按照100分制原则进行，涉及到资格审查、企业实力、企业业绩等计分部分时，以供应商自行上传到响应文件中的相应内容为准</w:t>
      </w:r>
      <w:r>
        <w:rPr>
          <w:rFonts w:hint="eastAsia" w:ascii="新宋体" w:hAnsi="新宋体" w:eastAsia="新宋体" w:cs="新宋体"/>
          <w:b/>
          <w:bCs/>
          <w:color w:val="auto"/>
          <w:sz w:val="24"/>
          <w:szCs w:val="24"/>
          <w:lang w:eastAsia="zh-CN"/>
        </w:rPr>
        <w:t>。</w:t>
      </w:r>
    </w:p>
    <w:p w14:paraId="5718D9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2、各评委独立评分。响应人的综合评分为在最大限度地满足竞争性磋商文件实质性要求的前提下，按照竞争性磋商文件中规定的各项因素进行综合评审后，汇总全部评委评分后进行求和的算术平均值。</w:t>
      </w:r>
    </w:p>
    <w:p w14:paraId="187B759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磋商小组依据各响应人最终得分由高到低的顺序推荐成交候选人 3 名。</w:t>
      </w:r>
    </w:p>
    <w:p w14:paraId="088BD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ascii="宋体" w:hAnsi="宋体" w:eastAsia="宋体" w:cs="Times New Roman"/>
          <w:color w:val="000000" w:themeColor="text1"/>
          <w:sz w:val="24"/>
          <w:szCs w:val="24"/>
          <w:highlight w:val="none"/>
          <w14:textFill>
            <w14:solidFill>
              <w14:schemeClr w14:val="tx1"/>
            </w14:solidFill>
          </w14:textFill>
        </w:rPr>
      </w:pPr>
      <w:bookmarkStart w:id="108" w:name="_Toc31874"/>
      <w:r>
        <w:rPr>
          <w:rFonts w:hint="eastAsia" w:ascii="宋体" w:hAnsi="宋体" w:eastAsia="宋体" w:cs="Times New Roman"/>
          <w:color w:val="000000" w:themeColor="text1"/>
          <w:sz w:val="24"/>
          <w:szCs w:val="24"/>
          <w:highlight w:val="none"/>
          <w14:textFill>
            <w14:solidFill>
              <w14:schemeClr w14:val="tx1"/>
            </w14:solidFill>
          </w14:textFill>
        </w:rPr>
        <w:t>3、价格调整要素及价格折扣幅度说明：</w:t>
      </w:r>
      <w:bookmarkEnd w:id="108"/>
    </w:p>
    <w:p w14:paraId="0ADB4D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磋商小组根据政府采购法相关规定，对有效投标、符合价格折扣条件的供应商，按照价格调整因素及比例进行报价调整，以调整后的价格作为响应人的评标价。</w:t>
      </w:r>
    </w:p>
    <w:p w14:paraId="4E1CE535">
      <w:pPr>
        <w:snapToGrid w:val="0"/>
        <w:spacing w:line="360" w:lineRule="auto"/>
        <w:ind w:firstLine="480" w:firstLineChars="200"/>
        <w:jc w:val="both"/>
        <w:rPr>
          <w:rFonts w:hint="eastAsia"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78DB37">
      <w:pPr>
        <w:pStyle w:val="2"/>
        <w:bidi w:val="0"/>
        <w:jc w:val="center"/>
        <w:rPr>
          <w:rFonts w:hint="eastAsia"/>
        </w:rPr>
      </w:pPr>
      <w:r>
        <w:rPr>
          <w:rFonts w:ascii="宋体" w:hAnsi="宋体" w:cs="宋体"/>
          <w:b/>
          <w:bCs/>
          <w:szCs w:val="36"/>
          <w:highlight w:val="none"/>
        </w:rPr>
        <w:br w:type="page"/>
      </w:r>
      <w:bookmarkStart w:id="109" w:name="_Toc15593"/>
      <w:r>
        <w:rPr>
          <w:rFonts w:hint="eastAsia"/>
        </w:rPr>
        <w:t>第四章  合同条款及格式</w:t>
      </w:r>
      <w:bookmarkEnd w:id="107"/>
      <w:bookmarkEnd w:id="109"/>
      <w:bookmarkStart w:id="110" w:name="_Toc7548"/>
    </w:p>
    <w:bookmarkEnd w:id="110"/>
    <w:p w14:paraId="1038C320">
      <w:pPr>
        <w:jc w:val="center"/>
        <w:rPr>
          <w:rFonts w:hint="eastAsia" w:ascii="宋体" w:hAnsi="宋体"/>
          <w:color w:val="000000" w:themeColor="text1"/>
          <w:sz w:val="30"/>
          <w:szCs w:val="30"/>
          <w:highlight w:val="none"/>
          <w14:textFill>
            <w14:solidFill>
              <w14:schemeClr w14:val="tx1"/>
            </w14:solidFill>
          </w14:textFill>
        </w:rPr>
      </w:pPr>
      <w:r>
        <w:rPr>
          <w:rFonts w:hint="eastAsia"/>
          <w:bCs/>
          <w:color w:val="000000" w:themeColor="text1"/>
          <w:sz w:val="24"/>
          <w:szCs w:val="24"/>
          <w14:textFill>
            <w14:solidFill>
              <w14:schemeClr w14:val="tx1"/>
            </w14:solidFill>
          </w14:textFill>
        </w:rPr>
        <w:t>注：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w:t>
      </w:r>
    </w:p>
    <w:p w14:paraId="71745CBA">
      <w:pPr>
        <w:spacing w:line="360" w:lineRule="auto"/>
        <w:jc w:val="right"/>
        <w:rPr>
          <w:rFonts w:ascii="Times New Roman" w:hAnsi="Times New Roman" w:eastAsia="仿宋_GB2312"/>
          <w:bCs/>
          <w:sz w:val="32"/>
          <w:szCs w:val="32"/>
          <w:highlight w:val="none"/>
        </w:rPr>
      </w:pPr>
      <w:r>
        <w:rPr>
          <w:rFonts w:ascii="Times New Roman" w:hAnsi="Times New Roman" w:eastAsia="仿宋_GB2312"/>
          <w:bCs/>
          <w:sz w:val="32"/>
          <w:szCs w:val="32"/>
          <w:highlight w:val="none"/>
        </w:rPr>
        <w:t>（GF—201</w:t>
      </w:r>
      <w:r>
        <w:rPr>
          <w:rFonts w:hint="eastAsia" w:ascii="Times New Roman" w:hAnsi="Times New Roman" w:eastAsia="仿宋_GB2312"/>
          <w:bCs/>
          <w:sz w:val="32"/>
          <w:szCs w:val="32"/>
          <w:highlight w:val="none"/>
        </w:rPr>
        <w:t>7</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0201）</w:t>
      </w:r>
    </w:p>
    <w:p w14:paraId="0B14F6E6">
      <w:pPr>
        <w:autoSpaceDE w:val="0"/>
        <w:autoSpaceDN w:val="0"/>
        <w:jc w:val="left"/>
        <w:rPr>
          <w:rFonts w:ascii="仿宋" w:hAnsi="仿宋" w:eastAsia="仿宋" w:cs="仿宋"/>
          <w:b/>
          <w:color w:val="auto"/>
          <w:kern w:val="0"/>
          <w:sz w:val="24"/>
          <w:szCs w:val="24"/>
        </w:rPr>
      </w:pPr>
      <w:bookmarkStart w:id="111" w:name="_Toc12273"/>
    </w:p>
    <w:p w14:paraId="7832EE15">
      <w:pPr>
        <w:snapToGrid w:val="0"/>
        <w:spacing w:line="360" w:lineRule="exact"/>
        <w:ind w:firstLine="480" w:firstLineChars="200"/>
        <w:rPr>
          <w:rFonts w:hint="eastAsia" w:ascii="宋体" w:hAnsi="宋体" w:eastAsia="宋体" w:cs="宋体"/>
          <w:b/>
          <w:sz w:val="24"/>
          <w:szCs w:val="24"/>
          <w:u w:val="single"/>
        </w:rPr>
      </w:pPr>
      <w:r>
        <w:rPr>
          <w:rFonts w:hint="eastAsia" w:ascii="宋体" w:hAnsi="宋体" w:eastAsia="宋体" w:cs="宋体"/>
          <w:sz w:val="24"/>
          <w:szCs w:val="24"/>
        </w:rPr>
        <w:t>（以下“合同条款及格式”为合同签订时的基本内容，若需修改及未尽事宜，待</w:t>
      </w:r>
      <w:r>
        <w:rPr>
          <w:rFonts w:hint="eastAsia" w:ascii="宋体" w:hAnsi="宋体" w:cs="宋体"/>
          <w:sz w:val="24"/>
          <w:szCs w:val="24"/>
          <w:lang w:eastAsia="zh-CN"/>
        </w:rPr>
        <w:t>供应商</w:t>
      </w:r>
      <w:r>
        <w:rPr>
          <w:rFonts w:hint="eastAsia" w:ascii="宋体" w:hAnsi="宋体" w:eastAsia="宋体" w:cs="宋体"/>
          <w:sz w:val="24"/>
          <w:szCs w:val="24"/>
        </w:rPr>
        <w:t>中标后签订合同时与招标单位协商确定。最终以甲、乙双方签订的合同为准）</w:t>
      </w:r>
    </w:p>
    <w:p w14:paraId="5850C824">
      <w:pPr>
        <w:spacing w:line="500" w:lineRule="exact"/>
        <w:jc w:val="center"/>
        <w:rPr>
          <w:rFonts w:hint="eastAsia" w:ascii="宋体" w:hAnsi="宋体" w:eastAsia="宋体" w:cs="宋体"/>
          <w:b/>
          <w:sz w:val="24"/>
          <w:szCs w:val="24"/>
          <w:u w:val="single"/>
        </w:rPr>
      </w:pPr>
      <w:bookmarkStart w:id="112" w:name="_Toc9314"/>
      <w:bookmarkEnd w:id="112"/>
    </w:p>
    <w:p w14:paraId="083F86CF">
      <w:pPr>
        <w:spacing w:line="500" w:lineRule="exact"/>
        <w:jc w:val="center"/>
        <w:outlineLvl w:val="1"/>
        <w:rPr>
          <w:rFonts w:hint="eastAsia" w:ascii="宋体" w:hAnsi="宋体" w:eastAsia="宋体" w:cs="宋体"/>
          <w:b/>
          <w:sz w:val="24"/>
          <w:szCs w:val="24"/>
        </w:rPr>
      </w:pPr>
      <w:r>
        <w:rPr>
          <w:rFonts w:hint="eastAsia" w:ascii="宋体" w:hAnsi="宋体" w:eastAsia="宋体" w:cs="宋体"/>
          <w:b/>
          <w:sz w:val="24"/>
          <w:szCs w:val="24"/>
          <w:u w:val="single"/>
        </w:rPr>
        <w:t xml:space="preserve">                         </w:t>
      </w:r>
      <w:bookmarkStart w:id="113" w:name="_Toc25921"/>
      <w:bookmarkStart w:id="114" w:name="_Toc32180_WPSOffice_Level2"/>
      <w:bookmarkStart w:id="115" w:name="_Toc15899"/>
      <w:bookmarkStart w:id="116" w:name="_Toc6809_WPSOffice_Level2"/>
      <w:r>
        <w:rPr>
          <w:rFonts w:hint="eastAsia" w:ascii="宋体" w:hAnsi="宋体" w:eastAsia="宋体" w:cs="宋体"/>
          <w:b/>
          <w:sz w:val="24"/>
          <w:szCs w:val="24"/>
        </w:rPr>
        <w:t>项目合同</w:t>
      </w:r>
      <w:bookmarkEnd w:id="113"/>
      <w:bookmarkEnd w:id="114"/>
      <w:bookmarkEnd w:id="115"/>
      <w:bookmarkEnd w:id="116"/>
    </w:p>
    <w:p w14:paraId="70FDF101">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4EB895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717B1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F97267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91ED5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FFA3A88">
      <w:pPr>
        <w:snapToGrid w:val="0"/>
        <w:spacing w:line="360" w:lineRule="auto"/>
        <w:ind w:firstLine="480" w:firstLineChars="200"/>
        <w:rPr>
          <w:rFonts w:hint="eastAsia" w:ascii="宋体" w:hAnsi="宋体" w:eastAsia="宋体" w:cs="宋体"/>
          <w:sz w:val="24"/>
          <w:szCs w:val="24"/>
          <w:u w:val="single"/>
        </w:rPr>
      </w:pPr>
      <w:bookmarkStart w:id="117" w:name="_Toc14583_WPSOffice_Level2"/>
      <w:bookmarkStart w:id="118" w:name="_Toc18936_WPSOffice_Level2"/>
      <w:r>
        <w:rPr>
          <w:rFonts w:hint="eastAsia" w:ascii="宋体" w:hAnsi="宋体" w:eastAsia="宋体" w:cs="宋体"/>
          <w:sz w:val="24"/>
          <w:szCs w:val="24"/>
        </w:rPr>
        <w:t>甲    方：</w:t>
      </w:r>
      <w:r>
        <w:rPr>
          <w:rFonts w:hint="eastAsia" w:ascii="宋体" w:hAnsi="宋体" w:eastAsia="宋体" w:cs="宋体"/>
          <w:b/>
          <w:sz w:val="24"/>
          <w:szCs w:val="24"/>
          <w:u w:val="single"/>
        </w:rPr>
        <w:t xml:space="preserve">                      （采购单位）</w:t>
      </w:r>
      <w:bookmarkEnd w:id="117"/>
      <w:bookmarkEnd w:id="118"/>
    </w:p>
    <w:p w14:paraId="5DB8620A">
      <w:pPr>
        <w:spacing w:line="360" w:lineRule="auto"/>
        <w:ind w:firstLine="480" w:firstLineChars="200"/>
        <w:rPr>
          <w:rFonts w:hint="eastAsia" w:ascii="宋体" w:hAnsi="宋体" w:eastAsia="宋体" w:cs="宋体"/>
          <w:b/>
          <w:sz w:val="24"/>
          <w:szCs w:val="24"/>
        </w:rPr>
      </w:pPr>
      <w:bookmarkStart w:id="119" w:name="_Toc29648_WPSOffice_Level2"/>
      <w:bookmarkStart w:id="120" w:name="_Toc26333_WPSOffice_Level2"/>
      <w:r>
        <w:rPr>
          <w:rFonts w:hint="eastAsia" w:ascii="宋体" w:hAnsi="宋体" w:eastAsia="宋体" w:cs="宋体"/>
          <w:sz w:val="24"/>
          <w:szCs w:val="24"/>
        </w:rPr>
        <w:t>乙    方：</w:t>
      </w:r>
      <w:r>
        <w:rPr>
          <w:rFonts w:hint="eastAsia" w:ascii="宋体" w:hAnsi="宋体" w:eastAsia="宋体" w:cs="宋体"/>
          <w:b/>
          <w:sz w:val="24"/>
          <w:szCs w:val="24"/>
          <w:u w:val="single"/>
        </w:rPr>
        <w:t xml:space="preserve">                    （中标</w:t>
      </w:r>
      <w:r>
        <w:rPr>
          <w:rFonts w:hint="eastAsia" w:ascii="宋体" w:hAnsi="宋体" w:cs="宋体"/>
          <w:b/>
          <w:sz w:val="24"/>
          <w:szCs w:val="24"/>
          <w:u w:val="single"/>
          <w:lang w:eastAsia="zh-CN"/>
        </w:rPr>
        <w:t>供应商</w:t>
      </w:r>
      <w:r>
        <w:rPr>
          <w:rFonts w:hint="eastAsia" w:ascii="宋体" w:hAnsi="宋体" w:eastAsia="宋体" w:cs="宋体"/>
          <w:b/>
          <w:sz w:val="24"/>
          <w:szCs w:val="24"/>
          <w:u w:val="single"/>
        </w:rPr>
        <w:t>人）</w:t>
      </w:r>
      <w:bookmarkEnd w:id="119"/>
      <w:bookmarkEnd w:id="120"/>
    </w:p>
    <w:p w14:paraId="78882CDF">
      <w:pPr>
        <w:spacing w:line="500" w:lineRule="exact"/>
        <w:outlineLvl w:val="1"/>
        <w:rPr>
          <w:rFonts w:hint="eastAsia" w:ascii="宋体" w:hAnsi="宋体" w:eastAsia="宋体" w:cs="宋体"/>
          <w:b/>
          <w:sz w:val="24"/>
          <w:szCs w:val="24"/>
        </w:rPr>
      </w:pPr>
      <w:bookmarkStart w:id="121" w:name="_Toc32542"/>
      <w:bookmarkStart w:id="122" w:name="_Toc1328"/>
      <w:bookmarkStart w:id="123" w:name="_Toc17551_WPSOffice_Level2"/>
      <w:bookmarkStart w:id="124" w:name="_Toc14490_WPSOffice_Level2"/>
      <w:r>
        <w:rPr>
          <w:rFonts w:hint="eastAsia" w:ascii="宋体" w:hAnsi="宋体" w:eastAsia="宋体" w:cs="宋体"/>
          <w:b/>
          <w:sz w:val="24"/>
          <w:szCs w:val="24"/>
        </w:rPr>
        <w:t>1．总则</w:t>
      </w:r>
      <w:bookmarkEnd w:id="121"/>
      <w:bookmarkEnd w:id="122"/>
      <w:bookmarkEnd w:id="123"/>
      <w:bookmarkEnd w:id="124"/>
      <w:r>
        <w:rPr>
          <w:rFonts w:hint="eastAsia" w:ascii="宋体" w:hAnsi="宋体" w:eastAsia="宋体" w:cs="宋体"/>
          <w:b/>
          <w:sz w:val="24"/>
          <w:szCs w:val="24"/>
        </w:rPr>
        <w:t xml:space="preserve"> </w:t>
      </w:r>
    </w:p>
    <w:p w14:paraId="70BCB99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甲、乙双方根据</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(采购单位)     </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ascii="宋体" w:hAnsi="宋体" w:eastAsia="宋体" w:cs="宋体"/>
          <w:sz w:val="24"/>
          <w:szCs w:val="24"/>
        </w:rPr>
        <w:t>项目(以下简称本项目)的成交结果，甲方同意接受乙方为本项目招标所做的投标文件，乙方必须完全按成交通知书和本合同条款履行义务。甲、乙双方同意签署本合同。</w:t>
      </w:r>
    </w:p>
    <w:p w14:paraId="2283199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注:本项目合同由中标单位与需方签订。</w:t>
      </w:r>
    </w:p>
    <w:p w14:paraId="7C20893A">
      <w:pPr>
        <w:spacing w:line="500" w:lineRule="exact"/>
        <w:outlineLvl w:val="1"/>
        <w:rPr>
          <w:rFonts w:hint="eastAsia" w:ascii="宋体" w:hAnsi="宋体" w:eastAsia="宋体" w:cs="宋体"/>
          <w:b/>
          <w:sz w:val="24"/>
          <w:szCs w:val="24"/>
        </w:rPr>
      </w:pPr>
      <w:bookmarkStart w:id="125" w:name="_Toc9399_WPSOffice_Level2"/>
      <w:bookmarkStart w:id="126" w:name="_Toc15652"/>
      <w:bookmarkStart w:id="127" w:name="_Toc28941"/>
      <w:bookmarkStart w:id="128" w:name="_Toc8702_WPSOffice_Level2"/>
      <w:r>
        <w:rPr>
          <w:rFonts w:hint="eastAsia" w:ascii="宋体" w:hAnsi="宋体" w:eastAsia="宋体" w:cs="宋体"/>
          <w:b/>
          <w:sz w:val="24"/>
          <w:szCs w:val="24"/>
        </w:rPr>
        <w:t>2．合同文件</w:t>
      </w:r>
      <w:bookmarkEnd w:id="125"/>
      <w:bookmarkEnd w:id="126"/>
      <w:bookmarkEnd w:id="127"/>
      <w:bookmarkEnd w:id="128"/>
    </w:p>
    <w:p w14:paraId="4C68A294">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2.1   本合同条款。</w:t>
      </w:r>
    </w:p>
    <w:p w14:paraId="28E6DCBD">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2.2   中标通知书。</w:t>
      </w:r>
    </w:p>
    <w:p w14:paraId="3C767B0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2.3   变更补充文件</w:t>
      </w:r>
    </w:p>
    <w:p w14:paraId="58094962">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2.4   技术规格及要求。</w:t>
      </w:r>
    </w:p>
    <w:p w14:paraId="08530733">
      <w:pPr>
        <w:spacing w:line="500" w:lineRule="exact"/>
        <w:rPr>
          <w:rFonts w:hint="eastAsia" w:ascii="宋体" w:hAnsi="宋体" w:eastAsia="宋体" w:cs="宋体"/>
          <w:b/>
          <w:sz w:val="24"/>
          <w:szCs w:val="24"/>
        </w:rPr>
      </w:pPr>
      <w:r>
        <w:rPr>
          <w:rFonts w:hint="eastAsia" w:ascii="宋体" w:hAnsi="宋体" w:eastAsia="宋体" w:cs="宋体"/>
          <w:sz w:val="24"/>
          <w:szCs w:val="24"/>
        </w:rPr>
        <w:t xml:space="preserve">   2.5   投标文件。</w:t>
      </w:r>
    </w:p>
    <w:p w14:paraId="4167C2B3">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2.6   其它</w:t>
      </w:r>
    </w:p>
    <w:p w14:paraId="1A9A0E85">
      <w:pPr>
        <w:spacing w:line="500" w:lineRule="exact"/>
        <w:rPr>
          <w:rFonts w:hint="eastAsia" w:ascii="宋体" w:hAnsi="宋体" w:eastAsia="宋体" w:cs="宋体"/>
          <w:b/>
          <w:sz w:val="24"/>
          <w:szCs w:val="24"/>
        </w:rPr>
      </w:pPr>
      <w:r>
        <w:rPr>
          <w:rFonts w:hint="eastAsia" w:ascii="宋体" w:hAnsi="宋体" w:eastAsia="宋体" w:cs="宋体"/>
          <w:sz w:val="24"/>
          <w:szCs w:val="24"/>
        </w:rPr>
        <w:t xml:space="preserve">   上述所指合同文件应认为是互相补充和解释的，但是有模棱两可或互相矛盾之处，以其所列内容先后顺序为准。</w:t>
      </w:r>
    </w:p>
    <w:p w14:paraId="4A0780C1">
      <w:pPr>
        <w:spacing w:line="500" w:lineRule="exact"/>
        <w:outlineLvl w:val="1"/>
        <w:rPr>
          <w:rFonts w:hint="eastAsia" w:ascii="宋体" w:hAnsi="宋体" w:eastAsia="宋体" w:cs="宋体"/>
          <w:b/>
          <w:sz w:val="24"/>
          <w:szCs w:val="24"/>
        </w:rPr>
      </w:pPr>
      <w:bookmarkStart w:id="129" w:name="_Toc7084"/>
      <w:bookmarkStart w:id="130" w:name="_Toc24590_WPSOffice_Level2"/>
      <w:bookmarkStart w:id="131" w:name="_Toc27808_WPSOffice_Level2"/>
      <w:bookmarkStart w:id="132" w:name="_Toc10063"/>
      <w:r>
        <w:rPr>
          <w:rFonts w:hint="eastAsia" w:ascii="宋体" w:hAnsi="宋体" w:eastAsia="宋体" w:cs="宋体"/>
          <w:b/>
          <w:sz w:val="24"/>
          <w:szCs w:val="24"/>
        </w:rPr>
        <w:t>3．货物名称、型号、规格、配置、技术参数、数量及合同价款</w:t>
      </w:r>
      <w:bookmarkEnd w:id="129"/>
      <w:bookmarkEnd w:id="130"/>
      <w:bookmarkEnd w:id="131"/>
      <w:bookmarkEnd w:id="132"/>
    </w:p>
    <w:tbl>
      <w:tblPr>
        <w:tblStyle w:val="18"/>
        <w:tblW w:w="0" w:type="auto"/>
        <w:tblInd w:w="108" w:type="dxa"/>
        <w:tblLayout w:type="fixed"/>
        <w:tblCellMar>
          <w:top w:w="0" w:type="dxa"/>
          <w:left w:w="108" w:type="dxa"/>
          <w:bottom w:w="0" w:type="dxa"/>
          <w:right w:w="108" w:type="dxa"/>
        </w:tblCellMar>
      </w:tblPr>
      <w:tblGrid>
        <w:gridCol w:w="689"/>
        <w:gridCol w:w="1516"/>
        <w:gridCol w:w="2940"/>
        <w:gridCol w:w="832"/>
        <w:gridCol w:w="987"/>
        <w:gridCol w:w="936"/>
        <w:gridCol w:w="1280"/>
      </w:tblGrid>
      <w:tr w14:paraId="0684F44E">
        <w:tblPrEx>
          <w:tblCellMar>
            <w:top w:w="0" w:type="dxa"/>
            <w:left w:w="108" w:type="dxa"/>
            <w:bottom w:w="0" w:type="dxa"/>
            <w:right w:w="108" w:type="dxa"/>
          </w:tblCellMar>
        </w:tblPrEx>
        <w:trPr>
          <w:trHeight w:val="738" w:hRule="atLeast"/>
        </w:trPr>
        <w:tc>
          <w:tcPr>
            <w:tcW w:w="689" w:type="dxa"/>
            <w:tcBorders>
              <w:top w:val="single" w:color="auto" w:sz="4" w:space="0"/>
              <w:left w:val="single" w:color="auto" w:sz="4" w:space="0"/>
              <w:bottom w:val="single" w:color="auto" w:sz="4" w:space="0"/>
              <w:right w:val="single" w:color="auto" w:sz="4" w:space="0"/>
            </w:tcBorders>
            <w:vAlign w:val="center"/>
          </w:tcPr>
          <w:p w14:paraId="67256859">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16" w:type="dxa"/>
            <w:tcBorders>
              <w:top w:val="single" w:color="auto" w:sz="4" w:space="0"/>
              <w:left w:val="nil"/>
              <w:bottom w:val="single" w:color="auto" w:sz="4" w:space="0"/>
              <w:right w:val="single" w:color="auto" w:sz="4" w:space="0"/>
            </w:tcBorders>
            <w:vAlign w:val="center"/>
          </w:tcPr>
          <w:p w14:paraId="0B94570A">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2940" w:type="dxa"/>
            <w:tcBorders>
              <w:top w:val="single" w:color="auto" w:sz="4" w:space="0"/>
              <w:left w:val="nil"/>
              <w:bottom w:val="single" w:color="auto" w:sz="4" w:space="0"/>
              <w:right w:val="single" w:color="auto" w:sz="4" w:space="0"/>
            </w:tcBorders>
            <w:vAlign w:val="center"/>
          </w:tcPr>
          <w:p w14:paraId="6DCD9F97">
            <w:pPr>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型号规格配置</w:t>
            </w:r>
          </w:p>
          <w:p w14:paraId="198F3C5C">
            <w:pPr>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及技术参数</w:t>
            </w:r>
          </w:p>
        </w:tc>
        <w:tc>
          <w:tcPr>
            <w:tcW w:w="832" w:type="dxa"/>
            <w:tcBorders>
              <w:top w:val="single" w:color="auto" w:sz="4" w:space="0"/>
              <w:left w:val="nil"/>
              <w:bottom w:val="single" w:color="auto" w:sz="4" w:space="0"/>
              <w:right w:val="single" w:color="auto" w:sz="4" w:space="0"/>
            </w:tcBorders>
            <w:vAlign w:val="center"/>
          </w:tcPr>
          <w:p w14:paraId="002A7F3E">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987" w:type="dxa"/>
            <w:tcBorders>
              <w:top w:val="single" w:color="auto" w:sz="4" w:space="0"/>
              <w:left w:val="nil"/>
              <w:bottom w:val="single" w:color="auto" w:sz="4" w:space="0"/>
              <w:right w:val="single" w:color="auto" w:sz="4" w:space="0"/>
            </w:tcBorders>
            <w:vAlign w:val="center"/>
          </w:tcPr>
          <w:p w14:paraId="4F4E649C">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数量(台)</w:t>
            </w:r>
          </w:p>
        </w:tc>
        <w:tc>
          <w:tcPr>
            <w:tcW w:w="936" w:type="dxa"/>
            <w:tcBorders>
              <w:top w:val="single" w:color="auto" w:sz="4" w:space="0"/>
              <w:left w:val="nil"/>
              <w:bottom w:val="single" w:color="auto" w:sz="4" w:space="0"/>
              <w:right w:val="single" w:color="auto" w:sz="4" w:space="0"/>
            </w:tcBorders>
            <w:vAlign w:val="center"/>
          </w:tcPr>
          <w:p w14:paraId="0586C7E0">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合价(元)</w:t>
            </w:r>
          </w:p>
        </w:tc>
        <w:tc>
          <w:tcPr>
            <w:tcW w:w="1280" w:type="dxa"/>
            <w:tcBorders>
              <w:top w:val="single" w:color="auto" w:sz="4" w:space="0"/>
              <w:left w:val="nil"/>
              <w:bottom w:val="single" w:color="auto" w:sz="4" w:space="0"/>
              <w:right w:val="single" w:color="auto" w:sz="4" w:space="0"/>
            </w:tcBorders>
            <w:vAlign w:val="center"/>
          </w:tcPr>
          <w:p w14:paraId="73509518">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r>
      <w:tr w14:paraId="23E165D8">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33ACA0F">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516" w:type="dxa"/>
            <w:tcBorders>
              <w:top w:val="single" w:color="auto" w:sz="4" w:space="0"/>
              <w:left w:val="nil"/>
              <w:bottom w:val="single" w:color="auto" w:sz="4" w:space="0"/>
              <w:right w:val="single" w:color="auto" w:sz="4" w:space="0"/>
            </w:tcBorders>
            <w:vAlign w:val="center"/>
          </w:tcPr>
          <w:p w14:paraId="4A450B49">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2940" w:type="dxa"/>
            <w:tcBorders>
              <w:top w:val="single" w:color="auto" w:sz="4" w:space="0"/>
              <w:left w:val="nil"/>
              <w:bottom w:val="single" w:color="auto" w:sz="4" w:space="0"/>
              <w:right w:val="single" w:color="auto" w:sz="4" w:space="0"/>
            </w:tcBorders>
            <w:vAlign w:val="center"/>
          </w:tcPr>
          <w:p w14:paraId="74A7C66A">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832" w:type="dxa"/>
            <w:tcBorders>
              <w:top w:val="single" w:color="auto" w:sz="4" w:space="0"/>
              <w:left w:val="nil"/>
              <w:bottom w:val="single" w:color="auto" w:sz="4" w:space="0"/>
              <w:right w:val="single" w:color="auto" w:sz="4" w:space="0"/>
            </w:tcBorders>
            <w:vAlign w:val="center"/>
          </w:tcPr>
          <w:p w14:paraId="18A14313">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87" w:type="dxa"/>
            <w:tcBorders>
              <w:top w:val="single" w:color="auto" w:sz="4" w:space="0"/>
              <w:left w:val="nil"/>
              <w:bottom w:val="single" w:color="auto" w:sz="4" w:space="0"/>
              <w:right w:val="single" w:color="auto" w:sz="4" w:space="0"/>
            </w:tcBorders>
            <w:vAlign w:val="center"/>
          </w:tcPr>
          <w:p w14:paraId="7DC417ED">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36" w:type="dxa"/>
            <w:tcBorders>
              <w:top w:val="single" w:color="auto" w:sz="4" w:space="0"/>
              <w:left w:val="nil"/>
              <w:bottom w:val="single" w:color="auto" w:sz="4" w:space="0"/>
              <w:right w:val="single" w:color="auto" w:sz="4" w:space="0"/>
            </w:tcBorders>
            <w:vAlign w:val="center"/>
          </w:tcPr>
          <w:p w14:paraId="6E4B56DB">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280" w:type="dxa"/>
            <w:tcBorders>
              <w:top w:val="single" w:color="auto" w:sz="4" w:space="0"/>
              <w:left w:val="nil"/>
              <w:bottom w:val="single" w:color="auto" w:sz="4" w:space="0"/>
              <w:right w:val="single" w:color="auto" w:sz="4" w:space="0"/>
            </w:tcBorders>
            <w:vAlign w:val="center"/>
          </w:tcPr>
          <w:p w14:paraId="63476B1A">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r>
      <w:tr w14:paraId="2FDDD090">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03A6B58">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516" w:type="dxa"/>
            <w:tcBorders>
              <w:top w:val="single" w:color="auto" w:sz="4" w:space="0"/>
              <w:left w:val="nil"/>
              <w:bottom w:val="single" w:color="auto" w:sz="4" w:space="0"/>
              <w:right w:val="single" w:color="auto" w:sz="4" w:space="0"/>
            </w:tcBorders>
            <w:vAlign w:val="center"/>
          </w:tcPr>
          <w:p w14:paraId="77A9E525">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2940" w:type="dxa"/>
            <w:tcBorders>
              <w:top w:val="single" w:color="auto" w:sz="4" w:space="0"/>
              <w:left w:val="nil"/>
              <w:bottom w:val="single" w:color="auto" w:sz="4" w:space="0"/>
              <w:right w:val="single" w:color="auto" w:sz="4" w:space="0"/>
            </w:tcBorders>
            <w:vAlign w:val="center"/>
          </w:tcPr>
          <w:p w14:paraId="1109A604">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832" w:type="dxa"/>
            <w:tcBorders>
              <w:top w:val="single" w:color="auto" w:sz="4" w:space="0"/>
              <w:left w:val="nil"/>
              <w:bottom w:val="single" w:color="auto" w:sz="4" w:space="0"/>
              <w:right w:val="single" w:color="auto" w:sz="4" w:space="0"/>
            </w:tcBorders>
            <w:vAlign w:val="center"/>
          </w:tcPr>
          <w:p w14:paraId="08D212BC">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87" w:type="dxa"/>
            <w:tcBorders>
              <w:top w:val="single" w:color="auto" w:sz="4" w:space="0"/>
              <w:left w:val="nil"/>
              <w:bottom w:val="single" w:color="auto" w:sz="4" w:space="0"/>
              <w:right w:val="single" w:color="auto" w:sz="4" w:space="0"/>
            </w:tcBorders>
            <w:vAlign w:val="center"/>
          </w:tcPr>
          <w:p w14:paraId="593B3B32">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36" w:type="dxa"/>
            <w:tcBorders>
              <w:top w:val="single" w:color="auto" w:sz="4" w:space="0"/>
              <w:left w:val="nil"/>
              <w:bottom w:val="single" w:color="auto" w:sz="4" w:space="0"/>
              <w:right w:val="single" w:color="auto" w:sz="4" w:space="0"/>
            </w:tcBorders>
            <w:vAlign w:val="center"/>
          </w:tcPr>
          <w:p w14:paraId="344169FE">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280" w:type="dxa"/>
            <w:tcBorders>
              <w:top w:val="single" w:color="auto" w:sz="4" w:space="0"/>
              <w:left w:val="nil"/>
              <w:bottom w:val="single" w:color="auto" w:sz="4" w:space="0"/>
              <w:right w:val="single" w:color="auto" w:sz="4" w:space="0"/>
            </w:tcBorders>
            <w:vAlign w:val="center"/>
          </w:tcPr>
          <w:p w14:paraId="0ACA20D8">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r>
      <w:tr w14:paraId="0D9845EB">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AFE08A7">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516" w:type="dxa"/>
            <w:tcBorders>
              <w:top w:val="single" w:color="auto" w:sz="4" w:space="0"/>
              <w:left w:val="nil"/>
              <w:bottom w:val="single" w:color="auto" w:sz="4" w:space="0"/>
              <w:right w:val="single" w:color="auto" w:sz="4" w:space="0"/>
            </w:tcBorders>
            <w:vAlign w:val="center"/>
          </w:tcPr>
          <w:p w14:paraId="160B8882">
            <w:pPr>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2940" w:type="dxa"/>
            <w:tcBorders>
              <w:top w:val="single" w:color="auto" w:sz="4" w:space="0"/>
              <w:left w:val="nil"/>
              <w:bottom w:val="single" w:color="auto" w:sz="4" w:space="0"/>
              <w:right w:val="single" w:color="auto" w:sz="4" w:space="0"/>
            </w:tcBorders>
            <w:vAlign w:val="center"/>
          </w:tcPr>
          <w:p w14:paraId="3595FAA4">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832" w:type="dxa"/>
            <w:tcBorders>
              <w:top w:val="single" w:color="auto" w:sz="4" w:space="0"/>
              <w:left w:val="nil"/>
              <w:bottom w:val="single" w:color="auto" w:sz="4" w:space="0"/>
              <w:right w:val="single" w:color="auto" w:sz="4" w:space="0"/>
            </w:tcBorders>
            <w:vAlign w:val="center"/>
          </w:tcPr>
          <w:p w14:paraId="7AD55054">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87" w:type="dxa"/>
            <w:tcBorders>
              <w:top w:val="single" w:color="auto" w:sz="4" w:space="0"/>
              <w:left w:val="nil"/>
              <w:bottom w:val="single" w:color="auto" w:sz="4" w:space="0"/>
              <w:right w:val="single" w:color="auto" w:sz="4" w:space="0"/>
            </w:tcBorders>
            <w:vAlign w:val="center"/>
          </w:tcPr>
          <w:p w14:paraId="007B0A61">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36" w:type="dxa"/>
            <w:tcBorders>
              <w:top w:val="single" w:color="auto" w:sz="4" w:space="0"/>
              <w:left w:val="nil"/>
              <w:bottom w:val="single" w:color="auto" w:sz="4" w:space="0"/>
              <w:right w:val="single" w:color="auto" w:sz="4" w:space="0"/>
            </w:tcBorders>
            <w:vAlign w:val="center"/>
          </w:tcPr>
          <w:p w14:paraId="36CA252E">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280" w:type="dxa"/>
            <w:tcBorders>
              <w:top w:val="single" w:color="auto" w:sz="4" w:space="0"/>
              <w:left w:val="nil"/>
              <w:bottom w:val="single" w:color="auto" w:sz="4" w:space="0"/>
              <w:right w:val="single" w:color="auto" w:sz="4" w:space="0"/>
            </w:tcBorders>
            <w:vAlign w:val="center"/>
          </w:tcPr>
          <w:p w14:paraId="4DD1610F">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r>
      <w:tr w14:paraId="15C4626A">
        <w:tblPrEx>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920CC3D">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516" w:type="dxa"/>
            <w:tcBorders>
              <w:top w:val="single" w:color="auto" w:sz="4" w:space="0"/>
              <w:left w:val="nil"/>
              <w:bottom w:val="single" w:color="auto" w:sz="4" w:space="0"/>
              <w:right w:val="single" w:color="auto" w:sz="4" w:space="0"/>
            </w:tcBorders>
            <w:vAlign w:val="center"/>
          </w:tcPr>
          <w:p w14:paraId="478F4C65">
            <w:pPr>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2940" w:type="dxa"/>
            <w:tcBorders>
              <w:top w:val="single" w:color="auto" w:sz="4" w:space="0"/>
              <w:left w:val="nil"/>
              <w:bottom w:val="single" w:color="auto" w:sz="4" w:space="0"/>
              <w:right w:val="single" w:color="auto" w:sz="4" w:space="0"/>
            </w:tcBorders>
            <w:vAlign w:val="center"/>
          </w:tcPr>
          <w:p w14:paraId="608782F4">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832" w:type="dxa"/>
            <w:tcBorders>
              <w:top w:val="single" w:color="auto" w:sz="4" w:space="0"/>
              <w:left w:val="nil"/>
              <w:bottom w:val="single" w:color="auto" w:sz="4" w:space="0"/>
              <w:right w:val="single" w:color="auto" w:sz="4" w:space="0"/>
            </w:tcBorders>
            <w:vAlign w:val="center"/>
          </w:tcPr>
          <w:p w14:paraId="62A6FF42">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87" w:type="dxa"/>
            <w:tcBorders>
              <w:top w:val="single" w:color="auto" w:sz="4" w:space="0"/>
              <w:left w:val="nil"/>
              <w:bottom w:val="single" w:color="auto" w:sz="4" w:space="0"/>
              <w:right w:val="single" w:color="auto" w:sz="4" w:space="0"/>
            </w:tcBorders>
            <w:vAlign w:val="center"/>
          </w:tcPr>
          <w:p w14:paraId="0CDEA3AB">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36" w:type="dxa"/>
            <w:tcBorders>
              <w:top w:val="single" w:color="auto" w:sz="4" w:space="0"/>
              <w:left w:val="nil"/>
              <w:bottom w:val="single" w:color="auto" w:sz="4" w:space="0"/>
              <w:right w:val="single" w:color="auto" w:sz="4" w:space="0"/>
            </w:tcBorders>
            <w:vAlign w:val="center"/>
          </w:tcPr>
          <w:p w14:paraId="5F5FF5A6">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280" w:type="dxa"/>
            <w:tcBorders>
              <w:top w:val="single" w:color="auto" w:sz="4" w:space="0"/>
              <w:left w:val="nil"/>
              <w:bottom w:val="single" w:color="auto" w:sz="4" w:space="0"/>
              <w:right w:val="single" w:color="auto" w:sz="4" w:space="0"/>
            </w:tcBorders>
            <w:vAlign w:val="center"/>
          </w:tcPr>
          <w:p w14:paraId="63D0DF0C">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r>
      <w:tr w14:paraId="360ABE7C">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14:paraId="2BFE6F36">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r>
              <w:rPr>
                <w:rFonts w:hint="eastAsia" w:ascii="宋体" w:hAnsi="宋体" w:eastAsia="宋体" w:cs="宋体"/>
                <w:sz w:val="24"/>
                <w:szCs w:val="24"/>
              </w:rPr>
              <w:t>合计</w:t>
            </w:r>
          </w:p>
        </w:tc>
        <w:tc>
          <w:tcPr>
            <w:tcW w:w="987" w:type="dxa"/>
            <w:tcBorders>
              <w:top w:val="single" w:color="auto" w:sz="4" w:space="0"/>
              <w:left w:val="nil"/>
              <w:bottom w:val="single" w:color="auto" w:sz="4" w:space="0"/>
              <w:right w:val="single" w:color="auto" w:sz="4" w:space="0"/>
            </w:tcBorders>
            <w:vAlign w:val="center"/>
          </w:tcPr>
          <w:p w14:paraId="7C524DBD">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936" w:type="dxa"/>
            <w:tcBorders>
              <w:top w:val="single" w:color="auto" w:sz="4" w:space="0"/>
              <w:left w:val="nil"/>
              <w:bottom w:val="single" w:color="auto" w:sz="4" w:space="0"/>
              <w:right w:val="single" w:color="auto" w:sz="4" w:space="0"/>
            </w:tcBorders>
            <w:vAlign w:val="center"/>
          </w:tcPr>
          <w:p w14:paraId="6410F903">
            <w:pPr>
              <w:keepNext w:val="0"/>
              <w:keepLines w:val="0"/>
              <w:suppressLineNumbers w:val="0"/>
              <w:spacing w:before="0" w:beforeAutospacing="0" w:after="0" w:afterAutospacing="0" w:line="500" w:lineRule="exact"/>
              <w:ind w:left="0" w:right="0" w:firstLine="600" w:firstLineChars="250"/>
              <w:jc w:val="center"/>
              <w:rPr>
                <w:rFonts w:hint="eastAsia" w:ascii="宋体" w:hAnsi="宋体" w:eastAsia="宋体" w:cs="宋体"/>
                <w:sz w:val="24"/>
                <w:szCs w:val="24"/>
              </w:rPr>
            </w:pPr>
          </w:p>
        </w:tc>
        <w:tc>
          <w:tcPr>
            <w:tcW w:w="1280" w:type="dxa"/>
            <w:tcBorders>
              <w:top w:val="single" w:color="auto" w:sz="4" w:space="0"/>
              <w:left w:val="nil"/>
              <w:bottom w:val="single" w:color="auto" w:sz="4" w:space="0"/>
              <w:right w:val="single" w:color="auto" w:sz="4" w:space="0"/>
            </w:tcBorders>
            <w:vAlign w:val="center"/>
          </w:tcPr>
          <w:p w14:paraId="7CE776AD">
            <w:pPr>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w:t>
            </w:r>
          </w:p>
        </w:tc>
      </w:tr>
      <w:tr w14:paraId="4A1D586E">
        <w:tblPrEx>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14:paraId="394BE8A9">
            <w:pPr>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合同价款大写：</w:t>
            </w:r>
          </w:p>
        </w:tc>
        <w:tc>
          <w:tcPr>
            <w:tcW w:w="3203" w:type="dxa"/>
            <w:gridSpan w:val="3"/>
            <w:tcBorders>
              <w:top w:val="single" w:color="auto" w:sz="4" w:space="0"/>
              <w:left w:val="nil"/>
              <w:bottom w:val="single" w:color="auto" w:sz="4" w:space="0"/>
              <w:right w:val="single" w:color="auto" w:sz="4" w:space="0"/>
            </w:tcBorders>
            <w:vAlign w:val="center"/>
          </w:tcPr>
          <w:p w14:paraId="37204B7A">
            <w:pPr>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bl>
    <w:p w14:paraId="0B5F9FC3">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（合同价款包括含货款、标准附件、备品备件、专用工具、包装、运输、装卸、保险、税金、货到就位以及安装、调试、培训、保修等一切税金和费用及其他因本项目而产生的一切费用）。</w:t>
      </w:r>
    </w:p>
    <w:p w14:paraId="67C1BEA6">
      <w:pPr>
        <w:snapToGrid w:val="0"/>
        <w:spacing w:line="500" w:lineRule="exact"/>
        <w:outlineLvl w:val="1"/>
        <w:rPr>
          <w:rFonts w:hint="eastAsia" w:ascii="宋体" w:hAnsi="宋体" w:eastAsia="宋体" w:cs="宋体"/>
          <w:b/>
          <w:sz w:val="24"/>
          <w:szCs w:val="24"/>
        </w:rPr>
      </w:pPr>
      <w:bookmarkStart w:id="133" w:name="_Toc13554_WPSOffice_Level2"/>
      <w:bookmarkStart w:id="134" w:name="_Toc17832"/>
      <w:bookmarkStart w:id="135" w:name="_Toc24234"/>
      <w:bookmarkStart w:id="136" w:name="_Toc32026_WPSOffice_Level2"/>
      <w:r>
        <w:rPr>
          <w:rFonts w:hint="eastAsia" w:ascii="宋体" w:hAnsi="宋体" w:eastAsia="宋体" w:cs="宋体"/>
          <w:b/>
          <w:sz w:val="24"/>
          <w:szCs w:val="24"/>
        </w:rPr>
        <w:t>4．合同的范围，交货时间、地点及方式。</w:t>
      </w:r>
      <w:bookmarkEnd w:id="133"/>
      <w:bookmarkEnd w:id="134"/>
      <w:bookmarkEnd w:id="135"/>
      <w:bookmarkEnd w:id="136"/>
    </w:p>
    <w:p w14:paraId="110EE56B">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4.1 合同的范围：仅指</w:t>
      </w:r>
      <w:r>
        <w:rPr>
          <w:rFonts w:hint="eastAsia" w:ascii="宋体" w:hAnsi="宋体" w:eastAsia="宋体" w:cs="宋体"/>
          <w:sz w:val="24"/>
          <w:szCs w:val="24"/>
          <w:u w:val="single"/>
        </w:rPr>
        <w:t xml:space="preserve">       （采购单位）      </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w:t>
      </w:r>
    </w:p>
    <w:p w14:paraId="111FCDFE">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4.2 交货及安装时间：按需方要求</w:t>
      </w:r>
    </w:p>
    <w:p w14:paraId="15CD8CB9">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4.3 交货地点：</w:t>
      </w:r>
      <w:r>
        <w:rPr>
          <w:rFonts w:hint="eastAsia" w:ascii="宋体" w:hAnsi="宋体" w:eastAsia="宋体" w:cs="宋体"/>
          <w:kern w:val="0"/>
          <w:sz w:val="24"/>
          <w:szCs w:val="24"/>
        </w:rPr>
        <w:t>采购单位指定地点</w:t>
      </w:r>
      <w:r>
        <w:rPr>
          <w:rFonts w:hint="eastAsia" w:ascii="宋体" w:hAnsi="宋体" w:eastAsia="宋体" w:cs="宋体"/>
          <w:sz w:val="24"/>
          <w:szCs w:val="24"/>
        </w:rPr>
        <w:t>。</w:t>
      </w:r>
    </w:p>
    <w:p w14:paraId="3B74D1EF">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4.4 交货方式：乙方免费送至甲方指定地点并安装到位。</w:t>
      </w:r>
    </w:p>
    <w:p w14:paraId="46313E09">
      <w:pPr>
        <w:snapToGrid w:val="0"/>
        <w:spacing w:line="500" w:lineRule="exact"/>
        <w:outlineLvl w:val="1"/>
        <w:rPr>
          <w:rFonts w:hint="eastAsia" w:ascii="宋体" w:hAnsi="宋体" w:eastAsia="宋体" w:cs="宋体"/>
          <w:b/>
          <w:sz w:val="24"/>
          <w:szCs w:val="24"/>
        </w:rPr>
      </w:pPr>
      <w:bookmarkStart w:id="137" w:name="_Toc17649"/>
      <w:bookmarkStart w:id="138" w:name="_Toc23365"/>
      <w:bookmarkStart w:id="139" w:name="_Toc11324_WPSOffice_Level2"/>
      <w:bookmarkStart w:id="140" w:name="_Toc4733_WPSOffice_Level2"/>
      <w:r>
        <w:rPr>
          <w:rFonts w:hint="eastAsia" w:ascii="宋体" w:hAnsi="宋体" w:eastAsia="宋体" w:cs="宋体"/>
          <w:b/>
          <w:sz w:val="24"/>
          <w:szCs w:val="24"/>
        </w:rPr>
        <w:t>5．合同条款及特别条款</w:t>
      </w:r>
      <w:bookmarkEnd w:id="137"/>
      <w:bookmarkEnd w:id="138"/>
      <w:bookmarkEnd w:id="139"/>
      <w:bookmarkEnd w:id="140"/>
    </w:p>
    <w:p w14:paraId="1CB3180C">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5.1 货物验收：</w:t>
      </w:r>
    </w:p>
    <w:p w14:paraId="4406EDFD">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5.1.1 乙方交货前应对产品作出全面检查和产品资料的整理，作为甲方收货验收和使用的技术条件的主要依据。</w:t>
      </w:r>
    </w:p>
    <w:p w14:paraId="5770066F">
      <w:pPr>
        <w:snapToGrid w:val="0"/>
        <w:spacing w:line="500" w:lineRule="exact"/>
        <w:rPr>
          <w:rFonts w:hint="eastAsia" w:ascii="宋体" w:hAnsi="宋体" w:eastAsia="宋体" w:cs="宋体"/>
          <w:sz w:val="24"/>
          <w:szCs w:val="24"/>
          <w:u w:val="single"/>
        </w:rPr>
      </w:pPr>
      <w:r>
        <w:rPr>
          <w:rFonts w:hint="eastAsia" w:ascii="宋体" w:hAnsi="宋体" w:eastAsia="宋体" w:cs="宋体"/>
          <w:sz w:val="24"/>
          <w:szCs w:val="24"/>
        </w:rPr>
        <w:t xml:space="preserve">   5.1.2 甲方组织专家按照投标文件清单及承诺内容对产品质量及服务验收，在验收时发现质量问题或是相关技术规格与招标文件和投标文件不符的，应及时向招标</w:t>
      </w:r>
      <w:r>
        <w:rPr>
          <w:rFonts w:hint="eastAsia" w:ascii="宋体" w:hAnsi="宋体" w:eastAsia="宋体" w:cs="宋体"/>
          <w:sz w:val="24"/>
          <w:szCs w:val="24"/>
          <w:lang w:eastAsia="zh-CN"/>
        </w:rPr>
        <w:t>采购代理机构</w:t>
      </w:r>
      <w:r>
        <w:rPr>
          <w:rFonts w:hint="eastAsia" w:ascii="宋体" w:hAnsi="宋体" w:eastAsia="宋体" w:cs="宋体"/>
          <w:sz w:val="24"/>
          <w:szCs w:val="24"/>
        </w:rPr>
        <w:t>反映。</w:t>
      </w:r>
    </w:p>
    <w:p w14:paraId="41DC19AB">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5.1.3 验收:</w:t>
      </w:r>
    </w:p>
    <w:p w14:paraId="1DEFB118">
      <w:pPr>
        <w:snapToGrid w:val="0"/>
        <w:spacing w:line="360" w:lineRule="auto"/>
        <w:rPr>
          <w:rFonts w:hint="eastAsia" w:ascii="宋体" w:hAnsi="宋体" w:eastAsia="宋体" w:cs="宋体"/>
          <w:sz w:val="24"/>
          <w:szCs w:val="24"/>
          <w:u w:val="single"/>
        </w:rPr>
      </w:pPr>
      <w:r>
        <w:rPr>
          <w:rFonts w:hint="eastAsia" w:ascii="宋体" w:hAnsi="宋体" w:eastAsia="宋体" w:cs="宋体"/>
          <w:b/>
          <w:sz w:val="24"/>
          <w:szCs w:val="24"/>
        </w:rPr>
        <w:t xml:space="preserve">   到场验收:</w:t>
      </w:r>
      <w:r>
        <w:rPr>
          <w:rFonts w:hint="eastAsia" w:ascii="宋体" w:hAnsi="宋体" w:eastAsia="宋体" w:cs="宋体"/>
          <w:sz w:val="24"/>
          <w:szCs w:val="24"/>
          <w:u w:val="single"/>
        </w:rPr>
        <w:t xml:space="preserve">                                                         </w:t>
      </w:r>
    </w:p>
    <w:p w14:paraId="23E91DD3">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4C9F958">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5.1.4 货物试运行期间，乙方都要指定专门技术人员全程跟踪服务，及时解决出现的所有问题。</w:t>
      </w:r>
    </w:p>
    <w:p w14:paraId="1E769E5B">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5.1.5 甲方根据上述第5.1.3条规定进行验收，并不能免除乙方根据本合同质量保证条款规定所应承担的质量保证责任。</w:t>
      </w:r>
    </w:p>
    <w:p w14:paraId="1910FA5C">
      <w:pPr>
        <w:snapToGrid w:val="0"/>
        <w:spacing w:line="500" w:lineRule="exact"/>
        <w:rPr>
          <w:rFonts w:hint="eastAsia" w:ascii="宋体" w:hAnsi="宋体" w:eastAsia="宋体" w:cs="宋体"/>
          <w:b/>
          <w:sz w:val="24"/>
          <w:szCs w:val="24"/>
        </w:rPr>
      </w:pPr>
      <w:r>
        <w:rPr>
          <w:rFonts w:hint="eastAsia" w:ascii="宋体" w:hAnsi="宋体" w:eastAsia="宋体" w:cs="宋体"/>
          <w:b/>
          <w:sz w:val="24"/>
          <w:szCs w:val="24"/>
        </w:rPr>
        <w:t>5.2 质量保证、售后服务及故障处理</w:t>
      </w:r>
    </w:p>
    <w:p w14:paraId="136A3B77">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5.2.1 乙方应按招标文件规定的货物性能、技术要求、质量标准向甲方提供未经使用的全新产品，按厂家承诺实行“三包”。</w:t>
      </w:r>
    </w:p>
    <w:p w14:paraId="6DAC18FF">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5.2.2 乙方提供本货物的质量保证期为自验收合格之日起不少于</w:t>
      </w:r>
      <w:r>
        <w:rPr>
          <w:rFonts w:hint="eastAsia" w:ascii="宋体" w:hAnsi="宋体" w:eastAsia="宋体" w:cs="宋体"/>
          <w:sz w:val="24"/>
          <w:szCs w:val="24"/>
          <w:u w:val="single"/>
        </w:rPr>
        <w:t xml:space="preserve">    </w:t>
      </w:r>
      <w:r>
        <w:rPr>
          <w:rFonts w:hint="eastAsia" w:ascii="宋体" w:hAnsi="宋体" w:eastAsia="宋体" w:cs="宋体"/>
          <w:sz w:val="24"/>
          <w:szCs w:val="24"/>
        </w:rPr>
        <w:t>年，如乙方提供本身质量保证期超过</w:t>
      </w:r>
      <w:r>
        <w:rPr>
          <w:rFonts w:hint="eastAsia" w:ascii="宋体" w:hAnsi="宋体" w:eastAsia="宋体" w:cs="宋体"/>
          <w:sz w:val="24"/>
          <w:szCs w:val="24"/>
          <w:u w:val="single"/>
        </w:rPr>
        <w:t>单</w:t>
      </w:r>
      <w:r>
        <w:rPr>
          <w:rFonts w:hint="eastAsia" w:ascii="宋体" w:hAnsi="宋体" w:eastAsia="宋体" w:cs="宋体"/>
          <w:sz w:val="24"/>
          <w:szCs w:val="24"/>
        </w:rPr>
        <w:t>年以上的，要根据乙方提供质保期执行。在质保期内发现因货物本身的质量问题，乙方应负责免费更换或免费修理或更换零部件。对达不到技术要求者，根据实际情况，经双方协商，可按以下办法处理：</w:t>
      </w:r>
    </w:p>
    <w:p w14:paraId="40AD1E31">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⑴更    换：由乙方承担所发生的全部费用。</w:t>
      </w:r>
    </w:p>
    <w:p w14:paraId="63242A48">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⑵贬值处理：由甲方、乙方双方合议定价。</w:t>
      </w:r>
    </w:p>
    <w:p w14:paraId="2327C534">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⑶退货处理：乙方应退还甲方支付的货物款，同时应承担该货物的直接费用（运输、保险、检验、货款利息及银行手续费等）。</w:t>
      </w:r>
    </w:p>
    <w:p w14:paraId="6AB45AA8">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5.2.3 在质保期内，乙方应对货物出现的质量及安全问题负责处理解决并承担一切费用。</w:t>
      </w:r>
    </w:p>
    <w:p w14:paraId="0FB997A0">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5.2.4 乙方须在质保期限满后提供全部货物的终身免费维护，因人为因素出现的故障（或不可抗力引起的故障）不在免费维护范围内。如货物出现故障需维修，乙方只收货物维修的材料费。</w:t>
      </w:r>
    </w:p>
    <w:p w14:paraId="2E0D5D00">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5.2.5 乙方应提供产品保修卡按产品规定保修期限及内容以及服务厂家的其它承诺条款实行保修，并提供终身维修服务卡。</w:t>
      </w:r>
    </w:p>
    <w:p w14:paraId="32AD0957">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5.2.6 乙方应对甲方的货物实行终身维护。</w:t>
      </w:r>
    </w:p>
    <w:p w14:paraId="72EC6D11">
      <w:pPr>
        <w:snapToGrid w:val="0"/>
        <w:spacing w:line="500" w:lineRule="exact"/>
        <w:outlineLvl w:val="1"/>
        <w:rPr>
          <w:rFonts w:hint="eastAsia" w:ascii="宋体" w:hAnsi="宋体" w:eastAsia="宋体" w:cs="宋体"/>
          <w:b/>
          <w:sz w:val="24"/>
          <w:szCs w:val="24"/>
        </w:rPr>
      </w:pPr>
      <w:bookmarkStart w:id="141" w:name="_Toc29072_WPSOffice_Level2"/>
      <w:bookmarkStart w:id="142" w:name="_Toc29414"/>
      <w:bookmarkStart w:id="143" w:name="_Toc2284_WPSOffice_Level2"/>
      <w:bookmarkStart w:id="144" w:name="_Toc21192"/>
      <w:r>
        <w:rPr>
          <w:rFonts w:hint="eastAsia" w:ascii="宋体" w:hAnsi="宋体" w:eastAsia="宋体" w:cs="宋体"/>
          <w:b/>
          <w:sz w:val="24"/>
          <w:szCs w:val="24"/>
        </w:rPr>
        <w:t>6.违约行为</w:t>
      </w:r>
      <w:bookmarkEnd w:id="141"/>
      <w:bookmarkEnd w:id="142"/>
      <w:bookmarkEnd w:id="143"/>
      <w:bookmarkEnd w:id="144"/>
    </w:p>
    <w:p w14:paraId="1B5ABD7A">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6.1 乙方有下列行为将作为违约：</w:t>
      </w:r>
    </w:p>
    <w:p w14:paraId="0D101B34">
      <w:pPr>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⑴逾期交货及延迟竣工，不可抗力除外。</w:t>
      </w:r>
    </w:p>
    <w:p w14:paraId="4DB36944">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⑵交付货物的规格和技术参数、质量等跟乙方的投标文件中相关承诺存在着不符，并私自降低货物的规格和技术参数、质量等。</w:t>
      </w:r>
    </w:p>
    <w:p w14:paraId="3658FA3A">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⑶本次招标设备及各种配件、易损件的价格高于市场平均价的。</w:t>
      </w:r>
    </w:p>
    <w:p w14:paraId="650B6EE0">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⑷不履行合同条款或只履行部分合同条款，或拒绝履行合同义务。</w:t>
      </w:r>
    </w:p>
    <w:p w14:paraId="1115D7AF">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⑸不履行售后服务承诺及相关的伴随服务。</w:t>
      </w:r>
    </w:p>
    <w:p w14:paraId="0A5E1843">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⑹没有按本合同提供质量保证期。</w:t>
      </w:r>
    </w:p>
    <w:p w14:paraId="4CD4FA2C">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⑺违反政府招标法和国家其他的相关法律法规。</w:t>
      </w:r>
    </w:p>
    <w:p w14:paraId="2BFACEFD">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6.2 甲方有下列行为将作为违约： </w:t>
      </w:r>
    </w:p>
    <w:p w14:paraId="6C3EF553">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⑴无正当理由拒绝接受乙方交付的货物或逾期延迟验收。</w:t>
      </w:r>
    </w:p>
    <w:p w14:paraId="1F8907F9">
      <w:pPr>
        <w:snapToGrid w:val="0"/>
        <w:spacing w:line="5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⑵违反政府招标法和国家其他的相关法律法规。</w:t>
      </w:r>
    </w:p>
    <w:p w14:paraId="1A816DFE">
      <w:pPr>
        <w:snapToGrid w:val="0"/>
        <w:spacing w:line="500" w:lineRule="exact"/>
        <w:outlineLvl w:val="1"/>
        <w:rPr>
          <w:rFonts w:hint="eastAsia" w:ascii="宋体" w:hAnsi="宋体" w:eastAsia="宋体" w:cs="宋体"/>
          <w:b/>
          <w:sz w:val="24"/>
          <w:szCs w:val="24"/>
        </w:rPr>
      </w:pPr>
      <w:bookmarkStart w:id="145" w:name="_Toc25417"/>
      <w:bookmarkStart w:id="146" w:name="_Toc3097_WPSOffice_Level2"/>
      <w:bookmarkStart w:id="147" w:name="_Toc19806_WPSOffice_Level2"/>
      <w:bookmarkStart w:id="148" w:name="_Toc15340"/>
      <w:r>
        <w:rPr>
          <w:rFonts w:hint="eastAsia" w:ascii="宋体" w:hAnsi="宋体" w:eastAsia="宋体" w:cs="宋体"/>
          <w:b/>
          <w:sz w:val="24"/>
          <w:szCs w:val="24"/>
        </w:rPr>
        <w:t>7. 违约责任</w:t>
      </w:r>
      <w:bookmarkEnd w:id="145"/>
      <w:bookmarkEnd w:id="146"/>
      <w:bookmarkEnd w:id="147"/>
      <w:bookmarkEnd w:id="148"/>
    </w:p>
    <w:p w14:paraId="0D1FCA2E">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7.1乙方违反本合同条款第6.1条的，将受到以下制裁：</w:t>
      </w:r>
    </w:p>
    <w:p w14:paraId="4FBCE27F">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⑴违反本合同条款第6.1条第⑴款时，乙方应按合同款的每日千分之二向甲方支付违约金，直至交货为止。但违约金的最高限额不超过合同款的百分之五。其中违约金由甲方从应付款中扣除。逾期超过约定日期三十个工作日不能交付的，甲方可单方解除本合同，并追加乙方承提因此造成的损失和相关法律责任。</w:t>
      </w:r>
    </w:p>
    <w:p w14:paraId="4684B76A">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⑵违反本合同条款第6.1条第⑵款时；一是甲方有权要求更换货物。而乙方愿意更换货物但逾期交货而造成交付延期的，则按乙方逾期交付处理；二是乙方拒绝更换货物的，甲方可单方面解除合同，并要求乙方承担甲方和招标</w:t>
      </w:r>
      <w:r>
        <w:rPr>
          <w:rFonts w:hint="eastAsia" w:ascii="宋体" w:hAnsi="宋体" w:eastAsia="宋体" w:cs="宋体"/>
          <w:sz w:val="24"/>
          <w:szCs w:val="24"/>
          <w:lang w:eastAsia="zh-CN"/>
        </w:rPr>
        <w:t>采购代理机构</w:t>
      </w:r>
      <w:r>
        <w:rPr>
          <w:rFonts w:hint="eastAsia" w:ascii="宋体" w:hAnsi="宋体" w:eastAsia="宋体" w:cs="宋体"/>
          <w:sz w:val="24"/>
          <w:szCs w:val="24"/>
        </w:rPr>
        <w:t>因此造成的损失及相关法律责任；三是甲方也可以有权拒绝接受货物，甲方有权单方中止合同，并追加乙方承担因此造成的损失和相关法律责任。</w:t>
      </w:r>
    </w:p>
    <w:p w14:paraId="118065CB">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⑶违反本合同条款第6.1条第⑶-⑹款时，甲方有权单方中止合同，并追加乙方承担因此造成的损失及相关法律责任。</w:t>
      </w:r>
    </w:p>
    <w:p w14:paraId="5DD8E247">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⑷因乙方的违约行为导致甲方单方解除合同的，乙方应要承担相应的法律责任。而因乙方违约行为此造成的损失超出由乙方继续承担赔偿责任。</w:t>
      </w:r>
    </w:p>
    <w:p w14:paraId="0698DC7A">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7.2甲方违反本合同条款第6.2条的，将受到以下制裁：</w:t>
      </w:r>
    </w:p>
    <w:p w14:paraId="2D1C8415">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⑴违反本合同条款第6.2条时，甲方应按货款的每日千分之二向乙方支付违约金，但违约金的最高限额不超过货款的百分之五。</w:t>
      </w:r>
    </w:p>
    <w:p w14:paraId="7493C563">
      <w:pPr>
        <w:snapToGrid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⑵乙方可有权单方面解除本合同，并追加甲方承担因此造成的损失和相关法律责任。</w:t>
      </w:r>
    </w:p>
    <w:p w14:paraId="0229A113">
      <w:pPr>
        <w:snapToGrid w:val="0"/>
        <w:spacing w:line="500" w:lineRule="exact"/>
        <w:outlineLvl w:val="1"/>
        <w:rPr>
          <w:rFonts w:hint="eastAsia" w:ascii="宋体" w:hAnsi="宋体" w:eastAsia="宋体" w:cs="宋体"/>
          <w:b/>
          <w:sz w:val="24"/>
          <w:szCs w:val="24"/>
        </w:rPr>
      </w:pPr>
      <w:bookmarkStart w:id="149" w:name="_Toc18940_WPSOffice_Level2"/>
      <w:bookmarkStart w:id="150" w:name="_Toc2681"/>
      <w:bookmarkStart w:id="151" w:name="_Toc27196"/>
      <w:bookmarkStart w:id="152" w:name="_Toc5342_WPSOffice_Level2"/>
      <w:r>
        <w:rPr>
          <w:rFonts w:hint="eastAsia" w:ascii="宋体" w:hAnsi="宋体" w:eastAsia="宋体" w:cs="宋体"/>
          <w:b/>
          <w:sz w:val="24"/>
          <w:szCs w:val="24"/>
        </w:rPr>
        <w:t>8．</w:t>
      </w:r>
      <w:r>
        <w:rPr>
          <w:rFonts w:hint="eastAsia" w:ascii="宋体" w:hAnsi="宋体" w:eastAsia="宋体" w:cs="宋体"/>
          <w:sz w:val="24"/>
          <w:szCs w:val="24"/>
        </w:rPr>
        <w:t>付款方式：根据招标文件内规定或以甲乙双方协商为准。</w:t>
      </w:r>
      <w:bookmarkEnd w:id="149"/>
      <w:bookmarkEnd w:id="150"/>
      <w:bookmarkEnd w:id="151"/>
      <w:bookmarkEnd w:id="152"/>
    </w:p>
    <w:p w14:paraId="118C6E92">
      <w:pPr>
        <w:snapToGrid w:val="0"/>
        <w:spacing w:line="500" w:lineRule="exact"/>
        <w:outlineLvl w:val="1"/>
        <w:rPr>
          <w:rFonts w:hint="eastAsia" w:ascii="宋体" w:hAnsi="宋体" w:eastAsia="宋体" w:cs="宋体"/>
          <w:b/>
          <w:sz w:val="24"/>
          <w:szCs w:val="24"/>
        </w:rPr>
      </w:pPr>
      <w:bookmarkStart w:id="153" w:name="_Toc19472"/>
      <w:bookmarkStart w:id="154" w:name="_Toc31510"/>
      <w:bookmarkStart w:id="155" w:name="_Toc29363_WPSOffice_Level2"/>
      <w:bookmarkStart w:id="156" w:name="_Toc27039_WPSOffice_Level2"/>
      <w:r>
        <w:rPr>
          <w:rFonts w:hint="eastAsia" w:ascii="宋体" w:hAnsi="宋体" w:eastAsia="宋体" w:cs="宋体"/>
          <w:b/>
          <w:sz w:val="24"/>
          <w:szCs w:val="24"/>
        </w:rPr>
        <w:t>9．合同生效</w:t>
      </w:r>
      <w:bookmarkEnd w:id="153"/>
      <w:bookmarkEnd w:id="154"/>
      <w:bookmarkEnd w:id="155"/>
      <w:bookmarkEnd w:id="156"/>
    </w:p>
    <w:p w14:paraId="70F766F6">
      <w:pPr>
        <w:snapToGrid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9.1本合同一式六份，甲、乙双方各两份，另两份报送监督机构和</w:t>
      </w:r>
      <w:r>
        <w:rPr>
          <w:rFonts w:hint="eastAsia" w:ascii="宋体" w:hAnsi="宋体" w:eastAsia="宋体" w:cs="宋体"/>
          <w:sz w:val="24"/>
          <w:szCs w:val="24"/>
          <w:lang w:eastAsia="zh-CN"/>
        </w:rPr>
        <w:t>采购代理机构</w:t>
      </w:r>
      <w:r>
        <w:rPr>
          <w:rFonts w:hint="eastAsia" w:ascii="宋体" w:hAnsi="宋体" w:eastAsia="宋体" w:cs="宋体"/>
          <w:sz w:val="24"/>
          <w:szCs w:val="24"/>
        </w:rPr>
        <w:t>备案。</w:t>
      </w:r>
    </w:p>
    <w:p w14:paraId="1C1B48EE">
      <w:pPr>
        <w:spacing w:line="360" w:lineRule="auto"/>
        <w:rPr>
          <w:rFonts w:hint="eastAsia" w:ascii="宋体" w:hAnsi="宋体" w:eastAsia="宋体" w:cs="宋体"/>
          <w:sz w:val="24"/>
          <w:szCs w:val="24"/>
        </w:rPr>
      </w:pPr>
      <w:r>
        <w:rPr>
          <w:rFonts w:hint="eastAsia" w:ascii="宋体" w:hAnsi="宋体" w:eastAsia="宋体" w:cs="宋体"/>
          <w:sz w:val="24"/>
          <w:szCs w:val="24"/>
        </w:rPr>
        <w:t>甲方（盖章）：                                   乙方（盖章）：</w:t>
      </w:r>
    </w:p>
    <w:p w14:paraId="1A8AF6AC">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691B854A">
      <w:pPr>
        <w:spacing w:line="360" w:lineRule="auto"/>
        <w:rPr>
          <w:rFonts w:hint="eastAsia" w:ascii="宋体" w:hAnsi="宋体" w:eastAsia="宋体" w:cs="宋体"/>
          <w:sz w:val="24"/>
          <w:szCs w:val="24"/>
        </w:rPr>
      </w:pPr>
      <w:r>
        <w:rPr>
          <w:rFonts w:hint="eastAsia" w:ascii="宋体" w:hAnsi="宋体" w:eastAsia="宋体" w:cs="宋体"/>
          <w:sz w:val="24"/>
          <w:szCs w:val="24"/>
        </w:rPr>
        <w:t>法定代表：（签字或盖章）                         法定代表：（签字或盖章）</w:t>
      </w:r>
    </w:p>
    <w:p w14:paraId="354A7644">
      <w:pPr>
        <w:spacing w:line="360" w:lineRule="auto"/>
        <w:rPr>
          <w:rFonts w:hint="eastAsia" w:ascii="宋体" w:hAnsi="宋体" w:eastAsia="宋体" w:cs="宋体"/>
          <w:sz w:val="24"/>
          <w:szCs w:val="24"/>
        </w:rPr>
      </w:pPr>
      <w:r>
        <w:rPr>
          <w:rFonts w:hint="eastAsia" w:ascii="宋体" w:hAnsi="宋体" w:eastAsia="宋体" w:cs="宋体"/>
          <w:sz w:val="24"/>
          <w:szCs w:val="24"/>
        </w:rPr>
        <w:t>地址：                                           地址：</w:t>
      </w:r>
    </w:p>
    <w:p w14:paraId="26C8C05E">
      <w:pPr>
        <w:spacing w:line="360" w:lineRule="auto"/>
        <w:rPr>
          <w:rFonts w:hint="eastAsia" w:ascii="宋体" w:hAnsi="宋体" w:eastAsia="宋体" w:cs="宋体"/>
          <w:sz w:val="24"/>
          <w:szCs w:val="24"/>
        </w:rPr>
      </w:pPr>
      <w:r>
        <w:rPr>
          <w:rFonts w:hint="eastAsia" w:ascii="宋体" w:hAnsi="宋体" w:eastAsia="宋体" w:cs="宋体"/>
          <w:sz w:val="24"/>
          <w:szCs w:val="24"/>
        </w:rPr>
        <w:t>邮政编码：                                       邮政编码：</w:t>
      </w:r>
    </w:p>
    <w:p w14:paraId="3F9ECBA8">
      <w:pPr>
        <w:spacing w:line="360" w:lineRule="auto"/>
        <w:rPr>
          <w:rFonts w:hint="eastAsia" w:ascii="宋体" w:hAnsi="宋体" w:eastAsia="宋体" w:cs="宋体"/>
          <w:sz w:val="24"/>
          <w:szCs w:val="24"/>
        </w:rPr>
      </w:pPr>
      <w:r>
        <w:rPr>
          <w:rFonts w:hint="eastAsia" w:ascii="宋体" w:hAnsi="宋体" w:eastAsia="宋体" w:cs="宋体"/>
          <w:sz w:val="24"/>
          <w:szCs w:val="24"/>
        </w:rPr>
        <w:t>电话：                                           电话：</w:t>
      </w:r>
    </w:p>
    <w:p w14:paraId="31E8F03C">
      <w:pPr>
        <w:spacing w:line="360" w:lineRule="auto"/>
        <w:rPr>
          <w:rFonts w:hint="eastAsia" w:ascii="宋体" w:hAnsi="宋体" w:eastAsia="宋体" w:cs="宋体"/>
          <w:sz w:val="24"/>
          <w:szCs w:val="24"/>
        </w:rPr>
      </w:pPr>
      <w:r>
        <w:rPr>
          <w:rFonts w:hint="eastAsia" w:ascii="宋体" w:hAnsi="宋体" w:eastAsia="宋体" w:cs="宋体"/>
          <w:sz w:val="24"/>
          <w:szCs w:val="24"/>
        </w:rPr>
        <w:t>开户行名称单位 ：                                开户单位：</w:t>
      </w:r>
    </w:p>
    <w:p w14:paraId="5319D233">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14:paraId="5A0C6B58">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帐号：                                           帐号：                                            </w:t>
      </w:r>
    </w:p>
    <w:p w14:paraId="50E14967">
      <w:pPr>
        <w:spacing w:line="360" w:lineRule="auto"/>
        <w:rPr>
          <w:rFonts w:hint="eastAsia" w:ascii="宋体" w:hAnsi="宋体" w:eastAsia="宋体" w:cs="宋体"/>
          <w:sz w:val="24"/>
          <w:szCs w:val="24"/>
          <w:lang w:eastAsia="zh-CN"/>
        </w:rPr>
        <w:sectPr>
          <w:pgSz w:w="11900" w:h="16838"/>
          <w:pgMar w:top="1440" w:right="1406" w:bottom="650" w:left="1440" w:header="0" w:footer="0" w:gutter="0"/>
          <w:pgNumType w:fmt="decimal"/>
          <w:cols w:space="720" w:num="1"/>
        </w:sectPr>
      </w:pPr>
      <w:r>
        <w:rPr>
          <w:rFonts w:hint="eastAsia" w:ascii="宋体" w:hAnsi="宋体" w:eastAsia="宋体" w:cs="宋体"/>
          <w:sz w:val="24"/>
          <w:szCs w:val="24"/>
        </w:rPr>
        <w:t>签订时间：                                       签订时间</w:t>
      </w:r>
      <w:r>
        <w:rPr>
          <w:rFonts w:hint="eastAsia" w:ascii="宋体" w:hAnsi="宋体" w:eastAsia="宋体" w:cs="宋体"/>
          <w:sz w:val="24"/>
          <w:szCs w:val="24"/>
          <w:lang w:eastAsia="zh-CN"/>
        </w:rPr>
        <w:t>：</w:t>
      </w:r>
    </w:p>
    <w:p w14:paraId="7D9D330A">
      <w:pPr>
        <w:pStyle w:val="2"/>
        <w:numPr>
          <w:ilvl w:val="0"/>
          <w:numId w:val="5"/>
        </w:numPr>
        <w:bidi w:val="0"/>
        <w:jc w:val="center"/>
        <w:rPr>
          <w:rFonts w:hint="eastAsia"/>
        </w:rPr>
      </w:pPr>
      <w:bookmarkStart w:id="157" w:name="_Toc12817"/>
      <w:r>
        <w:rPr>
          <w:rFonts w:hint="eastAsia"/>
        </w:rPr>
        <w:t xml:space="preserve">  </w:t>
      </w:r>
      <w:r>
        <w:rPr>
          <w:rFonts w:hint="eastAsia"/>
          <w:lang w:val="en-US" w:eastAsia="zh-CN"/>
        </w:rPr>
        <w:t>采购</w:t>
      </w:r>
      <w:r>
        <w:rPr>
          <w:rFonts w:hint="eastAsia"/>
        </w:rPr>
        <w:t>清单</w:t>
      </w:r>
      <w:bookmarkEnd w:id="111"/>
      <w:bookmarkEnd w:id="157"/>
    </w:p>
    <w:tbl>
      <w:tblPr>
        <w:tblStyle w:val="19"/>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841"/>
        <w:gridCol w:w="4275"/>
        <w:gridCol w:w="1153"/>
        <w:gridCol w:w="958"/>
        <w:gridCol w:w="808"/>
      </w:tblGrid>
      <w:tr w14:paraId="5A1F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79157D47">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序号</w:t>
            </w:r>
          </w:p>
        </w:tc>
        <w:tc>
          <w:tcPr>
            <w:tcW w:w="1841" w:type="dxa"/>
          </w:tcPr>
          <w:p w14:paraId="157516AF">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产品名称</w:t>
            </w:r>
          </w:p>
        </w:tc>
        <w:tc>
          <w:tcPr>
            <w:tcW w:w="4275" w:type="dxa"/>
          </w:tcPr>
          <w:p w14:paraId="128A222D">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规格/型号</w:t>
            </w:r>
          </w:p>
        </w:tc>
        <w:tc>
          <w:tcPr>
            <w:tcW w:w="1153" w:type="dxa"/>
          </w:tcPr>
          <w:p w14:paraId="4F36FFFB">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单位</w:t>
            </w:r>
          </w:p>
        </w:tc>
        <w:tc>
          <w:tcPr>
            <w:tcW w:w="958" w:type="dxa"/>
          </w:tcPr>
          <w:p w14:paraId="28FB906C">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数量</w:t>
            </w:r>
          </w:p>
        </w:tc>
        <w:tc>
          <w:tcPr>
            <w:tcW w:w="808" w:type="dxa"/>
          </w:tcPr>
          <w:p w14:paraId="01E44037">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备注</w:t>
            </w:r>
          </w:p>
        </w:tc>
      </w:tr>
      <w:tr w14:paraId="6453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3F68996D">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c>
          <w:tcPr>
            <w:tcW w:w="1841" w:type="dxa"/>
            <w:vAlign w:val="center"/>
          </w:tcPr>
          <w:p w14:paraId="3FF28E3A">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制冷冷凝机组</w:t>
            </w:r>
          </w:p>
        </w:tc>
        <w:tc>
          <w:tcPr>
            <w:tcW w:w="4275" w:type="dxa"/>
            <w:vAlign w:val="center"/>
          </w:tcPr>
          <w:p w14:paraId="099A7FA2">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1. 制冷机组25HP,机组包含压缩机，风冷冷凝器，储液器，压力表，过滤器，压力控制，油分离器，避震管，冷凝电机，机架等，额定功率20KW，机油型号3GS，制冷量37KW，最大运行电流45A.冷凝器换热面积260㎡。   </w:t>
            </w:r>
          </w:p>
          <w:p w14:paraId="09F23A8B">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2.包含设备安装、调试、运输费用     </w:t>
            </w:r>
          </w:p>
        </w:tc>
        <w:tc>
          <w:tcPr>
            <w:tcW w:w="1153" w:type="dxa"/>
            <w:vAlign w:val="center"/>
          </w:tcPr>
          <w:p w14:paraId="6DAFD255">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套</w:t>
            </w:r>
          </w:p>
        </w:tc>
        <w:tc>
          <w:tcPr>
            <w:tcW w:w="958" w:type="dxa"/>
            <w:vAlign w:val="center"/>
          </w:tcPr>
          <w:p w14:paraId="3DC2B8DF">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808" w:type="dxa"/>
            <w:vAlign w:val="center"/>
          </w:tcPr>
          <w:p w14:paraId="7F92A850">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r w14:paraId="272F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11B0DD8E">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1841" w:type="dxa"/>
            <w:vAlign w:val="center"/>
          </w:tcPr>
          <w:p w14:paraId="1D953510">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冷风机</w:t>
            </w:r>
          </w:p>
        </w:tc>
        <w:tc>
          <w:tcPr>
            <w:tcW w:w="4275" w:type="dxa"/>
            <w:vAlign w:val="center"/>
          </w:tcPr>
          <w:p w14:paraId="28D0FB87">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1.DD160</w:t>
            </w:r>
          </w:p>
          <w:p w14:paraId="3ED8A0D1">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2.采用国内知名品牌自带热保护；铜管加铝翅片制成，片距≥6mm，换热面积≥库房面积的两倍；</w:t>
            </w:r>
          </w:p>
          <w:p w14:paraId="4883F114">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3.外壳材质：镀铝锌板；化霜方式：水冲霜；高配 </w:t>
            </w:r>
          </w:p>
          <w:p w14:paraId="43926D5A">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4.包含设备安装、调试、运输费用 </w:t>
            </w:r>
          </w:p>
        </w:tc>
        <w:tc>
          <w:tcPr>
            <w:tcW w:w="1153" w:type="dxa"/>
            <w:vAlign w:val="center"/>
          </w:tcPr>
          <w:p w14:paraId="6DB166F9">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台</w:t>
            </w:r>
          </w:p>
        </w:tc>
        <w:tc>
          <w:tcPr>
            <w:tcW w:w="958" w:type="dxa"/>
            <w:vAlign w:val="center"/>
          </w:tcPr>
          <w:p w14:paraId="1545EF11">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4</w:t>
            </w:r>
          </w:p>
        </w:tc>
        <w:tc>
          <w:tcPr>
            <w:tcW w:w="808" w:type="dxa"/>
            <w:vAlign w:val="center"/>
          </w:tcPr>
          <w:p w14:paraId="495AC20F">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r w14:paraId="6990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07EEA7AF">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3</w:t>
            </w:r>
          </w:p>
        </w:tc>
        <w:tc>
          <w:tcPr>
            <w:tcW w:w="1841" w:type="dxa"/>
            <w:vAlign w:val="center"/>
          </w:tcPr>
          <w:p w14:paraId="34CA83D9">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离心式风幕机</w:t>
            </w:r>
          </w:p>
        </w:tc>
        <w:tc>
          <w:tcPr>
            <w:tcW w:w="4275" w:type="dxa"/>
            <w:vAlign w:val="center"/>
          </w:tcPr>
          <w:p w14:paraId="106907AF">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1.3000型、功率1.1KW</w:t>
            </w:r>
          </w:p>
          <w:p w14:paraId="1C1B0392">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2.包含设备安装、调试、运输费用  </w:t>
            </w:r>
          </w:p>
        </w:tc>
        <w:tc>
          <w:tcPr>
            <w:tcW w:w="1153" w:type="dxa"/>
            <w:vAlign w:val="center"/>
          </w:tcPr>
          <w:p w14:paraId="4DDFA546">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台</w:t>
            </w:r>
          </w:p>
        </w:tc>
        <w:tc>
          <w:tcPr>
            <w:tcW w:w="958" w:type="dxa"/>
            <w:vAlign w:val="center"/>
          </w:tcPr>
          <w:p w14:paraId="6B90B267">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808" w:type="dxa"/>
            <w:vAlign w:val="center"/>
          </w:tcPr>
          <w:p w14:paraId="361C9888">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r w14:paraId="73DC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6ECD2553">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4</w:t>
            </w:r>
          </w:p>
        </w:tc>
        <w:tc>
          <w:tcPr>
            <w:tcW w:w="1841" w:type="dxa"/>
            <w:vAlign w:val="center"/>
          </w:tcPr>
          <w:p w14:paraId="7FAE7197">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变压器</w:t>
            </w:r>
          </w:p>
        </w:tc>
        <w:tc>
          <w:tcPr>
            <w:tcW w:w="4275" w:type="dxa"/>
            <w:vAlign w:val="center"/>
          </w:tcPr>
          <w:p w14:paraId="34A28FE4">
            <w:pPr>
              <w:numPr>
                <w:ilvl w:val="0"/>
                <w:numId w:val="0"/>
              </w:num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1.变压器</w:t>
            </w:r>
          </w:p>
          <w:p w14:paraId="079387B2">
            <w:pPr>
              <w:numPr>
                <w:ilvl w:val="0"/>
                <w:numId w:val="0"/>
              </w:num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2.S13-100KVA</w:t>
            </w:r>
          </w:p>
        </w:tc>
        <w:tc>
          <w:tcPr>
            <w:tcW w:w="1153" w:type="dxa"/>
            <w:vAlign w:val="center"/>
          </w:tcPr>
          <w:p w14:paraId="010096B3">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台</w:t>
            </w:r>
          </w:p>
        </w:tc>
        <w:tc>
          <w:tcPr>
            <w:tcW w:w="958" w:type="dxa"/>
            <w:vAlign w:val="center"/>
          </w:tcPr>
          <w:p w14:paraId="087363BD">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c>
          <w:tcPr>
            <w:tcW w:w="808" w:type="dxa"/>
            <w:vAlign w:val="center"/>
          </w:tcPr>
          <w:p w14:paraId="4E0F05B1">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r w14:paraId="0382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14:paraId="2A34FF69">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5</w:t>
            </w:r>
          </w:p>
        </w:tc>
        <w:tc>
          <w:tcPr>
            <w:tcW w:w="1841" w:type="dxa"/>
            <w:vAlign w:val="center"/>
          </w:tcPr>
          <w:p w14:paraId="110D6A40">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合计</w:t>
            </w:r>
          </w:p>
        </w:tc>
        <w:tc>
          <w:tcPr>
            <w:tcW w:w="4275" w:type="dxa"/>
            <w:vAlign w:val="center"/>
          </w:tcPr>
          <w:p w14:paraId="60CD492E">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1153" w:type="dxa"/>
            <w:vAlign w:val="center"/>
          </w:tcPr>
          <w:p w14:paraId="376366D8">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958" w:type="dxa"/>
            <w:vAlign w:val="center"/>
          </w:tcPr>
          <w:p w14:paraId="6195763F">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808" w:type="dxa"/>
            <w:vAlign w:val="center"/>
          </w:tcPr>
          <w:p w14:paraId="541E4FA6">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bl>
    <w:p w14:paraId="386B049C">
      <w:pPr>
        <w:numPr>
          <w:ilvl w:val="0"/>
          <w:numId w:val="0"/>
        </w:numPr>
        <w:rPr>
          <w:rFonts w:hint="eastAsia"/>
        </w:rPr>
      </w:pPr>
    </w:p>
    <w:p w14:paraId="62E84975">
      <w:pPr>
        <w:rPr>
          <w:rFonts w:hint="default"/>
          <w:lang w:val="en-US" w:eastAsia="zh-CN"/>
        </w:rPr>
      </w:pPr>
    </w:p>
    <w:p w14:paraId="23E55B1F">
      <w:pPr>
        <w:jc w:val="both"/>
        <w:rPr>
          <w:rFonts w:hint="eastAsia" w:ascii="宋体" w:hAnsi="宋体" w:cs="宋体"/>
          <w:bCs/>
          <w:sz w:val="24"/>
          <w:szCs w:val="24"/>
          <w:highlight w:val="none"/>
        </w:rPr>
      </w:pPr>
    </w:p>
    <w:p w14:paraId="090F3DD1">
      <w:pPr>
        <w:spacing w:line="480" w:lineRule="atLeast"/>
        <w:jc w:val="center"/>
        <w:textAlignment w:val="baseline"/>
        <w:rPr>
          <w:rFonts w:ascii="宋体" w:hAnsi="宋体" w:cs="宋体"/>
          <w:b/>
          <w:bCs/>
          <w:sz w:val="36"/>
          <w:szCs w:val="36"/>
          <w:highlight w:val="none"/>
        </w:rPr>
      </w:pPr>
    </w:p>
    <w:p w14:paraId="1DE2539D">
      <w:pPr>
        <w:spacing w:line="480" w:lineRule="atLeast"/>
        <w:jc w:val="center"/>
        <w:textAlignment w:val="baseline"/>
        <w:rPr>
          <w:rFonts w:hint="eastAsia" w:ascii="宋体" w:hAnsi="宋体" w:cs="宋体"/>
          <w:b/>
          <w:bCs/>
          <w:sz w:val="36"/>
          <w:szCs w:val="36"/>
          <w:highlight w:val="none"/>
        </w:rPr>
      </w:pPr>
      <w:r>
        <w:rPr>
          <w:rFonts w:hint="eastAsia" w:ascii="宋体" w:hAnsi="宋体" w:cs="宋体"/>
          <w:b/>
          <w:bCs/>
          <w:sz w:val="36"/>
          <w:szCs w:val="36"/>
          <w:highlight w:val="none"/>
        </w:rPr>
        <w:br w:type="page"/>
      </w:r>
    </w:p>
    <w:p w14:paraId="5347CB0C">
      <w:pPr>
        <w:pStyle w:val="2"/>
        <w:bidi w:val="0"/>
        <w:jc w:val="center"/>
        <w:rPr>
          <w:rFonts w:hint="eastAsia"/>
        </w:rPr>
      </w:pPr>
      <w:bookmarkStart w:id="158" w:name="_Toc309"/>
      <w:bookmarkStart w:id="159" w:name="_Toc31722"/>
      <w:r>
        <w:rPr>
          <w:rFonts w:hint="eastAsia"/>
          <w:lang w:val="en-US" w:eastAsia="zh-CN"/>
        </w:rPr>
        <w:t xml:space="preserve">第六章  </w:t>
      </w:r>
      <w:r>
        <w:rPr>
          <w:rFonts w:hint="eastAsia"/>
        </w:rPr>
        <w:t xml:space="preserve"> 响应文件格式</w:t>
      </w:r>
      <w:bookmarkEnd w:id="158"/>
      <w:bookmarkEnd w:id="159"/>
    </w:p>
    <w:p w14:paraId="30D73F70">
      <w:pPr>
        <w:widowControl w:val="0"/>
        <w:numPr>
          <w:ilvl w:val="0"/>
          <w:numId w:val="0"/>
        </w:numPr>
        <w:spacing w:line="480" w:lineRule="auto"/>
        <w:jc w:val="both"/>
        <w:rPr>
          <w:rFonts w:hint="eastAsia" w:ascii="宋体" w:hAnsi="宋体"/>
          <w:bCs/>
          <w:sz w:val="24"/>
          <w:szCs w:val="24"/>
          <w:highlight w:val="none"/>
        </w:rPr>
      </w:pPr>
      <w:r>
        <w:rPr>
          <w:rFonts w:hint="eastAsia" w:ascii="宋体" w:hAnsi="宋体" w:eastAsia="宋体" w:cs="宋体"/>
          <w:b/>
          <w:bCs/>
          <w:color w:val="auto"/>
          <w:kern w:val="0"/>
          <w:sz w:val="36"/>
          <w:szCs w:val="36"/>
          <w:highlight w:val="none"/>
          <w:lang w:val="en-US" w:eastAsia="zh-CN"/>
        </w:rPr>
        <w:t xml:space="preserve">   </w:t>
      </w:r>
      <w:bookmarkStart w:id="160" w:name="OLE_LINK3"/>
    </w:p>
    <w:bookmarkEnd w:id="160"/>
    <w:p w14:paraId="39BAA19D">
      <w:pPr>
        <w:jc w:val="both"/>
        <w:rPr>
          <w:rFonts w:hint="eastAsia" w:ascii="宋体" w:hAnsi="宋体" w:cs="宋体"/>
          <w:sz w:val="24"/>
          <w:highlight w:val="none"/>
          <w:u w:val="single"/>
        </w:rPr>
      </w:pPr>
    </w:p>
    <w:p w14:paraId="55920F43">
      <w:pPr>
        <w:spacing w:line="360" w:lineRule="auto"/>
        <w:jc w:val="center"/>
        <w:rPr>
          <w:rFonts w:hint="eastAsia" w:ascii="宋体" w:hAnsi="宋体" w:cs="宋体"/>
          <w:sz w:val="44"/>
          <w:szCs w:val="44"/>
          <w:highlight w:val="none"/>
        </w:rPr>
      </w:pP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u w:val="single"/>
        </w:rPr>
        <w:t xml:space="preserve"> （项目名称）</w:t>
      </w:r>
    </w:p>
    <w:p w14:paraId="7E33690F">
      <w:pPr>
        <w:spacing w:line="360" w:lineRule="auto"/>
        <w:jc w:val="center"/>
        <w:rPr>
          <w:rFonts w:hint="eastAsia" w:ascii="宋体" w:hAnsi="宋体" w:cs="宋体"/>
          <w:sz w:val="44"/>
          <w:szCs w:val="44"/>
          <w:highlight w:val="none"/>
        </w:rPr>
      </w:pPr>
      <w:r>
        <w:rPr>
          <w:rFonts w:hint="eastAsia" w:ascii="宋体" w:hAnsi="宋体" w:cs="宋体"/>
          <w:sz w:val="44"/>
          <w:szCs w:val="44"/>
          <w:highlight w:val="none"/>
        </w:rPr>
        <w:t>响  应  文  件</w:t>
      </w:r>
    </w:p>
    <w:p w14:paraId="7D6C954D">
      <w:pPr>
        <w:spacing w:line="360" w:lineRule="auto"/>
        <w:ind w:firstLine="2760" w:firstLineChars="1150"/>
        <w:rPr>
          <w:rFonts w:hint="eastAsia" w:ascii="宋体" w:hAnsi="宋体" w:cs="宋体"/>
          <w:sz w:val="24"/>
          <w:highlight w:val="none"/>
        </w:rPr>
      </w:pPr>
    </w:p>
    <w:p w14:paraId="74BEAC79">
      <w:pPr>
        <w:spacing w:line="360" w:lineRule="auto"/>
        <w:ind w:firstLine="2760" w:firstLineChars="1150"/>
        <w:rPr>
          <w:rFonts w:hint="eastAsia" w:ascii="宋体" w:hAnsi="宋体" w:cs="宋体"/>
          <w:sz w:val="24"/>
          <w:highlight w:val="none"/>
        </w:rPr>
      </w:pPr>
    </w:p>
    <w:p w14:paraId="6CE2937C">
      <w:pPr>
        <w:spacing w:line="360" w:lineRule="auto"/>
        <w:ind w:firstLine="2760" w:firstLineChars="1150"/>
        <w:rPr>
          <w:rFonts w:hint="eastAsia" w:ascii="宋体" w:hAnsi="宋体" w:cs="宋体"/>
          <w:sz w:val="24"/>
          <w:highlight w:val="none"/>
        </w:rPr>
      </w:pPr>
      <w:r>
        <w:rPr>
          <w:rFonts w:hint="eastAsia" w:ascii="宋体" w:hAnsi="宋体" w:cs="宋体"/>
          <w:sz w:val="24"/>
          <w:highlight w:val="none"/>
        </w:rPr>
        <w:t xml:space="preserve">项目编号： </w:t>
      </w:r>
    </w:p>
    <w:p w14:paraId="510D1D6B">
      <w:pPr>
        <w:spacing w:line="360" w:lineRule="auto"/>
        <w:jc w:val="center"/>
        <w:rPr>
          <w:rFonts w:hint="eastAsia" w:ascii="宋体" w:hAnsi="宋体" w:cs="宋体"/>
          <w:sz w:val="24"/>
          <w:highlight w:val="none"/>
        </w:rPr>
      </w:pPr>
    </w:p>
    <w:p w14:paraId="64B5F40D">
      <w:pPr>
        <w:spacing w:line="360" w:lineRule="auto"/>
        <w:jc w:val="center"/>
        <w:rPr>
          <w:rFonts w:hint="eastAsia" w:ascii="宋体" w:hAnsi="宋体" w:cs="宋体"/>
          <w:sz w:val="24"/>
          <w:highlight w:val="none"/>
        </w:rPr>
      </w:pPr>
    </w:p>
    <w:p w14:paraId="606FDCDB">
      <w:pPr>
        <w:spacing w:line="360" w:lineRule="auto"/>
        <w:jc w:val="center"/>
        <w:rPr>
          <w:rFonts w:hint="eastAsia" w:ascii="宋体" w:hAnsi="宋体" w:cs="宋体"/>
          <w:sz w:val="24"/>
          <w:highlight w:val="none"/>
        </w:rPr>
      </w:pPr>
    </w:p>
    <w:p w14:paraId="0EE4D5D0">
      <w:pPr>
        <w:spacing w:line="360" w:lineRule="auto"/>
        <w:jc w:val="center"/>
        <w:rPr>
          <w:rFonts w:hint="eastAsia" w:ascii="宋体" w:hAnsi="宋体" w:cs="宋体"/>
          <w:sz w:val="24"/>
          <w:highlight w:val="none"/>
        </w:rPr>
      </w:pPr>
    </w:p>
    <w:p w14:paraId="32DDC86B">
      <w:pPr>
        <w:spacing w:line="360" w:lineRule="auto"/>
        <w:rPr>
          <w:rFonts w:hint="eastAsia" w:ascii="宋体" w:hAnsi="宋体" w:cs="宋体"/>
          <w:sz w:val="24"/>
          <w:highlight w:val="none"/>
        </w:rPr>
      </w:pPr>
    </w:p>
    <w:p w14:paraId="76A22C28">
      <w:pPr>
        <w:spacing w:line="360" w:lineRule="auto"/>
        <w:jc w:val="center"/>
        <w:rPr>
          <w:rFonts w:hint="eastAsia" w:ascii="宋体" w:hAnsi="宋体" w:cs="宋体"/>
          <w:sz w:val="24"/>
          <w:highlight w:val="none"/>
        </w:rPr>
      </w:pPr>
    </w:p>
    <w:p w14:paraId="3E179314">
      <w:pPr>
        <w:spacing w:line="360" w:lineRule="auto"/>
        <w:jc w:val="center"/>
        <w:rPr>
          <w:rFonts w:hint="eastAsia" w:ascii="宋体" w:hAnsi="宋体" w:cs="宋体"/>
          <w:sz w:val="24"/>
          <w:highlight w:val="none"/>
        </w:rPr>
      </w:pPr>
    </w:p>
    <w:p w14:paraId="0AE34AE0">
      <w:pPr>
        <w:spacing w:line="358" w:lineRule="exact"/>
        <w:ind w:firstLine="4320" w:firstLineChars="1800"/>
        <w:jc w:val="both"/>
        <w:rPr>
          <w:rFonts w:hint="eastAsia"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hint="eastAsia" w:ascii="宋体" w:hAnsi="宋体" w:cs="宋体"/>
          <w:sz w:val="24"/>
          <w:highlight w:val="none"/>
        </w:rPr>
        <w:t>（盖章）</w:t>
      </w:r>
    </w:p>
    <w:p w14:paraId="206C6585">
      <w:pPr>
        <w:spacing w:line="358" w:lineRule="exact"/>
        <w:jc w:val="center"/>
        <w:rPr>
          <w:rFonts w:hint="eastAsia" w:ascii="宋体" w:hAnsi="宋体" w:cs="宋体"/>
          <w:sz w:val="24"/>
          <w:highlight w:val="none"/>
        </w:rPr>
      </w:pPr>
    </w:p>
    <w:p w14:paraId="351CE522">
      <w:pPr>
        <w:spacing w:line="358" w:lineRule="exact"/>
        <w:jc w:val="center"/>
        <w:rPr>
          <w:rFonts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 xml:space="preserve">   法定代表人或其委托代理人：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79228BEF">
      <w:pPr>
        <w:spacing w:line="358" w:lineRule="exact"/>
        <w:rPr>
          <w:rFonts w:hint="eastAsia" w:ascii="宋体" w:hAnsi="宋体" w:cs="宋体"/>
          <w:sz w:val="24"/>
          <w:highlight w:val="none"/>
          <w:u w:val="single"/>
        </w:rPr>
      </w:pPr>
    </w:p>
    <w:p w14:paraId="05101126">
      <w:pPr>
        <w:spacing w:line="358" w:lineRule="exact"/>
        <w:ind w:firstLine="4560" w:firstLineChars="1900"/>
        <w:jc w:val="both"/>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09FD7F6">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 xml:space="preserve"> </w:t>
      </w:r>
    </w:p>
    <w:p w14:paraId="599ACF1A">
      <w:pPr>
        <w:spacing w:line="520" w:lineRule="exact"/>
        <w:ind w:firstLine="240" w:firstLineChars="100"/>
        <w:textAlignment w:val="center"/>
        <w:rPr>
          <w:rFonts w:hint="eastAsia" w:ascii="宋体" w:hAnsi="宋体"/>
          <w:sz w:val="24"/>
          <w:szCs w:val="24"/>
          <w:highlight w:val="none"/>
        </w:rPr>
      </w:pPr>
      <w:r>
        <w:rPr>
          <w:rFonts w:ascii="宋体" w:hAnsi="宋体"/>
          <w:sz w:val="24"/>
          <w:szCs w:val="24"/>
          <w:highlight w:val="none"/>
        </w:rPr>
        <w:br w:type="page"/>
      </w:r>
    </w:p>
    <w:p w14:paraId="43168AC2">
      <w:pPr>
        <w:spacing w:line="0" w:lineRule="atLeast"/>
        <w:ind w:left="4200"/>
        <w:rPr>
          <w:rFonts w:hint="eastAsia" w:ascii="宋体" w:hAnsi="宋体" w:cs="宋体"/>
          <w:b/>
          <w:bCs/>
          <w:sz w:val="30"/>
          <w:szCs w:val="30"/>
          <w:highlight w:val="none"/>
        </w:rPr>
      </w:pPr>
      <w:r>
        <w:rPr>
          <w:rFonts w:hint="eastAsia" w:ascii="宋体" w:hAnsi="宋体" w:cs="宋体"/>
          <w:b/>
          <w:bCs/>
          <w:sz w:val="30"/>
          <w:szCs w:val="30"/>
          <w:highlight w:val="none"/>
        </w:rPr>
        <w:t xml:space="preserve">目   </w:t>
      </w:r>
      <w:r>
        <w:rPr>
          <w:rFonts w:hint="eastAsia" w:ascii="宋体" w:hAnsi="宋体" w:cs="宋体"/>
          <w:b/>
          <w:bCs/>
          <w:sz w:val="30"/>
          <w:szCs w:val="30"/>
          <w:highlight w:val="none"/>
        </w:rPr>
        <w:tab/>
      </w:r>
      <w:r>
        <w:rPr>
          <w:rFonts w:hint="eastAsia" w:ascii="宋体" w:hAnsi="宋体" w:cs="宋体"/>
          <w:b/>
          <w:bCs/>
          <w:sz w:val="30"/>
          <w:szCs w:val="30"/>
          <w:highlight w:val="none"/>
        </w:rPr>
        <w:t>录</w:t>
      </w:r>
    </w:p>
    <w:p w14:paraId="62E06FA2">
      <w:pPr>
        <w:spacing w:line="520" w:lineRule="exact"/>
        <w:ind w:firstLine="240" w:firstLineChars="100"/>
        <w:textAlignment w:val="center"/>
        <w:rPr>
          <w:rFonts w:hint="eastAsia" w:ascii="宋体" w:hAnsi="宋体"/>
          <w:sz w:val="24"/>
          <w:szCs w:val="24"/>
          <w:highlight w:val="none"/>
        </w:rPr>
      </w:pPr>
    </w:p>
    <w:p w14:paraId="740E82A9">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一、磋商函及磋商函附录</w:t>
      </w:r>
    </w:p>
    <w:p w14:paraId="794F88A1">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二、法定代表人身份证明</w:t>
      </w:r>
    </w:p>
    <w:p w14:paraId="0B31F6D3">
      <w:pPr>
        <w:spacing w:line="520" w:lineRule="exact"/>
        <w:ind w:firstLine="480" w:firstLineChars="200"/>
        <w:jc w:val="left"/>
        <w:textAlignment w:val="center"/>
        <w:rPr>
          <w:rFonts w:ascii="宋体" w:hAnsi="宋体" w:cs="宋体"/>
          <w:sz w:val="24"/>
          <w:highlight w:val="none"/>
        </w:rPr>
      </w:pPr>
      <w:r>
        <w:rPr>
          <w:rFonts w:hint="eastAsia" w:ascii="宋体" w:hAnsi="宋体" w:cs="宋体"/>
          <w:sz w:val="24"/>
          <w:highlight w:val="none"/>
        </w:rPr>
        <w:t xml:space="preserve">三、授权委托书 </w:t>
      </w:r>
    </w:p>
    <w:p w14:paraId="0DC64DBE">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rPr>
        <w:t>四、磋商承诺函</w:t>
      </w:r>
    </w:p>
    <w:p w14:paraId="125F19B3">
      <w:pPr>
        <w:spacing w:line="520" w:lineRule="exact"/>
        <w:ind w:firstLine="480" w:firstLineChars="200"/>
        <w:jc w:val="left"/>
        <w:textAlignment w:val="center"/>
        <w:rPr>
          <w:rFonts w:hint="eastAsia" w:ascii="宋体" w:hAnsi="宋体" w:cs="宋体"/>
          <w:sz w:val="24"/>
          <w:highlight w:val="none"/>
          <w:lang w:val="en-US" w:eastAsia="zh-CN"/>
        </w:rPr>
      </w:pPr>
      <w:r>
        <w:rPr>
          <w:rFonts w:hint="eastAsia" w:ascii="宋体" w:hAnsi="宋体" w:cs="宋体"/>
          <w:sz w:val="24"/>
          <w:highlight w:val="none"/>
        </w:rPr>
        <w:t>五、</w:t>
      </w:r>
      <w:r>
        <w:rPr>
          <w:rFonts w:hint="eastAsia" w:ascii="宋体" w:hAnsi="宋体" w:cs="宋体"/>
          <w:sz w:val="24"/>
          <w:highlight w:val="none"/>
          <w:lang w:val="en-US" w:eastAsia="zh-CN"/>
        </w:rPr>
        <w:t>分项报价表</w:t>
      </w:r>
    </w:p>
    <w:p w14:paraId="006E0522">
      <w:pPr>
        <w:spacing w:line="520" w:lineRule="exact"/>
        <w:ind w:firstLine="480" w:firstLineChars="200"/>
        <w:jc w:val="left"/>
        <w:textAlignment w:val="center"/>
        <w:rPr>
          <w:rFonts w:hint="eastAsia" w:ascii="宋体" w:hAnsi="宋体" w:cs="宋体"/>
          <w:sz w:val="24"/>
          <w:highlight w:val="none"/>
        </w:rPr>
      </w:pPr>
      <w:r>
        <w:rPr>
          <w:rFonts w:hint="eastAsia" w:ascii="宋体" w:hAnsi="宋体" w:eastAsia="宋体" w:cs="宋体"/>
          <w:sz w:val="24"/>
          <w:highlight w:val="none"/>
          <w:lang w:val="en-US" w:eastAsia="zh-CN"/>
        </w:rPr>
        <w:t>六、技术规格偏离表</w:t>
      </w:r>
    </w:p>
    <w:p w14:paraId="680CD621">
      <w:pPr>
        <w:spacing w:line="520" w:lineRule="exact"/>
        <w:ind w:firstLine="480" w:firstLineChars="200"/>
        <w:jc w:val="left"/>
        <w:textAlignment w:val="center"/>
        <w:rPr>
          <w:rFonts w:hint="eastAsia" w:ascii="宋体" w:hAnsi="宋体" w:cs="宋体"/>
          <w:sz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、企业基本情况资料</w:t>
      </w:r>
    </w:p>
    <w:p w14:paraId="60EC70F8">
      <w:pPr>
        <w:spacing w:line="520" w:lineRule="exact"/>
        <w:ind w:firstLine="480" w:firstLineChars="200"/>
        <w:jc w:val="left"/>
        <w:textAlignment w:val="center"/>
        <w:rPr>
          <w:rFonts w:hint="eastAsia" w:ascii="宋体" w:hAnsi="宋体" w:cs="宋体"/>
          <w:sz w:val="24"/>
          <w:highlight w:val="none"/>
          <w:lang w:eastAsia="zh-CN"/>
        </w:rPr>
      </w:pPr>
      <w:r>
        <w:rPr>
          <w:rFonts w:hint="eastAsia" w:ascii="宋体" w:hAnsi="宋体" w:eastAsia="宋体" w:cs="宋体"/>
          <w:sz w:val="24"/>
          <w:highlight w:val="none"/>
          <w:lang w:val="en-US" w:eastAsia="zh-CN"/>
        </w:rPr>
        <w:t>八</w:t>
      </w:r>
      <w:r>
        <w:rPr>
          <w:rFonts w:hint="eastAsia" w:ascii="宋体" w:hAnsi="宋体" w:eastAsia="宋体" w:cs="宋体"/>
          <w:sz w:val="24"/>
          <w:highlight w:val="none"/>
        </w:rPr>
        <w:t>、</w:t>
      </w:r>
      <w:r>
        <w:rPr>
          <w:rFonts w:hint="eastAsia" w:ascii="宋体" w:hAnsi="宋体" w:cs="宋体"/>
          <w:sz w:val="24"/>
          <w:highlight w:val="none"/>
          <w:lang w:eastAsia="zh-CN"/>
        </w:rPr>
        <w:t>技术部分</w:t>
      </w:r>
    </w:p>
    <w:p w14:paraId="24CD5B01">
      <w:pPr>
        <w:spacing w:line="520" w:lineRule="exact"/>
        <w:ind w:firstLine="480" w:firstLineChars="200"/>
        <w:jc w:val="left"/>
        <w:textAlignment w:val="center"/>
        <w:rPr>
          <w:rFonts w:hint="eastAsia" w:ascii="宋体" w:hAnsi="宋体" w:cs="宋体"/>
          <w:sz w:val="24"/>
          <w:highlight w:val="none"/>
          <w:lang w:eastAsia="zh-CN"/>
        </w:rPr>
      </w:pPr>
      <w:r>
        <w:rPr>
          <w:rFonts w:hint="eastAsia" w:ascii="宋体" w:hAnsi="宋体" w:cs="宋体"/>
          <w:sz w:val="24"/>
          <w:highlight w:val="none"/>
          <w:lang w:eastAsia="zh-CN"/>
        </w:rPr>
        <w:t>九、商务部分</w:t>
      </w:r>
    </w:p>
    <w:p w14:paraId="212683AF">
      <w:pPr>
        <w:spacing w:line="52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lang w:val="en-US" w:eastAsia="zh-CN"/>
        </w:rPr>
        <w:t>十</w:t>
      </w:r>
      <w:r>
        <w:rPr>
          <w:rFonts w:hint="eastAsia" w:ascii="宋体" w:hAnsi="宋体" w:cs="宋体"/>
          <w:sz w:val="24"/>
          <w:highlight w:val="none"/>
        </w:rPr>
        <w:t>、</w:t>
      </w:r>
      <w:r>
        <w:rPr>
          <w:rFonts w:hint="eastAsia" w:ascii="宋体" w:hAnsi="宋体" w:cs="宋体"/>
          <w:sz w:val="24"/>
          <w:highlight w:val="none"/>
          <w:lang w:eastAsia="zh-CN"/>
        </w:rPr>
        <w:t>供应商</w:t>
      </w:r>
      <w:r>
        <w:rPr>
          <w:rFonts w:hint="eastAsia" w:ascii="宋体" w:hAnsi="宋体" w:cs="宋体"/>
          <w:sz w:val="24"/>
          <w:highlight w:val="none"/>
        </w:rPr>
        <w:t>认为需要提供的其他材料</w:t>
      </w:r>
    </w:p>
    <w:p w14:paraId="61D69BB1">
      <w:pPr>
        <w:spacing w:line="0" w:lineRule="atLeast"/>
        <w:jc w:val="center"/>
        <w:outlineLvl w:val="0"/>
        <w:rPr>
          <w:rFonts w:hint="eastAsia" w:ascii="宋体" w:hAnsi="宋体" w:cs="宋体"/>
          <w:b/>
          <w:bCs/>
          <w:sz w:val="30"/>
          <w:szCs w:val="30"/>
          <w:highlight w:val="none"/>
        </w:rPr>
      </w:pPr>
      <w:r>
        <w:rPr>
          <w:rFonts w:ascii="宋体" w:hAnsi="宋体"/>
          <w:sz w:val="24"/>
          <w:szCs w:val="24"/>
          <w:highlight w:val="none"/>
        </w:rPr>
        <w:br w:type="page"/>
      </w:r>
      <w:bookmarkStart w:id="161" w:name="_Toc18399"/>
      <w:r>
        <w:rPr>
          <w:rFonts w:hint="eastAsia" w:ascii="宋体" w:hAnsi="宋体" w:cs="宋体"/>
          <w:b/>
          <w:bCs/>
          <w:sz w:val="30"/>
          <w:szCs w:val="30"/>
          <w:highlight w:val="none"/>
        </w:rPr>
        <w:t>一、磋商函及磋商函附录</w:t>
      </w:r>
      <w:bookmarkEnd w:id="161"/>
    </w:p>
    <w:p w14:paraId="3839EF7E">
      <w:pPr>
        <w:spacing w:line="0" w:lineRule="atLeast"/>
        <w:jc w:val="center"/>
        <w:rPr>
          <w:rFonts w:hint="eastAsia" w:ascii="宋体" w:hAnsi="宋体" w:cs="宋体"/>
          <w:b/>
          <w:bCs/>
          <w:sz w:val="24"/>
          <w:highlight w:val="none"/>
        </w:rPr>
      </w:pPr>
      <w:r>
        <w:rPr>
          <w:rFonts w:hint="eastAsia" w:ascii="宋体" w:hAnsi="宋体" w:cs="宋体"/>
          <w:b/>
          <w:bCs/>
          <w:sz w:val="24"/>
          <w:highlight w:val="none"/>
        </w:rPr>
        <w:t xml:space="preserve"> </w:t>
      </w:r>
    </w:p>
    <w:p w14:paraId="4EC93DD1">
      <w:pPr>
        <w:spacing w:line="0" w:lineRule="atLeast"/>
        <w:jc w:val="center"/>
        <w:outlineLvl w:val="1"/>
        <w:rPr>
          <w:rFonts w:hint="eastAsia" w:ascii="宋体" w:hAnsi="宋体" w:cs="宋体"/>
          <w:b/>
          <w:bCs/>
          <w:sz w:val="30"/>
          <w:szCs w:val="30"/>
          <w:highlight w:val="none"/>
        </w:rPr>
      </w:pPr>
      <w:r>
        <w:rPr>
          <w:rFonts w:hint="eastAsia" w:ascii="宋体" w:hAnsi="宋体" w:cs="宋体"/>
          <w:b/>
          <w:bCs/>
          <w:sz w:val="30"/>
          <w:szCs w:val="30"/>
          <w:highlight w:val="none"/>
        </w:rPr>
        <w:t>（一）磋商函</w:t>
      </w:r>
    </w:p>
    <w:p w14:paraId="7C52FD9F">
      <w:pPr>
        <w:spacing w:line="440" w:lineRule="exact"/>
        <w:jc w:val="left"/>
        <w:rPr>
          <w:rFonts w:hint="eastAsia" w:ascii="宋体" w:hAnsi="宋体" w:cs="宋体"/>
          <w:sz w:val="24"/>
          <w:highlight w:val="none"/>
        </w:rPr>
      </w:pPr>
      <w:r>
        <w:rPr>
          <w:rFonts w:hint="eastAsia" w:ascii="宋体" w:hAnsi="宋体" w:cs="宋体"/>
          <w:sz w:val="24"/>
          <w:highlight w:val="none"/>
        </w:rPr>
        <w:t xml:space="preserve"> </w:t>
      </w:r>
    </w:p>
    <w:p w14:paraId="027F2DEA">
      <w:pPr>
        <w:spacing w:line="360" w:lineRule="auto"/>
        <w:jc w:val="left"/>
        <w:rPr>
          <w:rFonts w:ascii="宋体" w:hAnsi="宋体" w:eastAsia="宋体" w:cs="宋体"/>
          <w:color w:val="auto"/>
          <w:spacing w:val="24"/>
          <w:sz w:val="24"/>
          <w:szCs w:val="24"/>
          <w:highlight w:val="none"/>
        </w:rPr>
      </w:pPr>
      <w:r>
        <w:rPr>
          <w:rFonts w:hint="eastAsia" w:ascii="宋体" w:hAnsi="宋体" w:eastAsia="宋体" w:cs="宋体"/>
          <w:color w:val="auto"/>
          <w:spacing w:val="24"/>
          <w:sz w:val="24"/>
          <w:szCs w:val="24"/>
          <w:highlight w:val="none"/>
        </w:rPr>
        <w:t>致</w:t>
      </w:r>
      <w:r>
        <w:rPr>
          <w:rFonts w:hint="eastAsia" w:ascii="宋体" w:hAnsi="宋体" w:eastAsia="宋体" w:cs="宋体"/>
          <w:color w:val="auto"/>
          <w:spacing w:val="24"/>
          <w:sz w:val="24"/>
          <w:szCs w:val="24"/>
          <w:highlight w:val="none"/>
          <w:u w:val="single"/>
        </w:rPr>
        <w:t xml:space="preserve">     （采购人）     </w:t>
      </w:r>
      <w:r>
        <w:rPr>
          <w:rFonts w:hint="eastAsia" w:ascii="宋体" w:hAnsi="宋体" w:eastAsia="宋体" w:cs="宋体"/>
          <w:color w:val="auto"/>
          <w:spacing w:val="24"/>
          <w:sz w:val="24"/>
          <w:szCs w:val="24"/>
          <w:highlight w:val="none"/>
        </w:rPr>
        <w:t>：</w:t>
      </w:r>
    </w:p>
    <w:p w14:paraId="550BA2DB">
      <w:pPr>
        <w:spacing w:line="360" w:lineRule="auto"/>
        <w:ind w:firstLine="480" w:firstLineChars="20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根据已收到贵方的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（项目名称）的</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文件，遵照《中华人民共和国政府采购法》等有关规定，我单位经研究上述</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文件的投标须知、合同条款、技术参数及其它有关文件后，我方愿以人民币（大写）：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元）的投标报价；供货期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,承包上述项目的</w:t>
      </w:r>
      <w:r>
        <w:rPr>
          <w:rFonts w:hint="eastAsia" w:ascii="宋体" w:hAnsi="宋体" w:eastAsia="宋体" w:cs="Arial"/>
          <w:color w:val="auto"/>
          <w:sz w:val="24"/>
          <w:szCs w:val="24"/>
          <w:highlight w:val="none"/>
        </w:rPr>
        <w:t>采购、验收、培训、质保期服务、与货物有关的运输和保险及其他伴随服务</w:t>
      </w:r>
      <w:r>
        <w:rPr>
          <w:rFonts w:hint="eastAsia" w:ascii="宋体" w:hAnsi="宋体" w:eastAsia="宋体" w:cs="宋体"/>
          <w:color w:val="auto"/>
          <w:sz w:val="24"/>
          <w:szCs w:val="24"/>
          <w:highlight w:val="none"/>
          <w:shd w:val="clear" w:color="auto" w:fill="FFFFFF"/>
        </w:rPr>
        <w:t>。</w:t>
      </w:r>
    </w:p>
    <w:p w14:paraId="255250D5">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1、我方已详细审核全部</w:t>
      </w:r>
      <w:r>
        <w:rPr>
          <w:rFonts w:hint="eastAsia" w:ascii="宋体" w:hAnsi="宋体" w:eastAsia="宋体" w:cs="宋体"/>
          <w:color w:val="auto"/>
          <w:sz w:val="24"/>
          <w:szCs w:val="24"/>
          <w:highlight w:val="none"/>
          <w:lang w:val="en-US" w:eastAsia="zh-CN"/>
        </w:rPr>
        <w:t>竞争性磋商</w:t>
      </w:r>
      <w:r>
        <w:rPr>
          <w:rFonts w:hint="eastAsia" w:ascii="宋体" w:hAnsi="宋体" w:eastAsia="宋体" w:cs="宋体"/>
          <w:color w:val="auto"/>
          <w:sz w:val="24"/>
          <w:szCs w:val="24"/>
          <w:highlight w:val="none"/>
        </w:rPr>
        <w:t>文件，包括修改文件（如有）及有关附件，已充分理解并掌握了本招标项目的全部有关情况，认为</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文件符合法律、法规的要求，充分体现了公开、公平、公正和诚实信用原则，我方对</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文件没有任何异议。同意接受</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文件的全部内容和条件。</w:t>
      </w:r>
    </w:p>
    <w:p w14:paraId="2E8F9F1B">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2、我方承认</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函附表是我方</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函的组成部分。</w:t>
      </w:r>
    </w:p>
    <w:p w14:paraId="3DA0624F">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3、如我方中标，我方承诺在收到中标通知书后，在中标通知书规定的期限内，根据</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文件、我方的投标文件及有关澄清承诺书的要求，与采购人订立书面合同，并按照合同约定承担完成合同的责任和义务。</w:t>
      </w:r>
    </w:p>
    <w:p w14:paraId="70AF7EC0">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我方同意自本项目</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文件中规定的投标有效期内有效，并承诺在投标有效期内不修改、撤销投标文件。</w:t>
      </w:r>
    </w:p>
    <w:p w14:paraId="48A4F2B1">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kern w:val="0"/>
          <w:sz w:val="24"/>
          <w:szCs w:val="24"/>
          <w:highlight w:val="none"/>
        </w:rPr>
        <w:t>我方完全理解贵方不一定接受投标报价最低的供应商为中标供应商的行为。</w:t>
      </w:r>
    </w:p>
    <w:p w14:paraId="270946D2">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kern w:val="0"/>
          <w:sz w:val="24"/>
          <w:szCs w:val="24"/>
          <w:highlight w:val="none"/>
        </w:rPr>
        <w:t>我方在此声明，所递交的投标文件及有关资料内容完整、真实和准确。</w:t>
      </w:r>
    </w:p>
    <w:p w14:paraId="04F9FC89">
      <w:pPr>
        <w:spacing w:line="460" w:lineRule="exact"/>
        <w:ind w:firstLine="3840" w:firstLineChars="1600"/>
        <w:jc w:val="left"/>
        <w:rPr>
          <w:rFonts w:hint="eastAsia" w:ascii="宋体" w:hAnsi="宋体" w:cs="宋体"/>
          <w:sz w:val="24"/>
          <w:highlight w:val="none"/>
        </w:rPr>
      </w:pPr>
      <w:r>
        <w:rPr>
          <w:rFonts w:hint="eastAsia" w:ascii="宋体" w:hAnsi="宋体" w:cs="宋体"/>
          <w:sz w:val="24"/>
          <w:highlight w:val="none"/>
        </w:rPr>
        <w:t xml:space="preserve"> </w:t>
      </w:r>
    </w:p>
    <w:p w14:paraId="1E73A59F">
      <w:pPr>
        <w:spacing w:line="700" w:lineRule="exact"/>
        <w:ind w:right="480" w:firstLine="3540" w:firstLineChars="1475"/>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（盖章）</w:t>
      </w:r>
    </w:p>
    <w:p w14:paraId="7906C4D7">
      <w:pPr>
        <w:wordWrap w:val="0"/>
        <w:spacing w:line="700" w:lineRule="exact"/>
        <w:ind w:firstLine="540"/>
        <w:jc w:val="right"/>
        <w:rPr>
          <w:rFonts w:hint="eastAsia" w:ascii="宋体" w:hAnsi="宋体" w:cs="宋体"/>
          <w:sz w:val="24"/>
          <w:highlight w:val="none"/>
        </w:rPr>
      </w:pPr>
      <w:r>
        <w:rPr>
          <w:rFonts w:hint="eastAsia" w:ascii="宋体" w:hAns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3C349FFA">
      <w:pPr>
        <w:spacing w:line="700" w:lineRule="exact"/>
        <w:ind w:right="480" w:firstLine="3480" w:firstLineChars="1450"/>
        <w:rPr>
          <w:rFonts w:hint="eastAsia" w:ascii="宋体" w:hAnsi="宋体"/>
          <w:sz w:val="24"/>
          <w:highlight w:val="none"/>
        </w:rPr>
      </w:pPr>
      <w:r>
        <w:rPr>
          <w:rFonts w:hint="eastAsia" w:ascii="宋体" w:hAnsi="宋体" w:cs="宋体"/>
          <w:sz w:val="24"/>
          <w:highlight w:val="none"/>
        </w:rPr>
        <w:t xml:space="preserve">日  期：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4B527462">
      <w:pPr>
        <w:widowControl/>
        <w:jc w:val="left"/>
        <w:rPr>
          <w:rFonts w:hint="eastAsia" w:ascii="宋体" w:hAnsi="宋体" w:cs="宋体"/>
          <w:sz w:val="24"/>
          <w:highlight w:val="none"/>
        </w:rPr>
        <w:sectPr>
          <w:headerReference r:id="rId5" w:type="default"/>
          <w:pgSz w:w="11900" w:h="16838"/>
          <w:pgMar w:top="1077" w:right="1134" w:bottom="1077" w:left="1134" w:header="720" w:footer="720" w:gutter="0"/>
          <w:cols w:space="720" w:num="1"/>
          <w:docGrid w:type="lines" w:linePitch="360" w:charSpace="0"/>
        </w:sectPr>
      </w:pPr>
    </w:p>
    <w:p w14:paraId="3576F03C">
      <w:pPr>
        <w:spacing w:before="312" w:beforeLines="100" w:after="156" w:afterLines="50" w:line="240" w:lineRule="exact"/>
        <w:jc w:val="center"/>
        <w:textAlignment w:val="center"/>
        <w:outlineLvl w:val="1"/>
        <w:rPr>
          <w:rFonts w:hint="eastAsia" w:ascii="宋体" w:hAnsi="宋体" w:cs="宋体"/>
          <w:b/>
          <w:bCs/>
          <w:sz w:val="30"/>
          <w:szCs w:val="30"/>
          <w:highlight w:val="none"/>
        </w:rPr>
      </w:pPr>
      <w:r>
        <w:rPr>
          <w:rFonts w:hint="eastAsia" w:ascii="宋体" w:hAnsi="宋体" w:cs="宋体"/>
          <w:b/>
          <w:bCs/>
          <w:sz w:val="30"/>
          <w:szCs w:val="30"/>
          <w:highlight w:val="none"/>
        </w:rPr>
        <w:t>（二）磋商函附录</w:t>
      </w:r>
    </w:p>
    <w:tbl>
      <w:tblPr>
        <w:tblStyle w:val="18"/>
        <w:tblpPr w:leftFromText="180" w:rightFromText="180" w:vertAnchor="text" w:horzAnchor="page" w:tblpX="1591" w:tblpY="626"/>
        <w:tblOverlap w:val="never"/>
        <w:tblW w:w="8719" w:type="dxa"/>
        <w:tblInd w:w="0" w:type="dxa"/>
        <w:tblLayout w:type="fixed"/>
        <w:tblCellMar>
          <w:top w:w="0" w:type="dxa"/>
          <w:left w:w="0" w:type="dxa"/>
          <w:bottom w:w="0" w:type="dxa"/>
          <w:right w:w="0" w:type="dxa"/>
        </w:tblCellMar>
      </w:tblPr>
      <w:tblGrid>
        <w:gridCol w:w="2227"/>
        <w:gridCol w:w="6492"/>
      </w:tblGrid>
      <w:tr w14:paraId="40DF4A12">
        <w:tblPrEx>
          <w:tblCellMar>
            <w:top w:w="0" w:type="dxa"/>
            <w:left w:w="0" w:type="dxa"/>
            <w:bottom w:w="0" w:type="dxa"/>
            <w:right w:w="0" w:type="dxa"/>
          </w:tblCellMar>
        </w:tblPrEx>
        <w:trPr>
          <w:trHeight w:val="694" w:hRule="atLeast"/>
        </w:trPr>
        <w:tc>
          <w:tcPr>
            <w:tcW w:w="2227" w:type="dxa"/>
            <w:tcBorders>
              <w:top w:val="single" w:color="auto" w:sz="4" w:space="0"/>
              <w:left w:val="single" w:color="auto" w:sz="4" w:space="0"/>
              <w:bottom w:val="single" w:color="auto" w:sz="4" w:space="0"/>
              <w:right w:val="single" w:color="auto" w:sz="4" w:space="0"/>
            </w:tcBorders>
            <w:vAlign w:val="center"/>
          </w:tcPr>
          <w:p w14:paraId="082E06AA">
            <w:pPr>
              <w:autoSpaceDE w:val="0"/>
              <w:autoSpaceDN w:val="0"/>
              <w:spacing w:line="500" w:lineRule="exact"/>
              <w:jc w:val="center"/>
              <w:rPr>
                <w:rFonts w:hint="eastAsia" w:ascii="宋体" w:hAnsi="宋体" w:eastAsia="宋体" w:cs="Times New Roman"/>
                <w:color w:val="auto"/>
                <w:kern w:val="0"/>
                <w:sz w:val="24"/>
                <w:szCs w:val="24"/>
                <w:highlight w:val="none"/>
                <w:lang w:eastAsia="zh-CN"/>
              </w:rPr>
            </w:pPr>
            <w:r>
              <w:rPr>
                <w:rFonts w:hint="eastAsia" w:ascii="宋体" w:hAnsi="宋体" w:eastAsia="宋体" w:cs="Times New Roman"/>
                <w:color w:val="auto"/>
                <w:kern w:val="0"/>
                <w:sz w:val="24"/>
                <w:szCs w:val="24"/>
                <w:highlight w:val="none"/>
                <w:lang w:val="en-US" w:eastAsia="zh-CN"/>
              </w:rPr>
              <w:t xml:space="preserve"> </w:t>
            </w:r>
            <w:r>
              <w:rPr>
                <w:rFonts w:hint="eastAsia" w:ascii="宋体" w:hAnsi="宋体" w:eastAsia="宋体" w:cs="Times New Roman"/>
                <w:color w:val="auto"/>
                <w:kern w:val="0"/>
                <w:sz w:val="24"/>
                <w:szCs w:val="24"/>
                <w:highlight w:val="none"/>
              </w:rPr>
              <w:t>项目名称</w:t>
            </w:r>
          </w:p>
        </w:tc>
        <w:tc>
          <w:tcPr>
            <w:tcW w:w="6492" w:type="dxa"/>
            <w:tcBorders>
              <w:top w:val="single" w:color="auto" w:sz="4" w:space="0"/>
              <w:left w:val="nil"/>
              <w:bottom w:val="single" w:color="auto" w:sz="4" w:space="0"/>
              <w:right w:val="single" w:color="auto" w:sz="4" w:space="0"/>
            </w:tcBorders>
            <w:vAlign w:val="center"/>
          </w:tcPr>
          <w:p w14:paraId="0DD4C304">
            <w:pPr>
              <w:autoSpaceDE w:val="0"/>
              <w:autoSpaceDN w:val="0"/>
              <w:spacing w:line="500" w:lineRule="exact"/>
              <w:jc w:val="center"/>
              <w:rPr>
                <w:rFonts w:ascii="宋体" w:hAnsi="宋体" w:eastAsia="宋体" w:cs="Times New Roman"/>
                <w:color w:val="auto"/>
                <w:kern w:val="0"/>
                <w:sz w:val="24"/>
                <w:szCs w:val="24"/>
                <w:highlight w:val="none"/>
              </w:rPr>
            </w:pPr>
          </w:p>
        </w:tc>
      </w:tr>
      <w:tr w14:paraId="4CA25763">
        <w:tblPrEx>
          <w:tblCellMar>
            <w:top w:w="0" w:type="dxa"/>
            <w:left w:w="0" w:type="dxa"/>
            <w:bottom w:w="0" w:type="dxa"/>
            <w:right w:w="0" w:type="dxa"/>
          </w:tblCellMar>
        </w:tblPrEx>
        <w:trPr>
          <w:trHeight w:val="694" w:hRule="atLeast"/>
        </w:trPr>
        <w:tc>
          <w:tcPr>
            <w:tcW w:w="2227" w:type="dxa"/>
            <w:tcBorders>
              <w:top w:val="single" w:color="auto" w:sz="4" w:space="0"/>
              <w:left w:val="single" w:color="auto" w:sz="4" w:space="0"/>
              <w:bottom w:val="single" w:color="auto" w:sz="4" w:space="0"/>
              <w:right w:val="single" w:color="auto" w:sz="4" w:space="0"/>
            </w:tcBorders>
            <w:vAlign w:val="center"/>
          </w:tcPr>
          <w:p w14:paraId="4773C676">
            <w:pPr>
              <w:autoSpaceDE w:val="0"/>
              <w:autoSpaceDN w:val="0"/>
              <w:spacing w:line="500" w:lineRule="exact"/>
              <w:jc w:val="center"/>
              <w:rPr>
                <w:rFonts w:hint="eastAsia" w:ascii="宋体" w:hAnsi="宋体" w:eastAsia="宋体" w:cs="Times New Roman"/>
                <w:color w:val="auto"/>
                <w:kern w:val="0"/>
                <w:sz w:val="24"/>
                <w:szCs w:val="24"/>
                <w:highlight w:val="none"/>
                <w:lang w:val="en-US" w:eastAsia="zh-CN"/>
              </w:rPr>
            </w:pPr>
            <w:r>
              <w:rPr>
                <w:rFonts w:hint="eastAsia" w:ascii="宋体" w:hAnsi="宋体" w:eastAsia="宋体" w:cs="Times New Roman"/>
                <w:color w:val="auto"/>
                <w:kern w:val="0"/>
                <w:sz w:val="24"/>
                <w:szCs w:val="24"/>
                <w:highlight w:val="none"/>
                <w:lang w:val="en-US" w:eastAsia="zh-CN"/>
              </w:rPr>
              <w:t>标段</w:t>
            </w:r>
          </w:p>
        </w:tc>
        <w:tc>
          <w:tcPr>
            <w:tcW w:w="6492" w:type="dxa"/>
            <w:tcBorders>
              <w:top w:val="single" w:color="auto" w:sz="4" w:space="0"/>
              <w:left w:val="nil"/>
              <w:bottom w:val="single" w:color="auto" w:sz="4" w:space="0"/>
              <w:right w:val="single" w:color="auto" w:sz="4" w:space="0"/>
            </w:tcBorders>
            <w:vAlign w:val="center"/>
          </w:tcPr>
          <w:p w14:paraId="66B83C10">
            <w:pPr>
              <w:autoSpaceDE w:val="0"/>
              <w:autoSpaceDN w:val="0"/>
              <w:spacing w:line="500" w:lineRule="exact"/>
              <w:jc w:val="center"/>
              <w:rPr>
                <w:rFonts w:ascii="宋体" w:hAnsi="宋体" w:eastAsia="宋体" w:cs="Times New Roman"/>
                <w:color w:val="auto"/>
                <w:kern w:val="0"/>
                <w:sz w:val="24"/>
                <w:szCs w:val="24"/>
                <w:highlight w:val="none"/>
              </w:rPr>
            </w:pPr>
          </w:p>
        </w:tc>
      </w:tr>
      <w:tr w14:paraId="24F5D856">
        <w:tblPrEx>
          <w:tblCellMar>
            <w:top w:w="0" w:type="dxa"/>
            <w:left w:w="0" w:type="dxa"/>
            <w:bottom w:w="0" w:type="dxa"/>
            <w:right w:w="0" w:type="dxa"/>
          </w:tblCellMar>
        </w:tblPrEx>
        <w:trPr>
          <w:trHeight w:val="854" w:hRule="atLeast"/>
        </w:trPr>
        <w:tc>
          <w:tcPr>
            <w:tcW w:w="2227" w:type="dxa"/>
            <w:tcBorders>
              <w:top w:val="single" w:color="auto" w:sz="4" w:space="0"/>
              <w:left w:val="single" w:color="auto" w:sz="4" w:space="0"/>
              <w:bottom w:val="single" w:color="auto" w:sz="4" w:space="0"/>
              <w:right w:val="single" w:color="auto" w:sz="4" w:space="0"/>
            </w:tcBorders>
            <w:vAlign w:val="center"/>
          </w:tcPr>
          <w:p w14:paraId="75977CF0">
            <w:pPr>
              <w:autoSpaceDE w:val="0"/>
              <w:autoSpaceDN w:val="0"/>
              <w:spacing w:line="5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供应商名称</w:t>
            </w:r>
          </w:p>
        </w:tc>
        <w:tc>
          <w:tcPr>
            <w:tcW w:w="6492" w:type="dxa"/>
            <w:tcBorders>
              <w:top w:val="single" w:color="auto" w:sz="4" w:space="0"/>
              <w:left w:val="nil"/>
              <w:bottom w:val="single" w:color="auto" w:sz="4" w:space="0"/>
              <w:right w:val="single" w:color="auto" w:sz="4" w:space="0"/>
            </w:tcBorders>
            <w:vAlign w:val="center"/>
          </w:tcPr>
          <w:p w14:paraId="42C36203">
            <w:pPr>
              <w:autoSpaceDE w:val="0"/>
              <w:autoSpaceDN w:val="0"/>
              <w:spacing w:line="500" w:lineRule="exact"/>
              <w:jc w:val="center"/>
              <w:rPr>
                <w:rFonts w:ascii="宋体" w:hAnsi="宋体" w:eastAsia="宋体" w:cs="Times New Roman"/>
                <w:color w:val="auto"/>
                <w:kern w:val="0"/>
                <w:sz w:val="24"/>
                <w:szCs w:val="24"/>
                <w:highlight w:val="none"/>
              </w:rPr>
            </w:pPr>
          </w:p>
        </w:tc>
      </w:tr>
      <w:tr w14:paraId="09DCF69C">
        <w:tblPrEx>
          <w:tblCellMar>
            <w:top w:w="0" w:type="dxa"/>
            <w:left w:w="0" w:type="dxa"/>
            <w:bottom w:w="0" w:type="dxa"/>
            <w:right w:w="0" w:type="dxa"/>
          </w:tblCellMar>
        </w:tblPrEx>
        <w:trPr>
          <w:trHeight w:val="1324" w:hRule="atLeast"/>
        </w:trPr>
        <w:tc>
          <w:tcPr>
            <w:tcW w:w="2227" w:type="dxa"/>
            <w:tcBorders>
              <w:top w:val="single" w:color="auto" w:sz="4" w:space="0"/>
              <w:left w:val="single" w:color="auto" w:sz="4" w:space="0"/>
              <w:bottom w:val="single" w:color="auto" w:sz="4" w:space="0"/>
              <w:right w:val="single" w:color="auto" w:sz="4" w:space="0"/>
            </w:tcBorders>
            <w:vAlign w:val="center"/>
          </w:tcPr>
          <w:p w14:paraId="6502CA57">
            <w:pPr>
              <w:autoSpaceDE w:val="0"/>
              <w:autoSpaceDN w:val="0"/>
              <w:spacing w:line="5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投标报价</w:t>
            </w:r>
          </w:p>
        </w:tc>
        <w:tc>
          <w:tcPr>
            <w:tcW w:w="6492" w:type="dxa"/>
            <w:tcBorders>
              <w:top w:val="single" w:color="auto" w:sz="4" w:space="0"/>
              <w:left w:val="nil"/>
              <w:bottom w:val="single" w:color="auto" w:sz="4" w:space="0"/>
              <w:right w:val="single" w:color="auto" w:sz="4" w:space="0"/>
            </w:tcBorders>
            <w:vAlign w:val="center"/>
          </w:tcPr>
          <w:p w14:paraId="0064F85E">
            <w:pPr>
              <w:autoSpaceDE w:val="0"/>
              <w:autoSpaceDN w:val="0"/>
              <w:spacing w:line="500" w:lineRule="exact"/>
              <w:ind w:firstLine="120" w:firstLineChars="50"/>
              <w:rPr>
                <w:rFonts w:ascii="宋体" w:hAnsi="宋体" w:eastAsia="宋体" w:cs="Times New Roman"/>
                <w:color w:val="auto"/>
                <w:kern w:val="0"/>
                <w:sz w:val="24"/>
                <w:szCs w:val="24"/>
                <w:highlight w:val="none"/>
                <w:u w:val="single"/>
              </w:rPr>
            </w:pPr>
            <w:r>
              <w:rPr>
                <w:rFonts w:hint="eastAsia" w:ascii="宋体" w:hAnsi="宋体" w:eastAsia="宋体" w:cs="Times New Roman"/>
                <w:color w:val="auto"/>
                <w:kern w:val="0"/>
                <w:sz w:val="24"/>
                <w:szCs w:val="24"/>
                <w:highlight w:val="none"/>
              </w:rPr>
              <w:t>人民币（大写）：</w:t>
            </w:r>
          </w:p>
          <w:p w14:paraId="1B033537">
            <w:pPr>
              <w:autoSpaceDE w:val="0"/>
              <w:autoSpaceDN w:val="0"/>
              <w:spacing w:line="500" w:lineRule="exact"/>
              <w:ind w:firstLine="840" w:firstLineChars="350"/>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（小写）：</w:t>
            </w:r>
            <w:r>
              <w:rPr>
                <w:rFonts w:ascii="宋体" w:hAnsi="宋体" w:eastAsia="宋体" w:cs="Times New Roman"/>
                <w:color w:val="auto"/>
                <w:kern w:val="0"/>
                <w:sz w:val="24"/>
                <w:szCs w:val="24"/>
                <w:highlight w:val="none"/>
              </w:rPr>
              <w:t xml:space="preserve"> </w:t>
            </w:r>
          </w:p>
        </w:tc>
      </w:tr>
      <w:tr w14:paraId="57CF4716">
        <w:tblPrEx>
          <w:tblCellMar>
            <w:top w:w="0" w:type="dxa"/>
            <w:left w:w="0" w:type="dxa"/>
            <w:bottom w:w="0" w:type="dxa"/>
            <w:right w:w="0" w:type="dxa"/>
          </w:tblCellMar>
        </w:tblPrEx>
        <w:trPr>
          <w:trHeight w:val="1324" w:hRule="atLeast"/>
        </w:trPr>
        <w:tc>
          <w:tcPr>
            <w:tcW w:w="2227" w:type="dxa"/>
            <w:tcBorders>
              <w:top w:val="single" w:color="auto" w:sz="4" w:space="0"/>
              <w:left w:val="single" w:color="auto" w:sz="4" w:space="0"/>
              <w:bottom w:val="single" w:color="auto" w:sz="4" w:space="0"/>
              <w:right w:val="single" w:color="auto" w:sz="4" w:space="0"/>
            </w:tcBorders>
            <w:vAlign w:val="center"/>
          </w:tcPr>
          <w:p w14:paraId="75C3AAE6">
            <w:pPr>
              <w:autoSpaceDE w:val="0"/>
              <w:autoSpaceDN w:val="0"/>
              <w:spacing w:line="5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质量要求</w:t>
            </w:r>
          </w:p>
        </w:tc>
        <w:tc>
          <w:tcPr>
            <w:tcW w:w="6492" w:type="dxa"/>
            <w:tcBorders>
              <w:top w:val="single" w:color="auto" w:sz="4" w:space="0"/>
              <w:left w:val="nil"/>
              <w:bottom w:val="single" w:color="auto" w:sz="4" w:space="0"/>
              <w:right w:val="single" w:color="auto" w:sz="4" w:space="0"/>
            </w:tcBorders>
            <w:vAlign w:val="center"/>
          </w:tcPr>
          <w:p w14:paraId="63156934">
            <w:pPr>
              <w:autoSpaceDE w:val="0"/>
              <w:autoSpaceDN w:val="0"/>
              <w:spacing w:line="500" w:lineRule="exact"/>
              <w:ind w:firstLine="120" w:firstLineChars="50"/>
              <w:rPr>
                <w:rFonts w:ascii="宋体" w:hAnsi="宋体" w:eastAsia="宋体" w:cs="Times New Roman"/>
                <w:color w:val="auto"/>
                <w:kern w:val="0"/>
                <w:sz w:val="24"/>
                <w:szCs w:val="24"/>
                <w:highlight w:val="none"/>
              </w:rPr>
            </w:pPr>
          </w:p>
        </w:tc>
      </w:tr>
      <w:tr w14:paraId="1766DBCF">
        <w:tblPrEx>
          <w:tblCellMar>
            <w:top w:w="0" w:type="dxa"/>
            <w:left w:w="0" w:type="dxa"/>
            <w:bottom w:w="0" w:type="dxa"/>
            <w:right w:w="0" w:type="dxa"/>
          </w:tblCellMar>
        </w:tblPrEx>
        <w:trPr>
          <w:trHeight w:val="1165" w:hRule="atLeast"/>
        </w:trPr>
        <w:tc>
          <w:tcPr>
            <w:tcW w:w="2227" w:type="dxa"/>
            <w:tcBorders>
              <w:top w:val="single" w:color="auto" w:sz="4" w:space="0"/>
              <w:left w:val="single" w:color="auto" w:sz="4" w:space="0"/>
              <w:bottom w:val="single" w:color="auto" w:sz="4" w:space="0"/>
              <w:right w:val="single" w:color="auto" w:sz="4" w:space="0"/>
            </w:tcBorders>
            <w:vAlign w:val="center"/>
          </w:tcPr>
          <w:p w14:paraId="2A6055B8">
            <w:pPr>
              <w:autoSpaceDE w:val="0"/>
              <w:autoSpaceDN w:val="0"/>
              <w:spacing w:line="5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供货期</w:t>
            </w:r>
          </w:p>
        </w:tc>
        <w:tc>
          <w:tcPr>
            <w:tcW w:w="6492" w:type="dxa"/>
            <w:tcBorders>
              <w:top w:val="single" w:color="auto" w:sz="4" w:space="0"/>
              <w:left w:val="nil"/>
              <w:bottom w:val="single" w:color="auto" w:sz="4" w:space="0"/>
              <w:right w:val="single" w:color="auto" w:sz="4" w:space="0"/>
            </w:tcBorders>
            <w:vAlign w:val="center"/>
          </w:tcPr>
          <w:p w14:paraId="36B29586">
            <w:pPr>
              <w:autoSpaceDE w:val="0"/>
              <w:autoSpaceDN w:val="0"/>
              <w:spacing w:line="500" w:lineRule="exact"/>
              <w:jc w:val="center"/>
              <w:rPr>
                <w:rFonts w:ascii="宋体" w:hAnsi="宋体" w:eastAsia="宋体" w:cs="Times New Roman"/>
                <w:color w:val="auto"/>
                <w:kern w:val="0"/>
                <w:sz w:val="24"/>
                <w:szCs w:val="24"/>
                <w:highlight w:val="none"/>
              </w:rPr>
            </w:pPr>
          </w:p>
        </w:tc>
      </w:tr>
      <w:tr w14:paraId="0D4273EE">
        <w:tblPrEx>
          <w:tblCellMar>
            <w:top w:w="0" w:type="dxa"/>
            <w:left w:w="0" w:type="dxa"/>
            <w:bottom w:w="0" w:type="dxa"/>
            <w:right w:w="0" w:type="dxa"/>
          </w:tblCellMar>
        </w:tblPrEx>
        <w:trPr>
          <w:trHeight w:val="1165" w:hRule="atLeast"/>
        </w:trPr>
        <w:tc>
          <w:tcPr>
            <w:tcW w:w="2227" w:type="dxa"/>
            <w:tcBorders>
              <w:top w:val="single" w:color="auto" w:sz="4" w:space="0"/>
              <w:left w:val="single" w:color="auto" w:sz="4" w:space="0"/>
              <w:bottom w:val="single" w:color="auto" w:sz="4" w:space="0"/>
              <w:right w:val="single" w:color="auto" w:sz="4" w:space="0"/>
            </w:tcBorders>
            <w:vAlign w:val="center"/>
          </w:tcPr>
          <w:p w14:paraId="61A083E2">
            <w:pPr>
              <w:autoSpaceDE w:val="0"/>
              <w:autoSpaceDN w:val="0"/>
              <w:spacing w:line="5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质保期</w:t>
            </w:r>
          </w:p>
        </w:tc>
        <w:tc>
          <w:tcPr>
            <w:tcW w:w="6492" w:type="dxa"/>
            <w:tcBorders>
              <w:top w:val="single" w:color="auto" w:sz="4" w:space="0"/>
              <w:left w:val="nil"/>
              <w:bottom w:val="single" w:color="auto" w:sz="4" w:space="0"/>
              <w:right w:val="single" w:color="auto" w:sz="4" w:space="0"/>
            </w:tcBorders>
            <w:vAlign w:val="center"/>
          </w:tcPr>
          <w:p w14:paraId="228597B4">
            <w:pPr>
              <w:autoSpaceDE w:val="0"/>
              <w:autoSpaceDN w:val="0"/>
              <w:spacing w:line="500" w:lineRule="exact"/>
              <w:jc w:val="center"/>
              <w:rPr>
                <w:rFonts w:ascii="宋体" w:hAnsi="宋体" w:eastAsia="宋体" w:cs="Times New Roman"/>
                <w:color w:val="auto"/>
                <w:kern w:val="0"/>
                <w:sz w:val="24"/>
                <w:szCs w:val="24"/>
                <w:highlight w:val="none"/>
              </w:rPr>
            </w:pPr>
          </w:p>
        </w:tc>
      </w:tr>
      <w:tr w14:paraId="7AE86FEE">
        <w:tblPrEx>
          <w:tblCellMar>
            <w:top w:w="0" w:type="dxa"/>
            <w:left w:w="0" w:type="dxa"/>
            <w:bottom w:w="0" w:type="dxa"/>
            <w:right w:w="0" w:type="dxa"/>
          </w:tblCellMar>
        </w:tblPrEx>
        <w:trPr>
          <w:trHeight w:val="1165" w:hRule="atLeast"/>
        </w:trPr>
        <w:tc>
          <w:tcPr>
            <w:tcW w:w="2227" w:type="dxa"/>
            <w:tcBorders>
              <w:top w:val="single" w:color="auto" w:sz="4" w:space="0"/>
              <w:left w:val="single" w:color="auto" w:sz="4" w:space="0"/>
              <w:bottom w:val="single" w:color="auto" w:sz="4" w:space="0"/>
              <w:right w:val="single" w:color="auto" w:sz="4" w:space="0"/>
            </w:tcBorders>
            <w:vAlign w:val="center"/>
          </w:tcPr>
          <w:p w14:paraId="4ED781B6">
            <w:pPr>
              <w:autoSpaceDE w:val="0"/>
              <w:autoSpaceDN w:val="0"/>
              <w:spacing w:line="5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磋商</w:t>
            </w:r>
            <w:r>
              <w:rPr>
                <w:rFonts w:hint="eastAsia" w:ascii="宋体" w:hAnsi="宋体" w:eastAsia="宋体" w:cs="Times New Roman"/>
                <w:color w:val="auto"/>
                <w:kern w:val="0"/>
                <w:sz w:val="24"/>
                <w:szCs w:val="24"/>
                <w:highlight w:val="none"/>
              </w:rPr>
              <w:t>有效期</w:t>
            </w:r>
          </w:p>
        </w:tc>
        <w:tc>
          <w:tcPr>
            <w:tcW w:w="6492" w:type="dxa"/>
            <w:tcBorders>
              <w:top w:val="single" w:color="auto" w:sz="4" w:space="0"/>
              <w:left w:val="nil"/>
              <w:bottom w:val="single" w:color="auto" w:sz="4" w:space="0"/>
              <w:right w:val="single" w:color="auto" w:sz="4" w:space="0"/>
            </w:tcBorders>
            <w:vAlign w:val="center"/>
          </w:tcPr>
          <w:p w14:paraId="4FF8BECA">
            <w:pPr>
              <w:autoSpaceDE w:val="0"/>
              <w:autoSpaceDN w:val="0"/>
              <w:spacing w:line="500" w:lineRule="exact"/>
              <w:jc w:val="center"/>
              <w:rPr>
                <w:rFonts w:ascii="宋体" w:hAnsi="宋体" w:eastAsia="宋体" w:cs="Times New Roman"/>
                <w:color w:val="auto"/>
                <w:kern w:val="0"/>
                <w:sz w:val="24"/>
                <w:szCs w:val="24"/>
                <w:highlight w:val="none"/>
              </w:rPr>
            </w:pPr>
          </w:p>
        </w:tc>
      </w:tr>
      <w:tr w14:paraId="401881AA">
        <w:tblPrEx>
          <w:tblCellMar>
            <w:top w:w="0" w:type="dxa"/>
            <w:left w:w="0" w:type="dxa"/>
            <w:bottom w:w="0" w:type="dxa"/>
            <w:right w:w="0" w:type="dxa"/>
          </w:tblCellMar>
        </w:tblPrEx>
        <w:trPr>
          <w:trHeight w:val="762" w:hRule="atLeast"/>
        </w:trPr>
        <w:tc>
          <w:tcPr>
            <w:tcW w:w="2227" w:type="dxa"/>
            <w:tcBorders>
              <w:top w:val="single" w:color="auto" w:sz="4" w:space="0"/>
              <w:left w:val="single" w:color="auto" w:sz="4" w:space="0"/>
              <w:bottom w:val="single" w:color="auto" w:sz="4" w:space="0"/>
              <w:right w:val="single" w:color="auto" w:sz="4" w:space="0"/>
            </w:tcBorders>
            <w:vAlign w:val="center"/>
          </w:tcPr>
          <w:p w14:paraId="0B0E8705">
            <w:pPr>
              <w:autoSpaceDE w:val="0"/>
              <w:autoSpaceDN w:val="0"/>
              <w:spacing w:line="500" w:lineRule="exact"/>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备  注</w:t>
            </w:r>
          </w:p>
        </w:tc>
        <w:tc>
          <w:tcPr>
            <w:tcW w:w="6492" w:type="dxa"/>
            <w:tcBorders>
              <w:top w:val="single" w:color="auto" w:sz="4" w:space="0"/>
              <w:left w:val="nil"/>
              <w:bottom w:val="single" w:color="auto" w:sz="4" w:space="0"/>
              <w:right w:val="single" w:color="auto" w:sz="4" w:space="0"/>
            </w:tcBorders>
            <w:vAlign w:val="center"/>
          </w:tcPr>
          <w:p w14:paraId="34A6C6F2">
            <w:pPr>
              <w:autoSpaceDE w:val="0"/>
              <w:autoSpaceDN w:val="0"/>
              <w:spacing w:line="500" w:lineRule="exact"/>
              <w:jc w:val="center"/>
              <w:rPr>
                <w:rFonts w:ascii="宋体" w:hAnsi="宋体" w:eastAsia="宋体" w:cs="Times New Roman"/>
                <w:color w:val="auto"/>
                <w:kern w:val="0"/>
                <w:sz w:val="24"/>
                <w:szCs w:val="24"/>
                <w:highlight w:val="none"/>
              </w:rPr>
            </w:pPr>
          </w:p>
        </w:tc>
      </w:tr>
    </w:tbl>
    <w:p w14:paraId="512C95C6">
      <w:pPr>
        <w:spacing w:line="440" w:lineRule="exact"/>
        <w:rPr>
          <w:rFonts w:ascii="宋体" w:hAnsi="宋体" w:cs="宋体"/>
          <w:sz w:val="24"/>
          <w:highlight w:val="none"/>
        </w:rPr>
      </w:pPr>
    </w:p>
    <w:p w14:paraId="03F280BA">
      <w:pPr>
        <w:spacing w:line="440" w:lineRule="exact"/>
        <w:rPr>
          <w:rFonts w:hint="eastAsia" w:ascii="宋体" w:hAnsi="宋体" w:cs="宋体"/>
          <w:sz w:val="24"/>
          <w:highlight w:val="none"/>
        </w:rPr>
      </w:pPr>
    </w:p>
    <w:p w14:paraId="406CB2CB">
      <w:pPr>
        <w:spacing w:line="440" w:lineRule="exact"/>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（盖章）</w:t>
      </w:r>
    </w:p>
    <w:p w14:paraId="20091B36">
      <w:pPr>
        <w:spacing w:line="700" w:lineRule="exact"/>
        <w:rPr>
          <w:rFonts w:hint="eastAsia" w:ascii="宋体" w:hAnsi="宋体" w:cs="宋体"/>
          <w:sz w:val="24"/>
          <w:highlight w:val="non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14:paraId="60C84FD9">
      <w:pPr>
        <w:spacing w:line="700" w:lineRule="exact"/>
        <w:rPr>
          <w:rFonts w:hint="eastAsia" w:ascii="宋体" w:hAnsi="宋体" w:cs="宋体"/>
          <w:sz w:val="24"/>
          <w:highlight w:val="none"/>
        </w:rPr>
      </w:pPr>
      <w:r>
        <w:rPr>
          <w:rFonts w:hint="eastAsia" w:ascii="宋体" w:hAnsi="宋体" w:cs="宋体"/>
          <w:sz w:val="24"/>
          <w:highlight w:val="none"/>
        </w:rPr>
        <w:t>日期：   年   月   日</w:t>
      </w:r>
    </w:p>
    <w:p w14:paraId="0FA0C420">
      <w:pPr>
        <w:spacing w:line="440" w:lineRule="exact"/>
        <w:jc w:val="center"/>
        <w:outlineLvl w:val="0"/>
        <w:rPr>
          <w:rFonts w:hint="eastAsia" w:ascii="宋体" w:hAnsi="宋体" w:cs="宋体"/>
          <w:b/>
          <w:bCs/>
          <w:sz w:val="24"/>
          <w:highlight w:val="none"/>
        </w:rPr>
      </w:pPr>
      <w:r>
        <w:rPr>
          <w:rFonts w:hint="eastAsia" w:ascii="宋体" w:hAnsi="宋体" w:cs="宋体"/>
          <w:sz w:val="24"/>
          <w:highlight w:val="none"/>
        </w:rPr>
        <w:br w:type="page"/>
      </w:r>
      <w:bookmarkStart w:id="162" w:name="_Toc30817"/>
      <w:r>
        <w:rPr>
          <w:rFonts w:hint="eastAsia" w:ascii="宋体" w:hAnsi="宋体" w:cs="宋体"/>
          <w:b/>
          <w:bCs/>
          <w:sz w:val="30"/>
          <w:szCs w:val="30"/>
          <w:highlight w:val="none"/>
        </w:rPr>
        <w:t>二、法定代表人身份证明</w:t>
      </w:r>
      <w:bookmarkEnd w:id="162"/>
    </w:p>
    <w:p w14:paraId="27486F4D">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A7B412A">
      <w:pPr>
        <w:spacing w:line="480" w:lineRule="exact"/>
        <w:textAlignment w:val="center"/>
        <w:rPr>
          <w:rFonts w:hint="eastAsia" w:ascii="宋体" w:hAnsi="宋体" w:cs="宋体"/>
          <w:sz w:val="24"/>
          <w:highlight w:val="none"/>
        </w:rPr>
      </w:pPr>
      <w:r>
        <w:rPr>
          <w:rFonts w:hint="eastAsia" w:ascii="宋体" w:hAnsi="宋体" w:cs="宋体"/>
          <w:sz w:val="24"/>
          <w:highlight w:val="none"/>
        </w:rPr>
        <w:t>响 应 人：</w:t>
      </w:r>
    </w:p>
    <w:p w14:paraId="06D9CC4B">
      <w:pPr>
        <w:spacing w:line="480" w:lineRule="exact"/>
        <w:textAlignment w:val="center"/>
        <w:rPr>
          <w:rFonts w:hint="eastAsia" w:ascii="宋体" w:hAnsi="宋体" w:cs="宋体"/>
          <w:sz w:val="24"/>
          <w:highlight w:val="none"/>
        </w:rPr>
      </w:pPr>
      <w:r>
        <w:rPr>
          <w:rFonts w:hint="eastAsia" w:ascii="宋体" w:hAnsi="宋体" w:cs="宋体"/>
          <w:sz w:val="24"/>
          <w:highlight w:val="none"/>
        </w:rPr>
        <w:t>单位性质：</w:t>
      </w:r>
    </w:p>
    <w:p w14:paraId="72550C2F">
      <w:pPr>
        <w:spacing w:line="480" w:lineRule="exact"/>
        <w:textAlignment w:val="center"/>
        <w:rPr>
          <w:rFonts w:hint="eastAsia" w:ascii="宋体" w:hAnsi="宋体" w:cs="宋体"/>
          <w:sz w:val="24"/>
          <w:highlight w:val="none"/>
        </w:rPr>
      </w:pPr>
      <w:r>
        <w:rPr>
          <w:rFonts w:hint="eastAsia" w:ascii="宋体" w:hAnsi="宋体" w:cs="宋体"/>
          <w:sz w:val="24"/>
          <w:highlight w:val="none"/>
        </w:rPr>
        <w:t>地    址：</w:t>
      </w:r>
    </w:p>
    <w:p w14:paraId="3A1D81B1">
      <w:pPr>
        <w:spacing w:line="480" w:lineRule="exact"/>
        <w:textAlignment w:val="center"/>
        <w:rPr>
          <w:rFonts w:hint="eastAsia" w:ascii="宋体" w:hAnsi="宋体" w:cs="宋体"/>
          <w:sz w:val="24"/>
          <w:highlight w:val="none"/>
        </w:rPr>
      </w:pPr>
      <w:r>
        <w:rPr>
          <w:rFonts w:hint="eastAsia" w:ascii="宋体" w:hAnsi="宋体" w:cs="宋体"/>
          <w:sz w:val="24"/>
          <w:highlight w:val="none"/>
        </w:rPr>
        <w:t>成立时间：     年  月  日</w:t>
      </w:r>
    </w:p>
    <w:p w14:paraId="6F473D55">
      <w:pPr>
        <w:spacing w:line="480" w:lineRule="exact"/>
        <w:textAlignment w:val="center"/>
        <w:rPr>
          <w:rFonts w:hint="eastAsia" w:ascii="宋体" w:hAnsi="宋体" w:cs="宋体"/>
          <w:sz w:val="24"/>
          <w:highlight w:val="none"/>
        </w:rPr>
      </w:pPr>
      <w:r>
        <w:rPr>
          <w:rFonts w:hint="eastAsia" w:ascii="宋体" w:hAnsi="宋体" w:cs="宋体"/>
          <w:sz w:val="24"/>
          <w:highlight w:val="none"/>
        </w:rPr>
        <w:t>经营期限：</w:t>
      </w:r>
    </w:p>
    <w:p w14:paraId="77BDDB28">
      <w:pPr>
        <w:spacing w:line="480" w:lineRule="exact"/>
        <w:textAlignment w:val="center"/>
        <w:rPr>
          <w:rFonts w:hint="eastAsia" w:ascii="宋体" w:hAnsi="宋体" w:cs="宋体"/>
          <w:sz w:val="24"/>
          <w:highlight w:val="none"/>
        </w:rPr>
      </w:pPr>
      <w:r>
        <w:rPr>
          <w:rFonts w:hint="eastAsia" w:ascii="宋体" w:hAnsi="宋体" w:cs="宋体"/>
          <w:sz w:val="24"/>
          <w:highlight w:val="none"/>
        </w:rPr>
        <w:t>姓    名：         性        别：</w:t>
      </w:r>
    </w:p>
    <w:p w14:paraId="554E36A5">
      <w:pPr>
        <w:spacing w:line="480" w:lineRule="exact"/>
        <w:textAlignment w:val="center"/>
        <w:rPr>
          <w:rFonts w:hint="eastAsia" w:ascii="宋体" w:hAnsi="宋体" w:cs="宋体"/>
          <w:sz w:val="24"/>
          <w:highlight w:val="none"/>
        </w:rPr>
      </w:pPr>
      <w:r>
        <w:rPr>
          <w:rFonts w:hint="eastAsia" w:ascii="宋体" w:hAnsi="宋体" w:cs="宋体"/>
          <w:sz w:val="24"/>
          <w:highlight w:val="none"/>
        </w:rPr>
        <w:t>年    龄：         职        务：</w:t>
      </w:r>
    </w:p>
    <w:p w14:paraId="04B17956">
      <w:pPr>
        <w:spacing w:line="480" w:lineRule="exact"/>
        <w:textAlignment w:val="center"/>
        <w:rPr>
          <w:rFonts w:hint="eastAsia"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（响应人名称）的法定代表人。</w:t>
      </w:r>
    </w:p>
    <w:p w14:paraId="4B480142">
      <w:pPr>
        <w:spacing w:line="480" w:lineRule="exact"/>
        <w:textAlignment w:val="center"/>
        <w:rPr>
          <w:rFonts w:hint="eastAsia" w:ascii="宋体" w:hAnsi="宋体" w:cs="宋体"/>
          <w:sz w:val="24"/>
          <w:highlight w:val="none"/>
        </w:rPr>
      </w:pPr>
      <w:r>
        <w:rPr>
          <w:rFonts w:hint="eastAsia" w:ascii="宋体" w:hAnsi="宋体" w:cs="宋体"/>
          <w:sz w:val="24"/>
          <w:highlight w:val="none"/>
        </w:rPr>
        <w:t>特此证明。</w:t>
      </w:r>
    </w:p>
    <w:p w14:paraId="04D5C332">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3B926A4A">
      <w:pPr>
        <w:spacing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2ED4B67F">
      <w:pPr>
        <w:wordWrap w:val="0"/>
        <w:spacing w:line="520" w:lineRule="exact"/>
        <w:jc w:val="right"/>
        <w:rPr>
          <w:rFonts w:hint="eastAsia" w:ascii="宋体" w:hAnsi="宋体" w:cs="宋体"/>
          <w:sz w:val="24"/>
          <w:highlight w:val="none"/>
        </w:rPr>
      </w:pPr>
      <w:r>
        <w:rPr>
          <w:rFonts w:hint="eastAsia" w:ascii="宋体" w:hAnsi="宋体" w:cs="宋体"/>
          <w:sz w:val="24"/>
          <w:highlight w:val="none"/>
          <w:lang w:eastAsia="zh-CN"/>
        </w:rPr>
        <w:t>供</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应</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商</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 xml:space="preserve"> （盖章）</w:t>
      </w:r>
    </w:p>
    <w:p w14:paraId="7A7E1418">
      <w:pPr>
        <w:spacing w:line="480" w:lineRule="exact"/>
        <w:jc w:val="right"/>
        <w:textAlignment w:val="center"/>
        <w:rPr>
          <w:rFonts w:ascii="宋体" w:hAnsi="宋体" w:cs="宋体"/>
          <w:sz w:val="24"/>
          <w:highlight w:val="none"/>
          <w:u w:val="single"/>
        </w:rPr>
      </w:pPr>
    </w:p>
    <w:p w14:paraId="3A8B4B68">
      <w:pPr>
        <w:spacing w:line="480" w:lineRule="exact"/>
        <w:jc w:val="right"/>
        <w:textAlignment w:val="center"/>
        <w:rPr>
          <w:rFonts w:hint="eastAsia" w:ascii="宋体" w:hAnsi="宋体" w:cs="宋体"/>
          <w:sz w:val="24"/>
          <w:highlight w:val="none"/>
        </w:rPr>
      </w:pPr>
      <w:r>
        <w:rPr>
          <w:rFonts w:hint="eastAsia" w:ascii="宋体" w:hAnsi="宋体" w:cs="宋体"/>
          <w:sz w:val="24"/>
          <w:highlight w:val="none"/>
        </w:rPr>
        <w:t xml:space="preserve">年   月   日          </w:t>
      </w:r>
    </w:p>
    <w:p w14:paraId="32E1C66F">
      <w:pPr>
        <w:spacing w:before="312" w:beforeLines="100" w:after="156" w:afterLines="50" w:line="480" w:lineRule="exact"/>
        <w:textAlignment w:val="center"/>
        <w:rPr>
          <w:rFonts w:hint="eastAsia" w:ascii="宋体" w:hAnsi="宋体" w:cs="宋体"/>
          <w:sz w:val="24"/>
          <w:highlight w:val="none"/>
        </w:rPr>
      </w:pPr>
      <w:r>
        <w:rPr>
          <w:rFonts w:hint="eastAsia" w:ascii="宋体" w:hAnsi="宋体" w:cs="宋体"/>
          <w:sz w:val="24"/>
          <w:highlight w:val="none"/>
        </w:rPr>
        <w:t xml:space="preserve"> </w:t>
      </w:r>
    </w:p>
    <w:p w14:paraId="6652B611">
      <w:pPr>
        <w:spacing w:line="114" w:lineRule="exact"/>
        <w:rPr>
          <w:rFonts w:hint="eastAsia" w:ascii="宋体" w:hAnsi="宋体" w:cs="宋体"/>
          <w:sz w:val="24"/>
          <w:highlight w:val="none"/>
        </w:rPr>
      </w:pPr>
      <w:r>
        <w:rPr>
          <w:rFonts w:hint="eastAsia" w:ascii="宋体" w:hAnsi="宋体" w:cs="宋体"/>
          <w:sz w:val="24"/>
          <w:highlight w:val="none"/>
        </w:rPr>
        <w:t xml:space="preserve"> </w:t>
      </w:r>
    </w:p>
    <w:p w14:paraId="2CB673D0">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3E2C2EBA">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7B6C55F8">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1C027B2C">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1B72DC0">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461C5006">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2B755516">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204BBF07">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29FD7489">
      <w:pPr>
        <w:spacing w:line="0" w:lineRule="atLeast"/>
        <w:ind w:left="3740"/>
        <w:rPr>
          <w:rFonts w:hint="eastAsia" w:ascii="宋体" w:hAnsi="宋体" w:cs="宋体"/>
          <w:b/>
          <w:bCs/>
          <w:sz w:val="24"/>
          <w:highlight w:val="none"/>
        </w:rPr>
      </w:pPr>
      <w:r>
        <w:rPr>
          <w:rFonts w:hint="eastAsia" w:ascii="宋体" w:hAnsi="宋体" w:cs="宋体"/>
          <w:b/>
          <w:bCs/>
          <w:sz w:val="24"/>
          <w:highlight w:val="none"/>
        </w:rPr>
        <w:t xml:space="preserve"> </w:t>
      </w:r>
    </w:p>
    <w:p w14:paraId="579CBAB5">
      <w:pPr>
        <w:spacing w:line="0" w:lineRule="atLeast"/>
        <w:rPr>
          <w:rFonts w:hint="eastAsia" w:ascii="宋体" w:hAnsi="宋体" w:cs="宋体"/>
          <w:b/>
          <w:bCs/>
          <w:sz w:val="24"/>
          <w:highlight w:val="none"/>
        </w:rPr>
      </w:pPr>
      <w:r>
        <w:rPr>
          <w:rFonts w:hint="eastAsia" w:ascii="宋体" w:hAnsi="宋体" w:cs="宋体"/>
          <w:b/>
          <w:bCs/>
          <w:sz w:val="24"/>
          <w:highlight w:val="none"/>
        </w:rPr>
        <w:t xml:space="preserve"> </w:t>
      </w:r>
    </w:p>
    <w:p w14:paraId="0F95DA2F">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4AFECA10">
      <w:pPr>
        <w:spacing w:before="312" w:beforeLines="100" w:after="156" w:afterLines="50" w:line="480" w:lineRule="exact"/>
        <w:jc w:val="center"/>
        <w:textAlignment w:val="center"/>
        <w:outlineLvl w:val="0"/>
        <w:rPr>
          <w:rFonts w:hint="eastAsia" w:ascii="宋体" w:hAnsi="宋体" w:cs="宋体"/>
          <w:b/>
          <w:bCs/>
          <w:sz w:val="24"/>
          <w:highlight w:val="none"/>
        </w:rPr>
      </w:pPr>
      <w:r>
        <w:rPr>
          <w:rFonts w:ascii="宋体" w:hAnsi="宋体" w:cs="宋体"/>
          <w:b/>
          <w:bCs/>
          <w:sz w:val="24"/>
          <w:highlight w:val="none"/>
        </w:rPr>
        <w:br w:type="page"/>
      </w:r>
      <w:bookmarkStart w:id="163" w:name="_Toc13754"/>
      <w:r>
        <w:rPr>
          <w:rFonts w:hint="eastAsia" w:ascii="宋体" w:hAnsi="宋体" w:cs="宋体"/>
          <w:b/>
          <w:bCs/>
          <w:sz w:val="30"/>
          <w:szCs w:val="30"/>
          <w:highlight w:val="none"/>
        </w:rPr>
        <w:t>三、授权委托书</w:t>
      </w:r>
      <w:bookmarkEnd w:id="163"/>
    </w:p>
    <w:p w14:paraId="3ECF87F1">
      <w:pPr>
        <w:spacing w:line="480" w:lineRule="exact"/>
        <w:ind w:firstLine="720" w:firstLineChars="300"/>
        <w:textAlignment w:val="center"/>
        <w:rPr>
          <w:rFonts w:hint="eastAsia" w:ascii="宋体" w:hAnsi="宋体" w:cs="宋体"/>
          <w:sz w:val="24"/>
          <w:highlight w:val="none"/>
        </w:rPr>
      </w:pPr>
      <w:r>
        <w:rPr>
          <w:rFonts w:hint="eastAsia" w:ascii="宋体" w:hAnsi="宋体" w:cs="宋体"/>
          <w:sz w:val="24"/>
          <w:highlight w:val="none"/>
        </w:rPr>
        <w:t xml:space="preserve"> </w:t>
      </w:r>
    </w:p>
    <w:p w14:paraId="73105CFB">
      <w:pPr>
        <w:spacing w:line="480" w:lineRule="exact"/>
        <w:ind w:firstLine="720" w:firstLineChars="300"/>
        <w:textAlignment w:val="center"/>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（姓名）</w:t>
      </w:r>
      <w:r>
        <w:rPr>
          <w:rFonts w:hint="eastAsia" w:ascii="宋体" w:hAnsi="宋体" w:cs="宋体"/>
          <w:sz w:val="24"/>
          <w:szCs w:val="24"/>
          <w:highlight w:val="none"/>
        </w:rPr>
        <w:t>系</w:t>
      </w:r>
      <w:r>
        <w:rPr>
          <w:rFonts w:hint="eastAsia" w:ascii="宋体" w:hAnsi="宋体" w:cs="宋体"/>
          <w:sz w:val="24"/>
          <w:szCs w:val="24"/>
          <w:highlight w:val="none"/>
          <w:u w:val="single"/>
        </w:rPr>
        <w:t>（响应人名称）</w:t>
      </w:r>
      <w:r>
        <w:rPr>
          <w:rFonts w:hint="eastAsia" w:ascii="宋体" w:hAnsi="宋体" w:cs="宋体"/>
          <w:sz w:val="24"/>
          <w:szCs w:val="24"/>
          <w:highlight w:val="none"/>
        </w:rPr>
        <w:t>的法定代表人，现委托</w:t>
      </w:r>
      <w:r>
        <w:rPr>
          <w:rFonts w:hint="eastAsia" w:ascii="宋体" w:hAnsi="宋体" w:cs="宋体"/>
          <w:sz w:val="24"/>
          <w:szCs w:val="24"/>
          <w:highlight w:val="none"/>
          <w:u w:val="single"/>
        </w:rPr>
        <w:t>（姓名）</w:t>
      </w:r>
      <w:r>
        <w:rPr>
          <w:rFonts w:hint="eastAsia" w:ascii="宋体" w:hAnsi="宋体" w:cs="宋体"/>
          <w:sz w:val="24"/>
          <w:szCs w:val="24"/>
          <w:highlight w:val="none"/>
        </w:rPr>
        <w:t>为我方代理人。代理人根据授权，以我方名义签署、澄清、说明、补正、递交、撤回、修改</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（项目名称）响应文件、签订合同和处理有关事宜，其法律后果由我方承担。</w:t>
      </w:r>
    </w:p>
    <w:p w14:paraId="6F5048F8">
      <w:pPr>
        <w:spacing w:before="312" w:beforeLines="100"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代理人无转委托权。</w:t>
      </w:r>
    </w:p>
    <w:p w14:paraId="1078CF2B">
      <w:pPr>
        <w:spacing w:after="312" w:afterLines="100" w:line="480" w:lineRule="exact"/>
        <w:ind w:firstLine="480" w:firstLineChars="200"/>
        <w:textAlignment w:val="center"/>
        <w:rPr>
          <w:rFonts w:ascii="宋体" w:hAnsi="宋体" w:cs="宋体"/>
          <w:sz w:val="24"/>
          <w:szCs w:val="24"/>
          <w:highlight w:val="none"/>
        </w:rPr>
      </w:pPr>
      <w:r>
        <w:rPr>
          <w:rFonts w:hint="eastAsia" w:ascii="宋体" w:hAnsi="宋体" w:cs="宋体"/>
          <w:sz w:val="24"/>
          <w:szCs w:val="24"/>
          <w:highlight w:val="none"/>
        </w:rPr>
        <w:t>附：法定代表人身份证及委托代理人身份证扫描件</w:t>
      </w:r>
    </w:p>
    <w:p w14:paraId="7C78DF74">
      <w:pPr>
        <w:spacing w:line="480" w:lineRule="exact"/>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3159CFE9">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lang w:eastAsia="zh-CN"/>
        </w:rPr>
        <w:t>供</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应</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eastAsia="zh-CN"/>
        </w:rPr>
        <w:t>商</w:t>
      </w:r>
      <w:r>
        <w:rPr>
          <w:rFonts w:hint="eastAsia" w:ascii="宋体" w:hAnsi="宋体" w:cs="宋体"/>
          <w:sz w:val="24"/>
          <w:szCs w:val="24"/>
          <w:highlight w:val="none"/>
        </w:rPr>
        <w:t>：（盖章）</w:t>
      </w:r>
    </w:p>
    <w:p w14:paraId="2BDE2E54">
      <w:pPr>
        <w:spacing w:line="480" w:lineRule="exact"/>
        <w:textAlignment w:val="center"/>
        <w:rPr>
          <w:rFonts w:ascii="宋体" w:hAnsi="宋体" w:cs="宋体"/>
          <w:sz w:val="24"/>
          <w:szCs w:val="24"/>
          <w:highlight w:val="none"/>
        </w:rPr>
      </w:pPr>
    </w:p>
    <w:p w14:paraId="44BF5577">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法定代表人：（签字或盖章）</w:t>
      </w:r>
    </w:p>
    <w:p w14:paraId="5BD349B1">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2C833D31">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24C781FA">
      <w:pPr>
        <w:spacing w:line="480" w:lineRule="exact"/>
        <w:ind w:firstLine="4080" w:firstLineChars="17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7BE30DCC">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委托代理人：（签字或法定代表人签章）</w:t>
      </w:r>
    </w:p>
    <w:p w14:paraId="3041FA7D">
      <w:pPr>
        <w:spacing w:line="480" w:lineRule="exact"/>
        <w:ind w:firstLine="3840" w:firstLineChars="1600"/>
        <w:textAlignment w:val="center"/>
        <w:rPr>
          <w:rFonts w:ascii="宋体" w:hAnsi="宋体" w:cs="宋体"/>
          <w:sz w:val="24"/>
          <w:szCs w:val="24"/>
          <w:highlight w:val="none"/>
        </w:rPr>
      </w:pPr>
      <w:r>
        <w:rPr>
          <w:rFonts w:hint="eastAsia" w:ascii="宋体" w:hAnsi="宋体" w:cs="宋体"/>
          <w:sz w:val="24"/>
          <w:szCs w:val="24"/>
          <w:highlight w:val="none"/>
        </w:rPr>
        <w:t xml:space="preserve"> </w:t>
      </w:r>
    </w:p>
    <w:p w14:paraId="684D0247">
      <w:pPr>
        <w:spacing w:line="480" w:lineRule="exact"/>
        <w:ind w:firstLine="3840" w:firstLineChars="1600"/>
        <w:textAlignment w:val="center"/>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22C196BF">
      <w:pPr>
        <w:spacing w:line="480" w:lineRule="exact"/>
        <w:textAlignment w:val="center"/>
        <w:rPr>
          <w:rFonts w:ascii="宋体" w:hAnsi="宋体" w:cs="宋体"/>
          <w:sz w:val="24"/>
          <w:szCs w:val="24"/>
          <w:highlight w:val="none"/>
        </w:rPr>
      </w:pPr>
      <w:r>
        <w:rPr>
          <w:rFonts w:ascii="宋体" w:hAnsi="宋体" w:cs="宋体"/>
          <w:sz w:val="24"/>
          <w:szCs w:val="24"/>
          <w:highlight w:val="none"/>
        </w:rPr>
        <w:t xml:space="preserve">            </w:t>
      </w:r>
    </w:p>
    <w:p w14:paraId="01C76A9C">
      <w:pPr>
        <w:spacing w:line="480" w:lineRule="exact"/>
        <w:ind w:firstLine="4560" w:firstLineChars="1900"/>
        <w:textAlignment w:val="center"/>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74E5A255">
      <w:pPr>
        <w:spacing w:before="312" w:beforeLines="100" w:after="156" w:afterLines="50" w:line="480" w:lineRule="exact"/>
        <w:textAlignment w:val="center"/>
        <w:rPr>
          <w:rFonts w:ascii="宋体" w:hAnsi="宋体" w:cs="宋体"/>
          <w:b/>
          <w:bCs/>
          <w:sz w:val="24"/>
          <w:szCs w:val="24"/>
          <w:highlight w:val="none"/>
        </w:rPr>
      </w:pPr>
      <w:r>
        <w:rPr>
          <w:rFonts w:hint="eastAsia" w:ascii="宋体" w:hAnsi="宋体" w:cs="宋体"/>
          <w:b/>
          <w:bCs/>
          <w:sz w:val="24"/>
          <w:szCs w:val="24"/>
          <w:highlight w:val="none"/>
        </w:rPr>
        <w:t xml:space="preserve"> </w:t>
      </w:r>
    </w:p>
    <w:p w14:paraId="6689BC21">
      <w:pPr>
        <w:widowControl/>
        <w:spacing w:line="400" w:lineRule="exact"/>
        <w:jc w:val="left"/>
        <w:rPr>
          <w:rFonts w:ascii="宋体" w:hAnsi="宋体" w:cs="宋体"/>
          <w:b/>
          <w:bCs/>
          <w:sz w:val="24"/>
          <w:szCs w:val="24"/>
          <w:highlight w:val="none"/>
        </w:rPr>
      </w:pPr>
      <w:r>
        <w:rPr>
          <w:rFonts w:hint="eastAsia" w:ascii="宋体" w:hAnsi="宋体" w:cs="宋体"/>
          <w:b/>
          <w:bCs/>
          <w:sz w:val="24"/>
          <w:szCs w:val="24"/>
          <w:highlight w:val="none"/>
        </w:rPr>
        <w:t xml:space="preserve">    </w:t>
      </w:r>
      <w:r>
        <w:rPr>
          <w:rFonts w:hint="eastAsia" w:ascii="宋体"/>
          <w:b/>
          <w:bCs/>
          <w:sz w:val="24"/>
          <w:highlight w:val="none"/>
        </w:rPr>
        <w:t>因本项目为电子标，委托代理人无法手写签字，可以电脑打印字体为准或以法定代表人签章为准。</w:t>
      </w:r>
    </w:p>
    <w:p w14:paraId="3C40DFD5">
      <w:pPr>
        <w:widowControl/>
        <w:spacing w:line="400" w:lineRule="exact"/>
        <w:jc w:val="left"/>
        <w:rPr>
          <w:rFonts w:hint="eastAsia" w:ascii="宋体" w:hAnsi="宋体" w:cs="宋体"/>
          <w:b/>
          <w:bCs/>
          <w:sz w:val="24"/>
          <w:highlight w:val="none"/>
        </w:rPr>
      </w:pPr>
      <w:r>
        <w:rPr>
          <w:rFonts w:hint="eastAsia" w:ascii="宋体" w:hAnsi="宋体" w:cs="宋体"/>
          <w:b/>
          <w:bCs/>
          <w:sz w:val="24"/>
          <w:highlight w:val="none"/>
        </w:rPr>
        <w:t xml:space="preserve"> </w:t>
      </w:r>
    </w:p>
    <w:p w14:paraId="1170D2B8">
      <w:pPr>
        <w:keepNext/>
        <w:keepLines/>
        <w:numPr>
          <w:ilvl w:val="0"/>
          <w:numId w:val="0"/>
        </w:numPr>
        <w:spacing w:before="60" w:after="60"/>
        <w:ind w:left="0" w:leftChars="0" w:firstLine="0" w:firstLineChars="0"/>
        <w:jc w:val="center"/>
        <w:outlineLvl w:val="0"/>
        <w:rPr>
          <w:rFonts w:ascii="宋体" w:hAnsi="宋体" w:cs="宋体"/>
          <w:b/>
          <w:sz w:val="30"/>
          <w:szCs w:val="30"/>
          <w:highlight w:val="none"/>
        </w:rPr>
      </w:pPr>
      <w:r>
        <w:rPr>
          <w:rFonts w:hint="eastAsia" w:ascii="宋体" w:hAnsi="宋体" w:cs="宋体"/>
          <w:b/>
          <w:sz w:val="30"/>
          <w:szCs w:val="30"/>
          <w:highlight w:val="none"/>
        </w:rPr>
        <w:br w:type="page"/>
      </w:r>
      <w:bookmarkStart w:id="164" w:name="_Toc31750"/>
      <w:r>
        <w:rPr>
          <w:rFonts w:hint="eastAsia" w:ascii="宋体" w:hAnsi="宋体" w:cs="宋体"/>
          <w:b/>
          <w:sz w:val="30"/>
          <w:szCs w:val="30"/>
          <w:highlight w:val="none"/>
          <w:lang w:val="en-US" w:eastAsia="zh-CN"/>
        </w:rPr>
        <w:t>四、</w:t>
      </w:r>
      <w:r>
        <w:rPr>
          <w:rFonts w:hint="eastAsia" w:ascii="宋体" w:hAnsi="宋体" w:cs="宋体"/>
          <w:b/>
          <w:sz w:val="30"/>
          <w:szCs w:val="30"/>
          <w:highlight w:val="none"/>
        </w:rPr>
        <w:t>磋商承诺函</w:t>
      </w:r>
      <w:bookmarkEnd w:id="164"/>
    </w:p>
    <w:p w14:paraId="2ED25F7A">
      <w:pPr>
        <w:spacing w:line="360" w:lineRule="auto"/>
        <w:ind w:firstLine="480" w:firstLineChars="200"/>
        <w:rPr>
          <w:rFonts w:ascii="宋体" w:hAnsi="宋体"/>
          <w:sz w:val="24"/>
          <w:szCs w:val="24"/>
          <w:highlight w:val="none"/>
        </w:rPr>
      </w:pPr>
      <w:r>
        <w:rPr>
          <w:rFonts w:hint="eastAsia" w:ascii="宋体" w:hAnsi="宋体"/>
          <w:sz w:val="24"/>
          <w:szCs w:val="24"/>
          <w:highlight w:val="none"/>
        </w:rPr>
        <w:t>致（招标人及招标代理机构）：</w:t>
      </w:r>
    </w:p>
    <w:p w14:paraId="7FA4D082">
      <w:pPr>
        <w:spacing w:line="360" w:lineRule="auto"/>
        <w:ind w:firstLine="480" w:firstLineChars="200"/>
        <w:rPr>
          <w:rFonts w:ascii="宋体" w:hAnsi="宋体"/>
          <w:sz w:val="24"/>
          <w:szCs w:val="24"/>
          <w:highlight w:val="none"/>
        </w:rPr>
      </w:pPr>
      <w:r>
        <w:rPr>
          <w:rFonts w:hint="eastAsia" w:ascii="宋体" w:hAnsi="宋体"/>
          <w:sz w:val="24"/>
          <w:szCs w:val="24"/>
          <w:highlight w:val="none"/>
        </w:rPr>
        <w:t>我公司作为本次磋商项目的响应人，根据竞争性磋商文件要求，现郑重承诺如下：</w:t>
      </w:r>
    </w:p>
    <w:p w14:paraId="021917A4">
      <w:pPr>
        <w:spacing w:line="360" w:lineRule="auto"/>
        <w:ind w:firstLine="480" w:firstLineChars="200"/>
        <w:rPr>
          <w:rFonts w:ascii="宋体" w:hAnsi="宋体"/>
          <w:sz w:val="24"/>
          <w:szCs w:val="24"/>
          <w:highlight w:val="none"/>
        </w:rPr>
      </w:pPr>
      <w:r>
        <w:rPr>
          <w:rFonts w:hint="eastAsia" w:ascii="宋体" w:hAnsi="宋体"/>
          <w:sz w:val="24"/>
          <w:szCs w:val="24"/>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6322C0F1">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二、参加本次磋商采购活动，不存在与单位负责人为同一人或者存在直接控股、管理关系的其他供应商参与同一合同项下的政府采购活动的行为。</w:t>
      </w:r>
    </w:p>
    <w:p w14:paraId="7BA58098">
      <w:pPr>
        <w:spacing w:line="360" w:lineRule="auto"/>
        <w:ind w:firstLine="480" w:firstLineChars="200"/>
        <w:rPr>
          <w:rFonts w:ascii="宋体" w:hAnsi="宋体"/>
          <w:sz w:val="24"/>
          <w:szCs w:val="24"/>
          <w:highlight w:val="none"/>
        </w:rPr>
      </w:pPr>
      <w:r>
        <w:rPr>
          <w:rFonts w:hint="eastAsia" w:ascii="宋体" w:hAnsi="宋体"/>
          <w:sz w:val="24"/>
          <w:szCs w:val="24"/>
          <w:highlight w:val="none"/>
        </w:rPr>
        <w:t>三、参加本次磋商活动，不存在为磋商项目提供整体设计、规范编制或者项目管理、监理、检测等服务的行为。</w:t>
      </w:r>
    </w:p>
    <w:p w14:paraId="773F5936">
      <w:pPr>
        <w:spacing w:line="360" w:lineRule="auto"/>
        <w:ind w:firstLine="480" w:firstLineChars="200"/>
        <w:rPr>
          <w:rFonts w:ascii="宋体" w:hAnsi="宋体"/>
          <w:sz w:val="24"/>
          <w:szCs w:val="24"/>
          <w:highlight w:val="none"/>
        </w:rPr>
      </w:pPr>
      <w:r>
        <w:rPr>
          <w:rFonts w:hint="eastAsia" w:ascii="宋体" w:hAnsi="宋体"/>
          <w:sz w:val="24"/>
          <w:szCs w:val="24"/>
          <w:highlight w:val="none"/>
        </w:rPr>
        <w:t>四、参加本次磋商活动，不存在和其他供应商在同一合同项下的采购项目中，同时委托同一个自然人、同一家庭的人员、同一单位的人员作为代理人的行为。</w:t>
      </w:r>
    </w:p>
    <w:p w14:paraId="767BCFA3">
      <w:pPr>
        <w:spacing w:line="360" w:lineRule="auto"/>
        <w:ind w:firstLine="480" w:firstLineChars="200"/>
        <w:rPr>
          <w:rFonts w:ascii="宋体" w:hAnsi="宋体"/>
          <w:sz w:val="24"/>
          <w:szCs w:val="24"/>
          <w:highlight w:val="none"/>
        </w:rPr>
      </w:pPr>
      <w:r>
        <w:rPr>
          <w:rFonts w:hint="eastAsia" w:ascii="宋体" w:hAnsi="宋体"/>
          <w:sz w:val="24"/>
          <w:szCs w:val="24"/>
          <w:highlight w:val="none"/>
        </w:rPr>
        <w:t>五、响应人参加本次磋商活动要求在近三年内响应人和其法定代表人没有行贿犯罪行为。</w:t>
      </w:r>
    </w:p>
    <w:p w14:paraId="5ABA46F8">
      <w:pPr>
        <w:spacing w:line="360" w:lineRule="auto"/>
        <w:ind w:firstLine="480" w:firstLineChars="200"/>
        <w:rPr>
          <w:rFonts w:ascii="宋体" w:hAnsi="宋体"/>
          <w:sz w:val="24"/>
          <w:szCs w:val="24"/>
          <w:highlight w:val="none"/>
        </w:rPr>
      </w:pPr>
      <w:r>
        <w:rPr>
          <w:rFonts w:hint="eastAsia" w:ascii="宋体" w:hAnsi="宋体"/>
          <w:sz w:val="24"/>
          <w:szCs w:val="24"/>
          <w:highlight w:val="none"/>
        </w:rPr>
        <w:t>六、参加本次磋商活动，不存在联合体磋商。</w:t>
      </w:r>
    </w:p>
    <w:p w14:paraId="0E64C69F">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七、竞争性磋商文件中提供的能够给予我公司带来优惠、好处的任何材料资料和技术、服务、商务等响应承诺情况都是真实的、有效的、合法的。</w:t>
      </w:r>
    </w:p>
    <w:p w14:paraId="18C2ADE5">
      <w:pPr>
        <w:spacing w:line="360" w:lineRule="auto"/>
        <w:ind w:firstLine="480" w:firstLineChars="200"/>
        <w:rPr>
          <w:rFonts w:ascii="宋体" w:hAnsi="宋体"/>
          <w:sz w:val="24"/>
          <w:szCs w:val="24"/>
          <w:highlight w:val="none"/>
        </w:rPr>
      </w:pPr>
      <w:r>
        <w:rPr>
          <w:rFonts w:hint="eastAsia" w:ascii="宋体" w:hAnsi="宋体"/>
          <w:sz w:val="24"/>
          <w:szCs w:val="24"/>
          <w:highlight w:val="none"/>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6B18F163">
      <w:pPr>
        <w:spacing w:line="360" w:lineRule="auto"/>
        <w:ind w:firstLine="480" w:firstLineChars="200"/>
        <w:rPr>
          <w:rFonts w:ascii="宋体" w:hAnsi="宋体"/>
          <w:sz w:val="24"/>
          <w:szCs w:val="24"/>
          <w:highlight w:val="none"/>
        </w:rPr>
      </w:pPr>
      <w:r>
        <w:rPr>
          <w:rFonts w:hint="eastAsia" w:ascii="宋体" w:hAnsi="宋体"/>
          <w:sz w:val="24"/>
          <w:szCs w:val="24"/>
          <w:highlight w:val="none"/>
        </w:rPr>
        <w:t>九、存在以下行为之一的愿意接受相关部门的处理：</w:t>
      </w:r>
    </w:p>
    <w:p w14:paraId="08BDF173">
      <w:pPr>
        <w:spacing w:line="360" w:lineRule="auto"/>
        <w:ind w:firstLine="480" w:firstLineChars="200"/>
        <w:rPr>
          <w:rFonts w:ascii="宋体" w:hAnsi="宋体"/>
          <w:sz w:val="24"/>
          <w:szCs w:val="24"/>
          <w:highlight w:val="none"/>
        </w:rPr>
      </w:pPr>
      <w:r>
        <w:rPr>
          <w:rFonts w:hint="eastAsia" w:ascii="宋体" w:hAnsi="宋体"/>
          <w:sz w:val="24"/>
          <w:szCs w:val="24"/>
          <w:highlight w:val="none"/>
        </w:rPr>
        <w:t>（一）磋商有效期内撤销竞争性磋商文件的；</w:t>
      </w:r>
    </w:p>
    <w:p w14:paraId="703088FE">
      <w:pPr>
        <w:spacing w:line="360" w:lineRule="auto"/>
        <w:ind w:firstLine="480" w:firstLineChars="200"/>
        <w:rPr>
          <w:rFonts w:ascii="宋体" w:hAnsi="宋体"/>
          <w:sz w:val="24"/>
          <w:szCs w:val="24"/>
          <w:highlight w:val="none"/>
        </w:rPr>
      </w:pPr>
      <w:r>
        <w:rPr>
          <w:rFonts w:hint="eastAsia" w:ascii="宋体" w:hAnsi="宋体"/>
          <w:sz w:val="24"/>
          <w:szCs w:val="24"/>
          <w:highlight w:val="none"/>
        </w:rPr>
        <w:t>（二）在招标人确定中标人以前放弃中标候选资格的；</w:t>
      </w:r>
    </w:p>
    <w:p w14:paraId="4FF62E7D">
      <w:pPr>
        <w:spacing w:line="360" w:lineRule="auto"/>
        <w:ind w:firstLine="480" w:firstLineChars="200"/>
        <w:rPr>
          <w:rFonts w:ascii="宋体" w:hAnsi="宋体"/>
          <w:sz w:val="24"/>
          <w:szCs w:val="24"/>
          <w:highlight w:val="none"/>
        </w:rPr>
      </w:pPr>
      <w:r>
        <w:rPr>
          <w:rFonts w:hint="eastAsia" w:ascii="宋体" w:hAnsi="宋体"/>
          <w:sz w:val="24"/>
          <w:szCs w:val="24"/>
          <w:highlight w:val="none"/>
        </w:rPr>
        <w:t>（三）由于中标人的原因未能按照竞争性磋商文件的规定与招标人签订合同；</w:t>
      </w:r>
    </w:p>
    <w:p w14:paraId="37C58925">
      <w:pPr>
        <w:spacing w:line="360" w:lineRule="auto"/>
        <w:ind w:firstLine="480" w:firstLineChars="200"/>
        <w:rPr>
          <w:rFonts w:ascii="宋体" w:hAnsi="宋体"/>
          <w:sz w:val="24"/>
          <w:szCs w:val="24"/>
          <w:highlight w:val="none"/>
        </w:rPr>
      </w:pPr>
      <w:r>
        <w:rPr>
          <w:rFonts w:hint="eastAsia" w:ascii="宋体" w:hAnsi="宋体"/>
          <w:sz w:val="24"/>
          <w:szCs w:val="24"/>
          <w:highlight w:val="none"/>
        </w:rPr>
        <w:t>（四）由于中标人的原因未能按照竞争性磋商文件的规定交纳履约保证金；</w:t>
      </w:r>
    </w:p>
    <w:p w14:paraId="48E6F97E">
      <w:pPr>
        <w:spacing w:line="360" w:lineRule="auto"/>
        <w:ind w:firstLine="480" w:firstLineChars="200"/>
        <w:rPr>
          <w:rFonts w:ascii="宋体" w:hAnsi="宋体"/>
          <w:sz w:val="24"/>
          <w:szCs w:val="24"/>
          <w:highlight w:val="none"/>
        </w:rPr>
      </w:pPr>
      <w:r>
        <w:rPr>
          <w:rFonts w:hint="eastAsia" w:ascii="宋体" w:hAnsi="宋体"/>
          <w:sz w:val="24"/>
          <w:szCs w:val="24"/>
          <w:highlight w:val="none"/>
        </w:rPr>
        <w:t>（五）在响应文件中提供虚假材料谋取中标；</w:t>
      </w:r>
    </w:p>
    <w:p w14:paraId="321C1AC5">
      <w:pPr>
        <w:spacing w:line="360" w:lineRule="auto"/>
        <w:ind w:firstLine="480" w:firstLineChars="200"/>
        <w:rPr>
          <w:rFonts w:ascii="宋体" w:hAnsi="宋体"/>
          <w:sz w:val="24"/>
          <w:szCs w:val="24"/>
          <w:highlight w:val="none"/>
        </w:rPr>
      </w:pPr>
      <w:r>
        <w:rPr>
          <w:rFonts w:hint="eastAsia" w:ascii="宋体" w:hAnsi="宋体"/>
          <w:sz w:val="24"/>
          <w:szCs w:val="24"/>
          <w:highlight w:val="none"/>
        </w:rPr>
        <w:t>（六）与招标人、其他响应人或者招标代理机构恶意串通的；</w:t>
      </w:r>
    </w:p>
    <w:p w14:paraId="1B7F15F6">
      <w:pPr>
        <w:spacing w:line="360" w:lineRule="auto"/>
        <w:ind w:firstLine="480" w:firstLineChars="200"/>
        <w:rPr>
          <w:rFonts w:ascii="宋体" w:hAnsi="宋体"/>
          <w:sz w:val="24"/>
          <w:szCs w:val="24"/>
          <w:highlight w:val="none"/>
        </w:rPr>
      </w:pPr>
      <w:r>
        <w:rPr>
          <w:rFonts w:hint="eastAsia" w:ascii="宋体" w:hAnsi="宋体"/>
          <w:sz w:val="24"/>
          <w:szCs w:val="24"/>
          <w:highlight w:val="none"/>
        </w:rPr>
        <w:t>（七）磋商有效期内，响应人在政府采购活动中有违法、违规、违纪行为。</w:t>
      </w:r>
    </w:p>
    <w:p w14:paraId="202FA458">
      <w:pPr>
        <w:spacing w:line="360" w:lineRule="auto"/>
        <w:ind w:firstLine="480" w:firstLineChars="200"/>
        <w:rPr>
          <w:rFonts w:ascii="宋体" w:hAnsi="宋体"/>
          <w:sz w:val="24"/>
          <w:szCs w:val="24"/>
          <w:highlight w:val="none"/>
        </w:rPr>
      </w:pPr>
      <w:r>
        <w:rPr>
          <w:rFonts w:hint="eastAsia" w:ascii="宋体" w:hAnsi="宋体"/>
          <w:sz w:val="24"/>
          <w:szCs w:val="24"/>
          <w:highlight w:val="none"/>
        </w:rPr>
        <w:t>由此产生的一切法律后果和责任由我公司承担。我公司声明放弃对此提出任何异议和追索的权利。</w:t>
      </w:r>
    </w:p>
    <w:p w14:paraId="2B936CEE">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本公司对上述承诺的内容事项真实性负责。如经查实上述承诺的内容事项存在虚假，我公司愿意接受以提供虚假材料谋取中标追究法律责任。</w:t>
      </w:r>
    </w:p>
    <w:p w14:paraId="7AED7A55">
      <w:pPr>
        <w:spacing w:line="360" w:lineRule="auto"/>
        <w:ind w:firstLine="480" w:firstLineChars="200"/>
        <w:rPr>
          <w:rFonts w:ascii="宋体" w:hAnsi="宋体"/>
          <w:sz w:val="24"/>
          <w:szCs w:val="24"/>
          <w:highlight w:val="none"/>
        </w:rPr>
      </w:pPr>
    </w:p>
    <w:p w14:paraId="08725E34">
      <w:pPr>
        <w:snapToGrid w:val="0"/>
        <w:spacing w:line="360" w:lineRule="auto"/>
        <w:rPr>
          <w:kern w:val="0"/>
          <w:sz w:val="24"/>
          <w:szCs w:val="24"/>
          <w:highlight w:val="none"/>
        </w:rPr>
      </w:pPr>
    </w:p>
    <w:p w14:paraId="6B3BDA98">
      <w:pPr>
        <w:spacing w:line="360" w:lineRule="auto"/>
        <w:ind w:firstLine="480" w:firstLineChars="200"/>
        <w:rPr>
          <w:rFonts w:ascii="宋体" w:hAnsi="宋体"/>
          <w:sz w:val="24"/>
          <w:szCs w:val="24"/>
          <w:highlight w:val="none"/>
        </w:rPr>
      </w:pPr>
      <w:r>
        <w:rPr>
          <w:rFonts w:hint="eastAsia" w:ascii="宋体" w:hAnsi="宋体"/>
          <w:sz w:val="24"/>
          <w:szCs w:val="24"/>
          <w:highlight w:val="none"/>
          <w:lang w:eastAsia="zh-CN"/>
        </w:rPr>
        <w:t>供应商</w:t>
      </w:r>
      <w:r>
        <w:rPr>
          <w:rFonts w:hint="eastAsia" w:ascii="宋体" w:hAnsi="宋体"/>
          <w:sz w:val="24"/>
          <w:szCs w:val="24"/>
          <w:highlight w:val="none"/>
        </w:rPr>
        <w:t>名称：（盖章）</w:t>
      </w:r>
    </w:p>
    <w:p w14:paraId="2C6767A9">
      <w:pPr>
        <w:spacing w:line="360" w:lineRule="auto"/>
        <w:ind w:firstLine="480" w:firstLineChars="200"/>
        <w:rPr>
          <w:rFonts w:ascii="宋体" w:hAnsi="宋体"/>
          <w:sz w:val="24"/>
          <w:szCs w:val="24"/>
          <w:highlight w:val="none"/>
        </w:rPr>
      </w:pPr>
      <w:r>
        <w:rPr>
          <w:rFonts w:hint="eastAsia" w:ascii="宋体" w:hAnsi="宋体"/>
          <w:sz w:val="24"/>
          <w:szCs w:val="24"/>
          <w:highlight w:val="none"/>
        </w:rPr>
        <w:t>法定代表人或授权代表：（签字或盖章）</w:t>
      </w:r>
    </w:p>
    <w:p w14:paraId="4AE6CC51">
      <w:pPr>
        <w:spacing w:line="360" w:lineRule="auto"/>
        <w:ind w:firstLine="480" w:firstLineChars="200"/>
        <w:rPr>
          <w:rFonts w:ascii="宋体" w:hAnsi="宋体"/>
          <w:sz w:val="24"/>
          <w:szCs w:val="24"/>
          <w:highlight w:val="none"/>
        </w:rPr>
      </w:pPr>
      <w:r>
        <w:rPr>
          <w:rFonts w:hint="eastAsia" w:ascii="宋体" w:hAnsi="宋体"/>
          <w:sz w:val="24"/>
          <w:szCs w:val="24"/>
          <w:highlight w:val="none"/>
        </w:rPr>
        <w:t>日期：</w:t>
      </w:r>
    </w:p>
    <w:p w14:paraId="13372EB4">
      <w:pPr>
        <w:spacing w:line="460" w:lineRule="exact"/>
        <w:ind w:firstLine="480" w:firstLineChars="200"/>
        <w:rPr>
          <w:rFonts w:hint="eastAsia" w:ascii="宋体" w:hAnsi="宋体" w:cs="宋体"/>
          <w:sz w:val="24"/>
          <w:highlight w:val="none"/>
        </w:rPr>
      </w:pPr>
    </w:p>
    <w:p w14:paraId="2720FBA8">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0024EF96">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3507158A">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1F577149">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7EB3B3FA">
      <w:p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w:t>
      </w:r>
    </w:p>
    <w:p w14:paraId="2082A84D">
      <w:pPr>
        <w:spacing w:before="312" w:beforeLines="100" w:after="156" w:afterLines="50" w:line="480" w:lineRule="exact"/>
        <w:jc w:val="center"/>
        <w:textAlignment w:val="center"/>
        <w:rPr>
          <w:rFonts w:hint="eastAsia" w:ascii="宋体" w:hAnsi="宋体" w:cs="宋体"/>
          <w:b/>
          <w:bCs/>
          <w:sz w:val="24"/>
          <w:highlight w:val="none"/>
        </w:rPr>
      </w:pPr>
    </w:p>
    <w:p w14:paraId="6BBF2A02">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7A5D0B1D">
      <w:pPr>
        <w:spacing w:before="312" w:beforeLines="100" w:after="156" w:afterLines="50" w:line="480" w:lineRule="exact"/>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7C4BB632">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83ABBA2">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7DBBA055">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58798310">
      <w:pPr>
        <w:spacing w:before="312" w:beforeLines="100" w:after="156" w:afterLines="50" w:line="48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t xml:space="preserve"> </w:t>
      </w:r>
    </w:p>
    <w:p w14:paraId="2BDDF3FE">
      <w:pPr>
        <w:spacing w:before="312" w:beforeLines="100" w:after="156" w:afterLines="50" w:line="480" w:lineRule="exact"/>
        <w:jc w:val="center"/>
        <w:textAlignment w:val="center"/>
        <w:rPr>
          <w:rFonts w:ascii="宋体" w:hAnsi="宋体" w:cs="宋体"/>
          <w:b/>
          <w:bCs/>
          <w:sz w:val="30"/>
          <w:szCs w:val="30"/>
          <w:highlight w:val="none"/>
        </w:rPr>
      </w:pPr>
    </w:p>
    <w:p w14:paraId="24C5A616">
      <w:pPr>
        <w:spacing w:before="312" w:beforeLines="100" w:after="156" w:afterLines="50" w:line="480" w:lineRule="exact"/>
        <w:jc w:val="center"/>
        <w:textAlignment w:val="center"/>
        <w:outlineLvl w:val="0"/>
        <w:rPr>
          <w:rFonts w:hint="eastAsia" w:ascii="宋体" w:hAnsi="宋体" w:cs="宋体"/>
          <w:sz w:val="24"/>
          <w:highlight w:val="none"/>
        </w:rPr>
      </w:pPr>
      <w:bookmarkStart w:id="165" w:name="_Toc11599"/>
      <w:r>
        <w:rPr>
          <w:rFonts w:hint="eastAsia" w:ascii="宋体" w:hAnsi="宋体" w:cs="宋体"/>
          <w:b/>
          <w:bCs/>
          <w:sz w:val="30"/>
          <w:szCs w:val="30"/>
          <w:highlight w:val="none"/>
        </w:rPr>
        <w:t>五、</w:t>
      </w:r>
      <w:r>
        <w:rPr>
          <w:rFonts w:hint="eastAsia" w:ascii="宋体" w:hAnsi="宋体" w:cs="宋体"/>
          <w:b/>
          <w:bCs/>
          <w:sz w:val="30"/>
          <w:szCs w:val="30"/>
          <w:highlight w:val="none"/>
          <w:lang w:val="en-US" w:eastAsia="zh-CN"/>
        </w:rPr>
        <w:t>分项报价表</w:t>
      </w:r>
      <w:bookmarkEnd w:id="165"/>
    </w:p>
    <w:tbl>
      <w:tblPr>
        <w:tblStyle w:val="19"/>
        <w:tblW w:w="11550" w:type="dxa"/>
        <w:tblInd w:w="-1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46"/>
        <w:gridCol w:w="4391"/>
        <w:gridCol w:w="722"/>
        <w:gridCol w:w="764"/>
        <w:gridCol w:w="1214"/>
        <w:gridCol w:w="1186"/>
        <w:gridCol w:w="750"/>
      </w:tblGrid>
      <w:tr w14:paraId="3128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14:paraId="0FD7ACD5">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序号</w:t>
            </w:r>
          </w:p>
        </w:tc>
        <w:tc>
          <w:tcPr>
            <w:tcW w:w="1746" w:type="dxa"/>
          </w:tcPr>
          <w:p w14:paraId="48D5F764">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产品名称</w:t>
            </w:r>
          </w:p>
        </w:tc>
        <w:tc>
          <w:tcPr>
            <w:tcW w:w="4391" w:type="dxa"/>
          </w:tcPr>
          <w:p w14:paraId="57498A38">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规格/型号</w:t>
            </w:r>
          </w:p>
        </w:tc>
        <w:tc>
          <w:tcPr>
            <w:tcW w:w="722" w:type="dxa"/>
          </w:tcPr>
          <w:p w14:paraId="61ED345D">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单位</w:t>
            </w:r>
          </w:p>
        </w:tc>
        <w:tc>
          <w:tcPr>
            <w:tcW w:w="764" w:type="dxa"/>
          </w:tcPr>
          <w:p w14:paraId="7C22C44C">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数量</w:t>
            </w:r>
          </w:p>
        </w:tc>
        <w:tc>
          <w:tcPr>
            <w:tcW w:w="1214" w:type="dxa"/>
          </w:tcPr>
          <w:p w14:paraId="0B3A5D38">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单价（元）</w:t>
            </w:r>
          </w:p>
        </w:tc>
        <w:tc>
          <w:tcPr>
            <w:tcW w:w="1186" w:type="dxa"/>
          </w:tcPr>
          <w:p w14:paraId="4B3D9D14">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总价（元）</w:t>
            </w:r>
          </w:p>
        </w:tc>
        <w:tc>
          <w:tcPr>
            <w:tcW w:w="750" w:type="dxa"/>
          </w:tcPr>
          <w:p w14:paraId="16BE76F0">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备注</w:t>
            </w:r>
          </w:p>
        </w:tc>
      </w:tr>
      <w:tr w14:paraId="305F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7071CEB0">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c>
          <w:tcPr>
            <w:tcW w:w="1746" w:type="dxa"/>
            <w:vAlign w:val="center"/>
          </w:tcPr>
          <w:p w14:paraId="41CC812F">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制冷冷凝机组</w:t>
            </w:r>
          </w:p>
        </w:tc>
        <w:tc>
          <w:tcPr>
            <w:tcW w:w="4391" w:type="dxa"/>
            <w:vAlign w:val="center"/>
          </w:tcPr>
          <w:p w14:paraId="6C742BF4">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1. 制冷机组25HP,机组包含压缩机，风冷冷凝器，储液器，压力表，过滤器，压力控制，油分离器，避震管，冷凝电机，机架等，额定功率20KW，机油型号3GS，制冷量37KW，最大运行电流45A.冷凝器换热面积260㎡。   </w:t>
            </w:r>
          </w:p>
          <w:p w14:paraId="6057484B">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2.包含设备安装、调试、运输费用     </w:t>
            </w:r>
          </w:p>
        </w:tc>
        <w:tc>
          <w:tcPr>
            <w:tcW w:w="722" w:type="dxa"/>
            <w:vAlign w:val="center"/>
          </w:tcPr>
          <w:p w14:paraId="546F44C3">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套</w:t>
            </w:r>
          </w:p>
        </w:tc>
        <w:tc>
          <w:tcPr>
            <w:tcW w:w="764" w:type="dxa"/>
            <w:vAlign w:val="center"/>
          </w:tcPr>
          <w:p w14:paraId="4C02BB1C">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1214" w:type="dxa"/>
            <w:vAlign w:val="center"/>
          </w:tcPr>
          <w:p w14:paraId="22332E6A">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1186" w:type="dxa"/>
            <w:vAlign w:val="center"/>
          </w:tcPr>
          <w:p w14:paraId="768E6850">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750" w:type="dxa"/>
            <w:vAlign w:val="center"/>
          </w:tcPr>
          <w:p w14:paraId="773A5B37">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r w14:paraId="4478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04AC1630">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1746" w:type="dxa"/>
            <w:vAlign w:val="center"/>
          </w:tcPr>
          <w:p w14:paraId="7AEF1F88">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冷风机</w:t>
            </w:r>
          </w:p>
        </w:tc>
        <w:tc>
          <w:tcPr>
            <w:tcW w:w="4391" w:type="dxa"/>
            <w:vAlign w:val="center"/>
          </w:tcPr>
          <w:p w14:paraId="6266C402">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1.DD160</w:t>
            </w:r>
          </w:p>
          <w:p w14:paraId="121D3F00">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2.采用国内知名品牌自带热保护；铜管加铝翅片制成，片距≥6mm，换热面积≥库房面积的两倍；</w:t>
            </w:r>
          </w:p>
          <w:p w14:paraId="173D1077">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3.外壳材质：镀铝锌板；化霜方式：水冲霜；高配 </w:t>
            </w:r>
          </w:p>
          <w:p w14:paraId="57484ECE">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4.包含设备安装、调试、运输费用 </w:t>
            </w:r>
          </w:p>
        </w:tc>
        <w:tc>
          <w:tcPr>
            <w:tcW w:w="722" w:type="dxa"/>
            <w:vAlign w:val="center"/>
          </w:tcPr>
          <w:p w14:paraId="5DA077A1">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台</w:t>
            </w:r>
          </w:p>
        </w:tc>
        <w:tc>
          <w:tcPr>
            <w:tcW w:w="764" w:type="dxa"/>
            <w:vAlign w:val="center"/>
          </w:tcPr>
          <w:p w14:paraId="665A451E">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4</w:t>
            </w:r>
          </w:p>
        </w:tc>
        <w:tc>
          <w:tcPr>
            <w:tcW w:w="1214" w:type="dxa"/>
            <w:vAlign w:val="center"/>
          </w:tcPr>
          <w:p w14:paraId="3FBDF80E">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1186" w:type="dxa"/>
            <w:vAlign w:val="center"/>
          </w:tcPr>
          <w:p w14:paraId="00117E09">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750" w:type="dxa"/>
            <w:vAlign w:val="center"/>
          </w:tcPr>
          <w:p w14:paraId="1B8F7555">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r w14:paraId="07B6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097465FE">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3</w:t>
            </w:r>
          </w:p>
        </w:tc>
        <w:tc>
          <w:tcPr>
            <w:tcW w:w="1746" w:type="dxa"/>
            <w:vAlign w:val="center"/>
          </w:tcPr>
          <w:p w14:paraId="3B84157F">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离心式风幕机</w:t>
            </w:r>
          </w:p>
        </w:tc>
        <w:tc>
          <w:tcPr>
            <w:tcW w:w="4391" w:type="dxa"/>
            <w:vAlign w:val="center"/>
          </w:tcPr>
          <w:p w14:paraId="0E3A8FE2">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1.3000型、功率1.1KW</w:t>
            </w:r>
          </w:p>
          <w:p w14:paraId="79A3274D">
            <w:p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 xml:space="preserve">2.包含设备安装、调试、运输费用  </w:t>
            </w:r>
          </w:p>
        </w:tc>
        <w:tc>
          <w:tcPr>
            <w:tcW w:w="722" w:type="dxa"/>
            <w:vAlign w:val="center"/>
          </w:tcPr>
          <w:p w14:paraId="2B1D6A16">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台</w:t>
            </w:r>
          </w:p>
        </w:tc>
        <w:tc>
          <w:tcPr>
            <w:tcW w:w="764" w:type="dxa"/>
            <w:vAlign w:val="center"/>
          </w:tcPr>
          <w:p w14:paraId="3AF9F02F">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w:t>
            </w:r>
          </w:p>
        </w:tc>
        <w:tc>
          <w:tcPr>
            <w:tcW w:w="1214" w:type="dxa"/>
            <w:vAlign w:val="center"/>
          </w:tcPr>
          <w:p w14:paraId="73C8AB7D">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1186" w:type="dxa"/>
            <w:vAlign w:val="center"/>
          </w:tcPr>
          <w:p w14:paraId="0FFB2659">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750" w:type="dxa"/>
            <w:vAlign w:val="center"/>
          </w:tcPr>
          <w:p w14:paraId="549C8B8A">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r w14:paraId="5E17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5040EE07">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4</w:t>
            </w:r>
          </w:p>
        </w:tc>
        <w:tc>
          <w:tcPr>
            <w:tcW w:w="1746" w:type="dxa"/>
            <w:vAlign w:val="center"/>
          </w:tcPr>
          <w:p w14:paraId="7AB0F2EE">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变压器</w:t>
            </w:r>
          </w:p>
        </w:tc>
        <w:tc>
          <w:tcPr>
            <w:tcW w:w="4391" w:type="dxa"/>
            <w:vAlign w:val="center"/>
          </w:tcPr>
          <w:p w14:paraId="1032F7A9">
            <w:pPr>
              <w:numPr>
                <w:ilvl w:val="0"/>
                <w:numId w:val="0"/>
              </w:num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1.变压器</w:t>
            </w:r>
          </w:p>
          <w:p w14:paraId="40432941">
            <w:pPr>
              <w:numPr>
                <w:ilvl w:val="0"/>
                <w:numId w:val="0"/>
              </w:numPr>
              <w:spacing w:line="360" w:lineRule="auto"/>
              <w:jc w:val="left"/>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2.S13-100KVA</w:t>
            </w:r>
          </w:p>
        </w:tc>
        <w:tc>
          <w:tcPr>
            <w:tcW w:w="722" w:type="dxa"/>
            <w:vAlign w:val="center"/>
          </w:tcPr>
          <w:p w14:paraId="5E57E625">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台</w:t>
            </w:r>
          </w:p>
        </w:tc>
        <w:tc>
          <w:tcPr>
            <w:tcW w:w="764" w:type="dxa"/>
            <w:vAlign w:val="center"/>
          </w:tcPr>
          <w:p w14:paraId="2E666873">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1</w:t>
            </w:r>
          </w:p>
        </w:tc>
        <w:tc>
          <w:tcPr>
            <w:tcW w:w="1214" w:type="dxa"/>
            <w:vAlign w:val="center"/>
          </w:tcPr>
          <w:p w14:paraId="1C503528">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1186" w:type="dxa"/>
            <w:vAlign w:val="center"/>
          </w:tcPr>
          <w:p w14:paraId="046914CD">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750" w:type="dxa"/>
            <w:vAlign w:val="center"/>
          </w:tcPr>
          <w:p w14:paraId="536A0E96">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r w14:paraId="5D5D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359C0D47">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5</w:t>
            </w:r>
          </w:p>
        </w:tc>
        <w:tc>
          <w:tcPr>
            <w:tcW w:w="1746" w:type="dxa"/>
            <w:vAlign w:val="center"/>
          </w:tcPr>
          <w:p w14:paraId="5287929C">
            <w:pPr>
              <w:spacing w:line="360" w:lineRule="auto"/>
              <w:jc w:val="center"/>
              <w:rPr>
                <w:rFonts w:hint="default" w:asciiTheme="minorEastAsia" w:hAnsiTheme="minorEastAsia" w:eastAsiaTheme="minorEastAsia" w:cstheme="minorEastAsia"/>
                <w:sz w:val="24"/>
                <w:szCs w:val="24"/>
                <w:highlight w:val="none"/>
                <w:vertAlign w:val="baseline"/>
                <w:lang w:val="en-US" w:eastAsia="zh-CN" w:bidi="ar"/>
              </w:rPr>
            </w:pPr>
            <w:r>
              <w:rPr>
                <w:rFonts w:hint="eastAsia" w:asciiTheme="minorEastAsia" w:hAnsiTheme="minorEastAsia" w:eastAsiaTheme="minorEastAsia" w:cstheme="minorEastAsia"/>
                <w:sz w:val="24"/>
                <w:szCs w:val="24"/>
                <w:highlight w:val="none"/>
                <w:vertAlign w:val="baseline"/>
                <w:lang w:val="en-US" w:eastAsia="zh-CN" w:bidi="ar"/>
              </w:rPr>
              <w:t>合计</w:t>
            </w:r>
          </w:p>
        </w:tc>
        <w:tc>
          <w:tcPr>
            <w:tcW w:w="4391" w:type="dxa"/>
            <w:vAlign w:val="center"/>
          </w:tcPr>
          <w:p w14:paraId="4DBC70F0">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722" w:type="dxa"/>
            <w:vAlign w:val="center"/>
          </w:tcPr>
          <w:p w14:paraId="27CBD625">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764" w:type="dxa"/>
            <w:vAlign w:val="center"/>
          </w:tcPr>
          <w:p w14:paraId="11C2AA41">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1214" w:type="dxa"/>
            <w:vAlign w:val="center"/>
          </w:tcPr>
          <w:p w14:paraId="5BBD0765">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1186" w:type="dxa"/>
            <w:vAlign w:val="center"/>
          </w:tcPr>
          <w:p w14:paraId="3875D0BC">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c>
          <w:tcPr>
            <w:tcW w:w="750" w:type="dxa"/>
            <w:vAlign w:val="center"/>
          </w:tcPr>
          <w:p w14:paraId="6380183B">
            <w:pPr>
              <w:spacing w:line="360" w:lineRule="auto"/>
              <w:jc w:val="center"/>
              <w:rPr>
                <w:rFonts w:hint="eastAsia" w:asciiTheme="minorEastAsia" w:hAnsiTheme="minorEastAsia" w:eastAsiaTheme="minorEastAsia" w:cstheme="minorEastAsia"/>
                <w:sz w:val="24"/>
                <w:szCs w:val="24"/>
                <w:highlight w:val="none"/>
                <w:vertAlign w:val="baseline"/>
                <w:lang w:val="en-US" w:eastAsia="zh-CN" w:bidi="ar"/>
              </w:rPr>
            </w:pPr>
          </w:p>
        </w:tc>
      </w:tr>
    </w:tbl>
    <w:p w14:paraId="1F454408">
      <w:pPr>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注：如表格不足时</w:t>
      </w:r>
      <w:r>
        <w:rPr>
          <w:rFonts w:hint="eastAsia" w:ascii="宋体" w:hAnsi="宋体" w:cs="宋体"/>
          <w:sz w:val="24"/>
          <w:szCs w:val="24"/>
          <w:lang w:eastAsia="zh-CN"/>
        </w:rPr>
        <w:t>供应商</w:t>
      </w:r>
      <w:r>
        <w:rPr>
          <w:rFonts w:hint="eastAsia" w:ascii="宋体" w:hAnsi="宋体" w:eastAsia="宋体" w:cs="宋体"/>
          <w:sz w:val="24"/>
          <w:szCs w:val="24"/>
        </w:rPr>
        <w:t>可根据需要自行添加。</w:t>
      </w:r>
    </w:p>
    <w:p w14:paraId="7FD68E08">
      <w:pPr>
        <w:numPr>
          <w:ilvl w:val="0"/>
          <w:numId w:val="6"/>
        </w:num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投标费用包括项目实施所需的人工费、服务费、运输费、安装调试费、购买及制作标书费、税费及其他一切费用。</w:t>
      </w:r>
    </w:p>
    <w:p w14:paraId="3D4C5AA6">
      <w:pPr>
        <w:spacing w:before="312" w:beforeLines="100" w:after="156" w:afterLines="50" w:line="480" w:lineRule="exact"/>
        <w:jc w:val="both"/>
        <w:textAlignment w:val="center"/>
        <w:rPr>
          <w:rFonts w:hint="eastAsia" w:ascii="宋体" w:hAnsi="宋体" w:cs="宋体"/>
          <w:b/>
          <w:bCs/>
          <w:sz w:val="24"/>
          <w:highlight w:val="none"/>
        </w:rPr>
      </w:pPr>
    </w:p>
    <w:p w14:paraId="79C1AC0D">
      <w:pPr>
        <w:spacing w:line="360" w:lineRule="auto"/>
        <w:ind w:firstLine="480" w:firstLineChars="200"/>
        <w:rPr>
          <w:rFonts w:ascii="宋体" w:hAnsi="宋体"/>
          <w:sz w:val="24"/>
          <w:szCs w:val="24"/>
          <w:highlight w:val="none"/>
        </w:rPr>
      </w:pPr>
      <w:r>
        <w:rPr>
          <w:rFonts w:hint="eastAsia" w:ascii="宋体" w:hAnsi="宋体" w:cs="宋体"/>
          <w:sz w:val="24"/>
          <w:highlight w:val="none"/>
        </w:rPr>
        <w:t xml:space="preserve"> </w:t>
      </w:r>
      <w:r>
        <w:rPr>
          <w:rFonts w:hint="eastAsia" w:ascii="宋体" w:hAnsi="宋体"/>
          <w:sz w:val="24"/>
          <w:szCs w:val="24"/>
          <w:highlight w:val="none"/>
          <w:lang w:eastAsia="zh-CN"/>
        </w:rPr>
        <w:t>供应商</w:t>
      </w:r>
      <w:r>
        <w:rPr>
          <w:rFonts w:hint="eastAsia" w:ascii="宋体" w:hAnsi="宋体"/>
          <w:sz w:val="24"/>
          <w:szCs w:val="24"/>
          <w:highlight w:val="none"/>
        </w:rPr>
        <w:t>名称：（盖章）</w:t>
      </w:r>
    </w:p>
    <w:p w14:paraId="6D682BB1">
      <w:pPr>
        <w:spacing w:line="360" w:lineRule="auto"/>
        <w:ind w:firstLine="480" w:firstLineChars="200"/>
        <w:rPr>
          <w:rFonts w:ascii="宋体" w:hAnsi="宋体"/>
          <w:sz w:val="24"/>
          <w:szCs w:val="24"/>
          <w:highlight w:val="none"/>
        </w:rPr>
      </w:pPr>
      <w:r>
        <w:rPr>
          <w:rFonts w:hint="eastAsia" w:ascii="宋体" w:hAnsi="宋体"/>
          <w:sz w:val="24"/>
          <w:szCs w:val="24"/>
          <w:highlight w:val="none"/>
        </w:rPr>
        <w:t>法定代表人或授权代表：（签字或盖章）</w:t>
      </w:r>
    </w:p>
    <w:p w14:paraId="37E0A4FF">
      <w:pPr>
        <w:spacing w:line="360" w:lineRule="auto"/>
        <w:ind w:firstLine="480" w:firstLineChars="200"/>
        <w:rPr>
          <w:rFonts w:ascii="宋体" w:hAnsi="宋体"/>
          <w:sz w:val="24"/>
          <w:szCs w:val="24"/>
          <w:highlight w:val="none"/>
        </w:rPr>
      </w:pPr>
      <w:r>
        <w:rPr>
          <w:rFonts w:hint="eastAsia" w:ascii="宋体" w:hAnsi="宋体"/>
          <w:sz w:val="24"/>
          <w:szCs w:val="24"/>
          <w:highlight w:val="none"/>
        </w:rPr>
        <w:t>日期：</w:t>
      </w:r>
    </w:p>
    <w:p w14:paraId="5B98F518">
      <w:pPr>
        <w:jc w:val="both"/>
        <w:outlineLvl w:val="0"/>
        <w:rPr>
          <w:rFonts w:hint="eastAsia" w:ascii="宋体" w:hAnsi="宋体" w:eastAsia="宋体" w:cs="宋体"/>
          <w:b/>
          <w:bCs/>
          <w:color w:val="auto"/>
          <w:sz w:val="28"/>
          <w:szCs w:val="28"/>
          <w:highlight w:val="none"/>
          <w:lang w:val="en-US" w:eastAsia="zh-CN"/>
        </w:rPr>
      </w:pPr>
      <w:bookmarkStart w:id="166" w:name="_Toc20313"/>
    </w:p>
    <w:p w14:paraId="756D3FB9">
      <w:pPr>
        <w:jc w:val="center"/>
        <w:outlineLvl w:val="0"/>
        <w:rPr>
          <w:rFonts w:ascii="Times New Roman" w:hAnsi="Times New Roman" w:eastAsia="宋体" w:cs="Arial"/>
          <w:b/>
          <w:bCs/>
          <w:color w:val="auto"/>
          <w:sz w:val="24"/>
          <w:szCs w:val="24"/>
          <w:highlight w:val="none"/>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、技术规格偏离表</w:t>
      </w:r>
      <w:bookmarkEnd w:id="166"/>
    </w:p>
    <w:tbl>
      <w:tblPr>
        <w:tblStyle w:val="1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309"/>
        <w:gridCol w:w="2977"/>
        <w:gridCol w:w="2479"/>
        <w:gridCol w:w="1281"/>
        <w:gridCol w:w="923"/>
      </w:tblGrid>
      <w:tr w14:paraId="3C51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CE234D0">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09" w:type="dxa"/>
            <w:tcBorders>
              <w:top w:val="single" w:color="auto" w:sz="4" w:space="0"/>
              <w:left w:val="nil"/>
              <w:bottom w:val="single" w:color="auto" w:sz="4" w:space="0"/>
              <w:right w:val="single" w:color="auto" w:sz="4" w:space="0"/>
            </w:tcBorders>
            <w:vAlign w:val="center"/>
          </w:tcPr>
          <w:p w14:paraId="7B1F7289">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2977" w:type="dxa"/>
            <w:tcBorders>
              <w:top w:val="single" w:color="auto" w:sz="4" w:space="0"/>
              <w:left w:val="nil"/>
              <w:bottom w:val="single" w:color="auto" w:sz="4" w:space="0"/>
              <w:right w:val="single" w:color="auto" w:sz="4" w:space="0"/>
            </w:tcBorders>
            <w:vAlign w:val="center"/>
          </w:tcPr>
          <w:p w14:paraId="3AD3863B">
            <w:pPr>
              <w:spacing w:line="4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文件要求规格或参数</w:t>
            </w:r>
          </w:p>
        </w:tc>
        <w:tc>
          <w:tcPr>
            <w:tcW w:w="2479" w:type="dxa"/>
            <w:tcBorders>
              <w:top w:val="single" w:color="auto" w:sz="4" w:space="0"/>
              <w:left w:val="nil"/>
              <w:bottom w:val="single" w:color="auto" w:sz="4" w:space="0"/>
              <w:right w:val="single" w:color="auto" w:sz="4" w:space="0"/>
            </w:tcBorders>
            <w:vAlign w:val="center"/>
          </w:tcPr>
          <w:p w14:paraId="385BB730">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投标货物规格或参数</w:t>
            </w:r>
          </w:p>
        </w:tc>
        <w:tc>
          <w:tcPr>
            <w:tcW w:w="1281" w:type="dxa"/>
            <w:tcBorders>
              <w:top w:val="single" w:color="auto" w:sz="4" w:space="0"/>
              <w:left w:val="nil"/>
              <w:bottom w:val="single" w:color="auto" w:sz="4" w:space="0"/>
              <w:right w:val="single" w:color="auto" w:sz="4" w:space="0"/>
            </w:tcBorders>
            <w:vAlign w:val="center"/>
          </w:tcPr>
          <w:p w14:paraId="4C4B57EA">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c>
          <w:tcPr>
            <w:tcW w:w="923" w:type="dxa"/>
            <w:tcBorders>
              <w:top w:val="single" w:color="auto" w:sz="4" w:space="0"/>
              <w:left w:val="nil"/>
              <w:bottom w:val="single" w:color="auto" w:sz="4" w:space="0"/>
              <w:right w:val="single" w:color="auto" w:sz="4" w:space="0"/>
            </w:tcBorders>
            <w:vAlign w:val="center"/>
          </w:tcPr>
          <w:p w14:paraId="6E50F07A">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C72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EC37381">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09" w:type="dxa"/>
            <w:tcBorders>
              <w:top w:val="single" w:color="auto" w:sz="4" w:space="0"/>
              <w:left w:val="nil"/>
              <w:bottom w:val="single" w:color="auto" w:sz="4" w:space="0"/>
              <w:right w:val="single" w:color="auto" w:sz="4" w:space="0"/>
            </w:tcBorders>
            <w:vAlign w:val="center"/>
          </w:tcPr>
          <w:p w14:paraId="5B7BE069">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6C8B6591">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5E60F622">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61BABD48">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36CAE262">
            <w:pPr>
              <w:spacing w:line="480" w:lineRule="exact"/>
              <w:jc w:val="center"/>
              <w:rPr>
                <w:rFonts w:ascii="宋体" w:hAnsi="宋体" w:eastAsia="宋体" w:cs="宋体"/>
                <w:color w:val="auto"/>
                <w:sz w:val="24"/>
                <w:szCs w:val="24"/>
                <w:highlight w:val="none"/>
              </w:rPr>
            </w:pPr>
          </w:p>
        </w:tc>
      </w:tr>
      <w:tr w14:paraId="3675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FA5D21B">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09" w:type="dxa"/>
            <w:tcBorders>
              <w:top w:val="single" w:color="auto" w:sz="4" w:space="0"/>
              <w:left w:val="nil"/>
              <w:bottom w:val="single" w:color="auto" w:sz="4" w:space="0"/>
              <w:right w:val="single" w:color="auto" w:sz="4" w:space="0"/>
            </w:tcBorders>
            <w:vAlign w:val="center"/>
          </w:tcPr>
          <w:p w14:paraId="6CAF0B8C">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42C13435">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5C7C2A69">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35BEFF36">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61E38BFF">
            <w:pPr>
              <w:spacing w:line="480" w:lineRule="exact"/>
              <w:jc w:val="center"/>
              <w:rPr>
                <w:rFonts w:ascii="宋体" w:hAnsi="宋体" w:eastAsia="宋体" w:cs="宋体"/>
                <w:color w:val="auto"/>
                <w:sz w:val="24"/>
                <w:szCs w:val="24"/>
                <w:highlight w:val="none"/>
              </w:rPr>
            </w:pPr>
          </w:p>
        </w:tc>
      </w:tr>
      <w:tr w14:paraId="3FEB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98A2A08">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09" w:type="dxa"/>
            <w:tcBorders>
              <w:top w:val="single" w:color="auto" w:sz="4" w:space="0"/>
              <w:left w:val="nil"/>
              <w:bottom w:val="single" w:color="auto" w:sz="4" w:space="0"/>
              <w:right w:val="single" w:color="auto" w:sz="4" w:space="0"/>
            </w:tcBorders>
            <w:vAlign w:val="center"/>
          </w:tcPr>
          <w:p w14:paraId="75CD6150">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1D84DF81">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6913EC14">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6A58F21C">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61909370">
            <w:pPr>
              <w:spacing w:line="480" w:lineRule="exact"/>
              <w:jc w:val="center"/>
              <w:rPr>
                <w:rFonts w:ascii="宋体" w:hAnsi="宋体" w:eastAsia="宋体" w:cs="宋体"/>
                <w:color w:val="auto"/>
                <w:sz w:val="24"/>
                <w:szCs w:val="24"/>
                <w:highlight w:val="none"/>
              </w:rPr>
            </w:pPr>
          </w:p>
        </w:tc>
      </w:tr>
      <w:tr w14:paraId="4B9D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68BB652">
            <w:pPr>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09" w:type="dxa"/>
            <w:tcBorders>
              <w:top w:val="single" w:color="auto" w:sz="4" w:space="0"/>
              <w:left w:val="nil"/>
              <w:bottom w:val="single" w:color="auto" w:sz="4" w:space="0"/>
              <w:right w:val="single" w:color="auto" w:sz="4" w:space="0"/>
            </w:tcBorders>
            <w:vAlign w:val="center"/>
          </w:tcPr>
          <w:p w14:paraId="2552D633">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1ABF9BA7">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1A883F1B">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2CD0E8BF">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77875A76">
            <w:pPr>
              <w:spacing w:line="480" w:lineRule="exact"/>
              <w:jc w:val="center"/>
              <w:rPr>
                <w:rFonts w:ascii="宋体" w:hAnsi="宋体" w:eastAsia="宋体" w:cs="宋体"/>
                <w:color w:val="auto"/>
                <w:sz w:val="24"/>
                <w:szCs w:val="24"/>
                <w:highlight w:val="none"/>
              </w:rPr>
            </w:pPr>
          </w:p>
        </w:tc>
      </w:tr>
      <w:tr w14:paraId="3862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420781C">
            <w:pPr>
              <w:spacing w:line="480" w:lineRule="exact"/>
              <w:jc w:val="center"/>
              <w:rPr>
                <w:rFonts w:ascii="宋体" w:hAnsi="宋体" w:eastAsia="宋体" w:cs="宋体"/>
                <w:color w:val="auto"/>
                <w:sz w:val="24"/>
                <w:szCs w:val="24"/>
                <w:highlight w:val="none"/>
              </w:rPr>
            </w:pPr>
          </w:p>
        </w:tc>
        <w:tc>
          <w:tcPr>
            <w:tcW w:w="1309" w:type="dxa"/>
            <w:tcBorders>
              <w:top w:val="single" w:color="auto" w:sz="4" w:space="0"/>
              <w:left w:val="nil"/>
              <w:bottom w:val="single" w:color="auto" w:sz="4" w:space="0"/>
              <w:right w:val="single" w:color="auto" w:sz="4" w:space="0"/>
            </w:tcBorders>
            <w:vAlign w:val="center"/>
          </w:tcPr>
          <w:p w14:paraId="0BCA4C6E">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0728749C">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5CE32EA3">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5CB46E85">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30AED80A">
            <w:pPr>
              <w:spacing w:line="480" w:lineRule="exact"/>
              <w:jc w:val="center"/>
              <w:rPr>
                <w:rFonts w:ascii="宋体" w:hAnsi="宋体" w:eastAsia="宋体" w:cs="宋体"/>
                <w:color w:val="auto"/>
                <w:sz w:val="24"/>
                <w:szCs w:val="24"/>
                <w:highlight w:val="none"/>
              </w:rPr>
            </w:pPr>
          </w:p>
        </w:tc>
      </w:tr>
      <w:tr w14:paraId="6AFC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06638B8F">
            <w:pPr>
              <w:spacing w:line="480" w:lineRule="exact"/>
              <w:jc w:val="center"/>
              <w:rPr>
                <w:rFonts w:ascii="宋体" w:hAnsi="宋体" w:eastAsia="宋体" w:cs="宋体"/>
                <w:color w:val="auto"/>
                <w:sz w:val="24"/>
                <w:szCs w:val="24"/>
                <w:highlight w:val="none"/>
              </w:rPr>
            </w:pPr>
          </w:p>
        </w:tc>
        <w:tc>
          <w:tcPr>
            <w:tcW w:w="1309" w:type="dxa"/>
            <w:tcBorders>
              <w:top w:val="single" w:color="auto" w:sz="4" w:space="0"/>
              <w:left w:val="nil"/>
              <w:bottom w:val="single" w:color="auto" w:sz="4" w:space="0"/>
              <w:right w:val="single" w:color="auto" w:sz="4" w:space="0"/>
            </w:tcBorders>
            <w:vAlign w:val="center"/>
          </w:tcPr>
          <w:p w14:paraId="091D134D">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784C8795">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392BABF8">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49AE77A0">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50BAB099">
            <w:pPr>
              <w:spacing w:line="480" w:lineRule="exact"/>
              <w:jc w:val="center"/>
              <w:rPr>
                <w:rFonts w:ascii="宋体" w:hAnsi="宋体" w:eastAsia="宋体" w:cs="宋体"/>
                <w:color w:val="auto"/>
                <w:sz w:val="24"/>
                <w:szCs w:val="24"/>
                <w:highlight w:val="none"/>
              </w:rPr>
            </w:pPr>
          </w:p>
        </w:tc>
      </w:tr>
      <w:tr w14:paraId="094D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72E0B35B">
            <w:pPr>
              <w:spacing w:line="480" w:lineRule="exact"/>
              <w:jc w:val="center"/>
              <w:rPr>
                <w:rFonts w:ascii="宋体" w:hAnsi="宋体" w:eastAsia="宋体" w:cs="宋体"/>
                <w:color w:val="auto"/>
                <w:sz w:val="24"/>
                <w:szCs w:val="24"/>
                <w:highlight w:val="none"/>
              </w:rPr>
            </w:pPr>
          </w:p>
        </w:tc>
        <w:tc>
          <w:tcPr>
            <w:tcW w:w="1309" w:type="dxa"/>
            <w:tcBorders>
              <w:top w:val="single" w:color="auto" w:sz="4" w:space="0"/>
              <w:left w:val="nil"/>
              <w:bottom w:val="single" w:color="auto" w:sz="4" w:space="0"/>
              <w:right w:val="single" w:color="auto" w:sz="4" w:space="0"/>
            </w:tcBorders>
            <w:vAlign w:val="center"/>
          </w:tcPr>
          <w:p w14:paraId="3FDF8B65">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21F5430B">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72917B5C">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29E0C200">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04A5E365">
            <w:pPr>
              <w:spacing w:line="480" w:lineRule="exact"/>
              <w:jc w:val="center"/>
              <w:rPr>
                <w:rFonts w:ascii="宋体" w:hAnsi="宋体" w:eastAsia="宋体" w:cs="宋体"/>
                <w:color w:val="auto"/>
                <w:sz w:val="24"/>
                <w:szCs w:val="24"/>
                <w:highlight w:val="none"/>
              </w:rPr>
            </w:pPr>
          </w:p>
        </w:tc>
      </w:tr>
      <w:tr w14:paraId="0951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700C0515">
            <w:pPr>
              <w:spacing w:line="480" w:lineRule="exact"/>
              <w:jc w:val="center"/>
              <w:rPr>
                <w:rFonts w:ascii="宋体" w:hAnsi="宋体" w:eastAsia="宋体" w:cs="宋体"/>
                <w:color w:val="auto"/>
                <w:sz w:val="24"/>
                <w:szCs w:val="24"/>
                <w:highlight w:val="none"/>
              </w:rPr>
            </w:pPr>
          </w:p>
        </w:tc>
        <w:tc>
          <w:tcPr>
            <w:tcW w:w="1309" w:type="dxa"/>
            <w:tcBorders>
              <w:top w:val="single" w:color="auto" w:sz="4" w:space="0"/>
              <w:left w:val="nil"/>
              <w:bottom w:val="single" w:color="auto" w:sz="4" w:space="0"/>
              <w:right w:val="single" w:color="auto" w:sz="4" w:space="0"/>
            </w:tcBorders>
            <w:vAlign w:val="center"/>
          </w:tcPr>
          <w:p w14:paraId="7BE406CA">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48392530">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213EDAE6">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3AB7BF85">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3E6D3C3D">
            <w:pPr>
              <w:spacing w:line="480" w:lineRule="exact"/>
              <w:jc w:val="center"/>
              <w:rPr>
                <w:rFonts w:ascii="宋体" w:hAnsi="宋体" w:eastAsia="宋体" w:cs="宋体"/>
                <w:color w:val="auto"/>
                <w:sz w:val="24"/>
                <w:szCs w:val="24"/>
                <w:highlight w:val="none"/>
              </w:rPr>
            </w:pPr>
          </w:p>
        </w:tc>
      </w:tr>
      <w:tr w14:paraId="12BB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287E385">
            <w:pPr>
              <w:spacing w:line="480" w:lineRule="exact"/>
              <w:jc w:val="center"/>
              <w:rPr>
                <w:rFonts w:ascii="宋体" w:hAnsi="宋体" w:eastAsia="宋体" w:cs="宋体"/>
                <w:color w:val="auto"/>
                <w:sz w:val="24"/>
                <w:szCs w:val="24"/>
                <w:highlight w:val="none"/>
              </w:rPr>
            </w:pPr>
          </w:p>
        </w:tc>
        <w:tc>
          <w:tcPr>
            <w:tcW w:w="1309" w:type="dxa"/>
            <w:tcBorders>
              <w:top w:val="single" w:color="auto" w:sz="4" w:space="0"/>
              <w:left w:val="nil"/>
              <w:bottom w:val="single" w:color="auto" w:sz="4" w:space="0"/>
              <w:right w:val="single" w:color="auto" w:sz="4" w:space="0"/>
            </w:tcBorders>
            <w:vAlign w:val="center"/>
          </w:tcPr>
          <w:p w14:paraId="7C92DA53">
            <w:pPr>
              <w:spacing w:line="480" w:lineRule="exact"/>
              <w:jc w:val="center"/>
              <w:rPr>
                <w:rFonts w:ascii="宋体" w:hAnsi="宋体" w:eastAsia="宋体" w:cs="宋体"/>
                <w:color w:val="auto"/>
                <w:sz w:val="24"/>
                <w:szCs w:val="24"/>
                <w:highlight w:val="none"/>
              </w:rPr>
            </w:pPr>
          </w:p>
        </w:tc>
        <w:tc>
          <w:tcPr>
            <w:tcW w:w="2977" w:type="dxa"/>
            <w:tcBorders>
              <w:top w:val="single" w:color="auto" w:sz="4" w:space="0"/>
              <w:left w:val="nil"/>
              <w:bottom w:val="single" w:color="auto" w:sz="4" w:space="0"/>
              <w:right w:val="single" w:color="auto" w:sz="4" w:space="0"/>
            </w:tcBorders>
            <w:vAlign w:val="center"/>
          </w:tcPr>
          <w:p w14:paraId="75BAE986">
            <w:pPr>
              <w:spacing w:line="480" w:lineRule="exact"/>
              <w:jc w:val="center"/>
              <w:rPr>
                <w:rFonts w:ascii="宋体" w:hAnsi="宋体" w:eastAsia="宋体" w:cs="宋体"/>
                <w:color w:val="auto"/>
                <w:sz w:val="24"/>
                <w:szCs w:val="24"/>
                <w:highlight w:val="none"/>
              </w:rPr>
            </w:pPr>
          </w:p>
        </w:tc>
        <w:tc>
          <w:tcPr>
            <w:tcW w:w="2479" w:type="dxa"/>
            <w:tcBorders>
              <w:top w:val="single" w:color="auto" w:sz="4" w:space="0"/>
              <w:left w:val="nil"/>
              <w:bottom w:val="single" w:color="auto" w:sz="4" w:space="0"/>
              <w:right w:val="single" w:color="auto" w:sz="4" w:space="0"/>
            </w:tcBorders>
            <w:vAlign w:val="center"/>
          </w:tcPr>
          <w:p w14:paraId="52059162">
            <w:pPr>
              <w:spacing w:line="480" w:lineRule="exact"/>
              <w:jc w:val="center"/>
              <w:rPr>
                <w:rFonts w:ascii="宋体" w:hAnsi="宋体" w:eastAsia="宋体" w:cs="宋体"/>
                <w:color w:val="auto"/>
                <w:sz w:val="24"/>
                <w:szCs w:val="24"/>
                <w:highlight w:val="none"/>
              </w:rPr>
            </w:pPr>
          </w:p>
        </w:tc>
        <w:tc>
          <w:tcPr>
            <w:tcW w:w="1281" w:type="dxa"/>
            <w:tcBorders>
              <w:top w:val="single" w:color="auto" w:sz="4" w:space="0"/>
              <w:left w:val="nil"/>
              <w:bottom w:val="single" w:color="auto" w:sz="4" w:space="0"/>
              <w:right w:val="single" w:color="auto" w:sz="4" w:space="0"/>
            </w:tcBorders>
            <w:vAlign w:val="center"/>
          </w:tcPr>
          <w:p w14:paraId="2EF6E7F0">
            <w:pPr>
              <w:spacing w:line="480" w:lineRule="exact"/>
              <w:jc w:val="center"/>
              <w:rPr>
                <w:rFonts w:ascii="宋体" w:hAnsi="宋体" w:eastAsia="宋体" w:cs="宋体"/>
                <w:color w:val="auto"/>
                <w:sz w:val="24"/>
                <w:szCs w:val="24"/>
                <w:highlight w:val="none"/>
              </w:rPr>
            </w:pPr>
          </w:p>
        </w:tc>
        <w:tc>
          <w:tcPr>
            <w:tcW w:w="923" w:type="dxa"/>
            <w:tcBorders>
              <w:top w:val="single" w:color="auto" w:sz="4" w:space="0"/>
              <w:left w:val="nil"/>
              <w:bottom w:val="single" w:color="auto" w:sz="4" w:space="0"/>
              <w:right w:val="single" w:color="auto" w:sz="4" w:space="0"/>
            </w:tcBorders>
            <w:vAlign w:val="center"/>
          </w:tcPr>
          <w:p w14:paraId="15D1F263">
            <w:pPr>
              <w:spacing w:line="480" w:lineRule="exact"/>
              <w:jc w:val="center"/>
              <w:rPr>
                <w:rFonts w:ascii="宋体" w:hAnsi="宋体" w:eastAsia="宋体" w:cs="宋体"/>
                <w:color w:val="auto"/>
                <w:sz w:val="24"/>
                <w:szCs w:val="24"/>
                <w:highlight w:val="none"/>
              </w:rPr>
            </w:pPr>
          </w:p>
        </w:tc>
      </w:tr>
    </w:tbl>
    <w:p w14:paraId="216A65E5">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说明：</w:t>
      </w:r>
    </w:p>
    <w:p w14:paraId="7A39EE5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1、“偏离说明”一栏中响应人应对所投设备的技术参数与招标文件的要求进行对比，如无偏差请填写“无”的字样，如有偏差请注明“正偏离或负偏离”字样；</w:t>
      </w:r>
    </w:p>
    <w:p w14:paraId="20572FD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2、“偏离说明”一栏中由响应人对所投设备的技术性能对应招标文件要求就偏差之处作以重点描述；</w:t>
      </w:r>
    </w:p>
    <w:p w14:paraId="63FCE986">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3、表格由</w:t>
      </w:r>
      <w:r>
        <w:rPr>
          <w:rFonts w:hint="eastAsia" w:ascii="宋体" w:hAnsi="宋体" w:cs="宋体"/>
          <w:sz w:val="24"/>
          <w:szCs w:val="24"/>
          <w:lang w:eastAsia="zh-CN"/>
        </w:rPr>
        <w:t>供应商</w:t>
      </w:r>
      <w:r>
        <w:rPr>
          <w:rFonts w:hint="eastAsia" w:ascii="宋体" w:hAnsi="宋体" w:eastAsia="宋体" w:cs="宋体"/>
          <w:sz w:val="24"/>
          <w:szCs w:val="24"/>
        </w:rPr>
        <w:t>自行添加。</w:t>
      </w:r>
    </w:p>
    <w:p w14:paraId="5B4F97E4">
      <w:pPr>
        <w:spacing w:line="360" w:lineRule="auto"/>
        <w:ind w:firstLine="480" w:firstLineChars="200"/>
        <w:jc w:val="center"/>
        <w:rPr>
          <w:rFonts w:ascii="宋体" w:hAnsi="宋体"/>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供应商</w:t>
      </w:r>
      <w:r>
        <w:rPr>
          <w:rFonts w:hint="eastAsia" w:ascii="宋体" w:hAnsi="宋体"/>
          <w:sz w:val="24"/>
          <w:szCs w:val="24"/>
          <w:highlight w:val="none"/>
        </w:rPr>
        <w:t>名称：（盖章）</w:t>
      </w:r>
    </w:p>
    <w:p w14:paraId="5F9ABE8D">
      <w:pPr>
        <w:spacing w:line="360" w:lineRule="auto"/>
        <w:ind w:firstLine="480" w:firstLineChars="200"/>
        <w:jc w:val="right"/>
        <w:rPr>
          <w:rFonts w:ascii="宋体" w:hAnsi="宋体"/>
          <w:sz w:val="24"/>
          <w:szCs w:val="24"/>
          <w:highlight w:val="none"/>
        </w:rPr>
      </w:pPr>
      <w:r>
        <w:rPr>
          <w:rFonts w:hint="eastAsia" w:ascii="宋体" w:hAnsi="宋体"/>
          <w:sz w:val="24"/>
          <w:szCs w:val="24"/>
          <w:highlight w:val="none"/>
        </w:rPr>
        <w:t>法定代表人或授权代表：（签字或盖章）</w:t>
      </w:r>
    </w:p>
    <w:p w14:paraId="26954B52">
      <w:pPr>
        <w:spacing w:line="360" w:lineRule="auto"/>
        <w:ind w:firstLine="480" w:firstLineChars="200"/>
        <w:jc w:val="center"/>
        <w:rPr>
          <w:rFonts w:hint="eastAsia" w:ascii="宋体" w:hAnsi="宋体" w:cs="宋体"/>
          <w:b/>
          <w:bCs/>
          <w:sz w:val="24"/>
          <w:highlight w:val="none"/>
        </w:rPr>
      </w:pPr>
      <w:r>
        <w:rPr>
          <w:rFonts w:hint="eastAsia" w:ascii="宋体" w:hAnsi="宋体"/>
          <w:sz w:val="24"/>
          <w:szCs w:val="24"/>
          <w:highlight w:val="none"/>
        </w:rPr>
        <w:t>日期：</w:t>
      </w:r>
    </w:p>
    <w:p w14:paraId="53DDD7B5">
      <w:pPr>
        <w:spacing w:before="156" w:beforeLines="50" w:after="312" w:afterLines="100" w:line="480" w:lineRule="exact"/>
        <w:ind w:right="420" w:rightChars="0"/>
        <w:jc w:val="center"/>
        <w:textAlignment w:val="center"/>
        <w:outlineLvl w:val="0"/>
        <w:rPr>
          <w:rFonts w:hint="eastAsia" w:ascii="宋体" w:hAnsi="宋体" w:cs="宋体"/>
          <w:b/>
          <w:bCs/>
          <w:sz w:val="30"/>
          <w:szCs w:val="30"/>
          <w:highlight w:val="none"/>
        </w:rPr>
      </w:pPr>
      <w:bookmarkStart w:id="167" w:name="_Toc16440"/>
      <w:r>
        <w:rPr>
          <w:rFonts w:hint="eastAsia" w:ascii="宋体" w:hAnsi="宋体" w:cs="宋体"/>
          <w:b/>
          <w:bCs/>
          <w:sz w:val="30"/>
          <w:szCs w:val="30"/>
          <w:highlight w:val="none"/>
          <w:lang w:val="en-US" w:eastAsia="zh-CN"/>
        </w:rPr>
        <w:t xml:space="preserve">     七</w:t>
      </w:r>
      <w:r>
        <w:rPr>
          <w:rFonts w:hint="eastAsia" w:ascii="宋体" w:hAnsi="宋体" w:cs="宋体"/>
          <w:b/>
          <w:bCs/>
          <w:sz w:val="30"/>
          <w:szCs w:val="30"/>
          <w:highlight w:val="none"/>
        </w:rPr>
        <w:t>、企业基本情况资料</w:t>
      </w:r>
      <w:bookmarkEnd w:id="167"/>
    </w:p>
    <w:p w14:paraId="600D4F43">
      <w:pPr>
        <w:keepNext/>
        <w:keepLines/>
        <w:spacing w:before="280" w:after="290" w:line="420" w:lineRule="exact"/>
        <w:ind w:firstLine="482" w:firstLineChars="200"/>
        <w:jc w:val="center"/>
        <w:outlineLvl w:val="1"/>
        <w:rPr>
          <w:rFonts w:hint="eastAsia" w:ascii="宋体" w:hAnsi="宋体" w:cs="宋体"/>
          <w:b/>
          <w:bCs/>
          <w:sz w:val="24"/>
          <w:szCs w:val="24"/>
          <w:highlight w:val="none"/>
        </w:rPr>
      </w:pPr>
      <w:r>
        <w:rPr>
          <w:rFonts w:hint="eastAsia" w:ascii="宋体" w:hAnsi="宋体" w:cs="宋体"/>
          <w:b/>
          <w:bCs/>
          <w:sz w:val="24"/>
          <w:szCs w:val="24"/>
          <w:highlight w:val="none"/>
        </w:rPr>
        <w:t>（一）响应人基本情况表</w:t>
      </w:r>
    </w:p>
    <w:tbl>
      <w:tblPr>
        <w:tblStyle w:val="18"/>
        <w:tblpPr w:leftFromText="180" w:rightFromText="180" w:vertAnchor="text" w:horzAnchor="margin" w:tblpXSpec="center" w:tblpY="163"/>
        <w:tblOverlap w:val="never"/>
        <w:tblW w:w="9300" w:type="dxa"/>
        <w:tblInd w:w="0" w:type="dxa"/>
        <w:tblLayout w:type="fixed"/>
        <w:tblCellMar>
          <w:top w:w="0" w:type="dxa"/>
          <w:left w:w="108" w:type="dxa"/>
          <w:bottom w:w="0" w:type="dxa"/>
          <w:right w:w="108" w:type="dxa"/>
        </w:tblCellMar>
      </w:tblPr>
      <w:tblGrid>
        <w:gridCol w:w="1982"/>
        <w:gridCol w:w="1083"/>
        <w:gridCol w:w="1059"/>
        <w:gridCol w:w="1098"/>
        <w:gridCol w:w="648"/>
        <w:gridCol w:w="1360"/>
        <w:gridCol w:w="2070"/>
      </w:tblGrid>
      <w:tr w14:paraId="6FCE3AAF">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30C3322F">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响应人名称</w:t>
            </w:r>
          </w:p>
        </w:tc>
        <w:tc>
          <w:tcPr>
            <w:tcW w:w="7318" w:type="dxa"/>
            <w:gridSpan w:val="6"/>
            <w:tcBorders>
              <w:top w:val="single" w:color="auto" w:sz="4" w:space="0"/>
              <w:left w:val="nil"/>
              <w:bottom w:val="single" w:color="auto" w:sz="4" w:space="0"/>
              <w:right w:val="single" w:color="auto" w:sz="4" w:space="0"/>
            </w:tcBorders>
            <w:vAlign w:val="center"/>
          </w:tcPr>
          <w:p w14:paraId="4A03C089">
            <w:pPr>
              <w:topLinePunct/>
              <w:spacing w:line="480" w:lineRule="exact"/>
              <w:jc w:val="center"/>
              <w:rPr>
                <w:rFonts w:ascii="宋体" w:hAnsi="宋体" w:eastAsia="宋体" w:cs="宋体"/>
                <w:color w:val="auto"/>
                <w:sz w:val="24"/>
                <w:szCs w:val="24"/>
                <w:highlight w:val="none"/>
              </w:rPr>
            </w:pPr>
          </w:p>
        </w:tc>
      </w:tr>
      <w:tr w14:paraId="4A7598AA">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3075BA8E">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888" w:type="dxa"/>
            <w:gridSpan w:val="4"/>
            <w:tcBorders>
              <w:top w:val="single" w:color="auto" w:sz="4" w:space="0"/>
              <w:left w:val="nil"/>
              <w:bottom w:val="single" w:color="auto" w:sz="4" w:space="0"/>
              <w:right w:val="single" w:color="auto" w:sz="4" w:space="0"/>
            </w:tcBorders>
            <w:vAlign w:val="center"/>
          </w:tcPr>
          <w:p w14:paraId="0BCFD712">
            <w:pPr>
              <w:topLinePunct/>
              <w:spacing w:line="480" w:lineRule="exact"/>
              <w:jc w:val="center"/>
              <w:rPr>
                <w:rFonts w:ascii="宋体" w:hAnsi="宋体" w:eastAsia="宋体" w:cs="宋体"/>
                <w:color w:val="auto"/>
                <w:sz w:val="24"/>
                <w:szCs w:val="24"/>
                <w:highlight w:val="none"/>
              </w:rPr>
            </w:pPr>
          </w:p>
        </w:tc>
        <w:tc>
          <w:tcPr>
            <w:tcW w:w="1360" w:type="dxa"/>
            <w:tcBorders>
              <w:top w:val="single" w:color="auto" w:sz="4" w:space="0"/>
              <w:left w:val="nil"/>
              <w:bottom w:val="single" w:color="auto" w:sz="4" w:space="0"/>
              <w:right w:val="single" w:color="auto" w:sz="4" w:space="0"/>
            </w:tcBorders>
            <w:vAlign w:val="center"/>
          </w:tcPr>
          <w:p w14:paraId="62781BC6">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070" w:type="dxa"/>
            <w:tcBorders>
              <w:top w:val="single" w:color="auto" w:sz="4" w:space="0"/>
              <w:left w:val="nil"/>
              <w:bottom w:val="single" w:color="auto" w:sz="4" w:space="0"/>
              <w:right w:val="single" w:color="auto" w:sz="4" w:space="0"/>
            </w:tcBorders>
            <w:vAlign w:val="center"/>
          </w:tcPr>
          <w:p w14:paraId="26CA90E5">
            <w:pPr>
              <w:topLinePunct/>
              <w:spacing w:line="480" w:lineRule="exact"/>
              <w:jc w:val="center"/>
              <w:rPr>
                <w:rFonts w:ascii="宋体" w:hAnsi="宋体" w:eastAsia="宋体" w:cs="宋体"/>
                <w:color w:val="auto"/>
                <w:sz w:val="24"/>
                <w:szCs w:val="24"/>
                <w:highlight w:val="none"/>
              </w:rPr>
            </w:pPr>
          </w:p>
        </w:tc>
      </w:tr>
      <w:tr w14:paraId="5DFA58C1">
        <w:tblPrEx>
          <w:tblCellMar>
            <w:top w:w="0" w:type="dxa"/>
            <w:left w:w="108" w:type="dxa"/>
            <w:bottom w:w="0" w:type="dxa"/>
            <w:right w:w="108" w:type="dxa"/>
          </w:tblCellMar>
        </w:tblPrEx>
        <w:trPr>
          <w:cantSplit/>
          <w:trHeight w:val="676" w:hRule="atLeast"/>
        </w:trPr>
        <w:tc>
          <w:tcPr>
            <w:tcW w:w="1982" w:type="dxa"/>
            <w:vMerge w:val="restart"/>
            <w:tcBorders>
              <w:top w:val="nil"/>
              <w:left w:val="single" w:color="auto" w:sz="4" w:space="0"/>
              <w:bottom w:val="single" w:color="auto" w:sz="4" w:space="0"/>
              <w:right w:val="single" w:color="auto" w:sz="4" w:space="0"/>
            </w:tcBorders>
            <w:vAlign w:val="center"/>
          </w:tcPr>
          <w:p w14:paraId="5DAA3AD1">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83" w:type="dxa"/>
            <w:tcBorders>
              <w:top w:val="single" w:color="auto" w:sz="4" w:space="0"/>
              <w:left w:val="nil"/>
              <w:bottom w:val="single" w:color="auto" w:sz="4" w:space="0"/>
              <w:right w:val="single" w:color="auto" w:sz="4" w:space="0"/>
            </w:tcBorders>
            <w:vAlign w:val="center"/>
          </w:tcPr>
          <w:p w14:paraId="634CB508">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805" w:type="dxa"/>
            <w:gridSpan w:val="3"/>
            <w:tcBorders>
              <w:top w:val="single" w:color="auto" w:sz="4" w:space="0"/>
              <w:left w:val="nil"/>
              <w:bottom w:val="single" w:color="auto" w:sz="4" w:space="0"/>
              <w:right w:val="single" w:color="auto" w:sz="4" w:space="0"/>
            </w:tcBorders>
            <w:vAlign w:val="center"/>
          </w:tcPr>
          <w:p w14:paraId="63E1F3DA">
            <w:pPr>
              <w:topLinePunct/>
              <w:spacing w:line="480" w:lineRule="exact"/>
              <w:jc w:val="center"/>
              <w:rPr>
                <w:rFonts w:ascii="宋体" w:hAnsi="宋体" w:eastAsia="宋体" w:cs="宋体"/>
                <w:color w:val="auto"/>
                <w:sz w:val="24"/>
                <w:szCs w:val="24"/>
                <w:highlight w:val="none"/>
              </w:rPr>
            </w:pPr>
          </w:p>
        </w:tc>
        <w:tc>
          <w:tcPr>
            <w:tcW w:w="1360" w:type="dxa"/>
            <w:tcBorders>
              <w:top w:val="single" w:color="auto" w:sz="4" w:space="0"/>
              <w:left w:val="nil"/>
              <w:bottom w:val="single" w:color="auto" w:sz="4" w:space="0"/>
              <w:right w:val="single" w:color="auto" w:sz="4" w:space="0"/>
            </w:tcBorders>
            <w:vAlign w:val="center"/>
          </w:tcPr>
          <w:p w14:paraId="72C95FA4">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070" w:type="dxa"/>
            <w:tcBorders>
              <w:top w:val="single" w:color="auto" w:sz="4" w:space="0"/>
              <w:left w:val="nil"/>
              <w:bottom w:val="single" w:color="auto" w:sz="4" w:space="0"/>
              <w:right w:val="single" w:color="auto" w:sz="4" w:space="0"/>
            </w:tcBorders>
            <w:vAlign w:val="center"/>
          </w:tcPr>
          <w:p w14:paraId="7B3E7171">
            <w:pPr>
              <w:topLinePunct/>
              <w:spacing w:line="480" w:lineRule="exact"/>
              <w:jc w:val="center"/>
              <w:rPr>
                <w:rFonts w:ascii="宋体" w:hAnsi="宋体" w:eastAsia="宋体" w:cs="宋体"/>
                <w:color w:val="auto"/>
                <w:sz w:val="24"/>
                <w:szCs w:val="24"/>
                <w:highlight w:val="none"/>
              </w:rPr>
            </w:pPr>
          </w:p>
        </w:tc>
      </w:tr>
      <w:tr w14:paraId="1255869B">
        <w:tblPrEx>
          <w:tblCellMar>
            <w:top w:w="0" w:type="dxa"/>
            <w:left w:w="108" w:type="dxa"/>
            <w:bottom w:w="0" w:type="dxa"/>
            <w:right w:w="108" w:type="dxa"/>
          </w:tblCellMar>
        </w:tblPrEx>
        <w:trPr>
          <w:cantSplit/>
          <w:trHeight w:val="676" w:hRule="atLeast"/>
        </w:trPr>
        <w:tc>
          <w:tcPr>
            <w:tcW w:w="1982" w:type="dxa"/>
            <w:vMerge w:val="continue"/>
            <w:tcBorders>
              <w:top w:val="nil"/>
              <w:left w:val="single" w:color="auto" w:sz="4" w:space="0"/>
              <w:bottom w:val="single" w:color="auto" w:sz="4" w:space="0"/>
              <w:right w:val="single" w:color="auto" w:sz="4" w:space="0"/>
            </w:tcBorders>
            <w:vAlign w:val="center"/>
          </w:tcPr>
          <w:p w14:paraId="0C0C9E77">
            <w:pPr>
              <w:widowControl/>
              <w:spacing w:line="480" w:lineRule="exact"/>
              <w:rPr>
                <w:rFonts w:ascii="宋体" w:hAnsi="宋体" w:eastAsia="宋体" w:cs="宋体"/>
                <w:color w:val="auto"/>
                <w:sz w:val="24"/>
                <w:szCs w:val="24"/>
                <w:highlight w:val="none"/>
              </w:rPr>
            </w:pPr>
          </w:p>
        </w:tc>
        <w:tc>
          <w:tcPr>
            <w:tcW w:w="1083" w:type="dxa"/>
            <w:tcBorders>
              <w:top w:val="single" w:color="auto" w:sz="4" w:space="0"/>
              <w:left w:val="nil"/>
              <w:bottom w:val="single" w:color="auto" w:sz="4" w:space="0"/>
              <w:right w:val="single" w:color="auto" w:sz="4" w:space="0"/>
            </w:tcBorders>
            <w:vAlign w:val="center"/>
          </w:tcPr>
          <w:p w14:paraId="4A813C51">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805" w:type="dxa"/>
            <w:gridSpan w:val="3"/>
            <w:tcBorders>
              <w:top w:val="single" w:color="auto" w:sz="4" w:space="0"/>
              <w:left w:val="nil"/>
              <w:bottom w:val="single" w:color="auto" w:sz="4" w:space="0"/>
              <w:right w:val="single" w:color="auto" w:sz="4" w:space="0"/>
            </w:tcBorders>
            <w:vAlign w:val="center"/>
          </w:tcPr>
          <w:p w14:paraId="388D83C7">
            <w:pPr>
              <w:topLinePunct/>
              <w:spacing w:line="480" w:lineRule="exact"/>
              <w:jc w:val="center"/>
              <w:rPr>
                <w:rFonts w:ascii="宋体" w:hAnsi="宋体" w:eastAsia="宋体" w:cs="宋体"/>
                <w:color w:val="auto"/>
                <w:sz w:val="24"/>
                <w:szCs w:val="24"/>
                <w:highlight w:val="none"/>
              </w:rPr>
            </w:pPr>
          </w:p>
        </w:tc>
        <w:tc>
          <w:tcPr>
            <w:tcW w:w="1360" w:type="dxa"/>
            <w:tcBorders>
              <w:top w:val="single" w:color="auto" w:sz="4" w:space="0"/>
              <w:left w:val="nil"/>
              <w:bottom w:val="single" w:color="auto" w:sz="4" w:space="0"/>
              <w:right w:val="single" w:color="auto" w:sz="4" w:space="0"/>
            </w:tcBorders>
            <w:vAlign w:val="center"/>
          </w:tcPr>
          <w:p w14:paraId="1A51ADC8">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2070" w:type="dxa"/>
            <w:tcBorders>
              <w:top w:val="single" w:color="auto" w:sz="4" w:space="0"/>
              <w:left w:val="nil"/>
              <w:bottom w:val="single" w:color="auto" w:sz="4" w:space="0"/>
              <w:right w:val="single" w:color="auto" w:sz="4" w:space="0"/>
            </w:tcBorders>
            <w:vAlign w:val="center"/>
          </w:tcPr>
          <w:p w14:paraId="3AF74E6C">
            <w:pPr>
              <w:topLinePunct/>
              <w:spacing w:line="480" w:lineRule="exact"/>
              <w:jc w:val="center"/>
              <w:rPr>
                <w:rFonts w:ascii="宋体" w:hAnsi="宋体" w:eastAsia="宋体" w:cs="宋体"/>
                <w:color w:val="auto"/>
                <w:sz w:val="24"/>
                <w:szCs w:val="24"/>
                <w:highlight w:val="none"/>
              </w:rPr>
            </w:pPr>
          </w:p>
        </w:tc>
      </w:tr>
      <w:tr w14:paraId="262D04BA">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24A49BF3">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83" w:type="dxa"/>
            <w:tcBorders>
              <w:top w:val="single" w:color="auto" w:sz="4" w:space="0"/>
              <w:left w:val="nil"/>
              <w:bottom w:val="single" w:color="auto" w:sz="4" w:space="0"/>
              <w:right w:val="single" w:color="auto" w:sz="4" w:space="0"/>
            </w:tcBorders>
            <w:vAlign w:val="center"/>
          </w:tcPr>
          <w:p w14:paraId="13242BED">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59" w:type="dxa"/>
            <w:tcBorders>
              <w:top w:val="single" w:color="auto" w:sz="4" w:space="0"/>
              <w:left w:val="nil"/>
              <w:bottom w:val="single" w:color="auto" w:sz="4" w:space="0"/>
              <w:right w:val="single" w:color="auto" w:sz="4" w:space="0"/>
            </w:tcBorders>
            <w:vAlign w:val="center"/>
          </w:tcPr>
          <w:p w14:paraId="75247073">
            <w:pPr>
              <w:topLinePunct/>
              <w:spacing w:line="480" w:lineRule="exact"/>
              <w:jc w:val="center"/>
              <w:rPr>
                <w:rFonts w:ascii="宋体" w:hAnsi="宋体" w:eastAsia="宋体" w:cs="宋体"/>
                <w:color w:val="auto"/>
                <w:sz w:val="24"/>
                <w:szCs w:val="24"/>
                <w:highlight w:val="none"/>
              </w:rPr>
            </w:pPr>
          </w:p>
        </w:tc>
        <w:tc>
          <w:tcPr>
            <w:tcW w:w="1098" w:type="dxa"/>
            <w:tcBorders>
              <w:top w:val="single" w:color="auto" w:sz="4" w:space="0"/>
              <w:left w:val="nil"/>
              <w:bottom w:val="single" w:color="auto" w:sz="4" w:space="0"/>
              <w:right w:val="single" w:color="auto" w:sz="4" w:space="0"/>
            </w:tcBorders>
            <w:vAlign w:val="center"/>
          </w:tcPr>
          <w:p w14:paraId="6673F112">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078" w:type="dxa"/>
            <w:gridSpan w:val="3"/>
            <w:tcBorders>
              <w:top w:val="single" w:color="auto" w:sz="4" w:space="0"/>
              <w:left w:val="nil"/>
              <w:bottom w:val="single" w:color="auto" w:sz="4" w:space="0"/>
              <w:right w:val="single" w:color="auto" w:sz="4" w:space="0"/>
            </w:tcBorders>
            <w:vAlign w:val="center"/>
          </w:tcPr>
          <w:p w14:paraId="6A8DA7B9">
            <w:pPr>
              <w:topLinePunct/>
              <w:spacing w:line="480" w:lineRule="exact"/>
              <w:jc w:val="center"/>
              <w:rPr>
                <w:rFonts w:ascii="宋体" w:hAnsi="宋体" w:eastAsia="宋体" w:cs="宋体"/>
                <w:color w:val="auto"/>
                <w:sz w:val="24"/>
                <w:szCs w:val="24"/>
                <w:highlight w:val="none"/>
              </w:rPr>
            </w:pPr>
          </w:p>
        </w:tc>
      </w:tr>
      <w:tr w14:paraId="5EA50564">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1D6ED29B">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083" w:type="dxa"/>
            <w:tcBorders>
              <w:top w:val="single" w:color="auto" w:sz="4" w:space="0"/>
              <w:left w:val="nil"/>
              <w:bottom w:val="single" w:color="auto" w:sz="4" w:space="0"/>
              <w:right w:val="single" w:color="auto" w:sz="4" w:space="0"/>
            </w:tcBorders>
            <w:vAlign w:val="center"/>
          </w:tcPr>
          <w:p w14:paraId="0B7ECBD0">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059" w:type="dxa"/>
            <w:tcBorders>
              <w:top w:val="single" w:color="auto" w:sz="4" w:space="0"/>
              <w:left w:val="nil"/>
              <w:bottom w:val="single" w:color="auto" w:sz="4" w:space="0"/>
              <w:right w:val="single" w:color="auto" w:sz="4" w:space="0"/>
            </w:tcBorders>
            <w:vAlign w:val="center"/>
          </w:tcPr>
          <w:p w14:paraId="769A7415">
            <w:pPr>
              <w:topLinePunct/>
              <w:spacing w:line="480" w:lineRule="exact"/>
              <w:jc w:val="center"/>
              <w:rPr>
                <w:rFonts w:ascii="宋体" w:hAnsi="宋体" w:eastAsia="宋体" w:cs="宋体"/>
                <w:color w:val="auto"/>
                <w:sz w:val="24"/>
                <w:szCs w:val="24"/>
                <w:highlight w:val="none"/>
              </w:rPr>
            </w:pPr>
          </w:p>
        </w:tc>
        <w:tc>
          <w:tcPr>
            <w:tcW w:w="1098" w:type="dxa"/>
            <w:tcBorders>
              <w:top w:val="single" w:color="auto" w:sz="4" w:space="0"/>
              <w:left w:val="nil"/>
              <w:bottom w:val="single" w:color="auto" w:sz="4" w:space="0"/>
              <w:right w:val="single" w:color="auto" w:sz="4" w:space="0"/>
            </w:tcBorders>
            <w:vAlign w:val="center"/>
          </w:tcPr>
          <w:p w14:paraId="23545A86">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078" w:type="dxa"/>
            <w:gridSpan w:val="3"/>
            <w:tcBorders>
              <w:top w:val="single" w:color="auto" w:sz="4" w:space="0"/>
              <w:left w:val="nil"/>
              <w:bottom w:val="single" w:color="auto" w:sz="4" w:space="0"/>
              <w:right w:val="single" w:color="auto" w:sz="4" w:space="0"/>
            </w:tcBorders>
            <w:vAlign w:val="center"/>
          </w:tcPr>
          <w:p w14:paraId="04888490">
            <w:pPr>
              <w:topLinePunct/>
              <w:spacing w:line="480" w:lineRule="exact"/>
              <w:jc w:val="center"/>
              <w:rPr>
                <w:rFonts w:ascii="宋体" w:hAnsi="宋体" w:eastAsia="宋体" w:cs="宋体"/>
                <w:color w:val="auto"/>
                <w:sz w:val="24"/>
                <w:szCs w:val="24"/>
                <w:highlight w:val="none"/>
              </w:rPr>
            </w:pPr>
          </w:p>
        </w:tc>
      </w:tr>
      <w:tr w14:paraId="74D0942C">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03C3021F">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142" w:type="dxa"/>
            <w:gridSpan w:val="2"/>
            <w:tcBorders>
              <w:top w:val="single" w:color="auto" w:sz="4" w:space="0"/>
              <w:left w:val="nil"/>
              <w:bottom w:val="single" w:color="auto" w:sz="4" w:space="0"/>
              <w:right w:val="single" w:color="auto" w:sz="4" w:space="0"/>
            </w:tcBorders>
            <w:vAlign w:val="center"/>
          </w:tcPr>
          <w:p w14:paraId="1E0551BC">
            <w:pPr>
              <w:topLinePunct/>
              <w:spacing w:line="480" w:lineRule="exact"/>
              <w:jc w:val="center"/>
              <w:rPr>
                <w:rFonts w:ascii="宋体" w:hAnsi="宋体" w:eastAsia="宋体" w:cs="宋体"/>
                <w:color w:val="auto"/>
                <w:sz w:val="24"/>
                <w:szCs w:val="24"/>
                <w:highlight w:val="none"/>
              </w:rPr>
            </w:pPr>
          </w:p>
        </w:tc>
        <w:tc>
          <w:tcPr>
            <w:tcW w:w="5176" w:type="dxa"/>
            <w:gridSpan w:val="4"/>
            <w:tcBorders>
              <w:top w:val="single" w:color="auto" w:sz="4" w:space="0"/>
              <w:left w:val="nil"/>
              <w:bottom w:val="single" w:color="auto" w:sz="4" w:space="0"/>
              <w:right w:val="single" w:color="auto" w:sz="4" w:space="0"/>
            </w:tcBorders>
            <w:vAlign w:val="center"/>
          </w:tcPr>
          <w:p w14:paraId="5C747B18">
            <w:pPr>
              <w:topLinePunct/>
              <w:spacing w:line="480" w:lineRule="exact"/>
              <w:ind w:firstLine="120" w:firstLineChars="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222A640C">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42F11B12">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7318" w:type="dxa"/>
            <w:gridSpan w:val="6"/>
            <w:tcBorders>
              <w:top w:val="single" w:color="auto" w:sz="4" w:space="0"/>
              <w:left w:val="nil"/>
              <w:bottom w:val="single" w:color="auto" w:sz="4" w:space="0"/>
              <w:right w:val="single" w:color="auto" w:sz="4" w:space="0"/>
            </w:tcBorders>
            <w:vAlign w:val="center"/>
          </w:tcPr>
          <w:p w14:paraId="23310DBB">
            <w:pPr>
              <w:topLinePunct/>
              <w:spacing w:line="480" w:lineRule="exact"/>
              <w:jc w:val="center"/>
              <w:rPr>
                <w:rFonts w:ascii="宋体" w:hAnsi="宋体" w:eastAsia="宋体" w:cs="宋体"/>
                <w:color w:val="auto"/>
                <w:sz w:val="24"/>
                <w:szCs w:val="24"/>
                <w:highlight w:val="none"/>
              </w:rPr>
            </w:pPr>
          </w:p>
        </w:tc>
      </w:tr>
      <w:tr w14:paraId="736D2B39">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50510751">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318" w:type="dxa"/>
            <w:gridSpan w:val="6"/>
            <w:tcBorders>
              <w:top w:val="single" w:color="auto" w:sz="4" w:space="0"/>
              <w:left w:val="nil"/>
              <w:bottom w:val="single" w:color="auto" w:sz="4" w:space="0"/>
              <w:right w:val="single" w:color="auto" w:sz="4" w:space="0"/>
            </w:tcBorders>
            <w:vAlign w:val="center"/>
          </w:tcPr>
          <w:p w14:paraId="0707D377">
            <w:pPr>
              <w:topLinePunct/>
              <w:spacing w:line="480" w:lineRule="exact"/>
              <w:jc w:val="center"/>
              <w:rPr>
                <w:rFonts w:ascii="宋体" w:hAnsi="宋体" w:eastAsia="宋体" w:cs="宋体"/>
                <w:color w:val="auto"/>
                <w:sz w:val="24"/>
                <w:szCs w:val="24"/>
                <w:highlight w:val="none"/>
              </w:rPr>
            </w:pPr>
          </w:p>
        </w:tc>
      </w:tr>
      <w:tr w14:paraId="360BCDEB">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vAlign w:val="center"/>
          </w:tcPr>
          <w:p w14:paraId="6BD508DF">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7318" w:type="dxa"/>
            <w:gridSpan w:val="6"/>
            <w:tcBorders>
              <w:top w:val="single" w:color="auto" w:sz="4" w:space="0"/>
              <w:left w:val="nil"/>
              <w:bottom w:val="single" w:color="auto" w:sz="4" w:space="0"/>
              <w:right w:val="single" w:color="auto" w:sz="4" w:space="0"/>
            </w:tcBorders>
            <w:vAlign w:val="center"/>
          </w:tcPr>
          <w:p w14:paraId="3657AA00">
            <w:pPr>
              <w:topLinePunct/>
              <w:spacing w:line="480" w:lineRule="exact"/>
              <w:jc w:val="center"/>
              <w:rPr>
                <w:rFonts w:ascii="宋体" w:hAnsi="宋体" w:eastAsia="宋体" w:cs="宋体"/>
                <w:color w:val="auto"/>
                <w:sz w:val="24"/>
                <w:szCs w:val="24"/>
                <w:highlight w:val="none"/>
              </w:rPr>
            </w:pPr>
          </w:p>
        </w:tc>
      </w:tr>
      <w:tr w14:paraId="7D3256AF">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right w:val="single" w:color="auto" w:sz="4" w:space="0"/>
            </w:tcBorders>
            <w:vAlign w:val="center"/>
          </w:tcPr>
          <w:p w14:paraId="337B0F81">
            <w:pPr>
              <w:topLinePunct/>
              <w:spacing w:line="480" w:lineRule="exact"/>
              <w:ind w:firstLine="240" w:firstLineChars="10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318" w:type="dxa"/>
            <w:gridSpan w:val="6"/>
            <w:tcBorders>
              <w:top w:val="single" w:color="auto" w:sz="4" w:space="0"/>
              <w:left w:val="nil"/>
              <w:right w:val="single" w:color="auto" w:sz="4" w:space="0"/>
            </w:tcBorders>
            <w:vAlign w:val="center"/>
          </w:tcPr>
          <w:p w14:paraId="6CFC002C">
            <w:pPr>
              <w:topLinePunct/>
              <w:spacing w:line="480" w:lineRule="exact"/>
              <w:rPr>
                <w:rFonts w:ascii="宋体" w:hAnsi="宋体" w:eastAsia="宋体" w:cs="宋体"/>
                <w:color w:val="auto"/>
                <w:sz w:val="24"/>
                <w:szCs w:val="24"/>
                <w:highlight w:val="none"/>
              </w:rPr>
            </w:pPr>
          </w:p>
        </w:tc>
      </w:tr>
      <w:tr w14:paraId="2FEFF256">
        <w:tblPrEx>
          <w:tblCellMar>
            <w:top w:w="0" w:type="dxa"/>
            <w:left w:w="108" w:type="dxa"/>
            <w:bottom w:w="0" w:type="dxa"/>
            <w:right w:w="108" w:type="dxa"/>
          </w:tblCellMar>
        </w:tblPrEx>
        <w:trPr>
          <w:trHeight w:val="689" w:hRule="atLeast"/>
        </w:trPr>
        <w:tc>
          <w:tcPr>
            <w:tcW w:w="1982" w:type="dxa"/>
            <w:tcBorders>
              <w:top w:val="single" w:color="auto" w:sz="4" w:space="0"/>
              <w:left w:val="single" w:color="auto" w:sz="4" w:space="0"/>
              <w:bottom w:val="single" w:color="auto" w:sz="4" w:space="0"/>
              <w:right w:val="single" w:color="auto" w:sz="4" w:space="0"/>
            </w:tcBorders>
            <w:vAlign w:val="center"/>
          </w:tcPr>
          <w:p w14:paraId="7F3E7C2E">
            <w:pPr>
              <w:topLinePunct/>
              <w:spacing w:line="48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318" w:type="dxa"/>
            <w:gridSpan w:val="6"/>
            <w:tcBorders>
              <w:top w:val="single" w:color="auto" w:sz="4" w:space="0"/>
              <w:left w:val="nil"/>
              <w:bottom w:val="single" w:color="auto" w:sz="4" w:space="0"/>
              <w:right w:val="single" w:color="auto" w:sz="4" w:space="0"/>
            </w:tcBorders>
            <w:vAlign w:val="center"/>
          </w:tcPr>
          <w:p w14:paraId="25EC980A">
            <w:pPr>
              <w:topLinePunct/>
              <w:spacing w:line="480" w:lineRule="exact"/>
              <w:jc w:val="center"/>
              <w:rPr>
                <w:rFonts w:ascii="宋体" w:hAnsi="宋体" w:eastAsia="宋体" w:cs="宋体"/>
                <w:color w:val="auto"/>
                <w:sz w:val="24"/>
                <w:szCs w:val="24"/>
                <w:highlight w:val="none"/>
              </w:rPr>
            </w:pPr>
          </w:p>
        </w:tc>
      </w:tr>
    </w:tbl>
    <w:p w14:paraId="67944705">
      <w:pPr>
        <w:spacing w:line="380" w:lineRule="exact"/>
        <w:rPr>
          <w:rFonts w:hint="eastAsia" w:ascii="宋体" w:hAnsi="宋体" w:cs="宋体"/>
          <w:sz w:val="24"/>
          <w:highlight w:val="none"/>
        </w:rPr>
      </w:pPr>
      <w:r>
        <w:rPr>
          <w:rFonts w:hint="eastAsia" w:ascii="宋体" w:hAnsi="宋体" w:cs="宋体"/>
          <w:sz w:val="24"/>
          <w:highlight w:val="none"/>
        </w:rPr>
        <w:t>备注：本表后应附营业执照</w:t>
      </w:r>
    </w:p>
    <w:p w14:paraId="2700A6CC">
      <w:pPr>
        <w:jc w:val="center"/>
        <w:rPr>
          <w:rFonts w:ascii="宋体" w:hAnsi="宋体" w:cs="宋体"/>
          <w:sz w:val="24"/>
          <w:highlight w:val="none"/>
        </w:rPr>
      </w:pPr>
      <w:r>
        <w:rPr>
          <w:rFonts w:hint="eastAsia"/>
          <w:highlight w:val="none"/>
        </w:rPr>
        <w:br w:type="page"/>
      </w:r>
    </w:p>
    <w:p w14:paraId="6A2B137C">
      <w:pPr>
        <w:keepNext/>
        <w:widowControl/>
        <w:spacing w:line="480" w:lineRule="exact"/>
        <w:jc w:val="center"/>
        <w:outlineLvl w:val="0"/>
        <w:rPr>
          <w:rFonts w:hint="eastAsia" w:ascii="宋体" w:hAnsi="宋体" w:eastAsia="宋体" w:cs="宋体"/>
          <w:b/>
          <w:bCs/>
          <w:color w:val="auto"/>
          <w:sz w:val="28"/>
          <w:szCs w:val="28"/>
          <w:highlight w:val="none"/>
          <w:lang w:eastAsia="zh-CN"/>
        </w:rPr>
      </w:pPr>
      <w:bookmarkStart w:id="168" w:name="_Toc16020"/>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w:t>
      </w:r>
      <w:bookmarkEnd w:id="168"/>
      <w:r>
        <w:rPr>
          <w:rFonts w:hint="eastAsia" w:ascii="宋体" w:hAnsi="宋体" w:cs="宋体"/>
          <w:b/>
          <w:bCs/>
          <w:color w:val="auto"/>
          <w:sz w:val="28"/>
          <w:szCs w:val="28"/>
          <w:highlight w:val="none"/>
          <w:lang w:eastAsia="zh-CN"/>
        </w:rPr>
        <w:t>技术部分</w:t>
      </w:r>
    </w:p>
    <w:p w14:paraId="582A9F8A">
      <w:pPr>
        <w:spacing w:line="480" w:lineRule="exact"/>
        <w:rPr>
          <w:rFonts w:ascii="宋体" w:hAnsi="宋体" w:eastAsia="宋体" w:cs="宋体"/>
          <w:b/>
          <w:bCs/>
          <w:color w:val="auto"/>
          <w:sz w:val="24"/>
          <w:szCs w:val="24"/>
          <w:highlight w:val="none"/>
        </w:rPr>
      </w:pPr>
    </w:p>
    <w:p w14:paraId="2AC8A95B">
      <w:pPr>
        <w:pStyle w:val="4"/>
        <w:numPr>
          <w:ilvl w:val="0"/>
          <w:numId w:val="0"/>
        </w:numPr>
        <w:jc w:val="center"/>
        <w:rPr>
          <w:rFonts w:hint="default"/>
          <w:sz w:val="24"/>
          <w:szCs w:val="22"/>
          <w:u w:val="none"/>
          <w:lang w:val="en-US" w:eastAsia="zh-CN"/>
        </w:rPr>
      </w:pPr>
      <w:r>
        <w:rPr>
          <w:rFonts w:hint="eastAsia"/>
          <w:sz w:val="24"/>
          <w:szCs w:val="22"/>
          <w:u w:val="none"/>
          <w:lang w:val="en-US" w:eastAsia="zh-CN"/>
        </w:rPr>
        <w:t>（格式自拟）</w:t>
      </w:r>
    </w:p>
    <w:p w14:paraId="6B702ACE">
      <w:pPr>
        <w:spacing w:line="480" w:lineRule="exact"/>
        <w:rPr>
          <w:rFonts w:ascii="宋体" w:hAnsi="宋体" w:eastAsia="宋体" w:cs="宋体"/>
          <w:color w:val="auto"/>
          <w:sz w:val="24"/>
          <w:szCs w:val="24"/>
          <w:highlight w:val="none"/>
        </w:rPr>
      </w:pPr>
    </w:p>
    <w:p w14:paraId="0E20044C">
      <w:pPr>
        <w:spacing w:line="480" w:lineRule="exact"/>
        <w:textAlignment w:val="center"/>
        <w:rPr>
          <w:rFonts w:hint="eastAsia" w:ascii="宋体" w:hAnsi="宋体" w:cs="宋体"/>
          <w:sz w:val="24"/>
          <w:highlight w:val="none"/>
        </w:rPr>
      </w:pPr>
    </w:p>
    <w:p w14:paraId="3272D3BC">
      <w:pPr>
        <w:widowControl/>
        <w:jc w:val="left"/>
        <w:rPr>
          <w:rFonts w:ascii="宋体" w:hAnsi="宋体"/>
          <w:b/>
          <w:bCs/>
          <w:color w:val="000000"/>
          <w:kern w:val="0"/>
          <w:sz w:val="24"/>
          <w:szCs w:val="24"/>
          <w:highlight w:val="none"/>
        </w:rPr>
      </w:pPr>
      <w:r>
        <w:rPr>
          <w:rFonts w:hint="eastAsia" w:ascii="宋体" w:hAnsi="宋体" w:cs="宋体"/>
          <w:sz w:val="24"/>
          <w:highlight w:val="none"/>
        </w:rPr>
        <w:t xml:space="preserve"> </w:t>
      </w:r>
    </w:p>
    <w:p w14:paraId="12850B73">
      <w:pPr>
        <w:widowControl/>
        <w:jc w:val="left"/>
        <w:rPr>
          <w:rFonts w:hint="eastAsia" w:ascii="宋体" w:hAnsi="宋体"/>
          <w:b/>
          <w:bCs/>
          <w:color w:val="000000"/>
          <w:kern w:val="0"/>
          <w:sz w:val="24"/>
          <w:szCs w:val="24"/>
          <w:highlight w:val="none"/>
        </w:rPr>
      </w:pPr>
    </w:p>
    <w:p w14:paraId="75F2D679">
      <w:pPr>
        <w:widowControl/>
        <w:jc w:val="left"/>
        <w:rPr>
          <w:rFonts w:hint="eastAsia" w:ascii="宋体" w:hAnsi="宋体"/>
          <w:b/>
          <w:bCs/>
          <w:color w:val="000000"/>
          <w:kern w:val="0"/>
          <w:sz w:val="24"/>
          <w:szCs w:val="24"/>
          <w:highlight w:val="none"/>
        </w:rPr>
      </w:pPr>
    </w:p>
    <w:p w14:paraId="09DFD45D">
      <w:pPr>
        <w:widowControl/>
        <w:jc w:val="left"/>
        <w:rPr>
          <w:rFonts w:hint="eastAsia" w:ascii="宋体" w:hAnsi="宋体"/>
          <w:b/>
          <w:bCs/>
          <w:color w:val="000000"/>
          <w:kern w:val="0"/>
          <w:sz w:val="24"/>
          <w:szCs w:val="24"/>
          <w:highlight w:val="none"/>
        </w:rPr>
      </w:pPr>
    </w:p>
    <w:p w14:paraId="3AEE2766">
      <w:pPr>
        <w:widowControl/>
        <w:jc w:val="left"/>
        <w:rPr>
          <w:rFonts w:hint="eastAsia" w:ascii="宋体" w:hAnsi="宋体"/>
          <w:b/>
          <w:bCs/>
          <w:color w:val="000000"/>
          <w:kern w:val="0"/>
          <w:sz w:val="24"/>
          <w:szCs w:val="24"/>
          <w:highlight w:val="none"/>
        </w:rPr>
      </w:pPr>
    </w:p>
    <w:p w14:paraId="318A38F8">
      <w:pPr>
        <w:widowControl/>
        <w:jc w:val="left"/>
        <w:rPr>
          <w:rFonts w:hint="eastAsia" w:ascii="宋体" w:hAnsi="宋体"/>
          <w:b/>
          <w:bCs/>
          <w:color w:val="000000"/>
          <w:kern w:val="0"/>
          <w:sz w:val="24"/>
          <w:szCs w:val="24"/>
          <w:highlight w:val="none"/>
        </w:rPr>
      </w:pPr>
    </w:p>
    <w:p w14:paraId="29A6A192">
      <w:pPr>
        <w:widowControl/>
        <w:jc w:val="left"/>
        <w:rPr>
          <w:rFonts w:hint="eastAsia" w:ascii="宋体" w:hAnsi="宋体"/>
          <w:b/>
          <w:bCs/>
          <w:color w:val="000000"/>
          <w:kern w:val="0"/>
          <w:sz w:val="24"/>
          <w:szCs w:val="24"/>
          <w:highlight w:val="none"/>
        </w:rPr>
      </w:pPr>
    </w:p>
    <w:p w14:paraId="758F946F">
      <w:pPr>
        <w:widowControl/>
        <w:jc w:val="left"/>
        <w:rPr>
          <w:rFonts w:hint="eastAsia" w:ascii="宋体" w:hAnsi="宋体"/>
          <w:b/>
          <w:bCs/>
          <w:color w:val="000000"/>
          <w:kern w:val="0"/>
          <w:sz w:val="24"/>
          <w:szCs w:val="24"/>
          <w:highlight w:val="none"/>
        </w:rPr>
      </w:pPr>
    </w:p>
    <w:p w14:paraId="3C51BEF2">
      <w:pPr>
        <w:widowControl/>
        <w:jc w:val="left"/>
        <w:rPr>
          <w:rFonts w:hint="eastAsia" w:ascii="宋体" w:hAnsi="宋体"/>
          <w:b/>
          <w:bCs/>
          <w:color w:val="000000"/>
          <w:kern w:val="0"/>
          <w:sz w:val="24"/>
          <w:szCs w:val="24"/>
          <w:highlight w:val="none"/>
        </w:rPr>
      </w:pPr>
    </w:p>
    <w:p w14:paraId="47F1846C">
      <w:pPr>
        <w:widowControl/>
        <w:jc w:val="left"/>
        <w:rPr>
          <w:rFonts w:hint="eastAsia" w:ascii="宋体" w:hAnsi="宋体"/>
          <w:b/>
          <w:bCs/>
          <w:color w:val="000000"/>
          <w:kern w:val="0"/>
          <w:sz w:val="24"/>
          <w:szCs w:val="24"/>
          <w:highlight w:val="none"/>
        </w:rPr>
      </w:pPr>
    </w:p>
    <w:p w14:paraId="4650438C">
      <w:pPr>
        <w:widowControl/>
        <w:jc w:val="left"/>
        <w:rPr>
          <w:rFonts w:hint="eastAsia" w:ascii="宋体" w:hAnsi="宋体"/>
          <w:b/>
          <w:bCs/>
          <w:color w:val="000000"/>
          <w:kern w:val="0"/>
          <w:sz w:val="24"/>
          <w:szCs w:val="24"/>
          <w:highlight w:val="none"/>
        </w:rPr>
      </w:pPr>
    </w:p>
    <w:p w14:paraId="3CEC5EDA">
      <w:pPr>
        <w:widowControl/>
        <w:jc w:val="left"/>
        <w:rPr>
          <w:rFonts w:hint="eastAsia" w:ascii="宋体" w:hAnsi="宋体"/>
          <w:b/>
          <w:bCs/>
          <w:color w:val="000000"/>
          <w:kern w:val="0"/>
          <w:sz w:val="24"/>
          <w:szCs w:val="24"/>
          <w:highlight w:val="none"/>
        </w:rPr>
      </w:pPr>
    </w:p>
    <w:p w14:paraId="2EFF30CD">
      <w:pPr>
        <w:widowControl/>
        <w:jc w:val="left"/>
        <w:rPr>
          <w:rFonts w:hint="eastAsia" w:ascii="宋体" w:hAnsi="宋体"/>
          <w:b/>
          <w:bCs/>
          <w:color w:val="000000"/>
          <w:kern w:val="0"/>
          <w:sz w:val="24"/>
          <w:szCs w:val="24"/>
          <w:highlight w:val="none"/>
        </w:rPr>
      </w:pPr>
    </w:p>
    <w:p w14:paraId="705827F0">
      <w:pPr>
        <w:widowControl/>
        <w:jc w:val="left"/>
        <w:rPr>
          <w:rFonts w:hint="eastAsia" w:ascii="宋体" w:hAnsi="宋体"/>
          <w:b/>
          <w:bCs/>
          <w:color w:val="000000"/>
          <w:kern w:val="0"/>
          <w:sz w:val="24"/>
          <w:szCs w:val="24"/>
          <w:highlight w:val="none"/>
        </w:rPr>
      </w:pPr>
    </w:p>
    <w:p w14:paraId="1A736AA5">
      <w:pPr>
        <w:widowControl/>
        <w:jc w:val="left"/>
        <w:rPr>
          <w:rFonts w:hint="eastAsia" w:ascii="宋体" w:hAnsi="宋体"/>
          <w:b/>
          <w:bCs/>
          <w:color w:val="000000"/>
          <w:kern w:val="0"/>
          <w:sz w:val="24"/>
          <w:szCs w:val="24"/>
          <w:highlight w:val="none"/>
        </w:rPr>
      </w:pPr>
    </w:p>
    <w:p w14:paraId="2229AB0F">
      <w:pPr>
        <w:widowControl/>
        <w:jc w:val="left"/>
        <w:rPr>
          <w:rFonts w:hint="eastAsia" w:ascii="宋体" w:hAnsi="宋体"/>
          <w:b/>
          <w:bCs/>
          <w:color w:val="000000"/>
          <w:kern w:val="0"/>
          <w:sz w:val="24"/>
          <w:szCs w:val="24"/>
          <w:highlight w:val="none"/>
        </w:rPr>
      </w:pPr>
    </w:p>
    <w:p w14:paraId="0044B2CC">
      <w:pPr>
        <w:widowControl/>
        <w:jc w:val="left"/>
        <w:rPr>
          <w:rFonts w:hint="eastAsia" w:ascii="宋体" w:hAnsi="宋体"/>
          <w:b/>
          <w:bCs/>
          <w:color w:val="000000"/>
          <w:kern w:val="0"/>
          <w:sz w:val="24"/>
          <w:szCs w:val="24"/>
          <w:highlight w:val="none"/>
        </w:rPr>
      </w:pPr>
    </w:p>
    <w:p w14:paraId="0FDB1A32">
      <w:pPr>
        <w:widowControl/>
        <w:jc w:val="left"/>
        <w:rPr>
          <w:rFonts w:hint="eastAsia" w:ascii="宋体" w:hAnsi="宋体"/>
          <w:b/>
          <w:bCs/>
          <w:color w:val="000000"/>
          <w:kern w:val="0"/>
          <w:sz w:val="24"/>
          <w:szCs w:val="24"/>
          <w:highlight w:val="none"/>
        </w:rPr>
      </w:pPr>
    </w:p>
    <w:p w14:paraId="3A402B52">
      <w:pPr>
        <w:widowControl/>
        <w:jc w:val="left"/>
        <w:rPr>
          <w:rFonts w:hint="eastAsia" w:ascii="宋体" w:hAnsi="宋体"/>
          <w:b/>
          <w:bCs/>
          <w:color w:val="000000"/>
          <w:kern w:val="0"/>
          <w:sz w:val="24"/>
          <w:szCs w:val="24"/>
          <w:highlight w:val="none"/>
        </w:rPr>
      </w:pPr>
    </w:p>
    <w:p w14:paraId="32B72111">
      <w:pPr>
        <w:widowControl/>
        <w:jc w:val="left"/>
        <w:rPr>
          <w:rFonts w:hint="eastAsia" w:ascii="宋体" w:hAnsi="宋体"/>
          <w:b/>
          <w:bCs/>
          <w:color w:val="000000"/>
          <w:kern w:val="0"/>
          <w:sz w:val="24"/>
          <w:szCs w:val="24"/>
          <w:highlight w:val="none"/>
        </w:rPr>
      </w:pPr>
    </w:p>
    <w:p w14:paraId="56BAB10B">
      <w:pPr>
        <w:widowControl/>
        <w:jc w:val="left"/>
        <w:rPr>
          <w:rFonts w:hint="eastAsia" w:ascii="宋体" w:hAnsi="宋体"/>
          <w:b/>
          <w:bCs/>
          <w:color w:val="000000"/>
          <w:kern w:val="0"/>
          <w:sz w:val="24"/>
          <w:szCs w:val="24"/>
          <w:highlight w:val="none"/>
        </w:rPr>
      </w:pPr>
    </w:p>
    <w:p w14:paraId="415C3E8D">
      <w:pPr>
        <w:widowControl/>
        <w:jc w:val="left"/>
        <w:rPr>
          <w:rFonts w:hint="eastAsia" w:ascii="宋体" w:hAnsi="宋体"/>
          <w:b/>
          <w:bCs/>
          <w:color w:val="000000"/>
          <w:kern w:val="0"/>
          <w:sz w:val="24"/>
          <w:szCs w:val="24"/>
          <w:highlight w:val="none"/>
        </w:rPr>
      </w:pPr>
    </w:p>
    <w:p w14:paraId="7EC29879">
      <w:pPr>
        <w:widowControl/>
        <w:jc w:val="left"/>
        <w:rPr>
          <w:rFonts w:hint="eastAsia" w:ascii="宋体" w:hAnsi="宋体"/>
          <w:b/>
          <w:bCs/>
          <w:color w:val="000000"/>
          <w:kern w:val="0"/>
          <w:sz w:val="24"/>
          <w:szCs w:val="24"/>
          <w:highlight w:val="none"/>
        </w:rPr>
      </w:pPr>
    </w:p>
    <w:p w14:paraId="4EB6E535">
      <w:pPr>
        <w:widowControl/>
        <w:jc w:val="left"/>
        <w:rPr>
          <w:rFonts w:hint="eastAsia" w:ascii="宋体" w:hAnsi="宋体"/>
          <w:b/>
          <w:bCs/>
          <w:color w:val="000000"/>
          <w:kern w:val="0"/>
          <w:sz w:val="24"/>
          <w:szCs w:val="24"/>
          <w:highlight w:val="none"/>
        </w:rPr>
      </w:pPr>
    </w:p>
    <w:p w14:paraId="5165AABA">
      <w:pPr>
        <w:widowControl/>
        <w:jc w:val="left"/>
        <w:rPr>
          <w:rFonts w:hint="eastAsia" w:ascii="宋体" w:hAnsi="宋体"/>
          <w:b/>
          <w:bCs/>
          <w:color w:val="000000"/>
          <w:kern w:val="0"/>
          <w:sz w:val="24"/>
          <w:szCs w:val="24"/>
          <w:highlight w:val="none"/>
        </w:rPr>
      </w:pPr>
    </w:p>
    <w:p w14:paraId="496CE3F0">
      <w:pPr>
        <w:widowControl/>
        <w:jc w:val="left"/>
        <w:rPr>
          <w:rFonts w:hint="eastAsia" w:ascii="宋体" w:hAnsi="宋体"/>
          <w:b/>
          <w:bCs/>
          <w:color w:val="000000"/>
          <w:kern w:val="0"/>
          <w:sz w:val="24"/>
          <w:szCs w:val="24"/>
          <w:highlight w:val="none"/>
        </w:rPr>
      </w:pPr>
    </w:p>
    <w:p w14:paraId="7D7B6317">
      <w:pPr>
        <w:widowControl/>
        <w:jc w:val="left"/>
        <w:rPr>
          <w:rFonts w:hint="eastAsia" w:ascii="宋体" w:hAnsi="宋体"/>
          <w:b/>
          <w:bCs/>
          <w:color w:val="000000"/>
          <w:kern w:val="0"/>
          <w:sz w:val="24"/>
          <w:szCs w:val="24"/>
          <w:highlight w:val="none"/>
        </w:rPr>
      </w:pPr>
    </w:p>
    <w:p w14:paraId="1B14CD2C">
      <w:pPr>
        <w:widowControl/>
        <w:jc w:val="left"/>
        <w:rPr>
          <w:rFonts w:hint="eastAsia" w:ascii="宋体" w:hAnsi="宋体"/>
          <w:b/>
          <w:bCs/>
          <w:color w:val="000000"/>
          <w:kern w:val="0"/>
          <w:sz w:val="24"/>
          <w:szCs w:val="24"/>
          <w:highlight w:val="none"/>
        </w:rPr>
      </w:pPr>
    </w:p>
    <w:p w14:paraId="23B877A9">
      <w:pPr>
        <w:widowControl/>
        <w:jc w:val="left"/>
        <w:rPr>
          <w:rFonts w:hint="eastAsia" w:ascii="宋体" w:hAnsi="宋体"/>
          <w:b/>
          <w:bCs/>
          <w:color w:val="000000"/>
          <w:kern w:val="0"/>
          <w:sz w:val="24"/>
          <w:szCs w:val="24"/>
          <w:highlight w:val="none"/>
        </w:rPr>
      </w:pPr>
    </w:p>
    <w:p w14:paraId="386ED5A2">
      <w:pPr>
        <w:widowControl/>
        <w:jc w:val="left"/>
        <w:rPr>
          <w:rFonts w:hint="eastAsia" w:ascii="宋体" w:hAnsi="宋体"/>
          <w:b/>
          <w:bCs/>
          <w:color w:val="000000"/>
          <w:kern w:val="0"/>
          <w:sz w:val="24"/>
          <w:szCs w:val="24"/>
          <w:highlight w:val="none"/>
        </w:rPr>
      </w:pPr>
    </w:p>
    <w:p w14:paraId="25D5F2D7">
      <w:pPr>
        <w:widowControl/>
        <w:jc w:val="left"/>
        <w:rPr>
          <w:rFonts w:hint="eastAsia" w:ascii="宋体" w:hAnsi="宋体"/>
          <w:b/>
          <w:bCs/>
          <w:color w:val="000000"/>
          <w:kern w:val="0"/>
          <w:sz w:val="24"/>
          <w:szCs w:val="24"/>
          <w:highlight w:val="none"/>
        </w:rPr>
      </w:pPr>
    </w:p>
    <w:p w14:paraId="41229DB2">
      <w:pPr>
        <w:widowControl/>
        <w:jc w:val="left"/>
        <w:rPr>
          <w:rFonts w:hint="eastAsia" w:ascii="宋体" w:hAnsi="宋体"/>
          <w:b/>
          <w:bCs/>
          <w:color w:val="000000"/>
          <w:kern w:val="0"/>
          <w:sz w:val="24"/>
          <w:szCs w:val="24"/>
          <w:highlight w:val="none"/>
        </w:rPr>
      </w:pPr>
    </w:p>
    <w:p w14:paraId="0AEF1E40">
      <w:pPr>
        <w:widowControl/>
        <w:jc w:val="left"/>
        <w:rPr>
          <w:rFonts w:hint="eastAsia" w:ascii="宋体" w:hAnsi="宋体"/>
          <w:b/>
          <w:bCs/>
          <w:color w:val="000000"/>
          <w:kern w:val="0"/>
          <w:sz w:val="24"/>
          <w:szCs w:val="24"/>
          <w:highlight w:val="none"/>
        </w:rPr>
      </w:pPr>
    </w:p>
    <w:p w14:paraId="0F3A5E43">
      <w:pPr>
        <w:widowControl/>
        <w:jc w:val="left"/>
        <w:rPr>
          <w:rFonts w:hint="eastAsia" w:ascii="宋体" w:hAnsi="宋体"/>
          <w:b/>
          <w:bCs/>
          <w:color w:val="000000"/>
          <w:kern w:val="0"/>
          <w:sz w:val="24"/>
          <w:szCs w:val="24"/>
          <w:highlight w:val="none"/>
        </w:rPr>
      </w:pPr>
    </w:p>
    <w:p w14:paraId="6C1F579E">
      <w:pPr>
        <w:widowControl/>
        <w:jc w:val="left"/>
        <w:rPr>
          <w:rFonts w:hint="eastAsia" w:ascii="宋体" w:hAnsi="宋体"/>
          <w:b/>
          <w:bCs/>
          <w:color w:val="000000"/>
          <w:kern w:val="0"/>
          <w:sz w:val="24"/>
          <w:szCs w:val="24"/>
          <w:highlight w:val="none"/>
        </w:rPr>
      </w:pPr>
    </w:p>
    <w:p w14:paraId="46B85902">
      <w:pPr>
        <w:widowControl/>
        <w:jc w:val="left"/>
        <w:rPr>
          <w:rFonts w:hint="eastAsia" w:ascii="宋体" w:hAnsi="宋体"/>
          <w:b/>
          <w:bCs/>
          <w:color w:val="000000"/>
          <w:kern w:val="0"/>
          <w:sz w:val="24"/>
          <w:szCs w:val="24"/>
          <w:highlight w:val="none"/>
        </w:rPr>
      </w:pPr>
    </w:p>
    <w:p w14:paraId="0510F34B">
      <w:pPr>
        <w:widowControl/>
        <w:jc w:val="left"/>
        <w:rPr>
          <w:rFonts w:hint="eastAsia" w:ascii="宋体" w:hAnsi="宋体"/>
          <w:b/>
          <w:bCs/>
          <w:color w:val="000000"/>
          <w:kern w:val="0"/>
          <w:sz w:val="24"/>
          <w:szCs w:val="24"/>
          <w:highlight w:val="none"/>
        </w:rPr>
      </w:pPr>
    </w:p>
    <w:p w14:paraId="37FA89F4">
      <w:pPr>
        <w:keepNext/>
        <w:widowControl/>
        <w:spacing w:line="480" w:lineRule="exact"/>
        <w:jc w:val="center"/>
        <w:outlineLvl w:val="0"/>
        <w:rPr>
          <w:rFonts w:hint="eastAsia" w:ascii="宋体" w:hAnsi="宋体" w:eastAsia="宋体" w:cs="宋体"/>
          <w:b/>
          <w:bCs/>
          <w:color w:val="auto"/>
          <w:sz w:val="28"/>
          <w:szCs w:val="28"/>
          <w:highlight w:val="none"/>
          <w:lang w:eastAsia="zh-CN"/>
        </w:rPr>
      </w:pPr>
      <w:bookmarkStart w:id="169" w:name="_Toc3780"/>
      <w:r>
        <w:rPr>
          <w:rFonts w:hint="eastAsia" w:ascii="宋体" w:hAnsi="宋体" w:eastAsia="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eastAsia="zh-CN"/>
        </w:rPr>
        <w:t>商务部分</w:t>
      </w:r>
    </w:p>
    <w:p w14:paraId="5E446A87">
      <w:pPr>
        <w:spacing w:line="480" w:lineRule="exact"/>
        <w:rPr>
          <w:rFonts w:ascii="宋体" w:hAnsi="宋体" w:eastAsia="宋体" w:cs="宋体"/>
          <w:b/>
          <w:bCs/>
          <w:color w:val="auto"/>
          <w:sz w:val="24"/>
          <w:szCs w:val="24"/>
          <w:highlight w:val="none"/>
        </w:rPr>
      </w:pPr>
    </w:p>
    <w:p w14:paraId="4624E261">
      <w:pPr>
        <w:pStyle w:val="4"/>
        <w:numPr>
          <w:ilvl w:val="0"/>
          <w:numId w:val="0"/>
        </w:numPr>
        <w:jc w:val="center"/>
        <w:rPr>
          <w:rFonts w:hint="default"/>
          <w:sz w:val="24"/>
          <w:szCs w:val="22"/>
          <w:u w:val="none"/>
          <w:lang w:val="en-US" w:eastAsia="zh-CN"/>
        </w:rPr>
      </w:pPr>
      <w:r>
        <w:rPr>
          <w:rFonts w:hint="eastAsia"/>
          <w:sz w:val="24"/>
          <w:szCs w:val="22"/>
          <w:u w:val="none"/>
          <w:lang w:val="en-US" w:eastAsia="zh-CN"/>
        </w:rPr>
        <w:t>（格式自拟）</w:t>
      </w:r>
    </w:p>
    <w:p w14:paraId="499CCBFD">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47F21977">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1ACE958F">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658B48E0">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1A5CD2A5">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641A632A">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56864A4F">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3776C51F">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490A91AB">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65AFEDA2">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2467E233">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18D12C3B">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05AA6997">
      <w:pPr>
        <w:keepNext/>
        <w:widowControl/>
        <w:spacing w:line="480" w:lineRule="exact"/>
        <w:jc w:val="center"/>
        <w:outlineLvl w:val="0"/>
        <w:rPr>
          <w:rFonts w:hint="eastAsia" w:ascii="宋体" w:hAnsi="宋体" w:cs="宋体"/>
          <w:b/>
          <w:bCs/>
          <w:color w:val="auto"/>
          <w:sz w:val="28"/>
          <w:szCs w:val="28"/>
          <w:highlight w:val="none"/>
          <w:lang w:val="en-US" w:eastAsia="zh-CN"/>
        </w:rPr>
      </w:pPr>
    </w:p>
    <w:p w14:paraId="6CC55801">
      <w:pP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br w:type="page"/>
      </w:r>
    </w:p>
    <w:p w14:paraId="0EC437C7">
      <w:pPr>
        <w:keepNext/>
        <w:widowControl/>
        <w:spacing w:line="480" w:lineRule="exact"/>
        <w:jc w:val="center"/>
        <w:outlineLvl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十、供应商认为需要提供的其他资料</w:t>
      </w:r>
    </w:p>
    <w:p w14:paraId="05D86C12">
      <w:pPr>
        <w:widowControl/>
        <w:jc w:val="left"/>
        <w:outlineLvl w:val="0"/>
        <w:rPr>
          <w:rFonts w:ascii="宋体" w:hAnsi="宋体"/>
          <w:b/>
          <w:bCs/>
          <w:color w:val="000000"/>
          <w:kern w:val="0"/>
          <w:sz w:val="24"/>
          <w:szCs w:val="24"/>
          <w:highlight w:val="none"/>
        </w:rPr>
      </w:pPr>
      <w:bookmarkStart w:id="170" w:name="_Toc16859"/>
      <w:r>
        <w:rPr>
          <w:rFonts w:hint="eastAsia" w:ascii="宋体" w:hAnsi="宋体"/>
          <w:b/>
          <w:bCs/>
          <w:color w:val="000000"/>
          <w:kern w:val="0"/>
          <w:sz w:val="24"/>
          <w:szCs w:val="24"/>
          <w:highlight w:val="none"/>
        </w:rPr>
        <w:t>附件1：</w:t>
      </w:r>
      <w:bookmarkEnd w:id="170"/>
    </w:p>
    <w:p w14:paraId="738B2A6A">
      <w:pPr>
        <w:widowControl/>
        <w:spacing w:line="360" w:lineRule="auto"/>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b/>
          <w:bCs/>
          <w:sz w:val="21"/>
          <w:szCs w:val="21"/>
          <w:lang w:eastAsia="zh-CN"/>
        </w:rPr>
        <w:t>中小企业声明函（货物）</w:t>
      </w:r>
    </w:p>
    <w:p w14:paraId="6B12B92F">
      <w:pPr>
        <w:pStyle w:val="5"/>
        <w:spacing w:before="102" w:after="120" w:line="417" w:lineRule="auto"/>
        <w:ind w:left="318" w:right="376" w:firstLine="42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本公司（联合体）郑重声明，根据《政府采购促进中小企业发展管理办法》（财库﹝2020﹞46 号）的规定，本公司（联合体）参加</w:t>
      </w:r>
      <w:r>
        <w:rPr>
          <w:rFonts w:hint="eastAsia" w:ascii="宋体" w:hAnsi="宋体" w:eastAsia="宋体" w:cs="宋体"/>
          <w:color w:val="auto"/>
          <w:kern w:val="2"/>
          <w:sz w:val="21"/>
          <w:szCs w:val="21"/>
          <w:highlight w:val="none"/>
          <w:u w:val="single"/>
          <w:lang w:eastAsia="zh-CN"/>
        </w:rPr>
        <w:t>（单位名称）</w:t>
      </w:r>
      <w:r>
        <w:rPr>
          <w:rFonts w:hint="eastAsia" w:ascii="宋体" w:hAnsi="宋体" w:eastAsia="宋体" w:cs="宋体"/>
          <w:color w:val="auto"/>
          <w:kern w:val="2"/>
          <w:sz w:val="21"/>
          <w:szCs w:val="21"/>
          <w:highlight w:val="none"/>
          <w:lang w:eastAsia="zh-CN"/>
        </w:rPr>
        <w:t>的</w:t>
      </w:r>
      <w:r>
        <w:rPr>
          <w:rFonts w:hint="eastAsia" w:ascii="宋体" w:hAnsi="宋体" w:eastAsia="宋体" w:cs="宋体"/>
          <w:color w:val="auto"/>
          <w:kern w:val="2"/>
          <w:sz w:val="21"/>
          <w:szCs w:val="21"/>
          <w:highlight w:val="none"/>
          <w:u w:val="single"/>
          <w:lang w:eastAsia="zh-CN"/>
        </w:rPr>
        <w:t>（项目名称）</w:t>
      </w:r>
      <w:r>
        <w:rPr>
          <w:rFonts w:hint="eastAsia" w:ascii="宋体" w:hAnsi="宋体" w:eastAsia="宋体" w:cs="宋体"/>
          <w:color w:val="auto"/>
          <w:kern w:val="2"/>
          <w:sz w:val="21"/>
          <w:szCs w:val="21"/>
          <w:highlight w:val="none"/>
          <w:lang w:eastAsia="zh-CN"/>
        </w:rPr>
        <w:t>采购活动，提供的货物全部由符合政策要求的中小企业制造。相关企业（含联合体中的中小企业、签订分包意向协议的中小企业）的具体情况如下：</w:t>
      </w:r>
    </w:p>
    <w:p w14:paraId="15C23E78">
      <w:pPr>
        <w:pStyle w:val="5"/>
        <w:spacing w:before="102" w:after="120" w:line="417" w:lineRule="auto"/>
        <w:ind w:left="318" w:right="376" w:firstLine="42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1. </w:t>
      </w:r>
      <w:r>
        <w:rPr>
          <w:rFonts w:hint="eastAsia" w:ascii="宋体" w:hAnsi="宋体" w:eastAsia="宋体" w:cs="宋体"/>
          <w:color w:val="auto"/>
          <w:kern w:val="2"/>
          <w:sz w:val="21"/>
          <w:szCs w:val="21"/>
          <w:highlight w:val="none"/>
          <w:u w:val="single"/>
          <w:lang w:eastAsia="zh-CN"/>
        </w:rPr>
        <w:t>（标的名称）</w:t>
      </w:r>
      <w:r>
        <w:rPr>
          <w:rFonts w:hint="eastAsia" w:ascii="宋体" w:hAnsi="宋体" w:eastAsia="宋体" w:cs="宋体"/>
          <w:color w:val="auto"/>
          <w:kern w:val="2"/>
          <w:sz w:val="21"/>
          <w:szCs w:val="21"/>
          <w:highlight w:val="none"/>
          <w:lang w:eastAsia="zh-CN"/>
        </w:rPr>
        <w:t xml:space="preserve"> ，属于</w:t>
      </w:r>
      <w:r>
        <w:rPr>
          <w:rFonts w:hint="eastAsia" w:ascii="宋体" w:hAnsi="宋体" w:eastAsia="宋体" w:cs="宋体"/>
          <w:color w:val="auto"/>
          <w:kern w:val="2"/>
          <w:sz w:val="21"/>
          <w:szCs w:val="21"/>
          <w:highlight w:val="none"/>
          <w:u w:val="single"/>
          <w:lang w:eastAsia="zh-CN"/>
        </w:rPr>
        <w:t>（采购文件中明确的所属行业）行业</w:t>
      </w:r>
      <w:r>
        <w:rPr>
          <w:rFonts w:hint="eastAsia" w:ascii="宋体" w:hAnsi="宋体" w:eastAsia="宋体" w:cs="宋体"/>
          <w:color w:val="auto"/>
          <w:kern w:val="2"/>
          <w:sz w:val="21"/>
          <w:szCs w:val="21"/>
          <w:highlight w:val="none"/>
          <w:lang w:eastAsia="zh-CN"/>
        </w:rPr>
        <w:t>；制造商为</w:t>
      </w:r>
      <w:r>
        <w:rPr>
          <w:rFonts w:hint="eastAsia" w:ascii="宋体" w:hAnsi="宋体" w:eastAsia="宋体" w:cs="宋体"/>
          <w:color w:val="auto"/>
          <w:kern w:val="2"/>
          <w:sz w:val="21"/>
          <w:szCs w:val="21"/>
          <w:highlight w:val="none"/>
          <w:u w:val="single"/>
          <w:lang w:eastAsia="zh-CN"/>
        </w:rPr>
        <w:t>（企业名称）</w:t>
      </w:r>
      <w:r>
        <w:rPr>
          <w:rFonts w:hint="eastAsia" w:ascii="宋体" w:hAnsi="宋体" w:eastAsia="宋体" w:cs="宋体"/>
          <w:color w:val="auto"/>
          <w:kern w:val="2"/>
          <w:sz w:val="21"/>
          <w:szCs w:val="21"/>
          <w:highlight w:val="none"/>
          <w:lang w:eastAsia="zh-CN"/>
        </w:rPr>
        <w:t>，从业人员</w:t>
      </w:r>
      <w:r>
        <w:rPr>
          <w:rFonts w:hint="eastAsia" w:ascii="宋体" w:hAnsi="宋体" w:eastAsia="宋体" w:cs="宋体"/>
          <w:color w:val="auto"/>
          <w:kern w:val="2"/>
          <w:sz w:val="21"/>
          <w:szCs w:val="21"/>
          <w:highlight w:val="none"/>
          <w:u w:val="single"/>
          <w:lang w:eastAsia="zh-CN"/>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eastAsia="zh-CN"/>
        </w:rPr>
        <w:t>人，营业收入为</w:t>
      </w:r>
      <w:r>
        <w:rPr>
          <w:rFonts w:hint="eastAsia" w:ascii="宋体" w:hAnsi="宋体" w:eastAsia="宋体" w:cs="宋体"/>
          <w:color w:val="auto"/>
          <w:kern w:val="2"/>
          <w:sz w:val="21"/>
          <w:szCs w:val="21"/>
          <w:highlight w:val="none"/>
          <w:u w:val="single"/>
          <w:lang w:eastAsia="zh-CN"/>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eastAsia="zh-CN"/>
        </w:rPr>
        <w:t>万元，资产总额为</w:t>
      </w:r>
      <w:r>
        <w:rPr>
          <w:rFonts w:hint="eastAsia" w:ascii="宋体" w:hAnsi="宋体" w:eastAsia="宋体" w:cs="宋体"/>
          <w:color w:val="auto"/>
          <w:kern w:val="2"/>
          <w:sz w:val="21"/>
          <w:szCs w:val="21"/>
          <w:highlight w:val="none"/>
          <w:u w:val="single"/>
          <w:lang w:eastAsia="zh-CN"/>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eastAsia="zh-CN"/>
        </w:rPr>
        <w:t>万元</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lang w:eastAsia="zh-CN"/>
        </w:rPr>
        <w:t>属于</w:t>
      </w:r>
      <w:r>
        <w:rPr>
          <w:rFonts w:hint="eastAsia" w:ascii="宋体" w:hAnsi="宋体" w:eastAsia="宋体" w:cs="宋体"/>
          <w:color w:val="auto"/>
          <w:kern w:val="2"/>
          <w:sz w:val="21"/>
          <w:szCs w:val="21"/>
          <w:highlight w:val="none"/>
          <w:u w:val="single"/>
          <w:lang w:eastAsia="zh-CN"/>
        </w:rPr>
        <w:t>（中型企业、小型企业、微型企业）</w:t>
      </w:r>
      <w:r>
        <w:rPr>
          <w:rFonts w:hint="eastAsia" w:ascii="宋体" w:hAnsi="宋体" w:eastAsia="宋体" w:cs="宋体"/>
          <w:color w:val="auto"/>
          <w:kern w:val="2"/>
          <w:sz w:val="21"/>
          <w:szCs w:val="21"/>
          <w:highlight w:val="none"/>
          <w:lang w:eastAsia="zh-CN"/>
        </w:rPr>
        <w:t>；</w:t>
      </w:r>
    </w:p>
    <w:p w14:paraId="4A5064CF">
      <w:pPr>
        <w:pStyle w:val="5"/>
        <w:spacing w:before="102" w:after="120" w:line="417" w:lineRule="auto"/>
        <w:ind w:left="318" w:right="376" w:firstLine="42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 xml:space="preserve">2. </w:t>
      </w:r>
      <w:r>
        <w:rPr>
          <w:rFonts w:hint="eastAsia" w:ascii="宋体" w:hAnsi="宋体" w:eastAsia="宋体" w:cs="宋体"/>
          <w:color w:val="auto"/>
          <w:kern w:val="2"/>
          <w:sz w:val="21"/>
          <w:szCs w:val="21"/>
          <w:highlight w:val="none"/>
          <w:u w:val="single"/>
          <w:lang w:eastAsia="zh-CN"/>
        </w:rPr>
        <w:t>（标的名称）</w:t>
      </w:r>
      <w:r>
        <w:rPr>
          <w:rFonts w:hint="eastAsia" w:ascii="宋体" w:hAnsi="宋体" w:eastAsia="宋体" w:cs="宋体"/>
          <w:color w:val="auto"/>
          <w:kern w:val="2"/>
          <w:sz w:val="21"/>
          <w:szCs w:val="21"/>
          <w:highlight w:val="none"/>
          <w:lang w:eastAsia="zh-CN"/>
        </w:rPr>
        <w:t xml:space="preserve"> ，属于</w:t>
      </w:r>
      <w:r>
        <w:rPr>
          <w:rFonts w:hint="eastAsia" w:ascii="宋体" w:hAnsi="宋体" w:eastAsia="宋体" w:cs="宋体"/>
          <w:color w:val="auto"/>
          <w:kern w:val="2"/>
          <w:sz w:val="21"/>
          <w:szCs w:val="21"/>
          <w:highlight w:val="none"/>
          <w:u w:val="single"/>
          <w:lang w:eastAsia="zh-CN"/>
        </w:rPr>
        <w:t>（采购文件中明确的所属行业）行业</w:t>
      </w:r>
      <w:r>
        <w:rPr>
          <w:rFonts w:hint="eastAsia" w:ascii="宋体" w:hAnsi="宋体" w:eastAsia="宋体" w:cs="宋体"/>
          <w:color w:val="auto"/>
          <w:kern w:val="2"/>
          <w:sz w:val="21"/>
          <w:szCs w:val="21"/>
          <w:highlight w:val="none"/>
          <w:lang w:eastAsia="zh-CN"/>
        </w:rPr>
        <w:t>；制造商为</w:t>
      </w:r>
      <w:r>
        <w:rPr>
          <w:rFonts w:hint="eastAsia" w:ascii="宋体" w:hAnsi="宋体" w:eastAsia="宋体" w:cs="宋体"/>
          <w:color w:val="auto"/>
          <w:kern w:val="2"/>
          <w:sz w:val="21"/>
          <w:szCs w:val="21"/>
          <w:highlight w:val="none"/>
          <w:u w:val="single"/>
          <w:lang w:eastAsia="zh-CN"/>
        </w:rPr>
        <w:t>（企业名称）</w:t>
      </w:r>
      <w:r>
        <w:rPr>
          <w:rFonts w:hint="eastAsia" w:ascii="宋体" w:hAnsi="宋体" w:eastAsia="宋体" w:cs="宋体"/>
          <w:color w:val="auto"/>
          <w:kern w:val="2"/>
          <w:sz w:val="21"/>
          <w:szCs w:val="21"/>
          <w:highlight w:val="none"/>
          <w:lang w:eastAsia="zh-CN"/>
        </w:rPr>
        <w:t>，从业人员</w:t>
      </w:r>
      <w:r>
        <w:rPr>
          <w:rFonts w:hint="eastAsia" w:ascii="宋体" w:hAnsi="宋体" w:eastAsia="宋体" w:cs="宋体"/>
          <w:color w:val="auto"/>
          <w:kern w:val="2"/>
          <w:sz w:val="21"/>
          <w:szCs w:val="21"/>
          <w:highlight w:val="none"/>
          <w:u w:val="single"/>
          <w:lang w:eastAsia="zh-CN"/>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eastAsia="zh-CN"/>
        </w:rPr>
        <w:t>人，营业收入为</w:t>
      </w:r>
      <w:r>
        <w:rPr>
          <w:rFonts w:hint="eastAsia" w:ascii="宋体" w:hAnsi="宋体" w:eastAsia="宋体" w:cs="宋体"/>
          <w:color w:val="auto"/>
          <w:kern w:val="2"/>
          <w:sz w:val="21"/>
          <w:szCs w:val="21"/>
          <w:highlight w:val="none"/>
          <w:u w:val="single"/>
          <w:lang w:eastAsia="zh-CN"/>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eastAsia="zh-CN"/>
        </w:rPr>
        <w:t>万元，资产总额为</w:t>
      </w:r>
      <w:r>
        <w:rPr>
          <w:rFonts w:hint="eastAsia" w:ascii="宋体" w:hAnsi="宋体" w:eastAsia="宋体" w:cs="宋体"/>
          <w:color w:val="auto"/>
          <w:kern w:val="2"/>
          <w:sz w:val="21"/>
          <w:szCs w:val="21"/>
          <w:highlight w:val="none"/>
          <w:u w:val="single"/>
          <w:lang w:eastAsia="zh-CN"/>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lang w:eastAsia="zh-CN"/>
        </w:rPr>
        <w:t>万元，属于</w:t>
      </w:r>
      <w:r>
        <w:rPr>
          <w:rFonts w:hint="eastAsia" w:ascii="宋体" w:hAnsi="宋体" w:eastAsia="宋体" w:cs="宋体"/>
          <w:color w:val="auto"/>
          <w:kern w:val="2"/>
          <w:sz w:val="21"/>
          <w:szCs w:val="21"/>
          <w:highlight w:val="none"/>
          <w:u w:val="single"/>
          <w:lang w:eastAsia="zh-CN"/>
        </w:rPr>
        <w:t>（中型企业、小型企业、微型企业）</w:t>
      </w:r>
      <w:r>
        <w:rPr>
          <w:rFonts w:hint="eastAsia" w:ascii="宋体" w:hAnsi="宋体" w:eastAsia="宋体" w:cs="宋体"/>
          <w:color w:val="auto"/>
          <w:kern w:val="2"/>
          <w:sz w:val="21"/>
          <w:szCs w:val="21"/>
          <w:highlight w:val="none"/>
          <w:lang w:eastAsia="zh-CN"/>
        </w:rPr>
        <w:t>；</w:t>
      </w:r>
    </w:p>
    <w:p w14:paraId="36762714">
      <w:pPr>
        <w:pStyle w:val="5"/>
        <w:spacing w:before="102" w:after="120" w:line="417" w:lineRule="auto"/>
        <w:ind w:left="318" w:right="376" w:firstLine="42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w:t>
      </w:r>
    </w:p>
    <w:p w14:paraId="08B35E94">
      <w:pPr>
        <w:pStyle w:val="5"/>
        <w:spacing w:before="102" w:after="120" w:line="417" w:lineRule="auto"/>
        <w:ind w:left="318" w:right="376" w:firstLine="42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以上企业，不属于大企业的分支机构，不存在控股股东为大企业的情形，也不存在与大企业的负责人为同一人的情形。</w:t>
      </w:r>
    </w:p>
    <w:p w14:paraId="0C4DDC9E">
      <w:pPr>
        <w:pStyle w:val="5"/>
        <w:spacing w:before="102" w:after="120" w:line="417" w:lineRule="auto"/>
        <w:ind w:left="318" w:right="376" w:firstLine="42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本企业对上述声明内容的真实性负责。如有虚假，将依法承担相应责任。</w:t>
      </w:r>
    </w:p>
    <w:p w14:paraId="6D6AD972">
      <w:pPr>
        <w:pStyle w:val="5"/>
        <w:spacing w:before="102" w:after="120" w:line="417" w:lineRule="auto"/>
        <w:ind w:left="318" w:right="376" w:firstLine="4592" w:firstLineChars="2187"/>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企业名称（盖章）：</w:t>
      </w:r>
    </w:p>
    <w:p w14:paraId="327E6A04">
      <w:pPr>
        <w:pStyle w:val="5"/>
        <w:spacing w:before="102" w:after="120" w:line="417" w:lineRule="auto"/>
        <w:ind w:right="376" w:firstLine="4830" w:firstLineChars="23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日 期：</w:t>
      </w:r>
    </w:p>
    <w:p w14:paraId="7B336DA2">
      <w:pPr>
        <w:spacing w:line="360" w:lineRule="auto"/>
        <w:ind w:firstLine="420" w:firstLineChars="200"/>
        <w:rPr>
          <w:rFonts w:hint="eastAsia" w:ascii="宋体" w:hAnsi="宋体"/>
          <w:szCs w:val="21"/>
          <w:highlight w:val="none"/>
        </w:rPr>
      </w:pPr>
    </w:p>
    <w:p w14:paraId="48848C86">
      <w:pPr>
        <w:spacing w:line="360" w:lineRule="auto"/>
        <w:ind w:firstLine="420" w:firstLineChars="200"/>
        <w:rPr>
          <w:rFonts w:hint="eastAsia" w:ascii="宋体" w:hAnsi="宋体"/>
          <w:szCs w:val="21"/>
          <w:highlight w:val="none"/>
        </w:rPr>
      </w:pPr>
    </w:p>
    <w:p w14:paraId="0A901BE8">
      <w:pPr>
        <w:spacing w:line="360" w:lineRule="auto"/>
        <w:ind w:firstLine="420" w:firstLineChars="200"/>
        <w:rPr>
          <w:rFonts w:hint="eastAsia" w:ascii="宋体" w:hAnsi="宋体"/>
          <w:szCs w:val="21"/>
          <w:highlight w:val="none"/>
        </w:rPr>
      </w:pPr>
    </w:p>
    <w:p w14:paraId="05747A97">
      <w:pPr>
        <w:spacing w:line="360" w:lineRule="auto"/>
        <w:ind w:firstLine="420" w:firstLineChars="200"/>
        <w:rPr>
          <w:rFonts w:hint="eastAsia" w:ascii="宋体" w:hAnsi="宋体"/>
          <w:szCs w:val="21"/>
          <w:highlight w:val="none"/>
        </w:rPr>
      </w:pPr>
    </w:p>
    <w:p w14:paraId="09CE53F2">
      <w:pPr>
        <w:spacing w:line="360" w:lineRule="auto"/>
        <w:ind w:firstLine="420" w:firstLineChars="200"/>
        <w:rPr>
          <w:rFonts w:ascii="宋体" w:hAnsi="宋体" w:cs="宋体"/>
          <w:b/>
          <w:bCs/>
          <w:kern w:val="28"/>
          <w:sz w:val="30"/>
          <w:szCs w:val="30"/>
          <w:highlight w:val="none"/>
        </w:rPr>
      </w:pPr>
      <w:r>
        <w:rPr>
          <w:rFonts w:hint="eastAsia" w:ascii="宋体" w:hAnsi="宋体"/>
          <w:szCs w:val="21"/>
          <w:highlight w:val="none"/>
        </w:rPr>
        <w:t>注：从业人员、 营业收入、 资产总额填报上一年度数据，无上一年度数据的新成立企业可不填报。</w:t>
      </w:r>
    </w:p>
    <w:p w14:paraId="662730D0">
      <w:pPr>
        <w:rPr>
          <w:rFonts w:ascii="宋体" w:hAnsi="宋体" w:cs="宋体"/>
          <w:szCs w:val="21"/>
          <w:highlight w:val="none"/>
        </w:rPr>
      </w:pPr>
    </w:p>
    <w:p w14:paraId="0DA36FC8">
      <w:pPr>
        <w:widowControl/>
        <w:jc w:val="left"/>
        <w:outlineLvl w:val="0"/>
        <w:rPr>
          <w:rFonts w:ascii="宋体" w:hAnsi="宋体"/>
          <w:b/>
          <w:color w:val="000000"/>
          <w:kern w:val="0"/>
          <w:sz w:val="30"/>
          <w:szCs w:val="24"/>
          <w:highlight w:val="none"/>
        </w:rPr>
      </w:pPr>
      <w:bookmarkStart w:id="171" w:name="_Toc27983"/>
      <w:r>
        <w:rPr>
          <w:rFonts w:hint="eastAsia" w:ascii="宋体" w:hAnsi="宋体"/>
          <w:b/>
          <w:bCs/>
          <w:color w:val="000000"/>
          <w:kern w:val="0"/>
          <w:sz w:val="24"/>
          <w:szCs w:val="24"/>
          <w:highlight w:val="none"/>
        </w:rPr>
        <w:t>附件2：</w:t>
      </w:r>
      <w:bookmarkEnd w:id="171"/>
    </w:p>
    <w:p w14:paraId="0BC3AFAF">
      <w:pPr>
        <w:keepNext/>
        <w:keepLines/>
        <w:tabs>
          <w:tab w:val="left" w:pos="840"/>
        </w:tabs>
        <w:spacing w:before="260" w:after="260" w:line="412" w:lineRule="auto"/>
        <w:ind w:left="420" w:leftChars="0"/>
        <w:jc w:val="center"/>
        <w:outlineLvl w:val="9"/>
        <w:rPr>
          <w:rFonts w:ascii="宋体" w:hAnsi="宋体"/>
          <w:b/>
          <w:kern w:val="0"/>
          <w:sz w:val="30"/>
          <w:szCs w:val="24"/>
          <w:highlight w:val="none"/>
        </w:rPr>
      </w:pPr>
      <w:r>
        <w:rPr>
          <w:rFonts w:hint="eastAsia" w:ascii="宋体" w:hAnsi="宋体"/>
          <w:b/>
          <w:color w:val="000000"/>
          <w:kern w:val="0"/>
          <w:sz w:val="30"/>
          <w:szCs w:val="24"/>
          <w:highlight w:val="none"/>
        </w:rPr>
        <w:t>残疾人福利性单位声明</w:t>
      </w:r>
      <w:r>
        <w:rPr>
          <w:rFonts w:hint="eastAsia" w:ascii="宋体" w:hAnsi="宋体"/>
          <w:b/>
          <w:kern w:val="0"/>
          <w:sz w:val="30"/>
          <w:szCs w:val="24"/>
          <w:highlight w:val="none"/>
        </w:rPr>
        <w:t>函</w:t>
      </w:r>
      <w:r>
        <w:rPr>
          <w:rFonts w:hint="eastAsia" w:ascii="宋体" w:hAnsi="宋体" w:cs="微软雅黑"/>
          <w:b/>
          <w:kern w:val="0"/>
          <w:sz w:val="30"/>
          <w:szCs w:val="21"/>
          <w:highlight w:val="none"/>
        </w:rPr>
        <w:t>（如有）</w:t>
      </w:r>
    </w:p>
    <w:p w14:paraId="29304C01">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本单位郑重声明，根据《财政部 民政部 中国残疾人联合会关于促进残疾人就业政府采购政策的通知》（财库</w:t>
      </w:r>
      <w:r>
        <w:rPr>
          <w:rFonts w:hint="eastAsia" w:ascii="宋体" w:hAnsi="宋体" w:cs="宋体"/>
          <w:szCs w:val="21"/>
          <w:highlight w:val="none"/>
        </w:rPr>
        <w:t>〔2017〕 141</w:t>
      </w:r>
      <w:r>
        <w:rPr>
          <w:rFonts w:hint="eastAsia" w:ascii="宋体" w:hAnsi="宋体" w:cs="宋体"/>
          <w:spacing w:val="6"/>
          <w:szCs w:val="21"/>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38EF67">
      <w:pPr>
        <w:spacing w:line="440" w:lineRule="exact"/>
        <w:ind w:firstLine="444" w:firstLineChars="200"/>
        <w:rPr>
          <w:rFonts w:ascii="宋体" w:hAnsi="宋体" w:cs="宋体"/>
          <w:spacing w:val="6"/>
          <w:szCs w:val="21"/>
          <w:highlight w:val="none"/>
        </w:rPr>
      </w:pPr>
      <w:r>
        <w:rPr>
          <w:rFonts w:hint="eastAsia" w:ascii="宋体" w:hAnsi="宋体" w:cs="宋体"/>
          <w:spacing w:val="6"/>
          <w:szCs w:val="21"/>
          <w:highlight w:val="none"/>
        </w:rPr>
        <w:t>本单位对上述声明的真实性负责。如有虚假，将依法承担相应责任。</w:t>
      </w:r>
    </w:p>
    <w:p w14:paraId="02723DB9">
      <w:pPr>
        <w:spacing w:line="440" w:lineRule="exact"/>
        <w:rPr>
          <w:rFonts w:ascii="宋体" w:hAnsi="宋体" w:cs="宋体"/>
          <w:spacing w:val="6"/>
          <w:szCs w:val="21"/>
          <w:highlight w:val="none"/>
        </w:rPr>
      </w:pPr>
    </w:p>
    <w:p w14:paraId="31B7251D">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单位名称（盖章）：</w:t>
      </w:r>
    </w:p>
    <w:p w14:paraId="6F05FC34">
      <w:pPr>
        <w:tabs>
          <w:tab w:val="left" w:pos="4860"/>
        </w:tabs>
        <w:spacing w:line="440" w:lineRule="exact"/>
        <w:ind w:right="1560" w:firstLine="444" w:firstLineChars="200"/>
        <w:jc w:val="center"/>
        <w:rPr>
          <w:rFonts w:ascii="宋体" w:hAnsi="宋体" w:cs="宋体"/>
          <w:spacing w:val="6"/>
          <w:szCs w:val="21"/>
          <w:highlight w:val="none"/>
        </w:rPr>
      </w:pPr>
      <w:r>
        <w:rPr>
          <w:rFonts w:hint="eastAsia" w:ascii="宋体" w:hAnsi="宋体" w:cs="宋体"/>
          <w:spacing w:val="6"/>
          <w:szCs w:val="21"/>
          <w:highlight w:val="none"/>
        </w:rPr>
        <w:t xml:space="preserve">       日  期：</w:t>
      </w:r>
    </w:p>
    <w:p w14:paraId="74046988">
      <w:pPr>
        <w:widowControl/>
        <w:spacing w:line="440" w:lineRule="exact"/>
        <w:rPr>
          <w:rFonts w:ascii="宋体" w:hAnsi="宋体" w:cs="宋体"/>
          <w:b/>
          <w:szCs w:val="21"/>
          <w:highlight w:val="none"/>
        </w:rPr>
      </w:pPr>
    </w:p>
    <w:p w14:paraId="62DC9A1E">
      <w:pPr>
        <w:widowControl/>
        <w:spacing w:line="440" w:lineRule="exact"/>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不是残疾人福利性单位</w:t>
      </w:r>
      <w:r>
        <w:rPr>
          <w:rFonts w:hint="eastAsia" w:ascii="宋体" w:hAnsi="宋体" w:cs="宋体"/>
          <w:b/>
          <w:szCs w:val="21"/>
          <w:highlight w:val="none"/>
        </w:rPr>
        <w:t>，则不需要提供《残疾人福利性单位声明函</w:t>
      </w:r>
    </w:p>
    <w:p w14:paraId="7C59D519">
      <w:pPr>
        <w:widowControl/>
        <w:spacing w:line="440" w:lineRule="exact"/>
        <w:rPr>
          <w:rFonts w:ascii="宋体" w:hAnsi="宋体" w:cs="宋体"/>
          <w:b/>
          <w:szCs w:val="21"/>
          <w:highlight w:val="none"/>
        </w:rPr>
      </w:pPr>
      <w:r>
        <w:rPr>
          <w:rFonts w:hint="eastAsia" w:ascii="宋体" w:hAnsi="宋体" w:cs="宋体"/>
          <w:b/>
          <w:szCs w:val="21"/>
          <w:highlight w:val="none"/>
        </w:rPr>
        <w:t>》。）</w:t>
      </w:r>
    </w:p>
    <w:p w14:paraId="36F8EC78">
      <w:pPr>
        <w:tabs>
          <w:tab w:val="left" w:pos="840"/>
        </w:tabs>
        <w:autoSpaceDE w:val="0"/>
        <w:autoSpaceDN w:val="0"/>
        <w:adjustRightInd w:val="0"/>
        <w:spacing w:line="440" w:lineRule="exact"/>
        <w:rPr>
          <w:rFonts w:ascii="宋体" w:hAnsi="宋体"/>
          <w:b/>
          <w:sz w:val="24"/>
          <w:highlight w:val="none"/>
        </w:rPr>
      </w:pPr>
    </w:p>
    <w:p w14:paraId="38A67ED1">
      <w:pPr>
        <w:spacing w:line="440" w:lineRule="exact"/>
        <w:rPr>
          <w:highlight w:val="none"/>
        </w:rPr>
      </w:pPr>
      <w:r>
        <w:rPr>
          <w:rFonts w:hint="eastAsia"/>
          <w:highlight w:val="none"/>
        </w:rPr>
        <w:t>《财政部民政部中国残疾人联合会关于促进残疾人就业政府采购政策的通知》（财库（2017〔141〕号）的规定：</w:t>
      </w:r>
    </w:p>
    <w:p w14:paraId="7C1DAF0C">
      <w:pPr>
        <w:spacing w:line="440" w:lineRule="exact"/>
        <w:ind w:firstLine="420" w:firstLineChars="200"/>
        <w:rPr>
          <w:rFonts w:ascii="宋体" w:hAnsi="宋体" w:cs="宋体"/>
          <w:szCs w:val="21"/>
          <w:highlight w:val="none"/>
        </w:rPr>
      </w:pPr>
      <w:r>
        <w:rPr>
          <w:rFonts w:hint="eastAsia" w:ascii="宋体" w:hAnsi="宋体" w:cs="宋体"/>
          <w:szCs w:val="21"/>
          <w:highlight w:val="none"/>
        </w:rPr>
        <w:t>1. 享受政府采购支持政策的残疾人福利性单位应当同时满足以下条件：</w:t>
      </w:r>
    </w:p>
    <w:p w14:paraId="787A7D7F">
      <w:pPr>
        <w:spacing w:line="440" w:lineRule="exact"/>
        <w:rPr>
          <w:highlight w:val="none"/>
        </w:rPr>
      </w:pPr>
      <w:r>
        <w:rPr>
          <w:rFonts w:hint="eastAsia"/>
          <w:highlight w:val="none"/>
        </w:rPr>
        <w:t>（1）安置的残疾人占本单位在职职工人数的比例不低于25%（含25%），并且安置的残疾人人数不少于10人（含10人）；</w:t>
      </w:r>
    </w:p>
    <w:p w14:paraId="5C0DE949">
      <w:pPr>
        <w:spacing w:line="440" w:lineRule="exact"/>
        <w:rPr>
          <w:highlight w:val="none"/>
        </w:rPr>
      </w:pPr>
      <w:r>
        <w:rPr>
          <w:rFonts w:hint="eastAsia"/>
          <w:highlight w:val="none"/>
        </w:rPr>
        <w:t>（2）依法与安置的每位残疾人签订了一年以上（含一年）的劳动合同或服务协议；</w:t>
      </w:r>
    </w:p>
    <w:p w14:paraId="489DCC5F">
      <w:pPr>
        <w:spacing w:line="440" w:lineRule="exact"/>
        <w:rPr>
          <w:highlight w:val="none"/>
        </w:rPr>
      </w:pPr>
      <w:r>
        <w:rPr>
          <w:rFonts w:hint="eastAsia"/>
          <w:highlight w:val="none"/>
        </w:rPr>
        <w:t>（3）为安置的每位残疾人按月足额缴纳了基本养老保险、基本医疗保险、失业保险、工伤保险和生育保险等社会保险费；</w:t>
      </w:r>
    </w:p>
    <w:p w14:paraId="7844C2FD">
      <w:pPr>
        <w:spacing w:line="440" w:lineRule="exact"/>
        <w:rPr>
          <w:highlight w:val="none"/>
        </w:rPr>
      </w:pPr>
      <w:r>
        <w:rPr>
          <w:rFonts w:hint="eastAsia"/>
          <w:highlight w:val="none"/>
        </w:rPr>
        <w:t>（4）通过银行等金融机构向安置的每位残疾人，按月支付了不低于单位所在区县适用的经省级人民政府批准的月最低工资标准的工资；</w:t>
      </w:r>
    </w:p>
    <w:p w14:paraId="302E9C26">
      <w:pPr>
        <w:spacing w:line="440" w:lineRule="exact"/>
        <w:rPr>
          <w:highlight w:val="none"/>
        </w:rPr>
      </w:pPr>
      <w:r>
        <w:rPr>
          <w:rFonts w:hint="eastAsia"/>
          <w:highlight w:val="none"/>
        </w:rPr>
        <w:t>（5）提供本单位制造的货物、承担的工程或者服务（以下简称产品），或者提供其他残疾人福利性单位制造的货物（不包括使用非残疾人福利性单位注册商标的货物）。</w:t>
      </w:r>
    </w:p>
    <w:p w14:paraId="097DFDE4">
      <w:pPr>
        <w:spacing w:line="440" w:lineRule="exact"/>
        <w:ind w:firstLine="420" w:firstLineChars="200"/>
        <w:rPr>
          <w:rFonts w:ascii="宋体" w:hAnsi="宋体"/>
          <w:b/>
          <w:color w:val="000000"/>
          <w:sz w:val="24"/>
          <w:highlight w:val="none"/>
        </w:rPr>
      </w:pPr>
      <w:r>
        <w:rPr>
          <w:rFonts w:hint="eastAsia" w:ascii="宋体" w:hAnsi="宋体" w:cs="宋体"/>
          <w:szCs w:val="21"/>
          <w:highlight w:val="none"/>
        </w:rPr>
        <w:t>2. 中标人为残疾人福利性单位的，采购人或者其委托的采购代理机构应当随中标、成交结果同时公告其《残疾人福利性单位声明函》，接受社会监督。</w:t>
      </w:r>
    </w:p>
    <w:p w14:paraId="14AB8BFD">
      <w:pPr>
        <w:keepNext/>
        <w:keepLines/>
        <w:tabs>
          <w:tab w:val="left" w:pos="840"/>
        </w:tabs>
        <w:spacing w:before="260" w:after="260" w:line="412" w:lineRule="auto"/>
        <w:outlineLvl w:val="0"/>
        <w:rPr>
          <w:rFonts w:ascii="宋体" w:hAnsi="宋体"/>
          <w:b/>
          <w:bCs/>
          <w:color w:val="000000"/>
          <w:kern w:val="0"/>
          <w:sz w:val="24"/>
          <w:szCs w:val="24"/>
          <w:highlight w:val="none"/>
        </w:rPr>
      </w:pPr>
      <w:bookmarkStart w:id="172" w:name="_Toc19900"/>
      <w:r>
        <w:rPr>
          <w:rFonts w:hint="eastAsia" w:ascii="宋体" w:hAnsi="宋体"/>
          <w:b/>
          <w:bCs/>
          <w:color w:val="000000"/>
          <w:kern w:val="0"/>
          <w:sz w:val="24"/>
          <w:szCs w:val="24"/>
          <w:highlight w:val="none"/>
          <w:lang w:val="en-GB"/>
        </w:rPr>
        <w:t>附件</w:t>
      </w:r>
      <w:r>
        <w:rPr>
          <w:rFonts w:hint="eastAsia" w:ascii="宋体" w:hAnsi="宋体"/>
          <w:b/>
          <w:bCs/>
          <w:color w:val="000000"/>
          <w:kern w:val="0"/>
          <w:sz w:val="24"/>
          <w:szCs w:val="24"/>
          <w:highlight w:val="none"/>
        </w:rPr>
        <w:t>3：</w:t>
      </w:r>
      <w:bookmarkEnd w:id="172"/>
    </w:p>
    <w:p w14:paraId="5ECCE00C">
      <w:pPr>
        <w:keepNext/>
        <w:keepLines/>
        <w:tabs>
          <w:tab w:val="left" w:pos="840"/>
        </w:tabs>
        <w:spacing w:before="260" w:after="260" w:line="412" w:lineRule="auto"/>
        <w:ind w:left="420" w:leftChars="0"/>
        <w:jc w:val="center"/>
        <w:outlineLvl w:val="9"/>
        <w:rPr>
          <w:rFonts w:ascii="宋体" w:hAnsi="宋体"/>
          <w:b/>
          <w:kern w:val="0"/>
          <w:sz w:val="30"/>
          <w:szCs w:val="24"/>
          <w:highlight w:val="none"/>
          <w:lang w:val="en-GB"/>
        </w:rPr>
      </w:pPr>
      <w:r>
        <w:rPr>
          <w:rFonts w:hint="eastAsia" w:ascii="宋体" w:hAnsi="宋体"/>
          <w:b/>
          <w:kern w:val="0"/>
          <w:sz w:val="30"/>
          <w:szCs w:val="24"/>
          <w:highlight w:val="none"/>
          <w:lang w:val="en-GB"/>
        </w:rPr>
        <w:t>监狱企业证明材料</w:t>
      </w:r>
      <w:r>
        <w:rPr>
          <w:rFonts w:hint="eastAsia" w:ascii="宋体" w:hAnsi="宋体" w:cs="微软雅黑"/>
          <w:b/>
          <w:kern w:val="0"/>
          <w:sz w:val="30"/>
          <w:szCs w:val="21"/>
          <w:highlight w:val="none"/>
        </w:rPr>
        <w:t>（如有）</w:t>
      </w:r>
    </w:p>
    <w:p w14:paraId="163A0331">
      <w:pPr>
        <w:rPr>
          <w:highlight w:val="none"/>
          <w:lang w:val="en-GB"/>
        </w:rPr>
      </w:pPr>
    </w:p>
    <w:p w14:paraId="0F2705EE">
      <w:pPr>
        <w:spacing w:line="360" w:lineRule="auto"/>
        <w:ind w:firstLine="420" w:firstLineChars="200"/>
        <w:rPr>
          <w:highlight w:val="none"/>
          <w:lang w:val="en-GB"/>
        </w:rPr>
      </w:pPr>
      <w:r>
        <w:rPr>
          <w:rFonts w:hint="eastAsia"/>
          <w:highlight w:val="none"/>
          <w:lang w:val="en-GB"/>
        </w:rPr>
        <w:t>监狱企业参加政府采购活动时，应当提供由省级以上监狱管理局、戒毒管理局（含新疆生产建设兵团）出具的属于监狱企业的证明文件。</w:t>
      </w:r>
    </w:p>
    <w:p w14:paraId="070166B6">
      <w:pPr>
        <w:spacing w:line="360" w:lineRule="auto"/>
        <w:rPr>
          <w:highlight w:val="none"/>
          <w:lang w:val="en-GB"/>
        </w:rPr>
      </w:pPr>
    </w:p>
    <w:p w14:paraId="0B9A613A">
      <w:pPr>
        <w:spacing w:line="360" w:lineRule="auto"/>
        <w:rPr>
          <w:highlight w:val="none"/>
          <w:lang w:val="en-GB"/>
        </w:rPr>
      </w:pPr>
    </w:p>
    <w:p w14:paraId="320B58F4">
      <w:pPr>
        <w:widowControl/>
        <w:spacing w:line="360" w:lineRule="auto"/>
        <w:rPr>
          <w:rFonts w:ascii="宋体" w:hAnsi="宋体" w:cs="宋体"/>
          <w:b/>
          <w:szCs w:val="21"/>
          <w:highlight w:val="none"/>
        </w:rPr>
      </w:pPr>
      <w:r>
        <w:rPr>
          <w:rFonts w:hint="eastAsia" w:ascii="宋体" w:hAnsi="宋体" w:cs="宋体"/>
          <w:b/>
          <w:szCs w:val="21"/>
          <w:highlight w:val="none"/>
        </w:rPr>
        <w:t>（提醒：如果投标人</w:t>
      </w:r>
      <w:r>
        <w:rPr>
          <w:rFonts w:hint="eastAsia" w:ascii="宋体" w:hAnsi="宋体" w:cs="宋体"/>
          <w:b/>
          <w:spacing w:val="10"/>
          <w:kern w:val="0"/>
          <w:szCs w:val="21"/>
          <w:highlight w:val="none"/>
        </w:rPr>
        <w:t>不是</w:t>
      </w:r>
      <w:r>
        <w:rPr>
          <w:rFonts w:hint="eastAsia" w:ascii="宋体" w:hAnsi="宋体"/>
          <w:b/>
          <w:bCs/>
          <w:szCs w:val="21"/>
          <w:highlight w:val="none"/>
          <w:lang w:val="en-GB"/>
        </w:rPr>
        <w:t>监狱企业</w:t>
      </w:r>
      <w:r>
        <w:rPr>
          <w:rFonts w:hint="eastAsia" w:ascii="宋体" w:hAnsi="宋体" w:cs="宋体"/>
          <w:b/>
          <w:szCs w:val="21"/>
          <w:highlight w:val="none"/>
        </w:rPr>
        <w:t>，则不需要提供</w:t>
      </w:r>
      <w:r>
        <w:rPr>
          <w:rFonts w:hint="eastAsia" w:ascii="宋体" w:hAnsi="宋体" w:cs="宋体"/>
          <w:b/>
          <w:szCs w:val="21"/>
          <w:highlight w:val="none"/>
          <w:lang w:val="en-GB"/>
        </w:rPr>
        <w:t>监狱企业证明材料</w:t>
      </w:r>
      <w:r>
        <w:rPr>
          <w:rFonts w:hint="eastAsia" w:ascii="宋体" w:hAnsi="宋体" w:cs="宋体"/>
          <w:b/>
          <w:szCs w:val="21"/>
          <w:highlight w:val="none"/>
        </w:rPr>
        <w:t>）</w:t>
      </w:r>
    </w:p>
    <w:p w14:paraId="6F1B3BA5">
      <w:pPr>
        <w:widowControl/>
        <w:spacing w:before="100" w:beforeAutospacing="1" w:after="100" w:afterAutospacing="1"/>
        <w:jc w:val="left"/>
        <w:rPr>
          <w:rFonts w:ascii="宋体" w:hAnsi="宋体"/>
          <w:kern w:val="0"/>
          <w:sz w:val="24"/>
          <w:szCs w:val="24"/>
          <w:highlight w:val="none"/>
        </w:rPr>
      </w:pPr>
    </w:p>
    <w:p w14:paraId="47AE0F92">
      <w:pPr>
        <w:keepNext/>
        <w:widowControl/>
        <w:spacing w:line="480" w:lineRule="exact"/>
        <w:jc w:val="center"/>
        <w:outlineLvl w:val="0"/>
        <w:rPr>
          <w:rFonts w:hint="eastAsia" w:ascii="宋体" w:hAnsi="宋体" w:eastAsia="宋体" w:cs="宋体"/>
          <w:b/>
          <w:bCs/>
          <w:color w:val="auto"/>
          <w:sz w:val="28"/>
          <w:szCs w:val="28"/>
          <w:highlight w:val="none"/>
          <w:lang w:val="en-US" w:eastAsia="zh-CN"/>
        </w:rPr>
      </w:pPr>
    </w:p>
    <w:p w14:paraId="55DEB8CA">
      <w:pPr>
        <w:keepNext/>
        <w:widowControl/>
        <w:spacing w:line="480" w:lineRule="exact"/>
        <w:jc w:val="center"/>
        <w:outlineLvl w:val="0"/>
        <w:rPr>
          <w:rFonts w:hint="eastAsia" w:ascii="宋体" w:hAnsi="宋体" w:eastAsia="宋体" w:cs="宋体"/>
          <w:b/>
          <w:bCs/>
          <w:color w:val="auto"/>
          <w:sz w:val="28"/>
          <w:szCs w:val="28"/>
          <w:highlight w:val="none"/>
          <w:lang w:val="en-US" w:eastAsia="zh-CN"/>
        </w:rPr>
      </w:pPr>
    </w:p>
    <w:p w14:paraId="39B7B66F">
      <w:pPr>
        <w:keepNext/>
        <w:widowControl/>
        <w:spacing w:line="480" w:lineRule="exact"/>
        <w:jc w:val="center"/>
        <w:outlineLvl w:val="0"/>
        <w:rPr>
          <w:rFonts w:hint="eastAsia" w:ascii="宋体" w:hAnsi="宋体" w:eastAsia="宋体" w:cs="宋体"/>
          <w:b/>
          <w:bCs/>
          <w:color w:val="auto"/>
          <w:sz w:val="28"/>
          <w:szCs w:val="28"/>
          <w:highlight w:val="none"/>
          <w:lang w:val="en-US" w:eastAsia="zh-CN"/>
        </w:rPr>
      </w:pPr>
    </w:p>
    <w:p w14:paraId="50F189CA">
      <w:pPr>
        <w:keepNext/>
        <w:widowControl/>
        <w:spacing w:line="480" w:lineRule="exact"/>
        <w:jc w:val="center"/>
        <w:outlineLvl w:val="0"/>
        <w:rPr>
          <w:rFonts w:hint="eastAsia" w:ascii="宋体" w:hAnsi="宋体" w:eastAsia="宋体" w:cs="宋体"/>
          <w:b/>
          <w:bCs/>
          <w:color w:val="auto"/>
          <w:sz w:val="28"/>
          <w:szCs w:val="28"/>
          <w:highlight w:val="none"/>
          <w:lang w:val="en-US" w:eastAsia="zh-CN"/>
        </w:rPr>
      </w:pPr>
    </w:p>
    <w:p w14:paraId="1C6C67C8">
      <w:pPr>
        <w:keepNext/>
        <w:widowControl/>
        <w:spacing w:line="480" w:lineRule="exact"/>
        <w:jc w:val="center"/>
        <w:outlineLvl w:val="0"/>
        <w:rPr>
          <w:rFonts w:hint="eastAsia" w:ascii="宋体" w:hAnsi="宋体" w:eastAsia="宋体" w:cs="宋体"/>
          <w:b/>
          <w:bCs/>
          <w:color w:val="auto"/>
          <w:sz w:val="28"/>
          <w:szCs w:val="28"/>
          <w:highlight w:val="none"/>
          <w:lang w:val="en-US" w:eastAsia="zh-CN"/>
        </w:rPr>
      </w:pPr>
    </w:p>
    <w:bookmarkEnd w:id="169"/>
    <w:p w14:paraId="74BB63EB">
      <w:pPr>
        <w:keepNext/>
        <w:widowControl/>
        <w:spacing w:line="480" w:lineRule="exact"/>
        <w:jc w:val="both"/>
        <w:outlineLvl w:val="9"/>
        <w:rPr>
          <w:rFonts w:hint="default" w:ascii="宋体" w:hAnsi="宋体" w:eastAsia="宋体" w:cs="宋体"/>
          <w:b/>
          <w:bCs/>
          <w:color w:val="auto"/>
          <w:sz w:val="28"/>
          <w:szCs w:val="28"/>
          <w:highlight w:val="none"/>
          <w:lang w:val="en-US" w:eastAsia="zh-CN"/>
        </w:rPr>
      </w:pPr>
    </w:p>
    <w:p w14:paraId="56A0D47A">
      <w:pPr>
        <w:keepNext/>
        <w:keepLines/>
        <w:autoSpaceDE w:val="0"/>
        <w:autoSpaceDN w:val="0"/>
        <w:spacing w:line="360" w:lineRule="auto"/>
        <w:jc w:val="both"/>
        <w:outlineLvl w:val="9"/>
        <w:rPr>
          <w:rFonts w:ascii="宋体" w:hAnsi="宋体"/>
          <w:b/>
          <w:color w:val="000000"/>
          <w:kern w:val="0"/>
          <w:sz w:val="28"/>
          <w:szCs w:val="28"/>
          <w:highlight w:val="none"/>
        </w:rPr>
      </w:pPr>
    </w:p>
    <w:p w14:paraId="59CE2CF5">
      <w:pPr>
        <w:keepNext/>
        <w:keepLines/>
        <w:tabs>
          <w:tab w:val="left" w:pos="425"/>
        </w:tabs>
        <w:spacing w:before="260" w:after="260" w:line="480" w:lineRule="exact"/>
        <w:ind w:left="1800" w:firstLine="1050" w:firstLineChars="500"/>
        <w:outlineLvl w:val="9"/>
        <w:rPr>
          <w:highlight w:val="none"/>
        </w:rPr>
      </w:pPr>
      <w:r>
        <w:rPr>
          <w:highlight w:val="none"/>
        </w:rPr>
        <w:t xml:space="preserve"> </w:t>
      </w:r>
    </w:p>
    <w:p w14:paraId="51E32DF3">
      <w:pPr>
        <w:spacing w:line="220" w:lineRule="atLeast"/>
        <w:rPr>
          <w:highlight w:val="none"/>
        </w:rPr>
      </w:pPr>
    </w:p>
    <w:p w14:paraId="77249D80">
      <w:pPr>
        <w:spacing w:line="480" w:lineRule="exact"/>
        <w:textAlignment w:val="center"/>
        <w:rPr>
          <w:rFonts w:hint="eastAsia" w:ascii="宋体" w:hAnsi="宋体" w:cs="宋体"/>
          <w:sz w:val="24"/>
          <w:highlight w:val="none"/>
        </w:rPr>
      </w:pPr>
    </w:p>
    <w:p w14:paraId="48696B26">
      <w:pPr>
        <w:spacing w:line="480" w:lineRule="exact"/>
        <w:textAlignment w:val="center"/>
        <w:rPr>
          <w:rFonts w:hint="eastAsia" w:ascii="宋体" w:hAnsi="宋体" w:cs="宋体"/>
          <w:b/>
          <w:bCs/>
          <w:sz w:val="24"/>
          <w:highlight w:val="none"/>
        </w:rPr>
      </w:pPr>
      <w:r>
        <w:rPr>
          <w:rFonts w:hint="eastAsia" w:ascii="宋体" w:hAnsi="宋体" w:cs="宋体"/>
          <w:sz w:val="24"/>
          <w:highlight w:val="none"/>
        </w:rPr>
        <w:t xml:space="preserve"> </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_5b8b_4f53">
    <w:altName w:val="微软雅黑"/>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DDCD">
    <w:pPr>
      <w:pStyle w:val="10"/>
      <w:jc w:val="center"/>
    </w:pPr>
    <w:r>
      <w:fldChar w:fldCharType="begin"/>
    </w:r>
    <w:r>
      <w:instrText xml:space="preserve"> PAGE   \* MERGEFORMAT </w:instrText>
    </w:r>
    <w:r>
      <w:fldChar w:fldCharType="separate"/>
    </w:r>
    <w:r>
      <w:rPr>
        <w:lang w:val="zh-CN"/>
      </w:rPr>
      <w:t>51</w:t>
    </w:r>
    <w:r>
      <w:fldChar w:fldCharType="end"/>
    </w:r>
  </w:p>
  <w:p w14:paraId="120E2D95">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BEE33">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5AFE00">
                          <w:pPr>
                            <w:pStyle w:val="10"/>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0B5AFE00">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D3FB">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73613">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7BEBE"/>
    <w:multiLevelType w:val="singleLevel"/>
    <w:tmpl w:val="CAC7BEBE"/>
    <w:lvl w:ilvl="0" w:tentative="0">
      <w:start w:val="1"/>
      <w:numFmt w:val="decimal"/>
      <w:lvlText w:val="%1."/>
      <w:lvlJc w:val="left"/>
      <w:pPr>
        <w:tabs>
          <w:tab w:val="left" w:pos="312"/>
        </w:tabs>
      </w:pPr>
    </w:lvl>
  </w:abstractNum>
  <w:abstractNum w:abstractNumId="1">
    <w:nsid w:val="2399A305"/>
    <w:multiLevelType w:val="singleLevel"/>
    <w:tmpl w:val="2399A305"/>
    <w:lvl w:ilvl="0" w:tentative="0">
      <w:start w:val="6"/>
      <w:numFmt w:val="decimal"/>
      <w:suff w:val="nothing"/>
      <w:lvlText w:val="%1、"/>
      <w:lvlJc w:val="left"/>
    </w:lvl>
  </w:abstractNum>
  <w:abstractNum w:abstractNumId="2">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942CB99"/>
    <w:multiLevelType w:val="singleLevel"/>
    <w:tmpl w:val="3942CB99"/>
    <w:lvl w:ilvl="0" w:tentative="0">
      <w:start w:val="2"/>
      <w:numFmt w:val="decimal"/>
      <w:lvlText w:val="%1."/>
      <w:lvlJc w:val="left"/>
      <w:pPr>
        <w:tabs>
          <w:tab w:val="left" w:pos="312"/>
        </w:tabs>
      </w:pPr>
    </w:lvl>
  </w:abstractNum>
  <w:abstractNum w:abstractNumId="4">
    <w:nsid w:val="4A2313DB"/>
    <w:multiLevelType w:val="singleLevel"/>
    <w:tmpl w:val="4A2313DB"/>
    <w:lvl w:ilvl="0" w:tentative="0">
      <w:start w:val="1"/>
      <w:numFmt w:val="decimal"/>
      <w:suff w:val="nothing"/>
      <w:lvlText w:val="%1、"/>
      <w:lvlJc w:val="left"/>
    </w:lvl>
  </w:abstractNum>
  <w:abstractNum w:abstractNumId="5">
    <w:nsid w:val="5EA350CA"/>
    <w:multiLevelType w:val="singleLevel"/>
    <w:tmpl w:val="5EA350CA"/>
    <w:lvl w:ilvl="0" w:tentative="0">
      <w:start w:val="5"/>
      <w:numFmt w:val="chineseCounting"/>
      <w:suff w:val="space"/>
      <w:lvlText w:val="第%1章"/>
      <w:lvlJc w:val="left"/>
      <w:rPr>
        <w:rFonts w:hint="eastAsia"/>
      </w:rPr>
    </w:lvl>
  </w:abstractNum>
  <w:num w:numId="1">
    <w:abstractNumId w:val="1"/>
  </w:num>
  <w:num w:numId="2">
    <w:abstractNumId w:val="3"/>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OARla18vSezs2+Ljhn5WV2TM1Ck=" w:salt="R5wIEKCDCkWy7WLzFy4FQ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NjgwMWIyZjRjOTJkNDAzODU0MTZkNDhmZTcwNGUifQ=="/>
  </w:docVars>
  <w:rsids>
    <w:rsidRoot w:val="12D42619"/>
    <w:rsid w:val="003577A2"/>
    <w:rsid w:val="006F7F72"/>
    <w:rsid w:val="021A27AB"/>
    <w:rsid w:val="02C40969"/>
    <w:rsid w:val="03B4047B"/>
    <w:rsid w:val="04A66578"/>
    <w:rsid w:val="060E6ACB"/>
    <w:rsid w:val="077A53ED"/>
    <w:rsid w:val="07CF369E"/>
    <w:rsid w:val="09002522"/>
    <w:rsid w:val="0ACE6FDF"/>
    <w:rsid w:val="0CEA55E4"/>
    <w:rsid w:val="0DB86C18"/>
    <w:rsid w:val="0EB83A78"/>
    <w:rsid w:val="0FF643BB"/>
    <w:rsid w:val="10266267"/>
    <w:rsid w:val="116457F1"/>
    <w:rsid w:val="12D42619"/>
    <w:rsid w:val="153D756E"/>
    <w:rsid w:val="158133EF"/>
    <w:rsid w:val="16087990"/>
    <w:rsid w:val="163634D4"/>
    <w:rsid w:val="193463F1"/>
    <w:rsid w:val="1999688D"/>
    <w:rsid w:val="19AA6CD4"/>
    <w:rsid w:val="1D9A312D"/>
    <w:rsid w:val="1E2647B5"/>
    <w:rsid w:val="1F642D13"/>
    <w:rsid w:val="1FD87CB3"/>
    <w:rsid w:val="20690547"/>
    <w:rsid w:val="21F93D33"/>
    <w:rsid w:val="223034CD"/>
    <w:rsid w:val="23717875"/>
    <w:rsid w:val="23E10F23"/>
    <w:rsid w:val="2432352D"/>
    <w:rsid w:val="24AF1021"/>
    <w:rsid w:val="25496D80"/>
    <w:rsid w:val="2732528B"/>
    <w:rsid w:val="27CB43C4"/>
    <w:rsid w:val="280E28F6"/>
    <w:rsid w:val="289A324F"/>
    <w:rsid w:val="28C826B1"/>
    <w:rsid w:val="28DC4973"/>
    <w:rsid w:val="29EC6874"/>
    <w:rsid w:val="2A58320D"/>
    <w:rsid w:val="2A6A2ACF"/>
    <w:rsid w:val="2B157704"/>
    <w:rsid w:val="2BD61589"/>
    <w:rsid w:val="2BDA47DA"/>
    <w:rsid w:val="2CE25B95"/>
    <w:rsid w:val="2F0D52C2"/>
    <w:rsid w:val="2F143740"/>
    <w:rsid w:val="2F603644"/>
    <w:rsid w:val="2F90171F"/>
    <w:rsid w:val="2FBD0A96"/>
    <w:rsid w:val="3102072B"/>
    <w:rsid w:val="3183186B"/>
    <w:rsid w:val="3216623C"/>
    <w:rsid w:val="32D61E6F"/>
    <w:rsid w:val="331B019D"/>
    <w:rsid w:val="337C2A16"/>
    <w:rsid w:val="3390481C"/>
    <w:rsid w:val="33C81968"/>
    <w:rsid w:val="391D7CAB"/>
    <w:rsid w:val="397C551E"/>
    <w:rsid w:val="3B190B4B"/>
    <w:rsid w:val="3E314013"/>
    <w:rsid w:val="3F4E2026"/>
    <w:rsid w:val="3FC43DF8"/>
    <w:rsid w:val="402443FA"/>
    <w:rsid w:val="40714F85"/>
    <w:rsid w:val="40AA5A49"/>
    <w:rsid w:val="40B338BC"/>
    <w:rsid w:val="40CB304E"/>
    <w:rsid w:val="40FC2C13"/>
    <w:rsid w:val="42196D3E"/>
    <w:rsid w:val="440E4AB8"/>
    <w:rsid w:val="464D150D"/>
    <w:rsid w:val="47C9793E"/>
    <w:rsid w:val="481052EC"/>
    <w:rsid w:val="483D231C"/>
    <w:rsid w:val="48514479"/>
    <w:rsid w:val="48E56510"/>
    <w:rsid w:val="49E36EF3"/>
    <w:rsid w:val="4ADF590D"/>
    <w:rsid w:val="4D61085B"/>
    <w:rsid w:val="4D743895"/>
    <w:rsid w:val="4DA327E9"/>
    <w:rsid w:val="4EA135A7"/>
    <w:rsid w:val="4F3F2E1E"/>
    <w:rsid w:val="4F895E47"/>
    <w:rsid w:val="4FE044A3"/>
    <w:rsid w:val="4FE319FB"/>
    <w:rsid w:val="525E6123"/>
    <w:rsid w:val="527E5C57"/>
    <w:rsid w:val="529C6BFA"/>
    <w:rsid w:val="5337169E"/>
    <w:rsid w:val="5402441A"/>
    <w:rsid w:val="54490E62"/>
    <w:rsid w:val="54B30FDA"/>
    <w:rsid w:val="55D96F95"/>
    <w:rsid w:val="57352F3C"/>
    <w:rsid w:val="57617F01"/>
    <w:rsid w:val="57664CC0"/>
    <w:rsid w:val="58580AAD"/>
    <w:rsid w:val="585D2FF4"/>
    <w:rsid w:val="58A941EC"/>
    <w:rsid w:val="59DD53DB"/>
    <w:rsid w:val="5BF037E6"/>
    <w:rsid w:val="5C0324C1"/>
    <w:rsid w:val="5C4C0928"/>
    <w:rsid w:val="5CF504E8"/>
    <w:rsid w:val="5D731EE5"/>
    <w:rsid w:val="5D8D744A"/>
    <w:rsid w:val="5EFA44B9"/>
    <w:rsid w:val="5FA25B22"/>
    <w:rsid w:val="61442C54"/>
    <w:rsid w:val="615932A7"/>
    <w:rsid w:val="62E34D32"/>
    <w:rsid w:val="63476AA6"/>
    <w:rsid w:val="66140709"/>
    <w:rsid w:val="669A0D95"/>
    <w:rsid w:val="672506F4"/>
    <w:rsid w:val="67850037"/>
    <w:rsid w:val="68417457"/>
    <w:rsid w:val="68713DBF"/>
    <w:rsid w:val="692C5FC9"/>
    <w:rsid w:val="6A877381"/>
    <w:rsid w:val="6C3A254B"/>
    <w:rsid w:val="6E011F24"/>
    <w:rsid w:val="6F714744"/>
    <w:rsid w:val="709E6598"/>
    <w:rsid w:val="7123407B"/>
    <w:rsid w:val="71730E29"/>
    <w:rsid w:val="71E71AD1"/>
    <w:rsid w:val="723914F7"/>
    <w:rsid w:val="732D105C"/>
    <w:rsid w:val="741C69DA"/>
    <w:rsid w:val="750A2CD7"/>
    <w:rsid w:val="771340C5"/>
    <w:rsid w:val="7747751D"/>
    <w:rsid w:val="77FE2FC7"/>
    <w:rsid w:val="782A5B6A"/>
    <w:rsid w:val="789C4A53"/>
    <w:rsid w:val="78F60CC8"/>
    <w:rsid w:val="7B914152"/>
    <w:rsid w:val="7BC47442"/>
    <w:rsid w:val="7BFF2E69"/>
    <w:rsid w:val="7C4F5666"/>
    <w:rsid w:val="7E0E6C5F"/>
    <w:rsid w:val="7E4C2EA5"/>
    <w:rsid w:val="7EB52241"/>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keepNext/>
      <w:keepLines/>
      <w:spacing w:before="260" w:after="260" w:line="415" w:lineRule="auto"/>
      <w:jc w:val="center"/>
      <w:outlineLvl w:val="2"/>
    </w:pPr>
    <w:rPr>
      <w:rFonts w:ascii="Times New Roman" w:hAnsi="Times New Roman" w:eastAsia="宋体"/>
      <w:b/>
      <w:bCs/>
      <w:kern w:val="0"/>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Body Text"/>
    <w:basedOn w:val="1"/>
    <w:next w:val="6"/>
    <w:qFormat/>
    <w:uiPriority w:val="0"/>
    <w:pPr>
      <w:ind w:left="122"/>
    </w:pPr>
    <w:rPr>
      <w:rFonts w:ascii="宋体" w:hAnsi="宋体" w:eastAsia="宋体"/>
      <w:sz w:val="21"/>
      <w:szCs w:val="21"/>
    </w:rPr>
  </w:style>
  <w:style w:type="paragraph" w:customStyle="1" w:styleId="6">
    <w:name w:val="Default"/>
    <w:basedOn w:val="1"/>
    <w:next w:val="1"/>
    <w:qFormat/>
    <w:uiPriority w:val="0"/>
    <w:pPr>
      <w:autoSpaceDE w:val="0"/>
      <w:autoSpaceDN w:val="0"/>
      <w:adjustRightInd w:val="0"/>
      <w:spacing w:before="100" w:beforeAutospacing="1" w:after="200" w:line="268" w:lineRule="auto"/>
      <w:jc w:val="left"/>
    </w:pPr>
    <w:rPr>
      <w:rFonts w:hint="eastAsia" w:ascii="宋体" w:hAnsi="宋体"/>
      <w:color w:val="000000"/>
      <w:kern w:val="0"/>
      <w:sz w:val="24"/>
    </w:rPr>
  </w:style>
  <w:style w:type="paragraph" w:styleId="7">
    <w:name w:val="Body Text Indent"/>
    <w:basedOn w:val="1"/>
    <w:next w:val="8"/>
    <w:qFormat/>
    <w:uiPriority w:val="0"/>
    <w:pPr>
      <w:spacing w:after="120"/>
      <w:ind w:left="420" w:leftChars="200"/>
    </w:pPr>
  </w:style>
  <w:style w:type="paragraph" w:styleId="8">
    <w:name w:val="envelope return"/>
    <w:basedOn w:val="1"/>
    <w:semiHidden/>
    <w:qFormat/>
    <w:uiPriority w:val="0"/>
    <w:pPr>
      <w:snapToGrid w:val="0"/>
      <w:spacing w:after="200" w:line="276" w:lineRule="auto"/>
    </w:pPr>
    <w:rPr>
      <w:rFonts w:ascii="Arial" w:hAnsi="Arial" w:cs="Arial"/>
      <w:lang w:bidi="en-US"/>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tabs>
        <w:tab w:val="right" w:leader="dot" w:pos="8302"/>
      </w:tabs>
      <w:spacing w:line="400" w:lineRule="exact"/>
      <w:jc w:val="left"/>
    </w:pPr>
    <w:rPr>
      <w:rFonts w:ascii="宋体" w:hAnsi="宋体"/>
      <w:b/>
      <w:bCs/>
      <w:caps/>
      <w:color w:val="000000"/>
      <w:szCs w:val="21"/>
    </w:rPr>
  </w:style>
  <w:style w:type="paragraph" w:styleId="13">
    <w:name w:val="Message Header"/>
    <w:basedOn w:val="1"/>
    <w:next w:val="14"/>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customStyle="1" w:styleId="14">
    <w:name w:val="我的正文"/>
    <w:basedOn w:val="7"/>
    <w:autoRedefine/>
    <w:qFormat/>
    <w:uiPriority w:val="0"/>
    <w:pPr>
      <w:ind w:firstLine="480" w:firstLineChars="200"/>
    </w:pPr>
    <w:rPr>
      <w:szCs w:val="20"/>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1"/>
    <w:next w:val="17"/>
    <w:qFormat/>
    <w:uiPriority w:val="0"/>
    <w:pPr>
      <w:widowControl/>
      <w:spacing w:line="276" w:lineRule="auto"/>
      <w:ind w:firstLine="420" w:firstLineChars="100"/>
      <w:jc w:val="left"/>
    </w:pPr>
    <w:rPr>
      <w:rFonts w:ascii="宋体" w:eastAsia="仿宋" w:cs="Times New Roman"/>
      <w:kern w:val="0"/>
      <w:sz w:val="24"/>
      <w:szCs w:val="21"/>
    </w:rPr>
  </w:style>
  <w:style w:type="paragraph" w:styleId="17">
    <w:name w:val="Body Text First Indent 2"/>
    <w:basedOn w:val="1"/>
    <w:next w:val="1"/>
    <w:qFormat/>
    <w:uiPriority w:val="0"/>
    <w:pPr>
      <w:widowControl/>
      <w:spacing w:line="276" w:lineRule="auto"/>
      <w:ind w:firstLine="420" w:firstLineChars="200"/>
      <w:jc w:val="left"/>
    </w:pPr>
    <w:rPr>
      <w:rFonts w:ascii="宋体" w:hAnsi="Calibri" w:eastAsia="仿宋" w:cs="Times New Roman"/>
      <w:kern w:val="0"/>
      <w:sz w:val="24"/>
      <w:szCs w:val="21"/>
    </w:rPr>
  </w:style>
  <w:style w:type="table" w:styleId="19">
    <w:name w:val="Table Grid"/>
    <w:basedOn w:val="1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none"/>
    </w:rPr>
  </w:style>
  <w:style w:type="character" w:styleId="29">
    <w:name w:val="HTML Code"/>
    <w:basedOn w:val="20"/>
    <w:qFormat/>
    <w:uiPriority w:val="0"/>
    <w:rPr>
      <w:rFonts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character" w:customStyle="1" w:styleId="33">
    <w:name w:val="first-child"/>
    <w:basedOn w:val="20"/>
    <w:qFormat/>
    <w:uiPriority w:val="0"/>
  </w:style>
  <w:style w:type="character" w:customStyle="1" w:styleId="34">
    <w:name w:val="layui-layer-tabnow"/>
    <w:basedOn w:val="20"/>
    <w:qFormat/>
    <w:uiPriority w:val="0"/>
    <w:rPr>
      <w:bdr w:val="single" w:color="CCCCCC" w:sz="6" w:space="0"/>
      <w:shd w:val="clear" w:fill="FFFFFF"/>
    </w:rPr>
  </w:style>
  <w:style w:type="character" w:customStyle="1" w:styleId="35">
    <w:name w:val="hover"/>
    <w:basedOn w:val="20"/>
    <w:qFormat/>
    <w:uiPriority w:val="0"/>
    <w:rPr>
      <w:color w:val="2590EB"/>
    </w:rPr>
  </w:style>
  <w:style w:type="character" w:customStyle="1" w:styleId="36">
    <w:name w:val="hover1"/>
    <w:basedOn w:val="20"/>
    <w:qFormat/>
    <w:uiPriority w:val="0"/>
    <w:rPr>
      <w:color w:val="2590EB"/>
    </w:rPr>
  </w:style>
  <w:style w:type="character" w:customStyle="1" w:styleId="37">
    <w:name w:val="hover2"/>
    <w:basedOn w:val="20"/>
    <w:qFormat/>
    <w:uiPriority w:val="0"/>
  </w:style>
  <w:style w:type="character" w:customStyle="1" w:styleId="38">
    <w:name w:val="mini-outputtext1"/>
    <w:basedOn w:val="20"/>
    <w:qFormat/>
    <w:uiPriority w:val="0"/>
  </w:style>
  <w:style w:type="character" w:customStyle="1" w:styleId="39">
    <w:name w:val="hover3"/>
    <w:basedOn w:val="20"/>
    <w:qFormat/>
    <w:uiPriority w:val="0"/>
  </w:style>
  <w:style w:type="paragraph" w:styleId="40">
    <w:name w:val="List Paragraph"/>
    <w:basedOn w:val="1"/>
    <w:qFormat/>
    <w:uiPriority w:val="0"/>
    <w:pPr>
      <w:ind w:firstLine="420" w:firstLineChars="200"/>
    </w:pPr>
    <w:rPr>
      <w:rFonts w:ascii="Calibri" w:hAnsi="Calibri"/>
      <w:szCs w:val="24"/>
    </w:rPr>
  </w:style>
  <w:style w:type="paragraph" w:customStyle="1" w:styleId="41">
    <w:name w:val="Normal_0_1"/>
    <w:autoRedefine/>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11223</Words>
  <Characters>13089</Characters>
  <Lines>0</Lines>
  <Paragraphs>0</Paragraphs>
  <TotalTime>37</TotalTime>
  <ScaleCrop>false</ScaleCrop>
  <LinksUpToDate>false</LinksUpToDate>
  <CharactersWithSpaces>13260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2024-09-08T15:59:00Z</dcterms:created>
  <dc:creator>胡小花</dc:creator>
  <cp:lastModifiedBy>胡小花</cp:lastModifiedBy>
  <cp:lastPrinted>2024-10-14T08:11:00Z</cp:lastPrinted>
  <dcterms:modified xsi:type="dcterms:W3CDTF">2025-05-13T06:47:22Z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A6E65F9B728C4A2C96D485B40985FF8A_13</vt:lpwstr>
  </property>
  <property fmtid="{D5CDD505-2E9C-101B-9397-08002B2CF9AE}" pid="4" name="KSOTemplateDocerSaveRecord">
    <vt:lpwstr>eyJoZGlkIjoiM2I2NjgwMWIyZjRjOTJkNDAzODU0MTZkNDhmZTcwNGUiLCJ1c2VySWQiOiIzNTI3ODc2MjUifQ==</vt:lpwstr>
  </property>
</Properties>
</file>