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 xml:space="preserve"> </w:t>
      </w:r>
    </w:p>
    <w:p w14:paraId="65A3D369">
      <w:pPr>
        <w:jc w:val="center"/>
        <w:rPr>
          <w:rFonts w:hint="eastAsia" w:ascii="宋体" w:hAnsi="宋体" w:cs="宋体"/>
          <w:b/>
          <w:bCs/>
          <w:sz w:val="44"/>
          <w:szCs w:val="44"/>
          <w:highlight w:val="none"/>
          <w:lang w:eastAsia="zh-CN"/>
        </w:rPr>
      </w:pPr>
      <w:r>
        <w:rPr>
          <w:rFonts w:hint="eastAsia" w:ascii="宋体" w:hAnsi="宋体" w:cs="宋体"/>
          <w:b/>
          <w:bCs/>
          <w:sz w:val="44"/>
          <w:szCs w:val="44"/>
          <w:highlight w:val="none"/>
          <w:lang w:val="en-US" w:eastAsia="zh-CN"/>
        </w:rPr>
        <w:t>2025年陕州区西李村乡方里村玉露香梨产业配套设施项目</w:t>
      </w:r>
    </w:p>
    <w:p w14:paraId="50C32087">
      <w:pPr>
        <w:jc w:val="center"/>
        <w:rPr>
          <w:rFonts w:hint="eastAsia" w:ascii="宋体" w:hAnsi="宋体" w:cs="宋体"/>
          <w:b/>
          <w:bCs/>
          <w:sz w:val="48"/>
          <w:szCs w:val="48"/>
          <w:highlight w:val="none"/>
          <w:lang w:eastAsia="zh-CN"/>
        </w:rPr>
      </w:pPr>
    </w:p>
    <w:p w14:paraId="38434BD9">
      <w:pPr>
        <w:jc w:val="center"/>
        <w:rPr>
          <w:rFonts w:hint="eastAsia" w:ascii="宋体" w:hAnsi="宋体" w:cs="宋体"/>
          <w:b/>
          <w:bCs/>
          <w:sz w:val="48"/>
          <w:szCs w:val="48"/>
          <w:highlight w:val="none"/>
          <w:lang w:eastAsia="zh-CN"/>
        </w:rPr>
      </w:pPr>
    </w:p>
    <w:p w14:paraId="4E802570">
      <w:pPr>
        <w:jc w:val="center"/>
        <w:rPr>
          <w:rFonts w:hint="eastAsia" w:ascii="宋体" w:hAnsi="宋体"/>
          <w:b/>
          <w:sz w:val="72"/>
          <w:szCs w:val="72"/>
          <w:highlight w:val="none"/>
        </w:rPr>
      </w:pPr>
    </w:p>
    <w:p w14:paraId="5FAC2881">
      <w:pPr>
        <w:bidi w:val="0"/>
        <w:jc w:val="center"/>
        <w:rPr>
          <w:rFonts w:hint="eastAsia"/>
          <w:b/>
          <w:bCs/>
          <w:sz w:val="52"/>
          <w:szCs w:val="56"/>
          <w:highlight w:val="none"/>
        </w:rPr>
      </w:pPr>
      <w:r>
        <w:rPr>
          <w:rFonts w:hint="eastAsia"/>
          <w:b/>
          <w:bCs/>
          <w:sz w:val="72"/>
          <w:szCs w:val="96"/>
          <w:highlight w:val="none"/>
        </w:rPr>
        <w:t>竞争性磋商文件</w:t>
      </w:r>
    </w:p>
    <w:p w14:paraId="3B2A24C0">
      <w:pPr>
        <w:spacing w:line="540" w:lineRule="exact"/>
        <w:jc w:val="both"/>
        <w:rPr>
          <w:rFonts w:ascii="宋体" w:hAnsi="宋体" w:cs="宋体"/>
          <w:sz w:val="28"/>
          <w:szCs w:val="28"/>
          <w:highlight w:val="none"/>
        </w:rPr>
      </w:pPr>
    </w:p>
    <w:p w14:paraId="636C1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宋体" w:hAnsi="宋体" w:cs="宋体"/>
          <w:color w:val="000000" w:themeColor="text1"/>
          <w:sz w:val="36"/>
          <w:szCs w:val="36"/>
          <w:highlight w:val="none"/>
          <w:lang w:val="en-US"/>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项目编号：</w:t>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HYPERLINK "javascript:;" \o "2025年陕州区西李村乡方里村玉露香梨产业配套设施项目（设备采购）"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HYPERLINK "javascript:;"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SZGZ[2025]032-ZC021</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 xml:space="preserve">  陕州竞磋采购-2025-28</w:t>
      </w: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0"/>
          <w:szCs w:val="20"/>
        </w:rPr>
      </w:pP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1"/>
          <w:szCs w:val="21"/>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r>
        <w:rPr>
          <w:rFonts w:hint="eastAsia" w:ascii="宋体" w:hAnsi="宋体" w:eastAsia="宋体" w:cs="宋体"/>
          <w:b/>
          <w:bCs/>
          <w:highlight w:val="none"/>
        </w:rPr>
        <w:drawing>
          <wp:inline distT="0" distB="0" distL="114300" distR="114300">
            <wp:extent cx="2070735" cy="188468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070735" cy="1884680"/>
                    </a:xfrm>
                    <a:prstGeom prst="rect">
                      <a:avLst/>
                    </a:prstGeom>
                    <a:noFill/>
                    <a:ln>
                      <a:noFill/>
                    </a:ln>
                  </pic:spPr>
                </pic:pic>
              </a:graphicData>
            </a:graphic>
          </wp:inline>
        </w:drawing>
      </w: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eastAsia" w:ascii="宋体" w:hAnsi="宋体" w:eastAsia="宋体" w:cs="Times New Roman"/>
          <w:bCs/>
          <w:color w:val="000000"/>
          <w:sz w:val="24"/>
          <w:u w:val="single"/>
          <w:lang w:eastAsia="zh-CN"/>
        </w:rPr>
      </w:pPr>
      <w:r>
        <w:rPr>
          <w:rFonts w:hint="eastAsia" w:ascii="宋体" w:hAnsi="宋体" w:cs="宋体"/>
          <w:sz w:val="30"/>
          <w:szCs w:val="30"/>
          <w:highlight w:val="none"/>
          <w:lang w:val="en-US" w:eastAsia="zh-CN"/>
        </w:rPr>
        <w:t>采购</w:t>
      </w:r>
      <w:r>
        <w:rPr>
          <w:rFonts w:hint="eastAsia" w:ascii="宋体" w:hAnsi="宋体" w:eastAsia="宋体" w:cs="宋体"/>
          <w:sz w:val="30"/>
          <w:szCs w:val="30"/>
          <w:highlight w:val="none"/>
          <w:lang w:eastAsia="zh-CN"/>
        </w:rPr>
        <w:t>人：</w:t>
      </w:r>
      <w:r>
        <w:rPr>
          <w:rFonts w:hint="eastAsia" w:ascii="宋体" w:hAnsi="宋体" w:cs="宋体"/>
          <w:sz w:val="30"/>
          <w:szCs w:val="30"/>
          <w:highlight w:val="none"/>
          <w:lang w:eastAsia="zh-CN"/>
        </w:rPr>
        <w:t>三门峡市陕州区西李村乡人民政府</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val="en-US" w:eastAsia="zh-CN"/>
        </w:rPr>
        <w:t>采购</w:t>
      </w:r>
      <w:r>
        <w:rPr>
          <w:rFonts w:hint="eastAsia" w:ascii="宋体" w:hAnsi="宋体" w:eastAsia="宋体" w:cs="宋体"/>
          <w:sz w:val="30"/>
          <w:szCs w:val="30"/>
          <w:highlight w:val="none"/>
          <w:lang w:eastAsia="zh-CN"/>
        </w:rPr>
        <w:t>代理机构：中诚联创工程管理有限公司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color w:val="auto"/>
          <w:spacing w:val="20"/>
          <w:sz w:val="30"/>
          <w:szCs w:val="30"/>
          <w:highlight w:val="none"/>
        </w:rPr>
        <w:t>年</w:t>
      </w:r>
      <w:r>
        <w:rPr>
          <w:rFonts w:hint="eastAsia" w:ascii="宋体" w:hAnsi="宋体" w:cs="宋体"/>
          <w:color w:val="auto"/>
          <w:spacing w:val="20"/>
          <w:sz w:val="30"/>
          <w:szCs w:val="30"/>
          <w:highlight w:val="none"/>
          <w:lang w:val="en-US" w:eastAsia="zh-CN"/>
        </w:rPr>
        <w:t>四月</w:t>
      </w:r>
      <w:r>
        <w:rPr>
          <w:rFonts w:hint="eastAsia" w:ascii="宋体" w:hAnsi="宋体" w:cs="宋体"/>
          <w:color w:val="FF0000"/>
          <w:spacing w:val="20"/>
          <w:sz w:val="30"/>
          <w:szCs w:val="30"/>
          <w:highlight w:val="none"/>
          <w:lang w:val="en-US" w:eastAsia="zh-CN"/>
        </w:rPr>
        <w:t xml:space="preserve">  </w:t>
      </w:r>
    </w:p>
    <w:sdt>
      <w:sdtPr>
        <w:rPr>
          <w:rFonts w:ascii="宋体" w:hAnsi="宋体" w:eastAsia="宋体" w:cs="Times New Roman"/>
          <w:kern w:val="2"/>
          <w:sz w:val="21"/>
          <w:szCs w:val="22"/>
          <w:lang w:val="en-US" w:eastAsia="zh-CN" w:bidi="ar-SA"/>
        </w:rPr>
        <w:id w:val="147461572"/>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2594DACF">
          <w:pPr>
            <w:spacing w:before="0" w:beforeLines="0" w:after="0" w:afterLines="0" w:line="240" w:lineRule="auto"/>
            <w:ind w:left="0" w:leftChars="0" w:right="0" w:rightChars="0" w:firstLine="0" w:firstLineChars="0"/>
            <w:jc w:val="center"/>
            <w:rPr>
              <w:sz w:val="24"/>
              <w:szCs w:val="28"/>
            </w:rPr>
          </w:pPr>
          <w:bookmarkStart w:id="0" w:name="_Toc11855"/>
          <w:bookmarkStart w:id="1" w:name="OLE_LINK11"/>
          <w:r>
            <w:rPr>
              <w:rFonts w:ascii="宋体" w:hAnsi="宋体" w:eastAsia="宋体"/>
              <w:b/>
              <w:bCs/>
              <w:sz w:val="32"/>
              <w:szCs w:val="36"/>
            </w:rPr>
            <w:t>目录</w:t>
          </w:r>
        </w:p>
        <w:p w14:paraId="372F71B0">
          <w:pPr>
            <w:pStyle w:val="12"/>
            <w:tabs>
              <w:tab w:val="right" w:leader="dot" w:pos="9632"/>
              <w:tab w:val="clear" w:pos="8302"/>
            </w:tabs>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_Toc8180 </w:instrText>
          </w:r>
          <w:r>
            <w:rPr>
              <w:sz w:val="24"/>
              <w:szCs w:val="24"/>
            </w:rPr>
            <w:fldChar w:fldCharType="separate"/>
          </w:r>
          <w:r>
            <w:rPr>
              <w:rFonts w:hint="eastAsia"/>
              <w:sz w:val="24"/>
              <w:szCs w:val="24"/>
              <w:lang w:val="en-US" w:eastAsia="zh-CN"/>
            </w:rPr>
            <w:t xml:space="preserve">第一章 </w:t>
          </w:r>
          <w:r>
            <w:rPr>
              <w:rFonts w:hint="eastAsia"/>
              <w:sz w:val="24"/>
              <w:szCs w:val="32"/>
              <w:highlight w:val="none"/>
              <w:lang w:val="en-US" w:eastAsia="zh-CN"/>
            </w:rPr>
            <w:t>竞争性磋商公告</w:t>
          </w:r>
          <w:r>
            <w:rPr>
              <w:sz w:val="24"/>
              <w:szCs w:val="24"/>
            </w:rPr>
            <w:tab/>
          </w:r>
          <w:r>
            <w:rPr>
              <w:rFonts w:hint="eastAsia"/>
              <w:sz w:val="24"/>
              <w:szCs w:val="24"/>
              <w:lang w:val="en-US" w:eastAsia="zh-CN"/>
            </w:rPr>
            <w:t>3</w:t>
          </w:r>
          <w:r>
            <w:rPr>
              <w:sz w:val="24"/>
              <w:szCs w:val="24"/>
            </w:rPr>
            <w:fldChar w:fldCharType="end"/>
          </w:r>
        </w:p>
        <w:p w14:paraId="5F21EA42">
          <w:pPr>
            <w:pStyle w:val="12"/>
            <w:tabs>
              <w:tab w:val="right" w:leader="dot" w:pos="9632"/>
              <w:tab w:val="clear" w:pos="8302"/>
            </w:tabs>
            <w:rPr>
              <w:sz w:val="24"/>
              <w:szCs w:val="24"/>
            </w:rPr>
          </w:pPr>
          <w:r>
            <w:rPr>
              <w:sz w:val="24"/>
              <w:szCs w:val="24"/>
            </w:rPr>
            <w:fldChar w:fldCharType="begin"/>
          </w:r>
          <w:r>
            <w:rPr>
              <w:sz w:val="24"/>
              <w:szCs w:val="24"/>
            </w:rPr>
            <w:instrText xml:space="preserve"> HYPERLINK \l _Toc14828 </w:instrText>
          </w:r>
          <w:r>
            <w:rPr>
              <w:sz w:val="24"/>
              <w:szCs w:val="24"/>
            </w:rPr>
            <w:fldChar w:fldCharType="separate"/>
          </w:r>
          <w:r>
            <w:rPr>
              <w:rFonts w:hint="eastAsia"/>
              <w:sz w:val="24"/>
              <w:szCs w:val="24"/>
            </w:rPr>
            <w:t>第二章   响应人须知</w:t>
          </w:r>
          <w:r>
            <w:rPr>
              <w:sz w:val="24"/>
              <w:szCs w:val="24"/>
            </w:rPr>
            <w:tab/>
          </w:r>
          <w:r>
            <w:rPr>
              <w:sz w:val="24"/>
              <w:szCs w:val="24"/>
            </w:rPr>
            <w:fldChar w:fldCharType="begin"/>
          </w:r>
          <w:r>
            <w:rPr>
              <w:sz w:val="24"/>
              <w:szCs w:val="24"/>
            </w:rPr>
            <w:instrText xml:space="preserve"> PAGEREF _Toc14828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0C84AC70">
          <w:pPr>
            <w:pStyle w:val="12"/>
            <w:tabs>
              <w:tab w:val="right" w:leader="dot" w:pos="9632"/>
              <w:tab w:val="clear" w:pos="8302"/>
            </w:tabs>
            <w:rPr>
              <w:sz w:val="24"/>
              <w:szCs w:val="24"/>
            </w:rPr>
          </w:pPr>
          <w:r>
            <w:rPr>
              <w:sz w:val="24"/>
              <w:szCs w:val="24"/>
            </w:rPr>
            <w:fldChar w:fldCharType="begin"/>
          </w:r>
          <w:r>
            <w:rPr>
              <w:sz w:val="24"/>
              <w:szCs w:val="24"/>
            </w:rPr>
            <w:instrText xml:space="preserve"> HYPERLINK \l _Toc19546 </w:instrText>
          </w:r>
          <w:r>
            <w:rPr>
              <w:sz w:val="24"/>
              <w:szCs w:val="24"/>
            </w:rPr>
            <w:fldChar w:fldCharType="separate"/>
          </w:r>
          <w:r>
            <w:rPr>
              <w:rFonts w:hint="eastAsia"/>
              <w:sz w:val="24"/>
              <w:szCs w:val="24"/>
            </w:rPr>
            <w:t xml:space="preserve">第三章 </w:t>
          </w:r>
          <w:r>
            <w:rPr>
              <w:sz w:val="24"/>
              <w:szCs w:val="24"/>
            </w:rPr>
            <w:t xml:space="preserve"> </w:t>
          </w:r>
          <w:r>
            <w:rPr>
              <w:rFonts w:hint="eastAsia"/>
              <w:sz w:val="24"/>
              <w:szCs w:val="24"/>
            </w:rPr>
            <w:t>磋商办法</w:t>
          </w:r>
          <w:r>
            <w:rPr>
              <w:sz w:val="24"/>
              <w:szCs w:val="24"/>
            </w:rPr>
            <w:tab/>
          </w:r>
          <w:r>
            <w:rPr>
              <w:sz w:val="24"/>
              <w:szCs w:val="24"/>
            </w:rPr>
            <w:fldChar w:fldCharType="begin"/>
          </w:r>
          <w:r>
            <w:rPr>
              <w:sz w:val="24"/>
              <w:szCs w:val="24"/>
            </w:rPr>
            <w:instrText xml:space="preserve"> PAGEREF _Toc19546 \h </w:instrText>
          </w:r>
          <w:r>
            <w:rPr>
              <w:sz w:val="24"/>
              <w:szCs w:val="24"/>
            </w:rPr>
            <w:fldChar w:fldCharType="separate"/>
          </w:r>
          <w:r>
            <w:rPr>
              <w:sz w:val="24"/>
              <w:szCs w:val="24"/>
            </w:rPr>
            <w:t>28</w:t>
          </w:r>
          <w:r>
            <w:rPr>
              <w:sz w:val="24"/>
              <w:szCs w:val="24"/>
            </w:rPr>
            <w:fldChar w:fldCharType="end"/>
          </w:r>
          <w:r>
            <w:rPr>
              <w:sz w:val="24"/>
              <w:szCs w:val="24"/>
            </w:rPr>
            <w:fldChar w:fldCharType="end"/>
          </w:r>
        </w:p>
        <w:p w14:paraId="77CEB9B2">
          <w:pPr>
            <w:pStyle w:val="12"/>
            <w:tabs>
              <w:tab w:val="right" w:leader="dot" w:pos="9632"/>
              <w:tab w:val="clear" w:pos="8302"/>
            </w:tabs>
            <w:rPr>
              <w:sz w:val="24"/>
              <w:szCs w:val="24"/>
            </w:rPr>
          </w:pPr>
          <w:r>
            <w:rPr>
              <w:sz w:val="24"/>
              <w:szCs w:val="24"/>
            </w:rPr>
            <w:fldChar w:fldCharType="begin"/>
          </w:r>
          <w:r>
            <w:rPr>
              <w:sz w:val="24"/>
              <w:szCs w:val="24"/>
            </w:rPr>
            <w:instrText xml:space="preserve"> HYPERLINK \l _Toc15593 </w:instrText>
          </w:r>
          <w:r>
            <w:rPr>
              <w:sz w:val="24"/>
              <w:szCs w:val="24"/>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_Toc15593 \h </w:instrText>
          </w:r>
          <w:r>
            <w:rPr>
              <w:sz w:val="24"/>
              <w:szCs w:val="24"/>
            </w:rPr>
            <w:fldChar w:fldCharType="separate"/>
          </w:r>
          <w:r>
            <w:rPr>
              <w:sz w:val="24"/>
              <w:szCs w:val="24"/>
            </w:rPr>
            <w:t>43</w:t>
          </w:r>
          <w:r>
            <w:rPr>
              <w:sz w:val="24"/>
              <w:szCs w:val="24"/>
            </w:rPr>
            <w:fldChar w:fldCharType="end"/>
          </w:r>
          <w:r>
            <w:rPr>
              <w:sz w:val="24"/>
              <w:szCs w:val="24"/>
            </w:rPr>
            <w:fldChar w:fldCharType="end"/>
          </w:r>
        </w:p>
        <w:p w14:paraId="29DA3274">
          <w:pPr>
            <w:pStyle w:val="12"/>
            <w:tabs>
              <w:tab w:val="right" w:leader="dot" w:pos="9632"/>
              <w:tab w:val="clear" w:pos="8302"/>
            </w:tabs>
            <w:rPr>
              <w:sz w:val="24"/>
              <w:szCs w:val="24"/>
            </w:rPr>
          </w:pPr>
          <w:r>
            <w:rPr>
              <w:sz w:val="24"/>
              <w:szCs w:val="24"/>
            </w:rPr>
            <w:fldChar w:fldCharType="begin"/>
          </w:r>
          <w:r>
            <w:rPr>
              <w:sz w:val="24"/>
              <w:szCs w:val="24"/>
            </w:rPr>
            <w:instrText xml:space="preserve"> HYPERLINK \l _Toc12817 </w:instrText>
          </w:r>
          <w:r>
            <w:rPr>
              <w:sz w:val="24"/>
              <w:szCs w:val="24"/>
            </w:rPr>
            <w:fldChar w:fldCharType="separate"/>
          </w:r>
          <w:r>
            <w:rPr>
              <w:rFonts w:hint="eastAsia"/>
              <w:sz w:val="24"/>
              <w:szCs w:val="24"/>
            </w:rPr>
            <w:t>第五章   清单</w:t>
          </w:r>
          <w:r>
            <w:rPr>
              <w:sz w:val="24"/>
              <w:szCs w:val="24"/>
            </w:rPr>
            <w:tab/>
          </w:r>
          <w:r>
            <w:rPr>
              <w:sz w:val="24"/>
              <w:szCs w:val="24"/>
            </w:rPr>
            <w:fldChar w:fldCharType="begin"/>
          </w:r>
          <w:r>
            <w:rPr>
              <w:sz w:val="24"/>
              <w:szCs w:val="24"/>
            </w:rPr>
            <w:instrText xml:space="preserve"> PAGEREF _Toc12817 \h </w:instrText>
          </w:r>
          <w:r>
            <w:rPr>
              <w:sz w:val="24"/>
              <w:szCs w:val="24"/>
            </w:rPr>
            <w:fldChar w:fldCharType="separate"/>
          </w:r>
          <w:r>
            <w:rPr>
              <w:sz w:val="24"/>
              <w:szCs w:val="24"/>
            </w:rPr>
            <w:t>63</w:t>
          </w:r>
          <w:r>
            <w:rPr>
              <w:sz w:val="24"/>
              <w:szCs w:val="24"/>
            </w:rPr>
            <w:fldChar w:fldCharType="end"/>
          </w:r>
          <w:r>
            <w:rPr>
              <w:sz w:val="24"/>
              <w:szCs w:val="24"/>
            </w:rPr>
            <w:fldChar w:fldCharType="end"/>
          </w:r>
        </w:p>
        <w:p w14:paraId="4D0ADF17">
          <w:pPr>
            <w:pStyle w:val="12"/>
            <w:tabs>
              <w:tab w:val="right" w:leader="dot" w:pos="9632"/>
              <w:tab w:val="clear" w:pos="8302"/>
            </w:tabs>
            <w:rPr>
              <w:sz w:val="24"/>
              <w:szCs w:val="24"/>
            </w:rPr>
          </w:pPr>
          <w:r>
            <w:rPr>
              <w:sz w:val="24"/>
              <w:szCs w:val="24"/>
            </w:rPr>
            <w:fldChar w:fldCharType="begin"/>
          </w:r>
          <w:r>
            <w:rPr>
              <w:sz w:val="24"/>
              <w:szCs w:val="24"/>
            </w:rPr>
            <w:instrText xml:space="preserve"> HYPERLINK \l _Toc31722 </w:instrText>
          </w:r>
          <w:r>
            <w:rPr>
              <w:sz w:val="24"/>
              <w:szCs w:val="24"/>
            </w:rPr>
            <w:fldChar w:fldCharType="separate"/>
          </w:r>
          <w:r>
            <w:rPr>
              <w:rFonts w:hint="eastAsia"/>
              <w:sz w:val="24"/>
              <w:szCs w:val="24"/>
              <w:lang w:val="en-US" w:eastAsia="zh-CN"/>
            </w:rPr>
            <w:t xml:space="preserve">第六章  </w:t>
          </w:r>
          <w:r>
            <w:rPr>
              <w:rFonts w:hint="eastAsia"/>
              <w:sz w:val="24"/>
              <w:szCs w:val="24"/>
            </w:rPr>
            <w:t xml:space="preserve"> 响应文件格式</w:t>
          </w:r>
          <w:r>
            <w:rPr>
              <w:sz w:val="24"/>
              <w:szCs w:val="24"/>
            </w:rPr>
            <w:tab/>
          </w:r>
          <w:r>
            <w:rPr>
              <w:sz w:val="24"/>
              <w:szCs w:val="24"/>
            </w:rPr>
            <w:fldChar w:fldCharType="begin"/>
          </w:r>
          <w:r>
            <w:rPr>
              <w:sz w:val="24"/>
              <w:szCs w:val="24"/>
            </w:rPr>
            <w:instrText xml:space="preserve"> PAGEREF _Toc31722 \h </w:instrText>
          </w:r>
          <w:r>
            <w:rPr>
              <w:sz w:val="24"/>
              <w:szCs w:val="24"/>
            </w:rPr>
            <w:fldChar w:fldCharType="separate"/>
          </w:r>
          <w:r>
            <w:rPr>
              <w:sz w:val="24"/>
              <w:szCs w:val="24"/>
            </w:rPr>
            <w:t>64</w:t>
          </w:r>
          <w:r>
            <w:rPr>
              <w:sz w:val="24"/>
              <w:szCs w:val="24"/>
            </w:rPr>
            <w:fldChar w:fldCharType="end"/>
          </w:r>
          <w:r>
            <w:rPr>
              <w:sz w:val="24"/>
              <w:szCs w:val="24"/>
            </w:rPr>
            <w:fldChar w:fldCharType="end"/>
          </w:r>
        </w:p>
        <w:p w14:paraId="2C1605BB">
          <w:pPr>
            <w:sectPr>
              <w:headerReference r:id="rId4" w:type="default"/>
              <w:pgSz w:w="11900" w:h="16838"/>
              <w:pgMar w:top="1077" w:right="1134" w:bottom="1077" w:left="1134" w:header="720" w:footer="720" w:gutter="0"/>
              <w:cols w:space="720" w:num="1"/>
              <w:docGrid w:type="lines" w:linePitch="360" w:charSpace="0"/>
            </w:sectPr>
          </w:pPr>
          <w:r>
            <w:rPr>
              <w:sz w:val="22"/>
              <w:szCs w:val="22"/>
            </w:rPr>
            <w:fldChar w:fldCharType="end"/>
          </w:r>
        </w:p>
      </w:sdtContent>
    </w:sdt>
    <w:p w14:paraId="360DC0AD">
      <w:pPr>
        <w:pStyle w:val="2"/>
        <w:bidi w:val="0"/>
        <w:jc w:val="center"/>
        <w:outlineLvl w:val="9"/>
        <w:rPr>
          <w:rFonts w:hint="eastAsia"/>
        </w:rPr>
      </w:pPr>
      <w:r>
        <w:t>第一章</w:t>
      </w:r>
      <w:r>
        <w:rPr>
          <w:rFonts w:hint="eastAsia"/>
        </w:rPr>
        <w:t xml:space="preserve"> 竞争性磋商公告</w:t>
      </w:r>
      <w:bookmarkEnd w:id="0"/>
    </w:p>
    <w:p w14:paraId="0C90C4BF">
      <w:pPr>
        <w:spacing w:line="480" w:lineRule="exact"/>
        <w:rPr>
          <w:rFonts w:ascii="宋体" w:hAnsi="宋体"/>
          <w:sz w:val="24"/>
          <w:szCs w:val="24"/>
        </w:rPr>
      </w:pPr>
      <w:r>
        <w:rPr>
          <w:rFonts w:ascii="宋体" w:hAnsi="宋体"/>
          <w:sz w:val="24"/>
          <w:szCs w:val="24"/>
        </w:rPr>
        <w:t>项目概况</w:t>
      </w:r>
    </w:p>
    <w:p w14:paraId="362F11AC">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sz w:val="24"/>
          <w:szCs w:val="24"/>
          <w:highlight w:val="none"/>
          <w:lang w:val="en-US" w:eastAsia="zh-CN"/>
        </w:rPr>
        <w:t>2025年陕州区西李村乡方里村玉露香梨产业配套设施项目的</w:t>
      </w:r>
      <w:r>
        <w:rPr>
          <w:rFonts w:hint="eastAsia" w:ascii="宋体" w:hAnsi="宋体" w:cs="宋体"/>
          <w:sz w:val="24"/>
          <w:szCs w:val="24"/>
        </w:rPr>
        <w:t>潜在响应人应在三门峡市公共资源交易中心网（网址：</w:t>
      </w:r>
      <w:r>
        <w:rPr>
          <w:rFonts w:ascii="宋体" w:hAnsi="宋体" w:cs="宋体"/>
          <w:sz w:val="24"/>
          <w:szCs w:val="24"/>
        </w:rPr>
        <w:fldChar w:fldCharType="begin"/>
      </w:r>
      <w:r>
        <w:rPr>
          <w:rFonts w:ascii="宋体" w:hAnsi="宋体" w:cs="宋体"/>
          <w:sz w:val="24"/>
          <w:szCs w:val="24"/>
        </w:rPr>
        <w:instrText xml:space="preserve"> HYPERLINK "</w:instrText>
      </w:r>
      <w:r>
        <w:rPr>
          <w:rFonts w:hint="eastAsia" w:ascii="宋体" w:hAnsi="宋体" w:cs="宋体"/>
          <w:sz w:val="24"/>
          <w:szCs w:val="24"/>
        </w:rPr>
        <w:instrText xml:space="preserve">http://gzjy.smx.gov.cn/）获取招标文件，并于2024年4月3日8时30分（北京时间）前递交响应文件。</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http://gzjy.smx.gov.cn/）</w:t>
      </w:r>
      <w:r>
        <w:rPr>
          <w:rFonts w:ascii="宋体" w:hAnsi="宋体" w:cs="宋体"/>
          <w:sz w:val="24"/>
          <w:szCs w:val="24"/>
        </w:rPr>
        <w:fldChar w:fldCharType="end"/>
      </w:r>
      <w:r>
        <w:rPr>
          <w:rFonts w:hint="eastAsia" w:ascii="宋体" w:hAnsi="宋体" w:cs="宋体"/>
          <w:sz w:val="24"/>
          <w:szCs w:val="24"/>
        </w:rPr>
        <w:t>获取竞争性磋商文件，并于2025年0</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日08时</w:t>
      </w:r>
      <w:r>
        <w:rPr>
          <w:rFonts w:hint="eastAsia" w:ascii="宋体" w:hAnsi="宋体" w:cs="宋体"/>
          <w:sz w:val="24"/>
          <w:szCs w:val="24"/>
          <w:lang w:val="en-US" w:eastAsia="zh-CN"/>
        </w:rPr>
        <w:t>3</w:t>
      </w:r>
      <w:r>
        <w:rPr>
          <w:rFonts w:hint="eastAsia" w:ascii="宋体" w:hAnsi="宋体" w:cs="宋体"/>
          <w:sz w:val="24"/>
          <w:szCs w:val="24"/>
        </w:rPr>
        <w:t>0分（北京时间）前递交响应文件。</w:t>
      </w:r>
    </w:p>
    <w:p w14:paraId="147941B8">
      <w:pPr>
        <w:spacing w:line="480" w:lineRule="exact"/>
        <w:ind w:firstLine="480" w:firstLineChars="200"/>
        <w:outlineLvl w:val="0"/>
        <w:rPr>
          <w:rFonts w:ascii="宋体" w:hAnsi="宋体"/>
          <w:sz w:val="24"/>
          <w:szCs w:val="24"/>
          <w:highlight w:val="none"/>
        </w:rPr>
      </w:pPr>
      <w:bookmarkStart w:id="2" w:name="_Toc8180"/>
      <w:r>
        <w:rPr>
          <w:rFonts w:hint="eastAsia" w:ascii="宋体" w:hAnsi="宋体"/>
          <w:sz w:val="24"/>
          <w:szCs w:val="24"/>
          <w:highlight w:val="none"/>
        </w:rPr>
        <w:t>一</w:t>
      </w:r>
      <w:r>
        <w:rPr>
          <w:rFonts w:ascii="宋体" w:hAnsi="宋体"/>
          <w:sz w:val="24"/>
          <w:szCs w:val="24"/>
          <w:highlight w:val="none"/>
        </w:rPr>
        <w:t>、项目基本情况</w:t>
      </w:r>
      <w:bookmarkEnd w:id="2"/>
      <w:bookmarkStart w:id="3" w:name="OLE_LINK16"/>
    </w:p>
    <w:bookmarkEnd w:id="3"/>
    <w:p w14:paraId="6A1D9F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80" w:firstLineChars="200"/>
        <w:jc w:val="left"/>
        <w:rPr>
          <w:rFonts w:hint="eastAsia" w:ascii="宋体" w:hAnsi="宋体" w:cs="宋体"/>
          <w:color w:val="FF0000"/>
          <w:sz w:val="24"/>
          <w:szCs w:val="24"/>
          <w:highlight w:val="none"/>
        </w:rPr>
      </w:pPr>
      <w:r>
        <w:rPr>
          <w:rFonts w:hint="eastAsia" w:ascii="宋体" w:hAnsi="宋体"/>
          <w:color w:val="auto"/>
          <w:sz w:val="24"/>
          <w:szCs w:val="24"/>
          <w:highlight w:val="none"/>
        </w:rPr>
        <w:t>1.项目</w:t>
      </w:r>
      <w:r>
        <w:rPr>
          <w:rFonts w:ascii="宋体" w:hAnsi="宋体"/>
          <w:color w:val="auto"/>
          <w:sz w:val="24"/>
          <w:szCs w:val="24"/>
          <w:highlight w:val="none"/>
        </w:rPr>
        <w:t>编号</w:t>
      </w:r>
      <w:r>
        <w:rPr>
          <w:rFonts w:hint="eastAsia" w:ascii="宋体" w:hAnsi="宋体"/>
          <w:color w:val="auto"/>
          <w:sz w:val="24"/>
          <w:szCs w:val="24"/>
          <w:highlight w:val="none"/>
        </w:rPr>
        <w:t>：</w:t>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"javascript:;" \o "2025年陕州区西李村乡方里村玉露香梨产业配套设施项目（设备采购）" </w:instrText>
      </w:r>
      <w:r>
        <w:rPr>
          <w:rFonts w:hint="eastAsia" w:ascii="宋体" w:hAnsi="宋体"/>
          <w:sz w:val="24"/>
          <w:szCs w:val="24"/>
          <w:highlight w:val="none"/>
        </w:rPr>
        <w:fldChar w:fldCharType="separate"/>
      </w:r>
      <w:r>
        <w:rPr>
          <w:rFonts w:hint="eastAsia" w:ascii="宋体" w:hAnsi="宋体"/>
          <w:sz w:val="24"/>
          <w:szCs w:val="24"/>
          <w:highlight w:val="none"/>
        </w:rPr>
        <w:fldChar w:fldCharType="end"/>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"javascript:;" </w:instrText>
      </w:r>
      <w:r>
        <w:rPr>
          <w:rFonts w:hint="eastAsia" w:ascii="宋体" w:hAnsi="宋体"/>
          <w:sz w:val="24"/>
          <w:szCs w:val="24"/>
          <w:highlight w:val="none"/>
        </w:rPr>
        <w:fldChar w:fldCharType="separate"/>
      </w:r>
      <w:r>
        <w:rPr>
          <w:rFonts w:hint="eastAsia" w:ascii="宋体" w:hAnsi="宋体"/>
          <w:sz w:val="24"/>
          <w:szCs w:val="24"/>
          <w:highlight w:val="none"/>
        </w:rPr>
        <w:t>SZGZ[2025]032-ZC021</w:t>
      </w:r>
      <w:r>
        <w:rPr>
          <w:rFonts w:hint="eastAsia" w:ascii="宋体" w:hAnsi="宋体"/>
          <w:sz w:val="24"/>
          <w:szCs w:val="24"/>
          <w:highlight w:val="none"/>
        </w:rPr>
        <w:fldChar w:fldCharType="end"/>
      </w:r>
      <w:r>
        <w:rPr>
          <w:rFonts w:hint="eastAsia" w:ascii="宋体" w:hAnsi="宋体"/>
          <w:sz w:val="24"/>
          <w:szCs w:val="24"/>
          <w:highlight w:val="none"/>
          <w:lang w:val="en-US" w:eastAsia="zh-CN"/>
        </w:rPr>
        <w:t xml:space="preserve">  陕州竞磋采购-2025-28</w:t>
      </w:r>
    </w:p>
    <w:p w14:paraId="259002C0">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2025年陕州区西李村乡方里村玉露香梨产业配套设施项目</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1D86293B">
      <w:pPr>
        <w:spacing w:line="4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1182906.72元    </w:t>
      </w:r>
    </w:p>
    <w:p w14:paraId="06524A21">
      <w:pPr>
        <w:spacing w:line="480" w:lineRule="exact"/>
        <w:ind w:firstLine="720" w:firstLineChars="300"/>
        <w:rPr>
          <w:rFonts w:ascii="宋体" w:hAnsi="宋体"/>
          <w:color w:val="auto"/>
          <w:sz w:val="24"/>
          <w:szCs w:val="24"/>
          <w:highlight w:val="none"/>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1182906.72元</w:t>
      </w:r>
      <w:bookmarkStart w:id="686" w:name="_GoBack"/>
      <w:bookmarkEnd w:id="686"/>
    </w:p>
    <w:tbl>
      <w:tblPr>
        <w:tblStyle w:val="18"/>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2AE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5F867851">
            <w:pPr>
              <w:widowControl/>
              <w:spacing w:line="480" w:lineRule="exact"/>
              <w:jc w:val="center"/>
              <w:rPr>
                <w:rFonts w:ascii="宋体" w:hAnsi="宋体" w:cs="宋体"/>
                <w:color w:val="auto"/>
                <w:kern w:val="0"/>
                <w:sz w:val="24"/>
                <w:szCs w:val="24"/>
                <w:highlight w:val="none"/>
              </w:rPr>
            </w:pPr>
          </w:p>
          <w:p w14:paraId="186EE95D">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6AAAE2D9">
            <w:pPr>
              <w:widowControl/>
              <w:spacing w:line="48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16FA1A4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4FC623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4F9A45A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7F3D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17AFA95A">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115" w:type="dxa"/>
            <w:noWrap w:val="0"/>
            <w:vAlign w:val="center"/>
          </w:tcPr>
          <w:p w14:paraId="5825383C">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"javascript:;" \o "2025年陕州区西李村乡方里村玉露香梨产业配套设施项目（设备采购）" </w:instrText>
            </w:r>
            <w:r>
              <w:rPr>
                <w:rFonts w:hint="eastAsia" w:ascii="宋体" w:hAnsi="宋体"/>
                <w:sz w:val="24"/>
                <w:szCs w:val="24"/>
                <w:highlight w:val="none"/>
              </w:rPr>
              <w:fldChar w:fldCharType="separate"/>
            </w:r>
            <w:r>
              <w:rPr>
                <w:rFonts w:hint="eastAsia" w:ascii="宋体" w:hAnsi="宋体"/>
                <w:sz w:val="24"/>
                <w:szCs w:val="24"/>
                <w:highlight w:val="none"/>
              </w:rPr>
              <w:fldChar w:fldCharType="end"/>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"javascript:;" </w:instrText>
            </w:r>
            <w:r>
              <w:rPr>
                <w:rFonts w:hint="eastAsia" w:ascii="宋体" w:hAnsi="宋体"/>
                <w:sz w:val="24"/>
                <w:szCs w:val="24"/>
                <w:highlight w:val="none"/>
              </w:rPr>
              <w:fldChar w:fldCharType="separate"/>
            </w:r>
            <w:r>
              <w:rPr>
                <w:rFonts w:hint="eastAsia" w:ascii="宋体" w:hAnsi="宋体"/>
                <w:sz w:val="24"/>
                <w:szCs w:val="24"/>
                <w:highlight w:val="none"/>
              </w:rPr>
              <w:t>SZGZ[2025]032-ZC021</w:t>
            </w:r>
            <w:r>
              <w:rPr>
                <w:rFonts w:hint="eastAsia" w:ascii="宋体" w:hAnsi="宋体"/>
                <w:sz w:val="24"/>
                <w:szCs w:val="24"/>
                <w:highlight w:val="none"/>
              </w:rPr>
              <w:fldChar w:fldCharType="end"/>
            </w:r>
            <w:r>
              <w:rPr>
                <w:rFonts w:hint="eastAsia" w:ascii="宋体" w:hAnsi="宋体"/>
                <w:sz w:val="24"/>
                <w:szCs w:val="24"/>
                <w:highlight w:val="none"/>
                <w:lang w:val="en-US" w:eastAsia="zh-CN"/>
              </w:rPr>
              <w:t>-1</w:t>
            </w:r>
          </w:p>
        </w:tc>
        <w:tc>
          <w:tcPr>
            <w:tcW w:w="2887" w:type="dxa"/>
            <w:noWrap w:val="0"/>
            <w:vAlign w:val="center"/>
          </w:tcPr>
          <w:p w14:paraId="2BC78E19">
            <w:pPr>
              <w:spacing w:line="480" w:lineRule="exac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2025年陕州区西李村乡方里村玉露香梨产业配套设施项目（土建工程）</w:t>
            </w:r>
          </w:p>
        </w:tc>
        <w:tc>
          <w:tcPr>
            <w:tcW w:w="1727" w:type="dxa"/>
            <w:noWrap w:val="0"/>
            <w:vAlign w:val="center"/>
          </w:tcPr>
          <w:p w14:paraId="5F5E7AAD">
            <w:pPr>
              <w:widowControl/>
              <w:spacing w:line="480" w:lineRule="exact"/>
              <w:jc w:val="center"/>
              <w:rPr>
                <w:rFonts w:hint="eastAsia" w:ascii="宋体" w:hAnsi="宋体" w:eastAsia="宋体" w:cs="宋体"/>
                <w:color w:val="FF0000"/>
                <w:kern w:val="0"/>
                <w:sz w:val="24"/>
                <w:szCs w:val="24"/>
                <w:highlight w:val="none"/>
                <w:lang w:eastAsia="zh-CN"/>
              </w:rPr>
            </w:pPr>
            <w:r>
              <w:rPr>
                <w:rFonts w:hint="eastAsia" w:ascii="宋体" w:hAnsi="宋体"/>
                <w:color w:val="auto"/>
                <w:sz w:val="24"/>
                <w:szCs w:val="24"/>
                <w:highlight w:val="none"/>
                <w:lang w:val="en-US" w:eastAsia="zh-CN"/>
              </w:rPr>
              <w:t>804676.72</w:t>
            </w:r>
          </w:p>
        </w:tc>
        <w:tc>
          <w:tcPr>
            <w:tcW w:w="1918" w:type="dxa"/>
            <w:noWrap w:val="0"/>
            <w:vAlign w:val="center"/>
          </w:tcPr>
          <w:p w14:paraId="1B421881">
            <w:pPr>
              <w:widowControl/>
              <w:spacing w:line="480" w:lineRule="exact"/>
              <w:jc w:val="center"/>
              <w:rPr>
                <w:rFonts w:hint="eastAsia" w:ascii="宋体" w:hAnsi="宋体" w:eastAsia="宋体" w:cs="宋体"/>
                <w:color w:val="FF0000"/>
                <w:kern w:val="0"/>
                <w:sz w:val="24"/>
                <w:szCs w:val="24"/>
                <w:highlight w:val="none"/>
                <w:lang w:eastAsia="zh-CN"/>
              </w:rPr>
            </w:pPr>
            <w:r>
              <w:rPr>
                <w:rFonts w:hint="eastAsia" w:ascii="宋体" w:hAnsi="宋体"/>
                <w:color w:val="auto"/>
                <w:sz w:val="24"/>
                <w:szCs w:val="24"/>
                <w:highlight w:val="none"/>
                <w:lang w:val="en-US" w:eastAsia="zh-CN"/>
              </w:rPr>
              <w:t>804676.72</w:t>
            </w:r>
          </w:p>
        </w:tc>
      </w:tr>
      <w:tr w14:paraId="5041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4470CED0">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2115" w:type="dxa"/>
            <w:noWrap w:val="0"/>
            <w:vAlign w:val="center"/>
          </w:tcPr>
          <w:p w14:paraId="1C161873">
            <w:pPr>
              <w:widowControl/>
              <w:spacing w:line="480" w:lineRule="exact"/>
              <w:jc w:val="center"/>
              <w:rPr>
                <w:rFonts w:hint="default" w:ascii="宋体" w:hAnsi="宋体"/>
                <w:color w:val="FF0000"/>
                <w:sz w:val="24"/>
                <w:szCs w:val="24"/>
                <w:highlight w:val="none"/>
                <w:lang w:val="en-US" w:eastAsia="zh-CN"/>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"javascript:;" \o "2025年陕州区西李村乡方里村玉露香梨产业配套设施项目（设备采购）" </w:instrText>
            </w:r>
            <w:r>
              <w:rPr>
                <w:rFonts w:hint="eastAsia" w:ascii="宋体" w:hAnsi="宋体"/>
                <w:sz w:val="24"/>
                <w:szCs w:val="24"/>
                <w:highlight w:val="none"/>
              </w:rPr>
              <w:fldChar w:fldCharType="separate"/>
            </w:r>
            <w:r>
              <w:rPr>
                <w:rFonts w:hint="eastAsia" w:ascii="宋体" w:hAnsi="宋体"/>
                <w:sz w:val="24"/>
                <w:szCs w:val="24"/>
                <w:highlight w:val="none"/>
              </w:rPr>
              <w:fldChar w:fldCharType="end"/>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"javascript:;" </w:instrText>
            </w:r>
            <w:r>
              <w:rPr>
                <w:rFonts w:hint="eastAsia" w:ascii="宋体" w:hAnsi="宋体"/>
                <w:sz w:val="24"/>
                <w:szCs w:val="24"/>
                <w:highlight w:val="none"/>
              </w:rPr>
              <w:fldChar w:fldCharType="separate"/>
            </w:r>
            <w:r>
              <w:rPr>
                <w:rFonts w:hint="eastAsia" w:ascii="宋体" w:hAnsi="宋体"/>
                <w:sz w:val="24"/>
                <w:szCs w:val="24"/>
                <w:highlight w:val="none"/>
              </w:rPr>
              <w:t>SZGZ[2025]032-ZC021</w:t>
            </w:r>
            <w:r>
              <w:rPr>
                <w:rFonts w:hint="eastAsia" w:ascii="宋体" w:hAnsi="宋体"/>
                <w:sz w:val="24"/>
                <w:szCs w:val="24"/>
                <w:highlight w:val="none"/>
              </w:rPr>
              <w:fldChar w:fldCharType="end"/>
            </w:r>
            <w:r>
              <w:rPr>
                <w:rFonts w:hint="eastAsia" w:ascii="宋体" w:hAnsi="宋体"/>
                <w:sz w:val="24"/>
                <w:szCs w:val="24"/>
                <w:highlight w:val="none"/>
                <w:lang w:val="en-US" w:eastAsia="zh-CN"/>
              </w:rPr>
              <w:t>-2</w:t>
            </w:r>
          </w:p>
        </w:tc>
        <w:tc>
          <w:tcPr>
            <w:tcW w:w="2887" w:type="dxa"/>
            <w:noWrap w:val="0"/>
            <w:vAlign w:val="center"/>
          </w:tcPr>
          <w:p w14:paraId="0B560414">
            <w:pPr>
              <w:spacing w:line="480" w:lineRule="exac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2025年陕州区西李村乡方里村玉露香梨产业配套设施项目（设备采购）</w:t>
            </w:r>
          </w:p>
        </w:tc>
        <w:tc>
          <w:tcPr>
            <w:tcW w:w="1727" w:type="dxa"/>
            <w:noWrap w:val="0"/>
            <w:vAlign w:val="center"/>
          </w:tcPr>
          <w:p w14:paraId="6A387136">
            <w:pPr>
              <w:widowControl/>
              <w:spacing w:line="480" w:lineRule="exact"/>
              <w:jc w:val="center"/>
              <w:rPr>
                <w:rFonts w:hint="eastAsia" w:ascii="宋体" w:hAnsi="宋体"/>
                <w:color w:val="FF0000"/>
                <w:sz w:val="24"/>
                <w:szCs w:val="24"/>
                <w:highlight w:val="none"/>
                <w:lang w:val="en-US" w:eastAsia="zh-CN"/>
              </w:rPr>
            </w:pPr>
            <w:r>
              <w:rPr>
                <w:rFonts w:hint="eastAsia" w:ascii="宋体" w:hAnsi="宋体"/>
                <w:color w:val="auto"/>
                <w:sz w:val="24"/>
                <w:szCs w:val="24"/>
                <w:highlight w:val="none"/>
                <w:lang w:val="en-US" w:eastAsia="zh-CN"/>
              </w:rPr>
              <w:t>378230.00</w:t>
            </w:r>
          </w:p>
        </w:tc>
        <w:tc>
          <w:tcPr>
            <w:tcW w:w="1918" w:type="dxa"/>
            <w:noWrap w:val="0"/>
            <w:vAlign w:val="center"/>
          </w:tcPr>
          <w:p w14:paraId="25372437">
            <w:pPr>
              <w:widowControl/>
              <w:spacing w:line="480" w:lineRule="exact"/>
              <w:jc w:val="center"/>
              <w:rPr>
                <w:rFonts w:hint="eastAsia" w:ascii="宋体" w:hAnsi="宋体"/>
                <w:color w:val="FF0000"/>
                <w:sz w:val="24"/>
                <w:szCs w:val="24"/>
                <w:highlight w:val="none"/>
                <w:lang w:val="en-US" w:eastAsia="zh-CN"/>
              </w:rPr>
            </w:pPr>
            <w:r>
              <w:rPr>
                <w:rFonts w:hint="eastAsia" w:ascii="宋体" w:hAnsi="宋体"/>
                <w:color w:val="auto"/>
                <w:sz w:val="24"/>
                <w:szCs w:val="24"/>
                <w:highlight w:val="none"/>
                <w:lang w:val="en-US" w:eastAsia="zh-CN"/>
              </w:rPr>
              <w:t>378230.00</w:t>
            </w:r>
          </w:p>
        </w:tc>
      </w:tr>
    </w:tbl>
    <w:p w14:paraId="06B608F9">
      <w:pPr>
        <w:rPr>
          <w:rFonts w:hint="eastAsia" w:ascii="宋体" w:hAnsi="宋体" w:eastAsia="宋体" w:cs="宋体"/>
          <w:color w:val="000000"/>
          <w:kern w:val="0"/>
          <w:sz w:val="24"/>
          <w:szCs w:val="24"/>
          <w:highlight w:val="none"/>
          <w:lang w:eastAsia="zh-CN"/>
        </w:rPr>
      </w:pPr>
    </w:p>
    <w:p w14:paraId="66D2A772">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164690C4">
      <w:pPr>
        <w:spacing w:line="480" w:lineRule="exact"/>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5.1项目概况：</w:t>
      </w:r>
      <w:r>
        <w:rPr>
          <w:rFonts w:hint="eastAsia" w:ascii="宋体" w:hAnsi="宋体" w:cs="Times New Roman"/>
          <w:sz w:val="24"/>
          <w:szCs w:val="24"/>
          <w:highlight w:val="none"/>
          <w:lang w:val="en-US" w:eastAsia="zh-CN"/>
        </w:rPr>
        <w:t>2025年陕州区西李村乡方里村玉露香梨产业配套设施项目</w:t>
      </w:r>
      <w:r>
        <w:rPr>
          <w:rFonts w:hint="eastAsia" w:ascii="宋体" w:hAnsi="宋体" w:eastAsia="宋体" w:cs="Times New Roman"/>
          <w:sz w:val="24"/>
          <w:szCs w:val="24"/>
          <w:highlight w:val="none"/>
          <w:lang w:val="en-US" w:eastAsia="zh-CN"/>
        </w:rPr>
        <w:t>位于三门峡市陕州区西李村乡方里村，主要建设内容:一标段土建工程：新建钢架结构冷库一座，长30.8米 、宽14.6米、檐口高5.5米，总面积为450平方 米；二标段设备采购：水冷谷轮涡旋机组（型号为25HP、 单台功率18.45kw）2台、水中霜冷风机（型号 为DD47/554SA、单台功率3kw）、离心式风幕机 （型号为2500型、单台功率1.1kw）；变压器1 个(型号为S13-100KV)；</w:t>
      </w:r>
    </w:p>
    <w:p w14:paraId="604D4CA9">
      <w:pPr>
        <w:spacing w:line="480" w:lineRule="exact"/>
        <w:ind w:firstLine="480" w:firstLineChars="200"/>
        <w:rPr>
          <w:rFonts w:hint="eastAsia" w:ascii="宋体" w:hAnsi="宋体" w:eastAsia="宋体" w:cs="Times New Roman"/>
          <w:sz w:val="24"/>
          <w:szCs w:val="24"/>
        </w:rPr>
      </w:pPr>
      <w:r>
        <w:rPr>
          <w:rFonts w:ascii="宋体" w:hAnsi="宋体"/>
          <w:sz w:val="24"/>
          <w:szCs w:val="24"/>
          <w:highlight w:val="none"/>
        </w:rPr>
        <w:t>5.2</w:t>
      </w:r>
      <w:r>
        <w:rPr>
          <w:rFonts w:hint="eastAsia" w:ascii="宋体" w:hAnsi="宋体"/>
          <w:sz w:val="24"/>
          <w:szCs w:val="24"/>
          <w:highlight w:val="none"/>
        </w:rPr>
        <w:t>磋商范围：</w:t>
      </w:r>
      <w:r>
        <w:rPr>
          <w:rFonts w:hint="eastAsia" w:ascii="宋体" w:hAnsi="宋体"/>
          <w:sz w:val="24"/>
          <w:szCs w:val="24"/>
        </w:rPr>
        <w:t>本项目竞争性磋商文</w:t>
      </w:r>
      <w:r>
        <w:rPr>
          <w:rFonts w:hint="eastAsia" w:ascii="宋体" w:hAnsi="宋体" w:eastAsia="宋体" w:cs="Times New Roman"/>
          <w:sz w:val="24"/>
          <w:szCs w:val="24"/>
        </w:rPr>
        <w:t>件、图纸、清单等列明的所有内容。</w:t>
      </w:r>
    </w:p>
    <w:p w14:paraId="34943AEF">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182D2F3C">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w:t>
      </w:r>
    </w:p>
    <w:p w14:paraId="0DC7B0B9">
      <w:pPr>
        <w:spacing w:line="480" w:lineRule="exact"/>
        <w:ind w:firstLine="480" w:firstLineChars="200"/>
        <w:rPr>
          <w:rFonts w:hint="eastAsia" w:ascii="宋体" w:hAnsi="宋体" w:cs="宋体"/>
          <w:sz w:val="24"/>
          <w:szCs w:val="24"/>
        </w:rPr>
      </w:pPr>
      <w:r>
        <w:rPr>
          <w:rFonts w:hint="eastAsia" w:ascii="宋体" w:hAnsi="宋体" w:cs="宋体"/>
          <w:sz w:val="24"/>
          <w:szCs w:val="24"/>
          <w:highlight w:val="none"/>
          <w:lang w:val="en-US" w:eastAsia="zh-CN"/>
        </w:rPr>
        <w:t>一标段：</w:t>
      </w:r>
      <w:r>
        <w:rPr>
          <w:rFonts w:hint="eastAsia" w:ascii="宋体" w:hAnsi="宋体" w:cs="宋体"/>
          <w:sz w:val="24"/>
          <w:szCs w:val="24"/>
        </w:rPr>
        <w:t>达到国家现行施工质量验收规范合格标准。</w:t>
      </w:r>
    </w:p>
    <w:p w14:paraId="2306F165">
      <w:pPr>
        <w:tabs>
          <w:tab w:val="left" w:pos="142"/>
          <w:tab w:val="left" w:pos="993"/>
          <w:tab w:val="left" w:pos="1276"/>
          <w:tab w:val="left" w:pos="1701"/>
          <w:tab w:val="left" w:pos="1843"/>
        </w:tabs>
        <w:spacing w:line="440" w:lineRule="exact"/>
        <w:ind w:firstLine="480" w:firstLineChars="200"/>
        <w:jc w:val="left"/>
        <w:rPr>
          <w:rFonts w:ascii="宋体" w:hAnsi="宋体" w:eastAsia="宋体" w:cs="宋体"/>
          <w:color w:val="auto"/>
          <w:sz w:val="22"/>
          <w:szCs w:val="24"/>
        </w:rPr>
      </w:pPr>
      <w:r>
        <w:rPr>
          <w:rFonts w:hint="eastAsia" w:ascii="宋体" w:hAnsi="宋体" w:cs="宋体"/>
          <w:sz w:val="24"/>
          <w:szCs w:val="24"/>
          <w:lang w:val="en-US" w:eastAsia="zh-CN"/>
        </w:rPr>
        <w:t>二标段：</w:t>
      </w:r>
      <w:r>
        <w:rPr>
          <w:rFonts w:hint="eastAsia" w:ascii="宋体" w:hAnsi="宋体" w:cs="宋体"/>
          <w:sz w:val="24"/>
          <w:szCs w:val="24"/>
        </w:rPr>
        <w:t>合格，符合国家及行业相关标准</w:t>
      </w:r>
    </w:p>
    <w:p w14:paraId="3FF75F09">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5.5工期：</w:t>
      </w:r>
    </w:p>
    <w:p w14:paraId="0663BCFE">
      <w:pPr>
        <w:spacing w:line="48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一标段工期：60日历天。</w:t>
      </w:r>
    </w:p>
    <w:p w14:paraId="413325D7">
      <w:pPr>
        <w:spacing w:line="48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二标段供货期：60日历天（完成安装及调试）</w:t>
      </w:r>
    </w:p>
    <w:p w14:paraId="1652076A">
      <w:pPr>
        <w:spacing w:line="480" w:lineRule="exact"/>
        <w:ind w:firstLine="480" w:firstLineChars="200"/>
        <w:rPr>
          <w:rFonts w:hint="default" w:ascii="宋体" w:hAnsi="宋体" w:eastAsia="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三门峡市陕州区西李村乡方里村</w:t>
      </w:r>
    </w:p>
    <w:p w14:paraId="6F2A0538">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5.7标段划分：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个标段。</w:t>
      </w:r>
    </w:p>
    <w:p w14:paraId="7243E3A5">
      <w:pPr>
        <w:numPr>
          <w:ilvl w:val="0"/>
          <w:numId w:val="1"/>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合同履行期限：</w:t>
      </w:r>
    </w:p>
    <w:p w14:paraId="6F7E32CB">
      <w:pPr>
        <w:numPr>
          <w:ilvl w:val="0"/>
          <w:numId w:val="0"/>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一标段工期：60日历天</w:t>
      </w:r>
    </w:p>
    <w:p w14:paraId="5C0B90C9">
      <w:pPr>
        <w:numPr>
          <w:ilvl w:val="0"/>
          <w:numId w:val="0"/>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二标段供货期：</w:t>
      </w:r>
      <w:r>
        <w:rPr>
          <w:rFonts w:hint="eastAsia" w:ascii="宋体" w:hAnsi="宋体" w:cs="宋体"/>
          <w:sz w:val="24"/>
          <w:szCs w:val="24"/>
          <w:highlight w:val="none"/>
          <w:lang w:eastAsia="zh-CN"/>
        </w:rPr>
        <w:t>60日历天（完成安装及调试）</w:t>
      </w:r>
    </w:p>
    <w:p w14:paraId="7FECD62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4245FAA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1E8A40E">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eastAsia="zh-CN"/>
        </w:rPr>
        <w:t>否</w:t>
      </w:r>
    </w:p>
    <w:p w14:paraId="4B5190B9">
      <w:pPr>
        <w:spacing w:line="480" w:lineRule="exact"/>
        <w:ind w:firstLine="480" w:firstLineChars="200"/>
        <w:outlineLvl w:val="0"/>
        <w:rPr>
          <w:rFonts w:ascii="宋体" w:hAnsi="宋体"/>
          <w:sz w:val="24"/>
          <w:szCs w:val="24"/>
          <w:highlight w:val="none"/>
        </w:rPr>
      </w:pPr>
      <w:bookmarkStart w:id="4" w:name="_Toc15914"/>
      <w:r>
        <w:rPr>
          <w:rFonts w:ascii="宋体" w:hAnsi="宋体"/>
          <w:sz w:val="24"/>
          <w:szCs w:val="24"/>
          <w:highlight w:val="none"/>
        </w:rPr>
        <w:t>二、</w:t>
      </w:r>
      <w:r>
        <w:rPr>
          <w:rFonts w:hint="eastAsia" w:ascii="宋体" w:hAnsi="宋体"/>
          <w:sz w:val="24"/>
          <w:szCs w:val="24"/>
          <w:highlight w:val="none"/>
        </w:rPr>
        <w:t>响应人</w:t>
      </w:r>
      <w:r>
        <w:rPr>
          <w:rFonts w:ascii="宋体" w:hAnsi="宋体"/>
          <w:sz w:val="24"/>
          <w:szCs w:val="24"/>
          <w:highlight w:val="none"/>
        </w:rPr>
        <w:t>资格要求</w:t>
      </w:r>
      <w:bookmarkEnd w:id="4"/>
    </w:p>
    <w:p w14:paraId="549FCEC0">
      <w:pPr>
        <w:spacing w:line="480" w:lineRule="exact"/>
        <w:ind w:firstLine="480" w:firstLineChars="200"/>
        <w:outlineLvl w:val="1"/>
        <w:rPr>
          <w:rFonts w:hint="eastAsia" w:ascii="宋体" w:hAnsi="宋体" w:cs="宋体"/>
          <w:sz w:val="24"/>
          <w:szCs w:val="24"/>
          <w:highlight w:val="none"/>
          <w:lang w:val="en-US" w:eastAsia="zh-CN"/>
        </w:rPr>
      </w:pPr>
      <w:bookmarkStart w:id="5" w:name="OLE_LINK2"/>
      <w:r>
        <w:rPr>
          <w:rFonts w:hint="eastAsia" w:ascii="宋体" w:hAnsi="宋体" w:cs="宋体"/>
          <w:sz w:val="24"/>
          <w:szCs w:val="24"/>
          <w:highlight w:val="none"/>
          <w:lang w:val="en-US" w:eastAsia="zh-CN"/>
        </w:rPr>
        <w:t>一标段：</w:t>
      </w:r>
    </w:p>
    <w:p w14:paraId="18C11153">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B2C050B">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本项目非专门面向中小企业，执行促进中小企业发展等政府采购政策。</w:t>
      </w:r>
    </w:p>
    <w:p w14:paraId="0414CDB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6A98DE8">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1586D036">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bookmarkStart w:id="6" w:name="OLE_LINK1"/>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建筑工程施工总承包叁级及以上资质或市政公用工程总承包叁级及以上资质</w:t>
      </w:r>
      <w:r>
        <w:rPr>
          <w:rFonts w:hint="eastAsia" w:ascii="宋体" w:hAnsi="宋体" w:cs="宋体"/>
          <w:kern w:val="0"/>
          <w:sz w:val="24"/>
          <w:szCs w:val="24"/>
          <w:highlight w:val="none"/>
        </w:rPr>
        <w:t>，且具有有效的安全生产许可证。</w:t>
      </w:r>
    </w:p>
    <w:bookmarkEnd w:id="6"/>
    <w:p w14:paraId="28DC9306">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并提供2024年9月1日以来任意连续三个月的社保缴费证明。</w:t>
      </w:r>
    </w:p>
    <w:p w14:paraId="6F23D247">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035F0708">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6175D30B">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22E2CF2C">
      <w:pPr>
        <w:spacing w:line="480" w:lineRule="exact"/>
        <w:ind w:firstLine="480" w:firstLineChars="200"/>
        <w:jc w:val="left"/>
        <w:outlineLvl w:val="1"/>
        <w:rPr>
          <w:rFonts w:hint="eastAsia" w:ascii="宋体" w:hAnsi="宋体" w:cs="宋体"/>
          <w:kern w:val="0"/>
          <w:sz w:val="24"/>
          <w:szCs w:val="24"/>
          <w:lang w:val="en-US" w:eastAsia="zh-CN"/>
        </w:rPr>
      </w:pPr>
      <w:r>
        <w:rPr>
          <w:rFonts w:hint="eastAsia" w:ascii="宋体" w:hAnsi="宋体" w:cs="宋体"/>
          <w:kern w:val="0"/>
          <w:sz w:val="24"/>
          <w:szCs w:val="24"/>
          <w:lang w:val="en-US" w:eastAsia="zh-CN"/>
        </w:rPr>
        <w:t>二标段：</w:t>
      </w:r>
    </w:p>
    <w:p w14:paraId="6A6D7F5C">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7A84FC2">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本项目非专门面向中小企业，执行促进中小企业发展等政府采购政策。</w:t>
      </w:r>
    </w:p>
    <w:p w14:paraId="156E8C4F">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1BDE7BC4">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2D0D3BDE">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36EF2F18">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276A7BCE">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316F7E0B">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p w14:paraId="00552E94">
      <w:pPr>
        <w:spacing w:line="360" w:lineRule="auto"/>
        <w:ind w:firstLine="484" w:firstLineChars="202"/>
        <w:rPr>
          <w:rFonts w:ascii="宋体" w:hAnsi="宋体" w:eastAsia="宋体" w:cs="Times New Roman"/>
          <w:color w:val="auto"/>
          <w:sz w:val="22"/>
          <w:szCs w:val="24"/>
        </w:rPr>
      </w:pPr>
      <w:r>
        <w:rPr>
          <w:rFonts w:hint="eastAsia" w:ascii="宋体" w:hAnsi="宋体" w:cs="宋体"/>
          <w:kern w:val="0"/>
          <w:sz w:val="24"/>
          <w:szCs w:val="24"/>
          <w:highlight w:val="none"/>
          <w:lang w:eastAsia="zh-CN"/>
        </w:rPr>
        <w:t>3.6 本项目不允许联合体磋商，实行资格后审（提供非联合体声明函）；</w:t>
      </w:r>
      <w:r>
        <w:rPr>
          <w:rFonts w:hint="eastAsia" w:ascii="宋体" w:hAnsi="宋体" w:eastAsia="宋体" w:cs="Times New Roman"/>
          <w:color w:val="auto"/>
          <w:sz w:val="22"/>
          <w:szCs w:val="24"/>
        </w:rPr>
        <w:t xml:space="preserve"> </w:t>
      </w:r>
    </w:p>
    <w:bookmarkEnd w:id="5"/>
    <w:p w14:paraId="33FC3B6F">
      <w:pPr>
        <w:spacing w:line="480" w:lineRule="exact"/>
        <w:ind w:firstLine="480" w:firstLineChars="200"/>
        <w:outlineLvl w:val="0"/>
        <w:rPr>
          <w:rFonts w:ascii="宋体" w:hAnsi="宋体"/>
          <w:color w:val="auto"/>
          <w:sz w:val="24"/>
          <w:szCs w:val="24"/>
          <w:highlight w:val="none"/>
        </w:rPr>
      </w:pPr>
      <w:bookmarkStart w:id="7" w:name="_Toc8712"/>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bookmarkEnd w:id="7"/>
    </w:p>
    <w:p w14:paraId="15A2AE86">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rPr>
        <w:t>日，每天上午00:00至12:00，下午12:00至23:59（</w:t>
      </w:r>
      <w:r>
        <w:rPr>
          <w:rFonts w:hint="eastAsia" w:ascii="宋体" w:hAnsi="宋体" w:eastAsia="宋体"/>
          <w:color w:val="auto"/>
          <w:sz w:val="24"/>
          <w:szCs w:val="24"/>
          <w:highlight w:val="none"/>
        </w:rPr>
        <w:t>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3.方式：响应人凭CA数字证书通过三门峡市公共资源交易中心网（网址：http://gzjy.smx.gov.cn），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32BEB805">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4.售价：0元</w:t>
      </w:r>
      <w:r>
        <w:rPr>
          <w:rFonts w:hint="eastAsia" w:ascii="宋体" w:hAnsi="宋体" w:cs="宋体"/>
          <w:sz w:val="24"/>
          <w:szCs w:val="24"/>
          <w:highlight w:val="none"/>
        </w:rPr>
        <w:tab/>
      </w:r>
    </w:p>
    <w:p w14:paraId="73BFC38E">
      <w:pPr>
        <w:widowControl/>
        <w:spacing w:line="520" w:lineRule="exact"/>
        <w:ind w:firstLine="420" w:firstLineChars="175"/>
        <w:outlineLvl w:val="0"/>
        <w:rPr>
          <w:rFonts w:ascii="宋体" w:hAnsi="宋体" w:cs="宋体"/>
          <w:bCs/>
          <w:kern w:val="0"/>
          <w:sz w:val="24"/>
          <w:szCs w:val="24"/>
          <w:highlight w:val="none"/>
        </w:rPr>
      </w:pPr>
      <w:bookmarkStart w:id="8" w:name="_Toc1753"/>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bookmarkEnd w:id="8"/>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4</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29</w:t>
      </w:r>
      <w:r>
        <w:rPr>
          <w:rFonts w:hint="eastAsia" w:ascii="宋体" w:hAnsi="宋体" w:cs="宋体"/>
          <w:bCs/>
          <w:color w:val="auto"/>
          <w:kern w:val="0"/>
          <w:sz w:val="24"/>
          <w:szCs w:val="24"/>
          <w:highlight w:val="none"/>
          <w:lang w:eastAsia="zh-CN"/>
        </w:rPr>
        <w:t>日08时</w:t>
      </w:r>
      <w:r>
        <w:rPr>
          <w:rFonts w:hint="eastAsia" w:ascii="宋体" w:hAnsi="宋体" w:cs="宋体"/>
          <w:bCs/>
          <w:color w:val="auto"/>
          <w:kern w:val="0"/>
          <w:sz w:val="24"/>
          <w:szCs w:val="24"/>
          <w:highlight w:val="none"/>
          <w:lang w:val="en-US" w:eastAsia="zh-CN"/>
        </w:rPr>
        <w:t>30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2.地点：加密电子响应文件须在磋商截止时间前通过三门峡市公共资源交易中心电子交易平台加密上传。逾期上传的或者未上传指定地点的响应文件，招标人不予受理。</w:t>
      </w:r>
    </w:p>
    <w:p w14:paraId="721460CB">
      <w:pPr>
        <w:widowControl/>
        <w:spacing w:line="520" w:lineRule="exact"/>
        <w:ind w:firstLine="420" w:firstLineChars="175"/>
        <w:outlineLvl w:val="0"/>
        <w:rPr>
          <w:rFonts w:hint="eastAsia" w:ascii="宋体" w:hAnsi="宋体" w:eastAsia="宋体" w:cs="宋体"/>
          <w:bCs/>
          <w:color w:val="auto"/>
          <w:kern w:val="0"/>
          <w:sz w:val="24"/>
          <w:szCs w:val="24"/>
          <w:highlight w:val="none"/>
          <w:lang w:val="en-US" w:eastAsia="zh-CN"/>
        </w:rPr>
      </w:pPr>
      <w:bookmarkStart w:id="9" w:name="_Toc859"/>
      <w:r>
        <w:rPr>
          <w:rFonts w:hint="eastAsia" w:ascii="宋体" w:hAnsi="宋体" w:cs="宋体"/>
          <w:bCs/>
          <w:color w:val="auto"/>
          <w:kern w:val="0"/>
          <w:sz w:val="24"/>
          <w:szCs w:val="24"/>
          <w:highlight w:val="none"/>
        </w:rPr>
        <w:t>五、响应文件开启</w:t>
      </w:r>
      <w:bookmarkEnd w:id="9"/>
      <w:r>
        <w:rPr>
          <w:rFonts w:hint="eastAsia" w:ascii="宋体" w:hAnsi="宋体" w:cs="宋体"/>
          <w:bCs/>
          <w:color w:val="auto"/>
          <w:kern w:val="0"/>
          <w:sz w:val="24"/>
          <w:szCs w:val="24"/>
          <w:highlight w:val="none"/>
        </w:rPr>
        <w:tab/>
      </w:r>
      <w:r>
        <w:rPr>
          <w:rFonts w:hint="eastAsia" w:ascii="宋体" w:hAnsi="宋体" w:cs="宋体"/>
          <w:bCs/>
          <w:color w:val="auto"/>
          <w:kern w:val="0"/>
          <w:sz w:val="24"/>
          <w:szCs w:val="24"/>
          <w:highlight w:val="none"/>
          <w:lang w:val="en-US" w:eastAsia="zh-CN"/>
        </w:rPr>
        <w:t xml:space="preserve"> </w:t>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4</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29</w:t>
      </w:r>
      <w:r>
        <w:rPr>
          <w:rFonts w:hint="eastAsia" w:ascii="宋体" w:hAnsi="宋体" w:cs="宋体"/>
          <w:bCs/>
          <w:color w:val="auto"/>
          <w:kern w:val="0"/>
          <w:sz w:val="24"/>
          <w:szCs w:val="24"/>
          <w:highlight w:val="none"/>
          <w:lang w:eastAsia="zh-CN"/>
        </w:rPr>
        <w:t>日08时</w:t>
      </w:r>
      <w:r>
        <w:rPr>
          <w:rFonts w:hint="eastAsia" w:ascii="宋体" w:hAnsi="宋体" w:cs="宋体"/>
          <w:bCs/>
          <w:color w:val="auto"/>
          <w:kern w:val="0"/>
          <w:sz w:val="24"/>
          <w:szCs w:val="24"/>
          <w:highlight w:val="none"/>
          <w:lang w:val="en-US" w:eastAsia="zh-CN"/>
        </w:rPr>
        <w:t>30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三门峡市陕州区公共资源交易中心四楼开标室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outlineLvl w:val="0"/>
        <w:rPr>
          <w:rFonts w:ascii="宋体" w:hAnsi="宋体" w:cs="宋体"/>
          <w:kern w:val="0"/>
          <w:sz w:val="24"/>
          <w:szCs w:val="24"/>
          <w:highlight w:val="none"/>
        </w:rPr>
      </w:pPr>
      <w:bookmarkStart w:id="10" w:name="_Toc14440"/>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bookmarkEnd w:id="10"/>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本次竞争性磋商公告在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outlineLvl w:val="0"/>
        <w:rPr>
          <w:rFonts w:ascii="宋体" w:hAnsi="宋体" w:cs="宋体"/>
          <w:bCs/>
          <w:kern w:val="0"/>
          <w:sz w:val="24"/>
          <w:szCs w:val="24"/>
          <w:highlight w:val="none"/>
        </w:rPr>
      </w:pPr>
      <w:bookmarkStart w:id="11" w:name="_Toc22327"/>
      <w:r>
        <w:rPr>
          <w:rFonts w:hint="eastAsia" w:ascii="宋体" w:hAnsi="宋体" w:cs="宋体"/>
          <w:bCs/>
          <w:kern w:val="0"/>
          <w:sz w:val="24"/>
          <w:szCs w:val="24"/>
          <w:highlight w:val="none"/>
        </w:rPr>
        <w:t>七、其他补充事宜</w:t>
      </w:r>
      <w:bookmarkEnd w:id="11"/>
      <w:r>
        <w:rPr>
          <w:rFonts w:hint="eastAsia" w:ascii="宋体" w:hAnsi="宋体" w:cs="宋体"/>
          <w:bCs/>
          <w:kern w:val="0"/>
          <w:sz w:val="24"/>
          <w:szCs w:val="24"/>
          <w:highlight w:val="none"/>
        </w:rPr>
        <w:tab/>
      </w:r>
    </w:p>
    <w:p w14:paraId="7B6690F6">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644EE31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DFD9DA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13BF4027">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rPr>
        <w:t>响应人应仔细阅读操作手册，在本公告中要求的磋商截止时间前完成响应文件的上传工作，并充分考虑人为操作等因素，因响应人操作不当造成的无法投标等一切后果，由响应人自行承担。</w:t>
      </w:r>
    </w:p>
    <w:p w14:paraId="50316E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5.本项目不组织响应人踏勘现场。</w:t>
      </w:r>
    </w:p>
    <w:p w14:paraId="76BCAB3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6.本项目实行资格后审，审查内容以响应文件为准，可使用电子营业执照。其上传资料真实性由响应人自行承担，同时，响应人请完善主体库信息(基本信息不作为资格审查项)。</w:t>
      </w:r>
    </w:p>
    <w:p w14:paraId="63F7307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7.评标打分部分：评标打分部分仍按照100分制原则进行，涉及到资格审查、企业业绩等计分部分时，以响应人自行上传到响应文件中的相应内容为准。</w:t>
      </w:r>
    </w:p>
    <w:p w14:paraId="6AB6F33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8.响应文件编制部分：在响应文件中要求响应人按照响应文件格式进行响应文件编制，在响应文件编制时，应明确将响应人企业基本情况、资质情况、业绩情况编入响应文件，便于进行资格审查及评标打分。</w:t>
      </w:r>
    </w:p>
    <w:p w14:paraId="6AF9002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63ACA22C">
      <w:pPr>
        <w:widowControl/>
        <w:spacing w:line="520" w:lineRule="exact"/>
        <w:ind w:firstLine="420" w:firstLineChars="175"/>
        <w:outlineLvl w:val="0"/>
        <w:rPr>
          <w:rFonts w:ascii="宋体" w:hAnsi="宋体" w:cs="宋体"/>
          <w:bCs/>
          <w:kern w:val="0"/>
          <w:sz w:val="24"/>
          <w:szCs w:val="24"/>
          <w:highlight w:val="none"/>
        </w:rPr>
      </w:pPr>
      <w:bookmarkStart w:id="12" w:name="_Toc18394"/>
      <w:r>
        <w:rPr>
          <w:rFonts w:hint="eastAsia" w:ascii="宋体" w:hAnsi="宋体" w:cs="宋体"/>
          <w:bCs/>
          <w:kern w:val="0"/>
          <w:sz w:val="24"/>
          <w:szCs w:val="24"/>
          <w:highlight w:val="none"/>
        </w:rPr>
        <w:t>八、凡对本次招标提出询问，请按照以下方式联系</w:t>
      </w:r>
      <w:bookmarkEnd w:id="12"/>
      <w:r>
        <w:rPr>
          <w:rFonts w:hint="eastAsia" w:ascii="宋体" w:hAnsi="宋体" w:cs="宋体"/>
          <w:bCs/>
          <w:kern w:val="0"/>
          <w:sz w:val="24"/>
          <w:szCs w:val="24"/>
          <w:highlight w:val="none"/>
        </w:rPr>
        <w:tab/>
      </w:r>
    </w:p>
    <w:p w14:paraId="69F94C7F">
      <w:pPr>
        <w:spacing w:line="520" w:lineRule="exact"/>
        <w:ind w:firstLine="420" w:firstLineChars="175"/>
        <w:jc w:val="left"/>
        <w:outlineLvl w:val="1"/>
        <w:rPr>
          <w:rFonts w:hint="eastAsia" w:ascii="宋体" w:hAnsi="宋体" w:cs="宋体"/>
          <w:sz w:val="24"/>
          <w:szCs w:val="24"/>
          <w:highlight w:val="none"/>
          <w:lang w:val="en-US" w:eastAsia="zh-CN"/>
        </w:rPr>
      </w:pPr>
      <w:r>
        <w:rPr>
          <w:rFonts w:ascii="宋体" w:hAnsi="宋体" w:cs="宋体"/>
          <w:sz w:val="24"/>
          <w:szCs w:val="24"/>
          <w:highlight w:val="none"/>
        </w:rPr>
        <w:t>1</w:t>
      </w:r>
      <w:r>
        <w:rPr>
          <w:rFonts w:hint="eastAsia" w:ascii="宋体" w:hAnsi="宋体" w:cs="宋体"/>
          <w:sz w:val="24"/>
          <w:szCs w:val="24"/>
          <w:highlight w:val="none"/>
          <w:lang w:val="en-US" w:eastAsia="zh-CN"/>
        </w:rPr>
        <w:t>采购人信息</w:t>
      </w:r>
    </w:p>
    <w:p w14:paraId="07E9DDCA">
      <w:pPr>
        <w:spacing w:line="520" w:lineRule="exact"/>
        <w:ind w:firstLine="420" w:firstLineChars="175"/>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名称</w:t>
      </w:r>
      <w:r>
        <w:rPr>
          <w:rFonts w:hint="eastAsia" w:ascii="宋体" w:hAnsi="宋体" w:cs="宋体"/>
          <w:sz w:val="24"/>
          <w:szCs w:val="24"/>
          <w:highlight w:val="none"/>
        </w:rPr>
        <w:t>：</w:t>
      </w:r>
      <w:r>
        <w:rPr>
          <w:rFonts w:hint="eastAsia" w:ascii="宋体" w:hAnsi="宋体" w:cs="宋体"/>
          <w:sz w:val="24"/>
          <w:szCs w:val="24"/>
          <w:highlight w:val="none"/>
          <w:lang w:eastAsia="zh-CN"/>
        </w:rPr>
        <w:t>三门峡市陕州区西李村乡人民政府</w:t>
      </w:r>
    </w:p>
    <w:p w14:paraId="50AC7EAC">
      <w:pPr>
        <w:spacing w:line="520" w:lineRule="exact"/>
        <w:ind w:firstLine="420" w:firstLineChars="175"/>
        <w:jc w:val="left"/>
        <w:rPr>
          <w:rFonts w:hint="eastAsia" w:ascii="宋体" w:hAnsi="宋体" w:eastAsia="宋体" w:cs="宋体"/>
          <w:sz w:val="24"/>
          <w:szCs w:val="24"/>
          <w:highlight w:val="none"/>
          <w:lang w:eastAsia="zh-CN"/>
        </w:rPr>
      </w:pPr>
      <w:bookmarkStart w:id="13" w:name="OLE_LINK7"/>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三门峡市陕州区西李村乡</w:t>
      </w:r>
    </w:p>
    <w:p w14:paraId="25EB05FC">
      <w:pPr>
        <w:spacing w:line="520" w:lineRule="exact"/>
        <w:ind w:firstLine="420" w:firstLineChars="175"/>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刘淑巧</w:t>
      </w:r>
    </w:p>
    <w:p w14:paraId="47AA244E">
      <w:pPr>
        <w:spacing w:line="520" w:lineRule="exact"/>
        <w:ind w:firstLine="420" w:firstLineChars="175"/>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15729016329</w:t>
      </w:r>
    </w:p>
    <w:bookmarkEnd w:id="13"/>
    <w:p w14:paraId="3DE20C33">
      <w:pPr>
        <w:numPr>
          <w:ilvl w:val="0"/>
          <w:numId w:val="2"/>
        </w:numPr>
        <w:spacing w:line="520" w:lineRule="exact"/>
        <w:ind w:firstLine="420" w:firstLineChars="175"/>
        <w:jc w:val="left"/>
        <w:outlineLvl w:val="1"/>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cs="宋体"/>
          <w:sz w:val="24"/>
          <w:szCs w:val="24"/>
          <w:highlight w:val="none"/>
        </w:rPr>
        <w:t>代理机构</w:t>
      </w:r>
      <w:r>
        <w:rPr>
          <w:rFonts w:hint="eastAsia" w:ascii="宋体" w:hAnsi="宋体" w:cs="宋体"/>
          <w:sz w:val="24"/>
          <w:szCs w:val="24"/>
          <w:highlight w:val="none"/>
          <w:lang w:val="en-US" w:eastAsia="zh-CN"/>
        </w:rPr>
        <w:t>信息</w:t>
      </w:r>
    </w:p>
    <w:p w14:paraId="5C703647">
      <w:pPr>
        <w:numPr>
          <w:ilvl w:val="0"/>
          <w:numId w:val="0"/>
        </w:numPr>
        <w:spacing w:line="520" w:lineRule="exact"/>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名称</w:t>
      </w:r>
      <w:r>
        <w:rPr>
          <w:rFonts w:hint="eastAsia" w:ascii="宋体" w:hAnsi="宋体" w:cs="宋体"/>
          <w:sz w:val="24"/>
          <w:szCs w:val="24"/>
          <w:highlight w:val="none"/>
        </w:rPr>
        <w:t>：</w:t>
      </w:r>
      <w:bookmarkStart w:id="14" w:name="OLE_LINK9"/>
      <w:r>
        <w:rPr>
          <w:rFonts w:hint="eastAsia" w:ascii="宋体" w:hAnsi="宋体" w:cs="Times New Roman"/>
          <w:kern w:val="0"/>
          <w:sz w:val="24"/>
          <w:szCs w:val="24"/>
          <w:lang w:val="en-US" w:eastAsia="zh-CN"/>
        </w:rPr>
        <w:t>中诚联创工程管理有限公司</w:t>
      </w:r>
      <w:bookmarkEnd w:id="14"/>
    </w:p>
    <w:p w14:paraId="63A02C53">
      <w:pPr>
        <w:spacing w:line="520" w:lineRule="exact"/>
        <w:ind w:firstLine="480" w:firstLineChars="2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地址：郑州高新技术产业开发区电厂路河南省国家大学科技园（东区）</w:t>
      </w:r>
    </w:p>
    <w:p w14:paraId="3F0AD65D">
      <w:pPr>
        <w:spacing w:line="520" w:lineRule="exact"/>
        <w:ind w:left="1257" w:leftChars="570" w:hanging="60" w:hangingChars="25"/>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18</w:t>
      </w:r>
      <w:r>
        <w:rPr>
          <w:rFonts w:hint="eastAsia" w:ascii="宋体" w:hAnsi="宋体"/>
          <w:sz w:val="24"/>
          <w:szCs w:val="24"/>
          <w:lang w:val="en-US" w:eastAsia="zh-CN"/>
        </w:rPr>
        <w:t>号楼C座大厦4层29号</w:t>
      </w:r>
    </w:p>
    <w:p w14:paraId="4614938B">
      <w:pPr>
        <w:spacing w:line="520" w:lineRule="exact"/>
        <w:ind w:firstLine="420" w:firstLineChars="175"/>
        <w:jc w:val="left"/>
        <w:rPr>
          <w:rFonts w:hint="eastAsia" w:ascii="宋体" w:hAnsi="宋体" w:eastAsia="宋体" w:cs="宋体"/>
          <w:sz w:val="24"/>
          <w:szCs w:val="24"/>
          <w:highlight w:val="none"/>
          <w:lang w:eastAsia="zh-CN"/>
        </w:rPr>
      </w:pPr>
      <w:bookmarkStart w:id="15"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孔</w:t>
      </w:r>
      <w:r>
        <w:rPr>
          <w:rFonts w:hint="eastAsia" w:ascii="宋体" w:hAnsi="宋体" w:cs="宋体"/>
          <w:sz w:val="24"/>
          <w:szCs w:val="24"/>
          <w:highlight w:val="none"/>
          <w:lang w:eastAsia="zh-CN"/>
        </w:rPr>
        <w:t>女士</w:t>
      </w:r>
    </w:p>
    <w:p w14:paraId="34787A1E">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bookmarkEnd w:id="1"/>
    <w:bookmarkEnd w:id="15"/>
    <w:p w14:paraId="006712DC">
      <w:pPr>
        <w:spacing w:line="460" w:lineRule="exact"/>
        <w:ind w:firstLine="420" w:firstLineChars="175"/>
        <w:outlineLvl w:val="1"/>
        <w:rPr>
          <w:rFonts w:ascii="宋体" w:hAnsi="宋体" w:cs="宋体"/>
          <w:sz w:val="24"/>
          <w:szCs w:val="24"/>
        </w:rPr>
      </w:pPr>
      <w:r>
        <w:rPr>
          <w:rFonts w:ascii="宋体" w:hAnsi="宋体" w:cs="宋体"/>
          <w:sz w:val="24"/>
          <w:szCs w:val="24"/>
        </w:rPr>
        <w:t>3</w:t>
      </w:r>
      <w:r>
        <w:rPr>
          <w:rFonts w:hint="eastAsia" w:ascii="宋体" w:hAnsi="宋体" w:cs="宋体"/>
          <w:sz w:val="24"/>
          <w:szCs w:val="24"/>
        </w:rPr>
        <w:t>.项目联系方式</w:t>
      </w:r>
    </w:p>
    <w:p w14:paraId="6CB6EE15">
      <w:pPr>
        <w:spacing w:line="460" w:lineRule="exact"/>
        <w:ind w:firstLine="420" w:firstLineChars="175"/>
        <w:jc w:val="left"/>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孔</w:t>
      </w:r>
      <w:r>
        <w:rPr>
          <w:rFonts w:hint="eastAsia" w:ascii="宋体" w:hAnsi="宋体" w:cs="宋体"/>
          <w:sz w:val="24"/>
          <w:szCs w:val="24"/>
          <w:highlight w:val="none"/>
          <w:lang w:eastAsia="zh-CN"/>
        </w:rPr>
        <w:t>女士</w:t>
      </w:r>
    </w:p>
    <w:p w14:paraId="1A157B0E">
      <w:pPr>
        <w:tabs>
          <w:tab w:val="left" w:pos="5040"/>
        </w:tabs>
        <w:spacing w:line="460" w:lineRule="exact"/>
        <w:ind w:firstLine="420" w:firstLineChars="175"/>
        <w:rPr>
          <w:rFonts w:hint="eastAsia" w:ascii="宋体" w:hAnsi="宋体" w:cs="宋体"/>
          <w:sz w:val="24"/>
          <w:szCs w:val="24"/>
        </w:rPr>
      </w:pPr>
      <w:r>
        <w:rPr>
          <w:rFonts w:hint="eastAsia" w:ascii="宋体" w:hAnsi="宋体" w:cs="宋体"/>
          <w:sz w:val="24"/>
          <w:szCs w:val="24"/>
        </w:rPr>
        <w:t>联系方式：</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r>
        <w:rPr>
          <w:rFonts w:ascii="宋体" w:hAnsi="宋体" w:cs="宋体"/>
          <w:sz w:val="24"/>
          <w:szCs w:val="24"/>
        </w:rPr>
        <w:t xml:space="preserve"> </w:t>
      </w:r>
    </w:p>
    <w:p w14:paraId="33E85524">
      <w:pPr>
        <w:pStyle w:val="2"/>
        <w:bidi w:val="0"/>
        <w:jc w:val="center"/>
        <w:rPr>
          <w:rFonts w:hint="eastAsia"/>
        </w:rPr>
      </w:pPr>
      <w:r>
        <w:rPr>
          <w:rFonts w:hint="eastAsia" w:ascii="宋体" w:hAnsi="宋体" w:cs="宋体"/>
          <w:szCs w:val="24"/>
          <w:highlight w:val="none"/>
        </w:rPr>
        <w:br w:type="page"/>
      </w:r>
      <w:bookmarkStart w:id="16" w:name="_Toc14828"/>
      <w:bookmarkStart w:id="17" w:name="_Toc10438"/>
      <w:r>
        <w:rPr>
          <w:rFonts w:hint="eastAsia"/>
        </w:rPr>
        <w:t>第二章   响应人须知</w:t>
      </w:r>
      <w:bookmarkEnd w:id="16"/>
      <w:bookmarkEnd w:id="17"/>
    </w:p>
    <w:p w14:paraId="2F80AFF2">
      <w:pPr>
        <w:keepNext/>
        <w:keepLines/>
        <w:spacing w:line="360" w:lineRule="auto"/>
        <w:ind w:left="851" w:leftChars="0" w:hanging="284" w:firstLineChars="0"/>
        <w:jc w:val="center"/>
        <w:outlineLvl w:val="9"/>
        <w:rPr>
          <w:rFonts w:ascii="黑体" w:hAnsi="宋体" w:eastAsia="黑体" w:cs="宋体"/>
          <w:sz w:val="24"/>
          <w:szCs w:val="24"/>
          <w:highlight w:val="none"/>
        </w:rPr>
      </w:pPr>
      <w:bookmarkStart w:id="18" w:name="_Toc6916"/>
      <w:bookmarkStart w:id="19" w:name="_Toc31332"/>
      <w:r>
        <w:rPr>
          <w:rFonts w:hint="eastAsia" w:ascii="黑体" w:hAnsi="宋体" w:eastAsia="黑体" w:cs="宋体"/>
          <w:sz w:val="24"/>
          <w:szCs w:val="24"/>
          <w:highlight w:val="none"/>
        </w:rPr>
        <w:t>响应人须知前附表</w:t>
      </w:r>
      <w:bookmarkEnd w:id="18"/>
      <w:bookmarkEnd w:id="19"/>
    </w:p>
    <w:tbl>
      <w:tblPr>
        <w:tblStyle w:val="1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9"/>
        <w:gridCol w:w="164"/>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1.1.2</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default" w:ascii="宋体" w:eastAsia="宋体"/>
                <w:kern w:val="0"/>
                <w:sz w:val="24"/>
                <w:szCs w:val="24"/>
                <w:highlight w:val="none"/>
                <w:lang w:val="en-US" w:eastAsia="zh-CN"/>
              </w:rPr>
            </w:pPr>
            <w:r>
              <w:rPr>
                <w:rFonts w:hint="eastAsia" w:ascii="宋体"/>
                <w:kern w:val="0"/>
                <w:sz w:val="24"/>
                <w:szCs w:val="24"/>
                <w:highlight w:val="none"/>
                <w:lang w:val="en-US"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val="en-US" w:eastAsia="zh-CN"/>
              </w:rPr>
              <w:t>采购</w:t>
            </w:r>
            <w:r>
              <w:rPr>
                <w:rFonts w:hint="eastAsia" w:ascii="宋体" w:hAnsi="宋体" w:cs="宋体"/>
                <w:kern w:val="0"/>
                <w:sz w:val="24"/>
                <w:szCs w:val="28"/>
                <w:highlight w:val="none"/>
              </w:rPr>
              <w:t>人：</w:t>
            </w:r>
            <w:r>
              <w:rPr>
                <w:rFonts w:hint="eastAsia" w:ascii="宋体" w:hAnsi="宋体" w:cs="宋体"/>
                <w:sz w:val="24"/>
                <w:szCs w:val="24"/>
                <w:highlight w:val="none"/>
                <w:lang w:eastAsia="zh-CN"/>
              </w:rPr>
              <w:t>三门峡市陕州区西李村乡人民政府</w:t>
            </w:r>
          </w:p>
          <w:p w14:paraId="50CE9293">
            <w:pPr>
              <w:spacing w:line="440" w:lineRule="exact"/>
              <w:jc w:val="left"/>
              <w:rPr>
                <w:rFonts w:hint="eastAsia" w:ascii="宋体" w:hAnsi="宋体" w:eastAsia="宋体" w:cs="宋体"/>
                <w:kern w:val="0"/>
                <w:sz w:val="24"/>
                <w:szCs w:val="28"/>
                <w:highlight w:val="none"/>
                <w:lang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eastAsia="zh-CN"/>
              </w:rPr>
              <w:t>三门峡市陕州区西李村乡</w:t>
            </w:r>
          </w:p>
          <w:p w14:paraId="5D4FA099">
            <w:pPr>
              <w:spacing w:line="52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刘淑巧</w:t>
            </w:r>
          </w:p>
          <w:p w14:paraId="0DB0A4FB">
            <w:pPr>
              <w:spacing w:line="520" w:lineRule="exact"/>
              <w:jc w:val="left"/>
              <w:rPr>
                <w:rFonts w:hint="eastAsia" w:ascii="宋体" w:eastAsia="宋体"/>
                <w:color w:val="FF0000"/>
                <w:kern w:val="0"/>
                <w:sz w:val="24"/>
                <w:szCs w:val="24"/>
                <w:highlight w:val="none"/>
                <w:lang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15729016329</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ascii="宋体" w:hAnsi="宋体" w:cs="宋体"/>
                <w:sz w:val="24"/>
                <w:szCs w:val="24"/>
                <w:highlight w:val="none"/>
              </w:rPr>
            </w:pPr>
            <w:r>
              <w:rPr>
                <w:rFonts w:hint="eastAsia" w:ascii="宋体" w:hAnsi="宋体" w:cs="宋体"/>
                <w:sz w:val="24"/>
                <w:szCs w:val="24"/>
                <w:highlight w:val="none"/>
              </w:rPr>
              <w:t>1.1.3</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val="en-US" w:eastAsia="zh-CN"/>
              </w:rPr>
              <w:t>采购</w:t>
            </w:r>
            <w:r>
              <w:rPr>
                <w:rFonts w:hint="eastAsia" w:ascii="宋体" w:hAnsi="宋体" w:eastAsia="宋体" w:cs="Times New Roman"/>
                <w:sz w:val="24"/>
                <w:szCs w:val="24"/>
                <w:lang w:eastAsia="zh-CN"/>
              </w:rPr>
              <w:t>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val="en-US" w:eastAsia="zh-CN"/>
              </w:rPr>
              <w:t>采购</w:t>
            </w:r>
            <w:r>
              <w:rPr>
                <w:rFonts w:hint="eastAsia" w:ascii="宋体" w:hAnsi="宋体" w:eastAsia="宋体" w:cs="Times New Roman"/>
                <w:sz w:val="24"/>
                <w:szCs w:val="24"/>
                <w:lang w:eastAsia="zh-CN"/>
              </w:rPr>
              <w:t>代理机构：</w:t>
            </w:r>
            <w:r>
              <w:rPr>
                <w:rFonts w:hint="eastAsia" w:ascii="宋体" w:hAnsi="宋体" w:eastAsia="宋体" w:cs="Times New Roman"/>
                <w:sz w:val="24"/>
                <w:szCs w:val="24"/>
                <w:lang w:val="en-US" w:eastAsia="zh-CN"/>
              </w:rPr>
              <w:t>中诚联创工程管理有限公司</w:t>
            </w:r>
          </w:p>
          <w:p w14:paraId="54349215">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地    址：郑州高新技术产业开发区电厂路河南省国家大学科技园（东区）</w:t>
            </w:r>
            <w:r>
              <w:rPr>
                <w:rFonts w:hint="eastAsia" w:ascii="宋体" w:hAnsi="宋体" w:eastAsia="宋体" w:cs="Times New Roman"/>
                <w:sz w:val="24"/>
                <w:szCs w:val="24"/>
                <w:lang w:val="en-US" w:eastAsia="zh-CN"/>
              </w:rPr>
              <w:t>18号楼C座大厦4层29号</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孔</w:t>
            </w:r>
            <w:r>
              <w:rPr>
                <w:rFonts w:hint="eastAsia" w:ascii="宋体" w:hAnsi="宋体" w:eastAsia="宋体" w:cs="Times New Roman"/>
                <w:sz w:val="24"/>
                <w:szCs w:val="24"/>
                <w:lang w:eastAsia="zh-CN"/>
              </w:rPr>
              <w:t>女士</w:t>
            </w:r>
          </w:p>
          <w:p w14:paraId="2FC8CD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联系方式：1</w:t>
            </w:r>
            <w:r>
              <w:rPr>
                <w:rFonts w:hint="eastAsia" w:ascii="宋体" w:hAnsi="宋体" w:eastAsia="宋体" w:cs="Times New Roman"/>
                <w:sz w:val="24"/>
                <w:szCs w:val="24"/>
                <w:lang w:val="en-US" w:eastAsia="zh-CN"/>
              </w:rPr>
              <w:t>9713986610</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ascii="宋体" w:hAnsi="宋体" w:cs="宋体"/>
                <w:sz w:val="24"/>
                <w:szCs w:val="24"/>
                <w:highlight w:val="none"/>
              </w:rPr>
            </w:pPr>
            <w:r>
              <w:rPr>
                <w:rFonts w:hint="eastAsia" w:ascii="宋体" w:hAnsi="宋体" w:cs="宋体"/>
                <w:sz w:val="24"/>
                <w:szCs w:val="24"/>
                <w:highlight w:val="none"/>
              </w:rPr>
              <w:t>1.1.4</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sz w:val="24"/>
                <w:szCs w:val="24"/>
                <w:highlight w:val="none"/>
                <w:lang w:val="en-US" w:eastAsia="zh-CN"/>
              </w:rPr>
              <w:t>2025年陕州区西李村乡方里村玉露香梨产业配套设施项目</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ascii="宋体" w:hAnsi="宋体" w:cs="宋体"/>
                <w:sz w:val="24"/>
                <w:szCs w:val="24"/>
                <w:highlight w:val="none"/>
              </w:rPr>
            </w:pPr>
            <w:r>
              <w:rPr>
                <w:rFonts w:hint="eastAsia" w:ascii="宋体" w:hAnsi="宋体" w:cs="宋体"/>
                <w:sz w:val="24"/>
                <w:szCs w:val="24"/>
                <w:highlight w:val="none"/>
              </w:rPr>
              <w:t>1.1.5</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eastAsia" w:ascii="宋体" w:hAnsi="宋体" w:eastAsia="宋体"/>
                <w:kern w:val="0"/>
                <w:sz w:val="24"/>
                <w:szCs w:val="24"/>
                <w:highlight w:val="none"/>
                <w:lang w:eastAsia="zh-CN"/>
              </w:rPr>
            </w:pPr>
            <w:r>
              <w:rPr>
                <w:rFonts w:hint="eastAsia" w:ascii="宋体" w:hAnsi="宋体" w:cs="宋体"/>
                <w:color w:val="auto"/>
                <w:kern w:val="0"/>
                <w:sz w:val="24"/>
                <w:szCs w:val="24"/>
                <w:highlight w:val="none"/>
              </w:rPr>
              <w:t>该工程位于</w:t>
            </w:r>
            <w:r>
              <w:rPr>
                <w:rFonts w:hint="eastAsia" w:ascii="宋体" w:hAnsi="宋体" w:cs="宋体"/>
                <w:color w:val="auto"/>
                <w:sz w:val="24"/>
                <w:szCs w:val="24"/>
                <w:lang w:val="en-US" w:eastAsia="zh-CN"/>
              </w:rPr>
              <w:t>三门峡市陕州区西李村乡方里村</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ascii="宋体" w:hAnsi="宋体" w:cs="宋体"/>
                <w:sz w:val="24"/>
                <w:szCs w:val="24"/>
                <w:highlight w:val="none"/>
              </w:rPr>
            </w:pPr>
            <w:r>
              <w:rPr>
                <w:rFonts w:hint="eastAsia" w:ascii="宋体" w:hAnsi="宋体" w:cs="宋体"/>
                <w:sz w:val="24"/>
                <w:szCs w:val="24"/>
                <w:highlight w:val="none"/>
              </w:rPr>
              <w:t>1.2.1</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ascii="宋体" w:hAnsi="宋体" w:cs="宋体"/>
                <w:sz w:val="24"/>
                <w:szCs w:val="24"/>
                <w:highlight w:val="none"/>
              </w:rPr>
            </w:pPr>
            <w:r>
              <w:rPr>
                <w:rFonts w:hint="eastAsia" w:ascii="宋体" w:hAnsi="宋体" w:cs="宋体"/>
                <w:sz w:val="24"/>
                <w:szCs w:val="24"/>
                <w:highlight w:val="none"/>
              </w:rPr>
              <w:t>1.3.1</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cs="宋体"/>
                <w:bCs/>
                <w:kern w:val="0"/>
                <w:sz w:val="24"/>
                <w:szCs w:val="24"/>
                <w:highlight w:val="none"/>
                <w:lang w:eastAsia="zh-CN"/>
              </w:rPr>
              <w:t>本项目竞争性磋商</w:t>
            </w:r>
            <w:r>
              <w:rPr>
                <w:rFonts w:hint="eastAsia" w:ascii="宋体" w:hAnsi="宋体" w:eastAsia="宋体" w:cs="宋体"/>
                <w:bCs/>
                <w:kern w:val="0"/>
                <w:sz w:val="24"/>
                <w:szCs w:val="24"/>
                <w:highlight w:val="none"/>
                <w:lang w:eastAsia="zh-CN"/>
              </w:rPr>
              <w:t>文件、图纸、</w:t>
            </w:r>
            <w:r>
              <w:rPr>
                <w:rFonts w:hint="eastAsia" w:ascii="宋体" w:hAnsi="宋体" w:cs="宋体"/>
                <w:bCs/>
                <w:kern w:val="0"/>
                <w:sz w:val="24"/>
                <w:szCs w:val="24"/>
                <w:highlight w:val="none"/>
                <w:lang w:eastAsia="zh-CN"/>
              </w:rPr>
              <w:t>清单等列明的所有内容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ascii="宋体" w:hAnsi="宋体" w:cs="宋体"/>
                <w:sz w:val="24"/>
                <w:szCs w:val="24"/>
                <w:highlight w:val="none"/>
              </w:rPr>
            </w:pPr>
            <w:r>
              <w:rPr>
                <w:rFonts w:hint="eastAsia" w:ascii="宋体" w:hAnsi="宋体" w:cs="宋体"/>
                <w:sz w:val="24"/>
                <w:szCs w:val="24"/>
                <w:highlight w:val="none"/>
              </w:rPr>
              <w:t>1.3.2</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工期</w:t>
            </w:r>
          </w:p>
        </w:tc>
        <w:tc>
          <w:tcPr>
            <w:tcW w:w="6663" w:type="dxa"/>
            <w:tcBorders>
              <w:top w:val="single" w:color="auto" w:sz="4" w:space="0"/>
              <w:left w:val="nil"/>
              <w:bottom w:val="single" w:color="auto" w:sz="4" w:space="0"/>
              <w:right w:val="single" w:color="auto" w:sz="4" w:space="0"/>
            </w:tcBorders>
            <w:noWrap w:val="0"/>
            <w:vAlign w:val="center"/>
          </w:tcPr>
          <w:p w14:paraId="12CD385D">
            <w:pPr>
              <w:spacing w:line="480" w:lineRule="exac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一标段工期：60日历天。</w:t>
            </w:r>
          </w:p>
          <w:p w14:paraId="72244CDF">
            <w:pPr>
              <w:spacing w:line="480" w:lineRule="exact"/>
              <w:rPr>
                <w:rFonts w:hint="eastAsia" w:ascii="宋体" w:hAnsi="宋体" w:cs="宋体"/>
                <w:bCs/>
                <w:kern w:val="0"/>
                <w:sz w:val="24"/>
                <w:szCs w:val="24"/>
                <w:highlight w:val="none"/>
                <w:lang w:eastAsia="zh-CN"/>
              </w:rPr>
            </w:pPr>
            <w:r>
              <w:rPr>
                <w:rFonts w:hint="eastAsia" w:ascii="宋体" w:hAnsi="宋体" w:cs="宋体"/>
                <w:sz w:val="24"/>
                <w:szCs w:val="24"/>
                <w:highlight w:val="none"/>
                <w:lang w:val="en-US" w:eastAsia="zh-CN"/>
              </w:rPr>
              <w:t>二标段供货期：60日历天（完成安装及调试）</w:t>
            </w:r>
          </w:p>
        </w:tc>
      </w:tr>
      <w:tr w14:paraId="2885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EA4C85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1.3.3</w:t>
            </w:r>
          </w:p>
        </w:tc>
        <w:tc>
          <w:tcPr>
            <w:tcW w:w="1837" w:type="dxa"/>
            <w:gridSpan w:val="2"/>
            <w:tcBorders>
              <w:top w:val="single" w:color="auto" w:sz="4" w:space="0"/>
              <w:left w:val="nil"/>
              <w:bottom w:val="single" w:color="auto" w:sz="4" w:space="0"/>
              <w:right w:val="single" w:color="auto" w:sz="4" w:space="0"/>
            </w:tcBorders>
            <w:noWrap w:val="0"/>
            <w:vAlign w:val="center"/>
          </w:tcPr>
          <w:p w14:paraId="466BEE88">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质保期</w:t>
            </w:r>
          </w:p>
        </w:tc>
        <w:tc>
          <w:tcPr>
            <w:tcW w:w="6663" w:type="dxa"/>
            <w:tcBorders>
              <w:top w:val="single" w:color="auto" w:sz="4" w:space="0"/>
              <w:left w:val="nil"/>
              <w:bottom w:val="single" w:color="auto" w:sz="4" w:space="0"/>
              <w:right w:val="single" w:color="auto" w:sz="4" w:space="0"/>
            </w:tcBorders>
            <w:noWrap w:val="0"/>
            <w:vAlign w:val="center"/>
          </w:tcPr>
          <w:p w14:paraId="798A4659">
            <w:pPr>
              <w:spacing w:line="480" w:lineRule="exac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1年</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1.3.</w:t>
            </w:r>
            <w:r>
              <w:rPr>
                <w:rFonts w:hint="eastAsia" w:ascii="宋体" w:hAnsi="宋体" w:cs="宋体"/>
                <w:sz w:val="24"/>
                <w:szCs w:val="24"/>
                <w:highlight w:val="none"/>
                <w:lang w:val="en-US" w:eastAsia="zh-CN"/>
              </w:rPr>
              <w:t>4</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426BE3F">
            <w:pPr>
              <w:spacing w:line="480" w:lineRule="exact"/>
              <w:rPr>
                <w:rFonts w:hint="eastAsia" w:ascii="宋体" w:hAnsi="宋体" w:cs="宋体"/>
                <w:sz w:val="24"/>
                <w:szCs w:val="24"/>
              </w:rPr>
            </w:pPr>
            <w:r>
              <w:rPr>
                <w:rFonts w:hint="eastAsia" w:ascii="宋体" w:hAnsi="宋体" w:cs="宋体"/>
                <w:sz w:val="24"/>
                <w:szCs w:val="24"/>
                <w:highlight w:val="none"/>
                <w:lang w:val="en-US" w:eastAsia="zh-CN"/>
              </w:rPr>
              <w:t>一标段：</w:t>
            </w:r>
            <w:r>
              <w:rPr>
                <w:rFonts w:hint="eastAsia" w:ascii="宋体" w:hAnsi="宋体" w:cs="宋体"/>
                <w:sz w:val="24"/>
                <w:szCs w:val="24"/>
              </w:rPr>
              <w:t>达到国家现行施工质量验收规范合格标准</w:t>
            </w:r>
          </w:p>
          <w:p w14:paraId="70901009">
            <w:pPr>
              <w:tabs>
                <w:tab w:val="left" w:pos="142"/>
                <w:tab w:val="left" w:pos="993"/>
                <w:tab w:val="left" w:pos="1276"/>
                <w:tab w:val="left" w:pos="1701"/>
                <w:tab w:val="left" w:pos="1843"/>
              </w:tabs>
              <w:spacing w:line="440" w:lineRule="exact"/>
              <w:jc w:val="left"/>
              <w:rPr>
                <w:rFonts w:hint="eastAsia" w:ascii="宋体" w:hAnsi="宋体" w:eastAsia="宋体" w:cs="宋体"/>
                <w:kern w:val="0"/>
                <w:sz w:val="24"/>
                <w:szCs w:val="24"/>
                <w:highlight w:val="none"/>
                <w:lang w:eastAsia="zh-CN"/>
              </w:rPr>
            </w:pPr>
            <w:r>
              <w:rPr>
                <w:rFonts w:hint="eastAsia" w:ascii="宋体" w:hAnsi="宋体" w:cs="宋体"/>
                <w:sz w:val="24"/>
                <w:szCs w:val="24"/>
                <w:lang w:val="en-US" w:eastAsia="zh-CN"/>
              </w:rPr>
              <w:t>二标段：</w:t>
            </w:r>
            <w:r>
              <w:rPr>
                <w:rFonts w:hint="eastAsia" w:ascii="宋体" w:hAnsi="宋体" w:cs="宋体"/>
                <w:sz w:val="24"/>
                <w:szCs w:val="24"/>
              </w:rPr>
              <w:t>合格，符合国家及行业相关标准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ascii="宋体" w:hAnsi="宋体" w:cs="宋体"/>
                <w:sz w:val="24"/>
                <w:szCs w:val="24"/>
                <w:highlight w:val="none"/>
              </w:rPr>
            </w:pPr>
            <w:r>
              <w:rPr>
                <w:rFonts w:hint="eastAsia" w:ascii="宋体" w:hAnsi="宋体" w:cs="宋体"/>
                <w:sz w:val="24"/>
                <w:szCs w:val="24"/>
                <w:highlight w:val="none"/>
              </w:rPr>
              <w:t>1.4.1</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rPr>
              <w:t>响应人资质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20D3B326">
            <w:pPr>
              <w:spacing w:line="480" w:lineRule="exact"/>
              <w:ind w:firstLine="480" w:firstLineChars="200"/>
              <w:outlineLvl w:val="1"/>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一标段：</w:t>
            </w:r>
          </w:p>
          <w:p w14:paraId="2AC8FECC">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5BFC8C94">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本项目非专门面向中小企业，执行促进中小企业发展等政府采购政策。</w:t>
            </w:r>
          </w:p>
          <w:p w14:paraId="439615C5">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663FA5AD">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15DC4397">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建筑工程施工总承包叁级及以上资质或市政公用工程总承包叁级及以上资质</w:t>
            </w:r>
            <w:r>
              <w:rPr>
                <w:rFonts w:hint="eastAsia" w:ascii="宋体" w:hAnsi="宋体" w:cs="宋体"/>
                <w:kern w:val="0"/>
                <w:sz w:val="24"/>
                <w:szCs w:val="24"/>
                <w:highlight w:val="none"/>
              </w:rPr>
              <w:t>，且具有有效的安全生产许可证。</w:t>
            </w:r>
          </w:p>
          <w:p w14:paraId="300B4125">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并提供2024年9月1日以来任意连续三个月的社保缴费证明。</w:t>
            </w:r>
          </w:p>
          <w:p w14:paraId="698EB713">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31DDA754">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1B67D77F">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5898584F">
            <w:pPr>
              <w:spacing w:line="480" w:lineRule="exact"/>
              <w:ind w:firstLine="480" w:firstLineChars="200"/>
              <w:jc w:val="left"/>
              <w:outlineLvl w:val="1"/>
              <w:rPr>
                <w:rFonts w:hint="eastAsia" w:ascii="宋体" w:hAnsi="宋体" w:cs="宋体"/>
                <w:kern w:val="0"/>
                <w:sz w:val="24"/>
                <w:szCs w:val="24"/>
                <w:lang w:val="en-US" w:eastAsia="zh-CN"/>
              </w:rPr>
            </w:pPr>
            <w:r>
              <w:rPr>
                <w:rFonts w:hint="eastAsia" w:ascii="宋体" w:hAnsi="宋体" w:cs="宋体"/>
                <w:kern w:val="0"/>
                <w:sz w:val="24"/>
                <w:szCs w:val="24"/>
                <w:lang w:val="en-US" w:eastAsia="zh-CN"/>
              </w:rPr>
              <w:t>二标段：</w:t>
            </w:r>
          </w:p>
          <w:p w14:paraId="4A5313D4">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59CA6D0E">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本项目非专门面向中小企业，执行促进中小企业发展等政府采购政策。</w:t>
            </w:r>
          </w:p>
          <w:p w14:paraId="1E631F6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6AF5482">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0DDD822D">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24FC3D3E">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5E665EBD">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64A3074F">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p w14:paraId="5B5C8BC2">
            <w:pPr>
              <w:spacing w:line="360" w:lineRule="auto"/>
              <w:ind w:firstLine="484" w:firstLineChars="202"/>
              <w:rPr>
                <w:rFonts w:hint="eastAsia" w:ascii="宋体" w:hAnsi="宋体" w:cs="宋体"/>
                <w:kern w:val="0"/>
                <w:sz w:val="24"/>
                <w:szCs w:val="24"/>
                <w:highlight w:val="none"/>
              </w:rPr>
            </w:pPr>
            <w:r>
              <w:rPr>
                <w:rFonts w:hint="eastAsia" w:ascii="宋体" w:hAnsi="宋体" w:cs="宋体"/>
                <w:kern w:val="0"/>
                <w:sz w:val="24"/>
                <w:szCs w:val="24"/>
                <w:highlight w:val="none"/>
                <w:lang w:eastAsia="zh-CN"/>
              </w:rPr>
              <w:t>3.6 本项目不允许联合体磋商，实行资格后审（提供非联合体声明函）；</w:t>
            </w:r>
            <w:r>
              <w:rPr>
                <w:rFonts w:hint="eastAsia" w:ascii="宋体" w:hAnsi="宋体" w:eastAsia="宋体" w:cs="Times New Roman"/>
                <w:color w:val="auto"/>
                <w:sz w:val="22"/>
                <w:szCs w:val="24"/>
              </w:rPr>
              <w:t xml:space="preserve"> </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ascii="宋体" w:hAnsi="宋体" w:cs="宋体"/>
                <w:sz w:val="24"/>
                <w:szCs w:val="24"/>
                <w:highlight w:val="none"/>
              </w:rPr>
            </w:pPr>
            <w:r>
              <w:rPr>
                <w:rFonts w:hint="eastAsia" w:ascii="宋体" w:hAnsi="宋体" w:cs="宋体"/>
                <w:sz w:val="24"/>
                <w:szCs w:val="24"/>
                <w:highlight w:val="none"/>
              </w:rPr>
              <w:t>1.4.2</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ascii="宋体" w:hAnsi="宋体" w:cs="宋体"/>
                <w:sz w:val="24"/>
                <w:szCs w:val="24"/>
                <w:highlight w:val="none"/>
              </w:rPr>
            </w:pPr>
            <w:r>
              <w:rPr>
                <w:rFonts w:hint="eastAsia" w:ascii="宋体" w:hAnsi="宋体" w:cs="宋体"/>
                <w:sz w:val="24"/>
                <w:szCs w:val="24"/>
                <w:highlight w:val="none"/>
              </w:rPr>
              <w:t>1.9.1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ascii="宋体" w:hAnsi="宋体" w:cs="宋体"/>
                <w:sz w:val="24"/>
                <w:szCs w:val="24"/>
                <w:highlight w:val="none"/>
              </w:rPr>
            </w:pPr>
            <w:r>
              <w:rPr>
                <w:rFonts w:hint="eastAsia" w:ascii="宋体" w:hAnsi="宋体" w:cs="宋体"/>
                <w:sz w:val="24"/>
                <w:szCs w:val="24"/>
                <w:highlight w:val="none"/>
              </w:rPr>
              <w:t>1.10.1</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ascii="宋体" w:hAnsi="宋体" w:cs="宋体"/>
                <w:sz w:val="24"/>
                <w:szCs w:val="24"/>
                <w:highlight w:val="none"/>
              </w:rPr>
            </w:pPr>
            <w:r>
              <w:rPr>
                <w:rFonts w:hint="eastAsia" w:ascii="宋体" w:hAnsi="宋体" w:cs="宋体"/>
                <w:sz w:val="24"/>
                <w:szCs w:val="24"/>
                <w:highlight w:val="none"/>
              </w:rPr>
              <w:t>1.11</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ascii="宋体" w:hAnsi="宋体" w:cs="宋体"/>
                <w:sz w:val="24"/>
                <w:szCs w:val="24"/>
                <w:highlight w:val="none"/>
              </w:rPr>
            </w:pPr>
            <w:r>
              <w:rPr>
                <w:rFonts w:hint="eastAsia" w:ascii="宋体" w:hAnsi="宋体" w:cs="宋体"/>
                <w:sz w:val="24"/>
                <w:szCs w:val="24"/>
                <w:highlight w:val="none"/>
              </w:rPr>
              <w:t>1.12</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ascii="宋体" w:hAnsi="宋体" w:cs="宋体"/>
                <w:sz w:val="24"/>
                <w:szCs w:val="24"/>
                <w:highlight w:val="none"/>
              </w:rPr>
            </w:pPr>
            <w:r>
              <w:rPr>
                <w:rFonts w:hint="eastAsia" w:ascii="宋体" w:hAnsi="宋体" w:cs="宋体"/>
                <w:sz w:val="24"/>
                <w:szCs w:val="24"/>
                <w:highlight w:val="none"/>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720C3BF">
            <w:pPr>
              <w:jc w:val="center"/>
              <w:rPr>
                <w:rFonts w:ascii="宋体" w:hAnsi="宋体" w:cs="宋体"/>
                <w:sz w:val="24"/>
                <w:szCs w:val="24"/>
                <w:highlight w:val="none"/>
              </w:rPr>
            </w:pPr>
            <w:r>
              <w:rPr>
                <w:rFonts w:hint="eastAsia" w:ascii="宋体" w:hAnsi="宋体" w:cs="宋体"/>
                <w:sz w:val="24"/>
                <w:szCs w:val="24"/>
                <w:highlight w:val="none"/>
              </w:rPr>
              <w:t>2.2.1</w:t>
            </w:r>
          </w:p>
        </w:tc>
        <w:tc>
          <w:tcPr>
            <w:tcW w:w="1837" w:type="dxa"/>
            <w:gridSpan w:val="2"/>
            <w:tcBorders>
              <w:top w:val="single" w:color="auto" w:sz="4" w:space="0"/>
              <w:left w:val="nil"/>
              <w:bottom w:val="single" w:color="auto" w:sz="4" w:space="0"/>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rPr>
              <w:t>响应人要求澄清竞争性磋商文件的截止时间</w:t>
            </w:r>
          </w:p>
        </w:tc>
        <w:tc>
          <w:tcPr>
            <w:tcW w:w="6663" w:type="dxa"/>
            <w:tcBorders>
              <w:top w:val="single" w:color="auto" w:sz="4" w:space="0"/>
              <w:left w:val="nil"/>
              <w:bottom w:val="single" w:color="auto" w:sz="4" w:space="0"/>
              <w:right w:val="single" w:color="auto" w:sz="4" w:space="0"/>
            </w:tcBorders>
            <w:noWrap w:val="0"/>
            <w:vAlign w:val="center"/>
          </w:tcPr>
          <w:p w14:paraId="7666CE81">
            <w:pPr>
              <w:rPr>
                <w:rFonts w:ascii="宋体" w:hAnsi="宋体" w:cs="宋体"/>
                <w:sz w:val="24"/>
                <w:szCs w:val="24"/>
                <w:highlight w:val="none"/>
              </w:rPr>
            </w:pPr>
            <w:r>
              <w:rPr>
                <w:rFonts w:hint="eastAsia" w:ascii="宋体" w:hAnsi="宋体" w:cs="宋体"/>
                <w:sz w:val="24"/>
                <w:szCs w:val="24"/>
                <w:highlight w:val="none"/>
              </w:rPr>
              <w:t>响应文件递交截止时间5日前</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ascii="宋体" w:hAnsi="宋体" w:cs="宋体"/>
                <w:sz w:val="24"/>
                <w:szCs w:val="24"/>
                <w:highlight w:val="none"/>
              </w:rPr>
            </w:pPr>
            <w:r>
              <w:rPr>
                <w:rFonts w:hint="eastAsia" w:ascii="宋体" w:hAnsi="宋体" w:cs="宋体"/>
                <w:sz w:val="24"/>
                <w:szCs w:val="24"/>
                <w:highlight w:val="none"/>
              </w:rPr>
              <w:t>2.2.2</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07BAD3B8">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lang w:eastAsia="zh-CN"/>
              </w:rPr>
              <w:t>日08时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分</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73F793A">
            <w:pPr>
              <w:jc w:val="center"/>
              <w:rPr>
                <w:rFonts w:ascii="宋体" w:hAnsi="宋体" w:cs="宋体"/>
                <w:sz w:val="24"/>
                <w:szCs w:val="24"/>
                <w:highlight w:val="none"/>
              </w:rPr>
            </w:pPr>
            <w:r>
              <w:rPr>
                <w:rFonts w:hint="eastAsia" w:ascii="宋体" w:hAnsi="宋体" w:cs="宋体"/>
                <w:sz w:val="24"/>
                <w:szCs w:val="24"/>
                <w:highlight w:val="none"/>
              </w:rPr>
              <w:t>2.2.3</w:t>
            </w:r>
          </w:p>
        </w:tc>
        <w:tc>
          <w:tcPr>
            <w:tcW w:w="1837" w:type="dxa"/>
            <w:gridSpan w:val="2"/>
            <w:tcBorders>
              <w:top w:val="single" w:color="auto" w:sz="4" w:space="0"/>
              <w:left w:val="nil"/>
              <w:bottom w:val="single" w:color="auto" w:sz="4" w:space="0"/>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响应人确认收到竞争性磋商文件澄清的时间</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FF71019">
            <w:pPr>
              <w:jc w:val="center"/>
              <w:rPr>
                <w:rFonts w:ascii="宋体" w:hAnsi="宋体" w:cs="宋体"/>
                <w:sz w:val="24"/>
                <w:szCs w:val="24"/>
                <w:highlight w:val="none"/>
              </w:rPr>
            </w:pPr>
            <w:r>
              <w:rPr>
                <w:rFonts w:hint="eastAsia" w:ascii="宋体" w:hAnsi="宋体" w:cs="宋体"/>
                <w:sz w:val="24"/>
                <w:szCs w:val="24"/>
                <w:highlight w:val="none"/>
              </w:rPr>
              <w:t>2.3.2</w:t>
            </w:r>
          </w:p>
        </w:tc>
        <w:tc>
          <w:tcPr>
            <w:tcW w:w="1837" w:type="dxa"/>
            <w:gridSpan w:val="2"/>
            <w:tcBorders>
              <w:top w:val="single" w:color="auto" w:sz="4" w:space="0"/>
              <w:left w:val="nil"/>
              <w:bottom w:val="single" w:color="auto" w:sz="4" w:space="0"/>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响应人确认收到竞争性磋商文件修改的时间</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ascii="宋体" w:hAnsi="宋体" w:cs="宋体"/>
                <w:sz w:val="24"/>
                <w:szCs w:val="24"/>
                <w:highlight w:val="none"/>
              </w:rPr>
            </w:pPr>
            <w:r>
              <w:rPr>
                <w:rFonts w:hint="eastAsia" w:ascii="宋体" w:hAnsi="宋体" w:cs="宋体"/>
                <w:sz w:val="24"/>
                <w:szCs w:val="24"/>
                <w:highlight w:val="none"/>
              </w:rPr>
              <w:t>3.1.1</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ascii="宋体" w:hAnsi="宋体" w:cs="宋体"/>
                <w:sz w:val="24"/>
                <w:szCs w:val="24"/>
                <w:highlight w:val="none"/>
              </w:rPr>
            </w:pPr>
            <w:r>
              <w:rPr>
                <w:rFonts w:hint="eastAsia" w:ascii="宋体" w:hAnsi="宋体" w:cs="宋体"/>
                <w:sz w:val="24"/>
                <w:szCs w:val="24"/>
                <w:highlight w:val="none"/>
              </w:rPr>
              <w:t>3.3.1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rPr>
              <w:t>磋商截止之日起60日历天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ascii="宋体" w:hAnsi="宋体" w:cs="宋体"/>
                <w:sz w:val="24"/>
                <w:szCs w:val="24"/>
                <w:highlight w:val="none"/>
              </w:rPr>
            </w:pPr>
            <w:r>
              <w:rPr>
                <w:rFonts w:hint="eastAsia" w:ascii="宋体" w:hAnsi="宋体" w:cs="宋体"/>
                <w:sz w:val="24"/>
                <w:szCs w:val="24"/>
                <w:highlight w:val="none"/>
              </w:rPr>
              <w:t>3.5.3</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w:t>
            </w:r>
            <w:r>
              <w:rPr>
                <w:rFonts w:hint="eastAsia" w:ascii="宋体" w:hAnsi="宋体" w:cs="宋体"/>
                <w:color w:val="auto"/>
                <w:sz w:val="24"/>
                <w:szCs w:val="24"/>
                <w:highlight w:val="none"/>
              </w:rPr>
              <w:t>，</w:t>
            </w:r>
            <w:r>
              <w:rPr>
                <w:rFonts w:hint="eastAsia" w:ascii="宋体" w:hAnsi="宋体" w:cs="宋体"/>
                <w:color w:val="auto"/>
                <w:sz w:val="24"/>
                <w:szCs w:val="24"/>
              </w:rPr>
              <w:t>指</w:t>
            </w:r>
            <w:r>
              <w:rPr>
                <w:rFonts w:hint="eastAsia" w:ascii="宋体" w:hAnsi="宋体" w:cs="宋体"/>
                <w:color w:val="auto"/>
                <w:sz w:val="24"/>
                <w:szCs w:val="24"/>
                <w:u w:val="single"/>
              </w:rPr>
              <w:t>2021</w:t>
            </w:r>
            <w:r>
              <w:rPr>
                <w:rFonts w:hint="eastAsia" w:ascii="宋体" w:hAnsi="宋体" w:cs="宋体"/>
                <w:color w:val="auto"/>
                <w:sz w:val="24"/>
                <w:szCs w:val="24"/>
              </w:rPr>
              <w:t>年</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ascii="宋体" w:hAnsi="宋体" w:cs="宋体"/>
                <w:sz w:val="24"/>
                <w:szCs w:val="24"/>
                <w:highlight w:val="none"/>
              </w:rPr>
            </w:pPr>
            <w:r>
              <w:rPr>
                <w:rFonts w:hint="eastAsia" w:ascii="宋体" w:hAnsi="宋体" w:cs="宋体"/>
                <w:sz w:val="24"/>
                <w:szCs w:val="24"/>
                <w:highlight w:val="none"/>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ascii="宋体" w:hAnsi="宋体" w:cs="宋体"/>
                <w:sz w:val="24"/>
                <w:szCs w:val="24"/>
                <w:highlight w:val="none"/>
              </w:rPr>
            </w:pPr>
            <w:r>
              <w:rPr>
                <w:rFonts w:hint="eastAsia" w:ascii="宋体" w:hAnsi="宋体" w:cs="宋体"/>
                <w:sz w:val="24"/>
                <w:szCs w:val="24"/>
                <w:highlight w:val="none"/>
              </w:rPr>
              <w:t>3.7.3</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1、响应人在生成电子化响应文件后，应对电子化响应文件进行签章，未对电子化响应文件进行签章的视为无效投标。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2、竞争性磋商文件中要求法定代表人或授权委托人盖章的，响应人在进行电子化响应文件签章时，以签盖法定代表人签章为准。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ascii="宋体" w:hAnsi="宋体" w:cs="宋体"/>
                <w:sz w:val="24"/>
                <w:szCs w:val="24"/>
                <w:highlight w:val="none"/>
              </w:rPr>
            </w:pPr>
            <w:r>
              <w:rPr>
                <w:rFonts w:hint="eastAsia" w:ascii="宋体" w:hAnsi="宋体" w:cs="宋体"/>
                <w:sz w:val="24"/>
                <w:szCs w:val="24"/>
                <w:highlight w:val="none"/>
              </w:rPr>
              <w:t>3.7.4</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用CA在电子平台上传电子响应文件，在磋商截止时间前成功上传至三门峡市公共资源电子化交易系统。本项目为电子化、无纸化交易项目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ascii="宋体" w:hAnsi="宋体" w:cs="宋体"/>
                <w:sz w:val="24"/>
                <w:szCs w:val="24"/>
                <w:highlight w:val="none"/>
              </w:rPr>
            </w:pPr>
            <w:r>
              <w:rPr>
                <w:rFonts w:hint="eastAsia" w:ascii="宋体" w:hAnsi="宋体" w:cs="宋体"/>
                <w:sz w:val="24"/>
                <w:szCs w:val="24"/>
                <w:highlight w:val="none"/>
              </w:rPr>
              <w:t>4.2.2</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before="180" w:beforeLines="50"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三门峡市陕州区公共资源交易中心四楼开标室</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ascii="宋体" w:hAnsi="宋体" w:cs="宋体"/>
                <w:sz w:val="24"/>
                <w:szCs w:val="24"/>
                <w:highlight w:val="none"/>
              </w:rPr>
            </w:pPr>
            <w:r>
              <w:rPr>
                <w:rFonts w:hint="eastAsia" w:ascii="宋体" w:hAnsi="宋体" w:cs="宋体"/>
                <w:sz w:val="24"/>
                <w:szCs w:val="24"/>
                <w:highlight w:val="none"/>
              </w:rPr>
              <w:t>4.2.3</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ascii="宋体" w:hAnsi="宋体" w:cs="宋体"/>
                <w:sz w:val="24"/>
                <w:szCs w:val="24"/>
                <w:highlight w:val="none"/>
              </w:rPr>
            </w:pPr>
            <w:r>
              <w:rPr>
                <w:rFonts w:hint="eastAsia" w:ascii="宋体" w:hAnsi="宋体" w:cs="宋体"/>
                <w:sz w:val="24"/>
                <w:szCs w:val="24"/>
                <w:highlight w:val="none"/>
              </w:rPr>
              <w:t>5.1</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FF0000"/>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lang w:eastAsia="zh-CN"/>
              </w:rPr>
              <w:t>日08时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三门峡市陕州区公共资源交易中心四楼开标室</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ascii="宋体" w:hAnsi="宋体" w:cs="宋体"/>
                <w:sz w:val="24"/>
                <w:szCs w:val="24"/>
                <w:highlight w:val="none"/>
              </w:rPr>
            </w:pPr>
            <w:r>
              <w:rPr>
                <w:rFonts w:hint="eastAsia" w:ascii="宋体" w:hAnsi="宋体" w:cs="宋体"/>
                <w:sz w:val="24"/>
                <w:szCs w:val="24"/>
                <w:highlight w:val="none"/>
              </w:rPr>
              <w:t>5.2</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ascii="宋体" w:hAnsi="宋体" w:cs="宋体"/>
                <w:sz w:val="24"/>
                <w:szCs w:val="24"/>
                <w:highlight w:val="none"/>
              </w:rPr>
            </w:pPr>
            <w:r>
              <w:rPr>
                <w:rFonts w:hint="eastAsia" w:ascii="宋体" w:hAnsi="宋体" w:cs="宋体"/>
                <w:sz w:val="24"/>
                <w:szCs w:val="24"/>
                <w:highlight w:val="none"/>
              </w:rPr>
              <w:t>6.1.1</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DC49ED5">
            <w:pPr>
              <w:spacing w:line="400" w:lineRule="exact"/>
              <w:rPr>
                <w:rFonts w:ascii="宋体" w:hAnsi="宋体" w:cs="宋体"/>
                <w:sz w:val="24"/>
                <w:szCs w:val="24"/>
                <w:highlight w:val="none"/>
              </w:rPr>
            </w:pPr>
            <w:r>
              <w:rPr>
                <w:rFonts w:hint="eastAsia" w:ascii="宋体" w:hAnsi="宋体" w:cs="宋体"/>
                <w:sz w:val="24"/>
                <w:szCs w:val="24"/>
                <w:highlight w:val="none"/>
              </w:rPr>
              <w:t>磋商小组构成：3人</w:t>
            </w:r>
            <w:r>
              <w:rPr>
                <w:rFonts w:hint="eastAsia" w:ascii="宋体" w:hAnsi="宋体" w:cs="宋体"/>
                <w:sz w:val="24"/>
                <w:szCs w:val="24"/>
                <w:highlight w:val="none"/>
                <w:lang w:eastAsia="zh-CN"/>
              </w:rPr>
              <w:t>，</w:t>
            </w:r>
            <w:r>
              <w:rPr>
                <w:rFonts w:hint="eastAsia" w:ascii="宋体" w:hAnsi="宋体" w:cs="宋体"/>
                <w:color w:val="auto"/>
                <w:sz w:val="24"/>
                <w:szCs w:val="24"/>
                <w:highlight w:val="none"/>
              </w:rPr>
              <w:t>其中</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w:t>
            </w:r>
            <w:r>
              <w:rPr>
                <w:rFonts w:hint="eastAsia" w:ascii="宋体" w:hAnsi="宋体" w:cs="宋体"/>
                <w:color w:val="auto"/>
                <w:sz w:val="24"/>
                <w:szCs w:val="24"/>
                <w:highlight w:val="none"/>
                <w:u w:val="single"/>
              </w:rPr>
              <w:t xml:space="preserve"> 1</w:t>
            </w:r>
            <w:r>
              <w:rPr>
                <w:rFonts w:hint="eastAsia" w:ascii="宋体" w:hAnsi="宋体" w:cs="宋体"/>
                <w:color w:val="auto"/>
                <w:sz w:val="24"/>
                <w:szCs w:val="24"/>
                <w:highlight w:val="none"/>
              </w:rPr>
              <w:t>人，专</w:t>
            </w:r>
            <w:r>
              <w:rPr>
                <w:rFonts w:hint="eastAsia" w:ascii="宋体" w:hAnsi="宋体" w:cs="宋体"/>
                <w:sz w:val="24"/>
                <w:szCs w:val="24"/>
                <w:highlight w:val="none"/>
              </w:rPr>
              <w:t>家</w:t>
            </w:r>
            <w:r>
              <w:rPr>
                <w:rFonts w:hint="eastAsia" w:ascii="宋体" w:hAnsi="宋体" w:cs="宋体"/>
                <w:sz w:val="24"/>
                <w:szCs w:val="24"/>
                <w:highlight w:val="none"/>
                <w:u w:val="single"/>
              </w:rPr>
              <w:t>2</w:t>
            </w:r>
            <w:r>
              <w:rPr>
                <w:rFonts w:hint="eastAsia" w:ascii="宋体" w:hAnsi="宋体" w:cs="宋体"/>
                <w:sz w:val="24"/>
                <w:szCs w:val="24"/>
                <w:highlight w:val="none"/>
              </w:rPr>
              <w:t>人；</w:t>
            </w:r>
          </w:p>
          <w:p w14:paraId="71E0CA1E">
            <w:pPr>
              <w:spacing w:line="400" w:lineRule="exact"/>
              <w:rPr>
                <w:rFonts w:ascii="宋体" w:hAnsi="宋体" w:cs="宋体"/>
                <w:sz w:val="24"/>
                <w:szCs w:val="24"/>
                <w:highlight w:val="none"/>
              </w:rPr>
            </w:pPr>
            <w:r>
              <w:rPr>
                <w:rFonts w:hint="eastAsia" w:ascii="宋体" w:hAnsi="宋体" w:cs="宋体"/>
                <w:sz w:val="24"/>
                <w:szCs w:val="24"/>
                <w:highlight w:val="none"/>
              </w:rPr>
              <w:t>2名专家确定方式：通过相关专家库随机抽取。</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ascii="宋体" w:hAnsi="宋体" w:cs="宋体"/>
                <w:sz w:val="24"/>
                <w:szCs w:val="24"/>
                <w:highlight w:val="none"/>
              </w:rPr>
            </w:pPr>
            <w:r>
              <w:rPr>
                <w:rFonts w:hint="eastAsia" w:ascii="宋体" w:hAnsi="宋体" w:cs="宋体"/>
                <w:sz w:val="24"/>
                <w:szCs w:val="24"/>
                <w:highlight w:val="none"/>
              </w:rPr>
              <w:t>7.1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eastAsia" w:ascii="宋体" w:hAnsi="宋体" w:cs="宋体"/>
                <w:sz w:val="24"/>
                <w:szCs w:val="24"/>
                <w:highlight w:val="none"/>
              </w:rPr>
            </w:pPr>
            <w:r>
              <w:rPr>
                <w:rFonts w:hint="eastAsia" w:ascii="宋体" w:hAnsi="宋体" w:cs="宋体"/>
                <w:sz w:val="24"/>
                <w:szCs w:val="24"/>
                <w:highlight w:val="none"/>
              </w:rPr>
              <w:t>7.2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kern w:val="0"/>
                <w:sz w:val="24"/>
                <w:szCs w:val="24"/>
                <w:highlight w:val="none"/>
              </w:rPr>
              <w:t>7.3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是否要求响应人在递交响应文件时，同时递交响应文件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eastAsia" w:ascii="宋体" w:hAnsi="宋体" w:cs="宋体"/>
                <w:spacing w:val="-6"/>
                <w:sz w:val="24"/>
                <w:szCs w:val="24"/>
                <w:highlight w:val="none"/>
              </w:rPr>
            </w:pPr>
            <w:r>
              <w:rPr>
                <w:rFonts w:hint="eastAsia" w:ascii="宋体" w:hAnsi="宋体" w:cs="宋体"/>
                <w:spacing w:val="-6"/>
                <w:sz w:val="24"/>
                <w:szCs w:val="24"/>
                <w:highlight w:val="none"/>
              </w:rPr>
              <w:t>8</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1.本项目实行资格后审，审查内容以响应文件为准，可使用电子营业执照。其上传资料真实性由响应人自行承担，同时，响应人请完善主体库信息(基本信息不作为资格审查项)。</w:t>
            </w:r>
          </w:p>
          <w:p w14:paraId="536CBB0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2.评标打分部分：评标打分部分仍按照100分制原则进行，涉及到资格审查、企业业绩等计分部分时，以响应人自行上传到响应文件中的相应内容为准。</w:t>
            </w:r>
          </w:p>
          <w:p w14:paraId="3D2CA67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3.响应文件编制部分：在响应文件中要求响应人按照响应文件格式进行响应文件编制，在响应文件编制时，应明确将响应人企业基本情况、资质情况、业绩情况编入响应文件，便于进行资格审查及评标打分。</w:t>
            </w:r>
          </w:p>
          <w:p w14:paraId="01B828FB">
            <w:pPr>
              <w:tabs>
                <w:tab w:val="left" w:pos="180"/>
              </w:tabs>
              <w:spacing w:line="400" w:lineRule="exact"/>
              <w:ind w:firstLine="480" w:firstLineChars="200"/>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rPr>
              <w:t>10.需要补充的其他内容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rPr>
              <w:t>10.1词语定义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ascii="宋体" w:hAnsi="宋体" w:cs="宋体"/>
                <w:sz w:val="24"/>
                <w:szCs w:val="24"/>
                <w:highlight w:val="none"/>
              </w:rPr>
            </w:pPr>
            <w:r>
              <w:rPr>
                <w:rFonts w:hint="eastAsia" w:ascii="宋体" w:hAnsi="宋体" w:cs="宋体"/>
                <w:sz w:val="24"/>
                <w:szCs w:val="24"/>
                <w:highlight w:val="none"/>
              </w:rPr>
              <w:t>10.2</w:t>
            </w:r>
          </w:p>
        </w:tc>
        <w:tc>
          <w:tcPr>
            <w:tcW w:w="1576" w:type="dxa"/>
            <w:gridSpan w:val="2"/>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rPr>
              <w:t>招标控制价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eastAsia="宋体" w:cs="宋体"/>
                <w:color w:val="000000"/>
                <w:sz w:val="24"/>
                <w:highlight w:val="none"/>
              </w:rPr>
              <w:t>招标控制价：</w:t>
            </w:r>
            <w:r>
              <w:rPr>
                <w:rFonts w:hint="eastAsia" w:ascii="宋体" w:hAnsi="宋体" w:eastAsia="宋体" w:cs="宋体"/>
                <w:color w:val="000000"/>
                <w:sz w:val="24"/>
                <w:highlight w:val="none"/>
                <w:lang w:val="en-US" w:eastAsia="zh-CN"/>
              </w:rPr>
              <w:t xml:space="preserve"> 一标段：804676.72元；二标段：378230.00元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rPr>
              <w:t>招标控制价是招标人控制招标工程造价的最高限价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高于招标控制价的其磋商将被否决。一次报价和最终报价高于招标控制价的其磋商将被否决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eastAsia" w:ascii="宋体" w:hAnsi="宋体" w:cs="宋体"/>
                <w:sz w:val="24"/>
                <w:szCs w:val="24"/>
                <w:highlight w:val="none"/>
              </w:rPr>
            </w:pPr>
            <w:r>
              <w:rPr>
                <w:rFonts w:hint="eastAsia" w:ascii="宋体" w:hAnsi="宋体" w:cs="宋体"/>
                <w:sz w:val="24"/>
                <w:szCs w:val="24"/>
                <w:highlight w:val="none"/>
              </w:rPr>
              <w:t>10.3</w:t>
            </w:r>
          </w:p>
        </w:tc>
        <w:tc>
          <w:tcPr>
            <w:tcW w:w="1576" w:type="dxa"/>
            <w:gridSpan w:val="2"/>
            <w:tcBorders>
              <w:top w:val="single" w:color="auto" w:sz="4" w:space="0"/>
              <w:left w:val="nil"/>
              <w:bottom w:val="single" w:color="auto" w:sz="4" w:space="0"/>
              <w:right w:val="single" w:color="auto" w:sz="4" w:space="0"/>
            </w:tcBorders>
            <w:noWrap w:val="0"/>
            <w:vAlign w:val="center"/>
          </w:tcPr>
          <w:p w14:paraId="6860D921">
            <w:pPr>
              <w:spacing w:line="44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16390392">
            <w:pPr>
              <w:spacing w:line="44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本招标项目代理服务费参考关于印发《河南省招标代理服务收费指导意见》的通知（豫招协[2023]002号）按规定收取，由中标人支付</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ascii="宋体" w:hAnsi="宋体" w:cs="宋体"/>
                <w:sz w:val="24"/>
                <w:szCs w:val="24"/>
                <w:highlight w:val="none"/>
              </w:rPr>
            </w:pPr>
            <w:r>
              <w:rPr>
                <w:rFonts w:hint="eastAsia" w:ascii="宋体" w:hAnsi="宋体" w:cs="宋体"/>
                <w:sz w:val="24"/>
                <w:szCs w:val="24"/>
                <w:highlight w:val="none"/>
              </w:rPr>
              <w:t>10.4</w:t>
            </w:r>
          </w:p>
        </w:tc>
        <w:tc>
          <w:tcPr>
            <w:tcW w:w="1576" w:type="dxa"/>
            <w:gridSpan w:val="2"/>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ascii="宋体" w:hAnsi="宋体" w:cs="宋体"/>
                <w:sz w:val="24"/>
                <w:szCs w:val="24"/>
                <w:highlight w:val="none"/>
              </w:rPr>
            </w:pPr>
            <w:r>
              <w:rPr>
                <w:rFonts w:hint="eastAsia" w:ascii="宋体" w:hAnsi="宋体" w:cs="宋体"/>
                <w:sz w:val="24"/>
                <w:szCs w:val="24"/>
                <w:highlight w:val="none"/>
              </w:rPr>
              <w:t>10.5</w:t>
            </w:r>
          </w:p>
        </w:tc>
        <w:tc>
          <w:tcPr>
            <w:tcW w:w="1576" w:type="dxa"/>
            <w:gridSpan w:val="2"/>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ascii="宋体" w:hAnsi="宋体" w:cs="宋体"/>
                <w:sz w:val="24"/>
                <w:szCs w:val="24"/>
                <w:highlight w:val="none"/>
              </w:rPr>
            </w:pPr>
            <w:r>
              <w:rPr>
                <w:rFonts w:hint="eastAsia" w:ascii="宋体" w:hAnsi="宋体" w:cs="宋体"/>
                <w:sz w:val="24"/>
                <w:szCs w:val="24"/>
                <w:highlight w:val="none"/>
              </w:rPr>
              <w:t>10.6</w:t>
            </w:r>
          </w:p>
        </w:tc>
        <w:tc>
          <w:tcPr>
            <w:tcW w:w="1576" w:type="dxa"/>
            <w:gridSpan w:val="2"/>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一标段：</w:t>
            </w:r>
            <w:r>
              <w:rPr>
                <w:rFonts w:ascii="宋体" w:hAnsi="宋体" w:cs="宋体"/>
                <w:color w:val="auto"/>
                <w:sz w:val="24"/>
                <w:szCs w:val="24"/>
                <w:highlight w:val="none"/>
              </w:rPr>
              <w:t>建筑业</w:t>
            </w:r>
          </w:p>
          <w:p w14:paraId="52BBAE9E">
            <w:pPr>
              <w:spacing w:line="400" w:lineRule="exact"/>
              <w:ind w:right="-153" w:rightChars="-73"/>
              <w:jc w:val="left"/>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二标段：</w:t>
            </w:r>
            <w:r>
              <w:rPr>
                <w:rFonts w:hint="eastAsia" w:ascii="宋体" w:hAnsi="宋体" w:eastAsia="宋体" w:cs="宋体"/>
                <w:color w:val="auto"/>
                <w:sz w:val="22"/>
              </w:rPr>
              <w:t>工业</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ascii="宋体" w:hAnsi="宋体" w:cs="宋体"/>
                <w:sz w:val="24"/>
                <w:szCs w:val="24"/>
                <w:highlight w:val="none"/>
              </w:rPr>
            </w:pPr>
            <w:r>
              <w:rPr>
                <w:rFonts w:hint="eastAsia" w:ascii="宋体" w:hAnsi="宋体" w:cs="宋体"/>
                <w:sz w:val="24"/>
                <w:szCs w:val="24"/>
                <w:highlight w:val="none"/>
              </w:rPr>
              <w:t>10.7</w:t>
            </w:r>
          </w:p>
        </w:tc>
        <w:tc>
          <w:tcPr>
            <w:tcW w:w="1576" w:type="dxa"/>
            <w:gridSpan w:val="2"/>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在符合相关法律法规的前提下，竞争性磋商文件的解释权归招标人所有。本竞争性磋商文件中其他部分内容与响应人须知前附表不一致的，以响应人须知前附表为准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ascii="宋体" w:hAnsi="宋体" w:cs="宋体"/>
                <w:b/>
                <w:bCs/>
                <w:sz w:val="24"/>
                <w:szCs w:val="24"/>
                <w:highlight w:val="none"/>
              </w:rPr>
            </w:pPr>
            <w:r>
              <w:rPr>
                <w:rFonts w:hint="eastAsia" w:ascii="宋体" w:hAnsi="宋体" w:cs="宋体"/>
                <w:sz w:val="24"/>
                <w:szCs w:val="24"/>
                <w:highlight w:val="none"/>
              </w:rPr>
              <w:t>10.8</w:t>
            </w:r>
          </w:p>
        </w:tc>
        <w:tc>
          <w:tcPr>
            <w:tcW w:w="1576" w:type="dxa"/>
            <w:gridSpan w:val="2"/>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需要解答的疑问以书面形式加盖单位公章递交至招标人或代理机构，逾期提交的问题概不做回复。招标人将需要解答的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内容以公告形式发至所有潜在响应人</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rPr>
              <w:t>10.9结果公示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rPr>
              <w:t>10.10知识产权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rPr>
              <w:t>10.11重新招标的其他情形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除响应人须知正文规定的情形外，除非已经产生中标候选人，在磋商有效期内同意延长磋商有效期的响应人少于三个的，招标人应当依法重新招标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rPr>
              <w:t>10.12同义词语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招标人”和“响应人”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rPr>
              <w:t>10.13监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rPr>
              <w:t>10.14电子化交易注意事项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5"/>
            <w:tcBorders>
              <w:top w:val="single" w:color="auto" w:sz="4" w:space="0"/>
              <w:left w:val="nil"/>
              <w:bottom w:val="single" w:color="auto" w:sz="4" w:space="0"/>
              <w:right w:val="single" w:color="auto" w:sz="4" w:space="0"/>
            </w:tcBorders>
            <w:noWrap w:val="0"/>
            <w:vAlign w:val="center"/>
          </w:tcPr>
          <w:p w14:paraId="763DE369">
            <w:pPr>
              <w:ind w:firstLine="480" w:firstLineChars="2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具体要求：本项目为电子化、无纸化交易项目，响应文件是响应人、供应商（以下简称“响应人”）通过中心响应文件制作系统制作，并经过签章和加密后生成的电子版响应文件。</w:t>
            </w:r>
          </w:p>
          <w:p w14:paraId="0E2632B7">
            <w:pPr>
              <w:ind w:firstLine="480" w:firstLineChars="2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480" w:firstLineChars="2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ind w:firstLine="480" w:firstLineChars="200"/>
              <w:rPr>
                <w:rFonts w:hint="eastAsia" w:ascii="宋体" w:hAnsi="宋体"/>
                <w:sz w:val="24"/>
                <w:szCs w:val="24"/>
                <w:highlight w:val="none"/>
              </w:rPr>
            </w:pPr>
            <w:r>
              <w:rPr>
                <w:rFonts w:hint="eastAsia" w:ascii="宋体" w:hAnsi="宋体"/>
                <w:sz w:val="24"/>
                <w:szCs w:val="24"/>
                <w:highlight w:val="none"/>
              </w:rPr>
              <w:t>一、电子化投标</w:t>
            </w:r>
          </w:p>
          <w:p w14:paraId="07C85FF1">
            <w:pPr>
              <w:ind w:firstLine="480" w:firstLineChars="200"/>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480" w:firstLineChars="200"/>
              <w:rPr>
                <w:rFonts w:hint="eastAsia" w:ascii="宋体" w:hAnsi="宋体"/>
                <w:sz w:val="24"/>
                <w:szCs w:val="24"/>
                <w:highlight w:val="none"/>
              </w:rPr>
            </w:pPr>
            <w:r>
              <w:rPr>
                <w:rFonts w:hint="eastAsia" w:ascii="宋体" w:hAnsi="宋体"/>
                <w:sz w:val="24"/>
                <w:szCs w:val="24"/>
                <w:highlight w:val="none"/>
              </w:rPr>
              <w:t>1、响应人在生成电子化响应文件后，应对电子化响应文件进行签章，未进行签章的视为无效投标。</w:t>
            </w:r>
          </w:p>
          <w:p w14:paraId="52B06ACA">
            <w:pPr>
              <w:ind w:firstLine="480" w:firstLineChars="2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2、竞争性磋商文件中要求法定代表人或授权委托人签字或盖章的，响应人在进行电子化响应文件签章时，以签盖法定代表人签章为准。</w:t>
            </w:r>
          </w:p>
          <w:p w14:paraId="47AC69DC">
            <w:pPr>
              <w:ind w:firstLine="480" w:firstLineChars="200"/>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480" w:firstLineChars="200"/>
              <w:jc w:val="left"/>
              <w:rPr>
                <w:rFonts w:hint="eastAsia" w:ascii="宋体" w:hAnsi="宋体"/>
                <w:sz w:val="24"/>
                <w:szCs w:val="24"/>
                <w:highlight w:val="none"/>
              </w:rPr>
            </w:pPr>
            <w:r>
              <w:rPr>
                <w:rFonts w:hint="eastAsia" w:ascii="宋体" w:hAnsi="宋体"/>
                <w:sz w:val="24"/>
                <w:szCs w:val="24"/>
                <w:highlight w:val="none"/>
              </w:rPr>
              <w:t>1、响应人所上传的电子化响应文件，应是通过中心响应文件制作系统制作的（响应文件制作工具下载地址：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480" w:firstLineChars="200"/>
              <w:rPr>
                <w:rFonts w:hint="eastAsia" w:ascii="宋体" w:hAnsi="宋体"/>
                <w:sz w:val="24"/>
                <w:szCs w:val="24"/>
                <w:highlight w:val="none"/>
              </w:rPr>
            </w:pPr>
            <w:r>
              <w:rPr>
                <w:rFonts w:hint="eastAsia" w:ascii="宋体" w:hAnsi="宋体"/>
                <w:sz w:val="24"/>
                <w:szCs w:val="24"/>
                <w:highlight w:val="none"/>
              </w:rPr>
              <w:t>注：响应人投报多个标段的，需要每个标段单独制作电子响应文件。</w:t>
            </w:r>
          </w:p>
          <w:p w14:paraId="448D1900">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2、电子化响应文件应在磋商截止时间前成功上传至三门峡市公共资源电子化交易系统。至磋商截止时间止，仍未上传成功的电子化响应文件将不予接收。</w:t>
            </w:r>
          </w:p>
          <w:p w14:paraId="01DD0571">
            <w:pPr>
              <w:ind w:firstLine="480" w:firstLineChars="2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ind w:firstLine="480" w:firstLineChars="200"/>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480" w:firstLineChars="200"/>
              <w:rPr>
                <w:rFonts w:hint="eastAsia" w:ascii="宋体" w:hAnsi="宋体"/>
                <w:sz w:val="24"/>
                <w:szCs w:val="24"/>
                <w:highlight w:val="none"/>
              </w:rPr>
            </w:pPr>
            <w:r>
              <w:rPr>
                <w:rFonts w:hint="eastAsia" w:ascii="宋体" w:hAnsi="宋体"/>
                <w:sz w:val="24"/>
                <w:szCs w:val="24"/>
                <w:highlight w:val="none"/>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231C1EE">
            <w:pPr>
              <w:ind w:firstLine="480" w:firstLineChars="2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480" w:firstLineChars="200"/>
              <w:rPr>
                <w:rFonts w:hint="eastAsia" w:ascii="宋体" w:hAnsi="宋体"/>
                <w:sz w:val="24"/>
                <w:szCs w:val="24"/>
                <w:highlight w:val="none"/>
              </w:rPr>
            </w:pPr>
            <w:r>
              <w:rPr>
                <w:rFonts w:hint="eastAsia" w:ascii="宋体" w:hAnsi="宋体"/>
                <w:sz w:val="24"/>
                <w:szCs w:val="24"/>
                <w:highlight w:val="none"/>
              </w:rPr>
              <w:t>如出现响应人的电子响应文件无法解密等异常情况，响应人应及时致电中介服务机构说明。响应文件异常，按以下步骤进行处理：</w:t>
            </w:r>
          </w:p>
          <w:p w14:paraId="31DE3ECD">
            <w:pPr>
              <w:ind w:firstLine="480" w:firstLineChars="200"/>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ind w:firstLine="480" w:firstLineChars="200"/>
              <w:rPr>
                <w:rFonts w:hint="eastAsia" w:ascii="宋体" w:hAnsi="宋体"/>
                <w:sz w:val="24"/>
                <w:szCs w:val="24"/>
                <w:highlight w:val="none"/>
              </w:rPr>
            </w:pPr>
            <w:r>
              <w:rPr>
                <w:rFonts w:hint="eastAsia" w:ascii="宋体" w:hAnsi="宋体"/>
                <w:sz w:val="24"/>
                <w:szCs w:val="24"/>
                <w:highlight w:val="none"/>
              </w:rPr>
              <w:t>（2）经技术人员排查后，是响应人文件自身问题导致投标文件无法解密的，该响应文件将不予接收、解密。开标会议继续进行。</w:t>
            </w:r>
          </w:p>
          <w:p w14:paraId="521D4FBD">
            <w:pPr>
              <w:ind w:firstLine="480" w:firstLineChars="200"/>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480" w:firstLineChars="200"/>
              <w:rPr>
                <w:rFonts w:hint="eastAsia" w:ascii="宋体" w:hAnsi="宋体"/>
                <w:sz w:val="24"/>
                <w:szCs w:val="24"/>
                <w:highlight w:val="none"/>
              </w:rPr>
            </w:pPr>
            <w:r>
              <w:rPr>
                <w:rFonts w:hint="eastAsia" w:ascii="宋体" w:hAnsi="宋体"/>
                <w:sz w:val="24"/>
                <w:szCs w:val="24"/>
                <w:highlight w:val="none"/>
              </w:rPr>
              <w:t>4、待所有响应人响应文件解密完成后，由中介服务机构操作，对所有已解密响应文件进行解密。</w:t>
            </w:r>
          </w:p>
          <w:p w14:paraId="3127132F">
            <w:pPr>
              <w:ind w:firstLine="480" w:firstLineChars="200"/>
              <w:rPr>
                <w:rFonts w:hint="eastAsia" w:ascii="宋体" w:hAnsi="宋体"/>
                <w:sz w:val="24"/>
                <w:szCs w:val="24"/>
                <w:highlight w:val="none"/>
              </w:rPr>
            </w:pPr>
            <w:r>
              <w:rPr>
                <w:rFonts w:hint="eastAsia" w:ascii="宋体" w:hAnsi="宋体"/>
                <w:sz w:val="24"/>
                <w:szCs w:val="24"/>
                <w:highlight w:val="none"/>
              </w:rPr>
              <w:t>响应人应保证在磋商期间电话、电脑、网络能够正常工作，响应人因停电、电脑病毒、网络堵塞等原因，未在规定的解密时间内对响应文件进行解密的，其响应文件不予接收。</w:t>
            </w:r>
          </w:p>
          <w:p w14:paraId="4960E6B4">
            <w:pPr>
              <w:ind w:firstLine="480" w:firstLineChars="200"/>
              <w:rPr>
                <w:rFonts w:hint="eastAsia" w:ascii="宋体" w:hAnsi="宋体"/>
                <w:sz w:val="24"/>
                <w:szCs w:val="24"/>
                <w:highlight w:val="none"/>
              </w:rPr>
            </w:pPr>
            <w:r>
              <w:rPr>
                <w:rFonts w:hint="eastAsia" w:ascii="宋体" w:hAnsi="宋体"/>
                <w:sz w:val="24"/>
                <w:szCs w:val="24"/>
                <w:highlight w:val="none"/>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36B288C">
            <w:pPr>
              <w:ind w:firstLine="480" w:firstLineChars="2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E92EA58">
            <w:pPr>
              <w:ind w:firstLine="480" w:firstLineChars="200"/>
              <w:rPr>
                <w:rFonts w:hint="eastAsia" w:ascii="宋体" w:hAnsi="宋体"/>
                <w:sz w:val="24"/>
                <w:szCs w:val="24"/>
                <w:highlight w:val="none"/>
              </w:rPr>
            </w:pPr>
            <w:r>
              <w:rPr>
                <w:rFonts w:hint="eastAsia" w:ascii="宋体" w:hAnsi="宋体"/>
                <w:sz w:val="24"/>
                <w:szCs w:val="24"/>
                <w:highlight w:val="none"/>
              </w:rPr>
              <w:t>7、如评标委员会对需要回复的响应人连续三次致电未接通的，视为响应人放弃回复，评标委员会将自行对需要回复的内容进行认定。</w:t>
            </w:r>
          </w:p>
          <w:p w14:paraId="340D8A80">
            <w:pPr>
              <w:ind w:firstLine="480" w:firstLineChars="2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480" w:firstLineChars="200"/>
              <w:rPr>
                <w:rFonts w:ascii="宋体" w:hAnsi="宋体"/>
                <w:sz w:val="24"/>
                <w:szCs w:val="24"/>
                <w:highlight w:val="none"/>
              </w:rPr>
            </w:pPr>
            <w:r>
              <w:rPr>
                <w:rFonts w:hint="eastAsia" w:ascii="宋体" w:hAnsi="宋体"/>
                <w:sz w:val="24"/>
                <w:szCs w:val="24"/>
                <w:highlight w:val="none"/>
              </w:rPr>
              <w:t>（一）响应人应保证上传内容齐全，真实有效，原件扫描件清晰可辨。因响应人上传原因导致应得分项而未得分或资格审查不合格等情况的，由响应人自行承担责任。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7976E853">
      <w:pPr>
        <w:rPr>
          <w:rFonts w:ascii="宋体" w:hAnsi="宋体" w:cs="宋体"/>
          <w:b/>
          <w:bCs/>
          <w:kern w:val="0"/>
          <w:sz w:val="24"/>
          <w:szCs w:val="24"/>
          <w:highlight w:val="none"/>
        </w:rPr>
      </w:pPr>
    </w:p>
    <w:p w14:paraId="3BDA5D5D">
      <w:pPr>
        <w:spacing w:line="520" w:lineRule="exact"/>
        <w:ind w:firstLine="482" w:firstLineChars="200"/>
        <w:outlineLvl w:val="0"/>
        <w:rPr>
          <w:rFonts w:hint="eastAsia" w:ascii="宋体" w:hAnsi="宋体" w:cs="宋体"/>
          <w:b/>
          <w:bCs/>
          <w:kern w:val="0"/>
          <w:sz w:val="24"/>
          <w:szCs w:val="24"/>
          <w:highlight w:val="none"/>
        </w:rPr>
      </w:pPr>
      <w:bookmarkStart w:id="20" w:name="_Toc22065"/>
      <w:r>
        <w:rPr>
          <w:rFonts w:hint="eastAsia" w:ascii="宋体" w:hAnsi="宋体" w:cs="宋体"/>
          <w:b/>
          <w:bCs/>
          <w:kern w:val="0"/>
          <w:sz w:val="24"/>
          <w:szCs w:val="24"/>
          <w:highlight w:val="none"/>
        </w:rPr>
        <w:t>1.总则</w:t>
      </w:r>
      <w:bookmarkEnd w:id="20"/>
    </w:p>
    <w:p w14:paraId="5AF0C717">
      <w:pPr>
        <w:spacing w:line="520" w:lineRule="exact"/>
        <w:ind w:firstLine="482" w:firstLineChars="200"/>
        <w:outlineLvl w:val="1"/>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1.1.1 根据《中华人民共和国招标投标法》《中华人民共和国政府采购法》《政府采购竞争性磋商采购方式管理办法》《政府采购货物和服务招标投标管理办法》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本招标项目招标人：见响应人须知前附表。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本招标项目招标代理机构：见响应人须知前附表。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本招标项目名称：见响应人须知前附表。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本招标项目建设地点：见响应人须知前附表。</w:t>
      </w:r>
    </w:p>
    <w:p w14:paraId="33B2550F">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本招标项目的资金来源：见响应人须知前附表。</w:t>
      </w:r>
    </w:p>
    <w:p w14:paraId="4BF51973">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本次磋商范围：见响应人须知前附表。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本工程的计划工期：见响应人须知前附表。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本工程的质量要求：见响应人须知前附表。</w:t>
      </w:r>
    </w:p>
    <w:p w14:paraId="5552737A">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1.4响应人资格要求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1.4.1 响应人应具备承担本工程施工的资质条件、能力和信誉见前附表。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1.4.2 响应人不得存在下列情形之一：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(l）为招标人不具有独立法人资格的附属机构（单位）；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响应人准备和参加磋商活动发生的费用自理。</w:t>
      </w:r>
    </w:p>
    <w:p w14:paraId="79DEDAA5">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21" w:name="_Toc184635072"/>
      <w:bookmarkEnd w:id="21"/>
      <w:r>
        <w:rPr>
          <w:rFonts w:hint="eastAsia" w:ascii="宋体" w:hAnsi="宋体" w:cs="宋体"/>
          <w:sz w:val="24"/>
          <w:szCs w:val="24"/>
          <w:highlight w:val="none"/>
        </w:rPr>
        <w:t>不允许偏离。</w:t>
      </w:r>
    </w:p>
    <w:p w14:paraId="4B3E8874">
      <w:pPr>
        <w:keepNext/>
        <w:keepLines/>
        <w:spacing w:line="520" w:lineRule="exact"/>
        <w:ind w:left="851" w:leftChars="0" w:hanging="284" w:firstLineChars="0"/>
        <w:outlineLvl w:val="0"/>
        <w:rPr>
          <w:rFonts w:hint="eastAsia" w:ascii="宋体" w:hAnsi="宋体" w:cs="宋体"/>
          <w:sz w:val="24"/>
          <w:szCs w:val="24"/>
          <w:highlight w:val="none"/>
        </w:rPr>
      </w:pPr>
      <w:bookmarkStart w:id="22" w:name="_Toc466566784"/>
      <w:bookmarkEnd w:id="22"/>
      <w:bookmarkStart w:id="23" w:name="_Toc466566695"/>
      <w:bookmarkStart w:id="24" w:name="_Toc11942"/>
      <w:r>
        <w:rPr>
          <w:rFonts w:hint="eastAsia" w:ascii="宋体" w:hAnsi="宋体" w:cs="宋体"/>
          <w:sz w:val="24"/>
          <w:szCs w:val="24"/>
          <w:highlight w:val="none"/>
        </w:rPr>
        <w:t>2．竞争性磋商文件</w:t>
      </w:r>
      <w:bookmarkEnd w:id="23"/>
      <w:bookmarkEnd w:id="24"/>
    </w:p>
    <w:p w14:paraId="151B8B79">
      <w:pPr>
        <w:keepNext/>
        <w:keepLines/>
        <w:spacing w:line="520" w:lineRule="exact"/>
        <w:ind w:left="851" w:hanging="284"/>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(2）响应人须知；</w:t>
      </w:r>
    </w:p>
    <w:p w14:paraId="2993A6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518E410F">
      <w:pPr>
        <w:spacing w:line="520" w:lineRule="exact"/>
        <w:ind w:firstLine="424" w:firstLineChars="177"/>
        <w:rPr>
          <w:rFonts w:hint="eastAsia" w:ascii="宋体" w:hAnsi="宋体" w:cs="宋体"/>
          <w:sz w:val="24"/>
          <w:szCs w:val="24"/>
        </w:rPr>
      </w:pPr>
      <w:r>
        <w:rPr>
          <w:rFonts w:hint="eastAsia" w:ascii="宋体" w:hAnsi="宋体" w:cs="宋体"/>
          <w:sz w:val="24"/>
          <w:szCs w:val="24"/>
        </w:rPr>
        <w:t>（5）清单；</w:t>
      </w:r>
    </w:p>
    <w:p w14:paraId="054950D0">
      <w:pPr>
        <w:spacing w:line="520" w:lineRule="exact"/>
        <w:ind w:firstLine="424" w:firstLineChars="177"/>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2.2 竞争性磋商文件的澄清</w:t>
      </w:r>
    </w:p>
    <w:p w14:paraId="3F8E1B9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36E10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2.2.3 响应人应自行查看澄清信息。</w:t>
      </w:r>
    </w:p>
    <w:p w14:paraId="79BA453B">
      <w:pPr>
        <w:spacing w:line="360" w:lineRule="auto"/>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40B17A5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2.3.1 在磋商截止时间5天前，招标人可以修改竞争性磋商文件，并以变更公告形式通知所有已购买竞争性磋商文件的响应人</w:t>
      </w:r>
    </w:p>
    <w:p w14:paraId="57A0CB2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8AA73C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25" w:name="_Toc184635073"/>
      <w:bookmarkEnd w:id="25"/>
      <w:r>
        <w:rPr>
          <w:rFonts w:hint="eastAsia" w:ascii="宋体" w:hAnsi="宋体" w:cs="宋体"/>
          <w:sz w:val="24"/>
          <w:szCs w:val="24"/>
          <w:highlight w:val="none"/>
        </w:rPr>
        <w:t xml:space="preserve"> </w:t>
      </w:r>
    </w:p>
    <w:p w14:paraId="645D22D6">
      <w:pPr>
        <w:spacing w:line="360" w:lineRule="auto"/>
        <w:ind w:firstLine="482" w:firstLineChars="200"/>
        <w:outlineLvl w:val="0"/>
        <w:rPr>
          <w:rFonts w:hint="eastAsia" w:ascii="宋体" w:hAnsi="宋体" w:cs="宋体"/>
          <w:b/>
          <w:sz w:val="24"/>
          <w:szCs w:val="24"/>
          <w:highlight w:val="none"/>
        </w:rPr>
      </w:pPr>
      <w:bookmarkStart w:id="26" w:name="_Toc20330"/>
      <w:r>
        <w:rPr>
          <w:rFonts w:hint="eastAsia" w:ascii="宋体" w:hAnsi="宋体" w:cs="宋体"/>
          <w:b/>
          <w:sz w:val="24"/>
          <w:szCs w:val="24"/>
          <w:highlight w:val="none"/>
        </w:rPr>
        <w:t>3．响应文件</w:t>
      </w:r>
      <w:bookmarkEnd w:id="26"/>
    </w:p>
    <w:p w14:paraId="540DF04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335F2C0">
      <w:pPr>
        <w:autoSpaceDE w:val="0"/>
        <w:autoSpaceDN w:val="0"/>
        <w:adjustRightInd w:val="0"/>
        <w:spacing w:line="480" w:lineRule="exact"/>
        <w:ind w:firstLine="482" w:firstLineChars="200"/>
        <w:jc w:val="left"/>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详见第六章响应文件格式</w:t>
      </w:r>
    </w:p>
    <w:p w14:paraId="5332FFDE">
      <w:pPr>
        <w:autoSpaceDE w:val="0"/>
        <w:autoSpaceDN w:val="0"/>
        <w:adjustRightInd w:val="0"/>
        <w:spacing w:line="480" w:lineRule="exact"/>
        <w:ind w:firstLine="482" w:firstLineChars="2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480" w:firstLineChars="2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rPr>
        <w:t>响应人的报价应含有所投项目、税费、交付后约定期限内免费后续工程等所发生的一切应有费用。</w:t>
      </w:r>
    </w:p>
    <w:p w14:paraId="221B8CD0">
      <w:pPr>
        <w:spacing w:line="336" w:lineRule="auto"/>
        <w:ind w:firstLine="480" w:firstLineChars="2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65EA355D">
      <w:pPr>
        <w:spacing w:line="336" w:lineRule="auto"/>
        <w:ind w:firstLine="480" w:firstLineChars="2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7617E458">
      <w:pPr>
        <w:spacing w:line="336"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480" w:firstLineChars="2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不另行支付。</w:t>
      </w:r>
    </w:p>
    <w:p w14:paraId="10590003">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480" w:firstLineChars="200"/>
        <w:rPr>
          <w:rFonts w:hint="eastAsia" w:ascii="宋体" w:hAnsi="宋体" w:cs="宋体"/>
          <w:sz w:val="24"/>
          <w:szCs w:val="24"/>
          <w:highlight w:val="none"/>
        </w:rPr>
      </w:pPr>
      <w:r>
        <w:rPr>
          <w:rFonts w:hint="eastAsia" w:ascii="宋体" w:hAnsi="宋体"/>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w:t>
      </w:r>
      <w:r>
        <w:rPr>
          <w:rFonts w:hint="eastAsia" w:ascii="宋体" w:hAnsi="宋体" w:cs="宋体"/>
          <w:sz w:val="24"/>
          <w:szCs w:val="24"/>
          <w:highlight w:val="none"/>
        </w:rPr>
        <w:t>的风险费用，响应人成交后则无权因此要求任何服务周期或费用上的索赔。</w:t>
      </w:r>
    </w:p>
    <w:p w14:paraId="1D73B6E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3.2.7施工期间由于工程条件发生变化或响应人原因造成技术方案的更改，所增加的措施费用及服务周期一概不予调整，相应的费用响应人应在磋商报价中充分考虑，招标人不另支付。</w:t>
      </w:r>
    </w:p>
    <w:p w14:paraId="6ED243A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3.2.8增值税属不可竞争费用，如违背国家税收规定的，对未按规定计取增值税的响应人，其磋商报价按低于成本价处理。</w:t>
      </w:r>
    </w:p>
    <w:p w14:paraId="6230DBE5">
      <w:pPr>
        <w:keepNext/>
        <w:keepLines/>
        <w:spacing w:line="520" w:lineRule="exact"/>
        <w:ind w:firstLine="482" w:firstLineChars="200"/>
        <w:outlineLvl w:val="9"/>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52CC4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 在响应人须知前附表规定的磋商有效期内，响应人不得要求撤销或修改其响应文件。</w:t>
      </w:r>
    </w:p>
    <w:p w14:paraId="371A5B7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出现特殊情况需要延长磋商有效期的，招标人以书面形式通知所有响应人延长磋商有效期。响应人同意延长的，不得要求或被允许修改或撤销其响应文件；响应人拒绝延长的，其磋商失效。</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spacing w:line="480" w:lineRule="exact"/>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3.5 资格审查资料</w:t>
      </w:r>
    </w:p>
    <w:p w14:paraId="7018A4F8">
      <w:pPr>
        <w:spacing w:line="480" w:lineRule="exac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一标段：</w:t>
      </w:r>
    </w:p>
    <w:p w14:paraId="3B6331AE">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55C4D3B">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本项目非专门面向中小企业，执行促进中小企业发展等政府采购政策。</w:t>
      </w:r>
    </w:p>
    <w:p w14:paraId="54777E40">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56A2B1B">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3D3F345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建筑工程施工总承包叁级及以上资质或市政公用工程总承包叁级及以上资质</w:t>
      </w:r>
      <w:r>
        <w:rPr>
          <w:rFonts w:hint="eastAsia" w:ascii="宋体" w:hAnsi="宋体" w:cs="宋体"/>
          <w:kern w:val="0"/>
          <w:sz w:val="24"/>
          <w:szCs w:val="24"/>
          <w:highlight w:val="none"/>
        </w:rPr>
        <w:t>，且具有有效的安全生产许可证。</w:t>
      </w:r>
    </w:p>
    <w:p w14:paraId="4BA8DAE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并提供2024年9月1日以来任意连续三个月的社保缴费证明</w:t>
      </w:r>
      <w:r>
        <w:rPr>
          <w:rFonts w:hint="eastAsia" w:ascii="宋体" w:hAnsi="宋体" w:cs="宋体"/>
          <w:kern w:val="0"/>
          <w:sz w:val="24"/>
          <w:szCs w:val="24"/>
          <w:highlight w:val="none"/>
        </w:rPr>
        <w:t>。</w:t>
      </w:r>
    </w:p>
    <w:p w14:paraId="2959B6EE">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4响应人出具本企业无商业贿赂和不正当竞争行为承诺书，格式自拟。</w:t>
      </w:r>
    </w:p>
    <w:p w14:paraId="72B185E2">
      <w:pPr>
        <w:spacing w:line="480" w:lineRule="exact"/>
        <w:ind w:firstLine="480" w:firstLineChars="200"/>
        <w:jc w:val="left"/>
        <w:rPr>
          <w:rFonts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5F8063F6">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.6 本项目不接受联合体磋商。提供非联合体磋商承诺，格式自拟。</w:t>
      </w:r>
    </w:p>
    <w:p w14:paraId="14D4CE91">
      <w:pPr>
        <w:spacing w:line="480" w:lineRule="exact"/>
        <w:ind w:firstLine="480" w:firstLineChars="200"/>
        <w:rPr>
          <w:rFonts w:hint="eastAsia" w:ascii="宋体" w:hAnsi="宋体" w:cs="宋体"/>
          <w:kern w:val="0"/>
          <w:sz w:val="24"/>
          <w:szCs w:val="24"/>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5.3.7</w:t>
      </w:r>
      <w:r>
        <w:rPr>
          <w:rFonts w:hint="eastAsia" w:ascii="宋体" w:hAnsi="宋体" w:cs="宋体"/>
          <w:kern w:val="0"/>
          <w:sz w:val="24"/>
          <w:szCs w:val="24"/>
        </w:rPr>
        <w:t>本项目实行资格后审，资格审查的具体要求见竞争性磋商文件</w:t>
      </w:r>
      <w:r>
        <w:rPr>
          <w:rFonts w:hint="eastAsia" w:ascii="宋体" w:hAnsi="宋体" w:cs="宋体"/>
          <w:kern w:val="0"/>
          <w:sz w:val="24"/>
          <w:szCs w:val="24"/>
          <w:lang w:eastAsia="zh-CN"/>
        </w:rPr>
        <w:t>。</w:t>
      </w:r>
    </w:p>
    <w:p w14:paraId="7E8F7E5E">
      <w:pPr>
        <w:spacing w:line="480" w:lineRule="exac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二标段：</w:t>
      </w:r>
    </w:p>
    <w:p w14:paraId="31BF5BAF">
      <w:pPr>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3.5.1</w:t>
      </w:r>
      <w:r>
        <w:rPr>
          <w:rFonts w:ascii="宋体" w:hAnsi="宋体"/>
          <w:sz w:val="24"/>
          <w:szCs w:val="24"/>
          <w:highlight w:val="none"/>
        </w:rPr>
        <w:t>满足《中华人民共和国政府采购法》第二十二条规定；</w:t>
      </w:r>
    </w:p>
    <w:p w14:paraId="27DB9832">
      <w:pPr>
        <w:spacing w:line="480" w:lineRule="exact"/>
        <w:ind w:firstLine="480" w:firstLineChars="200"/>
        <w:rPr>
          <w:rFonts w:hint="eastAsia" w:ascii="宋体" w:hAnsi="宋体"/>
          <w:color w:val="auto"/>
          <w:sz w:val="24"/>
          <w:szCs w:val="24"/>
        </w:rPr>
      </w:pPr>
      <w:r>
        <w:rPr>
          <w:rFonts w:hint="eastAsia" w:ascii="宋体" w:hAnsi="宋体"/>
          <w:color w:val="auto"/>
          <w:sz w:val="24"/>
          <w:szCs w:val="24"/>
          <w:highlight w:val="none"/>
          <w:lang w:val="en-US" w:eastAsia="zh-CN"/>
        </w:rPr>
        <w:t>3.5.2</w:t>
      </w:r>
      <w:r>
        <w:rPr>
          <w:rFonts w:hint="eastAsia" w:ascii="宋体" w:hAnsi="宋体"/>
          <w:color w:val="auto"/>
          <w:sz w:val="24"/>
          <w:szCs w:val="24"/>
          <w:highlight w:val="none"/>
          <w:lang w:eastAsia="zh-CN"/>
        </w:rPr>
        <w:t>采购项目需要落实的政府采购政策：</w:t>
      </w:r>
      <w:r>
        <w:rPr>
          <w:rFonts w:hint="eastAsia" w:ascii="宋体" w:hAnsi="宋体"/>
          <w:color w:val="auto"/>
          <w:sz w:val="24"/>
          <w:szCs w:val="24"/>
        </w:rPr>
        <w:t>本项目非专门面向中小企业，执行促进中小企业发展等政府采购政策。</w:t>
      </w:r>
    </w:p>
    <w:p w14:paraId="7300ACB5">
      <w:pPr>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3.5.3</w:t>
      </w:r>
      <w:r>
        <w:rPr>
          <w:rFonts w:ascii="宋体" w:hAnsi="宋体"/>
          <w:sz w:val="24"/>
          <w:szCs w:val="24"/>
          <w:highlight w:val="none"/>
        </w:rPr>
        <w:t>本项目的特定资格要求</w:t>
      </w:r>
      <w:r>
        <w:rPr>
          <w:rFonts w:hint="eastAsia" w:ascii="宋体" w:hAnsi="宋体"/>
          <w:sz w:val="24"/>
          <w:szCs w:val="24"/>
          <w:highlight w:val="none"/>
        </w:rPr>
        <w:t>：</w:t>
      </w:r>
    </w:p>
    <w:p w14:paraId="74275B42">
      <w:pPr>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3.5.3.1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7E191885">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5.3.2</w:t>
      </w:r>
      <w:r>
        <w:rPr>
          <w:rFonts w:hint="eastAsia" w:ascii="宋体" w:hAnsi="宋体"/>
          <w:sz w:val="24"/>
          <w:szCs w:val="24"/>
          <w:highlight w:val="none"/>
        </w:rPr>
        <w:t>供应商参加本次采购活动前三年内，在经营活动中没有重大违法记录（提供承诺书，格式自拟）；</w:t>
      </w:r>
    </w:p>
    <w:p w14:paraId="704E02CD">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5.3.3</w:t>
      </w:r>
      <w:r>
        <w:rPr>
          <w:rFonts w:hint="eastAsia" w:ascii="宋体" w:hAnsi="宋体"/>
          <w:sz w:val="24"/>
          <w:szCs w:val="24"/>
          <w:highlight w:val="none"/>
          <w:lang w:eastAsia="zh-CN"/>
        </w:rPr>
        <w:t>供应商</w:t>
      </w:r>
      <w:r>
        <w:rPr>
          <w:rFonts w:hint="eastAsia" w:ascii="宋体" w:hAnsi="宋体"/>
          <w:sz w:val="24"/>
          <w:szCs w:val="24"/>
          <w:highlight w:val="none"/>
        </w:rPr>
        <w:t>人出具本企业无商业贿赂和不正当竞争行为承诺书，格式自拟；</w:t>
      </w:r>
    </w:p>
    <w:p w14:paraId="2BFA0736">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5.3.4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r>
        <w:rPr>
          <w:rFonts w:hint="eastAsia" w:ascii="宋体" w:hAnsi="宋体"/>
          <w:sz w:val="24"/>
          <w:szCs w:val="24"/>
          <w:highlight w:val="none"/>
        </w:rPr>
        <w:t>。</w:t>
      </w:r>
    </w:p>
    <w:p w14:paraId="5AF03AC8">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5.3.5</w:t>
      </w:r>
      <w:r>
        <w:rPr>
          <w:rFonts w:hint="eastAsia" w:ascii="宋体" w:hAnsi="宋体" w:cs="宋体"/>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r>
        <w:rPr>
          <w:rFonts w:hint="eastAsia" w:ascii="宋体" w:hAnsi="宋体" w:cs="宋体"/>
          <w:kern w:val="0"/>
          <w:sz w:val="24"/>
          <w:szCs w:val="24"/>
          <w:highlight w:val="none"/>
        </w:rPr>
        <w:t>。</w:t>
      </w:r>
    </w:p>
    <w:p w14:paraId="21F7FD76">
      <w:pPr>
        <w:spacing w:line="360" w:lineRule="auto"/>
        <w:ind w:firstLine="484" w:firstLineChars="202"/>
        <w:rPr>
          <w:rFonts w:ascii="宋体" w:hAnsi="宋体" w:eastAsia="宋体" w:cs="Times New Roman"/>
          <w:color w:val="auto"/>
          <w:sz w:val="22"/>
          <w:szCs w:val="24"/>
        </w:rPr>
      </w:pPr>
      <w:r>
        <w:rPr>
          <w:rFonts w:hint="eastAsia" w:ascii="宋体" w:hAnsi="宋体" w:cs="宋体"/>
          <w:kern w:val="0"/>
          <w:sz w:val="24"/>
          <w:szCs w:val="24"/>
          <w:highlight w:val="none"/>
          <w:lang w:eastAsia="zh-CN"/>
        </w:rPr>
        <w:t>3.</w:t>
      </w:r>
      <w:r>
        <w:rPr>
          <w:rFonts w:hint="eastAsia" w:ascii="宋体" w:hAnsi="宋体" w:cs="宋体"/>
          <w:kern w:val="0"/>
          <w:sz w:val="24"/>
          <w:szCs w:val="24"/>
          <w:highlight w:val="none"/>
          <w:lang w:val="en-US" w:eastAsia="zh-CN"/>
        </w:rPr>
        <w:t>5.3.6</w:t>
      </w:r>
      <w:r>
        <w:rPr>
          <w:rFonts w:hint="eastAsia" w:ascii="宋体" w:hAnsi="宋体" w:cs="宋体"/>
          <w:kern w:val="0"/>
          <w:sz w:val="24"/>
          <w:szCs w:val="24"/>
          <w:highlight w:val="none"/>
          <w:lang w:eastAsia="zh-CN"/>
        </w:rPr>
        <w:t xml:space="preserve"> 本项目不允许联合体磋商，实行资格后审（提供非联合体声明函）；</w:t>
      </w:r>
      <w:r>
        <w:rPr>
          <w:rFonts w:hint="eastAsia" w:ascii="宋体" w:hAnsi="宋体" w:eastAsia="宋体" w:cs="Times New Roman"/>
          <w:color w:val="auto"/>
          <w:sz w:val="22"/>
          <w:szCs w:val="24"/>
        </w:rPr>
        <w:t xml:space="preserve"> </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六</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章“响应文件格式”进行编写，如有必要，可以增加附页，作为响应文件的组成部分。其中，磋商函附录在满足磋商文件实质性要求的基础上，可以提出比磋商文件要求更有利于招标人的承诺。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响应文件应当对磋商文件有关工期要求、磋商有效期、质量要求、磋商范围等实质性内容作出响应。</w:t>
      </w:r>
    </w:p>
    <w:p w14:paraId="13E3221D">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3.7 响应文件的签署</w:t>
      </w:r>
    </w:p>
    <w:p w14:paraId="174AD6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3.7.1电子响应文件必须上传电子评标系统</w:t>
      </w:r>
      <w:r>
        <w:rPr>
          <w:rFonts w:hint="eastAsia" w:ascii="宋体" w:hAnsi="宋体" w:cs="宋体"/>
          <w:b/>
          <w:bCs/>
          <w:sz w:val="24"/>
          <w:szCs w:val="24"/>
          <w:highlight w:val="none"/>
        </w:rPr>
        <w:t>。</w:t>
      </w:r>
    </w:p>
    <w:p w14:paraId="00FE9DD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3.7.2电子响应文件由响应人的法定代表人签字或盖章。</w:t>
      </w:r>
      <w:bookmarkStart w:id="27" w:name="_Toc184635074"/>
      <w:bookmarkEnd w:id="27"/>
    </w:p>
    <w:p w14:paraId="1EE7B8DD">
      <w:pPr>
        <w:numPr>
          <w:ilvl w:val="0"/>
          <w:numId w:val="3"/>
        </w:numPr>
        <w:spacing w:line="520" w:lineRule="exact"/>
        <w:ind w:left="0" w:leftChars="0" w:firstLine="482" w:firstLineChars="200"/>
        <w:outlineLvl w:val="0"/>
        <w:rPr>
          <w:rFonts w:hint="eastAsia" w:ascii="宋体" w:hAnsi="宋体" w:cs="宋体"/>
          <w:b/>
          <w:bCs/>
          <w:kern w:val="28"/>
          <w:sz w:val="24"/>
          <w:szCs w:val="24"/>
          <w:highlight w:val="none"/>
        </w:rPr>
      </w:pPr>
      <w:bookmarkStart w:id="28" w:name="_Toc6369"/>
      <w:r>
        <w:rPr>
          <w:rFonts w:hint="eastAsia" w:ascii="宋体" w:hAnsi="宋体" w:cs="宋体"/>
          <w:b/>
          <w:bCs/>
          <w:kern w:val="28"/>
          <w:sz w:val="24"/>
          <w:szCs w:val="24"/>
          <w:highlight w:val="none"/>
        </w:rPr>
        <w:t>磋商</w:t>
      </w:r>
      <w:bookmarkEnd w:id="28"/>
    </w:p>
    <w:p w14:paraId="47467304">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4.1电子响应文件的递交</w:t>
      </w:r>
    </w:p>
    <w:p w14:paraId="66426A0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4.1.1响应人应在规定的磋商截止时间前递交响应文件。</w:t>
      </w:r>
    </w:p>
    <w:p w14:paraId="6CA6E31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4.1.2响应人递交响应文件的地点：见响应人须知前附表。</w:t>
      </w:r>
      <w:bookmarkStart w:id="29" w:name="_Toc466566696"/>
      <w:bookmarkEnd w:id="29"/>
      <w:bookmarkStart w:id="30" w:name="_Toc466566785"/>
      <w:bookmarkEnd w:id="30"/>
      <w:bookmarkStart w:id="31" w:name="_Toc184635075"/>
    </w:p>
    <w:p w14:paraId="1E77EFF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4.1.3 逾期送达或者未送达指定地点的响应文件，招标人不予受理。</w:t>
      </w:r>
      <w:bookmarkEnd w:id="31"/>
    </w:p>
    <w:p w14:paraId="46192F0A">
      <w:pPr>
        <w:spacing w:line="520" w:lineRule="exact"/>
        <w:ind w:firstLine="482" w:firstLineChars="200"/>
        <w:outlineLvl w:val="0"/>
        <w:rPr>
          <w:rFonts w:hint="eastAsia" w:ascii="宋体" w:hAnsi="宋体" w:cs="宋体"/>
          <w:b/>
          <w:bCs/>
          <w:sz w:val="24"/>
          <w:szCs w:val="24"/>
          <w:highlight w:val="none"/>
        </w:rPr>
      </w:pPr>
      <w:bookmarkStart w:id="32" w:name="_Toc31398"/>
      <w:r>
        <w:rPr>
          <w:rFonts w:hint="eastAsia" w:ascii="宋体" w:hAnsi="宋体" w:cs="宋体"/>
          <w:b/>
          <w:bCs/>
          <w:sz w:val="24"/>
          <w:szCs w:val="24"/>
          <w:highlight w:val="none"/>
        </w:rPr>
        <w:t>5．磋商</w:t>
      </w:r>
      <w:bookmarkEnd w:id="32"/>
    </w:p>
    <w:p w14:paraId="448264A7">
      <w:pPr>
        <w:spacing w:line="52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5.1 磋商时间和地点</w:t>
      </w:r>
    </w:p>
    <w:p w14:paraId="2DC68F0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招标人在本磋商文件规定的响应文件递交截止时间（磋商时间）和地点竞争性磋商。</w:t>
      </w:r>
    </w:p>
    <w:p w14:paraId="0BA4D356">
      <w:pPr>
        <w:spacing w:line="520" w:lineRule="exact"/>
        <w:ind w:firstLine="482" w:firstLineChars="200"/>
        <w:outlineLvl w:val="1"/>
        <w:rPr>
          <w:rFonts w:hint="eastAsia" w:ascii="宋体" w:hAnsi="宋体" w:cs="宋体"/>
          <w:sz w:val="24"/>
          <w:szCs w:val="24"/>
          <w:highlight w:val="none"/>
        </w:rPr>
      </w:pPr>
      <w:r>
        <w:rPr>
          <w:rFonts w:hint="eastAsia" w:ascii="宋体" w:hAnsi="宋体" w:cs="宋体"/>
          <w:b/>
          <w:bCs/>
          <w:sz w:val="24"/>
          <w:szCs w:val="24"/>
          <w:highlight w:val="none"/>
        </w:rPr>
        <w:t>5.2  磋商程序</w:t>
      </w:r>
    </w:p>
    <w:p w14:paraId="103399A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5.2.1招标人按须知前附表规定的时间和地点磋商；</w:t>
      </w:r>
    </w:p>
    <w:p w14:paraId="19355113">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5.2.2本项目采用</w:t>
      </w:r>
      <w:r>
        <w:rPr>
          <w:rFonts w:hint="eastAsia" w:ascii="宋体" w:hAnsi="宋体" w:cs="宋体"/>
          <w:b/>
          <w:bCs/>
          <w:sz w:val="24"/>
          <w:szCs w:val="24"/>
          <w:highlight w:val="none"/>
        </w:rPr>
        <w:t>电子化、无纸化</w:t>
      </w:r>
      <w:r>
        <w:rPr>
          <w:rFonts w:hint="eastAsia" w:ascii="宋体" w:hAnsi="宋体" w:cs="宋体"/>
          <w:sz w:val="24"/>
          <w:szCs w:val="24"/>
          <w:highlight w:val="none"/>
        </w:rPr>
        <w:t>进行磋商；</w:t>
      </w:r>
    </w:p>
    <w:p w14:paraId="321FC25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5.2.3响应文件有下列情况之一的,招标人将不予接收：</w:t>
      </w:r>
    </w:p>
    <w:p w14:paraId="5F0D56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5.2.3.1响应文件递交截止时间后上传的；</w:t>
      </w:r>
    </w:p>
    <w:p w14:paraId="4712749D">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5.2.4按照响应文件上传顺序进行解密；</w:t>
      </w:r>
    </w:p>
    <w:p w14:paraId="5DB74EEE">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5.2.5经确认无误后，按照报送时间顺序确定磋商顺序；</w:t>
      </w:r>
    </w:p>
    <w:p w14:paraId="23CB6EB4">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5.2.6磋商时响应人可登录到交易系统中在磋商解密栏中点击磋商一览表查看自己的磋商报价。如对磋商过程有异议的，应在响应人解密成功后20分钟内向中介服务机构电话质疑。</w:t>
      </w:r>
    </w:p>
    <w:p w14:paraId="340538FE">
      <w:pPr>
        <w:spacing w:line="520" w:lineRule="exact"/>
        <w:ind w:firstLine="482" w:firstLineChars="200"/>
        <w:outlineLvl w:val="0"/>
        <w:rPr>
          <w:rFonts w:hint="eastAsia" w:ascii="宋体" w:hAnsi="宋体" w:cs="宋体"/>
          <w:b/>
          <w:bCs/>
          <w:kern w:val="28"/>
          <w:sz w:val="24"/>
          <w:szCs w:val="24"/>
          <w:highlight w:val="none"/>
        </w:rPr>
      </w:pPr>
      <w:bookmarkStart w:id="33" w:name="_Toc5765"/>
      <w:r>
        <w:rPr>
          <w:rFonts w:hint="eastAsia" w:ascii="宋体" w:hAnsi="宋体" w:cs="宋体"/>
          <w:b/>
          <w:bCs/>
          <w:kern w:val="28"/>
          <w:sz w:val="24"/>
          <w:szCs w:val="24"/>
          <w:highlight w:val="none"/>
        </w:rPr>
        <w:t>6. 磋商细则</w:t>
      </w:r>
      <w:bookmarkEnd w:id="33"/>
    </w:p>
    <w:p w14:paraId="7B39C05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6.1招标人按照上传响应文件时间的顺序，决定磋商顺序；</w:t>
      </w:r>
    </w:p>
    <w:p w14:paraId="484BB89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1BB149D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6.3本次磋商中，响应文件中的磋商报价为第一次报价。</w:t>
      </w:r>
    </w:p>
    <w:p w14:paraId="3A5CD79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6.4响应人可以在磋商小组规定的时间内进行第二次报价，通过交易中心系统以电子形式递交，第二次报价为最终报价。</w:t>
      </w:r>
    </w:p>
    <w:p w14:paraId="560E6C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6.5本项目采用综合评分法，磋商小组成员综合评审各响应人提交的响应文件，按总得分由高到低的顺序推荐3名成交候选人，并编写评审报告。</w:t>
      </w:r>
    </w:p>
    <w:p w14:paraId="0DAA1555">
      <w:pPr>
        <w:spacing w:line="520" w:lineRule="exact"/>
        <w:ind w:firstLine="482" w:firstLineChars="200"/>
        <w:outlineLvl w:val="0"/>
        <w:rPr>
          <w:rFonts w:hint="eastAsia" w:ascii="宋体" w:hAnsi="宋体" w:cs="宋体"/>
          <w:b/>
          <w:bCs/>
          <w:sz w:val="24"/>
          <w:szCs w:val="24"/>
          <w:highlight w:val="none"/>
        </w:rPr>
      </w:pPr>
      <w:bookmarkStart w:id="34" w:name="_Toc19533"/>
      <w:r>
        <w:rPr>
          <w:rFonts w:hint="eastAsia" w:ascii="宋体" w:hAnsi="宋体" w:cs="宋体"/>
          <w:b/>
          <w:bCs/>
          <w:sz w:val="24"/>
          <w:szCs w:val="24"/>
          <w:highlight w:val="none"/>
        </w:rPr>
        <w:t>7、磋商</w:t>
      </w:r>
      <w:bookmarkEnd w:id="34"/>
    </w:p>
    <w:p w14:paraId="32471FC1">
      <w:pPr>
        <w:widowControl/>
        <w:spacing w:line="520" w:lineRule="exact"/>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7</w:t>
      </w:r>
      <w:r>
        <w:rPr>
          <w:rFonts w:hint="eastAsia" w:ascii="宋体" w:hAnsi="宋体" w:cs="宋体"/>
          <w:sz w:val="24"/>
          <w:szCs w:val="24"/>
          <w:highlight w:val="none"/>
        </w:rPr>
        <w:t>.1磋商小组由招标人依法组建，负责磋商。根据《政府采购竞争性磋商采购方式管理办法》的规定，磋商小组应当履行以下义务：</w:t>
      </w:r>
    </w:p>
    <w:p w14:paraId="56C30E10">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（一）遵纪守法，客观、公正、廉洁地履行职责；</w:t>
      </w:r>
    </w:p>
    <w:p w14:paraId="0D07AC58">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（二）根据竞争性磋商文件的规定独立进行评审，对个人的评审意见承担法律责任；</w:t>
      </w:r>
    </w:p>
    <w:p w14:paraId="4793E521">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（三）参与磋商报告的起草；</w:t>
      </w:r>
    </w:p>
    <w:p w14:paraId="0290A9FA">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（四）配合招标人、采购代理机构答复响应标人提出的质疑；</w:t>
      </w:r>
    </w:p>
    <w:p w14:paraId="0330DC4D">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（五）配合财政部门的投诉处理和监督检查工作。</w:t>
      </w:r>
    </w:p>
    <w:p w14:paraId="6754F4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7.2磋商小组由有关技术、经济方面的专家组成。磋商小组人数及技术、经济专家的确定方式见响应标人须知前附表。</w:t>
      </w:r>
    </w:p>
    <w:p w14:paraId="381C569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 磋商原则</w:t>
      </w:r>
    </w:p>
    <w:p w14:paraId="60CC76D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7.3.1严格按照竞争性磋商文件中的所有相关规定；按照“公平、公正、科学”的原则进行磋商。</w:t>
      </w:r>
    </w:p>
    <w:p w14:paraId="2AEA7BE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7.3.2反对不正当竞争。</w:t>
      </w:r>
    </w:p>
    <w:p w14:paraId="47F408A5">
      <w:pPr>
        <w:spacing w:line="520" w:lineRule="exact"/>
        <w:ind w:firstLine="482" w:firstLineChars="200"/>
        <w:outlineLvl w:val="0"/>
        <w:rPr>
          <w:rFonts w:hint="eastAsia" w:ascii="宋体" w:hAnsi="宋体" w:cs="宋体"/>
          <w:b/>
          <w:bCs/>
          <w:sz w:val="24"/>
          <w:szCs w:val="24"/>
          <w:highlight w:val="none"/>
        </w:rPr>
      </w:pPr>
      <w:bookmarkStart w:id="35" w:name="_Toc26617"/>
      <w:r>
        <w:rPr>
          <w:rFonts w:hint="eastAsia" w:ascii="宋体" w:hAnsi="宋体" w:cs="宋体"/>
          <w:b/>
          <w:bCs/>
          <w:sz w:val="24"/>
          <w:szCs w:val="24"/>
          <w:highlight w:val="none"/>
        </w:rPr>
        <w:t>8、磋商过程的保密</w:t>
      </w:r>
      <w:bookmarkEnd w:id="35"/>
    </w:p>
    <w:p w14:paraId="6E9BC75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8.1响应文件的审查、澄清、评价和比较的有关资料以及成交候选人的推荐情况，与磋商有关的其他任何情况均应严格保密。</w:t>
      </w:r>
    </w:p>
    <w:p w14:paraId="50BB221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8.2在响应文件的评审和比较、成交候选人推荐以及授予合同的过程中，响应人向招标人和磋商小组施加影响的任何行为，都将会导致其磋商被拒绝。</w:t>
      </w:r>
    </w:p>
    <w:p w14:paraId="1047AE7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8.3招标人不对未成交人就磋商过程以及未能成交原因作出任何解释。未成交人不得向磋商小组成员和其他有关人员索问磋商过程的情况和资料。</w:t>
      </w:r>
    </w:p>
    <w:p w14:paraId="2D515AF5">
      <w:pPr>
        <w:spacing w:line="520" w:lineRule="exact"/>
        <w:ind w:firstLine="482" w:firstLineChars="200"/>
        <w:outlineLvl w:val="0"/>
        <w:rPr>
          <w:rFonts w:hint="eastAsia" w:ascii="宋体" w:hAnsi="宋体" w:cs="宋体"/>
          <w:b/>
          <w:bCs/>
          <w:sz w:val="24"/>
          <w:szCs w:val="24"/>
          <w:highlight w:val="none"/>
        </w:rPr>
      </w:pPr>
      <w:bookmarkStart w:id="36" w:name="_Toc4701"/>
      <w:r>
        <w:rPr>
          <w:rFonts w:hint="eastAsia" w:ascii="宋体" w:hAnsi="宋体" w:cs="宋体"/>
          <w:b/>
          <w:bCs/>
          <w:sz w:val="24"/>
          <w:szCs w:val="24"/>
          <w:highlight w:val="none"/>
        </w:rPr>
        <w:t>9、响应文件的澄清</w:t>
      </w:r>
      <w:bookmarkEnd w:id="36"/>
    </w:p>
    <w:p w14:paraId="39BA91B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2DB44E2F">
      <w:pPr>
        <w:spacing w:line="520" w:lineRule="exact"/>
        <w:ind w:firstLine="482" w:firstLineChars="200"/>
        <w:outlineLvl w:val="0"/>
        <w:rPr>
          <w:rFonts w:hint="eastAsia" w:ascii="宋体" w:hAnsi="宋体" w:cs="宋体"/>
          <w:b/>
          <w:bCs/>
          <w:sz w:val="24"/>
          <w:szCs w:val="24"/>
          <w:highlight w:val="none"/>
        </w:rPr>
      </w:pPr>
      <w:bookmarkStart w:id="37" w:name="_Toc15784"/>
      <w:r>
        <w:rPr>
          <w:rFonts w:hint="eastAsia" w:ascii="宋体" w:hAnsi="宋体" w:cs="宋体"/>
          <w:b/>
          <w:bCs/>
          <w:sz w:val="24"/>
          <w:szCs w:val="24"/>
          <w:highlight w:val="none"/>
        </w:rPr>
        <w:t>10、响应文件的初步评审</w:t>
      </w:r>
      <w:bookmarkEnd w:id="37"/>
    </w:p>
    <w:p w14:paraId="0DEC8FE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10.1根据初步评审要求经审查有效的响应文件，才能提交磋商小组进行评审。</w:t>
      </w:r>
    </w:p>
    <w:p w14:paraId="6A43BFF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14:paraId="6308D5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10.3如果响应文件实质上不响应竞争性磋商文件的要求，招标人将予以拒绝，并且不允许响应人通过修改或撤消其不符合要求的差异或保留，使之成为具有响应性的磋商。</w:t>
      </w:r>
    </w:p>
    <w:p w14:paraId="358ECC5E">
      <w:pPr>
        <w:spacing w:line="520" w:lineRule="exact"/>
        <w:ind w:firstLine="482" w:firstLineChars="200"/>
        <w:outlineLvl w:val="0"/>
        <w:rPr>
          <w:rFonts w:hint="eastAsia" w:ascii="宋体" w:hAnsi="宋体" w:cs="宋体"/>
          <w:b/>
          <w:bCs/>
          <w:sz w:val="24"/>
          <w:szCs w:val="24"/>
          <w:highlight w:val="none"/>
        </w:rPr>
      </w:pPr>
      <w:bookmarkStart w:id="38" w:name="_Toc5206"/>
      <w:r>
        <w:rPr>
          <w:rFonts w:hint="eastAsia" w:ascii="宋体" w:hAnsi="宋体" w:cs="宋体"/>
          <w:b/>
          <w:bCs/>
          <w:sz w:val="24"/>
          <w:szCs w:val="24"/>
          <w:highlight w:val="none"/>
        </w:rPr>
        <w:t>11.响应文件计算错误的修正</w:t>
      </w:r>
      <w:bookmarkEnd w:id="38"/>
    </w:p>
    <w:p w14:paraId="481DFC5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11.1磋商小组将对确定为实质上响应竞争性磋商文件要求的响应文件进行校核，看其是否有计算或表达上的错误，修正错误的原则如下：</w:t>
      </w:r>
    </w:p>
    <w:p w14:paraId="59B2B5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11.1.1如果数字表示的金额和用文字表示的金额不一致时，应以文字表示的金额为准；</w:t>
      </w:r>
    </w:p>
    <w:p w14:paraId="1569EA3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11.1.2当单价与数量的乘积与合价不一致时，以单价为准，除非磋商小组认为单价有明显的小数点错误，此时应以标出的合价为准，并修改单价。</w:t>
      </w:r>
    </w:p>
    <w:p w14:paraId="5BCEF58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390FAD36">
      <w:pPr>
        <w:spacing w:line="520" w:lineRule="exact"/>
        <w:ind w:firstLine="482" w:firstLineChars="200"/>
        <w:outlineLvl w:val="0"/>
        <w:rPr>
          <w:rFonts w:hint="eastAsia" w:ascii="宋体" w:hAnsi="宋体" w:cs="宋体"/>
          <w:b/>
          <w:bCs/>
          <w:sz w:val="24"/>
          <w:szCs w:val="24"/>
          <w:highlight w:val="none"/>
        </w:rPr>
      </w:pPr>
      <w:bookmarkStart w:id="39" w:name="_Toc16075"/>
      <w:r>
        <w:rPr>
          <w:rFonts w:hint="eastAsia" w:ascii="宋体" w:hAnsi="宋体" w:cs="宋体"/>
          <w:b/>
          <w:bCs/>
          <w:sz w:val="24"/>
          <w:szCs w:val="24"/>
          <w:highlight w:val="none"/>
        </w:rPr>
        <w:t>12. 响应文件的评审、比较和否决</w:t>
      </w:r>
      <w:bookmarkEnd w:id="39"/>
    </w:p>
    <w:p w14:paraId="486FE1C0">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12.1磋商小组仅对在实质上响应竞争性磋商文件要求的响应文件进行评估和比较。</w:t>
      </w:r>
    </w:p>
    <w:p w14:paraId="060F913C">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4448AC8D">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12.3在首轮磋商的基础上，磋商小组讨论、分析、综合各种因素后，决定是否与各方再次进行磋商。 </w:t>
      </w:r>
    </w:p>
    <w:p w14:paraId="6A32F57E">
      <w:pPr>
        <w:spacing w:line="520" w:lineRule="exact"/>
        <w:ind w:firstLine="482" w:firstLineChars="200"/>
        <w:outlineLvl w:val="0"/>
        <w:rPr>
          <w:rFonts w:hint="eastAsia" w:ascii="宋体" w:hAnsi="宋体" w:cs="宋体"/>
          <w:b/>
          <w:bCs/>
          <w:sz w:val="24"/>
          <w:szCs w:val="24"/>
          <w:highlight w:val="none"/>
        </w:rPr>
      </w:pPr>
      <w:bookmarkStart w:id="40" w:name="_Toc19294"/>
      <w:r>
        <w:rPr>
          <w:rFonts w:hint="eastAsia" w:ascii="宋体" w:hAnsi="宋体" w:cs="宋体"/>
          <w:b/>
          <w:bCs/>
          <w:sz w:val="24"/>
          <w:szCs w:val="24"/>
          <w:highlight w:val="none"/>
        </w:rPr>
        <w:t>13、定标</w:t>
      </w:r>
      <w:bookmarkEnd w:id="40"/>
    </w:p>
    <w:p w14:paraId="7A4723E2">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磋商小组成员综合评审各响应人提交的响应文件，按总得分由高到低的顺序推荐3名成交候选人。</w:t>
      </w:r>
    </w:p>
    <w:p w14:paraId="22E8DBB0">
      <w:pPr>
        <w:spacing w:line="520" w:lineRule="exact"/>
        <w:ind w:firstLine="482" w:firstLineChars="200"/>
        <w:outlineLvl w:val="0"/>
        <w:rPr>
          <w:rFonts w:hint="eastAsia" w:ascii="宋体" w:hAnsi="宋体" w:cs="宋体"/>
          <w:b/>
          <w:bCs/>
          <w:sz w:val="24"/>
          <w:szCs w:val="24"/>
          <w:highlight w:val="none"/>
        </w:rPr>
      </w:pPr>
      <w:bookmarkStart w:id="41" w:name="_Toc31613"/>
      <w:r>
        <w:rPr>
          <w:rFonts w:hint="eastAsia" w:ascii="宋体" w:hAnsi="宋体" w:cs="宋体"/>
          <w:b/>
          <w:bCs/>
          <w:sz w:val="24"/>
          <w:szCs w:val="24"/>
          <w:highlight w:val="none"/>
        </w:rPr>
        <w:t>14、合同的授予</w:t>
      </w:r>
      <w:bookmarkEnd w:id="41"/>
    </w:p>
    <w:p w14:paraId="2C5DD358">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14.1合同授予标准</w:t>
      </w:r>
    </w:p>
    <w:p w14:paraId="6DD51C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本磋商项目的合同将授予按本须知办法确定的成交人。</w:t>
      </w:r>
    </w:p>
    <w:p w14:paraId="36EBF2D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15.成交通知书</w:t>
      </w:r>
    </w:p>
    <w:p w14:paraId="538379C6">
      <w:pPr>
        <w:spacing w:line="520" w:lineRule="exact"/>
        <w:ind w:firstLine="480" w:firstLineChars="200"/>
        <w:outlineLvl w:val="0"/>
        <w:rPr>
          <w:rFonts w:hint="eastAsia" w:ascii="宋体" w:hAnsi="宋体" w:cs="宋体"/>
          <w:sz w:val="24"/>
          <w:szCs w:val="24"/>
          <w:highlight w:val="none"/>
        </w:rPr>
      </w:pPr>
      <w:bookmarkStart w:id="42" w:name="_Toc15498"/>
      <w:r>
        <w:rPr>
          <w:rFonts w:hint="eastAsia" w:ascii="宋体" w:hAnsi="宋体" w:cs="宋体"/>
          <w:sz w:val="24"/>
          <w:szCs w:val="24"/>
          <w:highlight w:val="none"/>
        </w:rPr>
        <w:t>15.l成交人确定后，招标人将向成交人发出成交通知书。</w:t>
      </w:r>
      <w:bookmarkEnd w:id="42"/>
    </w:p>
    <w:p w14:paraId="2365834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15.2成交通知书是合同的组成部分。</w:t>
      </w:r>
    </w:p>
    <w:p w14:paraId="78CA74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15.3招标人将在发出成交通知书的同时，将成交结果通知所有未成交的响应人。</w:t>
      </w:r>
    </w:p>
    <w:p w14:paraId="33652D69">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16、合同协议书的签订</w:t>
      </w:r>
    </w:p>
    <w:p w14:paraId="3E2AF09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16.l招标人与成交人将于成交通知书发出之日起30日内，按照竞争性磋商文件和成交人的响应文件签订合同。</w:t>
      </w:r>
    </w:p>
    <w:p w14:paraId="20BC0B64">
      <w:pPr>
        <w:spacing w:line="520" w:lineRule="exact"/>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16.2</w:t>
      </w:r>
      <w:r>
        <w:rPr>
          <w:rFonts w:hint="eastAsia" w:ascii="宋体" w:hAnsi="宋体" w:cs="宋体"/>
          <w:spacing w:val="-3"/>
          <w:sz w:val="24"/>
          <w:szCs w:val="24"/>
          <w:highlight w:val="none"/>
        </w:rPr>
        <w:t>成交人无正当理由拒签合同的</w:t>
      </w:r>
      <w:r>
        <w:rPr>
          <w:rFonts w:hint="eastAsia" w:ascii="宋体" w:hAnsi="宋体" w:cs="宋体"/>
          <w:sz w:val="24"/>
          <w:szCs w:val="24"/>
          <w:highlight w:val="none"/>
        </w:rPr>
        <w:t>，则招标人将废除授标，同时依法承担相应的法律责任。</w:t>
      </w:r>
    </w:p>
    <w:p w14:paraId="3823B978">
      <w:pPr>
        <w:pStyle w:val="2"/>
        <w:bidi w:val="0"/>
        <w:jc w:val="center"/>
        <w:rPr>
          <w:rFonts w:hint="eastAsia"/>
        </w:rPr>
      </w:pPr>
      <w:r>
        <w:rPr>
          <w:rFonts w:ascii="宋体" w:hAnsi="宋体" w:cs="宋体"/>
          <w:szCs w:val="24"/>
          <w:highlight w:val="none"/>
        </w:rPr>
        <w:br w:type="page"/>
      </w:r>
      <w:r>
        <w:t xml:space="preserve"> </w:t>
      </w:r>
      <w:bookmarkStart w:id="43" w:name="_Toc19546"/>
      <w:bookmarkStart w:id="44" w:name="_Toc16114"/>
      <w:r>
        <w:rPr>
          <w:rFonts w:hint="eastAsia"/>
        </w:rPr>
        <w:t xml:space="preserve">第三章 </w:t>
      </w:r>
      <w:r>
        <w:t xml:space="preserve"> </w:t>
      </w:r>
      <w:r>
        <w:rPr>
          <w:rFonts w:hint="eastAsia"/>
        </w:rPr>
        <w:t>磋商办法</w:t>
      </w:r>
      <w:bookmarkEnd w:id="43"/>
      <w:bookmarkEnd w:id="44"/>
    </w:p>
    <w:p w14:paraId="3BFD0B4B">
      <w:pPr>
        <w:numPr>
          <w:ilvl w:val="0"/>
          <w:numId w:val="4"/>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45" w:name="_Toc179632619"/>
      <w:bookmarkEnd w:id="45"/>
      <w:bookmarkStart w:id="46" w:name="_Toc19618"/>
      <w:bookmarkEnd w:id="46"/>
      <w:bookmarkStart w:id="47" w:name="_Toc28030"/>
      <w:bookmarkEnd w:id="47"/>
      <w:bookmarkStart w:id="48" w:name="_Toc29880"/>
      <w:r>
        <w:rPr>
          <w:rFonts w:hint="eastAsia" w:ascii="宋体" w:hAnsi="宋体" w:cs="宋体"/>
          <w:b/>
          <w:sz w:val="24"/>
          <w:szCs w:val="24"/>
          <w:highlight w:val="none"/>
        </w:rPr>
        <w:t>若有效响应人少于3家，磋商小组认为有效响应人具备竞争性的可继续进行评审。</w:t>
      </w:r>
    </w:p>
    <w:p w14:paraId="513D6503">
      <w:pPr>
        <w:spacing w:line="520" w:lineRule="exact"/>
        <w:ind w:firstLine="482" w:firstLineChars="200"/>
        <w:outlineLvl w:val="0"/>
        <w:rPr>
          <w:rFonts w:hint="eastAsia" w:ascii="宋体" w:hAnsi="宋体" w:cs="宋体"/>
          <w:b/>
          <w:bCs/>
          <w:sz w:val="24"/>
          <w:szCs w:val="24"/>
          <w:highlight w:val="none"/>
        </w:rPr>
      </w:pPr>
      <w:bookmarkStart w:id="49" w:name="_Toc3698"/>
      <w:r>
        <w:rPr>
          <w:rFonts w:hint="eastAsia" w:ascii="宋体" w:hAnsi="宋体" w:cs="宋体"/>
          <w:b/>
          <w:bCs/>
          <w:sz w:val="24"/>
          <w:szCs w:val="24"/>
          <w:highlight w:val="none"/>
        </w:rPr>
        <w:t>2. 评审标准</w:t>
      </w:r>
      <w:bookmarkEnd w:id="48"/>
      <w:bookmarkEnd w:id="49"/>
    </w:p>
    <w:p w14:paraId="4EC88F1F">
      <w:pPr>
        <w:spacing w:line="520" w:lineRule="exact"/>
        <w:ind w:firstLine="420" w:firstLineChars="175"/>
        <w:outlineLvl w:val="1"/>
        <w:rPr>
          <w:rFonts w:hint="eastAsia" w:ascii="宋体" w:hAnsi="宋体" w:cs="宋体"/>
          <w:sz w:val="24"/>
          <w:szCs w:val="24"/>
          <w:highlight w:val="none"/>
        </w:rPr>
      </w:pPr>
      <w:bookmarkStart w:id="50" w:name="_Toc179632620"/>
      <w:bookmarkEnd w:id="50"/>
      <w:bookmarkStart w:id="51" w:name="_Toc12931"/>
      <w:bookmarkEnd w:id="51"/>
      <w:bookmarkStart w:id="52" w:name="_Toc23196"/>
      <w:bookmarkEnd w:id="52"/>
      <w:bookmarkStart w:id="53" w:name="_Toc31847"/>
      <w:bookmarkEnd w:id="53"/>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 xml:space="preserve">2.1.1 </w:t>
      </w:r>
      <w:r>
        <w:rPr>
          <w:rFonts w:hint="eastAsia" w:ascii="宋体" w:hAnsi="宋体" w:cs="宋体"/>
          <w:sz w:val="24"/>
          <w:szCs w:val="24"/>
          <w:highlight w:val="none"/>
          <w:lang w:eastAsia="zh-CN"/>
        </w:rPr>
        <w:t>符合性评审标准</w:t>
      </w:r>
      <w:r>
        <w:rPr>
          <w:rFonts w:hint="eastAsia" w:ascii="宋体" w:hAnsi="宋体" w:cs="宋体"/>
          <w:sz w:val="24"/>
          <w:szCs w:val="24"/>
          <w:highlight w:val="none"/>
        </w:rPr>
        <w:t>：见磋商办法前附表。</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val="en-US" w:eastAsia="zh-CN"/>
        </w:rPr>
        <w:t>性</w:t>
      </w:r>
      <w:r>
        <w:rPr>
          <w:rFonts w:hint="eastAsia" w:ascii="宋体" w:hAnsi="宋体" w:cs="宋体"/>
          <w:sz w:val="24"/>
          <w:szCs w:val="24"/>
          <w:highlight w:val="none"/>
        </w:rPr>
        <w:t>评审标准：见磋商办法前附表。</w:t>
      </w:r>
    </w:p>
    <w:p w14:paraId="3A5B2537">
      <w:pPr>
        <w:spacing w:line="520" w:lineRule="exact"/>
        <w:ind w:firstLine="420" w:firstLineChars="175"/>
        <w:rPr>
          <w:rFonts w:hint="eastAsia" w:ascii="宋体" w:hAnsi="宋体" w:cs="宋体"/>
          <w:sz w:val="24"/>
          <w:szCs w:val="24"/>
          <w:highlight w:val="none"/>
        </w:rPr>
      </w:pPr>
      <w:bookmarkStart w:id="54" w:name="_Toc16603"/>
      <w:bookmarkEnd w:id="54"/>
      <w:bookmarkStart w:id="55" w:name="_Toc607"/>
      <w:bookmarkEnd w:id="55"/>
      <w:bookmarkStart w:id="56" w:name="_Toc11804"/>
      <w:bookmarkEnd w:id="56"/>
      <w:bookmarkStart w:id="57" w:name="_Toc179632621"/>
      <w:bookmarkEnd w:id="57"/>
      <w:r>
        <w:rPr>
          <w:rFonts w:hint="eastAsia" w:ascii="宋体" w:hAnsi="宋体" w:cs="宋体"/>
          <w:sz w:val="24"/>
          <w:szCs w:val="24"/>
          <w:highlight w:val="none"/>
        </w:rPr>
        <w:t>2.1.3 响应性评审标准：见磋商办法前附表。</w:t>
      </w:r>
    </w:p>
    <w:p w14:paraId="1E8F99F9">
      <w:pPr>
        <w:spacing w:line="520" w:lineRule="exact"/>
        <w:ind w:firstLine="420" w:firstLineChars="175"/>
        <w:outlineLvl w:val="1"/>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45622C34">
      <w:pPr>
        <w:spacing w:line="52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sz w:val="24"/>
          <w:szCs w:val="24"/>
          <w:highlight w:val="none"/>
        </w:rPr>
        <w:t>2.2.1 分值构成</w:t>
      </w:r>
      <w:r>
        <w:rPr>
          <w:rFonts w:hint="eastAsia" w:ascii="宋体" w:hAnsi="宋体" w:cs="宋体"/>
          <w:sz w:val="24"/>
          <w:szCs w:val="24"/>
          <w:highlight w:val="none"/>
          <w:lang w:eastAsia="zh-CN"/>
        </w:rPr>
        <w:t>：</w:t>
      </w:r>
      <w:r>
        <w:rPr>
          <w:rFonts w:hint="eastAsia" w:ascii="宋体" w:hAnsi="宋体" w:cs="宋体"/>
          <w:sz w:val="24"/>
          <w:szCs w:val="24"/>
          <w:highlight w:val="none"/>
        </w:rPr>
        <w:t>见磋商办法前附表</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58" w:name="_Toc144974571"/>
      <w:bookmarkEnd w:id="58"/>
      <w:bookmarkStart w:id="59" w:name="_Toc13158"/>
      <w:bookmarkEnd w:id="59"/>
      <w:bookmarkStart w:id="60" w:name="_Toc11715"/>
      <w:bookmarkEnd w:id="60"/>
      <w:bookmarkStart w:id="61" w:name="_Toc179632622"/>
      <w:bookmarkEnd w:id="61"/>
      <w:bookmarkStart w:id="62" w:name="_Toc25534"/>
      <w:bookmarkEnd w:id="62"/>
      <w:bookmarkStart w:id="63" w:name="_Toc152045604"/>
      <w:bookmarkEnd w:id="63"/>
      <w:bookmarkStart w:id="64" w:name="_Toc152042381"/>
    </w:p>
    <w:p w14:paraId="57513F2F">
      <w:pPr>
        <w:spacing w:line="520" w:lineRule="exact"/>
        <w:ind w:firstLine="482" w:firstLineChars="200"/>
        <w:outlineLvl w:val="0"/>
        <w:rPr>
          <w:rFonts w:hint="eastAsia" w:ascii="宋体" w:hAnsi="宋体" w:cs="宋体"/>
          <w:b/>
          <w:bCs/>
          <w:sz w:val="24"/>
          <w:szCs w:val="24"/>
          <w:highlight w:val="none"/>
        </w:rPr>
      </w:pPr>
      <w:bookmarkStart w:id="65" w:name="_Toc29760"/>
      <w:r>
        <w:rPr>
          <w:rFonts w:hint="eastAsia" w:ascii="宋体" w:hAnsi="宋体" w:cs="宋体"/>
          <w:b/>
          <w:bCs/>
          <w:sz w:val="24"/>
          <w:szCs w:val="24"/>
          <w:highlight w:val="none"/>
        </w:rPr>
        <w:t>3. 磋商程序</w:t>
      </w:r>
      <w:bookmarkEnd w:id="64"/>
      <w:bookmarkEnd w:id="65"/>
    </w:p>
    <w:p w14:paraId="2495286D">
      <w:pPr>
        <w:spacing w:line="520" w:lineRule="exact"/>
        <w:ind w:firstLine="480" w:firstLineChars="200"/>
        <w:outlineLvl w:val="1"/>
        <w:rPr>
          <w:rFonts w:hint="eastAsia" w:ascii="宋体" w:hAnsi="宋体" w:cs="宋体"/>
          <w:sz w:val="24"/>
          <w:szCs w:val="24"/>
          <w:highlight w:val="none"/>
        </w:rPr>
      </w:pPr>
      <w:bookmarkStart w:id="66" w:name="_Toc144974572"/>
      <w:bookmarkEnd w:id="66"/>
      <w:bookmarkStart w:id="67" w:name="_Toc30372"/>
      <w:bookmarkEnd w:id="67"/>
      <w:bookmarkStart w:id="68" w:name="_Toc8644"/>
      <w:bookmarkEnd w:id="68"/>
      <w:bookmarkStart w:id="69" w:name="_Toc152045605"/>
      <w:bookmarkEnd w:id="69"/>
      <w:bookmarkStart w:id="70" w:name="_Toc152042382"/>
      <w:bookmarkEnd w:id="70"/>
      <w:bookmarkStart w:id="71" w:name="_Toc31010"/>
      <w:bookmarkEnd w:id="71"/>
      <w:bookmarkStart w:id="72" w:name="_Toc179632623"/>
      <w:r>
        <w:rPr>
          <w:rFonts w:hint="eastAsia" w:ascii="宋体" w:hAnsi="宋体" w:cs="宋体"/>
          <w:sz w:val="24"/>
          <w:szCs w:val="24"/>
          <w:highlight w:val="none"/>
        </w:rPr>
        <w:t>3.1 初步评审</w:t>
      </w:r>
      <w:bookmarkEnd w:id="72"/>
    </w:p>
    <w:p w14:paraId="4ECC23FC">
      <w:pPr>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磋商小组依据本章磋商办法前附表规定的标准，对符合资格的供应商的磋商文件进行初步审查，以确定其是否满足磋商文件的实质性要求，有一项不符合评审标准的，磋商小组应当认定其磋商响应无效。</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rPr>
        <w:t>响应人有以下情形之一的，其磋商作无效标处理：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磋商报价有算术错误的，磋商小组按以下原则对磋商报价进行修正，修正的价格经响应人书面确认后具有约束力。响应人不接受修正价格的，其磋商将被否决。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73" w:name="_Toc152042383"/>
      <w:bookmarkEnd w:id="73"/>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outlineLvl w:val="1"/>
        <w:rPr>
          <w:rFonts w:hint="eastAsia" w:ascii="宋体" w:hAnsi="宋体" w:cs="宋体"/>
          <w:sz w:val="24"/>
          <w:szCs w:val="24"/>
          <w:highlight w:val="none"/>
        </w:rPr>
      </w:pPr>
      <w:bookmarkStart w:id="74" w:name="_Toc144974573"/>
      <w:bookmarkEnd w:id="74"/>
      <w:bookmarkStart w:id="75" w:name="_Toc179632624"/>
      <w:bookmarkEnd w:id="75"/>
      <w:bookmarkStart w:id="76" w:name="_Toc152042384"/>
      <w:bookmarkEnd w:id="76"/>
      <w:bookmarkStart w:id="77" w:name="_Toc152045606"/>
      <w:r>
        <w:rPr>
          <w:rFonts w:hint="eastAsia" w:ascii="宋体" w:hAnsi="宋体" w:cs="宋体"/>
          <w:sz w:val="24"/>
          <w:szCs w:val="24"/>
          <w:highlight w:val="none"/>
        </w:rPr>
        <w:t>3.2 详细评审</w:t>
      </w:r>
      <w:bookmarkEnd w:id="77"/>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7E6C2F9E">
      <w:pPr>
        <w:spacing w:line="520" w:lineRule="exact"/>
        <w:ind w:firstLine="480" w:firstLineChars="200"/>
        <w:outlineLvl w:val="1"/>
        <w:rPr>
          <w:rFonts w:hint="eastAsia" w:ascii="宋体" w:hAnsi="宋体" w:cs="宋体"/>
          <w:sz w:val="24"/>
          <w:szCs w:val="24"/>
          <w:highlight w:val="none"/>
        </w:rPr>
      </w:pPr>
      <w:bookmarkStart w:id="78" w:name="_Toc144974575"/>
      <w:bookmarkEnd w:id="78"/>
      <w:bookmarkStart w:id="79" w:name="_Toc466566800"/>
      <w:bookmarkEnd w:id="79"/>
      <w:bookmarkStart w:id="80" w:name="_Toc421805017"/>
      <w:bookmarkEnd w:id="80"/>
      <w:bookmarkStart w:id="81" w:name="_Toc152042385"/>
      <w:bookmarkEnd w:id="81"/>
      <w:bookmarkStart w:id="82" w:name="_Toc401926485"/>
      <w:bookmarkEnd w:id="82"/>
      <w:bookmarkStart w:id="83" w:name="_Toc421698384"/>
      <w:bookmarkEnd w:id="83"/>
      <w:bookmarkStart w:id="84" w:name="_Toc401512224"/>
      <w:bookmarkEnd w:id="84"/>
      <w:bookmarkStart w:id="85" w:name="_Toc387498748"/>
      <w:bookmarkEnd w:id="85"/>
      <w:bookmarkStart w:id="86" w:name="_Toc418605429"/>
      <w:bookmarkEnd w:id="86"/>
      <w:bookmarkStart w:id="87" w:name="_Toc418608950"/>
      <w:bookmarkEnd w:id="87"/>
      <w:bookmarkStart w:id="88" w:name="_Toc423358132"/>
      <w:bookmarkEnd w:id="88"/>
      <w:bookmarkStart w:id="89" w:name="_Toc466566711"/>
      <w:bookmarkEnd w:id="89"/>
      <w:bookmarkStart w:id="90" w:name="_Toc179632625"/>
      <w:bookmarkEnd w:id="90"/>
      <w:bookmarkStart w:id="91" w:name="_Toc389384087"/>
      <w:bookmarkEnd w:id="91"/>
      <w:bookmarkStart w:id="92" w:name="_Toc152045607"/>
      <w:r>
        <w:rPr>
          <w:rFonts w:hint="eastAsia" w:ascii="宋体" w:hAnsi="宋体" w:cs="宋体"/>
          <w:sz w:val="24"/>
          <w:szCs w:val="24"/>
          <w:highlight w:val="none"/>
        </w:rPr>
        <w:t xml:space="preserve">3.3 </w:t>
      </w:r>
      <w:bookmarkEnd w:id="92"/>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3.3.1在磋商过程中，磋商小组可以书面形式要求响应人对所提交响应文件中不明确的内容进行书面澄清或说明，或者对细微偏差进行补正。磋商小组不接受响应人主动提出的澄清、说明或补正。</w:t>
      </w:r>
    </w:p>
    <w:p w14:paraId="35818F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3.3.2在磋商过程中，磋商小组对响应文件中含义不明确、对同类问题表述不一致或者有明显文字和计算错误的内容可以要求响应人作必要的澄清、说明或者补正。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澄清、说明和补正不得改变响应文件的实质性内容（算术性错误修正的除外）。响应人的书面澄清、说明和补正属于响应文件的组成部分。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val="en-US" w:eastAsia="zh-CN"/>
        </w:rPr>
        <w:t>4</w:t>
      </w:r>
      <w:r>
        <w:rPr>
          <w:rFonts w:hint="eastAsia" w:ascii="宋体" w:hAnsi="宋体" w:cs="宋体"/>
          <w:sz w:val="24"/>
          <w:szCs w:val="24"/>
          <w:highlight w:val="none"/>
        </w:rPr>
        <w:t xml:space="preserve"> 磋商小组对响应人提交的澄清、说明或补正有疑问的，可以要求响应人进一步澄清、说明或补正，直至满足磋商小组的要求。</w:t>
      </w:r>
    </w:p>
    <w:p w14:paraId="6C55CD35">
      <w:pPr>
        <w:spacing w:line="520" w:lineRule="exact"/>
        <w:ind w:firstLine="480" w:firstLineChars="200"/>
        <w:outlineLvl w:val="1"/>
        <w:rPr>
          <w:rFonts w:hint="eastAsia" w:ascii="宋体" w:hAnsi="宋体" w:cs="宋体"/>
          <w:sz w:val="24"/>
          <w:szCs w:val="24"/>
          <w:highlight w:val="none"/>
        </w:rPr>
      </w:pPr>
      <w:bookmarkStart w:id="93" w:name="_Toc389384088"/>
      <w:bookmarkEnd w:id="93"/>
      <w:bookmarkStart w:id="94" w:name="_Toc421805018"/>
      <w:bookmarkEnd w:id="94"/>
      <w:bookmarkStart w:id="95" w:name="_Toc418608951"/>
      <w:bookmarkEnd w:id="95"/>
      <w:bookmarkStart w:id="96" w:name="_Toc421698385"/>
      <w:bookmarkEnd w:id="96"/>
      <w:bookmarkStart w:id="97" w:name="_Toc466566712"/>
      <w:bookmarkEnd w:id="97"/>
      <w:bookmarkStart w:id="98" w:name="_Toc179632626"/>
      <w:bookmarkEnd w:id="98"/>
      <w:bookmarkStart w:id="99" w:name="_Toc401926486"/>
      <w:bookmarkEnd w:id="99"/>
      <w:bookmarkStart w:id="100" w:name="_Toc418605430"/>
      <w:bookmarkEnd w:id="100"/>
      <w:bookmarkStart w:id="101" w:name="_Toc152042386"/>
      <w:bookmarkEnd w:id="101"/>
      <w:bookmarkStart w:id="102" w:name="_Toc401512225"/>
      <w:bookmarkEnd w:id="102"/>
      <w:bookmarkStart w:id="103" w:name="_Toc423358133"/>
      <w:bookmarkEnd w:id="103"/>
      <w:bookmarkStart w:id="104" w:name="_Toc152045608"/>
      <w:bookmarkEnd w:id="104"/>
      <w:bookmarkStart w:id="105" w:name="_Toc466566801"/>
      <w:bookmarkEnd w:id="105"/>
      <w:bookmarkStart w:id="106" w:name="_Toc144974576"/>
      <w:bookmarkEnd w:id="106"/>
      <w:bookmarkStart w:id="107" w:name="_Toc387498749"/>
      <w:r>
        <w:rPr>
          <w:rFonts w:hint="eastAsia" w:ascii="宋体" w:hAnsi="宋体" w:cs="宋体"/>
          <w:sz w:val="24"/>
          <w:szCs w:val="24"/>
          <w:highlight w:val="none"/>
        </w:rPr>
        <w:t>3.4响应人的最终得分</w:t>
      </w:r>
      <w:bookmarkEnd w:id="107"/>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（1）磋商小组完成对最终磋商报价、技术标和综合标的汇总后，取平均值作为该响应人的最终得分。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磋商小组完成磋商后，应当向招标人提交书面评标报告。</w:t>
      </w:r>
    </w:p>
    <w:p w14:paraId="4DE97676">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r>
        <w:rPr>
          <w:b/>
          <w:sz w:val="30"/>
          <w:szCs w:val="30"/>
          <w:highlight w:val="none"/>
        </w:rPr>
        <w:br w:type="page"/>
      </w:r>
      <w:r>
        <w:rPr>
          <w:rFonts w:ascii="宋体" w:hAnsi="宋体" w:eastAsia="宋体" w:cs="宋体"/>
          <w:color w:val="000000" w:themeColor="text1"/>
          <w:kern w:val="36"/>
          <w:sz w:val="32"/>
          <w:szCs w:val="32"/>
          <w14:textFill>
            <w14:solidFill>
              <w14:schemeClr w14:val="tx1"/>
            </w14:solidFill>
          </w14:textFill>
        </w:rPr>
        <w:t>评审标准</w:t>
      </w:r>
    </w:p>
    <w:p w14:paraId="31CF22C7">
      <w:pPr>
        <w:pStyle w:val="6"/>
        <w:rPr>
          <w:rFonts w:hint="default"/>
          <w:b/>
          <w:bCs/>
          <w:lang w:val="en-US" w:eastAsia="zh-CN"/>
        </w:rPr>
      </w:pPr>
      <w:r>
        <w:rPr>
          <w:rFonts w:hint="eastAsia"/>
          <w:b/>
          <w:bCs/>
          <w:sz w:val="28"/>
          <w:szCs w:val="24"/>
          <w:lang w:val="en-US" w:eastAsia="zh-CN"/>
        </w:rPr>
        <w:t>一标段：</w:t>
      </w:r>
    </w:p>
    <w:tbl>
      <w:tblPr>
        <w:tblStyle w:val="18"/>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1.1.1</w:t>
            </w:r>
          </w:p>
        </w:tc>
        <w:tc>
          <w:tcPr>
            <w:tcW w:w="1134" w:type="dxa"/>
            <w:vMerge w:val="restart"/>
            <w:noWrap w:val="0"/>
            <w:vAlign w:val="center"/>
          </w:tcPr>
          <w:p w14:paraId="4160CD50">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lang w:val="en-US" w:eastAsia="zh-CN"/>
              </w:rPr>
              <w:t>符合性</w:t>
            </w:r>
            <w:r>
              <w:rPr>
                <w:rFonts w:hint="eastAsia" w:ascii="宋体" w:hAnsi="宋体"/>
                <w:sz w:val="24"/>
                <w:szCs w:val="24"/>
                <w:highlight w:val="none"/>
              </w:rPr>
              <w:t>评审</w:t>
            </w:r>
          </w:p>
          <w:p w14:paraId="44308D12">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响应人名称</w:t>
            </w:r>
          </w:p>
        </w:tc>
        <w:tc>
          <w:tcPr>
            <w:tcW w:w="5529" w:type="dxa"/>
            <w:noWrap w:val="0"/>
            <w:vAlign w:val="center"/>
          </w:tcPr>
          <w:p w14:paraId="3E67C53E">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与营业执照、资质证书、安全生产许可证一致</w:t>
            </w:r>
            <w:r>
              <w:rPr>
                <w:rFonts w:hint="eastAsia" w:ascii="宋体" w:hAnsi="宋体"/>
                <w:sz w:val="24"/>
                <w:szCs w:val="24"/>
                <w:highlight w:val="none"/>
                <w:lang w:eastAsia="zh-CN"/>
              </w:rPr>
              <w:t>。</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keepNext w:val="0"/>
              <w:keepLines w:val="0"/>
              <w:pageBreakBefore w:val="0"/>
              <w:widowControl/>
              <w:kinsoku/>
              <w:wordWrap/>
              <w:overflowPunct/>
              <w:topLinePunct w:val="0"/>
              <w:bidi w:val="0"/>
              <w:adjustRightInd/>
              <w:snapToGrid/>
              <w:spacing w:line="240" w:lineRule="auto"/>
              <w:jc w:val="left"/>
              <w:textAlignment w:val="auto"/>
              <w:rPr>
                <w:rFonts w:ascii="宋体" w:hAnsi="宋体"/>
                <w:sz w:val="24"/>
                <w:szCs w:val="24"/>
                <w:highlight w:val="none"/>
              </w:rPr>
            </w:pPr>
          </w:p>
        </w:tc>
        <w:tc>
          <w:tcPr>
            <w:tcW w:w="2126" w:type="dxa"/>
            <w:noWrap w:val="0"/>
            <w:vAlign w:val="center"/>
          </w:tcPr>
          <w:p w14:paraId="71791B6E">
            <w:pPr>
              <w:keepNext w:val="0"/>
              <w:keepLines w:val="0"/>
              <w:pageBreakBefore w:val="0"/>
              <w:kinsoku/>
              <w:wordWrap/>
              <w:overflowPunct/>
              <w:topLinePunct w:val="0"/>
              <w:bidi w:val="0"/>
              <w:adjustRightInd/>
              <w:snapToGrid/>
              <w:spacing w:line="240" w:lineRule="auto"/>
              <w:jc w:val="both"/>
              <w:textAlignment w:val="auto"/>
              <w:rPr>
                <w:rFonts w:ascii="宋体" w:hAnsi="宋体"/>
                <w:sz w:val="24"/>
                <w:szCs w:val="24"/>
                <w:highlight w:val="none"/>
              </w:rPr>
            </w:pPr>
            <w:r>
              <w:rPr>
                <w:rFonts w:hint="eastAsia" w:ascii="宋体" w:hAnsi="宋体"/>
                <w:sz w:val="24"/>
                <w:szCs w:val="24"/>
                <w:highlight w:val="none"/>
              </w:rPr>
              <w:t>磋商函签字盖章</w:t>
            </w:r>
          </w:p>
        </w:tc>
        <w:tc>
          <w:tcPr>
            <w:tcW w:w="5529" w:type="dxa"/>
            <w:noWrap w:val="0"/>
            <w:vAlign w:val="center"/>
          </w:tcPr>
          <w:p w14:paraId="5377D22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有法定代表人或其委托代理人签字或盖章并加盖单位公章</w:t>
            </w:r>
            <w:r>
              <w:rPr>
                <w:rFonts w:hint="eastAsia" w:ascii="宋体" w:hAnsi="宋体"/>
                <w:sz w:val="24"/>
                <w:szCs w:val="24"/>
                <w:highlight w:val="none"/>
                <w:lang w:eastAsia="zh-CN"/>
              </w:rPr>
              <w:t>。</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keepNext w:val="0"/>
              <w:keepLines w:val="0"/>
              <w:pageBreakBefore w:val="0"/>
              <w:widowControl/>
              <w:kinsoku/>
              <w:wordWrap/>
              <w:overflowPunct/>
              <w:topLinePunct w:val="0"/>
              <w:bidi w:val="0"/>
              <w:adjustRightInd/>
              <w:snapToGrid/>
              <w:spacing w:line="240" w:lineRule="auto"/>
              <w:jc w:val="left"/>
              <w:textAlignment w:val="auto"/>
              <w:rPr>
                <w:rFonts w:ascii="宋体" w:hAnsi="宋体"/>
                <w:sz w:val="24"/>
                <w:szCs w:val="24"/>
                <w:highlight w:val="none"/>
              </w:rPr>
            </w:pPr>
          </w:p>
        </w:tc>
        <w:tc>
          <w:tcPr>
            <w:tcW w:w="2126" w:type="dxa"/>
            <w:noWrap w:val="0"/>
            <w:vAlign w:val="center"/>
          </w:tcPr>
          <w:p w14:paraId="0FE5085B">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报价唯一</w:t>
            </w:r>
          </w:p>
        </w:tc>
        <w:tc>
          <w:tcPr>
            <w:tcW w:w="5529" w:type="dxa"/>
            <w:noWrap w:val="0"/>
            <w:vAlign w:val="center"/>
          </w:tcPr>
          <w:p w14:paraId="3581C99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磋商函及磋商函附录中只能有一个有效报价</w:t>
            </w:r>
            <w:r>
              <w:rPr>
                <w:rFonts w:hint="eastAsia" w:ascii="宋体" w:hAnsi="宋体"/>
                <w:sz w:val="24"/>
                <w:szCs w:val="24"/>
                <w:highlight w:val="none"/>
                <w:lang w:eastAsia="zh-CN"/>
              </w:rPr>
              <w:t>。</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1.1.2</w:t>
            </w:r>
          </w:p>
        </w:tc>
        <w:tc>
          <w:tcPr>
            <w:tcW w:w="1134" w:type="dxa"/>
            <w:vMerge w:val="restart"/>
            <w:tcBorders>
              <w:top w:val="single" w:color="auto" w:sz="4" w:space="0"/>
              <w:left w:val="single" w:color="auto" w:sz="4" w:space="0"/>
              <w:right w:val="single" w:color="auto" w:sz="4" w:space="0"/>
            </w:tcBorders>
            <w:noWrap w:val="0"/>
            <w:vAlign w:val="center"/>
          </w:tcPr>
          <w:p w14:paraId="3B6BA7FC">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val="en-US"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满足《中华人民共和国政府采购法》第二十二条规定（相关证明资料或承诺书）</w:t>
            </w:r>
            <w:r>
              <w:rPr>
                <w:rFonts w:hint="eastAsia" w:ascii="宋体" w:hAnsi="宋体"/>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355556E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sz w:val="24"/>
                <w:szCs w:val="24"/>
                <w:highlight w:val="none"/>
              </w:rPr>
              <w:t>响应人具备独立法人资格，具有合法有效的营业执照。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建筑工程施工总承包叁级及以上资质或市政公用工程总承包叁级及以上资质</w:t>
            </w:r>
            <w:r>
              <w:rPr>
                <w:rFonts w:hint="eastAsia" w:ascii="宋体" w:hAnsi="宋体" w:cs="宋体"/>
                <w:kern w:val="0"/>
                <w:sz w:val="24"/>
                <w:szCs w:val="24"/>
                <w:highlight w:val="none"/>
              </w:rPr>
              <w:t>，且具有有效的安全生产许可证。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并提供2024年9月1日以来任意连续三个月的社保缴费证明</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响应人出具本企业无商业贿赂和不正当竞争行为承诺书，格式自拟。</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235E4F1B">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val="en-US" w:eastAsia="zh-CN"/>
              </w:rPr>
              <w:t>截图</w:t>
            </w:r>
          </w:p>
        </w:tc>
        <w:tc>
          <w:tcPr>
            <w:tcW w:w="5529" w:type="dxa"/>
            <w:tcBorders>
              <w:top w:val="single" w:color="auto" w:sz="4" w:space="0"/>
              <w:left w:val="nil"/>
              <w:bottom w:val="single" w:color="auto" w:sz="4" w:space="0"/>
              <w:right w:val="single" w:color="auto" w:sz="4" w:space="0"/>
            </w:tcBorders>
            <w:noWrap w:val="0"/>
            <w:vAlign w:val="center"/>
          </w:tcPr>
          <w:p w14:paraId="6B3F6D37">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r>
              <w:rPr>
                <w:rFonts w:hint="eastAsia" w:ascii="宋体" w:hAnsi="宋体"/>
                <w:sz w:val="24"/>
                <w:szCs w:val="24"/>
                <w:highlight w:val="none"/>
              </w:rPr>
              <w:t>不接受联合体</w:t>
            </w:r>
          </w:p>
          <w:p w14:paraId="597AFC33">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keepNext w:val="0"/>
              <w:keepLines w:val="0"/>
              <w:pageBreakBefore w:val="0"/>
              <w:kinsoku/>
              <w:wordWrap/>
              <w:overflowPunct/>
              <w:topLinePunct w:val="0"/>
              <w:bidi w:val="0"/>
              <w:adjustRightInd/>
              <w:snapToGrid/>
              <w:spacing w:line="240" w:lineRule="auto"/>
              <w:jc w:val="left"/>
              <w:textAlignment w:val="auto"/>
              <w:rPr>
                <w:rFonts w:hint="eastAsia" w:ascii="宋体" w:hAnsi="宋体"/>
                <w:sz w:val="24"/>
                <w:szCs w:val="24"/>
                <w:highlight w:val="none"/>
              </w:rPr>
            </w:pPr>
            <w:r>
              <w:rPr>
                <w:rFonts w:hint="eastAsia" w:ascii="宋体" w:hAnsi="宋体"/>
                <w:sz w:val="24"/>
                <w:szCs w:val="24"/>
                <w:highlight w:val="none"/>
              </w:rPr>
              <w:t>本项目不接受联合体磋商。提供非联合体磋商承诺，格式自拟。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响应性评审标准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color w:val="auto"/>
                <w:sz w:val="24"/>
                <w:szCs w:val="24"/>
              </w:rPr>
              <w:t>本项目竞争性磋商文件、图纸、清单等列明的所有内容。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lang w:val="en-US" w:eastAsia="zh-CN"/>
              </w:rPr>
              <w:t>60日历天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73"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cs="宋体"/>
                <w:sz w:val="24"/>
                <w:szCs w:val="24"/>
              </w:rPr>
              <w:t>达到国家现行施工质量验收规范合格标准。</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A0FBECC">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磋商截止之日起60日历天</w:t>
            </w:r>
          </w:p>
        </w:tc>
      </w:tr>
      <w:tr w14:paraId="226B2A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81"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2843560">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623126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C13FD86">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磋商总报价</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E35C5E7">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响应人磋商总报价不得高于招标人公布的招标控制价，否则其投标将予否决。</w:t>
            </w:r>
          </w:p>
        </w:tc>
      </w:tr>
      <w:tr w14:paraId="73F1C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C480BBA">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6623D98F">
            <w:pPr>
              <w:keepNext w:val="0"/>
              <w:keepLines w:val="0"/>
              <w:pageBreakBefore w:val="0"/>
              <w:kinsoku/>
              <w:wordWrap/>
              <w:overflowPunct/>
              <w:topLinePunct w:val="0"/>
              <w:autoSpaceDE w:val="0"/>
              <w:autoSpaceDN w:val="0"/>
              <w:bidi w:val="0"/>
              <w:adjustRightInd/>
              <w:snapToGrid/>
              <w:spacing w:before="50" w:line="240" w:lineRule="auto"/>
              <w:ind w:right="97"/>
              <w:jc w:val="center"/>
              <w:textAlignment w:val="auto"/>
              <w:rPr>
                <w:rFonts w:hint="eastAsia" w:ascii="宋体" w:hAnsi="宋体" w:cs="宋体"/>
                <w:color w:val="000000" w:themeColor="text1"/>
                <w:spacing w:val="1"/>
                <w:kern w:val="0"/>
                <w:sz w:val="24"/>
                <w14:textFill>
                  <w14:solidFill>
                    <w14:schemeClr w14:val="tx1"/>
                  </w14:solidFill>
                </w14:textFill>
              </w:rPr>
            </w:pPr>
            <w:r>
              <w:rPr>
                <w:rFonts w:hint="eastAsia" w:ascii="宋体" w:hAnsi="宋体" w:cs="宋体"/>
                <w:color w:val="000000" w:themeColor="text1"/>
                <w:spacing w:val="1"/>
                <w:kern w:val="0"/>
                <w:sz w:val="24"/>
                <w14:textFill>
                  <w14:solidFill>
                    <w14:schemeClr w14:val="tx1"/>
                  </w14:solidFill>
                </w14:textFill>
              </w:rPr>
              <w:t>分值构成</w:t>
            </w:r>
          </w:p>
          <w:p w14:paraId="6115A9EC">
            <w:pPr>
              <w:keepNext w:val="0"/>
              <w:keepLines w:val="0"/>
              <w:pageBreakBefore w:val="0"/>
              <w:kinsoku/>
              <w:wordWrap/>
              <w:overflowPunct/>
              <w:topLinePunct w:val="0"/>
              <w:autoSpaceDE w:val="0"/>
              <w:autoSpaceDN w:val="0"/>
              <w:bidi w:val="0"/>
              <w:adjustRightInd/>
              <w:snapToGrid/>
              <w:spacing w:before="50" w:line="240" w:lineRule="auto"/>
              <w:ind w:right="97" w:rightChars="0" w:firstLine="67" w:firstLineChars="28"/>
              <w:jc w:val="center"/>
              <w:textAlignment w:val="auto"/>
              <w:rPr>
                <w:rFonts w:hint="eastAsia" w:ascii="宋体" w:hAnsi="宋体"/>
                <w:sz w:val="24"/>
                <w:szCs w:val="24"/>
                <w:highlight w:val="none"/>
              </w:rPr>
            </w:pPr>
            <w:r>
              <w:rPr>
                <w:rFonts w:hint="eastAsia" w:ascii="宋体" w:hAnsi="宋体" w:cs="宋体"/>
                <w:color w:val="000000" w:themeColor="text1"/>
                <w:spacing w:val="1"/>
                <w:kern w:val="0"/>
                <w:sz w:val="24"/>
                <w14:textFill>
                  <w14:solidFill>
                    <w14:schemeClr w14:val="tx1"/>
                  </w14:solidFill>
                </w14:textFill>
              </w:rPr>
              <w:t>(总分100分)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3D0A7C8">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磋商报价：30分；</w:t>
            </w:r>
          </w:p>
          <w:p w14:paraId="33C8A02A">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技术部分：</w:t>
            </w:r>
            <w:r>
              <w:rPr>
                <w:rFonts w:hint="eastAsia" w:ascii="宋体" w:hAnsi="宋体" w:cs="宋体"/>
                <w:color w:val="000000" w:themeColor="text1"/>
                <w:spacing w:val="-6"/>
                <w:kern w:val="0"/>
                <w:sz w:val="24"/>
                <w:lang w:val="en-US" w:eastAsia="zh-CN"/>
                <w14:textFill>
                  <w14:solidFill>
                    <w14:schemeClr w14:val="tx1"/>
                  </w14:solidFill>
                </w14:textFill>
              </w:rPr>
              <w:t>50</w:t>
            </w:r>
            <w:r>
              <w:rPr>
                <w:rFonts w:hint="eastAsia" w:ascii="宋体" w:hAnsi="宋体" w:cs="宋体"/>
                <w:color w:val="000000" w:themeColor="text1"/>
                <w:spacing w:val="-6"/>
                <w:kern w:val="0"/>
                <w:sz w:val="24"/>
                <w14:textFill>
                  <w14:solidFill>
                    <w14:schemeClr w14:val="tx1"/>
                  </w14:solidFill>
                </w14:textFill>
              </w:rPr>
              <w:t>分；</w:t>
            </w:r>
          </w:p>
          <w:p w14:paraId="563949DE">
            <w:pPr>
              <w:keepNext w:val="0"/>
              <w:keepLines w:val="0"/>
              <w:pageBreakBefore w:val="0"/>
              <w:kinsoku/>
              <w:wordWrap/>
              <w:overflowPunct/>
              <w:topLinePunct w:val="0"/>
              <w:bidi w:val="0"/>
              <w:adjustRightInd/>
              <w:snapToGrid/>
              <w:spacing w:line="240" w:lineRule="auto"/>
              <w:textAlignment w:val="auto"/>
              <w:rPr>
                <w:rFonts w:hint="eastAsia" w:ascii="宋体" w:hAnsi="宋体"/>
                <w:sz w:val="24"/>
                <w:szCs w:val="24"/>
                <w:highlight w:val="none"/>
              </w:rPr>
            </w:pPr>
            <w:r>
              <w:rPr>
                <w:rFonts w:hint="eastAsia" w:ascii="宋体" w:hAnsi="宋体" w:cs="宋体"/>
                <w:color w:val="000000" w:themeColor="text1"/>
                <w:spacing w:val="-6"/>
                <w:kern w:val="0"/>
                <w:sz w:val="24"/>
                <w14:textFill>
                  <w14:solidFill>
                    <w14:schemeClr w14:val="tx1"/>
                  </w14:solidFill>
                </w14:textFill>
              </w:rPr>
              <w:t>综合部分：</w:t>
            </w:r>
            <w:r>
              <w:rPr>
                <w:rFonts w:hint="eastAsia" w:ascii="宋体" w:hAnsi="宋体" w:cs="宋体"/>
                <w:color w:val="000000" w:themeColor="text1"/>
                <w:spacing w:val="-6"/>
                <w:kern w:val="0"/>
                <w:sz w:val="24"/>
                <w:lang w:val="en-US" w:eastAsia="zh-CN"/>
                <w14:textFill>
                  <w14:solidFill>
                    <w14:schemeClr w14:val="tx1"/>
                  </w14:solidFill>
                </w14:textFill>
              </w:rPr>
              <w:t>20</w:t>
            </w:r>
            <w:r>
              <w:rPr>
                <w:rFonts w:hint="eastAsia" w:ascii="宋体" w:hAnsi="宋体" w:cs="宋体"/>
                <w:color w:val="000000" w:themeColor="text1"/>
                <w:spacing w:val="-6"/>
                <w:kern w:val="0"/>
                <w:sz w:val="24"/>
                <w14:textFill>
                  <w14:solidFill>
                    <w14:schemeClr w14:val="tx1"/>
                  </w14:solidFill>
                </w14:textFill>
              </w:rPr>
              <w:t>分。</w:t>
            </w:r>
          </w:p>
        </w:tc>
      </w:tr>
    </w:tbl>
    <w:p w14:paraId="155E4931">
      <w:pPr>
        <w:spacing w:line="520" w:lineRule="exact"/>
        <w:jc w:val="center"/>
        <w:rPr>
          <w:rFonts w:hint="eastAsia"/>
          <w:b/>
          <w:szCs w:val="21"/>
          <w:highlight w:val="none"/>
        </w:rPr>
      </w:pPr>
    </w:p>
    <w:p w14:paraId="4C78C84F">
      <w:pPr>
        <w:rPr>
          <w:rFonts w:hint="eastAsia"/>
          <w:b/>
          <w:bCs/>
          <w:sz w:val="30"/>
          <w:szCs w:val="30"/>
          <w:highlight w:val="none"/>
        </w:rPr>
      </w:pPr>
      <w:bookmarkStart w:id="108" w:name="_Toc90713357"/>
      <w:bookmarkStart w:id="109" w:name="_Toc90712538"/>
      <w:bookmarkStart w:id="110" w:name="_Toc109537522"/>
      <w:bookmarkStart w:id="111" w:name="_Toc269470330"/>
      <w:bookmarkStart w:id="112" w:name="_Toc109550798"/>
    </w:p>
    <w:p w14:paraId="6385D409">
      <w:pPr>
        <w:jc w:val="center"/>
        <w:rPr>
          <w:rFonts w:hint="eastAsia" w:ascii="宋体" w:hAnsi="宋体"/>
          <w:b/>
          <w:sz w:val="32"/>
          <w:szCs w:val="32"/>
          <w:highlight w:val="none"/>
        </w:rPr>
      </w:pPr>
      <w:r>
        <w:rPr>
          <w:b/>
          <w:bCs/>
          <w:sz w:val="30"/>
          <w:szCs w:val="30"/>
          <w:highlight w:val="none"/>
        </w:rPr>
        <w:br w:type="page"/>
      </w:r>
    </w:p>
    <w:bookmarkEnd w:id="108"/>
    <w:bookmarkEnd w:id="109"/>
    <w:bookmarkEnd w:id="110"/>
    <w:bookmarkEnd w:id="111"/>
    <w:bookmarkEnd w:id="112"/>
    <w:tbl>
      <w:tblPr>
        <w:tblStyle w:val="18"/>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626"/>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08" w:type="dxa"/>
            <w:noWrap w:val="0"/>
            <w:vAlign w:val="center"/>
          </w:tcPr>
          <w:p w14:paraId="7CEB92A1">
            <w:pPr>
              <w:jc w:val="center"/>
              <w:rPr>
                <w:rFonts w:hint="default" w:ascii="宋体" w:hAnsi="宋体" w:eastAsia="宋体"/>
                <w:sz w:val="24"/>
                <w:szCs w:val="24"/>
                <w:highlight w:val="none"/>
                <w:lang w:val="en-US" w:eastAsia="zh-CN"/>
              </w:rPr>
            </w:pPr>
            <w:bookmarkStart w:id="113" w:name="_Toc16556"/>
            <w:r>
              <w:rPr>
                <w:rFonts w:hint="eastAsia" w:ascii="宋体" w:hAnsi="宋体"/>
                <w:sz w:val="24"/>
                <w:szCs w:val="24"/>
                <w:highlight w:val="none"/>
                <w:lang w:val="en-US" w:eastAsia="zh-CN"/>
              </w:rPr>
              <w:t>1.2.2</w:t>
            </w:r>
          </w:p>
        </w:tc>
        <w:tc>
          <w:tcPr>
            <w:tcW w:w="2176" w:type="dxa"/>
            <w:gridSpan w:val="2"/>
            <w:noWrap w:val="0"/>
            <w:vAlign w:val="center"/>
          </w:tcPr>
          <w:p w14:paraId="3AA63532">
            <w:pPr>
              <w:autoSpaceDE w:val="0"/>
              <w:autoSpaceDN w:val="0"/>
              <w:adjustRightInd w:val="0"/>
              <w:spacing w:before="50" w:line="480" w:lineRule="exact"/>
              <w:ind w:left="59" w:leftChars="28" w:right="96" w:firstLine="4" w:firstLineChars="2"/>
              <w:jc w:val="center"/>
              <w:rPr>
                <w:rFonts w:hint="eastAsia" w:ascii="宋体" w:hAnsi="宋体"/>
                <w:sz w:val="24"/>
                <w:szCs w:val="24"/>
                <w:highlight w:val="none"/>
              </w:rPr>
            </w:pPr>
            <w:r>
              <w:rPr>
                <w:rFonts w:hint="eastAsia" w:ascii="宋体" w:hAnsi="宋体" w:cs="宋体"/>
                <w:color w:val="000000" w:themeColor="text1"/>
                <w:spacing w:val="1"/>
                <w:kern w:val="0"/>
                <w:sz w:val="24"/>
                <w14:textFill>
                  <w14:solidFill>
                    <w14:schemeClr w14:val="tx1"/>
                  </w14:solidFill>
                </w14:textFill>
              </w:rPr>
              <w:t>磋商报价（30分）</w:t>
            </w:r>
          </w:p>
        </w:tc>
        <w:tc>
          <w:tcPr>
            <w:tcW w:w="7083" w:type="dxa"/>
            <w:noWrap w:val="0"/>
            <w:vAlign w:val="center"/>
          </w:tcPr>
          <w:p w14:paraId="768A415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1、本项目设招标控制价，高于招标控制价的按废标处理。经评标委员会研究认定为恶意低价竞标的按废标处理。</w:t>
            </w:r>
          </w:p>
          <w:p w14:paraId="68A8113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2、满足磋商文件要求且最后报价最低的响应人的价格为磋商基准价，其价格分为满分。其他响应人的价格分统一按照下列公式计算：</w:t>
            </w:r>
          </w:p>
          <w:p w14:paraId="4B44598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磋商报价得分=（磋商基准价/最后磋商报价）×30%×100</w:t>
            </w:r>
          </w:p>
          <w:p w14:paraId="3B3BD90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项目评审过程中，不得去掉最后报价中的最高报价和最低报价。</w:t>
            </w:r>
          </w:p>
          <w:p w14:paraId="25F565D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3、采购项目需要落实的政府采购政策：本项目执行促进中小型企业发展政策（残疾人福利性企业、监狱企业视同小微企业）、强制采购节能产品、优先采购节能环保产品等政府采购政策。</w:t>
            </w:r>
          </w:p>
          <w:p w14:paraId="1F37D15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价格优惠：对中小企业的价格给予20%的扣除优惠，用扣除后的价格参与评审。</w:t>
            </w:r>
          </w:p>
          <w:p w14:paraId="3FCF20A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注：须提供《中小企业声明函》</w:t>
            </w:r>
          </w:p>
          <w:p w14:paraId="2186E12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1A51861">
            <w:pPr>
              <w:keepNext w:val="0"/>
              <w:keepLines w:val="0"/>
              <w:pageBreakBefore w:val="0"/>
              <w:widowControl w:val="0"/>
              <w:kinsoku/>
              <w:wordWrap/>
              <w:overflowPunct/>
              <w:topLinePunct w:val="0"/>
              <w:bidi w:val="0"/>
              <w:snapToGrid/>
              <w:spacing w:line="240" w:lineRule="auto"/>
              <w:jc w:val="left"/>
              <w:textAlignment w:val="auto"/>
              <w:rPr>
                <w:rFonts w:ascii="宋体" w:hAnsi="宋体"/>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08" w:type="dxa"/>
            <w:vMerge w:val="restart"/>
            <w:noWrap w:val="0"/>
            <w:vAlign w:val="center"/>
          </w:tcPr>
          <w:p w14:paraId="32955803">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1.2.3</w:t>
            </w:r>
          </w:p>
        </w:tc>
        <w:tc>
          <w:tcPr>
            <w:tcW w:w="626" w:type="dxa"/>
            <w:vMerge w:val="restart"/>
            <w:noWrap w:val="0"/>
            <w:vAlign w:val="center"/>
          </w:tcPr>
          <w:p w14:paraId="7C32A713">
            <w:pPr>
              <w:jc w:val="center"/>
              <w:rPr>
                <w:rFonts w:hint="eastAsia" w:ascii="宋体" w:hAnsi="宋体" w:eastAsia="宋体"/>
                <w:sz w:val="24"/>
                <w:szCs w:val="24"/>
                <w:highlight w:val="none"/>
                <w:lang w:eastAsia="zh-CN"/>
              </w:rPr>
            </w:pPr>
            <w:r>
              <w:rPr>
                <w:rFonts w:hint="eastAsia" w:ascii="宋体" w:hAnsi="宋体"/>
                <w:sz w:val="24"/>
                <w:szCs w:val="24"/>
                <w:highlight w:val="none"/>
              </w:rPr>
              <w:t>技术</w:t>
            </w:r>
            <w:r>
              <w:rPr>
                <w:rFonts w:hint="eastAsia" w:ascii="宋体" w:hAnsi="宋体"/>
                <w:sz w:val="24"/>
                <w:szCs w:val="24"/>
                <w:highlight w:val="none"/>
                <w:lang w:val="en-US" w:eastAsia="zh-CN"/>
              </w:rPr>
              <w:t>部分</w:t>
            </w:r>
          </w:p>
          <w:p w14:paraId="42C8C814">
            <w:pPr>
              <w:jc w:val="center"/>
              <w:rPr>
                <w:rFonts w:hint="eastAsia" w:ascii="宋体" w:hAnsi="宋体"/>
                <w:sz w:val="24"/>
                <w:szCs w:val="24"/>
                <w:highlight w:val="none"/>
              </w:rPr>
            </w:pPr>
            <w:r>
              <w:rPr>
                <w:rFonts w:hint="eastAsia" w:ascii="宋体" w:hAnsi="宋体"/>
                <w:sz w:val="24"/>
                <w:szCs w:val="24"/>
                <w:highlight w:val="none"/>
                <w:lang w:val="en-US" w:eastAsia="zh-CN"/>
              </w:rPr>
              <w:t>50</w:t>
            </w:r>
            <w:r>
              <w:rPr>
                <w:rFonts w:hint="eastAsia" w:ascii="宋体" w:hAnsi="宋体"/>
                <w:sz w:val="24"/>
                <w:szCs w:val="24"/>
                <w:highlight w:val="none"/>
              </w:rPr>
              <w:t>分</w:t>
            </w:r>
          </w:p>
        </w:tc>
        <w:tc>
          <w:tcPr>
            <w:tcW w:w="1550" w:type="dxa"/>
            <w:noWrap w:val="0"/>
            <w:vAlign w:val="center"/>
          </w:tcPr>
          <w:p w14:paraId="396DABB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内容完整性和编制水平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c>
          <w:tcPr>
            <w:tcW w:w="7083" w:type="dxa"/>
            <w:noWrap w:val="0"/>
            <w:vAlign w:val="center"/>
          </w:tcPr>
          <w:p w14:paraId="2660038B">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合理、满足要求的3分；</w:t>
            </w:r>
          </w:p>
          <w:p w14:paraId="5797E977">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highlight w:val="none"/>
              </w:rPr>
            </w:pPr>
            <w:r>
              <w:rPr>
                <w:rFonts w:hint="eastAsia" w:ascii="宋体" w:hAnsi="宋体" w:cs="宋体"/>
                <w:color w:val="auto"/>
                <w:sz w:val="24"/>
                <w:highlight w:val="none"/>
              </w:rPr>
              <w:t>基本合理、基本满足要求的1分；</w:t>
            </w:r>
          </w:p>
          <w:p w14:paraId="20EACD54">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szCs w:val="24"/>
                <w:highlight w:val="none"/>
              </w:rPr>
            </w:pPr>
            <w:r>
              <w:rPr>
                <w:rFonts w:hint="eastAsia" w:ascii="宋体" w:hAnsi="宋体" w:cs="宋体"/>
                <w:color w:val="auto"/>
                <w:sz w:val="24"/>
                <w:highlight w:val="none"/>
              </w:rPr>
              <w:t>不满足要求的不得分。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108" w:type="dxa"/>
            <w:vMerge w:val="continue"/>
            <w:noWrap w:val="0"/>
            <w:vAlign w:val="center"/>
          </w:tcPr>
          <w:p w14:paraId="419775A6">
            <w:pPr>
              <w:jc w:val="center"/>
              <w:rPr>
                <w:rFonts w:hint="eastAsia" w:ascii="宋体" w:hAnsi="宋体"/>
                <w:sz w:val="24"/>
                <w:szCs w:val="24"/>
                <w:highlight w:val="none"/>
              </w:rPr>
            </w:pPr>
          </w:p>
        </w:tc>
        <w:tc>
          <w:tcPr>
            <w:tcW w:w="626"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hint="eastAsia" w:ascii="宋体" w:hAnsi="宋体" w:cs="宋体"/>
                <w:sz w:val="24"/>
                <w:highlight w:val="none"/>
                <w:lang w:val="en-US" w:eastAsia="zh-CN"/>
              </w:rPr>
              <w:t>7</w:t>
            </w:r>
            <w:r>
              <w:rPr>
                <w:rFonts w:hint="eastAsia" w:ascii="宋体" w:hAnsi="宋体" w:eastAsia="宋体" w:cs="宋体"/>
                <w:sz w:val="24"/>
                <w:highlight w:val="none"/>
              </w:rPr>
              <w:t>分）</w:t>
            </w:r>
          </w:p>
        </w:tc>
        <w:tc>
          <w:tcPr>
            <w:tcW w:w="7083" w:type="dxa"/>
            <w:noWrap w:val="0"/>
            <w:vAlign w:val="center"/>
          </w:tcPr>
          <w:p w14:paraId="126E2D2E">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施工方案总体安排合理，运用先进、合理的施工工艺、施工机械，对施工难点有先进和合理的建议的得</w:t>
            </w:r>
            <w:r>
              <w:rPr>
                <w:rFonts w:hint="eastAsia" w:ascii="宋体" w:hAnsi="宋体" w:cs="宋体"/>
                <w:sz w:val="24"/>
                <w:highlight w:val="none"/>
                <w:lang w:val="en-US" w:eastAsia="zh-CN"/>
              </w:rPr>
              <w:t>7</w:t>
            </w:r>
            <w:r>
              <w:rPr>
                <w:rFonts w:hint="eastAsia" w:ascii="宋体" w:hAnsi="宋体" w:eastAsia="宋体" w:cs="宋体"/>
                <w:sz w:val="24"/>
                <w:highlight w:val="none"/>
              </w:rPr>
              <w:t>分；</w:t>
            </w:r>
          </w:p>
          <w:p w14:paraId="6F941BB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108" w:type="dxa"/>
            <w:vMerge w:val="continue"/>
            <w:noWrap w:val="0"/>
            <w:vAlign w:val="center"/>
          </w:tcPr>
          <w:p w14:paraId="54E1B03B">
            <w:pPr>
              <w:jc w:val="center"/>
              <w:rPr>
                <w:rFonts w:hint="eastAsia" w:ascii="宋体" w:hAnsi="宋体"/>
                <w:sz w:val="24"/>
                <w:szCs w:val="24"/>
                <w:highlight w:val="none"/>
              </w:rPr>
            </w:pPr>
          </w:p>
        </w:tc>
        <w:tc>
          <w:tcPr>
            <w:tcW w:w="626"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组织机构形式合理，对项目提出先进、可行、具体的保证措施的得6分；</w:t>
            </w:r>
          </w:p>
          <w:p w14:paraId="43CE713D">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组织机构形式基本合理，具体措施可行的得4分；</w:t>
            </w:r>
          </w:p>
          <w:p w14:paraId="2D17BDE5">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08" w:type="dxa"/>
            <w:vMerge w:val="continue"/>
            <w:noWrap w:val="0"/>
            <w:vAlign w:val="center"/>
          </w:tcPr>
          <w:p w14:paraId="349FBF4F">
            <w:pPr>
              <w:jc w:val="center"/>
              <w:rPr>
                <w:rFonts w:hint="eastAsia" w:ascii="宋体" w:hAnsi="宋体"/>
                <w:sz w:val="24"/>
                <w:szCs w:val="24"/>
                <w:highlight w:val="none"/>
              </w:rPr>
            </w:pPr>
          </w:p>
        </w:tc>
        <w:tc>
          <w:tcPr>
            <w:tcW w:w="626"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108" w:type="dxa"/>
            <w:vMerge w:val="continue"/>
            <w:noWrap w:val="0"/>
            <w:vAlign w:val="center"/>
          </w:tcPr>
          <w:p w14:paraId="2D5D731A">
            <w:pPr>
              <w:jc w:val="center"/>
              <w:rPr>
                <w:rFonts w:hint="eastAsia" w:ascii="宋体" w:hAnsi="宋体"/>
                <w:sz w:val="24"/>
                <w:szCs w:val="24"/>
                <w:highlight w:val="none"/>
              </w:rPr>
            </w:pPr>
          </w:p>
        </w:tc>
        <w:tc>
          <w:tcPr>
            <w:tcW w:w="626"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文明施工、环境保护管理体系健全，扬尘治理措施科学合理、先进可行的得6分；</w:t>
            </w:r>
          </w:p>
          <w:p w14:paraId="4ABCC640">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文明施工、环境保护管理体系基本健全，扬尘治理措施基本可行的得4分；</w:t>
            </w:r>
          </w:p>
          <w:p w14:paraId="5DC6A581">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08" w:type="dxa"/>
            <w:vMerge w:val="continue"/>
            <w:noWrap w:val="0"/>
            <w:vAlign w:val="center"/>
          </w:tcPr>
          <w:p w14:paraId="1499FF4B">
            <w:pPr>
              <w:jc w:val="center"/>
              <w:rPr>
                <w:rFonts w:hint="eastAsia" w:ascii="宋体" w:hAnsi="宋体"/>
                <w:sz w:val="24"/>
                <w:szCs w:val="24"/>
                <w:highlight w:val="none"/>
              </w:rPr>
            </w:pPr>
          </w:p>
        </w:tc>
        <w:tc>
          <w:tcPr>
            <w:tcW w:w="626"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工期承诺满足磋商文件要求，工期保证措施合理且有针对性，有具体的违约责任承诺的得6分；</w:t>
            </w:r>
          </w:p>
          <w:p w14:paraId="3F30AD6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工期承诺满足磋商文件要求，工期保证措施基本合理，有违约责任承诺的得4分；</w:t>
            </w:r>
          </w:p>
          <w:p w14:paraId="5F8E614F">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108" w:type="dxa"/>
            <w:vMerge w:val="continue"/>
            <w:noWrap w:val="0"/>
            <w:vAlign w:val="center"/>
          </w:tcPr>
          <w:p w14:paraId="708372E1">
            <w:pPr>
              <w:jc w:val="center"/>
              <w:rPr>
                <w:rFonts w:hint="eastAsia" w:ascii="宋体" w:hAnsi="宋体"/>
                <w:sz w:val="24"/>
                <w:szCs w:val="24"/>
                <w:highlight w:val="none"/>
              </w:rPr>
            </w:pPr>
          </w:p>
        </w:tc>
        <w:tc>
          <w:tcPr>
            <w:tcW w:w="626"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1F46F3D1">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机械设备配置合理、先进，劳动力、主要物资调配投入计划合理、准确的得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6ED3A7D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机械设备配置基本合理，劳动力、主要物资调配投入计划基本合理的得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19C7C76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b/>
                <w:bCs/>
                <w:sz w:val="24"/>
                <w:szCs w:val="24"/>
                <w:highlight w:val="none"/>
              </w:rPr>
            </w:pPr>
            <w:r>
              <w:rPr>
                <w:rFonts w:hint="eastAsia" w:ascii="宋体" w:hAnsi="宋体" w:eastAsia="宋体" w:cs="宋体"/>
                <w:sz w:val="24"/>
                <w:highlight w:val="none"/>
              </w:rPr>
              <w:t>拟投入资源配备计划一般的得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108" w:type="dxa"/>
            <w:vMerge w:val="continue"/>
            <w:noWrap w:val="0"/>
            <w:vAlign w:val="center"/>
          </w:tcPr>
          <w:p w14:paraId="43BAB21A">
            <w:pPr>
              <w:jc w:val="center"/>
              <w:rPr>
                <w:rFonts w:hint="eastAsia" w:ascii="宋体" w:hAnsi="宋体"/>
                <w:sz w:val="24"/>
                <w:szCs w:val="24"/>
                <w:highlight w:val="none"/>
              </w:rPr>
            </w:pPr>
          </w:p>
        </w:tc>
        <w:tc>
          <w:tcPr>
            <w:tcW w:w="626"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68FDAB2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关键线路清晰、准确、完整、计划编制合理、可行、满足磋商文件对工期的要求的得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07BEA79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关键线路基本准确，计划编制基本可行的得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7C4FDD80">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施工进度表或网络计划图一般的得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108" w:type="dxa"/>
            <w:vMerge w:val="continue"/>
            <w:noWrap w:val="0"/>
            <w:vAlign w:val="center"/>
          </w:tcPr>
          <w:p w14:paraId="4B8B2ECF">
            <w:pPr>
              <w:jc w:val="center"/>
              <w:rPr>
                <w:rFonts w:hint="eastAsia" w:ascii="宋体" w:hAnsi="宋体"/>
                <w:sz w:val="24"/>
                <w:szCs w:val="24"/>
                <w:highlight w:val="none"/>
              </w:rPr>
            </w:pPr>
          </w:p>
        </w:tc>
        <w:tc>
          <w:tcPr>
            <w:tcW w:w="626"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194E925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67D51ABA">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节能减排、绿色施工、工艺创新等技术创新的应用实施措施基本符合工程情况，具有针对性的得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3DD317FF">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技术创新的应用实施措施一般的得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08" w:type="dxa"/>
            <w:vMerge w:val="continue"/>
            <w:noWrap w:val="0"/>
            <w:vAlign w:val="center"/>
          </w:tcPr>
          <w:p w14:paraId="26EB82ED">
            <w:pPr>
              <w:jc w:val="center"/>
              <w:rPr>
                <w:rFonts w:hint="eastAsia" w:ascii="宋体" w:hAnsi="宋体"/>
                <w:sz w:val="24"/>
                <w:szCs w:val="24"/>
                <w:highlight w:val="none"/>
              </w:rPr>
            </w:pPr>
          </w:p>
        </w:tc>
        <w:tc>
          <w:tcPr>
            <w:tcW w:w="626"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8" w:type="dxa"/>
            <w:vMerge w:val="continue"/>
            <w:noWrap w:val="0"/>
            <w:vAlign w:val="center"/>
          </w:tcPr>
          <w:p w14:paraId="5EE66C69">
            <w:pPr>
              <w:jc w:val="center"/>
              <w:rPr>
                <w:rFonts w:hint="eastAsia" w:ascii="宋体" w:hAnsi="宋体"/>
                <w:sz w:val="24"/>
                <w:szCs w:val="24"/>
                <w:highlight w:val="none"/>
              </w:rPr>
            </w:pPr>
          </w:p>
        </w:tc>
        <w:tc>
          <w:tcPr>
            <w:tcW w:w="626"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108" w:type="dxa"/>
            <w:vMerge w:val="restart"/>
            <w:tcBorders>
              <w:right w:val="single" w:color="auto" w:sz="4" w:space="0"/>
            </w:tcBorders>
            <w:noWrap w:val="0"/>
            <w:vAlign w:val="center"/>
          </w:tcPr>
          <w:p w14:paraId="33EE4D4A">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1.2.4</w:t>
            </w:r>
          </w:p>
        </w:tc>
        <w:tc>
          <w:tcPr>
            <w:tcW w:w="626"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lang w:eastAsia="zh-CN"/>
              </w:rPr>
              <w:t>商务</w:t>
            </w:r>
            <w:r>
              <w:rPr>
                <w:rFonts w:hint="eastAsia" w:ascii="宋体" w:hAnsi="宋体"/>
                <w:sz w:val="24"/>
                <w:szCs w:val="24"/>
                <w:highlight w:val="none"/>
                <w:lang w:val="en-US" w:eastAsia="zh-CN"/>
              </w:rPr>
              <w:t>部分</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分）</w:t>
            </w:r>
          </w:p>
        </w:tc>
        <w:tc>
          <w:tcPr>
            <w:tcW w:w="1550" w:type="dxa"/>
            <w:noWrap w:val="0"/>
            <w:vAlign w:val="center"/>
          </w:tcPr>
          <w:p w14:paraId="28180BD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sz w:val="24"/>
                <w:szCs w:val="24"/>
                <w:highlight w:val="none"/>
              </w:rPr>
            </w:pPr>
            <w:r>
              <w:rPr>
                <w:rFonts w:hint="eastAsia" w:ascii="宋体" w:hAnsi="宋体"/>
                <w:sz w:val="24"/>
                <w:szCs w:val="24"/>
                <w:highlight w:val="none"/>
              </w:rPr>
              <w:t>企业业绩</w:t>
            </w:r>
          </w:p>
          <w:p w14:paraId="595798D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分）</w:t>
            </w:r>
          </w:p>
        </w:tc>
        <w:tc>
          <w:tcPr>
            <w:tcW w:w="7083" w:type="dxa"/>
            <w:noWrap w:val="0"/>
            <w:vAlign w:val="center"/>
          </w:tcPr>
          <w:p w14:paraId="04B65C08">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sz w:val="24"/>
                <w:szCs w:val="24"/>
              </w:rPr>
              <w:t>企业2021年1月1日以来企业承担过的类似工程业绩（提供中标通知书或合同协议书扫描件）每份</w:t>
            </w:r>
            <w:r>
              <w:rPr>
                <w:rFonts w:ascii="宋体" w:hAnsi="宋体"/>
                <w:sz w:val="24"/>
                <w:szCs w:val="24"/>
              </w:rPr>
              <w:t>2</w:t>
            </w:r>
            <w:r>
              <w:rPr>
                <w:rFonts w:hint="eastAsia" w:ascii="宋体" w:hAnsi="宋体"/>
                <w:sz w:val="24"/>
                <w:szCs w:val="24"/>
              </w:rPr>
              <w:t>分，最多得6分。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108"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noWrap w:val="0"/>
            <w:vAlign w:val="center"/>
          </w:tcPr>
          <w:p w14:paraId="44AFDCD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优惠承诺（</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w:t>
            </w:r>
          </w:p>
        </w:tc>
        <w:tc>
          <w:tcPr>
            <w:tcW w:w="7083" w:type="dxa"/>
            <w:noWrap w:val="0"/>
            <w:vAlign w:val="center"/>
          </w:tcPr>
          <w:p w14:paraId="51E02BB6">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sz w:val="24"/>
              </w:rPr>
            </w:pPr>
            <w:r>
              <w:rPr>
                <w:rFonts w:hint="eastAsia" w:ascii="宋体" w:hAnsi="宋体" w:cs="宋体"/>
                <w:sz w:val="24"/>
              </w:rPr>
              <w:t>优惠承诺符合工程实际情况，确保依法依规，优惠合理，详实可行的得6分；</w:t>
            </w:r>
          </w:p>
          <w:p w14:paraId="3AFA183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宋体" w:hAnsi="宋体" w:cs="宋体"/>
                <w:sz w:val="24"/>
              </w:rPr>
              <w:t>优惠承诺符合工程实际情况，确保依法依规，优惠基本合理，基本详实可行的得3分；</w:t>
            </w:r>
          </w:p>
          <w:p w14:paraId="4B855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highlight w:val="none"/>
                <w:lang w:eastAsia="zh-CN"/>
              </w:rPr>
            </w:pPr>
            <w:r>
              <w:rPr>
                <w:rFonts w:hint="eastAsia" w:ascii="宋体" w:hAnsi="宋体" w:cs="宋体"/>
                <w:sz w:val="24"/>
              </w:rPr>
              <w:t>优惠承诺一般的得</w:t>
            </w:r>
            <w:r>
              <w:rPr>
                <w:rFonts w:ascii="宋体" w:hAnsi="宋体" w:cs="宋体"/>
                <w:sz w:val="24"/>
              </w:rPr>
              <w:t>2</w:t>
            </w:r>
            <w:r>
              <w:rPr>
                <w:rFonts w:hint="eastAsia" w:ascii="宋体" w:hAnsi="宋体" w:cs="宋体"/>
                <w:sz w:val="24"/>
              </w:rPr>
              <w:t>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108"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595770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39502C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sz w:val="24"/>
                <w:highlight w:val="none"/>
              </w:rPr>
              <w:t>（</w:t>
            </w:r>
            <w:r>
              <w:rPr>
                <w:rFonts w:hint="eastAsia" w:ascii="宋体" w:hAnsi="宋体" w:cs="宋体"/>
                <w:b w:val="0"/>
                <w:bCs w:val="0"/>
                <w:sz w:val="24"/>
                <w:highlight w:val="none"/>
                <w:lang w:val="en-US" w:eastAsia="zh-CN"/>
              </w:rPr>
              <w:t>8</w:t>
            </w:r>
            <w:r>
              <w:rPr>
                <w:rFonts w:hint="eastAsia" w:ascii="宋体" w:hAnsi="宋体" w:eastAsia="宋体" w:cs="宋体"/>
                <w:b w:val="0"/>
                <w:bCs w:val="0"/>
                <w:sz w:val="24"/>
                <w:highlight w:val="none"/>
              </w:rPr>
              <w:t>分）</w:t>
            </w:r>
          </w:p>
        </w:tc>
        <w:tc>
          <w:tcPr>
            <w:tcW w:w="7083" w:type="dxa"/>
            <w:noWrap w:val="0"/>
            <w:vAlign w:val="center"/>
          </w:tcPr>
          <w:p w14:paraId="1B7E172B">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cs="宋体"/>
                <w:b w:val="0"/>
                <w:bCs w:val="0"/>
                <w:sz w:val="24"/>
                <w:highlight w:val="none"/>
                <w:lang w:val="en-US" w:eastAsia="zh-CN"/>
              </w:rPr>
              <w:t>8</w:t>
            </w:r>
            <w:r>
              <w:rPr>
                <w:rFonts w:hint="eastAsia" w:ascii="宋体" w:hAnsi="宋体" w:eastAsia="宋体" w:cs="宋体"/>
                <w:b w:val="0"/>
                <w:bCs w:val="0"/>
                <w:sz w:val="24"/>
                <w:highlight w:val="none"/>
              </w:rPr>
              <w:t>分；</w:t>
            </w:r>
          </w:p>
          <w:p w14:paraId="387D58AE">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具有可行、合法有效的保证技术措施落实到位的承诺和落实不到位的处理承诺的得</w:t>
            </w:r>
            <w:r>
              <w:rPr>
                <w:rFonts w:hint="eastAsia" w:ascii="宋体" w:hAnsi="宋体" w:cs="宋体"/>
                <w:b w:val="0"/>
                <w:bCs w:val="0"/>
                <w:sz w:val="24"/>
                <w:highlight w:val="none"/>
                <w:lang w:val="en-US" w:eastAsia="zh-CN"/>
              </w:rPr>
              <w:t>5</w:t>
            </w:r>
            <w:r>
              <w:rPr>
                <w:rFonts w:hint="eastAsia" w:ascii="宋体" w:hAnsi="宋体" w:eastAsia="宋体" w:cs="宋体"/>
                <w:b w:val="0"/>
                <w:bCs w:val="0"/>
                <w:sz w:val="24"/>
                <w:highlight w:val="none"/>
              </w:rPr>
              <w:t>分；</w:t>
            </w:r>
          </w:p>
          <w:p w14:paraId="453906C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履职尽责承诺一般的</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分</w:t>
            </w:r>
            <w:r>
              <w:rPr>
                <w:rFonts w:hint="eastAsia" w:ascii="宋体" w:hAnsi="宋体" w:eastAsia="宋体" w:cs="宋体"/>
                <w:b w:val="0"/>
                <w:bCs w:val="0"/>
                <w:sz w:val="24"/>
                <w:highlight w:val="none"/>
                <w:lang w:eastAsia="zh-CN"/>
              </w:rPr>
              <w:t>；</w:t>
            </w:r>
          </w:p>
          <w:p w14:paraId="4752C2C1">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此项未提供不得分。</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08"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0BB282AF">
      <w:pPr>
        <w:snapToGrid w:val="0"/>
        <w:spacing w:line="360" w:lineRule="auto"/>
        <w:ind w:firstLine="442" w:firstLineChars="200"/>
        <w:jc w:val="left"/>
        <w:rPr>
          <w:rFonts w:hint="eastAsia" w:ascii="宋体" w:hAnsi="宋体" w:eastAsia="宋体" w:cs="Times New Roman"/>
          <w:b/>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auto"/>
          <w:sz w:val="22"/>
          <w:szCs w:val="28"/>
        </w:rPr>
        <w:t>注</w:t>
      </w:r>
      <w:r>
        <w:rPr>
          <w:rFonts w:ascii="宋体" w:hAnsi="宋体" w:eastAsia="宋体" w:cs="宋体"/>
          <w:b/>
          <w:bCs/>
          <w:color w:val="auto"/>
          <w:sz w:val="22"/>
          <w:szCs w:val="28"/>
        </w:rPr>
        <w:t>:</w:t>
      </w:r>
      <w:r>
        <w:rPr>
          <w:rFonts w:hint="eastAsia" w:ascii="宋体" w:hAnsi="宋体" w:eastAsia="宋体" w:cs="宋体"/>
          <w:b/>
          <w:bCs/>
          <w:color w:val="auto"/>
          <w:sz w:val="22"/>
          <w:szCs w:val="28"/>
        </w:rPr>
        <w:t>评标打分部分仍按照100分制原则进行，涉及到资格审查、企业实力、企业业绩等计分部分时，以供应商自行上传到响应文件中的相应内容为准</w:t>
      </w:r>
      <w:r>
        <w:rPr>
          <w:rFonts w:hint="eastAsia" w:ascii="宋体" w:hAnsi="宋体" w:eastAsia="宋体" w:cs="宋体"/>
          <w:b/>
          <w:bCs/>
          <w:color w:val="auto"/>
          <w:sz w:val="22"/>
          <w:szCs w:val="28"/>
          <w:lang w:eastAsia="zh-CN"/>
        </w:rPr>
        <w:t>。</w:t>
      </w:r>
    </w:p>
    <w:p w14:paraId="4D3DEB41">
      <w:pPr>
        <w:pStyle w:val="6"/>
        <w:jc w:val="center"/>
        <w:rPr>
          <w:rFonts w:ascii="宋体" w:hAnsi="宋体" w:eastAsia="宋体" w:cs="宋体"/>
          <w:color w:val="000000" w:themeColor="text1"/>
          <w:kern w:val="36"/>
          <w:sz w:val="32"/>
          <w:szCs w:val="32"/>
          <w14:textFill>
            <w14:solidFill>
              <w14:schemeClr w14:val="tx1"/>
            </w14:solidFill>
          </w14:textFill>
        </w:rPr>
      </w:pPr>
    </w:p>
    <w:p w14:paraId="3EC06380">
      <w:pPr>
        <w:pStyle w:val="6"/>
        <w:jc w:val="center"/>
        <w:rPr>
          <w:rFonts w:ascii="宋体" w:hAnsi="宋体" w:eastAsia="宋体" w:cs="宋体"/>
          <w:color w:val="000000" w:themeColor="text1"/>
          <w:kern w:val="36"/>
          <w:sz w:val="32"/>
          <w:szCs w:val="32"/>
          <w14:textFill>
            <w14:solidFill>
              <w14:schemeClr w14:val="tx1"/>
            </w14:solidFill>
          </w14:textFill>
        </w:rPr>
      </w:pPr>
    </w:p>
    <w:p w14:paraId="2B5F462B">
      <w:pPr>
        <w:pStyle w:val="6"/>
        <w:jc w:val="center"/>
        <w:rPr>
          <w:rFonts w:ascii="宋体" w:hAnsi="宋体" w:eastAsia="宋体" w:cs="宋体"/>
          <w:color w:val="000000" w:themeColor="text1"/>
          <w:kern w:val="36"/>
          <w:sz w:val="32"/>
          <w:szCs w:val="32"/>
          <w14:textFill>
            <w14:solidFill>
              <w14:schemeClr w14:val="tx1"/>
            </w14:solidFill>
          </w14:textFill>
        </w:rPr>
      </w:pPr>
    </w:p>
    <w:p w14:paraId="767B4114">
      <w:pPr>
        <w:pStyle w:val="6"/>
        <w:jc w:val="center"/>
        <w:rPr>
          <w:rFonts w:ascii="宋体" w:hAnsi="宋体" w:eastAsia="宋体" w:cs="宋体"/>
          <w:color w:val="000000" w:themeColor="text1"/>
          <w:kern w:val="36"/>
          <w:sz w:val="32"/>
          <w:szCs w:val="32"/>
          <w14:textFill>
            <w14:solidFill>
              <w14:schemeClr w14:val="tx1"/>
            </w14:solidFill>
          </w14:textFill>
        </w:rPr>
      </w:pPr>
    </w:p>
    <w:p w14:paraId="6FCC6F31">
      <w:pPr>
        <w:pStyle w:val="6"/>
        <w:jc w:val="center"/>
        <w:rPr>
          <w:rFonts w:ascii="宋体" w:hAnsi="宋体" w:eastAsia="宋体" w:cs="宋体"/>
          <w:color w:val="000000" w:themeColor="text1"/>
          <w:kern w:val="36"/>
          <w:sz w:val="32"/>
          <w:szCs w:val="32"/>
          <w14:textFill>
            <w14:solidFill>
              <w14:schemeClr w14:val="tx1"/>
            </w14:solidFill>
          </w14:textFill>
        </w:rPr>
      </w:pPr>
    </w:p>
    <w:p w14:paraId="3F5F7FBD">
      <w:pPr>
        <w:pStyle w:val="6"/>
        <w:jc w:val="center"/>
        <w:rPr>
          <w:rFonts w:ascii="宋体" w:hAnsi="宋体" w:eastAsia="宋体" w:cs="宋体"/>
          <w:color w:val="000000" w:themeColor="text1"/>
          <w:kern w:val="36"/>
          <w:sz w:val="32"/>
          <w:szCs w:val="32"/>
          <w14:textFill>
            <w14:solidFill>
              <w14:schemeClr w14:val="tx1"/>
            </w14:solidFill>
          </w14:textFill>
        </w:rPr>
      </w:pPr>
    </w:p>
    <w:p w14:paraId="52F585F5">
      <w:pPr>
        <w:pStyle w:val="6"/>
        <w:jc w:val="center"/>
        <w:rPr>
          <w:rFonts w:ascii="宋体" w:hAnsi="宋体" w:eastAsia="宋体" w:cs="宋体"/>
          <w:color w:val="000000" w:themeColor="text1"/>
          <w:kern w:val="36"/>
          <w:sz w:val="32"/>
          <w:szCs w:val="32"/>
          <w14:textFill>
            <w14:solidFill>
              <w14:schemeClr w14:val="tx1"/>
            </w14:solidFill>
          </w14:textFill>
        </w:rPr>
      </w:pPr>
    </w:p>
    <w:p w14:paraId="53B8D6FD">
      <w:pPr>
        <w:pStyle w:val="6"/>
        <w:jc w:val="center"/>
        <w:rPr>
          <w:rFonts w:ascii="宋体" w:hAnsi="宋体" w:eastAsia="宋体" w:cs="宋体"/>
          <w:color w:val="000000" w:themeColor="text1"/>
          <w:kern w:val="36"/>
          <w:sz w:val="32"/>
          <w:szCs w:val="32"/>
          <w14:textFill>
            <w14:solidFill>
              <w14:schemeClr w14:val="tx1"/>
            </w14:solidFill>
          </w14:textFill>
        </w:rPr>
      </w:pPr>
    </w:p>
    <w:p w14:paraId="787CA0C7">
      <w:pPr>
        <w:pStyle w:val="6"/>
        <w:jc w:val="center"/>
        <w:rPr>
          <w:rFonts w:ascii="宋体" w:hAnsi="宋体" w:eastAsia="宋体" w:cs="宋体"/>
          <w:color w:val="000000" w:themeColor="text1"/>
          <w:kern w:val="36"/>
          <w:sz w:val="32"/>
          <w:szCs w:val="32"/>
          <w14:textFill>
            <w14:solidFill>
              <w14:schemeClr w14:val="tx1"/>
            </w14:solidFill>
          </w14:textFill>
        </w:rPr>
      </w:pPr>
    </w:p>
    <w:p w14:paraId="729A4AD2">
      <w:pPr>
        <w:rPr>
          <w:rFonts w:ascii="宋体" w:hAnsi="宋体" w:eastAsia="宋体" w:cs="宋体"/>
          <w:color w:val="000000" w:themeColor="text1"/>
          <w:kern w:val="36"/>
          <w:sz w:val="32"/>
          <w:szCs w:val="32"/>
          <w14:textFill>
            <w14:solidFill>
              <w14:schemeClr w14:val="tx1"/>
            </w14:solidFill>
          </w14:textFill>
        </w:rPr>
      </w:pPr>
    </w:p>
    <w:p w14:paraId="6040DA79">
      <w:pPr>
        <w:rPr>
          <w:rFonts w:ascii="宋体" w:hAnsi="宋体" w:eastAsia="宋体" w:cs="宋体"/>
          <w:color w:val="000000" w:themeColor="text1"/>
          <w:kern w:val="36"/>
          <w:sz w:val="32"/>
          <w:szCs w:val="32"/>
          <w14:textFill>
            <w14:solidFill>
              <w14:schemeClr w14:val="tx1"/>
            </w14:solidFill>
          </w14:textFill>
        </w:rPr>
      </w:pPr>
    </w:p>
    <w:p w14:paraId="5F10178A">
      <w:pPr>
        <w:rPr>
          <w:rFonts w:ascii="宋体" w:hAnsi="宋体" w:eastAsia="宋体" w:cs="宋体"/>
          <w:color w:val="000000" w:themeColor="text1"/>
          <w:kern w:val="36"/>
          <w:sz w:val="32"/>
          <w:szCs w:val="32"/>
          <w14:textFill>
            <w14:solidFill>
              <w14:schemeClr w14:val="tx1"/>
            </w14:solidFill>
          </w14:textFill>
        </w:rPr>
      </w:pPr>
    </w:p>
    <w:p w14:paraId="52ACDD69">
      <w:pPr>
        <w:rPr>
          <w:rFonts w:ascii="宋体" w:hAnsi="宋体" w:eastAsia="宋体" w:cs="宋体"/>
          <w:color w:val="000000" w:themeColor="text1"/>
          <w:kern w:val="36"/>
          <w:sz w:val="32"/>
          <w:szCs w:val="32"/>
          <w14:textFill>
            <w14:solidFill>
              <w14:schemeClr w14:val="tx1"/>
            </w14:solidFill>
          </w14:textFill>
        </w:rPr>
      </w:pPr>
    </w:p>
    <w:p w14:paraId="4BF08ECD">
      <w:pPr>
        <w:rPr>
          <w:rFonts w:ascii="宋体" w:hAnsi="宋体" w:eastAsia="宋体" w:cs="宋体"/>
          <w:color w:val="000000" w:themeColor="text1"/>
          <w:kern w:val="36"/>
          <w:sz w:val="32"/>
          <w:szCs w:val="32"/>
          <w14:textFill>
            <w14:solidFill>
              <w14:schemeClr w14:val="tx1"/>
            </w14:solidFill>
          </w14:textFill>
        </w:rPr>
      </w:pPr>
    </w:p>
    <w:p w14:paraId="13D6AADD">
      <w:pPr>
        <w:rPr>
          <w:rFonts w:ascii="宋体" w:hAnsi="宋体" w:eastAsia="宋体" w:cs="宋体"/>
          <w:color w:val="000000" w:themeColor="text1"/>
          <w:kern w:val="36"/>
          <w:sz w:val="32"/>
          <w:szCs w:val="32"/>
          <w14:textFill>
            <w14:solidFill>
              <w14:schemeClr w14:val="tx1"/>
            </w14:solidFill>
          </w14:textFill>
        </w:rPr>
      </w:pPr>
    </w:p>
    <w:p w14:paraId="01113BE4">
      <w:pPr>
        <w:rPr>
          <w:rFonts w:ascii="宋体" w:hAnsi="宋体" w:eastAsia="宋体" w:cs="宋体"/>
          <w:color w:val="000000" w:themeColor="text1"/>
          <w:kern w:val="36"/>
          <w:sz w:val="32"/>
          <w:szCs w:val="32"/>
          <w14:textFill>
            <w14:solidFill>
              <w14:schemeClr w14:val="tx1"/>
            </w14:solidFill>
          </w14:textFill>
        </w:rPr>
      </w:pPr>
    </w:p>
    <w:p w14:paraId="52DE69B9">
      <w:pPr>
        <w:pStyle w:val="6"/>
        <w:jc w:val="center"/>
        <w:rPr>
          <w:rFonts w:ascii="宋体" w:hAnsi="宋体" w:eastAsia="宋体" w:cs="宋体"/>
          <w:color w:val="000000" w:themeColor="text1"/>
          <w:kern w:val="36"/>
          <w:sz w:val="32"/>
          <w:szCs w:val="32"/>
          <w14:textFill>
            <w14:solidFill>
              <w14:schemeClr w14:val="tx1"/>
            </w14:solidFill>
          </w14:textFill>
        </w:rPr>
      </w:pPr>
    </w:p>
    <w:p w14:paraId="54FA96C5">
      <w:pPr>
        <w:pStyle w:val="6"/>
        <w:jc w:val="center"/>
        <w:outlineLvl w:val="2"/>
        <w:rPr>
          <w:rFonts w:hint="eastAsia"/>
        </w:rPr>
      </w:pPr>
      <w:r>
        <w:rPr>
          <w:rFonts w:ascii="宋体" w:hAnsi="宋体" w:eastAsia="宋体" w:cs="宋体"/>
          <w:color w:val="000000" w:themeColor="text1"/>
          <w:kern w:val="36"/>
          <w:sz w:val="32"/>
          <w:szCs w:val="32"/>
          <w14:textFill>
            <w14:solidFill>
              <w14:schemeClr w14:val="tx1"/>
            </w14:solidFill>
          </w14:textFill>
        </w:rPr>
        <w:t>评审标准</w:t>
      </w:r>
    </w:p>
    <w:p w14:paraId="2CA0CAD5">
      <w:pPr>
        <w:pStyle w:val="6"/>
        <w:rPr>
          <w:rFonts w:hint="eastAsia" w:ascii="宋体" w:hAnsi="宋体"/>
          <w:b/>
          <w:bCs/>
          <w:sz w:val="28"/>
          <w:szCs w:val="24"/>
          <w:lang w:val="en-US" w:eastAsia="zh-CN"/>
        </w:rPr>
      </w:pPr>
      <w:r>
        <w:rPr>
          <w:rFonts w:hint="eastAsia" w:ascii="宋体" w:hAnsi="宋体"/>
          <w:b/>
          <w:bCs/>
          <w:sz w:val="28"/>
          <w:szCs w:val="24"/>
          <w:lang w:val="en-US" w:eastAsia="zh-CN"/>
        </w:rPr>
        <w:t>二标段：</w:t>
      </w:r>
    </w:p>
    <w:tbl>
      <w:tblPr>
        <w:tblStyle w:val="18"/>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3"/>
        <w:gridCol w:w="484"/>
        <w:gridCol w:w="1009"/>
        <w:gridCol w:w="420"/>
        <w:gridCol w:w="5529"/>
      </w:tblGrid>
      <w:tr w14:paraId="27FCD6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6A45A496">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gridSpan w:val="4"/>
            <w:tcBorders>
              <w:top w:val="single" w:color="auto" w:sz="4" w:space="0"/>
              <w:left w:val="nil"/>
              <w:bottom w:val="single" w:color="auto" w:sz="4" w:space="0"/>
              <w:right w:val="single" w:color="auto" w:sz="4" w:space="0"/>
            </w:tcBorders>
            <w:noWrap w:val="0"/>
            <w:vAlign w:val="center"/>
          </w:tcPr>
          <w:p w14:paraId="781A202D">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CF3AC54">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36D35F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3" w:hRule="atLeast"/>
        </w:trPr>
        <w:tc>
          <w:tcPr>
            <w:tcW w:w="817" w:type="dxa"/>
            <w:vMerge w:val="restart"/>
            <w:tcBorders>
              <w:top w:val="single" w:color="auto" w:sz="4" w:space="0"/>
              <w:left w:val="single" w:color="auto" w:sz="4" w:space="0"/>
              <w:right w:val="single" w:color="auto" w:sz="4" w:space="0"/>
            </w:tcBorders>
            <w:noWrap w:val="0"/>
            <w:vAlign w:val="center"/>
          </w:tcPr>
          <w:p w14:paraId="71345B47">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1.1.1</w:t>
            </w:r>
          </w:p>
        </w:tc>
        <w:tc>
          <w:tcPr>
            <w:tcW w:w="1134" w:type="dxa"/>
            <w:vMerge w:val="restart"/>
            <w:tcBorders>
              <w:top w:val="single" w:color="auto" w:sz="4" w:space="0"/>
              <w:left w:val="single" w:color="auto" w:sz="4" w:space="0"/>
              <w:right w:val="single" w:color="auto" w:sz="4" w:space="0"/>
            </w:tcBorders>
            <w:noWrap w:val="0"/>
            <w:vAlign w:val="center"/>
          </w:tcPr>
          <w:p w14:paraId="1032C05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符合性评审标准</w:t>
            </w:r>
          </w:p>
        </w:tc>
        <w:tc>
          <w:tcPr>
            <w:tcW w:w="2126" w:type="dxa"/>
            <w:gridSpan w:val="4"/>
            <w:tcBorders>
              <w:top w:val="single" w:color="auto" w:sz="4" w:space="0"/>
              <w:left w:val="nil"/>
              <w:bottom w:val="single" w:color="auto" w:sz="4" w:space="0"/>
              <w:right w:val="single" w:color="auto" w:sz="4" w:space="0"/>
            </w:tcBorders>
            <w:noWrap w:val="0"/>
            <w:vAlign w:val="center"/>
          </w:tcPr>
          <w:p w14:paraId="34C05C8F">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供应商名称</w:t>
            </w:r>
          </w:p>
        </w:tc>
        <w:tc>
          <w:tcPr>
            <w:tcW w:w="5529" w:type="dxa"/>
            <w:tcBorders>
              <w:top w:val="single" w:color="auto" w:sz="4" w:space="0"/>
              <w:left w:val="nil"/>
              <w:bottom w:val="single" w:color="auto" w:sz="4" w:space="0"/>
              <w:right w:val="single" w:color="auto" w:sz="4" w:space="0"/>
            </w:tcBorders>
            <w:noWrap w:val="0"/>
            <w:vAlign w:val="center"/>
          </w:tcPr>
          <w:p w14:paraId="05A8FF96">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与营业执照一致</w:t>
            </w:r>
          </w:p>
        </w:tc>
      </w:tr>
      <w:tr w14:paraId="20D68D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2" w:hRule="atLeast"/>
        </w:trPr>
        <w:tc>
          <w:tcPr>
            <w:tcW w:w="817" w:type="dxa"/>
            <w:vMerge w:val="continue"/>
            <w:tcBorders>
              <w:left w:val="single" w:color="auto" w:sz="4" w:space="0"/>
              <w:bottom w:val="single" w:color="auto" w:sz="4" w:space="0"/>
              <w:right w:val="single" w:color="auto" w:sz="4" w:space="0"/>
            </w:tcBorders>
            <w:noWrap w:val="0"/>
            <w:vAlign w:val="center"/>
          </w:tcPr>
          <w:p w14:paraId="340CD6F0">
            <w:pPr>
              <w:spacing w:line="500" w:lineRule="exact"/>
              <w:jc w:val="center"/>
              <w:rPr>
                <w:rFonts w:hint="eastAsia" w:ascii="宋体" w:hAnsi="宋体"/>
                <w:sz w:val="24"/>
                <w:szCs w:val="24"/>
                <w:highlight w:val="none"/>
                <w:lang w:val="en-US" w:eastAsia="zh-CN"/>
              </w:rPr>
            </w:pPr>
          </w:p>
        </w:tc>
        <w:tc>
          <w:tcPr>
            <w:tcW w:w="1134" w:type="dxa"/>
            <w:vMerge w:val="continue"/>
            <w:tcBorders>
              <w:left w:val="single" w:color="auto" w:sz="4" w:space="0"/>
              <w:right w:val="single" w:color="auto" w:sz="4" w:space="0"/>
            </w:tcBorders>
            <w:noWrap w:val="0"/>
            <w:vAlign w:val="center"/>
          </w:tcPr>
          <w:p w14:paraId="3BAD2EF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39B6213D">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签字或盖章</w:t>
            </w:r>
          </w:p>
        </w:tc>
        <w:tc>
          <w:tcPr>
            <w:tcW w:w="5529" w:type="dxa"/>
            <w:tcBorders>
              <w:top w:val="single" w:color="auto" w:sz="4" w:space="0"/>
              <w:left w:val="nil"/>
              <w:bottom w:val="single" w:color="auto" w:sz="4" w:space="0"/>
              <w:right w:val="single" w:color="auto" w:sz="4" w:space="0"/>
            </w:tcBorders>
            <w:noWrap w:val="0"/>
            <w:vAlign w:val="center"/>
          </w:tcPr>
          <w:p w14:paraId="13412824">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按磋商文件要求签字或盖章</w:t>
            </w:r>
          </w:p>
        </w:tc>
      </w:tr>
      <w:tr w14:paraId="612480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7" w:hRule="atLeast"/>
        </w:trPr>
        <w:tc>
          <w:tcPr>
            <w:tcW w:w="817" w:type="dxa"/>
            <w:vMerge w:val="continue"/>
            <w:tcBorders>
              <w:left w:val="single" w:color="auto" w:sz="4" w:space="0"/>
              <w:bottom w:val="single" w:color="auto" w:sz="4" w:space="0"/>
              <w:right w:val="single" w:color="auto" w:sz="4" w:space="0"/>
            </w:tcBorders>
            <w:noWrap w:val="0"/>
            <w:vAlign w:val="center"/>
          </w:tcPr>
          <w:p w14:paraId="0D1D5D66">
            <w:pPr>
              <w:spacing w:line="500" w:lineRule="exact"/>
              <w:jc w:val="center"/>
              <w:rPr>
                <w:rFonts w:hint="eastAsia" w:ascii="宋体" w:hAnsi="宋体"/>
                <w:sz w:val="24"/>
                <w:szCs w:val="24"/>
                <w:highlight w:val="none"/>
                <w:lang w:val="en-US" w:eastAsia="zh-CN"/>
              </w:rPr>
            </w:pPr>
          </w:p>
        </w:tc>
        <w:tc>
          <w:tcPr>
            <w:tcW w:w="1134" w:type="dxa"/>
            <w:vMerge w:val="continue"/>
            <w:tcBorders>
              <w:left w:val="single" w:color="auto" w:sz="4" w:space="0"/>
              <w:bottom w:val="single" w:color="auto" w:sz="4" w:space="0"/>
              <w:right w:val="single" w:color="auto" w:sz="4" w:space="0"/>
            </w:tcBorders>
            <w:noWrap w:val="0"/>
            <w:vAlign w:val="center"/>
          </w:tcPr>
          <w:p w14:paraId="71F257F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345C54C1">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磋商报价</w:t>
            </w:r>
          </w:p>
        </w:tc>
        <w:tc>
          <w:tcPr>
            <w:tcW w:w="5529" w:type="dxa"/>
            <w:tcBorders>
              <w:top w:val="single" w:color="auto" w:sz="4" w:space="0"/>
              <w:left w:val="nil"/>
              <w:bottom w:val="single" w:color="auto" w:sz="4" w:space="0"/>
              <w:right w:val="single" w:color="auto" w:sz="4" w:space="0"/>
            </w:tcBorders>
            <w:noWrap w:val="0"/>
            <w:vAlign w:val="center"/>
          </w:tcPr>
          <w:p w14:paraId="4DBF273A">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供应商的磋商报价不得高于采购人的预算价，否则其投标将予否决。</w:t>
            </w:r>
          </w:p>
        </w:tc>
      </w:tr>
      <w:tr w14:paraId="5CABFE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5" w:hRule="atLeast"/>
        </w:trPr>
        <w:tc>
          <w:tcPr>
            <w:tcW w:w="817" w:type="dxa"/>
            <w:vMerge w:val="restart"/>
            <w:tcBorders>
              <w:top w:val="single" w:color="auto" w:sz="4" w:space="0"/>
              <w:left w:val="single" w:color="auto" w:sz="4" w:space="0"/>
              <w:right w:val="single" w:color="auto" w:sz="4" w:space="0"/>
            </w:tcBorders>
            <w:noWrap w:val="0"/>
            <w:vAlign w:val="center"/>
          </w:tcPr>
          <w:p w14:paraId="222EE1E0">
            <w:pPr>
              <w:spacing w:line="500" w:lineRule="exact"/>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1.1.2</w:t>
            </w:r>
          </w:p>
        </w:tc>
        <w:tc>
          <w:tcPr>
            <w:tcW w:w="1134" w:type="dxa"/>
            <w:vMerge w:val="restart"/>
            <w:tcBorders>
              <w:top w:val="single" w:color="auto" w:sz="4" w:space="0"/>
              <w:left w:val="single" w:color="auto" w:sz="4" w:space="0"/>
              <w:right w:val="single" w:color="auto" w:sz="4" w:space="0"/>
            </w:tcBorders>
            <w:noWrap w:val="0"/>
            <w:vAlign w:val="center"/>
          </w:tcPr>
          <w:p w14:paraId="3C3D61D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w:t>
            </w:r>
            <w:r>
              <w:rPr>
                <w:rFonts w:hint="eastAsia" w:asciiTheme="minorEastAsia" w:hAnsiTheme="minorEastAsia" w:eastAsiaTheme="minorEastAsia" w:cstheme="minorEastAsia"/>
                <w:sz w:val="24"/>
                <w:szCs w:val="24"/>
                <w:highlight w:val="none"/>
                <w:lang w:val="en-US" w:eastAsia="zh-CN"/>
              </w:rPr>
              <w:t>性</w:t>
            </w:r>
            <w:r>
              <w:rPr>
                <w:rFonts w:hint="eastAsia" w:asciiTheme="minorEastAsia" w:hAnsiTheme="minorEastAsia" w:eastAsiaTheme="minorEastAsia" w:cstheme="minorEastAsia"/>
                <w:sz w:val="24"/>
                <w:szCs w:val="24"/>
                <w:highlight w:val="none"/>
              </w:rPr>
              <w:t>评审标准</w:t>
            </w:r>
          </w:p>
        </w:tc>
        <w:tc>
          <w:tcPr>
            <w:tcW w:w="2126" w:type="dxa"/>
            <w:gridSpan w:val="4"/>
            <w:tcBorders>
              <w:top w:val="single" w:color="auto" w:sz="4" w:space="0"/>
              <w:left w:val="nil"/>
              <w:bottom w:val="single" w:color="auto" w:sz="4" w:space="0"/>
              <w:right w:val="single" w:color="auto" w:sz="4" w:space="0"/>
            </w:tcBorders>
            <w:shd w:val="clear" w:color="auto" w:fill="auto"/>
            <w:noWrap w:val="0"/>
            <w:vAlign w:val="center"/>
          </w:tcPr>
          <w:p w14:paraId="3D4DA17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shd w:val="clear" w:color="auto" w:fill="auto"/>
            <w:noWrap w:val="0"/>
            <w:vAlign w:val="center"/>
          </w:tcPr>
          <w:p w14:paraId="728D7A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满足《中华人民共和国政府采购法》第二十二条规定（相关证明资料或承诺书）</w:t>
            </w:r>
            <w:r>
              <w:rPr>
                <w:rFonts w:hint="eastAsia" w:asciiTheme="minorEastAsia" w:hAnsiTheme="minorEastAsia" w:eastAsiaTheme="minorEastAsia" w:cstheme="minorEastAsia"/>
                <w:sz w:val="24"/>
                <w:szCs w:val="24"/>
                <w:highlight w:val="none"/>
                <w:lang w:eastAsia="zh-CN"/>
              </w:rPr>
              <w:t>。</w:t>
            </w:r>
          </w:p>
        </w:tc>
      </w:tr>
      <w:tr w14:paraId="369126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60222660">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0856A5B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06E0F3D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营业执照</w:t>
            </w:r>
          </w:p>
        </w:tc>
        <w:tc>
          <w:tcPr>
            <w:tcW w:w="5529" w:type="dxa"/>
            <w:tcBorders>
              <w:top w:val="single" w:color="auto" w:sz="4" w:space="0"/>
              <w:left w:val="nil"/>
              <w:bottom w:val="single" w:color="auto" w:sz="4" w:space="0"/>
              <w:right w:val="single" w:color="auto" w:sz="4" w:space="0"/>
            </w:tcBorders>
            <w:noWrap w:val="0"/>
            <w:vAlign w:val="center"/>
          </w:tcPr>
          <w:p w14:paraId="03813031">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具备独立法人资格，具有合法有效的营业执照</w:t>
            </w:r>
          </w:p>
        </w:tc>
      </w:tr>
      <w:tr w14:paraId="653B34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5C985DE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EBDA74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6E3B5B4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没有重大违法记录</w:t>
            </w:r>
          </w:p>
        </w:tc>
        <w:tc>
          <w:tcPr>
            <w:tcW w:w="5529" w:type="dxa"/>
            <w:tcBorders>
              <w:top w:val="single" w:color="auto" w:sz="4" w:space="0"/>
              <w:left w:val="nil"/>
              <w:bottom w:val="single" w:color="auto" w:sz="4" w:space="0"/>
              <w:right w:val="single" w:color="auto" w:sz="4" w:space="0"/>
            </w:tcBorders>
            <w:noWrap w:val="0"/>
            <w:vAlign w:val="center"/>
          </w:tcPr>
          <w:p w14:paraId="01634B66">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供应商参加本次采购活动前三年内，在经营活动中没有重大违法记录（提供承诺书，格式自拟）；</w:t>
            </w:r>
          </w:p>
        </w:tc>
      </w:tr>
      <w:tr w14:paraId="0A1893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70" w:hRule="atLeast"/>
        </w:trPr>
        <w:tc>
          <w:tcPr>
            <w:tcW w:w="817" w:type="dxa"/>
            <w:vMerge w:val="continue"/>
            <w:tcBorders>
              <w:left w:val="single" w:color="auto" w:sz="4" w:space="0"/>
              <w:right w:val="single" w:color="auto" w:sz="4" w:space="0"/>
            </w:tcBorders>
            <w:noWrap w:val="0"/>
            <w:vAlign w:val="center"/>
          </w:tcPr>
          <w:p w14:paraId="310F2D33">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E7D886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right w:val="single" w:color="auto" w:sz="4" w:space="0"/>
            </w:tcBorders>
            <w:noWrap w:val="0"/>
            <w:vAlign w:val="center"/>
          </w:tcPr>
          <w:p w14:paraId="3DBADE6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B17EDE5">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出具本企业无商业贿赂和不正当竞争行为承诺书，格式自拟</w:t>
            </w:r>
          </w:p>
        </w:tc>
      </w:tr>
      <w:tr w14:paraId="42D3E2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6C378D30">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F85A4A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5BBC1C8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信用截图</w:t>
            </w:r>
          </w:p>
        </w:tc>
        <w:tc>
          <w:tcPr>
            <w:tcW w:w="5529" w:type="dxa"/>
            <w:tcBorders>
              <w:top w:val="single" w:color="auto" w:sz="4" w:space="0"/>
              <w:left w:val="nil"/>
              <w:bottom w:val="single" w:color="auto" w:sz="4" w:space="0"/>
              <w:right w:val="single" w:color="auto" w:sz="4" w:space="0"/>
            </w:tcBorders>
            <w:noWrap w:val="0"/>
            <w:vAlign w:val="center"/>
          </w:tcPr>
          <w:p w14:paraId="6DDC237D">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Theme="minorEastAsia" w:hAnsiTheme="minorEastAsia" w:eastAsiaTheme="minorEastAsia" w:cstheme="minorEastAsia"/>
                <w:kern w:val="0"/>
                <w:sz w:val="24"/>
                <w:szCs w:val="24"/>
                <w:highlight w:val="none"/>
                <w:lang w:eastAsia="zh-CN"/>
              </w:rPr>
              <w:t>，查询日期必须在公告发布之日之后</w:t>
            </w:r>
            <w:r>
              <w:rPr>
                <w:rFonts w:hint="eastAsia" w:asciiTheme="minorEastAsia" w:hAnsiTheme="minorEastAsia" w:eastAsiaTheme="minorEastAsia" w:cstheme="minorEastAsia"/>
                <w:kern w:val="0"/>
                <w:sz w:val="24"/>
                <w:szCs w:val="24"/>
                <w:highlight w:val="none"/>
              </w:rPr>
              <w:t>）</w:t>
            </w:r>
          </w:p>
        </w:tc>
      </w:tr>
      <w:tr w14:paraId="02093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3" w:hRule="atLeast"/>
        </w:trPr>
        <w:tc>
          <w:tcPr>
            <w:tcW w:w="817" w:type="dxa"/>
            <w:vMerge w:val="continue"/>
            <w:tcBorders>
              <w:left w:val="single" w:color="auto" w:sz="4" w:space="0"/>
              <w:right w:val="single" w:color="auto" w:sz="4" w:space="0"/>
            </w:tcBorders>
            <w:noWrap w:val="0"/>
            <w:vAlign w:val="center"/>
          </w:tcPr>
          <w:p w14:paraId="63D6CDF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3F6D123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6793878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其他要求</w:t>
            </w:r>
          </w:p>
        </w:tc>
        <w:tc>
          <w:tcPr>
            <w:tcW w:w="5529" w:type="dxa"/>
            <w:tcBorders>
              <w:top w:val="single" w:color="auto" w:sz="4" w:space="0"/>
              <w:left w:val="nil"/>
              <w:bottom w:val="single" w:color="auto" w:sz="4" w:space="0"/>
              <w:right w:val="single" w:color="auto" w:sz="4" w:space="0"/>
            </w:tcBorders>
            <w:noWrap w:val="0"/>
            <w:vAlign w:val="center"/>
          </w:tcPr>
          <w:p w14:paraId="41DCE3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tc>
      </w:tr>
      <w:tr w14:paraId="17CD1F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82" w:hRule="atLeast"/>
        </w:trPr>
        <w:tc>
          <w:tcPr>
            <w:tcW w:w="817" w:type="dxa"/>
            <w:vMerge w:val="continue"/>
            <w:tcBorders>
              <w:left w:val="single" w:color="auto" w:sz="4" w:space="0"/>
              <w:right w:val="single" w:color="auto" w:sz="4" w:space="0"/>
            </w:tcBorders>
            <w:noWrap w:val="0"/>
            <w:vAlign w:val="center"/>
          </w:tcPr>
          <w:p w14:paraId="30264760">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0977759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right w:val="single" w:color="auto" w:sz="4" w:space="0"/>
            </w:tcBorders>
            <w:noWrap w:val="0"/>
            <w:vAlign w:val="center"/>
          </w:tcPr>
          <w:p w14:paraId="14C3832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0"/>
                <w:sz w:val="24"/>
                <w:szCs w:val="24"/>
                <w:highlight w:val="none"/>
                <w:lang w:eastAsia="zh-CN"/>
              </w:rPr>
              <w:t>联合体</w:t>
            </w:r>
          </w:p>
        </w:tc>
        <w:tc>
          <w:tcPr>
            <w:tcW w:w="5529" w:type="dxa"/>
            <w:tcBorders>
              <w:top w:val="single" w:color="auto" w:sz="4" w:space="0"/>
              <w:left w:val="nil"/>
              <w:bottom w:val="single" w:color="auto" w:sz="4" w:space="0"/>
              <w:right w:val="single" w:color="auto" w:sz="4" w:space="0"/>
            </w:tcBorders>
            <w:noWrap w:val="0"/>
            <w:vAlign w:val="center"/>
          </w:tcPr>
          <w:p w14:paraId="0099575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本项目不允许联合体磋商，实行资格后审（提供非联合体声明函）</w:t>
            </w:r>
          </w:p>
        </w:tc>
      </w:tr>
      <w:tr w14:paraId="4AE83E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2F52B08B">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475D13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响应性</w:t>
            </w:r>
            <w:r>
              <w:rPr>
                <w:rFonts w:hint="eastAsia" w:asciiTheme="minorEastAsia" w:hAnsiTheme="minorEastAsia" w:eastAsiaTheme="minorEastAsia" w:cstheme="minorEastAsia"/>
                <w:sz w:val="24"/>
                <w:szCs w:val="24"/>
                <w:highlight w:val="none"/>
              </w:rPr>
              <w:t>评审</w:t>
            </w:r>
            <w:r>
              <w:rPr>
                <w:rFonts w:hint="eastAsia" w:asciiTheme="minorEastAsia" w:hAnsiTheme="minorEastAsia" w:eastAsiaTheme="minorEastAsia" w:cstheme="minorEastAsia"/>
                <w:sz w:val="24"/>
                <w:szCs w:val="24"/>
                <w:highlight w:val="none"/>
                <w:lang w:val="en-US" w:eastAsia="zh-CN"/>
              </w:rPr>
              <w:t>标准</w:t>
            </w:r>
          </w:p>
        </w:tc>
        <w:tc>
          <w:tcPr>
            <w:tcW w:w="2126" w:type="dxa"/>
            <w:gridSpan w:val="4"/>
            <w:tcBorders>
              <w:top w:val="single" w:color="auto" w:sz="4" w:space="0"/>
              <w:left w:val="single" w:color="auto" w:sz="4" w:space="0"/>
              <w:bottom w:val="single" w:color="auto" w:sz="4" w:space="0"/>
              <w:right w:val="single" w:color="auto" w:sz="4" w:space="0"/>
            </w:tcBorders>
            <w:noWrap w:val="0"/>
            <w:vAlign w:val="center"/>
          </w:tcPr>
          <w:p w14:paraId="684FF2E7">
            <w:pPr>
              <w:keepNext w:val="0"/>
              <w:keepLines w:val="0"/>
              <w:pageBreakBefore w:val="0"/>
              <w:widowControl w:val="0"/>
              <w:kinsoku/>
              <w:wordWrap/>
              <w:overflowPunct/>
              <w:topLinePunct w:val="0"/>
              <w:bidi w:val="0"/>
              <w:adjustRightInd/>
              <w:snapToGrid/>
              <w:spacing w:line="240" w:lineRule="auto"/>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AB03747">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宋体" w:hAnsi="宋体"/>
                <w:color w:val="auto"/>
                <w:sz w:val="24"/>
                <w:szCs w:val="24"/>
              </w:rPr>
              <w:t>本项目竞争性磋商文件、图纸、清单等列明的所有内容。</w:t>
            </w:r>
          </w:p>
        </w:tc>
      </w:tr>
      <w:tr w14:paraId="111D00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6"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A108196">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CF8BE1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113A2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lang w:val="en-US" w:eastAsia="zh-CN"/>
              </w:rPr>
              <w:t>供货期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C702A">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lang w:val="en-US" w:eastAsia="zh-CN"/>
              </w:rPr>
              <w:t>60日历天（完成安装及调试）</w:t>
            </w:r>
          </w:p>
        </w:tc>
      </w:tr>
      <w:tr w14:paraId="005511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0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8440320">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7C69DA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A05053A">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质保期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74B85">
            <w:pPr>
              <w:keepNext w:val="0"/>
              <w:keepLines w:val="0"/>
              <w:pageBreakBefore w:val="0"/>
              <w:widowControl w:val="0"/>
              <w:kinsoku/>
              <w:wordWrap/>
              <w:overflowPunct/>
              <w:topLinePunct w:val="0"/>
              <w:bidi w:val="0"/>
              <w:adjustRightInd/>
              <w:snapToGrid/>
              <w:spacing w:line="240" w:lineRule="auto"/>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1年</w:t>
            </w:r>
          </w:p>
        </w:tc>
      </w:tr>
      <w:tr w14:paraId="6BB60B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8"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A3D1A87">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F0BD25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E538431">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val="en-US" w:eastAsia="zh-CN"/>
              </w:rPr>
              <w:t>要求</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4D6702">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合格，符合国家及行业相关标准</w:t>
            </w:r>
          </w:p>
        </w:tc>
      </w:tr>
      <w:tr w14:paraId="6A6512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34D0BB6B">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287093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EFA9BC2">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磋商有效期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8992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磋商截止之日起</w:t>
            </w:r>
            <w:r>
              <w:rPr>
                <w:rFonts w:hint="eastAsia" w:asciiTheme="minorEastAsia" w:hAnsiTheme="minorEastAsia" w:eastAsiaTheme="minorEastAsia" w:cstheme="minorEastAsia"/>
                <w:bCs/>
                <w:color w:val="auto"/>
                <w:sz w:val="24"/>
                <w:szCs w:val="24"/>
                <w:lang w:val="en-US" w:eastAsia="zh-CN"/>
              </w:rPr>
              <w:t>60</w:t>
            </w:r>
            <w:r>
              <w:rPr>
                <w:rFonts w:hint="eastAsia" w:asciiTheme="minorEastAsia" w:hAnsiTheme="minorEastAsia" w:eastAsiaTheme="minorEastAsia" w:cstheme="minorEastAsia"/>
                <w:bCs/>
                <w:color w:val="auto"/>
                <w:sz w:val="24"/>
                <w:szCs w:val="24"/>
              </w:rPr>
              <w:t>日历天</w:t>
            </w:r>
          </w:p>
        </w:tc>
      </w:tr>
      <w:tr w14:paraId="38A15E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3"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7B90B3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EF2A39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right w:val="single" w:color="auto" w:sz="4" w:space="0"/>
            </w:tcBorders>
            <w:shd w:val="clear" w:color="auto" w:fill="auto"/>
            <w:noWrap w:val="0"/>
            <w:vAlign w:val="center"/>
          </w:tcPr>
          <w:p w14:paraId="1757A33F">
            <w:pPr>
              <w:keepNext w:val="0"/>
              <w:keepLines w:val="0"/>
              <w:pageBreakBefore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highlight w:val="none"/>
              </w:rPr>
              <w:t>磋商总报价</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20846">
            <w:pPr>
              <w:keepNext w:val="0"/>
              <w:keepLines w:val="0"/>
              <w:pageBreakBefore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highlight w:val="none"/>
              </w:rPr>
              <w:t>响应人磋商总报价不得高于招标人公布的招标控制价，否则其投标将予否决。</w:t>
            </w:r>
          </w:p>
        </w:tc>
      </w:tr>
      <w:tr w14:paraId="0B672D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867D251">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39D4100B">
            <w:pPr>
              <w:keepNext w:val="0"/>
              <w:keepLines w:val="0"/>
              <w:pageBreakBefore w:val="0"/>
              <w:widowControl w:val="0"/>
              <w:kinsoku/>
              <w:wordWrap/>
              <w:overflowPunct/>
              <w:topLinePunct w:val="0"/>
              <w:autoSpaceDE w:val="0"/>
              <w:autoSpaceDN w:val="0"/>
              <w:bidi w:val="0"/>
              <w:adjustRightInd/>
              <w:snapToGrid/>
              <w:spacing w:before="50" w:line="240" w:lineRule="auto"/>
              <w:ind w:right="97"/>
              <w:jc w:val="center"/>
              <w:textAlignment w:val="auto"/>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t>分值构成</w:t>
            </w:r>
          </w:p>
          <w:p w14:paraId="7F1876B0">
            <w:pPr>
              <w:keepNext w:val="0"/>
              <w:keepLines w:val="0"/>
              <w:pageBreakBefore w:val="0"/>
              <w:widowControl w:val="0"/>
              <w:kinsoku/>
              <w:wordWrap/>
              <w:overflowPunct/>
              <w:topLinePunct w:val="0"/>
              <w:autoSpaceDE w:val="0"/>
              <w:autoSpaceDN w:val="0"/>
              <w:bidi w:val="0"/>
              <w:adjustRightInd/>
              <w:snapToGrid/>
              <w:spacing w:before="50" w:line="240" w:lineRule="auto"/>
              <w:ind w:right="97" w:rightChars="0" w:firstLine="67" w:firstLineChars="28"/>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t>(总分100分)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1851A38">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磋商报价：30分；</w:t>
            </w:r>
          </w:p>
          <w:p w14:paraId="458BB937">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技术部分：</w:t>
            </w:r>
            <w:r>
              <w:rPr>
                <w:rFonts w:hint="eastAsia" w:asciiTheme="minorEastAsia" w:hAnsiTheme="minorEastAsia" w:eastAsiaTheme="minorEastAsia" w:cstheme="minorEastAsia"/>
                <w:color w:val="000000" w:themeColor="text1"/>
                <w:spacing w:val="-6"/>
                <w:kern w:val="0"/>
                <w:sz w:val="24"/>
                <w:szCs w:val="24"/>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分；</w:t>
            </w:r>
          </w:p>
          <w:p w14:paraId="7487DF84">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综合部分：</w:t>
            </w:r>
            <w:r>
              <w:rPr>
                <w:rFonts w:hint="eastAsia" w:asciiTheme="minorEastAsia" w:hAnsiTheme="minorEastAsia" w:eastAsiaTheme="minorEastAsia" w:cstheme="minorEastAsia"/>
                <w:color w:val="000000" w:themeColor="text1"/>
                <w:spacing w:val="-6"/>
                <w:kern w:val="0"/>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分。</w:t>
            </w:r>
          </w:p>
        </w:tc>
      </w:tr>
      <w:tr w14:paraId="62CC2C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0813B53">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1.2.2</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0B994EF5">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000000" w:themeColor="text1"/>
                <w:spacing w:val="1"/>
                <w:kern w:val="0"/>
                <w:sz w:val="24"/>
                <w:szCs w:val="24"/>
                <w14:textFill>
                  <w14:solidFill>
                    <w14:schemeClr w14:val="tx1"/>
                  </w14:solidFill>
                </w14:textFill>
              </w:rPr>
            </w:pPr>
            <w:r>
              <w:rPr>
                <w:rFonts w:hint="eastAsia" w:ascii="新宋体" w:hAnsi="新宋体" w:eastAsia="新宋体" w:cs="新宋体"/>
                <w:color w:val="000000" w:themeColor="text1"/>
                <w:spacing w:val="1"/>
                <w:kern w:val="0"/>
                <w:sz w:val="24"/>
                <w:szCs w:val="24"/>
                <w14:textFill>
                  <w14:solidFill>
                    <w14:schemeClr w14:val="tx1"/>
                  </w14:solidFill>
                </w14:textFill>
              </w:rPr>
              <w:t>磋商报价（30分）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7F0DDA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1、本项目设招标控制价，高于招标控制价的按废标处理。经评标委员会研究认定为恶意低价竞标的按废标处理。</w:t>
            </w:r>
          </w:p>
          <w:p w14:paraId="0920BA9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2、满足磋商文件要求且最后报价最低的响应人的价格为磋商基准价，其价格分为满分。其他响应人的价格分统一按照下列公式计算：</w:t>
            </w:r>
          </w:p>
          <w:p w14:paraId="4925BDB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磋商报价得分=（磋商基准价/最后磋商报价）×30%×100</w:t>
            </w:r>
          </w:p>
          <w:p w14:paraId="13A8777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项目评审过程中，不得去掉最后报价中的最高报价和最低报价。</w:t>
            </w:r>
          </w:p>
          <w:p w14:paraId="401D78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3、采购项目需要落实的政府采购政策：本项目执行促进中小型企业发展政策（残疾人福利性企业、监狱企业视同小微企业）、强制采购节能产品、优先采购节能环保产品等政府采购政策。</w:t>
            </w:r>
          </w:p>
          <w:p w14:paraId="3D42C0A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价格优惠：对中小企业的价格给予20%的扣除优惠，用扣除后的价格参与评审。</w:t>
            </w:r>
          </w:p>
          <w:p w14:paraId="014A87E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注：须提供《中小企业声明函》</w:t>
            </w:r>
          </w:p>
          <w:p w14:paraId="0CFF266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A7C0B3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14E829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restart"/>
            <w:tcBorders>
              <w:top w:val="single" w:color="auto" w:sz="4" w:space="0"/>
              <w:left w:val="single" w:color="auto" w:sz="4" w:space="0"/>
              <w:right w:val="single" w:color="auto" w:sz="4" w:space="0"/>
            </w:tcBorders>
            <w:noWrap w:val="0"/>
            <w:vAlign w:val="center"/>
          </w:tcPr>
          <w:p w14:paraId="40B93480">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1.2.3</w:t>
            </w:r>
          </w:p>
        </w:tc>
        <w:tc>
          <w:tcPr>
            <w:tcW w:w="1831" w:type="dxa"/>
            <w:gridSpan w:val="3"/>
            <w:vMerge w:val="restart"/>
            <w:tcBorders>
              <w:top w:val="single" w:color="auto" w:sz="4" w:space="0"/>
              <w:left w:val="single" w:color="auto" w:sz="4" w:space="0"/>
              <w:right w:val="single" w:color="auto" w:sz="4" w:space="0"/>
            </w:tcBorders>
            <w:noWrap w:val="0"/>
            <w:vAlign w:val="center"/>
          </w:tcPr>
          <w:p w14:paraId="424DDAFE">
            <w:pPr>
              <w:spacing w:line="44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技术部分</w:t>
            </w:r>
          </w:p>
          <w:p w14:paraId="22094EB0">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000000" w:themeColor="text1"/>
                <w:spacing w:val="1"/>
                <w:kern w:val="0"/>
                <w:sz w:val="24"/>
                <w:szCs w:val="24"/>
                <w14:textFill>
                  <w14:solidFill>
                    <w14:schemeClr w14:val="tx1"/>
                  </w14:solidFill>
                </w14:textFill>
              </w:rPr>
            </w:pPr>
            <w:r>
              <w:rPr>
                <w:rFonts w:hint="eastAsia" w:ascii="新宋体" w:hAnsi="新宋体" w:eastAsia="新宋体" w:cs="新宋体"/>
                <w:color w:val="auto"/>
                <w:sz w:val="24"/>
                <w:szCs w:val="24"/>
              </w:rPr>
              <w:t>（40分）</w:t>
            </w: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7684EA3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技术参数及要求符合情况（10分）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AFD68A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产品技术参数满足磋商文件要求得满分10分，每有一项负偏离扣0.5分，扣完为止。</w:t>
            </w:r>
          </w:p>
          <w:p w14:paraId="0B83CF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注：供应商在《技术</w:t>
            </w:r>
            <w:r>
              <w:rPr>
                <w:rFonts w:hint="eastAsia" w:asciiTheme="minorEastAsia" w:hAnsiTheme="minorEastAsia" w:eastAsiaTheme="minorEastAsia" w:cstheme="minorEastAsia"/>
                <w:color w:val="auto"/>
                <w:sz w:val="24"/>
                <w:szCs w:val="24"/>
                <w:lang w:val="en-US" w:eastAsia="zh-CN"/>
              </w:rPr>
              <w:t>规格偏离</w:t>
            </w:r>
            <w:r>
              <w:rPr>
                <w:rFonts w:hint="eastAsia" w:asciiTheme="minorEastAsia" w:hAnsiTheme="minorEastAsia" w:eastAsiaTheme="minorEastAsia" w:cstheme="minorEastAsia"/>
                <w:color w:val="auto"/>
                <w:sz w:val="24"/>
                <w:szCs w:val="24"/>
              </w:rPr>
              <w:t>表》的偏</w:t>
            </w:r>
            <w:r>
              <w:rPr>
                <w:rFonts w:hint="eastAsia" w:asciiTheme="minorEastAsia" w:hAnsiTheme="minorEastAsia" w:eastAsiaTheme="minorEastAsia" w:cstheme="minorEastAsia"/>
                <w:color w:val="auto"/>
                <w:sz w:val="24"/>
                <w:szCs w:val="24"/>
                <w:lang w:val="en-US" w:eastAsia="zh-CN"/>
              </w:rPr>
              <w:t>离</w:t>
            </w:r>
            <w:r>
              <w:rPr>
                <w:rFonts w:hint="eastAsia" w:asciiTheme="minorEastAsia" w:hAnsiTheme="minorEastAsia" w:eastAsiaTheme="minorEastAsia" w:cstheme="minorEastAsia"/>
                <w:color w:val="auto"/>
                <w:sz w:val="24"/>
                <w:szCs w:val="24"/>
              </w:rPr>
              <w:t>说明处填写 “正偏离、符合、负偏离”，并根据招标参数在相应的技术支持文件上做出醒目标注。</w:t>
            </w:r>
          </w:p>
          <w:p w14:paraId="7D2A66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color w:val="auto"/>
                <w:sz w:val="24"/>
                <w:szCs w:val="24"/>
              </w:rPr>
              <w:t>技术参数如有缺漏项的视为技术参数重大偏离，按无效标处理。</w:t>
            </w:r>
          </w:p>
        </w:tc>
      </w:tr>
      <w:tr w14:paraId="71901E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7D0DC645">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right w:val="single" w:color="auto" w:sz="4" w:space="0"/>
            </w:tcBorders>
            <w:noWrap w:val="0"/>
            <w:vAlign w:val="center"/>
          </w:tcPr>
          <w:p w14:paraId="32ECD292">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2EE88182">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服务方案</w:t>
            </w:r>
          </w:p>
          <w:p w14:paraId="5E9C51BD">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69CF40C">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1.项目服务方案内容详尽、完整、思路清晰；组织机构合理、人员分工明确；服务人员、送货车辆及所需设施配备齐全；具有科学、完整的应急保障方案和应急供货能力得10分；</w:t>
            </w:r>
          </w:p>
          <w:p w14:paraId="0F358A29">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2.项目服务方案内容较具体，较合理可行，组织机构较健全，人员及送货车辆等设施配备满足项目服务需要；有较科学、合理的应急供货保证方案得8分；</w:t>
            </w:r>
          </w:p>
          <w:p w14:paraId="45749C0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3.项目服务方案内容基本合理可行，有项目所需的服务人员及送货车辆等；有较科学、合理的应急供货保证方案得6分；</w:t>
            </w:r>
          </w:p>
          <w:p w14:paraId="26E48D2F">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4.有项目服务方案，服务方案内容基本满足项目需求得4分。</w:t>
            </w:r>
          </w:p>
          <w:p w14:paraId="56AC93DE">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5.完全不满足得0分。</w:t>
            </w:r>
          </w:p>
        </w:tc>
      </w:tr>
      <w:tr w14:paraId="44E74D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1ED1A338">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right w:val="single" w:color="auto" w:sz="4" w:space="0"/>
            </w:tcBorders>
            <w:noWrap w:val="0"/>
            <w:vAlign w:val="center"/>
          </w:tcPr>
          <w:p w14:paraId="49FA4DB5">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3F5B416E">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质量保证措施</w:t>
            </w:r>
          </w:p>
          <w:p w14:paraId="780611BD">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696261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质量保证措施（建立完善的设备质量管理制度，严格实行岗位质量规范及质量责任，产品标准，技术标准严格按照有关标准进行生产、销售及质量异常处理办法等）</w:t>
            </w:r>
          </w:p>
          <w:p w14:paraId="78F7943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1.有完善的产品质量管理制度，质量保证措施内容全面、合理以达到提高产品质量的目的，方案切实可行，切实合理可行，易于操作实现得10分；</w:t>
            </w:r>
          </w:p>
          <w:p w14:paraId="4E169352">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2.有较完善得产品质量管理制度，质量保证措施内容较全面、合理得8分；</w:t>
            </w:r>
          </w:p>
          <w:p w14:paraId="2674C42D">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3.质量保证措施内容合理、可行，较全面体现保证产品质量承诺得6分 ；</w:t>
            </w:r>
          </w:p>
          <w:p w14:paraId="168C99A0">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4.有质量保证措施，内容不够完善、不易实现得3分；</w:t>
            </w:r>
          </w:p>
          <w:p w14:paraId="4BDD42BD">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5.完全不满足得0分。</w:t>
            </w:r>
          </w:p>
        </w:tc>
      </w:tr>
      <w:tr w14:paraId="7F9DB3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bottom w:val="single" w:color="auto" w:sz="4" w:space="0"/>
              <w:right w:val="single" w:color="auto" w:sz="4" w:space="0"/>
            </w:tcBorders>
            <w:noWrap w:val="0"/>
            <w:vAlign w:val="center"/>
          </w:tcPr>
          <w:p w14:paraId="74B1A1B2">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bottom w:val="single" w:color="auto" w:sz="4" w:space="0"/>
              <w:right w:val="single" w:color="auto" w:sz="4" w:space="0"/>
            </w:tcBorders>
            <w:noWrap w:val="0"/>
            <w:vAlign w:val="center"/>
          </w:tcPr>
          <w:p w14:paraId="5945648F">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4A036127">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供货及安装方案</w:t>
            </w:r>
          </w:p>
          <w:p w14:paraId="4EFDAA6C">
            <w:pPr>
              <w:keepNext w:val="0"/>
              <w:keepLines w:val="0"/>
              <w:pageBreakBefore w:val="0"/>
              <w:kinsoku/>
              <w:wordWrap/>
              <w:overflowPunct/>
              <w:topLinePunct w:val="0"/>
              <w:bidi w:val="0"/>
              <w:adjustRightInd/>
              <w:snapToGrid w:val="0"/>
              <w:spacing w:line="24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5380E1C">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根据安装方案和技术指导措施的合理性、可实施性等方面，方案完整详实，针对性强，可行性强，提供的服务优于本项目采购需求的得4分；方案简单，基本完整，有一定针对性，满足本项目的采购需求的得2分；方案不够完整，缺乏针对性，可行性差，对本项目实施中有一定差距的得1分；不提供不得分。</w:t>
            </w:r>
          </w:p>
          <w:p w14:paraId="040E7972">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2、产品运输及保管方案合理得3分；基本合理得2分，不合理或不提供不得分。</w:t>
            </w:r>
          </w:p>
          <w:p w14:paraId="75719461">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供应计划保障措施计划切实可行、措施方案完整详实，针对性强，可行性强，提供的服务优于本项目采购需求的得3分；方案简单，基本完整，有一定针对性，满足本项目的采购需求的得2分；方案不够完整，缺乏针对性，可行性差，对本项目实施中有一定差距的得1分；不提供不得分。</w:t>
            </w:r>
          </w:p>
        </w:tc>
      </w:tr>
      <w:tr w14:paraId="737C3C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9507774">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tcBorders>
              <w:top w:val="single" w:color="auto" w:sz="4" w:space="0"/>
              <w:left w:val="single" w:color="auto" w:sz="4" w:space="0"/>
              <w:bottom w:val="single" w:color="auto" w:sz="4" w:space="0"/>
              <w:right w:val="single" w:color="auto" w:sz="4" w:space="0"/>
            </w:tcBorders>
            <w:noWrap w:val="0"/>
            <w:vAlign w:val="center"/>
          </w:tcPr>
          <w:p w14:paraId="19ED60A2">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6958" w:type="dxa"/>
            <w:gridSpan w:val="3"/>
            <w:tcBorders>
              <w:top w:val="single" w:color="auto" w:sz="4" w:space="0"/>
              <w:left w:val="single" w:color="auto" w:sz="4" w:space="0"/>
              <w:bottom w:val="single" w:color="auto" w:sz="4" w:space="0"/>
              <w:right w:val="single" w:color="auto" w:sz="4" w:space="0"/>
            </w:tcBorders>
            <w:noWrap w:val="0"/>
            <w:vAlign w:val="center"/>
          </w:tcPr>
          <w:p w14:paraId="01D3013C">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以上项目若有缺项的，该项为0分；不缺项的，不低于最低分。</w:t>
            </w:r>
          </w:p>
        </w:tc>
      </w:tr>
      <w:tr w14:paraId="0523B8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8" w:hRule="atLeast"/>
        </w:trPr>
        <w:tc>
          <w:tcPr>
            <w:tcW w:w="817" w:type="dxa"/>
            <w:vMerge w:val="restart"/>
            <w:tcBorders>
              <w:top w:val="single" w:color="auto" w:sz="4" w:space="0"/>
              <w:left w:val="single" w:color="auto" w:sz="4" w:space="0"/>
              <w:right w:val="single" w:color="auto" w:sz="4" w:space="0"/>
            </w:tcBorders>
            <w:noWrap w:val="0"/>
            <w:vAlign w:val="center"/>
          </w:tcPr>
          <w:p w14:paraId="42AB4C0E">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1.2.4</w:t>
            </w:r>
          </w:p>
        </w:tc>
        <w:tc>
          <w:tcPr>
            <w:tcW w:w="1347" w:type="dxa"/>
            <w:gridSpan w:val="2"/>
            <w:vMerge w:val="restart"/>
            <w:tcBorders>
              <w:top w:val="single" w:color="auto" w:sz="4" w:space="0"/>
              <w:left w:val="single" w:color="auto" w:sz="4" w:space="0"/>
              <w:right w:val="single" w:color="auto" w:sz="4" w:space="0"/>
            </w:tcBorders>
            <w:noWrap w:val="0"/>
            <w:vAlign w:val="center"/>
          </w:tcPr>
          <w:p w14:paraId="7709A947">
            <w:pPr>
              <w:spacing w:line="44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eastAsia="zh-CN"/>
              </w:rPr>
              <w:t>商务</w:t>
            </w:r>
            <w:r>
              <w:rPr>
                <w:rFonts w:hint="eastAsia" w:ascii="新宋体" w:hAnsi="新宋体" w:eastAsia="新宋体" w:cs="新宋体"/>
                <w:color w:val="auto"/>
                <w:sz w:val="24"/>
                <w:szCs w:val="24"/>
              </w:rPr>
              <w:t>部分</w:t>
            </w:r>
          </w:p>
          <w:p w14:paraId="030701B9">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（30分）</w:t>
            </w: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A40A4EF">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企业业绩</w:t>
            </w:r>
          </w:p>
          <w:p w14:paraId="00E4C674">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（9分）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5C2E3F4">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自202</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年1月1日（以合同签订时间为准）以来，供应商具有类似项目业绩合同，每有一份得3分，最多得9分。（在响应文件中附合同协议书复印件并加盖公章，否则不得分）</w:t>
            </w:r>
          </w:p>
        </w:tc>
      </w:tr>
      <w:tr w14:paraId="0B72F8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7" w:hRule="atLeast"/>
        </w:trPr>
        <w:tc>
          <w:tcPr>
            <w:tcW w:w="817" w:type="dxa"/>
            <w:vMerge w:val="continue"/>
            <w:tcBorders>
              <w:left w:val="single" w:color="auto" w:sz="4" w:space="0"/>
              <w:right w:val="single" w:color="auto" w:sz="4" w:space="0"/>
            </w:tcBorders>
            <w:noWrap w:val="0"/>
            <w:vAlign w:val="center"/>
          </w:tcPr>
          <w:p w14:paraId="337EA2BD">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5F11A00D">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E89211D">
            <w:pPr>
              <w:keepNext w:val="0"/>
              <w:keepLines w:val="0"/>
              <w:pageBreakBefore w:val="0"/>
              <w:kinsoku/>
              <w:wordWrap/>
              <w:overflowPunct/>
              <w:topLinePunct w:val="0"/>
              <w:bidi w:val="0"/>
              <w:adjustRightInd/>
              <w:spacing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服务承诺</w:t>
            </w:r>
          </w:p>
          <w:p w14:paraId="34ABFFD4">
            <w:pPr>
              <w:keepNext w:val="0"/>
              <w:keepLines w:val="0"/>
              <w:pageBreakBefore w:val="0"/>
              <w:kinsoku/>
              <w:wordWrap/>
              <w:overflowPunct/>
              <w:topLinePunct w:val="0"/>
              <w:bidi w:val="0"/>
              <w:adjustRightIn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303B7F09">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服务承诺至少包含设备故障的响应时间、问题处理、定期巡检方案、培训等售后服务内容。</w:t>
            </w:r>
          </w:p>
          <w:p w14:paraId="1C4F3EB7">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1.提供详细的服务承诺，包括联系人、联系方式、问题解决质量、送货方式等服务承诺及供应商认为需要说明的其他服务计划等，承诺内容完整、合理、可行得10分。</w:t>
            </w:r>
          </w:p>
          <w:p w14:paraId="5F933B83">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2.服务承诺有联系人、联系方式、问题解决质量、送货方式等服务承诺，承诺内容较完善得6分。</w:t>
            </w:r>
          </w:p>
          <w:p w14:paraId="4809733E">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3.服务承诺内容一般，基本符合项目需求得2分。</w:t>
            </w:r>
          </w:p>
          <w:p w14:paraId="02E5E302">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4.服务承诺完全不符合项目要求得0分。</w:t>
            </w:r>
          </w:p>
        </w:tc>
      </w:tr>
      <w:tr w14:paraId="658918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12328E48">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1ACDFB29">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496596">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color w:val="auto"/>
                <w:kern w:val="0"/>
                <w:sz w:val="24"/>
                <w:szCs w:val="24"/>
                <w:lang w:val="en-US" w:eastAsia="zh-CN" w:bidi="ar-SA"/>
              </w:rPr>
            </w:pPr>
            <w:r>
              <w:rPr>
                <w:rFonts w:hint="default" w:asciiTheme="minorEastAsia" w:hAnsiTheme="minorEastAsia" w:eastAsiaTheme="minorEastAsia" w:cstheme="minorEastAsia"/>
                <w:color w:val="auto"/>
                <w:kern w:val="0"/>
                <w:sz w:val="24"/>
                <w:szCs w:val="24"/>
              </w:rPr>
              <w:t>应急处理方案（</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612C7F3">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w:t>
            </w:r>
            <w:r>
              <w:rPr>
                <w:rFonts w:hint="default" w:asciiTheme="minorEastAsia" w:hAnsiTheme="minorEastAsia" w:eastAsiaTheme="minorEastAsia" w:cstheme="minorEastAsia"/>
                <w:color w:val="auto"/>
                <w:kern w:val="0"/>
                <w:sz w:val="24"/>
                <w:szCs w:val="24"/>
              </w:rPr>
              <w:t>提供科学可行的应急处理方案；</w:t>
            </w:r>
          </w:p>
          <w:p w14:paraId="0CA19951">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内容完整、切实可行，完全符合本项目需求的得</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分；</w:t>
            </w:r>
          </w:p>
          <w:p w14:paraId="5170CF51">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内容较为完善、较切实可行，较符合本项目需求的得，得</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p w14:paraId="3C0A05EB">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内容基本完善，基本可行，基本符合本项目需求的得</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分；</w:t>
            </w:r>
          </w:p>
          <w:p w14:paraId="11D8D80F">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内容存在不合理项、存在实施难度的得2分；</w:t>
            </w:r>
          </w:p>
          <w:p w14:paraId="696558CE">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内容前后不连贯导致语义不明或存在与本项目无关内容的得1分；</w:t>
            </w:r>
          </w:p>
          <w:p w14:paraId="1307E054">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未针对本项描述的得0分。</w:t>
            </w:r>
          </w:p>
        </w:tc>
      </w:tr>
      <w:tr w14:paraId="2843E9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3F6889E0">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7FD8BF4A">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B09BF70">
            <w:pPr>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lang w:val="zh-CN"/>
              </w:rPr>
            </w:pPr>
            <w:r>
              <w:rPr>
                <w:rFonts w:hint="eastAsia" w:ascii="宋体" w:hAnsi="宋体" w:eastAsia="宋体" w:cs="宋体"/>
                <w:sz w:val="24"/>
                <w:szCs w:val="24"/>
                <w:lang w:val="zh-CN"/>
              </w:rPr>
              <w:t>售后服务</w:t>
            </w:r>
          </w:p>
          <w:p w14:paraId="0FB2691A">
            <w:pPr>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70B51DD">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有健全的售后服务规章制度、用户档案、用户保修卡、维修服务准则，售后服务体系完整、计划可行，包括交货期、售后服务、响应时间、解决问题时间的，</w:t>
            </w:r>
            <w:r>
              <w:rPr>
                <w:rFonts w:hint="eastAsia" w:ascii="宋体" w:hAnsi="宋体" w:eastAsia="宋体" w:cs="宋体"/>
                <w:sz w:val="24"/>
                <w:szCs w:val="24"/>
                <w:lang w:val="en-US" w:eastAsia="zh-CN"/>
              </w:rPr>
              <w:t>承诺内容详实，考虑周全，针对性强的得3</w:t>
            </w:r>
            <w:r>
              <w:rPr>
                <w:rFonts w:hint="eastAsia" w:ascii="宋体" w:hAnsi="宋体" w:eastAsia="宋体" w:cs="宋体"/>
                <w:sz w:val="24"/>
                <w:szCs w:val="24"/>
                <w:lang w:val="zh-CN"/>
              </w:rPr>
              <w:t>分；</w:t>
            </w:r>
          </w:p>
          <w:p w14:paraId="09D233D6">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rPr>
              <w:t>承诺内容简单，考虑基本周全，针对性一般的得 2分；承诺基本完整、考虑不周全得1分。不提供不得分。</w:t>
            </w:r>
          </w:p>
        </w:tc>
      </w:tr>
      <w:tr w14:paraId="1F6714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bottom w:val="single" w:color="auto" w:sz="4" w:space="0"/>
              <w:right w:val="single" w:color="auto" w:sz="4" w:space="0"/>
            </w:tcBorders>
            <w:noWrap w:val="0"/>
            <w:vAlign w:val="center"/>
          </w:tcPr>
          <w:p w14:paraId="5727C0C7">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bottom w:val="single" w:color="auto" w:sz="4" w:space="0"/>
              <w:right w:val="single" w:color="auto" w:sz="4" w:space="0"/>
            </w:tcBorders>
            <w:noWrap w:val="0"/>
            <w:vAlign w:val="center"/>
          </w:tcPr>
          <w:p w14:paraId="7C8C80EC">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D58B397">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优惠承诺</w:t>
            </w:r>
          </w:p>
          <w:p w14:paraId="1668F044">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（2分）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00201D3">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优惠承诺应是符合项目的实质性优惠承诺，确保依法依规，优惠合理，详实可行的，得2分；</w:t>
            </w:r>
          </w:p>
          <w:p w14:paraId="1C50993C">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基本合理，可行的，得1分；缺项不得分。</w:t>
            </w:r>
          </w:p>
        </w:tc>
      </w:tr>
    </w:tbl>
    <w:p w14:paraId="737D78EB">
      <w:pPr>
        <w:snapToGrid w:val="0"/>
        <w:spacing w:line="360" w:lineRule="auto"/>
        <w:ind w:firstLine="482" w:firstLineChars="200"/>
        <w:jc w:val="left"/>
        <w:rPr>
          <w:rFonts w:hint="eastAsia" w:ascii="新宋体" w:hAnsi="新宋体" w:eastAsia="新宋体" w:cs="新宋体"/>
          <w:b/>
          <w:bCs/>
          <w:color w:val="auto"/>
          <w:sz w:val="24"/>
          <w:szCs w:val="24"/>
          <w:lang w:val="en-US" w:eastAsia="zh-CN"/>
        </w:rPr>
      </w:pPr>
      <w:r>
        <w:rPr>
          <w:rFonts w:hint="eastAsia" w:ascii="新宋体" w:hAnsi="新宋体" w:eastAsia="新宋体" w:cs="新宋体"/>
          <w:b/>
          <w:bCs/>
          <w:color w:val="auto"/>
          <w:sz w:val="24"/>
          <w:szCs w:val="24"/>
        </w:rPr>
        <w:t>注:评标打分部分仍按照100分制原则进行，涉及到资格审查、企业实力、企业业绩等计分部分时，以供应商自行上传到响应文件中的相应内容为准</w:t>
      </w:r>
      <w:r>
        <w:rPr>
          <w:rFonts w:hint="eastAsia" w:ascii="新宋体" w:hAnsi="新宋体" w:eastAsia="新宋体" w:cs="新宋体"/>
          <w:b/>
          <w:bCs/>
          <w:color w:val="auto"/>
          <w:sz w:val="24"/>
          <w:szCs w:val="24"/>
          <w:lang w:eastAsia="zh-CN"/>
        </w:rPr>
        <w:t>。</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2、各评委独立评分。响应人的综合评分为在最大限度地满足竞争性磋商文件实质性要求的前提下，按照竞争性磋商文件中规定的各项因素进行综合评审后，汇总全部评委评分后进行求和的算术平均值。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磋商小组依据各响应人最终得分由高到低的顺序推荐成交候选人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宋体" w:hAnsi="宋体" w:eastAsia="宋体" w:cs="Times New Roman"/>
          <w:color w:val="000000" w:themeColor="text1"/>
          <w:sz w:val="24"/>
          <w:szCs w:val="24"/>
          <w:highlight w:val="none"/>
          <w14:textFill>
            <w14:solidFill>
              <w14:schemeClr w14:val="tx1"/>
            </w14:solidFill>
          </w14:textFill>
        </w:rPr>
      </w:pPr>
      <w:bookmarkStart w:id="114" w:name="_Toc31874"/>
      <w:r>
        <w:rPr>
          <w:rFonts w:hint="eastAsia" w:ascii="宋体" w:hAnsi="宋体" w:eastAsia="宋体" w:cs="Times New Roman"/>
          <w:color w:val="000000" w:themeColor="text1"/>
          <w:sz w:val="24"/>
          <w:szCs w:val="24"/>
          <w:highlight w:val="none"/>
          <w14:textFill>
            <w14:solidFill>
              <w14:schemeClr w14:val="tx1"/>
            </w14:solidFill>
          </w14:textFill>
        </w:rPr>
        <w:t>3、价格调整要素及价格折扣幅度说明：</w:t>
      </w:r>
      <w:bookmarkEnd w:id="114"/>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磋商小组根据政府采购法相关规定，对有效投标、符合价格折扣条件的供应商，按照价格调整因素及比例进行报价调整，以调整后的价格作为响应人的评标价。</w:t>
      </w:r>
    </w:p>
    <w:p w14:paraId="4E1CE535">
      <w:pPr>
        <w:snapToGrid w:val="0"/>
        <w:spacing w:line="360" w:lineRule="auto"/>
        <w:ind w:firstLine="480" w:firstLineChars="200"/>
        <w:jc w:val="both"/>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78DB37">
      <w:pPr>
        <w:pStyle w:val="2"/>
        <w:bidi w:val="0"/>
        <w:jc w:val="center"/>
        <w:rPr>
          <w:rFonts w:hint="eastAsia"/>
        </w:rPr>
      </w:pPr>
      <w:r>
        <w:rPr>
          <w:rFonts w:ascii="宋体" w:hAnsi="宋体" w:cs="宋体"/>
          <w:b/>
          <w:bCs/>
          <w:szCs w:val="36"/>
          <w:highlight w:val="none"/>
        </w:rPr>
        <w:br w:type="page"/>
      </w:r>
      <w:bookmarkStart w:id="115" w:name="_Toc15593"/>
      <w:r>
        <w:rPr>
          <w:rFonts w:hint="eastAsia"/>
        </w:rPr>
        <w:t>第四章  合同条款及格式</w:t>
      </w:r>
      <w:bookmarkEnd w:id="113"/>
      <w:bookmarkEnd w:id="115"/>
      <w:bookmarkStart w:id="116" w:name="_Toc7548"/>
    </w:p>
    <w:bookmarkEnd w:id="116"/>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1038C320">
      <w:pPr>
        <w:jc w:val="center"/>
        <w:rPr>
          <w:rFonts w:hint="eastAsia" w:ascii="宋体" w:hAnsi="宋体"/>
          <w:color w:val="000000" w:themeColor="text1"/>
          <w:sz w:val="30"/>
          <w:szCs w:val="30"/>
          <w:highlight w:val="none"/>
          <w14:textFill>
            <w14:solidFill>
              <w14:schemeClr w14:val="tx1"/>
            </w14:solidFill>
          </w14:textFill>
        </w:rPr>
      </w:pPr>
      <w:r>
        <w:rPr>
          <w:rFonts w:hint="eastAsia"/>
          <w:bCs/>
          <w:color w:val="000000" w:themeColor="text1"/>
          <w:sz w:val="24"/>
          <w:szCs w:val="24"/>
          <w14:textFill>
            <w14:solidFill>
              <w14:schemeClr w14:val="tx1"/>
            </w14:solidFill>
          </w14:textFill>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outlineLvl w:val="0"/>
        <w:rPr>
          <w:rFonts w:hint="eastAsia" w:ascii="Times New Roman" w:hAnsi="Times New Roman" w:eastAsia="华文中宋"/>
          <w:b/>
          <w:sz w:val="56"/>
          <w:szCs w:val="48"/>
          <w:highlight w:val="none"/>
          <w:lang w:val="en-US" w:eastAsia="zh-CN"/>
        </w:rPr>
      </w:pPr>
      <w:bookmarkStart w:id="117" w:name="_Toc7582"/>
      <w:r>
        <w:rPr>
          <w:rFonts w:hint="eastAsia" w:eastAsia="华文中宋"/>
          <w:b/>
          <w:sz w:val="56"/>
          <w:szCs w:val="48"/>
          <w:highlight w:val="none"/>
          <w:lang w:val="en-US" w:eastAsia="zh-CN"/>
        </w:rPr>
        <w:t>一标段</w:t>
      </w:r>
      <w:bookmarkEnd w:id="117"/>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FE4915">
      <w:pPr>
        <w:spacing w:line="360" w:lineRule="auto"/>
        <w:jc w:val="both"/>
        <w:outlineLvl w:val="9"/>
        <w:rPr>
          <w:rFonts w:hint="eastAsia" w:ascii="宋体" w:hAnsi="宋体"/>
          <w:b/>
          <w:bCs/>
          <w:sz w:val="32"/>
          <w:szCs w:val="32"/>
          <w:highlight w:val="none"/>
        </w:rPr>
      </w:pPr>
      <w:bookmarkStart w:id="118" w:name="_Toc14975637"/>
      <w:bookmarkStart w:id="119" w:name="_Toc529438828"/>
      <w:bookmarkStart w:id="120" w:name="_Toc500423701"/>
    </w:p>
    <w:p w14:paraId="1018145D">
      <w:pPr>
        <w:spacing w:line="360" w:lineRule="auto"/>
        <w:jc w:val="center"/>
        <w:outlineLvl w:val="1"/>
        <w:rPr>
          <w:rFonts w:ascii="宋体" w:hAnsi="宋体"/>
          <w:b/>
          <w:bCs/>
          <w:sz w:val="32"/>
          <w:szCs w:val="32"/>
          <w:highlight w:val="none"/>
        </w:rPr>
      </w:pPr>
      <w:r>
        <w:rPr>
          <w:rFonts w:hint="eastAsia" w:ascii="宋体" w:hAnsi="宋体"/>
          <w:b/>
          <w:bCs/>
          <w:sz w:val="32"/>
          <w:szCs w:val="32"/>
          <w:highlight w:val="none"/>
        </w:rPr>
        <w:t>一、</w:t>
      </w:r>
      <w:r>
        <w:rPr>
          <w:rFonts w:ascii="宋体" w:hAnsi="宋体"/>
          <w:b/>
          <w:bCs/>
          <w:sz w:val="32"/>
          <w:szCs w:val="32"/>
          <w:highlight w:val="none"/>
        </w:rPr>
        <w:t>合同协议书</w:t>
      </w:r>
      <w:bookmarkEnd w:id="118"/>
      <w:bookmarkEnd w:id="119"/>
      <w:bookmarkEnd w:id="120"/>
    </w:p>
    <w:p w14:paraId="16CB06E5">
      <w:pPr>
        <w:tabs>
          <w:tab w:val="left" w:pos="5835"/>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eastAsia"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293355F2">
      <w:pPr>
        <w:widowControl/>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433EA8C6">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eastAsia" w:ascii="宋体" w:hAnsi="宋体" w:cs="宋体"/>
          <w:color w:val="FF0000"/>
          <w:szCs w:val="21"/>
          <w:highlight w:val="none"/>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eastAsia="宋体" w:cs="宋体"/>
          <w:szCs w:val="21"/>
          <w:highlight w:val="none"/>
          <w:u w:val="single"/>
        </w:rPr>
        <w:t xml:space="preserve"> 本项目竞争性磋商文件、</w:t>
      </w:r>
      <w:r>
        <w:rPr>
          <w:rFonts w:hint="eastAsia" w:ascii="宋体" w:hAnsi="宋体" w:eastAsia="宋体" w:cs="宋体"/>
          <w:color w:val="auto"/>
          <w:szCs w:val="21"/>
          <w:highlight w:val="none"/>
          <w:u w:val="single"/>
        </w:rPr>
        <w:t>图纸</w:t>
      </w:r>
      <w:r>
        <w:rPr>
          <w:rFonts w:hint="eastAsia" w:ascii="宋体" w:hAnsi="宋体" w:eastAsia="宋体" w:cs="宋体"/>
          <w:szCs w:val="21"/>
          <w:highlight w:val="none"/>
          <w:u w:val="single"/>
        </w:rPr>
        <w:t xml:space="preserve">、清单等列明的所有内容。 </w:t>
      </w:r>
    </w:p>
    <w:p w14:paraId="2C8FF42D">
      <w:pPr>
        <w:widowControl/>
        <w:spacing w:line="360" w:lineRule="auto"/>
        <w:jc w:val="left"/>
        <w:outlineLvl w:val="2"/>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u w:val="single"/>
        </w:rPr>
      </w:pPr>
      <w:r>
        <w:rPr>
          <w:rFonts w:ascii="宋体" w:hAnsi="宋体"/>
          <w:szCs w:val="21"/>
          <w:highlight w:val="none"/>
        </w:rPr>
        <w:t>工程质量符合</w:t>
      </w:r>
      <w:r>
        <w:rPr>
          <w:rFonts w:hint="eastAsia" w:ascii="宋体" w:hAnsi="宋体" w:eastAsia="宋体" w:cs="Times New Roman"/>
          <w:szCs w:val="21"/>
          <w:highlight w:val="none"/>
          <w:u w:val="single"/>
        </w:rPr>
        <w:t xml:space="preserve"> 达到国家现行施工质量验收规范合格标准。</w:t>
      </w:r>
    </w:p>
    <w:p w14:paraId="3FDE1B9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121" w:name="OLE_LINK5"/>
      <w:bookmarkStart w:id="122"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121"/>
    <w:bookmarkEnd w:id="122"/>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123" w:name="_Toc351203494"/>
      <w:bookmarkStart w:id="124" w:name="_Toc363126442"/>
      <w:bookmarkStart w:id="125" w:name="_Toc389632252"/>
      <w:bookmarkStart w:id="126" w:name="_Toc402950277"/>
      <w:bookmarkStart w:id="127" w:name="_Toc14997"/>
      <w:bookmarkStart w:id="128" w:name="_Toc374731479"/>
      <w:bookmarkStart w:id="129" w:name="_Toc369702838"/>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1029CC76">
      <w:pPr>
        <w:ind w:firstLine="420"/>
        <w:rPr>
          <w:rFonts w:ascii="宋体" w:hAnsi="宋体"/>
          <w:kern w:val="0"/>
          <w:sz w:val="28"/>
          <w:szCs w:val="24"/>
          <w:highlight w:val="none"/>
        </w:rPr>
      </w:pPr>
    </w:p>
    <w:p w14:paraId="23CE81EA">
      <w:pPr>
        <w:rPr>
          <w:rFonts w:ascii="Times New Roman" w:hAnsi="Times New Roman"/>
          <w:highlight w:val="none"/>
        </w:rPr>
      </w:pPr>
    </w:p>
    <w:p w14:paraId="0A3DC33A">
      <w:pPr>
        <w:spacing w:line="360" w:lineRule="auto"/>
        <w:jc w:val="center"/>
        <w:outlineLvl w:val="0"/>
        <w:rPr>
          <w:rFonts w:hint="eastAsia" w:ascii="宋体" w:hAnsi="宋体"/>
          <w:b/>
          <w:bCs/>
          <w:sz w:val="32"/>
          <w:szCs w:val="32"/>
          <w:highlight w:val="none"/>
        </w:rPr>
      </w:pPr>
      <w:bookmarkStart w:id="130" w:name="_Toc19826"/>
      <w:bookmarkStart w:id="131" w:name="_Toc14975638"/>
      <w:r>
        <w:rPr>
          <w:rFonts w:ascii="宋体" w:hAnsi="宋体"/>
          <w:b/>
          <w:bCs/>
          <w:sz w:val="32"/>
          <w:szCs w:val="32"/>
          <w:highlight w:val="none"/>
        </w:rPr>
        <w:t>第二部分 通用合同条款</w:t>
      </w:r>
      <w:bookmarkEnd w:id="123"/>
      <w:bookmarkEnd w:id="130"/>
      <w:bookmarkEnd w:id="131"/>
      <w:bookmarkStart w:id="132" w:name="_Toc337558727"/>
    </w:p>
    <w:bookmarkEnd w:id="124"/>
    <w:bookmarkEnd w:id="125"/>
    <w:bookmarkEnd w:id="126"/>
    <w:bookmarkEnd w:id="127"/>
    <w:bookmarkEnd w:id="128"/>
    <w:bookmarkEnd w:id="129"/>
    <w:bookmarkEnd w:id="132"/>
    <w:p w14:paraId="482AC0AC">
      <w:pPr>
        <w:spacing w:line="360" w:lineRule="auto"/>
        <w:ind w:firstLine="403" w:firstLineChars="192"/>
        <w:rPr>
          <w:rFonts w:hint="eastAsia" w:ascii="宋体" w:hAnsi="宋体"/>
          <w:szCs w:val="21"/>
          <w:highlight w:val="none"/>
        </w:rPr>
      </w:pPr>
      <w:bookmarkStart w:id="133" w:name="_Toc395798699"/>
      <w:bookmarkStart w:id="134" w:name="_Toc366231650"/>
      <w:bookmarkStart w:id="135" w:name="_Toc529438830"/>
      <w:bookmarkStart w:id="136" w:name="_Toc500423703"/>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0"/>
        <w:rPr>
          <w:rFonts w:ascii="宋体" w:hAnsi="宋体"/>
          <w:b/>
          <w:bCs/>
          <w:sz w:val="32"/>
          <w:szCs w:val="32"/>
          <w:highlight w:val="none"/>
        </w:rPr>
      </w:pPr>
      <w:bookmarkStart w:id="137" w:name="_Toc24849"/>
      <w:bookmarkStart w:id="138" w:name="_Toc14975639"/>
      <w:r>
        <w:rPr>
          <w:rFonts w:hint="eastAsia" w:ascii="宋体" w:hAnsi="宋体"/>
          <w:b/>
          <w:bCs/>
          <w:sz w:val="32"/>
          <w:szCs w:val="32"/>
          <w:highlight w:val="none"/>
        </w:rPr>
        <w:t>三、专用合同条款</w:t>
      </w:r>
      <w:bookmarkEnd w:id="133"/>
      <w:bookmarkEnd w:id="134"/>
      <w:bookmarkEnd w:id="135"/>
      <w:bookmarkEnd w:id="136"/>
      <w:bookmarkEnd w:id="137"/>
      <w:bookmarkEnd w:id="138"/>
    </w:p>
    <w:p w14:paraId="4F13D8CB">
      <w:pPr>
        <w:outlineLvl w:val="1"/>
        <w:rPr>
          <w:rFonts w:hint="eastAsia"/>
          <w:b/>
          <w:sz w:val="24"/>
          <w:szCs w:val="24"/>
          <w:highlight w:val="none"/>
        </w:rPr>
      </w:pPr>
      <w:bookmarkStart w:id="139" w:name="_Toc529438831"/>
      <w:bookmarkStart w:id="140" w:name="_Toc500423704"/>
      <w:bookmarkStart w:id="141" w:name="_Toc417659703"/>
      <w:bookmarkStart w:id="142" w:name="_Toc14975640"/>
      <w:r>
        <w:rPr>
          <w:rFonts w:hint="eastAsia"/>
          <w:b/>
          <w:sz w:val="24"/>
          <w:szCs w:val="24"/>
          <w:highlight w:val="none"/>
        </w:rPr>
        <w:t>1. 一般约定</w:t>
      </w:r>
      <w:bookmarkEnd w:id="139"/>
      <w:bookmarkEnd w:id="140"/>
      <w:bookmarkEnd w:id="141"/>
      <w:bookmarkEnd w:id="142"/>
    </w:p>
    <w:p w14:paraId="1C3FEEF0">
      <w:pPr>
        <w:outlineLvl w:val="2"/>
        <w:rPr>
          <w:rFonts w:hint="eastAsia"/>
          <w:highlight w:val="none"/>
        </w:rPr>
      </w:pPr>
      <w:bookmarkStart w:id="143" w:name="_Toc417659704"/>
      <w:r>
        <w:rPr>
          <w:rFonts w:hint="eastAsia"/>
          <w:highlight w:val="none"/>
        </w:rPr>
        <w:t>1.1 词语定义</w:t>
      </w:r>
      <w:bookmarkEnd w:id="143"/>
    </w:p>
    <w:p w14:paraId="1D697031">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firstLineChars="0"/>
        <w:outlineLvl w:val="4"/>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firstLineChars="0"/>
        <w:outlineLvl w:val="4"/>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outlineLvl w:val="2"/>
        <w:rPr>
          <w:rFonts w:hint="eastAsia"/>
          <w:b/>
          <w:highlight w:val="none"/>
        </w:rPr>
      </w:pPr>
      <w:bookmarkStart w:id="144" w:name="_Toc417659705"/>
      <w:r>
        <w:rPr>
          <w:rFonts w:hint="eastAsia"/>
          <w:b/>
          <w:highlight w:val="none"/>
        </w:rPr>
        <w:t>1.3法律</w:t>
      </w:r>
      <w:bookmarkEnd w:id="144"/>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outlineLvl w:val="2"/>
        <w:rPr>
          <w:rFonts w:hint="eastAsia"/>
          <w:b/>
          <w:highlight w:val="none"/>
        </w:rPr>
      </w:pPr>
      <w:bookmarkStart w:id="145" w:name="_Toc417659706"/>
      <w:r>
        <w:rPr>
          <w:rFonts w:hint="eastAsia"/>
          <w:b/>
          <w:highlight w:val="none"/>
        </w:rPr>
        <w:t>1.4 标准和规范</w:t>
      </w:r>
      <w:bookmarkEnd w:id="145"/>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outlineLvl w:val="2"/>
        <w:rPr>
          <w:rFonts w:hint="eastAsia"/>
          <w:b/>
          <w:highlight w:val="none"/>
        </w:rPr>
      </w:pPr>
      <w:bookmarkStart w:id="146" w:name="_Toc417659707"/>
      <w:r>
        <w:rPr>
          <w:rFonts w:hint="eastAsia"/>
          <w:b/>
          <w:highlight w:val="none"/>
        </w:rPr>
        <w:t>1.5 合同文件的优先顺序</w:t>
      </w:r>
      <w:bookmarkEnd w:id="146"/>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outlineLvl w:val="2"/>
        <w:rPr>
          <w:rFonts w:hint="eastAsia"/>
          <w:b/>
          <w:highlight w:val="none"/>
        </w:rPr>
      </w:pPr>
      <w:bookmarkStart w:id="147" w:name="_Toc417659708"/>
      <w:r>
        <w:rPr>
          <w:rFonts w:hint="eastAsia"/>
          <w:b/>
          <w:highlight w:val="none"/>
        </w:rPr>
        <w:t>1.6 图纸和承包人文件</w:t>
      </w:r>
      <w:bookmarkEnd w:id="147"/>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outlineLvl w:val="2"/>
        <w:rPr>
          <w:rFonts w:hint="eastAsia" w:ascii="宋体" w:hAnsi="宋体"/>
          <w:b/>
          <w:highlight w:val="none"/>
        </w:rPr>
      </w:pPr>
      <w:bookmarkStart w:id="148" w:name="_Toc417659709"/>
      <w:r>
        <w:rPr>
          <w:rFonts w:hint="eastAsia" w:ascii="宋体" w:hAnsi="宋体"/>
          <w:b/>
          <w:highlight w:val="none"/>
        </w:rPr>
        <w:t>1.7 联络</w:t>
      </w:r>
      <w:bookmarkEnd w:id="148"/>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outlineLvl w:val="2"/>
        <w:rPr>
          <w:rFonts w:hint="eastAsia"/>
          <w:b/>
          <w:highlight w:val="none"/>
        </w:rPr>
      </w:pPr>
      <w:bookmarkStart w:id="149" w:name="_Toc417659710"/>
      <w:r>
        <w:rPr>
          <w:rFonts w:hint="eastAsia"/>
          <w:b/>
          <w:highlight w:val="none"/>
        </w:rPr>
        <w:t>1.10 交通运输</w:t>
      </w:r>
      <w:bookmarkEnd w:id="149"/>
    </w:p>
    <w:p w14:paraId="14E656AE">
      <w:pPr>
        <w:spacing w:line="440" w:lineRule="atLeast"/>
        <w:ind w:firstLine="420" w:firstLineChars="200"/>
        <w:outlineLvl w:val="3"/>
        <w:rPr>
          <w:rFonts w:hint="eastAsia" w:ascii="宋体" w:hAnsi="宋体"/>
          <w:highlight w:val="none"/>
        </w:rPr>
      </w:pPr>
      <w:bookmarkStart w:id="150" w:name="_Toc417659711"/>
      <w:r>
        <w:rPr>
          <w:rFonts w:hint="eastAsia" w:ascii="宋体" w:hAnsi="宋体"/>
          <w:highlight w:val="none"/>
        </w:rPr>
        <w:t>1</w:t>
      </w:r>
      <w:bookmarkStart w:id="151" w:name="_Toc312677986"/>
      <w:bookmarkEnd w:id="151"/>
      <w:bookmarkStart w:id="152" w:name="_Toc304295521"/>
      <w:bookmarkEnd w:id="152"/>
      <w:bookmarkStart w:id="153" w:name="_Toc318581155"/>
      <w:bookmarkEnd w:id="153"/>
      <w:bookmarkStart w:id="154" w:name="_Toc303539100"/>
      <w:bookmarkEnd w:id="154"/>
      <w:bookmarkStart w:id="155" w:name="_Toc300934943"/>
      <w:r>
        <w:rPr>
          <w:rFonts w:hint="eastAsia" w:ascii="宋体" w:hAnsi="宋体"/>
          <w:highlight w:val="none"/>
        </w:rPr>
        <w:t>.10.1 出入现场的权利</w:t>
      </w:r>
      <w:bookmarkEnd w:id="155"/>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outlineLvl w:val="3"/>
        <w:rPr>
          <w:rFonts w:hint="eastAsia" w:ascii="宋体" w:hAnsi="宋体"/>
          <w:highlight w:val="none"/>
        </w:rPr>
      </w:pPr>
      <w:r>
        <w:rPr>
          <w:rFonts w:hint="eastAsia" w:ascii="宋体" w:hAnsi="宋体"/>
          <w:highlight w:val="none"/>
        </w:rPr>
        <w:t>1</w:t>
      </w:r>
      <w:bookmarkStart w:id="156" w:name="_Toc312677987"/>
      <w:bookmarkEnd w:id="156"/>
      <w:bookmarkStart w:id="157" w:name="_Toc304295522"/>
      <w:bookmarkEnd w:id="157"/>
      <w:bookmarkStart w:id="158" w:name="_Toc318581156"/>
      <w:bookmarkEnd w:id="158"/>
      <w:bookmarkStart w:id="159" w:name="_Toc303539101"/>
      <w:bookmarkEnd w:id="159"/>
      <w:bookmarkStart w:id="160" w:name="_Toc300934944"/>
      <w:r>
        <w:rPr>
          <w:rFonts w:hint="eastAsia" w:ascii="宋体" w:hAnsi="宋体"/>
          <w:highlight w:val="none"/>
        </w:rPr>
        <w:t>.10.3 场内交通</w:t>
      </w:r>
      <w:bookmarkEnd w:id="160"/>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161" w:name="_Toc318581157"/>
      <w:bookmarkEnd w:id="161"/>
    </w:p>
    <w:p w14:paraId="4EA18442">
      <w:pPr>
        <w:spacing w:line="440" w:lineRule="atLeast"/>
        <w:ind w:firstLine="420" w:firstLineChars="200"/>
        <w:outlineLvl w:val="3"/>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outlineLvl w:val="2"/>
        <w:rPr>
          <w:rFonts w:hint="eastAsia"/>
          <w:b/>
          <w:highlight w:val="none"/>
        </w:rPr>
      </w:pPr>
      <w:r>
        <w:rPr>
          <w:rFonts w:hint="eastAsia"/>
          <w:b/>
          <w:highlight w:val="none"/>
        </w:rPr>
        <w:t>1.11 知识产权</w:t>
      </w:r>
      <w:bookmarkEnd w:id="150"/>
    </w:p>
    <w:p w14:paraId="46DD0699">
      <w:pPr>
        <w:spacing w:line="440" w:lineRule="atLeast"/>
        <w:ind w:firstLine="424" w:firstLineChars="202"/>
        <w:rPr>
          <w:rFonts w:hint="eastAsia" w:ascii="宋体" w:hAnsi="宋体"/>
          <w:highlight w:val="none"/>
        </w:rPr>
      </w:pPr>
      <w:bookmarkStart w:id="162"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outlineLvl w:val="2"/>
        <w:rPr>
          <w:rFonts w:hint="eastAsia"/>
          <w:b/>
          <w:highlight w:val="none"/>
        </w:rPr>
      </w:pPr>
      <w:r>
        <w:rPr>
          <w:rFonts w:hint="eastAsia"/>
          <w:b/>
          <w:highlight w:val="none"/>
        </w:rPr>
        <w:t>1.13工程量清单错误的修正</w:t>
      </w:r>
      <w:bookmarkEnd w:id="162"/>
    </w:p>
    <w:p w14:paraId="7A229D80">
      <w:pPr>
        <w:spacing w:line="440" w:lineRule="atLeast"/>
        <w:ind w:firstLine="424" w:firstLineChars="202"/>
        <w:rPr>
          <w:rFonts w:hint="eastAsia" w:ascii="宋体" w:hAnsi="宋体"/>
          <w:highlight w:val="none"/>
        </w:rPr>
      </w:pPr>
      <w:bookmarkStart w:id="163" w:name="_Toc417659713"/>
      <w:bookmarkStart w:id="164" w:name="_Toc500423705"/>
      <w:bookmarkStart w:id="165" w:name="_Toc529438832"/>
      <w:bookmarkStart w:id="166" w:name="_Toc14975641"/>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outlineLvl w:val="1"/>
        <w:rPr>
          <w:rFonts w:hint="eastAsia"/>
          <w:b/>
          <w:highlight w:val="none"/>
        </w:rPr>
      </w:pPr>
      <w:r>
        <w:rPr>
          <w:rFonts w:hint="eastAsia"/>
          <w:b/>
          <w:highlight w:val="none"/>
        </w:rPr>
        <w:t>2. 发包人</w:t>
      </w:r>
      <w:bookmarkEnd w:id="163"/>
      <w:bookmarkEnd w:id="164"/>
      <w:bookmarkEnd w:id="165"/>
      <w:bookmarkEnd w:id="166"/>
    </w:p>
    <w:p w14:paraId="47D2DAAC">
      <w:pPr>
        <w:ind w:firstLine="422" w:firstLineChars="200"/>
        <w:outlineLvl w:val="2"/>
        <w:rPr>
          <w:rFonts w:hint="eastAsia"/>
          <w:b/>
          <w:highlight w:val="none"/>
        </w:rPr>
      </w:pPr>
      <w:bookmarkStart w:id="167" w:name="_Toc417659714"/>
      <w:r>
        <w:rPr>
          <w:rFonts w:hint="eastAsia"/>
          <w:b/>
          <w:highlight w:val="none"/>
        </w:rPr>
        <w:t>2.2 发包人代表</w:t>
      </w:r>
      <w:bookmarkEnd w:id="167"/>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168" w:name="_Toc417659750"/>
      <w:bookmarkStart w:id="169" w:name="_Toc14975649"/>
      <w:bookmarkStart w:id="170" w:name="_Toc529438840"/>
      <w:bookmarkStart w:id="171" w:name="_Toc500423713"/>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outlineLvl w:val="2"/>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outlineLvl w:val="3"/>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outlineLvl w:val="3"/>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outlineLvl w:val="2"/>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outlineLvl w:val="1"/>
        <w:rPr>
          <w:rFonts w:hint="eastAsia"/>
          <w:highlight w:val="none"/>
        </w:rPr>
      </w:pPr>
      <w:bookmarkStart w:id="172" w:name="_Toc351203635"/>
      <w:bookmarkEnd w:id="172"/>
      <w:r>
        <w:rPr>
          <w:rFonts w:hint="eastAsia"/>
          <w:highlight w:val="none"/>
        </w:rPr>
        <w:t>3</w:t>
      </w:r>
      <w:bookmarkStart w:id="173" w:name="_Toc296890986"/>
      <w:bookmarkEnd w:id="173"/>
      <w:bookmarkStart w:id="174" w:name="_Toc296944497"/>
      <w:bookmarkEnd w:id="174"/>
      <w:bookmarkStart w:id="175" w:name="_Toc296347157"/>
      <w:bookmarkEnd w:id="175"/>
      <w:bookmarkStart w:id="176" w:name="_Toc297048344"/>
      <w:bookmarkEnd w:id="176"/>
      <w:bookmarkStart w:id="177" w:name="_Toc292559868"/>
      <w:bookmarkEnd w:id="177"/>
      <w:bookmarkStart w:id="178" w:name="_Toc296346659"/>
      <w:bookmarkEnd w:id="178"/>
      <w:bookmarkStart w:id="179" w:name="_Toc297120458"/>
      <w:bookmarkEnd w:id="179"/>
      <w:bookmarkStart w:id="180" w:name="_Toc296891198"/>
      <w:bookmarkEnd w:id="180"/>
      <w:bookmarkStart w:id="181" w:name="_Toc296503158"/>
      <w:bookmarkEnd w:id="181"/>
      <w:bookmarkStart w:id="182" w:name="_Toc292559363"/>
      <w:r>
        <w:rPr>
          <w:rFonts w:hint="eastAsia"/>
          <w:highlight w:val="none"/>
        </w:rPr>
        <w:t xml:space="preserve">. </w:t>
      </w:r>
      <w:r>
        <w:rPr>
          <w:rFonts w:hint="eastAsia" w:ascii="黑体" w:hAnsi="黑体"/>
          <w:highlight w:val="none"/>
        </w:rPr>
        <w:t>承包人</w:t>
      </w:r>
      <w:bookmarkEnd w:id="182"/>
    </w:p>
    <w:p w14:paraId="72C29FBA">
      <w:pPr>
        <w:spacing w:line="440" w:lineRule="atLeast"/>
        <w:outlineLvl w:val="2"/>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outlineLvl w:val="2"/>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outlineLvl w:val="2"/>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outlineLvl w:val="2"/>
        <w:rPr>
          <w:rFonts w:hint="eastAsia" w:ascii="宋体" w:hAnsi="宋体"/>
          <w:highlight w:val="none"/>
        </w:rPr>
      </w:pPr>
      <w:r>
        <w:rPr>
          <w:rFonts w:hint="eastAsia" w:ascii="宋体" w:hAnsi="宋体"/>
          <w:b/>
          <w:bCs/>
          <w:highlight w:val="none"/>
        </w:rPr>
        <w:t>3</w:t>
      </w:r>
      <w:bookmarkStart w:id="183" w:name="_Toc304295523"/>
      <w:bookmarkEnd w:id="183"/>
      <w:bookmarkStart w:id="184" w:name="_Toc297216151"/>
      <w:bookmarkEnd w:id="184"/>
      <w:bookmarkStart w:id="185" w:name="_Toc296503159"/>
      <w:bookmarkEnd w:id="185"/>
      <w:bookmarkStart w:id="186" w:name="_Toc297048345"/>
      <w:bookmarkEnd w:id="186"/>
      <w:bookmarkStart w:id="187" w:name="_Toc312677988"/>
      <w:bookmarkEnd w:id="187"/>
      <w:bookmarkStart w:id="188" w:name="_Toc300934945"/>
      <w:bookmarkEnd w:id="188"/>
      <w:bookmarkStart w:id="189" w:name="_Toc292559869"/>
      <w:bookmarkEnd w:id="189"/>
      <w:bookmarkStart w:id="190" w:name="_Toc297123492"/>
      <w:bookmarkEnd w:id="190"/>
      <w:bookmarkStart w:id="191" w:name="_Toc296347158"/>
      <w:bookmarkEnd w:id="191"/>
      <w:bookmarkStart w:id="192" w:name="_Toc303539102"/>
      <w:bookmarkEnd w:id="192"/>
      <w:bookmarkStart w:id="193" w:name="_Toc296890987"/>
      <w:bookmarkEnd w:id="193"/>
      <w:bookmarkStart w:id="194" w:name="_Toc296891199"/>
      <w:bookmarkEnd w:id="194"/>
      <w:bookmarkStart w:id="195" w:name="_Toc297120459"/>
      <w:bookmarkEnd w:id="195"/>
      <w:bookmarkStart w:id="196" w:name="_Toc296346660"/>
      <w:bookmarkEnd w:id="196"/>
      <w:bookmarkStart w:id="197" w:name="_Toc296944498"/>
      <w:bookmarkEnd w:id="197"/>
      <w:bookmarkStart w:id="198" w:name="_Toc292559364"/>
      <w:r>
        <w:rPr>
          <w:rFonts w:hint="eastAsia" w:ascii="宋体" w:hAnsi="宋体"/>
          <w:b/>
          <w:bCs/>
          <w:highlight w:val="none"/>
        </w:rPr>
        <w:t xml:space="preserve">.5 </w:t>
      </w:r>
      <w:bookmarkEnd w:id="198"/>
      <w:r>
        <w:rPr>
          <w:rFonts w:hint="eastAsia" w:ascii="宋体" w:hAnsi="宋体"/>
          <w:highlight w:val="none"/>
        </w:rPr>
        <w:t>分包</w:t>
      </w:r>
    </w:p>
    <w:p w14:paraId="48D73F56">
      <w:pPr>
        <w:spacing w:line="440" w:lineRule="atLeast"/>
        <w:outlineLvl w:val="3"/>
        <w:rPr>
          <w:rFonts w:hint="eastAsia" w:ascii="宋体" w:hAnsi="宋体"/>
          <w:highlight w:val="none"/>
        </w:rPr>
      </w:pPr>
      <w:r>
        <w:rPr>
          <w:rFonts w:hint="eastAsia" w:ascii="宋体" w:hAnsi="宋体"/>
          <w:highlight w:val="none"/>
        </w:rPr>
        <w:t>3</w:t>
      </w:r>
      <w:bookmarkStart w:id="199" w:name="_Toc296890988"/>
      <w:bookmarkEnd w:id="199"/>
      <w:bookmarkStart w:id="200" w:name="_Toc297120460"/>
      <w:bookmarkEnd w:id="200"/>
      <w:bookmarkStart w:id="201" w:name="_Toc312677989"/>
      <w:bookmarkEnd w:id="201"/>
      <w:bookmarkStart w:id="202" w:name="_Toc292559365"/>
      <w:bookmarkEnd w:id="202"/>
      <w:bookmarkStart w:id="203" w:name="_Toc296503160"/>
      <w:bookmarkEnd w:id="203"/>
      <w:bookmarkStart w:id="204" w:name="_Toc297123493"/>
      <w:bookmarkEnd w:id="204"/>
      <w:bookmarkStart w:id="205" w:name="_Toc303539103"/>
      <w:bookmarkEnd w:id="205"/>
      <w:bookmarkStart w:id="206" w:name="_Toc304295524"/>
      <w:bookmarkEnd w:id="206"/>
      <w:bookmarkStart w:id="207" w:name="_Toc292559870"/>
      <w:bookmarkEnd w:id="207"/>
      <w:bookmarkStart w:id="208" w:name="_Toc296944499"/>
      <w:bookmarkEnd w:id="208"/>
      <w:bookmarkStart w:id="209" w:name="_Toc296347159"/>
      <w:bookmarkEnd w:id="209"/>
      <w:bookmarkStart w:id="210" w:name="_Toc296891200"/>
      <w:bookmarkEnd w:id="210"/>
      <w:bookmarkStart w:id="211" w:name="_Toc297048346"/>
      <w:bookmarkEnd w:id="211"/>
      <w:bookmarkStart w:id="212" w:name="_Toc297216152"/>
      <w:bookmarkEnd w:id="212"/>
      <w:bookmarkStart w:id="213" w:name="_Toc296346661"/>
      <w:bookmarkEnd w:id="213"/>
      <w:bookmarkStart w:id="214" w:name="_Toc300934946"/>
      <w:bookmarkEnd w:id="214"/>
      <w:bookmarkStart w:id="215" w:name="_Toc318581158"/>
      <w:r>
        <w:rPr>
          <w:rFonts w:hint="eastAsia" w:ascii="宋体" w:hAnsi="宋体"/>
          <w:highlight w:val="none"/>
        </w:rPr>
        <w:t>.5.1 分包的一般约定</w:t>
      </w:r>
      <w:bookmarkEnd w:id="215"/>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216" w:name="_Toc296347160"/>
      <w:bookmarkEnd w:id="216"/>
      <w:bookmarkStart w:id="217" w:name="_Toc304295525"/>
      <w:bookmarkEnd w:id="217"/>
      <w:bookmarkStart w:id="218" w:name="_Toc303539104"/>
      <w:bookmarkEnd w:id="218"/>
      <w:bookmarkStart w:id="219" w:name="_Toc296891201"/>
      <w:bookmarkEnd w:id="219"/>
      <w:bookmarkStart w:id="220" w:name="_Toc297123494"/>
      <w:bookmarkEnd w:id="220"/>
      <w:bookmarkStart w:id="221" w:name="_Toc296503161"/>
      <w:bookmarkEnd w:id="221"/>
      <w:bookmarkStart w:id="222" w:name="_Toc296890989"/>
      <w:bookmarkEnd w:id="222"/>
      <w:bookmarkStart w:id="223" w:name="_Toc297048347"/>
      <w:bookmarkEnd w:id="223"/>
      <w:bookmarkStart w:id="224" w:name="_Toc296346662"/>
      <w:bookmarkEnd w:id="224"/>
      <w:bookmarkStart w:id="225" w:name="_Toc297216153"/>
      <w:bookmarkEnd w:id="225"/>
      <w:bookmarkStart w:id="226" w:name="_Toc297120461"/>
      <w:bookmarkEnd w:id="226"/>
      <w:bookmarkStart w:id="227" w:name="_Toc296944500"/>
      <w:bookmarkEnd w:id="227"/>
      <w:bookmarkStart w:id="228" w:name="_Toc300934947"/>
      <w:bookmarkEnd w:id="228"/>
    </w:p>
    <w:p w14:paraId="4C1EEF83">
      <w:pPr>
        <w:spacing w:line="440" w:lineRule="atLeast"/>
        <w:outlineLvl w:val="3"/>
        <w:rPr>
          <w:rFonts w:hint="eastAsia" w:ascii="宋体" w:hAnsi="宋体"/>
          <w:highlight w:val="none"/>
        </w:rPr>
      </w:pPr>
      <w:r>
        <w:rPr>
          <w:rFonts w:hint="eastAsia" w:ascii="宋体" w:hAnsi="宋体"/>
          <w:highlight w:val="none"/>
        </w:rPr>
        <w:t>3</w:t>
      </w:r>
      <w:bookmarkStart w:id="229" w:name="_Toc318581159"/>
      <w:bookmarkEnd w:id="229"/>
      <w:bookmarkStart w:id="230" w:name="_Toc312677990"/>
      <w:r>
        <w:rPr>
          <w:rFonts w:hint="eastAsia" w:ascii="宋体" w:hAnsi="宋体"/>
          <w:highlight w:val="none"/>
        </w:rPr>
        <w:t>.5.2分包的确定</w:t>
      </w:r>
      <w:bookmarkEnd w:id="230"/>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outlineLvl w:val="3"/>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outlineLvl w:val="2"/>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outlineLvl w:val="2"/>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outlineLvl w:val="1"/>
        <w:rPr>
          <w:rFonts w:hint="eastAsia"/>
          <w:b/>
          <w:highlight w:val="none"/>
        </w:rPr>
      </w:pPr>
      <w:bookmarkStart w:id="231" w:name="_Toc351203636"/>
      <w:bookmarkEnd w:id="231"/>
      <w:r>
        <w:rPr>
          <w:rFonts w:hint="eastAsia"/>
          <w:b/>
          <w:highlight w:val="none"/>
        </w:rPr>
        <w:t>4</w:t>
      </w:r>
      <w:bookmarkStart w:id="232" w:name="_Toc292559871"/>
      <w:bookmarkEnd w:id="232"/>
      <w:bookmarkStart w:id="233" w:name="_Toc296346663"/>
      <w:bookmarkEnd w:id="233"/>
      <w:bookmarkStart w:id="234" w:name="_Toc297048348"/>
      <w:bookmarkEnd w:id="234"/>
      <w:bookmarkStart w:id="235" w:name="_Toc292559366"/>
      <w:bookmarkEnd w:id="235"/>
      <w:bookmarkStart w:id="236" w:name="_Toc267251413"/>
      <w:bookmarkEnd w:id="236"/>
      <w:bookmarkStart w:id="237" w:name="_Toc296347161"/>
      <w:bookmarkEnd w:id="237"/>
      <w:bookmarkStart w:id="238" w:name="_Toc297120462"/>
      <w:bookmarkEnd w:id="238"/>
      <w:bookmarkStart w:id="239" w:name="_Toc296944501"/>
      <w:bookmarkEnd w:id="239"/>
      <w:bookmarkStart w:id="240" w:name="_Toc296890990"/>
      <w:bookmarkEnd w:id="240"/>
      <w:bookmarkStart w:id="241" w:name="_Toc296891202"/>
      <w:bookmarkEnd w:id="241"/>
      <w:bookmarkStart w:id="242" w:name="_Toc296503162"/>
      <w:r>
        <w:rPr>
          <w:rFonts w:hint="eastAsia"/>
          <w:b/>
          <w:highlight w:val="none"/>
        </w:rPr>
        <w:t>. 监</w:t>
      </w:r>
      <w:bookmarkEnd w:id="242"/>
      <w:r>
        <w:rPr>
          <w:rFonts w:hint="eastAsia"/>
          <w:b/>
          <w:highlight w:val="none"/>
        </w:rPr>
        <w:t>理人</w:t>
      </w:r>
    </w:p>
    <w:p w14:paraId="2C677425">
      <w:pPr>
        <w:spacing w:line="440" w:lineRule="atLeast"/>
        <w:outlineLvl w:val="2"/>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outlineLvl w:val="2"/>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outlineLvl w:val="2"/>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243" w:name="_Toc267251418"/>
      <w:bookmarkEnd w:id="243"/>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outlineLvl w:val="1"/>
        <w:rPr>
          <w:rFonts w:hint="eastAsia"/>
          <w:b/>
          <w:highlight w:val="none"/>
        </w:rPr>
      </w:pPr>
      <w:bookmarkStart w:id="244" w:name="_Toc351203637"/>
      <w:bookmarkEnd w:id="244"/>
      <w:r>
        <w:rPr>
          <w:rFonts w:hint="eastAsia"/>
          <w:b/>
          <w:highlight w:val="none"/>
        </w:rPr>
        <w:t>5</w:t>
      </w:r>
      <w:bookmarkStart w:id="245" w:name="_Toc296346664"/>
      <w:bookmarkEnd w:id="245"/>
      <w:bookmarkStart w:id="246" w:name="_Toc296891203"/>
      <w:bookmarkEnd w:id="246"/>
      <w:bookmarkStart w:id="247" w:name="_Toc296347162"/>
      <w:bookmarkEnd w:id="247"/>
      <w:bookmarkStart w:id="248" w:name="_Toc297048349"/>
      <w:bookmarkEnd w:id="248"/>
      <w:bookmarkStart w:id="249" w:name="_Toc297120463"/>
      <w:bookmarkEnd w:id="249"/>
      <w:bookmarkStart w:id="250" w:name="_Toc292559367"/>
      <w:bookmarkEnd w:id="250"/>
      <w:bookmarkStart w:id="251" w:name="_Toc296503163"/>
      <w:bookmarkEnd w:id="251"/>
      <w:bookmarkStart w:id="252" w:name="_Toc296944502"/>
      <w:bookmarkEnd w:id="252"/>
      <w:bookmarkStart w:id="253" w:name="_Toc296890991"/>
      <w:bookmarkEnd w:id="253"/>
      <w:bookmarkStart w:id="254" w:name="_Toc292559872"/>
      <w:r>
        <w:rPr>
          <w:rFonts w:hint="eastAsia"/>
          <w:b/>
          <w:highlight w:val="none"/>
        </w:rPr>
        <w:t>. 工程质量</w:t>
      </w:r>
      <w:bookmarkEnd w:id="254"/>
    </w:p>
    <w:p w14:paraId="76C810D7">
      <w:pPr>
        <w:spacing w:line="440" w:lineRule="atLeast"/>
        <w:outlineLvl w:val="2"/>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255" w:name="_Toc312677997"/>
      <w:bookmarkEnd w:id="255"/>
      <w:bookmarkStart w:id="256" w:name="_Toc303539106"/>
      <w:bookmarkEnd w:id="256"/>
      <w:bookmarkStart w:id="257" w:name="_Toc300934949"/>
      <w:bookmarkEnd w:id="257"/>
      <w:bookmarkStart w:id="258" w:name="_Toc304295527"/>
      <w:bookmarkEnd w:id="258"/>
      <w:bookmarkStart w:id="259" w:name="_Toc318581164"/>
      <w:bookmarkEnd w:id="259"/>
      <w:bookmarkStart w:id="260" w:name="_Toc297123496"/>
      <w:bookmarkEnd w:id="260"/>
      <w:bookmarkStart w:id="261" w:name="_Toc297216155"/>
      <w:r>
        <w:rPr>
          <w:rFonts w:hint="eastAsia" w:ascii="宋体" w:hAnsi="宋体"/>
          <w:highlight w:val="none"/>
        </w:rPr>
        <w:t>.1.1 特殊质量标准和要求：</w:t>
      </w:r>
      <w:bookmarkEnd w:id="261"/>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outlineLvl w:val="2"/>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outlineLvl w:val="1"/>
        <w:rPr>
          <w:rFonts w:hint="eastAsia"/>
          <w:b/>
          <w:highlight w:val="none"/>
        </w:rPr>
      </w:pPr>
      <w:bookmarkStart w:id="262" w:name="_Toc351203638"/>
      <w:bookmarkEnd w:id="262"/>
      <w:r>
        <w:rPr>
          <w:rFonts w:hint="eastAsia"/>
          <w:b/>
          <w:highlight w:val="none"/>
        </w:rPr>
        <w:t>6. 安全文明施工与环境保护</w:t>
      </w:r>
    </w:p>
    <w:p w14:paraId="084F37F5">
      <w:pPr>
        <w:spacing w:line="440" w:lineRule="atLeast"/>
        <w:outlineLvl w:val="2"/>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outlineLvl w:val="1"/>
        <w:rPr>
          <w:rFonts w:hint="eastAsia"/>
          <w:b/>
          <w:highlight w:val="none"/>
        </w:rPr>
      </w:pPr>
      <w:bookmarkStart w:id="263" w:name="_Toc351203639"/>
      <w:bookmarkEnd w:id="263"/>
      <w:r>
        <w:rPr>
          <w:rFonts w:hint="eastAsia"/>
          <w:b/>
          <w:highlight w:val="none"/>
        </w:rPr>
        <w:t>7. 工期和进度</w:t>
      </w:r>
    </w:p>
    <w:p w14:paraId="0F7D71D2">
      <w:pPr>
        <w:spacing w:line="440" w:lineRule="atLeast"/>
        <w:outlineLvl w:val="2"/>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outlineLvl w:val="2"/>
        <w:rPr>
          <w:rFonts w:hint="eastAsia" w:ascii="宋体" w:hAnsi="宋体"/>
          <w:highlight w:val="none"/>
        </w:rPr>
      </w:pPr>
      <w:r>
        <w:rPr>
          <w:rFonts w:hint="eastAsia" w:ascii="宋体" w:hAnsi="宋体"/>
          <w:b/>
          <w:bCs/>
          <w:highlight w:val="none"/>
        </w:rPr>
        <w:t>7</w:t>
      </w:r>
      <w:bookmarkStart w:id="264" w:name="_Toc300934966"/>
      <w:bookmarkEnd w:id="264"/>
      <w:bookmarkStart w:id="265" w:name="_Toc312678005"/>
      <w:bookmarkEnd w:id="265"/>
      <w:bookmarkStart w:id="266" w:name="_Toc297216173"/>
      <w:bookmarkEnd w:id="266"/>
      <w:bookmarkStart w:id="267" w:name="_Toc297123514"/>
      <w:bookmarkEnd w:id="267"/>
      <w:bookmarkStart w:id="268" w:name="_Toc303539123"/>
      <w:bookmarkEnd w:id="268"/>
      <w:bookmarkStart w:id="269" w:name="_Toc304295541"/>
      <w:bookmarkEnd w:id="269"/>
      <w:bookmarkStart w:id="270" w:name="_Toc312677479"/>
      <w:r>
        <w:rPr>
          <w:rFonts w:hint="eastAsia" w:ascii="宋体" w:hAnsi="宋体"/>
          <w:b/>
          <w:bCs/>
          <w:highlight w:val="none"/>
        </w:rPr>
        <w:t>.2</w:t>
      </w:r>
      <w:bookmarkEnd w:id="270"/>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outlineLvl w:val="2"/>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outlineLvl w:val="3"/>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outlineLvl w:val="3"/>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outlineLvl w:val="2"/>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outlineLvl w:val="2"/>
        <w:rPr>
          <w:rFonts w:hint="eastAsia" w:ascii="宋体" w:hAnsi="宋体"/>
          <w:highlight w:val="none"/>
        </w:rPr>
      </w:pPr>
      <w:r>
        <w:rPr>
          <w:rFonts w:hint="eastAsia" w:ascii="宋体" w:hAnsi="宋体"/>
          <w:b/>
          <w:bCs/>
          <w:highlight w:val="none"/>
        </w:rPr>
        <w:t>7</w:t>
      </w:r>
      <w:bookmarkStart w:id="271" w:name="_Toc304295546"/>
      <w:bookmarkEnd w:id="271"/>
      <w:bookmarkStart w:id="272" w:name="_Toc312677484"/>
      <w:bookmarkEnd w:id="272"/>
      <w:bookmarkStart w:id="273" w:name="_Toc300934968"/>
      <w:bookmarkEnd w:id="273"/>
      <w:bookmarkStart w:id="274" w:name="_Toc303539125"/>
      <w:bookmarkEnd w:id="274"/>
      <w:bookmarkStart w:id="275" w:name="_Toc312678010"/>
      <w:bookmarkEnd w:id="275"/>
      <w:bookmarkStart w:id="276" w:name="_Toc297216175"/>
      <w:bookmarkEnd w:id="276"/>
      <w:bookmarkStart w:id="277" w:name="_Toc297123516"/>
      <w:r>
        <w:rPr>
          <w:rFonts w:hint="eastAsia" w:ascii="宋体" w:hAnsi="宋体"/>
          <w:b/>
          <w:bCs/>
          <w:highlight w:val="none"/>
        </w:rPr>
        <w:t>.5</w:t>
      </w:r>
      <w:bookmarkEnd w:id="277"/>
      <w:r>
        <w:rPr>
          <w:rFonts w:hint="eastAsia" w:ascii="宋体" w:hAnsi="宋体"/>
          <w:highlight w:val="none"/>
        </w:rPr>
        <w:t xml:space="preserve"> 工期延误</w:t>
      </w:r>
    </w:p>
    <w:p w14:paraId="4663F76A">
      <w:pPr>
        <w:spacing w:line="440" w:lineRule="atLeast"/>
        <w:outlineLvl w:val="3"/>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outlineLvl w:val="3"/>
        <w:rPr>
          <w:rFonts w:hint="eastAsia" w:ascii="宋体" w:hAnsi="宋体"/>
          <w:highlight w:val="none"/>
        </w:rPr>
      </w:pPr>
      <w:r>
        <w:rPr>
          <w:rFonts w:hint="eastAsia" w:ascii="宋体" w:hAnsi="宋体"/>
          <w:highlight w:val="none"/>
        </w:rPr>
        <w:t>7</w:t>
      </w:r>
      <w:bookmarkStart w:id="278" w:name="_Toc300934970"/>
      <w:bookmarkEnd w:id="278"/>
      <w:bookmarkStart w:id="279" w:name="_Toc297216177"/>
      <w:bookmarkEnd w:id="279"/>
      <w:bookmarkStart w:id="280" w:name="_Toc304295548"/>
      <w:bookmarkEnd w:id="280"/>
      <w:bookmarkStart w:id="281" w:name="_Toc312677486"/>
      <w:bookmarkEnd w:id="281"/>
      <w:bookmarkStart w:id="282" w:name="_Toc312678012"/>
      <w:bookmarkEnd w:id="282"/>
      <w:bookmarkStart w:id="283" w:name="_Toc303539127"/>
      <w:bookmarkEnd w:id="283"/>
      <w:bookmarkStart w:id="284" w:name="_Toc297123518"/>
      <w:bookmarkEnd w:id="284"/>
      <w:bookmarkStart w:id="285" w:name="_Toc318581169"/>
      <w:r>
        <w:rPr>
          <w:rFonts w:hint="eastAsia" w:ascii="宋体" w:hAnsi="宋体"/>
          <w:highlight w:val="none"/>
        </w:rPr>
        <w:t>.5.2 因承包人原因导致工期延误</w:t>
      </w:r>
      <w:bookmarkEnd w:id="285"/>
    </w:p>
    <w:p w14:paraId="190860F6">
      <w:pPr>
        <w:spacing w:line="440" w:lineRule="atLeast"/>
        <w:rPr>
          <w:rFonts w:hint="eastAsia" w:ascii="宋体" w:hAnsi="宋体"/>
          <w:highlight w:val="none"/>
        </w:rPr>
      </w:pPr>
      <w:r>
        <w:rPr>
          <w:rFonts w:hint="eastAsia" w:ascii="宋体" w:hAnsi="宋体"/>
          <w:highlight w:val="none"/>
        </w:rPr>
        <w:t>因</w:t>
      </w:r>
      <w:bookmarkStart w:id="286" w:name="_Toc318581170"/>
      <w:bookmarkEnd w:id="286"/>
      <w:bookmarkStart w:id="287" w:name="_Toc312678013"/>
      <w:bookmarkEnd w:id="287"/>
      <w:bookmarkStart w:id="288" w:name="_Toc312677487"/>
      <w:r>
        <w:rPr>
          <w:rFonts w:hint="eastAsia" w:ascii="宋体" w:hAnsi="宋体"/>
          <w:highlight w:val="none"/>
        </w:rPr>
        <w:t>承包人原因造成工期延误，逾期竣工违约金的计算方法为：</w:t>
      </w:r>
      <w:bookmarkEnd w:id="288"/>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289" w:name="_Toc318581171"/>
      <w:bookmarkEnd w:id="289"/>
      <w:bookmarkStart w:id="290" w:name="_Toc312678014"/>
      <w:r>
        <w:rPr>
          <w:rFonts w:hint="eastAsia" w:ascii="宋体" w:hAnsi="宋体"/>
          <w:highlight w:val="none"/>
        </w:rPr>
        <w:t>期竣工违约金的上限：</w:t>
      </w:r>
      <w:bookmarkEnd w:id="290"/>
      <w:r>
        <w:rPr>
          <w:rFonts w:hint="eastAsia" w:ascii="宋体" w:hAnsi="宋体"/>
          <w:highlight w:val="none"/>
          <w:u w:val="single"/>
        </w:rPr>
        <w:t xml:space="preserve">     </w:t>
      </w:r>
      <w:r>
        <w:rPr>
          <w:rFonts w:hint="eastAsia" w:ascii="宋体" w:hAnsi="宋体"/>
          <w:highlight w:val="none"/>
        </w:rPr>
        <w:t>。</w:t>
      </w:r>
    </w:p>
    <w:p w14:paraId="2A114125">
      <w:pPr>
        <w:spacing w:line="440" w:lineRule="atLeast"/>
        <w:outlineLvl w:val="2"/>
        <w:rPr>
          <w:rFonts w:hint="eastAsia" w:ascii="宋体" w:hAnsi="宋体"/>
          <w:highlight w:val="none"/>
        </w:rPr>
      </w:pPr>
      <w:r>
        <w:rPr>
          <w:rFonts w:hint="eastAsia" w:ascii="宋体" w:hAnsi="宋体"/>
          <w:b/>
          <w:bCs/>
          <w:highlight w:val="none"/>
        </w:rPr>
        <w:t>7</w:t>
      </w:r>
      <w:bookmarkStart w:id="291" w:name="_Toc300934971"/>
      <w:bookmarkEnd w:id="291"/>
      <w:bookmarkStart w:id="292" w:name="_Toc297216178"/>
      <w:bookmarkEnd w:id="292"/>
      <w:bookmarkStart w:id="293" w:name="_Toc297123519"/>
      <w:bookmarkEnd w:id="293"/>
      <w:bookmarkStart w:id="294" w:name="_Toc303539128"/>
      <w:bookmarkEnd w:id="294"/>
      <w:bookmarkStart w:id="295" w:name="_Toc312678015"/>
      <w:bookmarkEnd w:id="295"/>
      <w:bookmarkStart w:id="296" w:name="_Toc304295549"/>
      <w:r>
        <w:rPr>
          <w:rFonts w:hint="eastAsia" w:ascii="宋体" w:hAnsi="宋体"/>
          <w:b/>
          <w:bCs/>
          <w:highlight w:val="none"/>
        </w:rPr>
        <w:t>.6</w:t>
      </w:r>
      <w:bookmarkEnd w:id="296"/>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297" w:name="_Toc300934972"/>
      <w:bookmarkEnd w:id="297"/>
      <w:bookmarkStart w:id="298" w:name="_Toc297216179"/>
      <w:bookmarkEnd w:id="298"/>
      <w:bookmarkStart w:id="299" w:name="_Toc312678016"/>
      <w:bookmarkEnd w:id="299"/>
      <w:bookmarkStart w:id="300" w:name="_Toc297123520"/>
      <w:bookmarkEnd w:id="300"/>
      <w:bookmarkStart w:id="301" w:name="_Toc318581172"/>
      <w:bookmarkEnd w:id="301"/>
      <w:bookmarkStart w:id="302" w:name="_Toc303539129"/>
      <w:bookmarkEnd w:id="302"/>
      <w:bookmarkStart w:id="303" w:name="_Toc304295550"/>
      <w:r>
        <w:rPr>
          <w:rFonts w:hint="eastAsia" w:ascii="宋体" w:hAnsi="宋体"/>
          <w:highlight w:val="none"/>
        </w:rPr>
        <w:t>不利物质条件的其他情形和有关约定：</w:t>
      </w:r>
      <w:bookmarkEnd w:id="303"/>
      <w:r>
        <w:rPr>
          <w:rFonts w:hint="eastAsia" w:ascii="宋体" w:hAnsi="宋体"/>
          <w:highlight w:val="none"/>
          <w:u w:val="single"/>
        </w:rPr>
        <w:t xml:space="preserve">       </w:t>
      </w:r>
      <w:r>
        <w:rPr>
          <w:rFonts w:hint="eastAsia" w:ascii="宋体" w:hAnsi="宋体"/>
          <w:highlight w:val="none"/>
        </w:rPr>
        <w:t>。</w:t>
      </w:r>
    </w:p>
    <w:p w14:paraId="49FF02AF">
      <w:pPr>
        <w:spacing w:line="440" w:lineRule="atLeast"/>
        <w:outlineLvl w:val="2"/>
        <w:rPr>
          <w:rFonts w:hint="eastAsia" w:ascii="宋体" w:hAnsi="宋体"/>
          <w:highlight w:val="none"/>
        </w:rPr>
      </w:pPr>
      <w:r>
        <w:rPr>
          <w:rFonts w:hint="eastAsia" w:ascii="宋体" w:hAnsi="宋体"/>
          <w:b/>
          <w:bCs/>
          <w:highlight w:val="none"/>
        </w:rPr>
        <w:t>7</w:t>
      </w:r>
      <w:bookmarkStart w:id="304" w:name="_Toc304295551"/>
      <w:bookmarkEnd w:id="304"/>
      <w:bookmarkStart w:id="305" w:name="_Toc297123521"/>
      <w:bookmarkEnd w:id="305"/>
      <w:bookmarkStart w:id="306" w:name="_Toc303539130"/>
      <w:bookmarkEnd w:id="306"/>
      <w:bookmarkStart w:id="307" w:name="_Toc300934973"/>
      <w:bookmarkEnd w:id="307"/>
      <w:bookmarkStart w:id="308" w:name="_Toc297216180"/>
      <w:bookmarkEnd w:id="308"/>
      <w:bookmarkStart w:id="309" w:name="_Toc312678017"/>
      <w:r>
        <w:rPr>
          <w:rFonts w:hint="eastAsia" w:ascii="宋体" w:hAnsi="宋体"/>
          <w:b/>
          <w:bCs/>
          <w:highlight w:val="none"/>
        </w:rPr>
        <w:t>.7</w:t>
      </w:r>
      <w:bookmarkEnd w:id="309"/>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outlineLvl w:val="2"/>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outlineLvl w:val="1"/>
        <w:rPr>
          <w:rFonts w:hint="eastAsia"/>
          <w:b/>
          <w:highlight w:val="none"/>
        </w:rPr>
      </w:pPr>
      <w:bookmarkStart w:id="310" w:name="_Toc351203640"/>
      <w:bookmarkEnd w:id="310"/>
      <w:r>
        <w:rPr>
          <w:rFonts w:hint="eastAsia"/>
          <w:b/>
          <w:highlight w:val="none"/>
        </w:rPr>
        <w:t>8. 材料与设备</w:t>
      </w:r>
    </w:p>
    <w:p w14:paraId="308F3096">
      <w:pPr>
        <w:spacing w:line="440" w:lineRule="atLeast"/>
        <w:outlineLvl w:val="2"/>
        <w:rPr>
          <w:rFonts w:hint="eastAsia" w:ascii="宋体" w:hAnsi="宋体"/>
          <w:highlight w:val="none"/>
        </w:rPr>
      </w:pPr>
      <w:r>
        <w:rPr>
          <w:rFonts w:hint="eastAsia" w:ascii="宋体" w:hAnsi="宋体"/>
          <w:b/>
          <w:bCs/>
          <w:highlight w:val="none"/>
        </w:rPr>
        <w:t>8</w:t>
      </w:r>
      <w:bookmarkStart w:id="311" w:name="_Toc296944506"/>
      <w:bookmarkEnd w:id="311"/>
      <w:bookmarkStart w:id="312" w:name="_Toc292559372"/>
      <w:bookmarkEnd w:id="312"/>
      <w:bookmarkStart w:id="313" w:name="_Toc296347166"/>
      <w:bookmarkEnd w:id="313"/>
      <w:bookmarkStart w:id="314" w:name="_Toc296891207"/>
      <w:bookmarkEnd w:id="314"/>
      <w:bookmarkStart w:id="315" w:name="_Toc267251424"/>
      <w:bookmarkEnd w:id="315"/>
      <w:bookmarkStart w:id="316" w:name="_Toc297048353"/>
      <w:bookmarkEnd w:id="316"/>
      <w:bookmarkStart w:id="317" w:name="_Toc304295556"/>
      <w:bookmarkEnd w:id="317"/>
      <w:bookmarkStart w:id="318" w:name="_Toc292559877"/>
      <w:bookmarkEnd w:id="318"/>
      <w:bookmarkStart w:id="319" w:name="_Toc296346668"/>
      <w:bookmarkEnd w:id="319"/>
      <w:bookmarkStart w:id="320" w:name="_Toc312677493"/>
      <w:bookmarkEnd w:id="320"/>
      <w:bookmarkStart w:id="321" w:name="_Toc297216186"/>
      <w:bookmarkEnd w:id="321"/>
      <w:bookmarkStart w:id="322" w:name="_Toc296890995"/>
      <w:bookmarkEnd w:id="322"/>
      <w:bookmarkStart w:id="323" w:name="_Toc280868654"/>
      <w:bookmarkEnd w:id="323"/>
      <w:bookmarkStart w:id="324" w:name="_Toc303539136"/>
      <w:bookmarkEnd w:id="324"/>
      <w:bookmarkStart w:id="325" w:name="_Toc280868655"/>
      <w:bookmarkEnd w:id="325"/>
      <w:bookmarkStart w:id="326" w:name="_Toc297123527"/>
      <w:bookmarkEnd w:id="326"/>
      <w:bookmarkStart w:id="327" w:name="_Toc300934979"/>
      <w:bookmarkEnd w:id="327"/>
      <w:bookmarkStart w:id="328" w:name="_Toc312678019"/>
      <w:bookmarkEnd w:id="328"/>
      <w:bookmarkStart w:id="329" w:name="_Toc297120467"/>
      <w:bookmarkEnd w:id="329"/>
      <w:bookmarkStart w:id="330" w:name="_Toc296503167"/>
      <w:bookmarkEnd w:id="330"/>
      <w:bookmarkStart w:id="331" w:name="_Toc280868656"/>
      <w:r>
        <w:rPr>
          <w:rFonts w:hint="eastAsia" w:ascii="宋体" w:hAnsi="宋体"/>
          <w:b/>
          <w:bCs/>
          <w:highlight w:val="none"/>
        </w:rPr>
        <w:t>.4</w:t>
      </w:r>
      <w:bookmarkEnd w:id="331"/>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332" w:name="_Toc296890996"/>
      <w:bookmarkEnd w:id="332"/>
      <w:bookmarkStart w:id="333" w:name="_Toc296503168"/>
      <w:bookmarkEnd w:id="333"/>
      <w:bookmarkStart w:id="334" w:name="_Toc300934980"/>
      <w:bookmarkEnd w:id="334"/>
      <w:bookmarkStart w:id="335" w:name="_Toc297120468"/>
      <w:bookmarkEnd w:id="335"/>
      <w:bookmarkStart w:id="336" w:name="_Toc303539137"/>
      <w:bookmarkEnd w:id="336"/>
      <w:bookmarkStart w:id="337" w:name="_Toc297048354"/>
      <w:bookmarkEnd w:id="337"/>
      <w:bookmarkStart w:id="338" w:name="_Toc292559373"/>
      <w:bookmarkEnd w:id="338"/>
      <w:bookmarkStart w:id="339" w:name="_Toc297216187"/>
      <w:bookmarkEnd w:id="339"/>
      <w:bookmarkStart w:id="340" w:name="_Toc318581173"/>
      <w:bookmarkEnd w:id="340"/>
      <w:bookmarkStart w:id="341" w:name="_Toc296347167"/>
      <w:bookmarkEnd w:id="341"/>
      <w:bookmarkStart w:id="342" w:name="_Toc296346669"/>
      <w:bookmarkEnd w:id="342"/>
      <w:bookmarkStart w:id="343" w:name="_Toc297123528"/>
      <w:bookmarkEnd w:id="343"/>
      <w:bookmarkStart w:id="344" w:name="_Toc292559878"/>
      <w:bookmarkEnd w:id="344"/>
      <w:bookmarkStart w:id="345" w:name="_Toc304295557"/>
      <w:bookmarkEnd w:id="345"/>
      <w:bookmarkStart w:id="346" w:name="_Toc296891208"/>
      <w:bookmarkEnd w:id="346"/>
      <w:bookmarkStart w:id="347" w:name="_Toc296944507"/>
      <w:bookmarkEnd w:id="347"/>
      <w:bookmarkStart w:id="348" w:name="_Toc312678020"/>
      <w:bookmarkEnd w:id="348"/>
      <w:bookmarkStart w:id="349" w:name="_Toc312677494"/>
      <w:r>
        <w:rPr>
          <w:rFonts w:hint="eastAsia" w:ascii="宋体" w:hAnsi="宋体"/>
          <w:highlight w:val="none"/>
        </w:rPr>
        <w:t>.4.1发包人供应的材料设备的保管费用的承担：</w:t>
      </w:r>
      <w:bookmarkEnd w:id="349"/>
      <w:r>
        <w:rPr>
          <w:rFonts w:hint="eastAsia" w:ascii="宋体" w:hAnsi="宋体"/>
          <w:highlight w:val="none"/>
          <w:u w:val="single"/>
        </w:rPr>
        <w:t xml:space="preserve">           </w:t>
      </w:r>
      <w:r>
        <w:rPr>
          <w:rFonts w:hint="eastAsia" w:ascii="宋体" w:hAnsi="宋体"/>
          <w:highlight w:val="none"/>
        </w:rPr>
        <w:t>。</w:t>
      </w:r>
    </w:p>
    <w:p w14:paraId="0ED8B350">
      <w:pPr>
        <w:spacing w:line="440" w:lineRule="atLeast"/>
        <w:outlineLvl w:val="2"/>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outlineLvl w:val="2"/>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outlineLvl w:val="1"/>
        <w:rPr>
          <w:rFonts w:hint="eastAsia"/>
          <w:b/>
          <w:highlight w:val="none"/>
        </w:rPr>
      </w:pPr>
      <w:bookmarkStart w:id="350" w:name="_Toc351203641"/>
      <w:bookmarkEnd w:id="350"/>
      <w:r>
        <w:rPr>
          <w:rFonts w:hint="eastAsia"/>
          <w:b/>
          <w:highlight w:val="none"/>
        </w:rPr>
        <w:t>9</w:t>
      </w:r>
      <w:bookmarkStart w:id="351" w:name="_Toc296891213"/>
      <w:bookmarkEnd w:id="351"/>
      <w:bookmarkStart w:id="352" w:name="_Toc296346674"/>
      <w:bookmarkEnd w:id="352"/>
      <w:bookmarkStart w:id="353" w:name="_Toc296891001"/>
      <w:bookmarkEnd w:id="353"/>
      <w:bookmarkStart w:id="354" w:name="_Toc292559378"/>
      <w:bookmarkEnd w:id="354"/>
      <w:bookmarkStart w:id="355" w:name="_Toc303539139"/>
      <w:bookmarkEnd w:id="355"/>
      <w:bookmarkStart w:id="356" w:name="_Toc267251428"/>
      <w:bookmarkEnd w:id="356"/>
      <w:bookmarkStart w:id="357" w:name="_Toc297216192"/>
      <w:bookmarkEnd w:id="357"/>
      <w:bookmarkStart w:id="358" w:name="_Toc292559883"/>
      <w:bookmarkEnd w:id="358"/>
      <w:bookmarkStart w:id="359" w:name="_Toc297120473"/>
      <w:bookmarkEnd w:id="359"/>
      <w:bookmarkStart w:id="360" w:name="_Toc304295559"/>
      <w:bookmarkEnd w:id="360"/>
      <w:bookmarkStart w:id="361" w:name="_Toc296503173"/>
      <w:bookmarkEnd w:id="361"/>
      <w:bookmarkStart w:id="362" w:name="_Toc297123533"/>
      <w:bookmarkEnd w:id="362"/>
      <w:bookmarkStart w:id="363" w:name="_Toc267251427"/>
      <w:bookmarkEnd w:id="363"/>
      <w:bookmarkStart w:id="364" w:name="_Toc312678021"/>
      <w:bookmarkEnd w:id="364"/>
      <w:bookmarkStart w:id="365" w:name="_Toc300934982"/>
      <w:bookmarkEnd w:id="365"/>
      <w:bookmarkStart w:id="366" w:name="_Toc296347172"/>
      <w:bookmarkEnd w:id="366"/>
      <w:bookmarkStart w:id="367" w:name="_Toc296944512"/>
      <w:bookmarkEnd w:id="367"/>
      <w:bookmarkStart w:id="368" w:name="_Toc312677495"/>
      <w:bookmarkEnd w:id="368"/>
      <w:bookmarkStart w:id="369" w:name="_Toc297048359"/>
      <w:r>
        <w:rPr>
          <w:rFonts w:hint="eastAsia"/>
          <w:b/>
          <w:highlight w:val="none"/>
        </w:rPr>
        <w:t>. 试验与检验</w:t>
      </w:r>
      <w:bookmarkEnd w:id="369"/>
    </w:p>
    <w:p w14:paraId="64A6809B">
      <w:pPr>
        <w:spacing w:line="440" w:lineRule="atLeast"/>
        <w:outlineLvl w:val="2"/>
        <w:rPr>
          <w:rFonts w:hint="eastAsia" w:ascii="宋体" w:hAnsi="宋体"/>
          <w:highlight w:val="none"/>
        </w:rPr>
      </w:pPr>
      <w:r>
        <w:rPr>
          <w:rFonts w:hint="eastAsia" w:ascii="宋体" w:hAnsi="宋体"/>
          <w:b/>
          <w:bCs/>
          <w:highlight w:val="none"/>
        </w:rPr>
        <w:t>9</w:t>
      </w:r>
      <w:bookmarkStart w:id="370" w:name="_Toc297216193"/>
      <w:bookmarkEnd w:id="370"/>
      <w:bookmarkStart w:id="371" w:name="_Toc303539140"/>
      <w:bookmarkEnd w:id="371"/>
      <w:bookmarkStart w:id="372" w:name="_Toc297123534"/>
      <w:bookmarkEnd w:id="372"/>
      <w:bookmarkStart w:id="373" w:name="_Toc312678022"/>
      <w:bookmarkEnd w:id="373"/>
      <w:bookmarkStart w:id="374" w:name="_Toc304295560"/>
      <w:bookmarkEnd w:id="374"/>
      <w:bookmarkStart w:id="375" w:name="_Toc300934983"/>
      <w:bookmarkEnd w:id="375"/>
      <w:bookmarkStart w:id="376" w:name="_Toc312677496"/>
      <w:r>
        <w:rPr>
          <w:rFonts w:hint="eastAsia" w:ascii="宋体" w:hAnsi="宋体"/>
          <w:b/>
          <w:bCs/>
          <w:highlight w:val="none"/>
        </w:rPr>
        <w:t>.1</w:t>
      </w:r>
      <w:bookmarkEnd w:id="376"/>
      <w:r>
        <w:rPr>
          <w:rFonts w:hint="eastAsia" w:ascii="宋体" w:hAnsi="宋体"/>
          <w:highlight w:val="none"/>
        </w:rPr>
        <w:t>试验设备与试验人员</w:t>
      </w:r>
    </w:p>
    <w:p w14:paraId="7CF5566F">
      <w:pPr>
        <w:spacing w:line="440" w:lineRule="atLeast"/>
        <w:outlineLvl w:val="3"/>
        <w:rPr>
          <w:rFonts w:hint="eastAsia" w:ascii="宋体" w:hAnsi="宋体"/>
          <w:highlight w:val="none"/>
        </w:rPr>
      </w:pPr>
      <w:r>
        <w:rPr>
          <w:rFonts w:hint="eastAsia" w:ascii="宋体" w:hAnsi="宋体"/>
          <w:highlight w:val="none"/>
        </w:rPr>
        <w:t>9</w:t>
      </w:r>
      <w:bookmarkStart w:id="377" w:name="_Toc312677497"/>
      <w:bookmarkEnd w:id="377"/>
      <w:bookmarkStart w:id="378" w:name="_Toc312678023"/>
      <w:bookmarkEnd w:id="378"/>
      <w:bookmarkStart w:id="379" w:name="_Toc304295561"/>
      <w:bookmarkEnd w:id="379"/>
      <w:bookmarkStart w:id="380" w:name="_Toc297123535"/>
      <w:bookmarkEnd w:id="380"/>
      <w:bookmarkStart w:id="381" w:name="_Toc297216194"/>
      <w:bookmarkEnd w:id="381"/>
      <w:bookmarkStart w:id="382" w:name="_Toc300934984"/>
      <w:bookmarkEnd w:id="382"/>
      <w:bookmarkStart w:id="383" w:name="_Toc303539141"/>
      <w:bookmarkEnd w:id="383"/>
      <w:bookmarkStart w:id="384" w:name="_Toc318581174"/>
      <w:r>
        <w:rPr>
          <w:rFonts w:hint="eastAsia" w:ascii="宋体" w:hAnsi="宋体"/>
          <w:highlight w:val="none"/>
        </w:rPr>
        <w:t>.1.2 试验设备</w:t>
      </w:r>
      <w:bookmarkEnd w:id="384"/>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385" w:name="_Toc303539142"/>
      <w:bookmarkEnd w:id="385"/>
      <w:bookmarkStart w:id="386" w:name="_Toc300934985"/>
      <w:bookmarkEnd w:id="386"/>
      <w:bookmarkStart w:id="387" w:name="_Toc312678024"/>
      <w:bookmarkEnd w:id="387"/>
      <w:bookmarkStart w:id="388" w:name="_Toc312677498"/>
      <w:bookmarkEnd w:id="388"/>
      <w:bookmarkStart w:id="389" w:name="_Toc297216195"/>
      <w:bookmarkEnd w:id="389"/>
      <w:bookmarkStart w:id="390" w:name="_Toc297123536"/>
      <w:bookmarkEnd w:id="390"/>
      <w:bookmarkStart w:id="391" w:name="_Toc304295562"/>
      <w:bookmarkEnd w:id="391"/>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outlineLvl w:val="2"/>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168"/>
    <w:bookmarkEnd w:id="169"/>
    <w:bookmarkEnd w:id="170"/>
    <w:bookmarkEnd w:id="171"/>
    <w:p w14:paraId="480734DD">
      <w:pPr>
        <w:ind w:firstLine="422" w:firstLineChars="200"/>
        <w:outlineLvl w:val="1"/>
        <w:rPr>
          <w:rFonts w:hint="eastAsia"/>
          <w:b/>
          <w:highlight w:val="none"/>
        </w:rPr>
      </w:pPr>
      <w:bookmarkStart w:id="392" w:name="_Toc351203643"/>
      <w:bookmarkStart w:id="393" w:name="_Toc417659756"/>
      <w:bookmarkStart w:id="394" w:name="_Toc500423714"/>
      <w:r>
        <w:rPr>
          <w:rFonts w:hint="eastAsia"/>
          <w:b/>
          <w:highlight w:val="none"/>
        </w:rPr>
        <w:t>1</w:t>
      </w:r>
      <w:bookmarkStart w:id="395" w:name="_Toc292559398"/>
      <w:bookmarkEnd w:id="395"/>
      <w:bookmarkStart w:id="396" w:name="_Toc312678025"/>
      <w:bookmarkEnd w:id="396"/>
      <w:bookmarkStart w:id="397" w:name="_Toc304295566"/>
      <w:bookmarkEnd w:id="397"/>
      <w:bookmarkStart w:id="398" w:name="_Toc267251437"/>
      <w:bookmarkEnd w:id="398"/>
      <w:bookmarkStart w:id="399" w:name="_Toc292559903"/>
      <w:bookmarkEnd w:id="399"/>
      <w:bookmarkStart w:id="400" w:name="_Toc267251440"/>
      <w:bookmarkEnd w:id="400"/>
      <w:bookmarkStart w:id="401" w:name="_Toc300934989"/>
      <w:bookmarkEnd w:id="401"/>
      <w:bookmarkStart w:id="402" w:name="_Toc297048379"/>
      <w:bookmarkEnd w:id="402"/>
      <w:bookmarkStart w:id="403" w:name="_Toc312677499"/>
      <w:bookmarkEnd w:id="403"/>
      <w:bookmarkStart w:id="404" w:name="_Toc296503193"/>
      <w:bookmarkEnd w:id="404"/>
      <w:bookmarkStart w:id="405" w:name="_Toc303539146"/>
      <w:bookmarkEnd w:id="405"/>
      <w:bookmarkStart w:id="406" w:name="_Toc296891233"/>
      <w:bookmarkEnd w:id="406"/>
      <w:bookmarkStart w:id="407" w:name="_Toc297216199"/>
      <w:bookmarkEnd w:id="407"/>
      <w:bookmarkStart w:id="408" w:name="_Toc267251439"/>
      <w:bookmarkEnd w:id="408"/>
      <w:bookmarkStart w:id="409" w:name="_Toc297123540"/>
      <w:bookmarkEnd w:id="409"/>
      <w:bookmarkStart w:id="410" w:name="_Toc296891021"/>
      <w:bookmarkEnd w:id="410"/>
      <w:bookmarkStart w:id="411" w:name="_Toc267251433"/>
      <w:bookmarkEnd w:id="411"/>
      <w:bookmarkStart w:id="412" w:name="_Toc267251441"/>
      <w:bookmarkEnd w:id="412"/>
      <w:bookmarkStart w:id="413" w:name="_Toc296347192"/>
      <w:bookmarkEnd w:id="413"/>
      <w:bookmarkStart w:id="414" w:name="_Toc297120493"/>
      <w:bookmarkEnd w:id="414"/>
      <w:bookmarkStart w:id="415" w:name="_Toc296944532"/>
      <w:bookmarkEnd w:id="415"/>
      <w:bookmarkStart w:id="416" w:name="_Toc296346694"/>
      <w:bookmarkEnd w:id="416"/>
      <w:bookmarkStart w:id="417" w:name="_Toc267251435"/>
      <w:bookmarkEnd w:id="417"/>
      <w:bookmarkStart w:id="418" w:name="_Toc267251442"/>
      <w:r>
        <w:rPr>
          <w:rFonts w:hint="eastAsia"/>
          <w:b/>
          <w:highlight w:val="none"/>
        </w:rPr>
        <w:t>0. 变更</w:t>
      </w:r>
      <w:bookmarkEnd w:id="418"/>
    </w:p>
    <w:p w14:paraId="55AFD6F2">
      <w:pPr>
        <w:spacing w:line="440" w:lineRule="atLeast"/>
        <w:outlineLvl w:val="2"/>
        <w:rPr>
          <w:rFonts w:hint="eastAsia" w:ascii="宋体" w:hAnsi="宋体"/>
          <w:highlight w:val="none"/>
        </w:rPr>
      </w:pPr>
      <w:r>
        <w:rPr>
          <w:rFonts w:hint="eastAsia" w:ascii="宋体" w:hAnsi="宋体"/>
          <w:b/>
          <w:bCs/>
          <w:highlight w:val="none"/>
        </w:rPr>
        <w:t>1</w:t>
      </w:r>
      <w:bookmarkStart w:id="419" w:name="_Toc296891022"/>
      <w:bookmarkEnd w:id="419"/>
      <w:bookmarkStart w:id="420" w:name="_Toc312677500"/>
      <w:bookmarkEnd w:id="420"/>
      <w:bookmarkStart w:id="421" w:name="_Toc297123541"/>
      <w:bookmarkEnd w:id="421"/>
      <w:bookmarkStart w:id="422" w:name="_Toc300934990"/>
      <w:bookmarkEnd w:id="422"/>
      <w:bookmarkStart w:id="423" w:name="_Toc297048380"/>
      <w:bookmarkEnd w:id="423"/>
      <w:bookmarkStart w:id="424" w:name="_Toc304295567"/>
      <w:bookmarkEnd w:id="424"/>
      <w:bookmarkStart w:id="425" w:name="_Toc296503194"/>
      <w:bookmarkEnd w:id="425"/>
      <w:bookmarkStart w:id="426" w:name="_Toc296346695"/>
      <w:bookmarkEnd w:id="426"/>
      <w:bookmarkStart w:id="427" w:name="_Toc297216200"/>
      <w:bookmarkEnd w:id="427"/>
      <w:bookmarkStart w:id="428" w:name="_Toc296891234"/>
      <w:bookmarkEnd w:id="428"/>
      <w:bookmarkStart w:id="429" w:name="_Toc296347193"/>
      <w:bookmarkEnd w:id="429"/>
      <w:bookmarkStart w:id="430" w:name="_Toc292559904"/>
      <w:bookmarkEnd w:id="430"/>
      <w:bookmarkStart w:id="431" w:name="_Toc312678026"/>
      <w:bookmarkEnd w:id="431"/>
      <w:bookmarkStart w:id="432" w:name="_Toc297120494"/>
      <w:bookmarkEnd w:id="432"/>
      <w:bookmarkStart w:id="433" w:name="_Toc303539147"/>
      <w:bookmarkEnd w:id="433"/>
      <w:bookmarkStart w:id="434" w:name="_Toc292559399"/>
      <w:bookmarkEnd w:id="434"/>
      <w:bookmarkStart w:id="435" w:name="_Toc296944533"/>
      <w:r>
        <w:rPr>
          <w:rFonts w:hint="eastAsia" w:ascii="宋体" w:hAnsi="宋体"/>
          <w:b/>
          <w:bCs/>
          <w:highlight w:val="none"/>
        </w:rPr>
        <w:t>0.1</w:t>
      </w:r>
      <w:bookmarkEnd w:id="435"/>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outlineLvl w:val="2"/>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outlineLvl w:val="3"/>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outlineLvl w:val="2"/>
        <w:rPr>
          <w:rFonts w:hint="eastAsia" w:ascii="宋体" w:hAnsi="宋体"/>
          <w:highlight w:val="none"/>
        </w:rPr>
      </w:pPr>
      <w:r>
        <w:rPr>
          <w:rFonts w:hint="eastAsia" w:ascii="宋体" w:hAnsi="宋体"/>
          <w:b/>
          <w:bCs/>
          <w:highlight w:val="none"/>
        </w:rPr>
        <w:t>1</w:t>
      </w:r>
      <w:bookmarkStart w:id="436" w:name="_Toc296503197"/>
      <w:bookmarkEnd w:id="436"/>
      <w:bookmarkStart w:id="437" w:name="_Toc292559907"/>
      <w:bookmarkEnd w:id="437"/>
      <w:bookmarkStart w:id="438" w:name="_Toc296891025"/>
      <w:bookmarkEnd w:id="438"/>
      <w:bookmarkStart w:id="439" w:name="_Toc303539150"/>
      <w:bookmarkEnd w:id="439"/>
      <w:bookmarkStart w:id="440" w:name="_Toc297120497"/>
      <w:bookmarkEnd w:id="440"/>
      <w:bookmarkStart w:id="441" w:name="_Toc292559402"/>
      <w:bookmarkEnd w:id="441"/>
      <w:bookmarkStart w:id="442" w:name="_Toc304295570"/>
      <w:bookmarkEnd w:id="442"/>
      <w:bookmarkStart w:id="443" w:name="_Toc297048383"/>
      <w:bookmarkEnd w:id="443"/>
      <w:bookmarkStart w:id="444" w:name="_Toc300934993"/>
      <w:bookmarkEnd w:id="444"/>
      <w:bookmarkStart w:id="445" w:name="_Toc312678029"/>
      <w:bookmarkEnd w:id="445"/>
      <w:bookmarkStart w:id="446" w:name="_Toc297216203"/>
      <w:bookmarkEnd w:id="446"/>
      <w:bookmarkStart w:id="447" w:name="_Toc296347196"/>
      <w:bookmarkEnd w:id="447"/>
      <w:bookmarkStart w:id="448" w:name="_Toc312677503"/>
      <w:bookmarkEnd w:id="448"/>
      <w:bookmarkStart w:id="449" w:name="_Toc296944536"/>
      <w:bookmarkEnd w:id="449"/>
      <w:bookmarkStart w:id="450" w:name="_Toc296891237"/>
      <w:bookmarkEnd w:id="450"/>
      <w:bookmarkStart w:id="451" w:name="_Toc297123544"/>
      <w:bookmarkEnd w:id="451"/>
      <w:bookmarkStart w:id="452" w:name="_Toc296346698"/>
      <w:bookmarkEnd w:id="452"/>
      <w:r>
        <w:rPr>
          <w:rFonts w:hint="eastAsia" w:ascii="宋体" w:hAnsi="宋体"/>
          <w:b/>
          <w:bCs/>
          <w:highlight w:val="none"/>
        </w:rPr>
        <w:t>0.5</w:t>
      </w:r>
      <w:r>
        <w:rPr>
          <w:rFonts w:hint="eastAsia" w:ascii="宋体" w:hAnsi="宋体"/>
          <w:highlight w:val="none"/>
        </w:rPr>
        <w:t>承</w:t>
      </w:r>
      <w:bookmarkStart w:id="453" w:name="_Toc296891243"/>
      <w:bookmarkEnd w:id="453"/>
      <w:bookmarkStart w:id="454" w:name="_Toc297216204"/>
      <w:bookmarkEnd w:id="454"/>
      <w:bookmarkStart w:id="455" w:name="_Toc300934994"/>
      <w:bookmarkEnd w:id="455"/>
      <w:bookmarkStart w:id="456" w:name="_Toc297120503"/>
      <w:bookmarkEnd w:id="456"/>
      <w:bookmarkStart w:id="457" w:name="_Toc296891031"/>
      <w:bookmarkEnd w:id="457"/>
      <w:bookmarkStart w:id="458" w:name="_Toc292559913"/>
      <w:bookmarkEnd w:id="458"/>
      <w:bookmarkStart w:id="459" w:name="_Toc303539151"/>
      <w:bookmarkEnd w:id="459"/>
      <w:bookmarkStart w:id="460" w:name="_Toc297123545"/>
      <w:bookmarkEnd w:id="460"/>
      <w:bookmarkStart w:id="461" w:name="_Toc297048389"/>
      <w:bookmarkEnd w:id="461"/>
      <w:bookmarkStart w:id="462" w:name="_Toc296347202"/>
      <w:bookmarkEnd w:id="462"/>
      <w:bookmarkStart w:id="463" w:name="_Toc292559408"/>
      <w:bookmarkEnd w:id="463"/>
      <w:bookmarkStart w:id="464" w:name="_Toc296944542"/>
      <w:bookmarkEnd w:id="464"/>
      <w:bookmarkStart w:id="465" w:name="_Toc296503203"/>
      <w:bookmarkEnd w:id="465"/>
      <w:bookmarkStart w:id="466" w:name="_Toc296346704"/>
      <w:bookmarkEnd w:id="466"/>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467" w:name="_Toc297048390"/>
      <w:bookmarkEnd w:id="467"/>
      <w:bookmarkStart w:id="468" w:name="_Toc297123546"/>
      <w:bookmarkEnd w:id="468"/>
      <w:bookmarkStart w:id="469" w:name="_Toc312677504"/>
      <w:bookmarkEnd w:id="469"/>
      <w:bookmarkStart w:id="470" w:name="_Toc292559409"/>
      <w:bookmarkEnd w:id="470"/>
      <w:bookmarkStart w:id="471" w:name="_Toc292559914"/>
      <w:bookmarkEnd w:id="471"/>
      <w:bookmarkStart w:id="472" w:name="_Toc296891244"/>
      <w:bookmarkEnd w:id="472"/>
      <w:bookmarkStart w:id="473" w:name="_Toc297216205"/>
      <w:bookmarkEnd w:id="473"/>
      <w:bookmarkStart w:id="474" w:name="_Toc303539152"/>
      <w:bookmarkEnd w:id="474"/>
      <w:bookmarkStart w:id="475" w:name="_Toc312678030"/>
      <w:bookmarkEnd w:id="475"/>
      <w:bookmarkStart w:id="476" w:name="_Toc297120504"/>
      <w:bookmarkEnd w:id="476"/>
      <w:bookmarkStart w:id="477" w:name="_Toc296891032"/>
      <w:bookmarkEnd w:id="477"/>
      <w:bookmarkStart w:id="478" w:name="_Toc304295571"/>
      <w:bookmarkEnd w:id="478"/>
      <w:bookmarkStart w:id="479" w:name="_Toc300934995"/>
      <w:bookmarkEnd w:id="479"/>
      <w:bookmarkStart w:id="480" w:name="_Toc296944543"/>
      <w:bookmarkEnd w:id="480"/>
      <w:bookmarkStart w:id="481" w:name="_Toc296347203"/>
      <w:bookmarkEnd w:id="481"/>
      <w:bookmarkStart w:id="482" w:name="_Toc296503204"/>
      <w:bookmarkEnd w:id="482"/>
      <w:bookmarkStart w:id="483" w:name="_Toc318581175"/>
      <w:bookmarkEnd w:id="483"/>
      <w:bookmarkStart w:id="484" w:name="_Toc296346705"/>
      <w:r>
        <w:rPr>
          <w:rFonts w:hint="eastAsia" w:ascii="宋体" w:hAnsi="宋体"/>
          <w:highlight w:val="none"/>
        </w:rPr>
        <w:t>包人提出的合理化建议降低了合同价格或者提高了工程经济效益的奖励的方法和金额为：</w:t>
      </w:r>
      <w:bookmarkEnd w:id="484"/>
      <w:r>
        <w:rPr>
          <w:rFonts w:hint="eastAsia" w:ascii="宋体" w:hAnsi="宋体"/>
          <w:highlight w:val="none"/>
          <w:u w:val="single"/>
        </w:rPr>
        <w:t xml:space="preserve">             \         </w:t>
      </w:r>
      <w:r>
        <w:rPr>
          <w:rFonts w:hint="eastAsia" w:ascii="宋体" w:hAnsi="宋体"/>
          <w:highlight w:val="none"/>
        </w:rPr>
        <w:t>。</w:t>
      </w:r>
    </w:p>
    <w:p w14:paraId="47C4C121">
      <w:pPr>
        <w:spacing w:line="440" w:lineRule="atLeast"/>
        <w:outlineLvl w:val="2"/>
        <w:rPr>
          <w:rFonts w:hint="eastAsia" w:ascii="宋体" w:hAnsi="宋体"/>
          <w:highlight w:val="none"/>
        </w:rPr>
      </w:pPr>
      <w:r>
        <w:rPr>
          <w:rFonts w:hint="eastAsia" w:ascii="宋体" w:hAnsi="宋体"/>
          <w:b/>
          <w:bCs/>
          <w:highlight w:val="none"/>
        </w:rPr>
        <w:t>1</w:t>
      </w:r>
      <w:bookmarkStart w:id="485" w:name="_Toc296891239"/>
      <w:bookmarkEnd w:id="485"/>
      <w:bookmarkStart w:id="486" w:name="_Toc297048385"/>
      <w:bookmarkEnd w:id="486"/>
      <w:bookmarkStart w:id="487" w:name="_Toc303539154"/>
      <w:bookmarkEnd w:id="487"/>
      <w:bookmarkStart w:id="488" w:name="_Toc297123548"/>
      <w:bookmarkEnd w:id="488"/>
      <w:bookmarkStart w:id="489" w:name="_Toc312678033"/>
      <w:bookmarkEnd w:id="489"/>
      <w:bookmarkStart w:id="490" w:name="_Toc296346700"/>
      <w:bookmarkEnd w:id="490"/>
      <w:bookmarkStart w:id="491" w:name="_Toc297120499"/>
      <w:bookmarkEnd w:id="491"/>
      <w:bookmarkStart w:id="492" w:name="_Toc297216207"/>
      <w:bookmarkEnd w:id="492"/>
      <w:bookmarkStart w:id="493" w:name="_Toc312677507"/>
      <w:bookmarkEnd w:id="493"/>
      <w:bookmarkStart w:id="494" w:name="_Toc304295574"/>
      <w:bookmarkEnd w:id="494"/>
      <w:bookmarkStart w:id="495" w:name="_Toc296347198"/>
      <w:bookmarkEnd w:id="495"/>
      <w:bookmarkStart w:id="496" w:name="_Toc300934997"/>
      <w:bookmarkEnd w:id="496"/>
      <w:bookmarkStart w:id="497" w:name="_Toc292559909"/>
      <w:bookmarkEnd w:id="497"/>
      <w:bookmarkStart w:id="498" w:name="_Toc292559404"/>
      <w:bookmarkEnd w:id="498"/>
      <w:bookmarkStart w:id="499" w:name="_Toc296891027"/>
      <w:bookmarkEnd w:id="499"/>
      <w:bookmarkStart w:id="500" w:name="_Toc296503199"/>
      <w:bookmarkEnd w:id="500"/>
      <w:bookmarkStart w:id="501" w:name="_Toc296944538"/>
      <w:r>
        <w:rPr>
          <w:rFonts w:hint="eastAsia" w:ascii="宋体" w:hAnsi="宋体"/>
          <w:b/>
          <w:bCs/>
          <w:highlight w:val="none"/>
        </w:rPr>
        <w:t>0.7</w:t>
      </w:r>
      <w:bookmarkEnd w:id="501"/>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502" w:name="_Toc312678034"/>
      <w:bookmarkEnd w:id="502"/>
      <w:bookmarkStart w:id="503" w:name="_Toc318581176"/>
      <w:bookmarkEnd w:id="503"/>
      <w:bookmarkStart w:id="504" w:name="_Toc312677508"/>
      <w:r>
        <w:rPr>
          <w:rFonts w:hint="eastAsia" w:ascii="宋体" w:hAnsi="宋体"/>
          <w:highlight w:val="none"/>
        </w:rPr>
        <w:t>估价材料和工程设备的明细</w:t>
      </w:r>
      <w:bookmarkEnd w:id="504"/>
    </w:p>
    <w:p w14:paraId="6CDB72AA">
      <w:pPr>
        <w:spacing w:line="440" w:lineRule="atLeast"/>
        <w:outlineLvl w:val="3"/>
        <w:rPr>
          <w:rFonts w:hint="eastAsia" w:ascii="宋体" w:hAnsi="宋体"/>
          <w:highlight w:val="none"/>
        </w:rPr>
      </w:pPr>
      <w:r>
        <w:rPr>
          <w:rFonts w:hint="eastAsia" w:ascii="宋体" w:hAnsi="宋体"/>
          <w:highlight w:val="none"/>
        </w:rPr>
        <w:t>1</w:t>
      </w:r>
      <w:bookmarkStart w:id="505" w:name="_Toc312678035"/>
      <w:bookmarkEnd w:id="505"/>
      <w:bookmarkStart w:id="506" w:name="_Toc318581177"/>
      <w:bookmarkEnd w:id="506"/>
      <w:bookmarkStart w:id="507" w:name="_Toc312677509"/>
      <w:r>
        <w:rPr>
          <w:rFonts w:hint="eastAsia" w:ascii="宋体" w:hAnsi="宋体"/>
          <w:highlight w:val="none"/>
        </w:rPr>
        <w:t>0.7.1 依法必须招标的暂估价项目</w:t>
      </w:r>
      <w:bookmarkEnd w:id="507"/>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outlineLvl w:val="3"/>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outlineLvl w:val="2"/>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1"/>
        <w:rPr>
          <w:rFonts w:ascii="宋体" w:hAnsi="宋体" w:cs="宋体"/>
          <w:b/>
          <w:sz w:val="24"/>
          <w:szCs w:val="24"/>
          <w:highlight w:val="none"/>
        </w:rPr>
      </w:pPr>
      <w:bookmarkStart w:id="508" w:name="_Toc14975650"/>
      <w:bookmarkStart w:id="509" w:name="_Toc529438841"/>
      <w:r>
        <w:rPr>
          <w:rFonts w:ascii="宋体" w:hAnsi="宋体" w:cs="宋体"/>
          <w:b/>
          <w:sz w:val="24"/>
          <w:szCs w:val="24"/>
          <w:highlight w:val="none"/>
        </w:rPr>
        <w:t>11. 价格调整</w:t>
      </w:r>
      <w:bookmarkEnd w:id="392"/>
      <w:bookmarkEnd w:id="393"/>
      <w:bookmarkEnd w:id="394"/>
      <w:bookmarkEnd w:id="508"/>
      <w:bookmarkEnd w:id="509"/>
    </w:p>
    <w:p w14:paraId="308CC631">
      <w:pPr>
        <w:spacing w:line="360" w:lineRule="auto"/>
        <w:ind w:firstLine="422" w:firstLineChars="200"/>
        <w:outlineLvl w:val="2"/>
        <w:rPr>
          <w:rFonts w:ascii="宋体" w:hAnsi="宋体"/>
          <w:b/>
          <w:bCs/>
          <w:szCs w:val="21"/>
          <w:highlight w:val="none"/>
        </w:rPr>
      </w:pPr>
      <w:bookmarkStart w:id="510" w:name="_Toc417659757"/>
      <w:bookmarkStart w:id="511" w:name="_Toc296891241"/>
      <w:bookmarkStart w:id="512" w:name="_Toc296347200"/>
      <w:bookmarkStart w:id="513" w:name="_Toc304295577"/>
      <w:bookmarkStart w:id="514" w:name="_Toc297216209"/>
      <w:bookmarkStart w:id="515" w:name="_Toc297123550"/>
      <w:bookmarkStart w:id="516" w:name="_Toc296891029"/>
      <w:bookmarkStart w:id="517" w:name="_Toc312678039"/>
      <w:bookmarkStart w:id="518" w:name="_Toc296346702"/>
      <w:bookmarkStart w:id="519" w:name="_Toc292559911"/>
      <w:bookmarkStart w:id="520" w:name="_Toc297048387"/>
      <w:bookmarkStart w:id="521" w:name="_Toc296503201"/>
      <w:bookmarkStart w:id="522" w:name="_Toc300935000"/>
      <w:bookmarkStart w:id="523" w:name="_Toc303539157"/>
      <w:bookmarkStart w:id="524" w:name="_Toc296944540"/>
      <w:bookmarkStart w:id="525" w:name="_Toc292559406"/>
      <w:bookmarkStart w:id="526" w:name="_Toc297120501"/>
      <w:r>
        <w:rPr>
          <w:rFonts w:ascii="宋体" w:hAnsi="宋体"/>
          <w:b/>
          <w:bCs/>
          <w:szCs w:val="21"/>
          <w:highlight w:val="none"/>
        </w:rPr>
        <w:t>11.1 市场价格波动引起的调整</w:t>
      </w:r>
      <w:bookmarkEnd w:id="510"/>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18598CDC">
      <w:pPr>
        <w:spacing w:line="360" w:lineRule="auto"/>
        <w:ind w:firstLine="420" w:firstLineChars="200"/>
        <w:jc w:val="left"/>
        <w:rPr>
          <w:rFonts w:ascii="宋体" w:hAnsi="宋体"/>
          <w:szCs w:val="21"/>
          <w:highlight w:val="none"/>
        </w:rPr>
      </w:pPr>
      <w:bookmarkStart w:id="527" w:name="_Toc417659758"/>
      <w:bookmarkStart w:id="528" w:name="_Toc500423715"/>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outlineLvl w:val="1"/>
        <w:rPr>
          <w:rFonts w:hint="eastAsia"/>
          <w:b/>
          <w:highlight w:val="none"/>
        </w:rPr>
      </w:pPr>
      <w:bookmarkStart w:id="529" w:name="_Toc14975651"/>
      <w:bookmarkStart w:id="530" w:name="_Toc529438842"/>
      <w:r>
        <w:rPr>
          <w:rFonts w:hint="eastAsia"/>
          <w:b/>
          <w:highlight w:val="none"/>
        </w:rPr>
        <w:t>12. 合同价格、计量与支付</w:t>
      </w:r>
      <w:bookmarkEnd w:id="527"/>
      <w:bookmarkEnd w:id="528"/>
      <w:bookmarkEnd w:id="529"/>
      <w:bookmarkEnd w:id="530"/>
    </w:p>
    <w:p w14:paraId="3AF527AF">
      <w:pPr>
        <w:spacing w:line="440" w:lineRule="atLeast"/>
        <w:rPr>
          <w:rFonts w:hint="eastAsia" w:ascii="宋体" w:hAnsi="宋体"/>
          <w:highlight w:val="none"/>
        </w:rPr>
      </w:pPr>
      <w:bookmarkStart w:id="531"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outlineLvl w:val="2"/>
        <w:rPr>
          <w:rFonts w:hint="eastAsia"/>
          <w:b/>
          <w:highlight w:val="none"/>
        </w:rPr>
      </w:pPr>
      <w:r>
        <w:rPr>
          <w:rFonts w:hint="eastAsia"/>
          <w:b/>
          <w:highlight w:val="none"/>
        </w:rPr>
        <w:t>12.2 预付款</w:t>
      </w:r>
      <w:bookmarkEnd w:id="531"/>
    </w:p>
    <w:p w14:paraId="32E08CFE">
      <w:pPr>
        <w:spacing w:line="360" w:lineRule="auto"/>
        <w:ind w:firstLine="420" w:firstLineChars="0"/>
        <w:jc w:val="left"/>
        <w:outlineLvl w:val="3"/>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firstLineChars="0"/>
        <w:jc w:val="left"/>
        <w:outlineLvl w:val="3"/>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outlineLvl w:val="2"/>
        <w:rPr>
          <w:rFonts w:hint="eastAsia"/>
          <w:b/>
          <w:highlight w:val="none"/>
        </w:rPr>
      </w:pPr>
      <w:bookmarkStart w:id="532" w:name="_Toc417659761"/>
      <w:r>
        <w:rPr>
          <w:rFonts w:hint="eastAsia"/>
          <w:b/>
          <w:highlight w:val="none"/>
        </w:rPr>
        <w:t>12.3 计量</w:t>
      </w:r>
      <w:bookmarkEnd w:id="532"/>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outlineLvl w:val="2"/>
        <w:rPr>
          <w:rFonts w:hint="eastAsia"/>
          <w:b/>
          <w:highlight w:val="none"/>
        </w:rPr>
      </w:pPr>
      <w:bookmarkStart w:id="533" w:name="_Toc417659762"/>
      <w:r>
        <w:rPr>
          <w:rFonts w:hint="eastAsia"/>
          <w:b/>
          <w:highlight w:val="none"/>
        </w:rPr>
        <w:t>12.4 工程进度款支付方式</w:t>
      </w:r>
      <w:bookmarkEnd w:id="533"/>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outlineLvl w:val="1"/>
        <w:rPr>
          <w:rFonts w:hint="eastAsia"/>
          <w:b/>
          <w:highlight w:val="none"/>
        </w:rPr>
      </w:pPr>
      <w:bookmarkStart w:id="534" w:name="_Toc292559424"/>
      <w:r>
        <w:rPr>
          <w:rFonts w:hint="eastAsia"/>
          <w:b/>
          <w:highlight w:val="none"/>
        </w:rPr>
        <w:t>13. 验收和工程试车</w:t>
      </w:r>
      <w:bookmarkEnd w:id="534"/>
    </w:p>
    <w:p w14:paraId="4E174C05">
      <w:pPr>
        <w:spacing w:line="440" w:lineRule="atLeast"/>
        <w:outlineLvl w:val="2"/>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outlineLvl w:val="2"/>
        <w:rPr>
          <w:rFonts w:hint="eastAsia" w:ascii="宋体" w:hAnsi="宋体"/>
          <w:highlight w:val="none"/>
        </w:rPr>
      </w:pPr>
      <w:bookmarkStart w:id="535" w:name="_Toc296347222"/>
      <w:bookmarkEnd w:id="535"/>
      <w:bookmarkStart w:id="536" w:name="_Toc292559428"/>
      <w:bookmarkEnd w:id="536"/>
      <w:bookmarkStart w:id="537" w:name="_Toc267251473"/>
      <w:bookmarkEnd w:id="537"/>
      <w:bookmarkStart w:id="538" w:name="_Toc296346724"/>
      <w:bookmarkEnd w:id="538"/>
      <w:bookmarkStart w:id="539" w:name="_Toc297123565"/>
      <w:bookmarkEnd w:id="539"/>
      <w:bookmarkStart w:id="540" w:name="_Toc300935016"/>
      <w:bookmarkEnd w:id="540"/>
      <w:bookmarkStart w:id="541" w:name="_Toc296891051"/>
      <w:bookmarkEnd w:id="541"/>
      <w:bookmarkStart w:id="542" w:name="_Toc296944562"/>
      <w:bookmarkEnd w:id="542"/>
      <w:bookmarkStart w:id="543" w:name="_Toc292559933"/>
      <w:bookmarkEnd w:id="543"/>
      <w:bookmarkStart w:id="544" w:name="_Toc267251472"/>
      <w:bookmarkEnd w:id="544"/>
      <w:bookmarkStart w:id="545" w:name="_Toc296891263"/>
      <w:bookmarkEnd w:id="545"/>
      <w:bookmarkStart w:id="546" w:name="_Toc267251470"/>
      <w:bookmarkEnd w:id="546"/>
      <w:bookmarkStart w:id="547" w:name="_Toc297120523"/>
      <w:bookmarkEnd w:id="547"/>
      <w:bookmarkStart w:id="548" w:name="_Toc303539173"/>
      <w:bookmarkEnd w:id="548"/>
      <w:bookmarkStart w:id="549" w:name="_Toc297048409"/>
      <w:bookmarkEnd w:id="549"/>
      <w:bookmarkStart w:id="550" w:name="_Toc312678056"/>
      <w:bookmarkEnd w:id="550"/>
      <w:bookmarkStart w:id="551" w:name="_Toc297216224"/>
      <w:bookmarkEnd w:id="551"/>
      <w:bookmarkStart w:id="552" w:name="_Toc267251475"/>
      <w:bookmarkEnd w:id="552"/>
      <w:bookmarkStart w:id="553" w:name="_Toc267251474"/>
      <w:bookmarkEnd w:id="553"/>
      <w:bookmarkStart w:id="554" w:name="_Toc304295596"/>
      <w:bookmarkEnd w:id="554"/>
      <w:bookmarkStart w:id="555" w:name="_Toc296503223"/>
      <w:bookmarkEnd w:id="555"/>
      <w:bookmarkStart w:id="556" w:name="_Toc267251471"/>
      <w:bookmarkEnd w:id="556"/>
      <w:bookmarkStart w:id="557" w:name="_Toc267251476"/>
      <w:r>
        <w:rPr>
          <w:rFonts w:hint="eastAsia" w:ascii="宋体" w:hAnsi="宋体"/>
          <w:b/>
          <w:bCs/>
          <w:highlight w:val="none"/>
        </w:rPr>
        <w:t>13.2</w:t>
      </w:r>
      <w:bookmarkEnd w:id="557"/>
      <w:r>
        <w:rPr>
          <w:rFonts w:hint="eastAsia" w:ascii="宋体" w:hAnsi="宋体"/>
          <w:highlight w:val="none"/>
        </w:rPr>
        <w:t xml:space="preserve"> 竣工验收</w:t>
      </w:r>
    </w:p>
    <w:p w14:paraId="42F9C05A">
      <w:pPr>
        <w:spacing w:line="440" w:lineRule="atLeast"/>
        <w:outlineLvl w:val="3"/>
        <w:rPr>
          <w:rFonts w:hint="eastAsia" w:ascii="宋体" w:hAnsi="宋体"/>
          <w:highlight w:val="none"/>
        </w:rPr>
      </w:pPr>
      <w:bookmarkStart w:id="558" w:name="_Toc280868705"/>
      <w:bookmarkEnd w:id="558"/>
      <w:bookmarkStart w:id="559" w:name="_Toc280868708"/>
      <w:bookmarkEnd w:id="559"/>
      <w:bookmarkStart w:id="560" w:name="_Toc280868707"/>
      <w:bookmarkEnd w:id="560"/>
      <w:bookmarkStart w:id="561" w:name="_Toc280868709"/>
      <w:bookmarkEnd w:id="561"/>
      <w:bookmarkStart w:id="562" w:name="_Toc280868706"/>
      <w:bookmarkEnd w:id="562"/>
      <w:bookmarkStart w:id="563" w:name="_Toc280868704"/>
      <w:bookmarkEnd w:id="563"/>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outlineLvl w:val="3"/>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outlineLvl w:val="2"/>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outlineLvl w:val="3"/>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outlineLvl w:val="3"/>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outlineLvl w:val="2"/>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outlineLvl w:val="3"/>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outlineLvl w:val="1"/>
        <w:rPr>
          <w:rFonts w:hint="eastAsia"/>
          <w:b/>
          <w:highlight w:val="none"/>
        </w:rPr>
      </w:pPr>
      <w:bookmarkStart w:id="564" w:name="_Toc351203646"/>
      <w:bookmarkEnd w:id="564"/>
      <w:r>
        <w:rPr>
          <w:rFonts w:hint="eastAsia"/>
          <w:b/>
          <w:highlight w:val="none"/>
        </w:rPr>
        <w:t>14. 竣工结算</w:t>
      </w:r>
    </w:p>
    <w:p w14:paraId="1400A642">
      <w:pPr>
        <w:spacing w:line="440" w:lineRule="atLeast"/>
        <w:outlineLvl w:val="2"/>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outlineLvl w:val="2"/>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outlineLvl w:val="2"/>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outlineLvl w:val="3"/>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outlineLvl w:val="3"/>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outlineLvl w:val="1"/>
        <w:rPr>
          <w:rFonts w:hint="eastAsia"/>
          <w:b/>
          <w:highlight w:val="none"/>
        </w:rPr>
      </w:pPr>
      <w:bookmarkStart w:id="565" w:name="_Toc267251493"/>
      <w:bookmarkEnd w:id="565"/>
      <w:bookmarkStart w:id="566" w:name="_Toc267251494"/>
      <w:bookmarkEnd w:id="566"/>
      <w:bookmarkStart w:id="567" w:name="_Toc267251488"/>
      <w:bookmarkEnd w:id="567"/>
      <w:bookmarkStart w:id="568" w:name="_Toc267251508"/>
      <w:bookmarkEnd w:id="568"/>
      <w:bookmarkStart w:id="569" w:name="_Toc267251506"/>
      <w:bookmarkEnd w:id="569"/>
      <w:bookmarkStart w:id="570" w:name="_Toc267251482"/>
      <w:bookmarkEnd w:id="570"/>
      <w:bookmarkStart w:id="571" w:name="_Toc267251498"/>
      <w:bookmarkEnd w:id="571"/>
      <w:bookmarkStart w:id="572" w:name="_Toc267251514"/>
      <w:bookmarkEnd w:id="572"/>
      <w:bookmarkStart w:id="573" w:name="_Toc267251509"/>
      <w:bookmarkEnd w:id="573"/>
      <w:bookmarkStart w:id="574" w:name="_Toc267251504"/>
      <w:bookmarkEnd w:id="574"/>
      <w:bookmarkStart w:id="575" w:name="_Toc267251495"/>
      <w:bookmarkEnd w:id="575"/>
      <w:bookmarkStart w:id="576" w:name="_Toc267251484"/>
      <w:bookmarkEnd w:id="576"/>
      <w:bookmarkStart w:id="577" w:name="_Toc267251499"/>
      <w:bookmarkEnd w:id="577"/>
      <w:bookmarkStart w:id="578" w:name="_Toc267251513"/>
      <w:bookmarkEnd w:id="578"/>
      <w:bookmarkStart w:id="579" w:name="_Toc267251491"/>
      <w:bookmarkEnd w:id="579"/>
      <w:bookmarkStart w:id="580" w:name="_Toc267251497"/>
      <w:bookmarkEnd w:id="580"/>
      <w:bookmarkStart w:id="581" w:name="_Toc267251501"/>
      <w:bookmarkEnd w:id="581"/>
      <w:bookmarkStart w:id="582" w:name="_Toc351203647"/>
      <w:bookmarkEnd w:id="582"/>
      <w:bookmarkStart w:id="583" w:name="_Toc267251492"/>
      <w:bookmarkEnd w:id="583"/>
      <w:bookmarkStart w:id="584" w:name="_Toc267251490"/>
      <w:bookmarkEnd w:id="584"/>
      <w:bookmarkStart w:id="585" w:name="_Toc267251515"/>
      <w:bookmarkEnd w:id="585"/>
      <w:bookmarkStart w:id="586" w:name="_Toc267251510"/>
      <w:bookmarkEnd w:id="586"/>
      <w:bookmarkStart w:id="587" w:name="_Toc267251489"/>
      <w:bookmarkEnd w:id="587"/>
      <w:bookmarkStart w:id="588" w:name="_Toc267251483"/>
      <w:bookmarkEnd w:id="588"/>
      <w:bookmarkStart w:id="589" w:name="_Toc267251486"/>
      <w:bookmarkEnd w:id="589"/>
      <w:bookmarkStart w:id="590" w:name="_Toc267251502"/>
      <w:bookmarkEnd w:id="590"/>
      <w:bookmarkStart w:id="591" w:name="_Toc267251507"/>
      <w:bookmarkEnd w:id="591"/>
      <w:bookmarkStart w:id="592" w:name="_Toc267251496"/>
      <w:bookmarkEnd w:id="592"/>
      <w:bookmarkStart w:id="593" w:name="_Toc267251503"/>
      <w:bookmarkEnd w:id="593"/>
      <w:bookmarkStart w:id="594" w:name="_Toc267251485"/>
      <w:bookmarkEnd w:id="594"/>
      <w:bookmarkStart w:id="595" w:name="_Toc267251511"/>
      <w:r>
        <w:rPr>
          <w:rFonts w:hint="eastAsia"/>
          <w:b/>
          <w:highlight w:val="none"/>
        </w:rPr>
        <w:t>15. 缺陷责任期与保修</w:t>
      </w:r>
      <w:bookmarkEnd w:id="595"/>
    </w:p>
    <w:p w14:paraId="1A8DD6C5">
      <w:pPr>
        <w:spacing w:line="440" w:lineRule="atLeast"/>
        <w:outlineLvl w:val="2"/>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outlineLvl w:val="2"/>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outlineLvl w:val="3"/>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outlineLvl w:val="3"/>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outlineLvl w:val="2"/>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outlineLvl w:val="3"/>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outlineLvl w:val="3"/>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outlineLvl w:val="1"/>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outlineLvl w:val="1"/>
        <w:rPr>
          <w:rFonts w:hint="eastAsia" w:ascii="宋体" w:hAnsi="宋体"/>
          <w:b/>
          <w:szCs w:val="21"/>
          <w:highlight w:val="none"/>
        </w:rPr>
      </w:pPr>
      <w:bookmarkStart w:id="596" w:name="_Toc351203649"/>
      <w:bookmarkEnd w:id="596"/>
      <w:r>
        <w:rPr>
          <w:rFonts w:hint="eastAsia" w:ascii="宋体" w:hAnsi="宋体"/>
          <w:b/>
          <w:szCs w:val="21"/>
          <w:highlight w:val="none"/>
        </w:rPr>
        <w:t xml:space="preserve">17. 不可抗力 </w:t>
      </w:r>
    </w:p>
    <w:p w14:paraId="2D05E7E6">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outlineLvl w:val="1"/>
        <w:rPr>
          <w:rFonts w:hint="eastAsia" w:ascii="宋体" w:hAnsi="宋体"/>
          <w:b/>
          <w:szCs w:val="21"/>
          <w:highlight w:val="none"/>
        </w:rPr>
      </w:pPr>
      <w:bookmarkStart w:id="597" w:name="_Toc351203650"/>
      <w:bookmarkEnd w:id="597"/>
      <w:r>
        <w:rPr>
          <w:rFonts w:hint="eastAsia" w:ascii="宋体" w:hAnsi="宋体"/>
          <w:b/>
          <w:szCs w:val="21"/>
          <w:highlight w:val="none"/>
        </w:rPr>
        <w:t>18. 保险</w:t>
      </w:r>
    </w:p>
    <w:p w14:paraId="478BD220">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outlineLvl w:val="1"/>
        <w:rPr>
          <w:rFonts w:hint="eastAsia" w:ascii="宋体" w:hAnsi="宋体"/>
          <w:b/>
          <w:szCs w:val="21"/>
          <w:highlight w:val="none"/>
        </w:rPr>
      </w:pPr>
      <w:bookmarkStart w:id="598" w:name="_Toc351203651"/>
      <w:bookmarkEnd w:id="598"/>
      <w:r>
        <w:rPr>
          <w:rFonts w:hint="eastAsia" w:ascii="宋体" w:hAnsi="宋体"/>
          <w:b/>
          <w:szCs w:val="21"/>
          <w:highlight w:val="none"/>
        </w:rPr>
        <w:t>20. 争议解决</w:t>
      </w:r>
    </w:p>
    <w:p w14:paraId="4D9E5E03">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53386FF8">
      <w:pPr>
        <w:autoSpaceDE w:val="0"/>
        <w:autoSpaceDN w:val="0"/>
        <w:jc w:val="center"/>
        <w:rPr>
          <w:rFonts w:hint="eastAsia"/>
          <w:b/>
          <w:bCs/>
          <w:sz w:val="48"/>
          <w:szCs w:val="48"/>
          <w:highlight w:val="none"/>
          <w:lang w:val="en-US" w:eastAsia="zh-CN"/>
        </w:rPr>
      </w:pPr>
      <w:r>
        <w:rPr>
          <w:rFonts w:hint="eastAsia" w:ascii="Times New Roman" w:hAnsi="Times New Roman"/>
          <w:szCs w:val="21"/>
          <w:highlight w:val="none"/>
        </w:rPr>
        <w:br w:type="page"/>
      </w:r>
      <w:bookmarkStart w:id="599" w:name="_Toc12273"/>
      <w:r>
        <w:rPr>
          <w:rFonts w:hint="eastAsia" w:ascii="Times New Roman" w:hAnsi="Times New Roman" w:eastAsia="宋体" w:cs="Times New Roman"/>
          <w:b/>
          <w:bCs/>
          <w:sz w:val="48"/>
          <w:szCs w:val="48"/>
          <w:highlight w:val="none"/>
          <w:lang w:val="en-US" w:eastAsia="zh-CN"/>
        </w:rPr>
        <w:t>二标段采购合同</w:t>
      </w:r>
    </w:p>
    <w:p w14:paraId="411F32BA">
      <w:pPr>
        <w:autoSpaceDE w:val="0"/>
        <w:autoSpaceDN w:val="0"/>
        <w:jc w:val="center"/>
        <w:rPr>
          <w:rFonts w:ascii="仿宋" w:hAnsi="仿宋" w:eastAsia="仿宋" w:cs="仿宋"/>
          <w:b/>
          <w:color w:val="auto"/>
          <w:kern w:val="0"/>
          <w:sz w:val="24"/>
          <w:szCs w:val="24"/>
        </w:rPr>
      </w:pPr>
      <w:r>
        <w:rPr>
          <w:color w:val="auto"/>
          <w:sz w:val="24"/>
          <w:szCs w:val="28"/>
        </w:rPr>
        <w:t>（仅供参考，具体条款由双方平等协商确定）</w:t>
      </w:r>
    </w:p>
    <w:p w14:paraId="0B14F6E6">
      <w:pPr>
        <w:autoSpaceDE w:val="0"/>
        <w:autoSpaceDN w:val="0"/>
        <w:jc w:val="left"/>
        <w:rPr>
          <w:rFonts w:ascii="仿宋" w:hAnsi="仿宋" w:eastAsia="仿宋" w:cs="仿宋"/>
          <w:b/>
          <w:color w:val="auto"/>
          <w:kern w:val="0"/>
          <w:sz w:val="24"/>
          <w:szCs w:val="24"/>
        </w:rPr>
      </w:pPr>
    </w:p>
    <w:p w14:paraId="7832EE15">
      <w:pPr>
        <w:snapToGrid w:val="0"/>
        <w:spacing w:line="36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（以下“合同条款及格式”为合同签订时的基本内容，若需修改及未尽事宜，待</w:t>
      </w:r>
      <w:r>
        <w:rPr>
          <w:rFonts w:hint="eastAsia" w:ascii="宋体" w:hAnsi="宋体" w:cs="宋体"/>
          <w:sz w:val="24"/>
          <w:szCs w:val="24"/>
          <w:lang w:eastAsia="zh-CN"/>
        </w:rPr>
        <w:t>供应商</w:t>
      </w:r>
      <w:r>
        <w:rPr>
          <w:rFonts w:hint="eastAsia" w:ascii="宋体" w:hAnsi="宋体" w:eastAsia="宋体" w:cs="宋体"/>
          <w:sz w:val="24"/>
          <w:szCs w:val="24"/>
        </w:rPr>
        <w:t>中标后签订合同时与招标单位协商确定。最终以甲、乙双方签订的合同为准）</w:t>
      </w:r>
    </w:p>
    <w:p w14:paraId="5850C824">
      <w:pPr>
        <w:spacing w:line="500" w:lineRule="exact"/>
        <w:jc w:val="center"/>
        <w:rPr>
          <w:rFonts w:hint="eastAsia" w:ascii="宋体" w:hAnsi="宋体" w:eastAsia="宋体" w:cs="宋体"/>
          <w:b/>
          <w:sz w:val="24"/>
          <w:szCs w:val="24"/>
          <w:u w:val="single"/>
        </w:rPr>
      </w:pPr>
      <w:bookmarkStart w:id="600" w:name="_Toc9314"/>
      <w:bookmarkEnd w:id="600"/>
    </w:p>
    <w:p w14:paraId="083F86CF">
      <w:pPr>
        <w:spacing w:line="500" w:lineRule="exact"/>
        <w:jc w:val="center"/>
        <w:outlineLvl w:val="1"/>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601" w:name="_Toc25921"/>
      <w:bookmarkStart w:id="602" w:name="_Toc6809_WPSOffice_Level2"/>
      <w:bookmarkStart w:id="603" w:name="_Toc15899"/>
      <w:bookmarkStart w:id="604" w:name="_Toc32180_WPSOffice_Level2"/>
      <w:r>
        <w:rPr>
          <w:rFonts w:hint="eastAsia" w:ascii="宋体" w:hAnsi="宋体" w:eastAsia="宋体" w:cs="宋体"/>
          <w:b/>
          <w:sz w:val="24"/>
          <w:szCs w:val="24"/>
        </w:rPr>
        <w:t>项目合同</w:t>
      </w:r>
      <w:bookmarkEnd w:id="601"/>
      <w:bookmarkEnd w:id="602"/>
      <w:bookmarkEnd w:id="603"/>
      <w:bookmarkEnd w:id="604"/>
    </w:p>
    <w:p w14:paraId="70FDF101">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EB895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717B1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F9726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91ED5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FFA3A88">
      <w:pPr>
        <w:snapToGrid w:val="0"/>
        <w:spacing w:line="360" w:lineRule="auto"/>
        <w:ind w:firstLine="480" w:firstLineChars="200"/>
        <w:rPr>
          <w:rFonts w:hint="eastAsia" w:ascii="宋体" w:hAnsi="宋体" w:eastAsia="宋体" w:cs="宋体"/>
          <w:sz w:val="24"/>
          <w:szCs w:val="24"/>
          <w:u w:val="single"/>
        </w:rPr>
      </w:pPr>
      <w:bookmarkStart w:id="605" w:name="_Toc14583_WPSOffice_Level2"/>
      <w:bookmarkStart w:id="606" w:name="_Toc18936_WPSOffice_Level2"/>
      <w:r>
        <w:rPr>
          <w:rFonts w:hint="eastAsia" w:ascii="宋体" w:hAnsi="宋体" w:eastAsia="宋体" w:cs="宋体"/>
          <w:sz w:val="24"/>
          <w:szCs w:val="24"/>
        </w:rPr>
        <w:t>甲    方：</w:t>
      </w:r>
      <w:r>
        <w:rPr>
          <w:rFonts w:hint="eastAsia" w:ascii="宋体" w:hAnsi="宋体" w:eastAsia="宋体" w:cs="宋体"/>
          <w:b/>
          <w:sz w:val="24"/>
          <w:szCs w:val="24"/>
          <w:u w:val="single"/>
        </w:rPr>
        <w:t xml:space="preserve">                      （采购单位）</w:t>
      </w:r>
      <w:bookmarkEnd w:id="605"/>
      <w:bookmarkEnd w:id="606"/>
    </w:p>
    <w:p w14:paraId="5DB8620A">
      <w:pPr>
        <w:spacing w:line="360" w:lineRule="auto"/>
        <w:ind w:firstLine="480" w:firstLineChars="200"/>
        <w:rPr>
          <w:rFonts w:hint="eastAsia" w:ascii="宋体" w:hAnsi="宋体" w:eastAsia="宋体" w:cs="宋体"/>
          <w:b/>
          <w:sz w:val="24"/>
          <w:szCs w:val="24"/>
        </w:rPr>
      </w:pPr>
      <w:bookmarkStart w:id="607" w:name="_Toc29648_WPSOffice_Level2"/>
      <w:bookmarkStart w:id="608" w:name="_Toc26333_WPSOffice_Level2"/>
      <w:r>
        <w:rPr>
          <w:rFonts w:hint="eastAsia" w:ascii="宋体" w:hAnsi="宋体" w:eastAsia="宋体" w:cs="宋体"/>
          <w:sz w:val="24"/>
          <w:szCs w:val="24"/>
        </w:rPr>
        <w:t>乙    方：</w:t>
      </w:r>
      <w:r>
        <w:rPr>
          <w:rFonts w:hint="eastAsia" w:ascii="宋体" w:hAnsi="宋体" w:eastAsia="宋体" w:cs="宋体"/>
          <w:b/>
          <w:sz w:val="24"/>
          <w:szCs w:val="24"/>
          <w:u w:val="single"/>
        </w:rPr>
        <w:t xml:space="preserve">                    （中标</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人）</w:t>
      </w:r>
      <w:bookmarkEnd w:id="607"/>
      <w:bookmarkEnd w:id="608"/>
    </w:p>
    <w:p w14:paraId="78882CDF">
      <w:pPr>
        <w:spacing w:line="500" w:lineRule="exact"/>
        <w:outlineLvl w:val="1"/>
        <w:rPr>
          <w:rFonts w:hint="eastAsia" w:ascii="宋体" w:hAnsi="宋体" w:eastAsia="宋体" w:cs="宋体"/>
          <w:b/>
          <w:sz w:val="24"/>
          <w:szCs w:val="24"/>
        </w:rPr>
      </w:pPr>
      <w:bookmarkStart w:id="609" w:name="_Toc17551_WPSOffice_Level2"/>
      <w:bookmarkStart w:id="610" w:name="_Toc14490_WPSOffice_Level2"/>
      <w:bookmarkStart w:id="611" w:name="_Toc32542"/>
      <w:bookmarkStart w:id="612" w:name="_Toc1328"/>
      <w:r>
        <w:rPr>
          <w:rFonts w:hint="eastAsia" w:ascii="宋体" w:hAnsi="宋体" w:eastAsia="宋体" w:cs="宋体"/>
          <w:b/>
          <w:sz w:val="24"/>
          <w:szCs w:val="24"/>
        </w:rPr>
        <w:t>1．总则</w:t>
      </w:r>
      <w:bookmarkEnd w:id="609"/>
      <w:bookmarkEnd w:id="610"/>
      <w:bookmarkEnd w:id="611"/>
      <w:bookmarkEnd w:id="612"/>
      <w:r>
        <w:rPr>
          <w:rFonts w:hint="eastAsia" w:ascii="宋体" w:hAnsi="宋体" w:eastAsia="宋体" w:cs="宋体"/>
          <w:b/>
          <w:sz w:val="24"/>
          <w:szCs w:val="24"/>
        </w:rPr>
        <w:t xml:space="preserve"> </w:t>
      </w:r>
    </w:p>
    <w:p w14:paraId="70BCB99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项目(以下简称本项目)的成交结果，甲方同意接受乙方为本项目招标所做的投标文件，乙方必须完全按成交通知书和本合同条款履行义务。甲、乙双方同意签署本合同。</w:t>
      </w:r>
    </w:p>
    <w:p w14:paraId="2283199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注:本项目合同由中标单位与需方签订。</w:t>
      </w:r>
    </w:p>
    <w:p w14:paraId="7C20893A">
      <w:pPr>
        <w:spacing w:line="500" w:lineRule="exact"/>
        <w:outlineLvl w:val="1"/>
        <w:rPr>
          <w:rFonts w:hint="eastAsia" w:ascii="宋体" w:hAnsi="宋体" w:eastAsia="宋体" w:cs="宋体"/>
          <w:b/>
          <w:sz w:val="24"/>
          <w:szCs w:val="24"/>
        </w:rPr>
      </w:pPr>
      <w:bookmarkStart w:id="613" w:name="_Toc15652"/>
      <w:bookmarkStart w:id="614" w:name="_Toc28941"/>
      <w:bookmarkStart w:id="615" w:name="_Toc8702_WPSOffice_Level2"/>
      <w:bookmarkStart w:id="616" w:name="_Toc9399_WPSOffice_Level2"/>
      <w:r>
        <w:rPr>
          <w:rFonts w:hint="eastAsia" w:ascii="宋体" w:hAnsi="宋体" w:eastAsia="宋体" w:cs="宋体"/>
          <w:b/>
          <w:sz w:val="24"/>
          <w:szCs w:val="24"/>
        </w:rPr>
        <w:t>2．合同文件</w:t>
      </w:r>
      <w:bookmarkEnd w:id="613"/>
      <w:bookmarkEnd w:id="614"/>
      <w:bookmarkEnd w:id="615"/>
      <w:bookmarkEnd w:id="616"/>
    </w:p>
    <w:p w14:paraId="4C68A29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   本合同条款。</w:t>
      </w:r>
    </w:p>
    <w:p w14:paraId="28E6DCB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2.2   中标通知书。</w:t>
      </w:r>
    </w:p>
    <w:p w14:paraId="3C767B0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2.3   变更补充文件</w:t>
      </w:r>
    </w:p>
    <w:p w14:paraId="58094962">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2.4   技术规格及要求。</w:t>
      </w:r>
    </w:p>
    <w:p w14:paraId="08530733">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2.5   投标文件。</w:t>
      </w:r>
    </w:p>
    <w:p w14:paraId="4167C2B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2.6   其它</w:t>
      </w:r>
    </w:p>
    <w:p w14:paraId="1A9A0E85">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上述所指合同文件应认为是互相补充和解释的，但是有模棱两可或互相矛盾之处，以其所列内容先后顺序为准。</w:t>
      </w:r>
    </w:p>
    <w:p w14:paraId="4A0780C1">
      <w:pPr>
        <w:spacing w:line="500" w:lineRule="exact"/>
        <w:outlineLvl w:val="1"/>
        <w:rPr>
          <w:rFonts w:hint="eastAsia" w:ascii="宋体" w:hAnsi="宋体" w:eastAsia="宋体" w:cs="宋体"/>
          <w:b/>
          <w:sz w:val="24"/>
          <w:szCs w:val="24"/>
        </w:rPr>
      </w:pPr>
      <w:bookmarkStart w:id="617" w:name="_Toc24590_WPSOffice_Level2"/>
      <w:bookmarkStart w:id="618" w:name="_Toc10063"/>
      <w:bookmarkStart w:id="619" w:name="_Toc7084"/>
      <w:bookmarkStart w:id="620" w:name="_Toc27808_WPSOffice_Level2"/>
      <w:r>
        <w:rPr>
          <w:rFonts w:hint="eastAsia" w:ascii="宋体" w:hAnsi="宋体" w:eastAsia="宋体" w:cs="宋体"/>
          <w:b/>
          <w:sz w:val="24"/>
          <w:szCs w:val="24"/>
        </w:rPr>
        <w:t>3．货物名称、型号、规格、配置、技术参数、数量及合同价款</w:t>
      </w:r>
      <w:bookmarkEnd w:id="617"/>
      <w:bookmarkEnd w:id="618"/>
      <w:bookmarkEnd w:id="619"/>
      <w:bookmarkEnd w:id="620"/>
    </w:p>
    <w:tbl>
      <w:tblPr>
        <w:tblStyle w:val="18"/>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0684F44E">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6725685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16" w:type="dxa"/>
            <w:tcBorders>
              <w:top w:val="single" w:color="auto" w:sz="4" w:space="0"/>
              <w:left w:val="nil"/>
              <w:bottom w:val="single" w:color="auto" w:sz="4" w:space="0"/>
              <w:right w:val="single" w:color="auto" w:sz="4" w:space="0"/>
            </w:tcBorders>
            <w:vAlign w:val="center"/>
          </w:tcPr>
          <w:p w14:paraId="0B94570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2940" w:type="dxa"/>
            <w:tcBorders>
              <w:top w:val="single" w:color="auto" w:sz="4" w:space="0"/>
              <w:left w:val="nil"/>
              <w:bottom w:val="single" w:color="auto" w:sz="4" w:space="0"/>
              <w:right w:val="single" w:color="auto" w:sz="4" w:space="0"/>
            </w:tcBorders>
            <w:vAlign w:val="center"/>
          </w:tcPr>
          <w:p w14:paraId="6DCD9F97">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型号规格配置</w:t>
            </w:r>
          </w:p>
          <w:p w14:paraId="198F3C5C">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及技术参数</w:t>
            </w:r>
          </w:p>
        </w:tc>
        <w:tc>
          <w:tcPr>
            <w:tcW w:w="832" w:type="dxa"/>
            <w:tcBorders>
              <w:top w:val="single" w:color="auto" w:sz="4" w:space="0"/>
              <w:left w:val="nil"/>
              <w:bottom w:val="single" w:color="auto" w:sz="4" w:space="0"/>
              <w:right w:val="single" w:color="auto" w:sz="4" w:space="0"/>
            </w:tcBorders>
            <w:vAlign w:val="center"/>
          </w:tcPr>
          <w:p w14:paraId="002A7F3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987" w:type="dxa"/>
            <w:tcBorders>
              <w:top w:val="single" w:color="auto" w:sz="4" w:space="0"/>
              <w:left w:val="nil"/>
              <w:bottom w:val="single" w:color="auto" w:sz="4" w:space="0"/>
              <w:right w:val="single" w:color="auto" w:sz="4" w:space="0"/>
            </w:tcBorders>
            <w:vAlign w:val="center"/>
          </w:tcPr>
          <w:p w14:paraId="4F4E649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数量(台)</w:t>
            </w:r>
          </w:p>
        </w:tc>
        <w:tc>
          <w:tcPr>
            <w:tcW w:w="936" w:type="dxa"/>
            <w:tcBorders>
              <w:top w:val="single" w:color="auto" w:sz="4" w:space="0"/>
              <w:left w:val="nil"/>
              <w:bottom w:val="single" w:color="auto" w:sz="4" w:space="0"/>
              <w:right w:val="single" w:color="auto" w:sz="4" w:space="0"/>
            </w:tcBorders>
            <w:vAlign w:val="center"/>
          </w:tcPr>
          <w:p w14:paraId="0586C7E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1280" w:type="dxa"/>
            <w:tcBorders>
              <w:top w:val="single" w:color="auto" w:sz="4" w:space="0"/>
              <w:left w:val="nil"/>
              <w:bottom w:val="single" w:color="auto" w:sz="4" w:space="0"/>
              <w:right w:val="single" w:color="auto" w:sz="4" w:space="0"/>
            </w:tcBorders>
            <w:vAlign w:val="center"/>
          </w:tcPr>
          <w:p w14:paraId="7350951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23E165D8">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33ACA0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A450B4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74A7C66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18A1431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7DC417E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6E4B56D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63476B1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2FDDD090">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03A6B5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77A9E525">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1109A60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8D212B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593B3B3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344169FE">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0ACA20D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0D9845EB">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AFE08A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60B8882">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3595FAA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7AD5505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07B0A6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36CA252E">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4DD1610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15C4626A">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920CC3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78F4C65">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08782F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62A6FF4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CDEA3A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5F5FF5A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63D0DF0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360ABE7C">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2BFE6F3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987" w:type="dxa"/>
            <w:tcBorders>
              <w:top w:val="single" w:color="auto" w:sz="4" w:space="0"/>
              <w:left w:val="nil"/>
              <w:bottom w:val="single" w:color="auto" w:sz="4" w:space="0"/>
              <w:right w:val="single" w:color="auto" w:sz="4" w:space="0"/>
            </w:tcBorders>
            <w:vAlign w:val="center"/>
          </w:tcPr>
          <w:p w14:paraId="7C524DB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6410F90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7CE776AD">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w:t>
            </w:r>
          </w:p>
        </w:tc>
      </w:tr>
      <w:tr w14:paraId="4A1D586E">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394BE8A9">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37204B7A">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r>
    </w:tbl>
    <w:p w14:paraId="0B5F9FC3">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（合同价款包括含货款、标准附件、备品备件、专用工具、包装、运输、装卸、保险、税金、货到就位以及安装、调试、培训、保修等一切税金和费用及其他因本项目而产生的一切费用）。</w:t>
      </w:r>
    </w:p>
    <w:p w14:paraId="67C1BEA6">
      <w:pPr>
        <w:snapToGrid w:val="0"/>
        <w:spacing w:line="500" w:lineRule="exact"/>
        <w:outlineLvl w:val="1"/>
        <w:rPr>
          <w:rFonts w:hint="eastAsia" w:ascii="宋体" w:hAnsi="宋体" w:eastAsia="宋体" w:cs="宋体"/>
          <w:b/>
          <w:sz w:val="24"/>
          <w:szCs w:val="24"/>
        </w:rPr>
      </w:pPr>
      <w:bookmarkStart w:id="621" w:name="_Toc32026_WPSOffice_Level2"/>
      <w:bookmarkStart w:id="622" w:name="_Toc13554_WPSOffice_Level2"/>
      <w:bookmarkStart w:id="623" w:name="_Toc24234"/>
      <w:bookmarkStart w:id="624" w:name="_Toc17832"/>
      <w:r>
        <w:rPr>
          <w:rFonts w:hint="eastAsia" w:ascii="宋体" w:hAnsi="宋体" w:eastAsia="宋体" w:cs="宋体"/>
          <w:b/>
          <w:sz w:val="24"/>
          <w:szCs w:val="24"/>
        </w:rPr>
        <w:t>4．合同的范围，交货时间、地点及方式。</w:t>
      </w:r>
      <w:bookmarkEnd w:id="621"/>
      <w:bookmarkEnd w:id="622"/>
      <w:bookmarkEnd w:id="623"/>
      <w:bookmarkEnd w:id="624"/>
    </w:p>
    <w:p w14:paraId="110EE56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4.1 合同的范围：仅指</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w:t>
      </w:r>
    </w:p>
    <w:p w14:paraId="111FCDF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4.2 交货及安装时间：按需方要求</w:t>
      </w:r>
    </w:p>
    <w:p w14:paraId="15CD8CB9">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4.3 交货地点：</w:t>
      </w:r>
      <w:r>
        <w:rPr>
          <w:rFonts w:hint="eastAsia" w:ascii="宋体" w:hAnsi="宋体" w:eastAsia="宋体" w:cs="宋体"/>
          <w:kern w:val="0"/>
          <w:sz w:val="24"/>
          <w:szCs w:val="24"/>
        </w:rPr>
        <w:t>采购单位指定地点</w:t>
      </w:r>
      <w:r>
        <w:rPr>
          <w:rFonts w:hint="eastAsia" w:ascii="宋体" w:hAnsi="宋体" w:eastAsia="宋体" w:cs="宋体"/>
          <w:sz w:val="24"/>
          <w:szCs w:val="24"/>
        </w:rPr>
        <w:t>。</w:t>
      </w:r>
    </w:p>
    <w:p w14:paraId="3B74D1E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4.4 交货方式：乙方免费送至甲方指定地点并安装到位。</w:t>
      </w:r>
    </w:p>
    <w:p w14:paraId="46313E09">
      <w:pPr>
        <w:snapToGrid w:val="0"/>
        <w:spacing w:line="500" w:lineRule="exact"/>
        <w:outlineLvl w:val="1"/>
        <w:rPr>
          <w:rFonts w:hint="eastAsia" w:ascii="宋体" w:hAnsi="宋体" w:eastAsia="宋体" w:cs="宋体"/>
          <w:b/>
          <w:sz w:val="24"/>
          <w:szCs w:val="24"/>
        </w:rPr>
      </w:pPr>
      <w:bookmarkStart w:id="625" w:name="_Toc4733_WPSOffice_Level2"/>
      <w:bookmarkStart w:id="626" w:name="_Toc11324_WPSOffice_Level2"/>
      <w:bookmarkStart w:id="627" w:name="_Toc23365"/>
      <w:bookmarkStart w:id="628" w:name="_Toc17649"/>
      <w:r>
        <w:rPr>
          <w:rFonts w:hint="eastAsia" w:ascii="宋体" w:hAnsi="宋体" w:eastAsia="宋体" w:cs="宋体"/>
          <w:b/>
          <w:sz w:val="24"/>
          <w:szCs w:val="24"/>
        </w:rPr>
        <w:t>5．合同条款及特别条款</w:t>
      </w:r>
      <w:bookmarkEnd w:id="625"/>
      <w:bookmarkEnd w:id="626"/>
      <w:bookmarkEnd w:id="627"/>
      <w:bookmarkEnd w:id="628"/>
    </w:p>
    <w:p w14:paraId="1CB3180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 货物验收：</w:t>
      </w:r>
    </w:p>
    <w:p w14:paraId="4406EDFD">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5.1.1 乙方交货前应对产品作出全面检查和产品资料的整理，作为甲方收货验收和使用的技术条件的主要依据。</w:t>
      </w:r>
    </w:p>
    <w:p w14:paraId="5770066F">
      <w:pPr>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5.1.2 甲方组织专家按照投标文件清单及承诺内容对产品质量及服务验收，在验收时发现质量问题或是相关技术规格与招标文件和投标文件不符的，应及时向招标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反映。</w:t>
      </w:r>
    </w:p>
    <w:p w14:paraId="41DC19A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5.1.3 验收:</w:t>
      </w:r>
    </w:p>
    <w:p w14:paraId="1DEFB118">
      <w:pPr>
        <w:snapToGrid w:val="0"/>
        <w:spacing w:line="360" w:lineRule="auto"/>
        <w:rPr>
          <w:rFonts w:hint="eastAsia" w:ascii="宋体" w:hAnsi="宋体" w:eastAsia="宋体" w:cs="宋体"/>
          <w:sz w:val="24"/>
          <w:szCs w:val="24"/>
          <w:u w:val="single"/>
        </w:rPr>
      </w:pPr>
      <w:r>
        <w:rPr>
          <w:rFonts w:hint="eastAsia" w:ascii="宋体" w:hAnsi="宋体" w:eastAsia="宋体" w:cs="宋体"/>
          <w:b/>
          <w:sz w:val="24"/>
          <w:szCs w:val="24"/>
        </w:rPr>
        <w:t xml:space="preserve">   到场验收:</w:t>
      </w:r>
      <w:r>
        <w:rPr>
          <w:rFonts w:hint="eastAsia" w:ascii="宋体" w:hAnsi="宋体" w:eastAsia="宋体" w:cs="宋体"/>
          <w:sz w:val="24"/>
          <w:szCs w:val="24"/>
          <w:u w:val="single"/>
        </w:rPr>
        <w:t xml:space="preserve">                                                         </w:t>
      </w:r>
    </w:p>
    <w:p w14:paraId="23E91DD3">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C9F95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5.1.4 货物试运行期间，乙方都要指定专门技术人员全程跟踪服务，及时解决出现的所有问题。</w:t>
      </w:r>
    </w:p>
    <w:p w14:paraId="1E769E5B">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5.1.5 甲方根据上述第5.1.3条规定进行验收，并不能免除乙方根据本合同质量保证条款规定所应承担的质量保证责任。</w:t>
      </w:r>
    </w:p>
    <w:p w14:paraId="1910FA5C">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5.2 质量保证、售后服务及故障处理</w:t>
      </w:r>
    </w:p>
    <w:p w14:paraId="136A3B7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5.2.1 乙方应按招标文件规定的货物性能、技术要求、质量标准向甲方提供未经使用的全新产品，按厂家承诺实行“三包”。</w:t>
      </w:r>
    </w:p>
    <w:p w14:paraId="6DAC18F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5.2.2 乙方提供本货物的质量保证期为自验收合格之日起不少于</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年，如乙方提供本身质量保证期超过</w:t>
      </w:r>
      <w:r>
        <w:rPr>
          <w:rFonts w:hint="eastAsia" w:ascii="宋体" w:hAnsi="宋体" w:eastAsia="宋体" w:cs="宋体"/>
          <w:sz w:val="24"/>
          <w:szCs w:val="24"/>
          <w:u w:val="single"/>
        </w:rPr>
        <w:t>单</w:t>
      </w:r>
      <w:r>
        <w:rPr>
          <w:rFonts w:hint="eastAsia" w:ascii="宋体" w:hAnsi="宋体" w:eastAsia="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40AD1E3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⑴更    换：由乙方承担所发生的全部费用。</w:t>
      </w:r>
    </w:p>
    <w:p w14:paraId="63242A4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⑵贬值处理：由甲方、乙方双方合议定价。</w:t>
      </w:r>
    </w:p>
    <w:p w14:paraId="2327C53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⑶退货处理：乙方应退还甲方支付的货物款，同时应承担该货物的直接费用（运输、保险、检验、货款利息及银行手续费等）。</w:t>
      </w:r>
    </w:p>
    <w:p w14:paraId="6AB45AA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5.2.3 在质保期内，乙方应对货物出现的质量及安全问题负责处理解决并承担一切费用。</w:t>
      </w:r>
    </w:p>
    <w:p w14:paraId="0FB997A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5.2.4 乙方须在质保期限满后提供全部货物的终身免费维护，因人为因素出现的故障（或不可抗力引起的故障）不在免费维护范围内。如货物出现故障需维修，乙方只收货物维修的材料费。</w:t>
      </w:r>
    </w:p>
    <w:p w14:paraId="2E0D5D0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5.2.5 乙方应提供产品保修卡按产品规定保修期限及内容以及服务厂家的其它承诺条款实行保修，并提供终身维修服务卡。</w:t>
      </w:r>
    </w:p>
    <w:p w14:paraId="32AD095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5.2.6 乙方应对甲方的货物实行终身维护。</w:t>
      </w:r>
    </w:p>
    <w:p w14:paraId="72EC6D11">
      <w:pPr>
        <w:snapToGrid w:val="0"/>
        <w:spacing w:line="500" w:lineRule="exact"/>
        <w:outlineLvl w:val="1"/>
        <w:rPr>
          <w:rFonts w:hint="eastAsia" w:ascii="宋体" w:hAnsi="宋体" w:eastAsia="宋体" w:cs="宋体"/>
          <w:b/>
          <w:sz w:val="24"/>
          <w:szCs w:val="24"/>
        </w:rPr>
      </w:pPr>
      <w:bookmarkStart w:id="629" w:name="_Toc29072_WPSOffice_Level2"/>
      <w:bookmarkStart w:id="630" w:name="_Toc2284_WPSOffice_Level2"/>
      <w:bookmarkStart w:id="631" w:name="_Toc29414"/>
      <w:bookmarkStart w:id="632" w:name="_Toc21192"/>
      <w:r>
        <w:rPr>
          <w:rFonts w:hint="eastAsia" w:ascii="宋体" w:hAnsi="宋体" w:eastAsia="宋体" w:cs="宋体"/>
          <w:b/>
          <w:sz w:val="24"/>
          <w:szCs w:val="24"/>
        </w:rPr>
        <w:t>6.违约行为</w:t>
      </w:r>
      <w:bookmarkEnd w:id="629"/>
      <w:bookmarkEnd w:id="630"/>
      <w:bookmarkEnd w:id="631"/>
      <w:bookmarkEnd w:id="632"/>
    </w:p>
    <w:p w14:paraId="1B5ABD7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乙方有下列行为将作为违约：</w:t>
      </w:r>
    </w:p>
    <w:p w14:paraId="0D101B34">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⑴逾期交货及延迟竣工，不可抗力除外。</w:t>
      </w:r>
    </w:p>
    <w:p w14:paraId="4DB3694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⑵交付货物的规格和技术参数、质量等跟乙方的投标文件中相关承诺存在着不符，并私自降低货物的规格和技术参数、质量等。</w:t>
      </w:r>
    </w:p>
    <w:p w14:paraId="3658FA3A">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⑶本次招标设备及各种配件、易损件的价格高于市场平均价的。</w:t>
      </w:r>
    </w:p>
    <w:p w14:paraId="650B6EE0">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⑷不履行合同条款或只履行部分合同条款，或拒绝履行合同义务。</w:t>
      </w:r>
    </w:p>
    <w:p w14:paraId="1115D7AF">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⑸不履行售后服务承诺及相关的伴随服务。</w:t>
      </w:r>
    </w:p>
    <w:p w14:paraId="0A5E1843">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⑹没有按本合同提供质量保证期。</w:t>
      </w:r>
    </w:p>
    <w:p w14:paraId="4CD4FA2C">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⑺违反政府招标法和国家其他的相关法律法规。</w:t>
      </w:r>
    </w:p>
    <w:p w14:paraId="2BFACEFD">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甲方有下列行为将作为违约： </w:t>
      </w:r>
    </w:p>
    <w:p w14:paraId="6C3EF553">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⑴无正当理由拒绝接受乙方交付的货物或逾期延迟验收。</w:t>
      </w:r>
    </w:p>
    <w:p w14:paraId="1F8907F9">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⑵违反政府招标法和国家其他的相关法律法规。</w:t>
      </w:r>
    </w:p>
    <w:p w14:paraId="1A816DFE">
      <w:pPr>
        <w:snapToGrid w:val="0"/>
        <w:spacing w:line="500" w:lineRule="exact"/>
        <w:outlineLvl w:val="1"/>
        <w:rPr>
          <w:rFonts w:hint="eastAsia" w:ascii="宋体" w:hAnsi="宋体" w:eastAsia="宋体" w:cs="宋体"/>
          <w:b/>
          <w:sz w:val="24"/>
          <w:szCs w:val="24"/>
        </w:rPr>
      </w:pPr>
      <w:bookmarkStart w:id="633" w:name="_Toc25417"/>
      <w:bookmarkStart w:id="634" w:name="_Toc19806_WPSOffice_Level2"/>
      <w:bookmarkStart w:id="635" w:name="_Toc3097_WPSOffice_Level2"/>
      <w:bookmarkStart w:id="636" w:name="_Toc15340"/>
      <w:r>
        <w:rPr>
          <w:rFonts w:hint="eastAsia" w:ascii="宋体" w:hAnsi="宋体" w:eastAsia="宋体" w:cs="宋体"/>
          <w:b/>
          <w:sz w:val="24"/>
          <w:szCs w:val="24"/>
        </w:rPr>
        <w:t>7. 违约责任</w:t>
      </w:r>
      <w:bookmarkEnd w:id="633"/>
      <w:bookmarkEnd w:id="634"/>
      <w:bookmarkEnd w:id="635"/>
      <w:bookmarkEnd w:id="636"/>
    </w:p>
    <w:p w14:paraId="0D1FCA2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7.1乙方违反本合同条款第6.1条的，将受到以下制裁：</w:t>
      </w:r>
    </w:p>
    <w:p w14:paraId="4FBCE27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4684B76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因此造成的损失及相关法律责任；三是甲方也可以有权拒绝接受货物，甲方有权单方中止合同，并追加乙方承担因此造成的损失和相关法律责任。</w:t>
      </w:r>
    </w:p>
    <w:p w14:paraId="118065C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⑶违反本合同条款第6.1条第⑶-⑹款时，甲方有权单方中止合同，并追加乙方承担因此造成的损失及相关法律责任。</w:t>
      </w:r>
    </w:p>
    <w:p w14:paraId="5DD8E24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⑷因乙方的违约行为导致甲方单方解除合同的，乙方应要承担相应的法律责任。而因乙方违约行为此造成的损失超出由乙方继续承担赔偿责任。</w:t>
      </w:r>
    </w:p>
    <w:p w14:paraId="0698DC7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7.2甲方违反本合同条款第6.2条的，将受到以下制裁：</w:t>
      </w:r>
    </w:p>
    <w:p w14:paraId="2D1C8415">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⑴违反本合同条款第6.2条时，甲方应按货款的每日千分之二向乙方支付违约金，但违约金的最高限额不超过货款的百分之五。</w:t>
      </w:r>
    </w:p>
    <w:p w14:paraId="7493C56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⑵乙方可有权单方面解除本合同，并追加甲方承担因此造成的损失和相关法律责任。</w:t>
      </w:r>
    </w:p>
    <w:p w14:paraId="0229A113">
      <w:pPr>
        <w:snapToGrid w:val="0"/>
        <w:spacing w:line="500" w:lineRule="exact"/>
        <w:outlineLvl w:val="1"/>
        <w:rPr>
          <w:rFonts w:hint="eastAsia" w:ascii="宋体" w:hAnsi="宋体" w:eastAsia="宋体" w:cs="宋体"/>
          <w:b/>
          <w:sz w:val="24"/>
          <w:szCs w:val="24"/>
        </w:rPr>
      </w:pPr>
      <w:bookmarkStart w:id="637" w:name="_Toc2681"/>
      <w:bookmarkStart w:id="638" w:name="_Toc27196"/>
      <w:bookmarkStart w:id="639" w:name="_Toc5342_WPSOffice_Level2"/>
      <w:bookmarkStart w:id="640" w:name="_Toc18940_WPSOffice_Level2"/>
      <w:r>
        <w:rPr>
          <w:rFonts w:hint="eastAsia" w:ascii="宋体" w:hAnsi="宋体" w:eastAsia="宋体" w:cs="宋体"/>
          <w:b/>
          <w:sz w:val="24"/>
          <w:szCs w:val="24"/>
        </w:rPr>
        <w:t>8．</w:t>
      </w:r>
      <w:r>
        <w:rPr>
          <w:rFonts w:hint="eastAsia" w:ascii="宋体" w:hAnsi="宋体" w:eastAsia="宋体" w:cs="宋体"/>
          <w:sz w:val="24"/>
          <w:szCs w:val="24"/>
        </w:rPr>
        <w:t>付款方式：根据招标文件内规定或以甲乙双方协商为准。</w:t>
      </w:r>
      <w:bookmarkEnd w:id="637"/>
      <w:bookmarkEnd w:id="638"/>
      <w:bookmarkEnd w:id="639"/>
      <w:bookmarkEnd w:id="640"/>
    </w:p>
    <w:p w14:paraId="118C6E92">
      <w:pPr>
        <w:snapToGrid w:val="0"/>
        <w:spacing w:line="500" w:lineRule="exact"/>
        <w:outlineLvl w:val="1"/>
        <w:rPr>
          <w:rFonts w:hint="eastAsia" w:ascii="宋体" w:hAnsi="宋体" w:eastAsia="宋体" w:cs="宋体"/>
          <w:b/>
          <w:sz w:val="24"/>
          <w:szCs w:val="24"/>
        </w:rPr>
      </w:pPr>
      <w:bookmarkStart w:id="641" w:name="_Toc27039_WPSOffice_Level2"/>
      <w:bookmarkStart w:id="642" w:name="_Toc19472"/>
      <w:bookmarkStart w:id="643" w:name="_Toc31510"/>
      <w:bookmarkStart w:id="644" w:name="_Toc29363_WPSOffice_Level2"/>
      <w:r>
        <w:rPr>
          <w:rFonts w:hint="eastAsia" w:ascii="宋体" w:hAnsi="宋体" w:eastAsia="宋体" w:cs="宋体"/>
          <w:b/>
          <w:sz w:val="24"/>
          <w:szCs w:val="24"/>
        </w:rPr>
        <w:t>9．合同生效</w:t>
      </w:r>
      <w:bookmarkEnd w:id="641"/>
      <w:bookmarkEnd w:id="642"/>
      <w:bookmarkEnd w:id="643"/>
      <w:bookmarkEnd w:id="644"/>
    </w:p>
    <w:p w14:paraId="70F766F6">
      <w:pPr>
        <w:snapToGrid w:val="0"/>
        <w:spacing w:line="500" w:lineRule="exact"/>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9.1本合同一式六份，甲、乙双方各两份，另两份报送监督机构和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备案。</w:t>
      </w:r>
    </w:p>
    <w:p w14:paraId="1C1B48EE">
      <w:pPr>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14:paraId="1A8AF6A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91B854A">
      <w:pPr>
        <w:spacing w:line="360" w:lineRule="auto"/>
        <w:rPr>
          <w:rFonts w:hint="eastAsia" w:ascii="宋体" w:hAnsi="宋体" w:eastAsia="宋体" w:cs="宋体"/>
          <w:sz w:val="24"/>
          <w:szCs w:val="24"/>
        </w:rPr>
      </w:pPr>
      <w:r>
        <w:rPr>
          <w:rFonts w:hint="eastAsia" w:ascii="宋体" w:hAnsi="宋体" w:eastAsia="宋体" w:cs="宋体"/>
          <w:sz w:val="24"/>
          <w:szCs w:val="24"/>
        </w:rPr>
        <w:t>法定代表：（签字或盖章）                         法定代表：（签字或盖章）</w:t>
      </w:r>
    </w:p>
    <w:p w14:paraId="354A7644">
      <w:pPr>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14:paraId="26C8C05E">
      <w:pPr>
        <w:spacing w:line="360" w:lineRule="auto"/>
        <w:rPr>
          <w:rFonts w:hint="eastAsia" w:ascii="宋体" w:hAnsi="宋体" w:eastAsia="宋体" w:cs="宋体"/>
          <w:sz w:val="24"/>
          <w:szCs w:val="24"/>
        </w:rPr>
      </w:pPr>
      <w:r>
        <w:rPr>
          <w:rFonts w:hint="eastAsia" w:ascii="宋体" w:hAnsi="宋体" w:eastAsia="宋体" w:cs="宋体"/>
          <w:sz w:val="24"/>
          <w:szCs w:val="24"/>
        </w:rPr>
        <w:t>邮政编码：                                       邮政编码：</w:t>
      </w:r>
    </w:p>
    <w:p w14:paraId="3F9ECBA8">
      <w:pPr>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14:paraId="31E8F03C">
      <w:pPr>
        <w:spacing w:line="360" w:lineRule="auto"/>
        <w:rPr>
          <w:rFonts w:hint="eastAsia" w:ascii="宋体" w:hAnsi="宋体" w:eastAsia="宋体" w:cs="宋体"/>
          <w:sz w:val="24"/>
          <w:szCs w:val="24"/>
        </w:rPr>
      </w:pPr>
      <w:r>
        <w:rPr>
          <w:rFonts w:hint="eastAsia" w:ascii="宋体" w:hAnsi="宋体" w:eastAsia="宋体" w:cs="宋体"/>
          <w:sz w:val="24"/>
          <w:szCs w:val="24"/>
        </w:rPr>
        <w:t>开户行名称单位 ：                                开户单位：</w:t>
      </w:r>
    </w:p>
    <w:p w14:paraId="5319D233">
      <w:pPr>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14:paraId="5A0C6B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帐号：                                           帐号：                                            </w:t>
      </w:r>
    </w:p>
    <w:p w14:paraId="50E14967">
      <w:pPr>
        <w:spacing w:line="360" w:lineRule="auto"/>
        <w:rPr>
          <w:rFonts w:hint="eastAsia" w:ascii="宋体" w:hAnsi="宋体" w:eastAsia="宋体" w:cs="宋体"/>
          <w:sz w:val="24"/>
          <w:szCs w:val="24"/>
          <w:lang w:eastAsia="zh-CN"/>
        </w:rPr>
        <w:sectPr>
          <w:pgSz w:w="11900" w:h="16838"/>
          <w:pgMar w:top="1440" w:right="1406" w:bottom="650" w:left="1440" w:header="0" w:footer="0" w:gutter="0"/>
          <w:pgNumType w:fmt="decimal"/>
          <w:cols w:space="720" w:num="1"/>
        </w:sectPr>
      </w:pPr>
      <w:r>
        <w:rPr>
          <w:rFonts w:hint="eastAsia" w:ascii="宋体" w:hAnsi="宋体" w:eastAsia="宋体" w:cs="宋体"/>
          <w:sz w:val="24"/>
          <w:szCs w:val="24"/>
        </w:rPr>
        <w:t>签订时间：                                       签订时间</w:t>
      </w:r>
      <w:r>
        <w:rPr>
          <w:rFonts w:hint="eastAsia" w:ascii="宋体" w:hAnsi="宋体" w:eastAsia="宋体" w:cs="宋体"/>
          <w:sz w:val="24"/>
          <w:szCs w:val="24"/>
          <w:lang w:eastAsia="zh-CN"/>
        </w:rPr>
        <w:t>：</w:t>
      </w:r>
    </w:p>
    <w:p w14:paraId="7D9D330A">
      <w:pPr>
        <w:pStyle w:val="2"/>
        <w:bidi w:val="0"/>
        <w:jc w:val="center"/>
        <w:rPr>
          <w:rFonts w:hint="eastAsia"/>
        </w:rPr>
      </w:pPr>
      <w:bookmarkStart w:id="645" w:name="_Toc12817"/>
      <w:r>
        <w:rPr>
          <w:rFonts w:hint="eastAsia"/>
        </w:rPr>
        <w:t>第五章   清单</w:t>
      </w:r>
      <w:bookmarkEnd w:id="599"/>
      <w:bookmarkEnd w:id="645"/>
    </w:p>
    <w:p w14:paraId="62E84975">
      <w:pPr>
        <w:rPr>
          <w:rFonts w:hint="default"/>
          <w:lang w:val="en-US" w:eastAsia="zh-CN"/>
        </w:rPr>
      </w:pPr>
    </w:p>
    <w:p w14:paraId="5E9C07EA">
      <w:pPr>
        <w:spacing w:line="360" w:lineRule="auto"/>
        <w:ind w:firstLine="640" w:firstLineChars="200"/>
        <w:jc w:val="center"/>
        <w:rPr>
          <w:rFonts w:hint="eastAsia" w:ascii="宋体" w:hAnsi="宋体" w:cs="宋体"/>
          <w:sz w:val="32"/>
          <w:szCs w:val="32"/>
          <w:highlight w:val="none"/>
          <w:lang w:bidi="ar"/>
        </w:rPr>
      </w:pPr>
      <w:r>
        <w:rPr>
          <w:rFonts w:hint="eastAsia" w:ascii="宋体" w:hAnsi="宋体" w:cs="宋体"/>
          <w:sz w:val="32"/>
          <w:szCs w:val="32"/>
          <w:highlight w:val="none"/>
          <w:lang w:val="en-US" w:eastAsia="zh-CN" w:bidi="ar"/>
        </w:rPr>
        <w:t>一标段工程量清单</w:t>
      </w:r>
      <w:r>
        <w:rPr>
          <w:rFonts w:hint="eastAsia" w:ascii="宋体" w:hAnsi="宋体" w:cs="宋体"/>
          <w:sz w:val="32"/>
          <w:szCs w:val="32"/>
          <w:highlight w:val="none"/>
          <w:lang w:bidi="ar"/>
        </w:rPr>
        <w:t>（另附）</w:t>
      </w:r>
    </w:p>
    <w:p w14:paraId="6567243F">
      <w:pPr>
        <w:spacing w:line="360" w:lineRule="auto"/>
        <w:ind w:firstLine="640" w:firstLineChars="200"/>
        <w:jc w:val="center"/>
        <w:rPr>
          <w:rFonts w:hint="eastAsia" w:ascii="宋体" w:hAnsi="宋体" w:cs="宋体"/>
          <w:sz w:val="32"/>
          <w:szCs w:val="32"/>
          <w:highlight w:val="none"/>
          <w:lang w:bidi="ar"/>
        </w:rPr>
      </w:pPr>
    </w:p>
    <w:p w14:paraId="0049435C">
      <w:pPr>
        <w:spacing w:line="360" w:lineRule="auto"/>
        <w:ind w:firstLine="640" w:firstLineChars="200"/>
        <w:jc w:val="center"/>
        <w:rPr>
          <w:rFonts w:hint="eastAsia" w:ascii="宋体" w:hAnsi="宋体" w:cs="宋体"/>
          <w:sz w:val="32"/>
          <w:szCs w:val="32"/>
          <w:highlight w:val="none"/>
          <w:lang w:bidi="ar"/>
        </w:rPr>
      </w:pPr>
    </w:p>
    <w:p w14:paraId="77E67B05">
      <w:pPr>
        <w:spacing w:line="360" w:lineRule="auto"/>
        <w:ind w:firstLine="640" w:firstLineChars="200"/>
        <w:jc w:val="center"/>
        <w:rPr>
          <w:rFonts w:hint="eastAsia" w:ascii="宋体" w:hAnsi="宋体" w:cs="宋体"/>
          <w:sz w:val="32"/>
          <w:szCs w:val="32"/>
          <w:highlight w:val="none"/>
          <w:lang w:bidi="ar"/>
        </w:rPr>
      </w:pPr>
    </w:p>
    <w:p w14:paraId="0FBB90FD">
      <w:pPr>
        <w:spacing w:line="360" w:lineRule="auto"/>
        <w:ind w:firstLine="640" w:firstLineChars="200"/>
        <w:jc w:val="center"/>
        <w:rPr>
          <w:rFonts w:hint="eastAsia" w:ascii="宋体" w:hAnsi="宋体" w:cs="宋体"/>
          <w:sz w:val="32"/>
          <w:szCs w:val="32"/>
          <w:highlight w:val="none"/>
          <w:lang w:bidi="ar"/>
        </w:rPr>
      </w:pPr>
    </w:p>
    <w:p w14:paraId="0BA0A8F0">
      <w:pPr>
        <w:spacing w:line="360" w:lineRule="auto"/>
        <w:ind w:firstLine="640" w:firstLineChars="200"/>
        <w:jc w:val="center"/>
        <w:rPr>
          <w:rFonts w:hint="eastAsia" w:ascii="宋体" w:hAnsi="宋体" w:cs="宋体"/>
          <w:sz w:val="32"/>
          <w:szCs w:val="32"/>
          <w:highlight w:val="none"/>
          <w:lang w:bidi="ar"/>
        </w:rPr>
      </w:pPr>
    </w:p>
    <w:p w14:paraId="4B447337">
      <w:pPr>
        <w:spacing w:line="360" w:lineRule="auto"/>
        <w:ind w:firstLine="640" w:firstLineChars="200"/>
        <w:jc w:val="center"/>
        <w:rPr>
          <w:rFonts w:hint="eastAsia" w:ascii="宋体" w:hAnsi="宋体" w:cs="宋体"/>
          <w:sz w:val="32"/>
          <w:szCs w:val="32"/>
          <w:highlight w:val="none"/>
          <w:lang w:bidi="ar"/>
        </w:rPr>
      </w:pPr>
    </w:p>
    <w:p w14:paraId="5318AD26">
      <w:pPr>
        <w:spacing w:line="360" w:lineRule="auto"/>
        <w:ind w:firstLine="640" w:firstLineChars="200"/>
        <w:jc w:val="center"/>
        <w:rPr>
          <w:rFonts w:hint="eastAsia" w:ascii="宋体" w:hAnsi="宋体" w:cs="宋体"/>
          <w:sz w:val="32"/>
          <w:szCs w:val="32"/>
          <w:highlight w:val="none"/>
          <w:lang w:bidi="ar"/>
        </w:rPr>
      </w:pPr>
    </w:p>
    <w:p w14:paraId="1971D672">
      <w:pPr>
        <w:spacing w:line="360" w:lineRule="auto"/>
        <w:ind w:firstLine="640" w:firstLineChars="200"/>
        <w:jc w:val="center"/>
        <w:rPr>
          <w:rFonts w:hint="eastAsia" w:ascii="宋体" w:hAnsi="宋体" w:cs="宋体"/>
          <w:sz w:val="32"/>
          <w:szCs w:val="32"/>
          <w:highlight w:val="none"/>
          <w:lang w:bidi="ar"/>
        </w:rPr>
      </w:pPr>
    </w:p>
    <w:p w14:paraId="5A5F9750">
      <w:pPr>
        <w:spacing w:line="360" w:lineRule="auto"/>
        <w:ind w:firstLine="640" w:firstLineChars="200"/>
        <w:jc w:val="center"/>
        <w:rPr>
          <w:rFonts w:hint="eastAsia" w:ascii="宋体" w:hAnsi="宋体" w:cs="宋体"/>
          <w:sz w:val="32"/>
          <w:szCs w:val="32"/>
          <w:highlight w:val="none"/>
          <w:lang w:bidi="ar"/>
        </w:rPr>
      </w:pPr>
    </w:p>
    <w:p w14:paraId="6CBFCAE1">
      <w:pPr>
        <w:spacing w:line="360" w:lineRule="auto"/>
        <w:ind w:firstLine="640" w:firstLineChars="200"/>
        <w:jc w:val="center"/>
        <w:rPr>
          <w:rFonts w:hint="eastAsia" w:ascii="宋体" w:hAnsi="宋体" w:cs="宋体"/>
          <w:sz w:val="32"/>
          <w:szCs w:val="32"/>
          <w:highlight w:val="none"/>
          <w:lang w:bidi="ar"/>
        </w:rPr>
      </w:pPr>
    </w:p>
    <w:p w14:paraId="32C7AFFC">
      <w:pPr>
        <w:spacing w:line="360" w:lineRule="auto"/>
        <w:ind w:firstLine="640" w:firstLineChars="200"/>
        <w:jc w:val="center"/>
        <w:rPr>
          <w:rFonts w:hint="eastAsia" w:ascii="宋体" w:hAnsi="宋体" w:cs="宋体"/>
          <w:sz w:val="32"/>
          <w:szCs w:val="32"/>
          <w:highlight w:val="none"/>
          <w:lang w:bidi="ar"/>
        </w:rPr>
      </w:pPr>
    </w:p>
    <w:p w14:paraId="6B8F0842">
      <w:pPr>
        <w:spacing w:line="360" w:lineRule="auto"/>
        <w:ind w:firstLine="640" w:firstLineChars="200"/>
        <w:jc w:val="center"/>
        <w:rPr>
          <w:rFonts w:hint="eastAsia" w:ascii="宋体" w:hAnsi="宋体" w:cs="宋体"/>
          <w:sz w:val="32"/>
          <w:szCs w:val="32"/>
          <w:highlight w:val="none"/>
          <w:lang w:bidi="ar"/>
        </w:rPr>
      </w:pPr>
    </w:p>
    <w:p w14:paraId="590413F6">
      <w:pPr>
        <w:spacing w:line="360" w:lineRule="auto"/>
        <w:ind w:firstLine="640" w:firstLineChars="200"/>
        <w:jc w:val="center"/>
        <w:rPr>
          <w:rFonts w:hint="eastAsia" w:ascii="宋体" w:hAnsi="宋体" w:cs="宋体"/>
          <w:sz w:val="32"/>
          <w:szCs w:val="32"/>
          <w:highlight w:val="none"/>
          <w:lang w:bidi="ar"/>
        </w:rPr>
      </w:pPr>
    </w:p>
    <w:p w14:paraId="225C87D8">
      <w:pPr>
        <w:spacing w:line="360" w:lineRule="auto"/>
        <w:ind w:firstLine="640" w:firstLineChars="200"/>
        <w:jc w:val="center"/>
        <w:rPr>
          <w:rFonts w:hint="eastAsia" w:ascii="宋体" w:hAnsi="宋体" w:cs="宋体"/>
          <w:sz w:val="32"/>
          <w:szCs w:val="32"/>
          <w:highlight w:val="none"/>
          <w:lang w:bidi="ar"/>
        </w:rPr>
      </w:pPr>
    </w:p>
    <w:p w14:paraId="1C93FA63">
      <w:pPr>
        <w:spacing w:line="360" w:lineRule="auto"/>
        <w:ind w:firstLine="640" w:firstLineChars="200"/>
        <w:jc w:val="center"/>
        <w:rPr>
          <w:rFonts w:hint="eastAsia" w:ascii="宋体" w:hAnsi="宋体" w:cs="宋体"/>
          <w:sz w:val="32"/>
          <w:szCs w:val="32"/>
          <w:highlight w:val="none"/>
          <w:lang w:bidi="ar"/>
        </w:rPr>
      </w:pPr>
    </w:p>
    <w:p w14:paraId="0C45D68F">
      <w:pPr>
        <w:spacing w:line="360" w:lineRule="auto"/>
        <w:jc w:val="both"/>
        <w:rPr>
          <w:rFonts w:hint="eastAsia" w:ascii="宋体" w:hAnsi="宋体" w:cs="宋体"/>
          <w:sz w:val="32"/>
          <w:szCs w:val="32"/>
          <w:highlight w:val="none"/>
          <w:lang w:bidi="ar"/>
        </w:rPr>
      </w:pPr>
    </w:p>
    <w:p w14:paraId="47F8D3DB">
      <w:pPr>
        <w:spacing w:line="360" w:lineRule="auto"/>
        <w:ind w:firstLine="640" w:firstLineChars="200"/>
        <w:jc w:val="center"/>
        <w:rPr>
          <w:rFonts w:hint="eastAsia" w:ascii="宋体" w:hAnsi="宋体" w:cs="宋体"/>
          <w:sz w:val="32"/>
          <w:szCs w:val="32"/>
          <w:highlight w:val="none"/>
          <w:lang w:val="en-US" w:eastAsia="zh-CN" w:bidi="ar"/>
        </w:rPr>
      </w:pPr>
      <w:r>
        <w:rPr>
          <w:rFonts w:hint="eastAsia" w:ascii="宋体" w:hAnsi="宋体" w:cs="宋体"/>
          <w:sz w:val="32"/>
          <w:szCs w:val="32"/>
          <w:highlight w:val="none"/>
          <w:lang w:val="en-US" w:eastAsia="zh-CN" w:bidi="ar"/>
        </w:rPr>
        <w:t>二标段  设备采购清单</w:t>
      </w:r>
    </w:p>
    <w:tbl>
      <w:tblPr>
        <w:tblStyle w:val="19"/>
        <w:tblW w:w="10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841"/>
        <w:gridCol w:w="4275"/>
        <w:gridCol w:w="1153"/>
        <w:gridCol w:w="958"/>
        <w:gridCol w:w="808"/>
      </w:tblGrid>
      <w:tr w14:paraId="0C0F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2FADFDB3">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序号</w:t>
            </w:r>
          </w:p>
        </w:tc>
        <w:tc>
          <w:tcPr>
            <w:tcW w:w="1841" w:type="dxa"/>
          </w:tcPr>
          <w:p w14:paraId="597650BE">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产品名称</w:t>
            </w:r>
          </w:p>
        </w:tc>
        <w:tc>
          <w:tcPr>
            <w:tcW w:w="4275" w:type="dxa"/>
          </w:tcPr>
          <w:p w14:paraId="7BE299D3">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规格/型号</w:t>
            </w:r>
          </w:p>
        </w:tc>
        <w:tc>
          <w:tcPr>
            <w:tcW w:w="1153" w:type="dxa"/>
          </w:tcPr>
          <w:p w14:paraId="680FADA0">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单位</w:t>
            </w:r>
          </w:p>
        </w:tc>
        <w:tc>
          <w:tcPr>
            <w:tcW w:w="958" w:type="dxa"/>
          </w:tcPr>
          <w:p w14:paraId="3812E273">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数量</w:t>
            </w:r>
          </w:p>
        </w:tc>
        <w:tc>
          <w:tcPr>
            <w:tcW w:w="808" w:type="dxa"/>
          </w:tcPr>
          <w:p w14:paraId="1D4C7AB5">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备注</w:t>
            </w:r>
          </w:p>
        </w:tc>
      </w:tr>
      <w:tr w14:paraId="66A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659A6BC8">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w:t>
            </w:r>
          </w:p>
        </w:tc>
        <w:tc>
          <w:tcPr>
            <w:tcW w:w="1841" w:type="dxa"/>
            <w:vAlign w:val="center"/>
          </w:tcPr>
          <w:p w14:paraId="46C9A560">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制冷冷凝机组</w:t>
            </w:r>
          </w:p>
        </w:tc>
        <w:tc>
          <w:tcPr>
            <w:tcW w:w="4275" w:type="dxa"/>
            <w:vAlign w:val="center"/>
          </w:tcPr>
          <w:p w14:paraId="4C4B5325">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1. 制冷机组25HP,机组包含压缩机，风冷冷凝器，储液器，压力表，过滤器，压力控制，油分离器，避震管，冷凝电机，机架等，额定功率20KW，机油型号3GS，制冷量37KW，最大运行电流45A.冷凝器换热面积260㎡。   </w:t>
            </w:r>
          </w:p>
          <w:p w14:paraId="4780CE9D">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2.包含设备安装、调试、运输费用     </w:t>
            </w:r>
          </w:p>
        </w:tc>
        <w:tc>
          <w:tcPr>
            <w:tcW w:w="1153" w:type="dxa"/>
            <w:vAlign w:val="center"/>
          </w:tcPr>
          <w:p w14:paraId="2957F7F9">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套</w:t>
            </w:r>
          </w:p>
        </w:tc>
        <w:tc>
          <w:tcPr>
            <w:tcW w:w="958" w:type="dxa"/>
            <w:vAlign w:val="center"/>
          </w:tcPr>
          <w:p w14:paraId="4B66A6C0">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w:t>
            </w:r>
          </w:p>
        </w:tc>
        <w:tc>
          <w:tcPr>
            <w:tcW w:w="808" w:type="dxa"/>
            <w:vAlign w:val="center"/>
          </w:tcPr>
          <w:p w14:paraId="2016915D">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2F36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18A2B821">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w:t>
            </w:r>
          </w:p>
        </w:tc>
        <w:tc>
          <w:tcPr>
            <w:tcW w:w="1841" w:type="dxa"/>
            <w:vAlign w:val="center"/>
          </w:tcPr>
          <w:p w14:paraId="30D45C94">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冷风机</w:t>
            </w:r>
          </w:p>
        </w:tc>
        <w:tc>
          <w:tcPr>
            <w:tcW w:w="4275" w:type="dxa"/>
            <w:vAlign w:val="center"/>
          </w:tcPr>
          <w:p w14:paraId="3FAC7EC7">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1.DD160</w:t>
            </w:r>
          </w:p>
          <w:p w14:paraId="419346FB">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2.采用国内知名品牌自带热保护；铜管加铝翅片制成，片距≥6mm，换热面积≥库房面积的两倍；</w:t>
            </w:r>
          </w:p>
          <w:p w14:paraId="0526A49A">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3.外壳材质：镀铝锌板；化霜方式：水冲霜；高配 </w:t>
            </w:r>
          </w:p>
          <w:p w14:paraId="0AE23524">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4.包含设备安装、调试、运输费用 </w:t>
            </w:r>
          </w:p>
        </w:tc>
        <w:tc>
          <w:tcPr>
            <w:tcW w:w="1153" w:type="dxa"/>
            <w:vAlign w:val="center"/>
          </w:tcPr>
          <w:p w14:paraId="48B1CCC2">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台</w:t>
            </w:r>
          </w:p>
        </w:tc>
        <w:tc>
          <w:tcPr>
            <w:tcW w:w="958" w:type="dxa"/>
            <w:vAlign w:val="center"/>
          </w:tcPr>
          <w:p w14:paraId="2CEC022B">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4</w:t>
            </w:r>
          </w:p>
        </w:tc>
        <w:tc>
          <w:tcPr>
            <w:tcW w:w="808" w:type="dxa"/>
            <w:vAlign w:val="center"/>
          </w:tcPr>
          <w:p w14:paraId="6DB0278C">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1907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7F698B84">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3</w:t>
            </w:r>
          </w:p>
        </w:tc>
        <w:tc>
          <w:tcPr>
            <w:tcW w:w="1841" w:type="dxa"/>
            <w:vAlign w:val="center"/>
          </w:tcPr>
          <w:p w14:paraId="4018CBB5">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离心式风幕机</w:t>
            </w:r>
          </w:p>
        </w:tc>
        <w:tc>
          <w:tcPr>
            <w:tcW w:w="4275" w:type="dxa"/>
            <w:vAlign w:val="center"/>
          </w:tcPr>
          <w:p w14:paraId="0DAE8F5C">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1.3000型、功率1.1KW</w:t>
            </w:r>
          </w:p>
          <w:p w14:paraId="1F62B3E3">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2.包含设备安装、调试、运输费用  </w:t>
            </w:r>
          </w:p>
        </w:tc>
        <w:tc>
          <w:tcPr>
            <w:tcW w:w="1153" w:type="dxa"/>
            <w:vAlign w:val="center"/>
          </w:tcPr>
          <w:p w14:paraId="03F0D620">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台</w:t>
            </w:r>
          </w:p>
        </w:tc>
        <w:tc>
          <w:tcPr>
            <w:tcW w:w="958" w:type="dxa"/>
            <w:vAlign w:val="center"/>
          </w:tcPr>
          <w:p w14:paraId="35BBD98F">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w:t>
            </w:r>
          </w:p>
        </w:tc>
        <w:tc>
          <w:tcPr>
            <w:tcW w:w="808" w:type="dxa"/>
            <w:vAlign w:val="center"/>
          </w:tcPr>
          <w:p w14:paraId="1973E695">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3D71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3B8A9A57">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4</w:t>
            </w:r>
          </w:p>
        </w:tc>
        <w:tc>
          <w:tcPr>
            <w:tcW w:w="1841" w:type="dxa"/>
            <w:vAlign w:val="center"/>
          </w:tcPr>
          <w:p w14:paraId="23BB0E8F">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变压器</w:t>
            </w:r>
          </w:p>
        </w:tc>
        <w:tc>
          <w:tcPr>
            <w:tcW w:w="4275" w:type="dxa"/>
            <w:vAlign w:val="center"/>
          </w:tcPr>
          <w:p w14:paraId="283232FE">
            <w:pPr>
              <w:numPr>
                <w:ilvl w:val="0"/>
                <w:numId w:val="0"/>
              </w:num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1.变压器</w:t>
            </w:r>
          </w:p>
          <w:p w14:paraId="0425977C">
            <w:pPr>
              <w:numPr>
                <w:ilvl w:val="0"/>
                <w:numId w:val="0"/>
              </w:num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2.S13-100KVA</w:t>
            </w:r>
          </w:p>
        </w:tc>
        <w:tc>
          <w:tcPr>
            <w:tcW w:w="1153" w:type="dxa"/>
            <w:vAlign w:val="center"/>
          </w:tcPr>
          <w:p w14:paraId="6393CF17">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台</w:t>
            </w:r>
          </w:p>
        </w:tc>
        <w:tc>
          <w:tcPr>
            <w:tcW w:w="958" w:type="dxa"/>
            <w:vAlign w:val="center"/>
          </w:tcPr>
          <w:p w14:paraId="5AAD7778">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w:t>
            </w:r>
          </w:p>
        </w:tc>
        <w:tc>
          <w:tcPr>
            <w:tcW w:w="808" w:type="dxa"/>
            <w:vAlign w:val="center"/>
          </w:tcPr>
          <w:p w14:paraId="42E3B088">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082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304209F8">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5</w:t>
            </w:r>
          </w:p>
        </w:tc>
        <w:tc>
          <w:tcPr>
            <w:tcW w:w="1841" w:type="dxa"/>
            <w:vAlign w:val="center"/>
          </w:tcPr>
          <w:p w14:paraId="2F32EE97">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合计</w:t>
            </w:r>
          </w:p>
        </w:tc>
        <w:tc>
          <w:tcPr>
            <w:tcW w:w="4275" w:type="dxa"/>
            <w:vAlign w:val="center"/>
          </w:tcPr>
          <w:p w14:paraId="73B059A6">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1153" w:type="dxa"/>
            <w:vAlign w:val="center"/>
          </w:tcPr>
          <w:p w14:paraId="2E4950AE">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958" w:type="dxa"/>
            <w:vAlign w:val="center"/>
          </w:tcPr>
          <w:p w14:paraId="3A9B264A">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808" w:type="dxa"/>
            <w:vAlign w:val="center"/>
          </w:tcPr>
          <w:p w14:paraId="042D2512">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bl>
    <w:p w14:paraId="7CA31378">
      <w:pPr>
        <w:spacing w:line="360" w:lineRule="auto"/>
        <w:ind w:firstLine="640" w:firstLineChars="200"/>
        <w:jc w:val="center"/>
        <w:rPr>
          <w:rFonts w:hint="default" w:ascii="宋体" w:hAnsi="宋体" w:cs="宋体"/>
          <w:sz w:val="32"/>
          <w:szCs w:val="32"/>
          <w:highlight w:val="none"/>
          <w:lang w:val="en-US" w:eastAsia="zh-CN" w:bidi="ar"/>
        </w:rPr>
      </w:pPr>
    </w:p>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5347CB0C">
      <w:pPr>
        <w:pStyle w:val="2"/>
        <w:bidi w:val="0"/>
        <w:jc w:val="center"/>
        <w:rPr>
          <w:rFonts w:hint="eastAsia"/>
        </w:rPr>
      </w:pPr>
      <w:bookmarkStart w:id="646" w:name="_Toc31722"/>
      <w:bookmarkStart w:id="647" w:name="_Toc309"/>
      <w:r>
        <w:rPr>
          <w:rFonts w:hint="eastAsia"/>
          <w:lang w:val="en-US" w:eastAsia="zh-CN"/>
        </w:rPr>
        <w:t xml:space="preserve">第六章  </w:t>
      </w:r>
      <w:r>
        <w:rPr>
          <w:rFonts w:hint="eastAsia"/>
        </w:rPr>
        <w:t xml:space="preserve"> 响应文件格式</w:t>
      </w:r>
      <w:bookmarkEnd w:id="646"/>
      <w:bookmarkEnd w:id="647"/>
    </w:p>
    <w:p w14:paraId="2C00046F">
      <w:pPr>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bCs/>
          <w:color w:val="auto"/>
          <w:kern w:val="0"/>
          <w:sz w:val="36"/>
          <w:szCs w:val="36"/>
          <w:highlight w:val="none"/>
          <w:lang w:val="en-US" w:eastAsia="zh-CN"/>
        </w:rPr>
        <w:t xml:space="preserve">   一标段</w:t>
      </w:r>
      <w:r>
        <w:rPr>
          <w:rFonts w:hint="eastAsia" w:ascii="宋体" w:hAnsi="宋体" w:cs="宋体"/>
          <w:b/>
          <w:bCs/>
          <w:color w:val="auto"/>
          <w:kern w:val="0"/>
          <w:sz w:val="36"/>
          <w:szCs w:val="36"/>
          <w:highlight w:val="none"/>
          <w:lang w:val="en-US" w:eastAsia="zh-CN"/>
        </w:rPr>
        <w:t>响应</w:t>
      </w:r>
      <w:r>
        <w:rPr>
          <w:rFonts w:hint="eastAsia" w:ascii="宋体" w:hAnsi="宋体" w:eastAsia="宋体" w:cs="宋体"/>
          <w:b/>
          <w:bCs/>
          <w:color w:val="auto"/>
          <w:kern w:val="0"/>
          <w:sz w:val="36"/>
          <w:szCs w:val="36"/>
          <w:highlight w:val="none"/>
          <w:lang w:eastAsia="zh-CN"/>
        </w:rPr>
        <w:t>文件格式</w:t>
      </w:r>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ind w:firstLine="4320" w:firstLineChars="1800"/>
        <w:jc w:val="both"/>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1A8A8DBB">
      <w:pPr>
        <w:spacing w:line="358" w:lineRule="exact"/>
        <w:rPr>
          <w:rFonts w:hint="eastAsia" w:ascii="宋体" w:hAnsi="宋体" w:cs="宋体"/>
          <w:sz w:val="24"/>
          <w:highlight w:val="none"/>
          <w:u w:val="single"/>
        </w:rPr>
      </w:pPr>
    </w:p>
    <w:p w14:paraId="21AEC256">
      <w:pPr>
        <w:spacing w:line="358" w:lineRule="exact"/>
        <w:ind w:firstLine="4560" w:firstLineChars="1900"/>
        <w:jc w:val="both"/>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、响应人认为需要提供的其他材料</w:t>
      </w:r>
    </w:p>
    <w:p w14:paraId="4A1C0112">
      <w:pPr>
        <w:spacing w:line="0" w:lineRule="atLeast"/>
        <w:jc w:val="center"/>
        <w:outlineLvl w:val="0"/>
        <w:rPr>
          <w:rFonts w:hint="eastAsia" w:ascii="宋体" w:hAnsi="宋体" w:cs="宋体"/>
          <w:b/>
          <w:bCs/>
          <w:sz w:val="30"/>
          <w:szCs w:val="30"/>
          <w:highlight w:val="none"/>
        </w:rPr>
      </w:pPr>
      <w:r>
        <w:rPr>
          <w:rFonts w:ascii="宋体" w:hAnsi="宋体"/>
          <w:sz w:val="24"/>
          <w:szCs w:val="24"/>
          <w:highlight w:val="none"/>
        </w:rPr>
        <w:br w:type="page"/>
      </w:r>
      <w:bookmarkStart w:id="648" w:name="_Toc1671"/>
      <w:r>
        <w:rPr>
          <w:rFonts w:hint="eastAsia" w:ascii="宋体" w:hAnsi="宋体" w:cs="宋体"/>
          <w:b/>
          <w:bCs/>
          <w:sz w:val="30"/>
          <w:szCs w:val="30"/>
          <w:highlight w:val="none"/>
        </w:rPr>
        <w:t>一、磋商函及磋商函附录</w:t>
      </w:r>
      <w:bookmarkEnd w:id="648"/>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（招标人名称）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（6）我方承诺并理解招标人不以最低磋商标价为中标价的唯一选择。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540" w:firstLineChars="1475"/>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2CC49907">
      <w:pPr>
        <w:wordWrap w:val="0"/>
        <w:spacing w:line="700" w:lineRule="exact"/>
        <w:ind w:firstLine="540"/>
        <w:jc w:val="right"/>
        <w:rPr>
          <w:rFonts w:hint="eastAsia"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outlineLvl w:val="1"/>
        <w:rPr>
          <w:rFonts w:hint="eastAsia" w:ascii="宋体" w:hAnsi="宋体" w:cs="宋体"/>
          <w:b/>
          <w:bCs/>
          <w:sz w:val="30"/>
          <w:szCs w:val="30"/>
          <w:highlight w:val="none"/>
        </w:rPr>
      </w:pPr>
      <w:bookmarkStart w:id="649" w:name="page58"/>
      <w:bookmarkEnd w:id="649"/>
      <w:r>
        <w:rPr>
          <w:rFonts w:hint="eastAsia" w:ascii="宋体" w:hAnsi="宋体" w:cs="宋体"/>
          <w:b/>
          <w:bCs/>
          <w:sz w:val="30"/>
          <w:szCs w:val="30"/>
          <w:highlight w:val="none"/>
        </w:rPr>
        <w:t>（二）磋商函附录</w:t>
      </w:r>
    </w:p>
    <w:tbl>
      <w:tblPr>
        <w:tblStyle w:val="1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响应人</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50" w:name="_Toc4647"/>
      <w:r>
        <w:rPr>
          <w:rFonts w:hint="eastAsia" w:ascii="宋体" w:hAnsi="宋体" w:cs="宋体"/>
          <w:b/>
          <w:bCs/>
          <w:sz w:val="30"/>
          <w:szCs w:val="30"/>
          <w:highlight w:val="none"/>
        </w:rPr>
        <w:t>二、法定代表人身份证明</w:t>
      </w:r>
      <w:bookmarkEnd w:id="650"/>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rPr>
        <w:t>响 应 人：</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（响应人名称）的法定代表人。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righ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right"/>
        <w:textAlignment w:val="center"/>
        <w:rPr>
          <w:rFonts w:hint="eastAsia" w:ascii="宋体" w:hAnsi="宋体" w:cs="宋体"/>
          <w:sz w:val="24"/>
          <w:highlight w:val="none"/>
        </w:rPr>
      </w:pPr>
      <w:r>
        <w:rPr>
          <w:rFonts w:hint="eastAsia" w:ascii="宋体" w:hAnsi="宋体" w:cs="宋体"/>
          <w:sz w:val="24"/>
          <w:highlight w:val="none"/>
        </w:rPr>
        <w:t xml:space="preserve">年   月   日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51" w:name="_Toc272"/>
      <w:r>
        <w:rPr>
          <w:rFonts w:hint="eastAsia" w:ascii="宋体" w:hAnsi="宋体" w:cs="宋体"/>
          <w:b/>
          <w:bCs/>
          <w:sz w:val="30"/>
          <w:szCs w:val="30"/>
          <w:highlight w:val="none"/>
        </w:rPr>
        <w:t>三、授权委托书</w:t>
      </w:r>
      <w:bookmarkEnd w:id="651"/>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（响应人名称）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响  应  人：（盖章）</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法定代表人：（签字或盖章）</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652" w:name="_Toc466566720"/>
      <w:bookmarkEnd w:id="652"/>
    </w:p>
    <w:p w14:paraId="1DE8775A">
      <w:pPr>
        <w:keepNext/>
        <w:keepLines/>
        <w:numPr>
          <w:ilvl w:val="0"/>
          <w:numId w:val="5"/>
        </w:numPr>
        <w:spacing w:before="60" w:after="60"/>
        <w:jc w:val="center"/>
        <w:outlineLvl w:val="0"/>
        <w:rPr>
          <w:rFonts w:ascii="宋体" w:hAnsi="宋体" w:cs="宋体"/>
          <w:b/>
          <w:sz w:val="30"/>
          <w:szCs w:val="30"/>
          <w:highlight w:val="none"/>
        </w:rPr>
      </w:pPr>
      <w:r>
        <w:rPr>
          <w:rFonts w:hint="eastAsia" w:ascii="宋体" w:hAnsi="宋体" w:cs="宋体"/>
          <w:b/>
          <w:sz w:val="30"/>
          <w:szCs w:val="30"/>
          <w:highlight w:val="none"/>
        </w:rPr>
        <w:br w:type="page"/>
      </w:r>
      <w:bookmarkStart w:id="653" w:name="_Toc614"/>
      <w:r>
        <w:rPr>
          <w:rFonts w:hint="eastAsia" w:ascii="宋体" w:hAnsi="宋体" w:cs="宋体"/>
          <w:b/>
          <w:sz w:val="30"/>
          <w:szCs w:val="30"/>
          <w:highlight w:val="none"/>
        </w:rPr>
        <w:t>磋商承诺函</w:t>
      </w:r>
      <w:bookmarkEnd w:id="653"/>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致（招标人及招标代理机构）：</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我公司作为本次磋商项目的响应人，根据竞争性磋商文件要求，现郑重承诺如下：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五、响应人参加本次磋商活动要求在近三年内响应人和其法定代表人没有行贿犯罪行为。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（二）在招标人确定中标人以前放弃中标候选资格的；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（三）由于中标人的原因未能按照竞争性磋商文件的规定与招标人签订合同；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（六）与招标人、其他响应人或者招标代理机构恶意串通的；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（七）磋商有效期内，响应人在政府采购活动中有违法、违规、违纪行为。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rPr>
        <w:t>响应人名称：（盖章）</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31AD502">
      <w:pPr>
        <w:spacing w:before="312" w:beforeLines="100" w:after="156" w:afterLines="50" w:line="480" w:lineRule="exact"/>
        <w:jc w:val="center"/>
        <w:textAlignment w:val="center"/>
        <w:outlineLvl w:val="0"/>
        <w:rPr>
          <w:rFonts w:hint="eastAsia" w:ascii="宋体" w:hAnsi="宋体" w:cs="宋体"/>
          <w:b/>
          <w:bCs/>
          <w:sz w:val="30"/>
          <w:szCs w:val="30"/>
          <w:highlight w:val="none"/>
        </w:rPr>
      </w:pPr>
      <w:r>
        <w:rPr>
          <w:rFonts w:hint="eastAsia" w:ascii="宋体" w:hAnsi="宋体" w:cs="宋体"/>
          <w:b/>
          <w:bCs/>
          <w:sz w:val="24"/>
          <w:highlight w:val="none"/>
        </w:rPr>
        <w:t xml:space="preserve"> </w:t>
      </w:r>
      <w:bookmarkStart w:id="654" w:name="_Toc18911"/>
      <w:r>
        <w:rPr>
          <w:rFonts w:hint="eastAsia" w:ascii="宋体" w:hAnsi="宋体" w:cs="宋体"/>
          <w:b/>
          <w:bCs/>
          <w:sz w:val="30"/>
          <w:szCs w:val="30"/>
          <w:highlight w:val="none"/>
        </w:rPr>
        <w:t>五、已标价工程量清单</w:t>
      </w:r>
      <w:bookmarkEnd w:id="654"/>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outlineLvl w:val="0"/>
        <w:rPr>
          <w:rFonts w:hint="eastAsia" w:ascii="宋体" w:hAnsi="宋体" w:cs="宋体"/>
          <w:b/>
          <w:bCs/>
          <w:sz w:val="24"/>
          <w:highlight w:val="none"/>
        </w:rPr>
      </w:pPr>
      <w:r>
        <w:rPr>
          <w:rFonts w:hint="eastAsia" w:ascii="宋体" w:hAnsi="宋体" w:cs="宋体"/>
          <w:b/>
          <w:bCs/>
          <w:sz w:val="30"/>
          <w:szCs w:val="30"/>
          <w:highlight w:val="none"/>
        </w:rPr>
        <w:br w:type="page"/>
      </w:r>
      <w:bookmarkStart w:id="655" w:name="_Toc12277"/>
      <w:r>
        <w:rPr>
          <w:rFonts w:hint="eastAsia" w:ascii="宋体" w:hAnsi="宋体" w:cs="宋体"/>
          <w:b/>
          <w:bCs/>
          <w:sz w:val="30"/>
          <w:szCs w:val="30"/>
          <w:highlight w:val="none"/>
        </w:rPr>
        <w:t>六、施工组织设计</w:t>
      </w:r>
      <w:bookmarkEnd w:id="655"/>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rPr>
        <w:t>响应人应根据竞争性磋商文件和对现场的勘察情况，采用文字并结合图表形式，参考本竞争性磋商文件评分标准编制本工程的施工组织设计；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2"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56" w:name="_Toc11108"/>
      <w:r>
        <w:rPr>
          <w:rFonts w:hint="eastAsia" w:ascii="宋体" w:hAnsi="宋体" w:cs="宋体"/>
          <w:b/>
          <w:bCs/>
          <w:sz w:val="24"/>
          <w:highlight w:val="none"/>
        </w:rPr>
        <w:t>附表一：拟投入本工程的主要施工设备表</w:t>
      </w:r>
      <w:bookmarkEnd w:id="656"/>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outlineLvl w:val="0"/>
        <w:rPr>
          <w:rFonts w:hint="eastAsia" w:ascii="宋体" w:hAnsi="宋体" w:cs="宋体"/>
          <w:b/>
          <w:bCs/>
          <w:sz w:val="24"/>
          <w:highlight w:val="none"/>
        </w:rPr>
      </w:pPr>
      <w:bookmarkStart w:id="657" w:name="_Toc18031"/>
      <w:r>
        <w:rPr>
          <w:rFonts w:hint="eastAsia" w:ascii="宋体" w:hAnsi="宋体" w:cs="宋体"/>
          <w:b/>
          <w:bCs/>
          <w:sz w:val="24"/>
          <w:highlight w:val="none"/>
        </w:rPr>
        <w:t>附表二：拟配备本工程的试验和检测仪器设备表</w:t>
      </w:r>
      <w:bookmarkEnd w:id="657"/>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outlineLvl w:val="0"/>
        <w:rPr>
          <w:rFonts w:hint="eastAsia" w:ascii="宋体" w:hAnsi="宋体" w:cs="宋体"/>
          <w:b/>
          <w:bCs/>
          <w:sz w:val="24"/>
          <w:highlight w:val="none"/>
        </w:rPr>
      </w:pPr>
      <w:bookmarkStart w:id="658" w:name="_Toc18935"/>
      <w:r>
        <w:rPr>
          <w:rFonts w:hint="eastAsia" w:ascii="宋体" w:hAnsi="宋体" w:cs="宋体"/>
          <w:b/>
          <w:bCs/>
          <w:sz w:val="24"/>
          <w:highlight w:val="none"/>
        </w:rPr>
        <w:t>附表三：劳动力计划表</w:t>
      </w:r>
      <w:bookmarkEnd w:id="658"/>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59" w:name="_Toc2898"/>
      <w:r>
        <w:rPr>
          <w:rFonts w:hint="eastAsia" w:ascii="宋体" w:hAnsi="宋体" w:cs="宋体"/>
          <w:b/>
          <w:bCs/>
          <w:sz w:val="24"/>
          <w:highlight w:val="none"/>
        </w:rPr>
        <w:t>附表四：计划开、竣工日期和施工进度网络图</w:t>
      </w:r>
      <w:bookmarkEnd w:id="659"/>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1．响应人应递交施工进度网络图或施工进度表，说明按磋商文件要求的计划工期进行施工的各个关键日期。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outlineLvl w:val="1"/>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outlineLvl w:val="0"/>
        <w:rPr>
          <w:rFonts w:hint="eastAsia" w:ascii="宋体" w:hAnsi="宋体" w:cs="宋体"/>
          <w:b/>
          <w:bCs/>
          <w:sz w:val="30"/>
          <w:szCs w:val="30"/>
          <w:highlight w:val="none"/>
        </w:rPr>
      </w:pPr>
      <w:bookmarkStart w:id="660" w:name="_Toc17817"/>
      <w:r>
        <w:rPr>
          <w:rFonts w:hint="eastAsia" w:ascii="宋体" w:hAnsi="宋体" w:cs="宋体"/>
          <w:b/>
          <w:bCs/>
          <w:sz w:val="30"/>
          <w:szCs w:val="30"/>
          <w:highlight w:val="none"/>
        </w:rPr>
        <w:t>七、项目管理机构</w:t>
      </w:r>
      <w:bookmarkEnd w:id="660"/>
    </w:p>
    <w:p w14:paraId="6947613C">
      <w:pPr>
        <w:spacing w:after="312" w:afterLines="100" w:line="480" w:lineRule="exact"/>
        <w:jc w:val="center"/>
        <w:textAlignment w:val="center"/>
        <w:outlineLvl w:val="1"/>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18"/>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outlineLvl w:val="1"/>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管理人员应附岗位证书。</w:t>
      </w:r>
    </w:p>
    <w:tbl>
      <w:tblPr>
        <w:tblStyle w:val="18"/>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BB5F7BE">
      <w:pPr>
        <w:spacing w:before="312" w:beforeLines="100" w:after="312" w:afterLines="100" w:line="480" w:lineRule="exact"/>
        <w:jc w:val="center"/>
        <w:textAlignment w:val="center"/>
        <w:rPr>
          <w:rFonts w:ascii="宋体" w:hAnsi="宋体" w:cs="宋体"/>
          <w:b/>
          <w:bCs/>
          <w:sz w:val="24"/>
          <w:szCs w:val="24"/>
          <w:highlight w:val="none"/>
        </w:rPr>
      </w:pPr>
    </w:p>
    <w:p w14:paraId="73D5DE40">
      <w:pPr>
        <w:spacing w:before="312" w:beforeLines="100" w:after="312" w:afterLines="100" w:line="480" w:lineRule="exact"/>
        <w:jc w:val="center"/>
        <w:textAlignment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(三)项目经理无在建项目承诺书</w:t>
      </w:r>
    </w:p>
    <w:p w14:paraId="496CC13A">
      <w:pPr>
        <w:spacing w:after="312" w:afterLines="100" w:line="500" w:lineRule="exact"/>
        <w:textAlignment w:val="center"/>
        <w:rPr>
          <w:rFonts w:hint="eastAsia" w:ascii="宋体" w:hAnsi="宋体" w:cs="宋体"/>
          <w:sz w:val="24"/>
          <w:highlight w:val="none"/>
        </w:rPr>
      </w:pPr>
      <w:r>
        <w:rPr>
          <w:rFonts w:hint="eastAsia" w:ascii="宋体" w:hAnsi="宋体" w:cs="宋体"/>
          <w:sz w:val="24"/>
          <w:highlight w:val="none"/>
        </w:rPr>
        <w:t>（招标人名称）：</w:t>
      </w:r>
    </w:p>
    <w:p w14:paraId="14C49F1C">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我方在此声明，我方拟派往</w:t>
      </w:r>
      <w:r>
        <w:rPr>
          <w:rFonts w:hint="eastAsia" w:ascii="宋体" w:hAnsi="宋体" w:cs="宋体"/>
          <w:sz w:val="24"/>
          <w:highlight w:val="none"/>
          <w:u w:val="single"/>
        </w:rPr>
        <w:t xml:space="preserve">             </w:t>
      </w:r>
      <w:r>
        <w:rPr>
          <w:rFonts w:hint="eastAsia" w:ascii="宋体" w:hAnsi="宋体" w:cs="宋体"/>
          <w:sz w:val="24"/>
          <w:highlight w:val="none"/>
        </w:rPr>
        <w:t>（项目名称）（以下简称“本工程”）的项目经理</w:t>
      </w:r>
      <w:r>
        <w:rPr>
          <w:rFonts w:hint="eastAsia" w:ascii="宋体" w:hAnsi="宋体" w:cs="宋体"/>
          <w:sz w:val="24"/>
          <w:highlight w:val="none"/>
          <w:u w:val="single"/>
        </w:rPr>
        <w:t xml:space="preserve">           </w:t>
      </w:r>
      <w:r>
        <w:rPr>
          <w:rFonts w:hint="eastAsia" w:ascii="宋体" w:hAnsi="宋体" w:cs="宋体"/>
          <w:sz w:val="24"/>
          <w:highlight w:val="none"/>
        </w:rPr>
        <w:t>（项目经理姓名）现阶段没有担任任何在施建设工程项目。</w:t>
      </w:r>
    </w:p>
    <w:p w14:paraId="47814447">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我方保证上述信息的真实和准确，并愿意承担因我方就此弄虚作假所引起的一切法律后果。</w:t>
      </w:r>
    </w:p>
    <w:p w14:paraId="7E49D393">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5E7C19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1BC974BD">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特此承诺</w:t>
      </w:r>
    </w:p>
    <w:p w14:paraId="46AF1D34">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153B2D5C">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102843FE">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66FEA40E">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4D7ED59F">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210C6C83">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7D9DB30E">
      <w:pPr>
        <w:spacing w:line="700" w:lineRule="exact"/>
        <w:ind w:right="480"/>
        <w:jc w:val="center"/>
        <w:rPr>
          <w:rFonts w:hint="eastAsia" w:ascii="宋体" w:hAnsi="宋体" w:cs="宋体"/>
          <w:sz w:val="24"/>
          <w:highlight w:val="none"/>
        </w:rPr>
      </w:pPr>
      <w:r>
        <w:rPr>
          <w:rFonts w:hint="eastAsia" w:ascii="宋体" w:hAnsi="宋体" w:cs="宋体"/>
          <w:sz w:val="24"/>
          <w:highlight w:val="none"/>
        </w:rPr>
        <w:t xml:space="preserve">                  响   应 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CD763CB">
      <w:pPr>
        <w:wordWrap w:val="0"/>
        <w:spacing w:line="700" w:lineRule="exact"/>
        <w:jc w:val="right"/>
        <w:rPr>
          <w:rFonts w:hint="eastAsia" w:ascii="宋体" w:hAnsi="宋体" w:cs="宋体"/>
          <w:sz w:val="24"/>
          <w:highlight w:val="none"/>
        </w:rPr>
      </w:pP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63820EC0">
      <w:pPr>
        <w:spacing w:line="700" w:lineRule="exact"/>
        <w:ind w:right="480" w:firstLine="2400" w:firstLineChars="1000"/>
        <w:rPr>
          <w:rFonts w:hint="eastAsia" w:ascii="宋体" w:hAnsi="宋体" w:cs="宋体"/>
          <w:sz w:val="24"/>
          <w:highlight w:val="none"/>
        </w:rPr>
      </w:pPr>
      <w:r>
        <w:rPr>
          <w:rFonts w:hint="eastAsia" w:ascii="宋体" w:hAnsi="宋体" w:cs="宋体"/>
          <w:sz w:val="24"/>
          <w:highlight w:val="none"/>
        </w:rPr>
        <w:t>日        期：      年     月    日</w:t>
      </w:r>
    </w:p>
    <w:p w14:paraId="76ED0C10">
      <w:pPr>
        <w:spacing w:line="700" w:lineRule="exact"/>
        <w:ind w:firstLine="2949" w:firstLineChars="1229"/>
        <w:rPr>
          <w:rFonts w:hint="eastAsia" w:ascii="宋体" w:hAnsi="宋体" w:cs="宋体"/>
          <w:sz w:val="24"/>
          <w:highlight w:val="none"/>
        </w:rPr>
      </w:pPr>
      <w:r>
        <w:rPr>
          <w:rFonts w:hint="eastAsia" w:ascii="宋体" w:hAnsi="宋体" w:cs="宋体"/>
          <w:sz w:val="24"/>
          <w:highlight w:val="none"/>
        </w:rPr>
        <w:t xml:space="preserve"> </w:t>
      </w:r>
    </w:p>
    <w:p w14:paraId="431431AE">
      <w:pPr>
        <w:spacing w:before="156" w:beforeLines="50" w:after="312" w:afterLines="100" w:line="480" w:lineRule="exact"/>
        <w:ind w:right="420"/>
        <w:textAlignment w:val="center"/>
        <w:rPr>
          <w:rFonts w:hint="eastAsia" w:ascii="宋体" w:hAnsi="宋体" w:cs="宋体"/>
          <w:sz w:val="24"/>
          <w:highlight w:val="none"/>
        </w:rPr>
      </w:pPr>
      <w:r>
        <w:rPr>
          <w:rFonts w:hint="eastAsia" w:ascii="宋体" w:hAnsi="宋体" w:cs="宋体"/>
          <w:sz w:val="24"/>
          <w:highlight w:val="none"/>
        </w:rPr>
        <w:t xml:space="preserve"> </w:t>
      </w:r>
    </w:p>
    <w:p w14:paraId="07DE4BB7">
      <w:pPr>
        <w:spacing w:before="156" w:beforeLines="50" w:after="312" w:afterLines="100" w:line="480" w:lineRule="exact"/>
        <w:ind w:right="420"/>
        <w:textAlignment w:val="center"/>
        <w:rPr>
          <w:rFonts w:hint="eastAsia" w:ascii="宋体" w:hAnsi="宋体" w:cs="宋体"/>
          <w:sz w:val="24"/>
          <w:highlight w:val="none"/>
        </w:rPr>
      </w:pPr>
      <w:r>
        <w:rPr>
          <w:rFonts w:hint="eastAsia" w:ascii="宋体" w:hAnsi="宋体" w:cs="宋体"/>
          <w:sz w:val="24"/>
          <w:highlight w:val="none"/>
        </w:rPr>
        <w:t xml:space="preserve"> </w:t>
      </w:r>
    </w:p>
    <w:p w14:paraId="74C81999">
      <w:pPr>
        <w:spacing w:before="156" w:beforeLines="50" w:after="312" w:afterLines="100" w:line="480" w:lineRule="exact"/>
        <w:ind w:right="420"/>
        <w:textAlignment w:val="center"/>
        <w:rPr>
          <w:rFonts w:hint="eastAsia" w:ascii="宋体" w:hAnsi="宋体" w:cs="宋体"/>
          <w:sz w:val="24"/>
          <w:highlight w:val="none"/>
        </w:rPr>
      </w:pPr>
    </w:p>
    <w:p w14:paraId="65206E47">
      <w:pPr>
        <w:spacing w:before="156" w:beforeLines="50" w:after="312" w:afterLines="100" w:line="480" w:lineRule="exact"/>
        <w:jc w:val="center"/>
        <w:textAlignment w:val="center"/>
        <w:rPr>
          <w:rFonts w:hint="eastAsia" w:ascii="宋体" w:hAnsi="宋体" w:cs="宋体"/>
          <w:b/>
          <w:bCs/>
          <w:sz w:val="24"/>
          <w:highlight w:val="none"/>
        </w:rPr>
      </w:pPr>
    </w:p>
    <w:p w14:paraId="0D46BE8A">
      <w:pPr>
        <w:spacing w:line="480" w:lineRule="exact"/>
        <w:jc w:val="center"/>
        <w:textAlignment w:val="center"/>
        <w:outlineLvl w:val="0"/>
        <w:rPr>
          <w:rFonts w:hint="eastAsia" w:ascii="宋体" w:hAnsi="宋体" w:cs="宋体"/>
          <w:b/>
          <w:bCs/>
          <w:sz w:val="30"/>
          <w:szCs w:val="30"/>
          <w:highlight w:val="none"/>
        </w:rPr>
      </w:pPr>
      <w:bookmarkStart w:id="661" w:name="_Toc13615"/>
      <w:r>
        <w:rPr>
          <w:rFonts w:hint="eastAsia" w:ascii="宋体" w:hAnsi="宋体" w:cs="宋体"/>
          <w:b/>
          <w:bCs/>
          <w:sz w:val="30"/>
          <w:szCs w:val="30"/>
          <w:highlight w:val="none"/>
        </w:rPr>
        <w:t>八、企业基本情况资料</w:t>
      </w:r>
      <w:bookmarkEnd w:id="661"/>
    </w:p>
    <w:p w14:paraId="567A682F">
      <w:pPr>
        <w:keepNext/>
        <w:keepLines/>
        <w:spacing w:before="280" w:after="290" w:line="420" w:lineRule="exact"/>
        <w:ind w:firstLine="482" w:firstLineChars="200"/>
        <w:jc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（一）响应人基本情况表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outlineLvl w:val="1"/>
        <w:rPr>
          <w:rFonts w:hint="eastAsia"/>
          <w:b/>
          <w:sz w:val="24"/>
          <w:szCs w:val="24"/>
          <w:highlight w:val="none"/>
        </w:rPr>
      </w:pPr>
      <w:r>
        <w:rPr>
          <w:rFonts w:hint="eastAsia"/>
          <w:b/>
          <w:sz w:val="24"/>
          <w:szCs w:val="24"/>
          <w:highlight w:val="none"/>
        </w:rPr>
        <w:t>（二）近年完成的类似项目情况表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备注：本表后附中标（成交）通知书或合同协议书的扫描件，具体年份要求见响应人须知前附表。每张表格只填写一个项目，并标明序号。</w:t>
      </w:r>
    </w:p>
    <w:p w14:paraId="75BF598C">
      <w:pPr>
        <w:keepNext/>
        <w:keepLines/>
        <w:spacing w:before="280" w:after="290" w:line="420" w:lineRule="exact"/>
        <w:jc w:val="center"/>
        <w:outlineLvl w:val="1"/>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6"/>
        </w:numPr>
        <w:spacing w:line="480" w:lineRule="exact"/>
        <w:ind w:left="630" w:leftChars="0" w:hanging="630" w:firstLineChars="0"/>
        <w:jc w:val="center"/>
        <w:textAlignment w:val="center"/>
        <w:outlineLvl w:val="0"/>
        <w:rPr>
          <w:rFonts w:ascii="宋体" w:hAnsi="宋体" w:cs="宋体"/>
          <w:b/>
          <w:bCs/>
          <w:sz w:val="30"/>
          <w:szCs w:val="30"/>
          <w:highlight w:val="none"/>
        </w:rPr>
      </w:pPr>
      <w:bookmarkStart w:id="662" w:name="_Toc32481"/>
      <w:r>
        <w:rPr>
          <w:rFonts w:ascii="宋体" w:hAnsi="宋体" w:cs="宋体"/>
          <w:b/>
          <w:bCs/>
          <w:sz w:val="30"/>
          <w:szCs w:val="30"/>
          <w:highlight w:val="none"/>
        </w:rPr>
        <w:t>承诺书</w:t>
      </w:r>
      <w:bookmarkEnd w:id="662"/>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ascii="宋体" w:hAnsi="宋体" w:eastAsia="宋体" w:cs="Times New Roman"/>
          <w:color w:val="000000"/>
          <w:szCs w:val="24"/>
          <w:highlight w:val="none"/>
        </w:rPr>
        <w:t>招标人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752815B2">
      <w:pPr>
        <w:widowControl/>
        <w:jc w:val="left"/>
        <w:rPr>
          <w:rFonts w:hint="eastAsia" w:ascii="宋体" w:hAnsi="宋体"/>
          <w:b/>
          <w:bCs/>
          <w:color w:val="000000"/>
          <w:kern w:val="0"/>
          <w:sz w:val="24"/>
          <w:szCs w:val="24"/>
          <w:highlight w:val="none"/>
        </w:rPr>
      </w:pPr>
    </w:p>
    <w:p w14:paraId="21896E39">
      <w:pPr>
        <w:widowControl/>
        <w:jc w:val="left"/>
        <w:rPr>
          <w:rFonts w:hint="eastAsia" w:ascii="宋体" w:hAnsi="宋体"/>
          <w:b/>
          <w:bCs/>
          <w:color w:val="000000"/>
          <w:kern w:val="0"/>
          <w:sz w:val="24"/>
          <w:szCs w:val="24"/>
          <w:highlight w:val="none"/>
        </w:rPr>
      </w:pPr>
    </w:p>
    <w:p w14:paraId="4588E992">
      <w:pPr>
        <w:widowControl/>
        <w:jc w:val="left"/>
        <w:rPr>
          <w:rFonts w:hint="eastAsia" w:ascii="宋体" w:hAnsi="宋体"/>
          <w:b/>
          <w:bCs/>
          <w:color w:val="000000"/>
          <w:kern w:val="0"/>
          <w:sz w:val="24"/>
          <w:szCs w:val="24"/>
          <w:highlight w:val="none"/>
        </w:rPr>
      </w:pPr>
    </w:p>
    <w:p w14:paraId="20E1FC73">
      <w:pPr>
        <w:widowControl/>
        <w:jc w:val="left"/>
        <w:rPr>
          <w:rFonts w:hint="eastAsia" w:ascii="宋体" w:hAnsi="宋体"/>
          <w:b/>
          <w:bCs/>
          <w:color w:val="000000"/>
          <w:kern w:val="0"/>
          <w:sz w:val="24"/>
          <w:szCs w:val="24"/>
          <w:highlight w:val="none"/>
        </w:rPr>
      </w:pPr>
    </w:p>
    <w:p w14:paraId="301D27D9">
      <w:pPr>
        <w:widowControl/>
        <w:jc w:val="left"/>
        <w:outlineLvl w:val="0"/>
        <w:rPr>
          <w:rFonts w:ascii="宋体" w:hAnsi="宋体"/>
          <w:b/>
          <w:bCs/>
          <w:color w:val="000000"/>
          <w:kern w:val="0"/>
          <w:sz w:val="24"/>
          <w:szCs w:val="24"/>
          <w:highlight w:val="none"/>
        </w:rPr>
      </w:pPr>
      <w:bookmarkStart w:id="663" w:name="_Toc15710"/>
      <w:r>
        <w:rPr>
          <w:rFonts w:hint="eastAsia" w:ascii="宋体" w:hAnsi="宋体"/>
          <w:b/>
          <w:bCs/>
          <w:color w:val="000000"/>
          <w:kern w:val="0"/>
          <w:sz w:val="24"/>
          <w:szCs w:val="24"/>
          <w:highlight w:val="none"/>
        </w:rPr>
        <w:t>附件1：</w:t>
      </w:r>
      <w:bookmarkEnd w:id="663"/>
    </w:p>
    <w:p w14:paraId="07ED9F40">
      <w:pPr>
        <w:widowControl/>
        <w:spacing w:line="360" w:lineRule="auto"/>
        <w:jc w:val="center"/>
        <w:rPr>
          <w:rFonts w:ascii="宋体" w:hAnsi="宋体"/>
          <w:b/>
          <w:bCs/>
          <w:color w:val="000000"/>
          <w:kern w:val="0"/>
          <w:sz w:val="24"/>
          <w:szCs w:val="24"/>
          <w:highlight w:val="none"/>
        </w:rPr>
      </w:pPr>
      <w:bookmarkStart w:id="664" w:name="_Toc27377"/>
      <w:r>
        <w:rPr>
          <w:rFonts w:hint="eastAsia" w:ascii="宋体" w:hAnsi="宋体"/>
          <w:b/>
          <w:bCs/>
          <w:color w:val="000000"/>
          <w:kern w:val="0"/>
          <w:sz w:val="24"/>
          <w:szCs w:val="24"/>
          <w:highlight w:val="none"/>
        </w:rPr>
        <w:t>中小企业声明函</w:t>
      </w:r>
      <w:bookmarkEnd w:id="664"/>
      <w:r>
        <w:rPr>
          <w:rFonts w:hint="eastAsia" w:ascii="宋体" w:hAnsi="宋体"/>
          <w:b/>
          <w:bCs/>
          <w:color w:val="000000"/>
          <w:kern w:val="0"/>
          <w:sz w:val="24"/>
          <w:szCs w:val="24"/>
          <w:highlight w:val="none"/>
        </w:rPr>
        <w:t>（工程）</w:t>
      </w:r>
    </w:p>
    <w:p w14:paraId="6B227822">
      <w:pPr>
        <w:spacing w:line="360" w:lineRule="auto"/>
        <w:ind w:firstLine="480" w:firstLineChars="200"/>
        <w:rPr>
          <w:rFonts w:ascii="宋体" w:hAnsi="宋体"/>
          <w:sz w:val="24"/>
          <w:szCs w:val="24"/>
          <w:highlight w:val="none"/>
        </w:rPr>
      </w:pPr>
      <w:bookmarkStart w:id="665" w:name="OLE_LINK13"/>
      <w:bookmarkStart w:id="666" w:name="_Toc23336"/>
      <w:bookmarkStart w:id="667" w:name="OLE_LINK14"/>
    </w:p>
    <w:p w14:paraId="5CC8A2A5">
      <w:pPr>
        <w:spacing w:line="360" w:lineRule="auto"/>
        <w:ind w:firstLine="420" w:firstLineChars="200"/>
        <w:rPr>
          <w:rFonts w:ascii="宋体" w:hAnsi="宋体"/>
          <w:szCs w:val="21"/>
          <w:highlight w:val="none"/>
        </w:rPr>
      </w:pPr>
      <w:r>
        <w:rPr>
          <w:rFonts w:hint="eastAsia" w:ascii="宋体" w:hAnsi="宋体"/>
          <w:szCs w:val="21"/>
          <w:highlight w:val="none"/>
        </w:rPr>
        <w:t>本公司（联合体）郑重声明， 根据《政府采购促进中小企业发展管理办法》（财库﹝ 2020﹞ 46 号） 的规定， 本公司（联合体） 参加</w:t>
      </w:r>
      <w:r>
        <w:rPr>
          <w:rFonts w:hint="eastAsia" w:ascii="宋体" w:hAnsi="宋体"/>
          <w:szCs w:val="21"/>
          <w:highlight w:val="none"/>
          <w:u w:val="single"/>
        </w:rPr>
        <w:t>（单位名称）</w:t>
      </w:r>
      <w:r>
        <w:rPr>
          <w:rFonts w:hint="eastAsia" w:ascii="宋体" w:hAnsi="宋体"/>
          <w:szCs w:val="21"/>
          <w:highlight w:val="none"/>
        </w:rPr>
        <w:t xml:space="preserve"> 的</w:t>
      </w:r>
      <w:r>
        <w:rPr>
          <w:rFonts w:hint="eastAsia" w:ascii="宋体" w:hAnsi="宋体"/>
          <w:szCs w:val="21"/>
          <w:highlight w:val="none"/>
          <w:u w:val="single"/>
        </w:rPr>
        <w:t>（项目名称）</w:t>
      </w:r>
      <w:r>
        <w:rPr>
          <w:rFonts w:hint="eastAsia" w:ascii="宋体" w:hAnsi="宋体"/>
          <w:szCs w:val="21"/>
          <w:highlight w:val="none"/>
        </w:rPr>
        <w:t xml:space="preserve"> 采购活动， 工程的施工单位全部为符合政策要求的中小企业。具体情况如下：</w:t>
      </w:r>
    </w:p>
    <w:p w14:paraId="3E61492B">
      <w:pPr>
        <w:spacing w:line="360" w:lineRule="auto"/>
        <w:ind w:firstLine="420" w:firstLineChars="200"/>
        <w:rPr>
          <w:rFonts w:ascii="宋体" w:hAnsi="宋体"/>
          <w:szCs w:val="21"/>
          <w:highlight w:val="none"/>
          <w:u w:val="single"/>
        </w:rPr>
      </w:pPr>
      <w:r>
        <w:rPr>
          <w:rFonts w:hint="eastAsia" w:ascii="宋体" w:hAnsi="宋体"/>
          <w:szCs w:val="21"/>
          <w:highlight w:val="none"/>
          <w:u w:val="single"/>
        </w:rPr>
        <w:t>（标的名称）</w:t>
      </w:r>
      <w:r>
        <w:rPr>
          <w:rFonts w:hint="eastAsia" w:ascii="宋体" w:hAnsi="宋体"/>
          <w:szCs w:val="21"/>
          <w:highlight w:val="none"/>
        </w:rPr>
        <w:t xml:space="preserve"> ， 属于</w:t>
      </w:r>
      <w:r>
        <w:rPr>
          <w:rFonts w:hint="eastAsia" w:ascii="宋体" w:hAnsi="宋体"/>
          <w:szCs w:val="21"/>
          <w:highlight w:val="none"/>
          <w:u w:val="single"/>
        </w:rPr>
        <w:t>（采购文件中明确的所属行业）</w:t>
      </w:r>
      <w:r>
        <w:rPr>
          <w:rFonts w:hint="eastAsia" w:ascii="宋体" w:hAnsi="宋体"/>
          <w:szCs w:val="21"/>
          <w:highlight w:val="none"/>
        </w:rPr>
        <w:t>； 承建（承接）企业为</w:t>
      </w:r>
      <w:r>
        <w:rPr>
          <w:rFonts w:hint="eastAsia" w:ascii="宋体" w:hAnsi="宋体"/>
          <w:szCs w:val="21"/>
          <w:highlight w:val="none"/>
          <w:u w:val="single"/>
        </w:rPr>
        <w:t>（ 企业名称）</w:t>
      </w:r>
      <w:r>
        <w:rPr>
          <w:rFonts w:hint="eastAsia" w:ascii="宋体" w:hAnsi="宋体"/>
          <w:szCs w:val="21"/>
          <w:highlight w:val="none"/>
        </w:rPr>
        <w:t>， 从业人员</w:t>
      </w:r>
      <w:r>
        <w:rPr>
          <w:rFonts w:hint="eastAsia" w:ascii="宋体" w:hAnsi="宋体"/>
          <w:szCs w:val="21"/>
          <w:highlight w:val="none"/>
          <w:u w:val="single"/>
        </w:rPr>
        <w:t xml:space="preserve">     </w:t>
      </w:r>
      <w:r>
        <w:rPr>
          <w:rFonts w:hint="eastAsia" w:ascii="宋体" w:hAnsi="宋体"/>
          <w:szCs w:val="21"/>
          <w:highlight w:val="none"/>
        </w:rPr>
        <w:t>人， 营业收入为</w:t>
      </w:r>
      <w:r>
        <w:rPr>
          <w:rFonts w:hint="eastAsia" w:ascii="宋体" w:hAnsi="宋体"/>
          <w:szCs w:val="21"/>
          <w:highlight w:val="none"/>
          <w:u w:val="single"/>
        </w:rPr>
        <w:t xml:space="preserve">     </w:t>
      </w:r>
      <w:r>
        <w:rPr>
          <w:rFonts w:hint="eastAsia" w:ascii="宋体" w:hAnsi="宋体"/>
          <w:szCs w:val="21"/>
          <w:highlight w:val="none"/>
        </w:rPr>
        <w:t>万元， 资产总额为</w:t>
      </w:r>
      <w:r>
        <w:rPr>
          <w:rFonts w:hint="eastAsia" w:ascii="宋体" w:hAnsi="宋体"/>
          <w:szCs w:val="21"/>
          <w:highlight w:val="none"/>
          <w:u w:val="single"/>
        </w:rPr>
        <w:t xml:space="preserve">     </w:t>
      </w:r>
      <w:r>
        <w:rPr>
          <w:rFonts w:hint="eastAsia" w:ascii="宋体" w:hAnsi="宋体"/>
          <w:szCs w:val="21"/>
          <w:highlight w:val="none"/>
        </w:rPr>
        <w:t>万元， 属于</w:t>
      </w:r>
      <w:r>
        <w:rPr>
          <w:rFonts w:hint="eastAsia" w:ascii="宋体" w:hAnsi="宋体"/>
          <w:szCs w:val="21"/>
          <w:highlight w:val="none"/>
          <w:u w:val="single"/>
        </w:rPr>
        <w:t>（中型企业、 小型企业、 微型企业）</w:t>
      </w:r>
      <w:r>
        <w:rPr>
          <w:rFonts w:hint="eastAsia" w:ascii="宋体" w:hAnsi="宋体"/>
          <w:szCs w:val="21"/>
          <w:highlight w:val="none"/>
        </w:rPr>
        <w:t>；</w:t>
      </w:r>
    </w:p>
    <w:p w14:paraId="51C7B87D">
      <w:pPr>
        <w:spacing w:line="360" w:lineRule="auto"/>
        <w:ind w:firstLine="420" w:firstLineChars="200"/>
        <w:rPr>
          <w:rFonts w:ascii="宋体" w:hAnsi="宋体"/>
          <w:szCs w:val="21"/>
          <w:highlight w:val="none"/>
        </w:rPr>
      </w:pPr>
      <w:r>
        <w:rPr>
          <w:rFonts w:hint="eastAsia" w:ascii="宋体" w:hAnsi="宋体"/>
          <w:szCs w:val="21"/>
          <w:highlight w:val="none"/>
        </w:rPr>
        <w:t>本企业不属于大企业的分支机构， 不存在控股股东为大企业的情形， 也不存在与大企业的负责人为同一人的情形。</w:t>
      </w:r>
    </w:p>
    <w:p w14:paraId="52842054">
      <w:pPr>
        <w:spacing w:line="360" w:lineRule="auto"/>
        <w:ind w:firstLine="420" w:firstLineChars="200"/>
        <w:rPr>
          <w:rFonts w:ascii="宋体" w:hAnsi="宋体"/>
          <w:szCs w:val="21"/>
          <w:highlight w:val="none"/>
        </w:rPr>
      </w:pPr>
      <w:r>
        <w:rPr>
          <w:rFonts w:hint="eastAsia" w:ascii="宋体" w:hAnsi="宋体"/>
          <w:szCs w:val="21"/>
          <w:highlight w:val="none"/>
        </w:rPr>
        <w:t>本企业对上述声明内容的真实性负责。 如有虚假， 将依法承担相应责任。</w:t>
      </w:r>
    </w:p>
    <w:p w14:paraId="45A00C95">
      <w:pPr>
        <w:spacing w:line="360" w:lineRule="auto"/>
        <w:ind w:right="840" w:firstLine="420" w:firstLineChars="200"/>
        <w:jc w:val="center"/>
        <w:rPr>
          <w:rFonts w:hint="eastAsia" w:ascii="宋体" w:hAnsi="宋体"/>
          <w:szCs w:val="21"/>
          <w:highlight w:val="none"/>
        </w:rPr>
      </w:pPr>
      <w:r>
        <w:rPr>
          <w:rFonts w:hint="eastAsia" w:ascii="宋体" w:hAnsi="宋体"/>
          <w:szCs w:val="21"/>
          <w:highlight w:val="none"/>
        </w:rPr>
        <w:t xml:space="preserve">            </w:t>
      </w:r>
    </w:p>
    <w:p w14:paraId="79B11EB2">
      <w:pPr>
        <w:spacing w:line="360" w:lineRule="auto"/>
        <w:ind w:right="840" w:firstLine="420" w:firstLineChars="200"/>
        <w:jc w:val="center"/>
        <w:rPr>
          <w:rFonts w:ascii="宋体" w:hAnsi="宋体"/>
          <w:szCs w:val="21"/>
          <w:highlight w:val="none"/>
        </w:rPr>
      </w:pPr>
      <w:r>
        <w:rPr>
          <w:rFonts w:hint="eastAsia" w:ascii="宋体" w:hAnsi="宋体"/>
          <w:szCs w:val="21"/>
          <w:highlight w:val="none"/>
        </w:rPr>
        <w:t xml:space="preserve">    企业名称（盖章）：</w:t>
      </w:r>
    </w:p>
    <w:p w14:paraId="51633041">
      <w:pPr>
        <w:spacing w:line="360" w:lineRule="auto"/>
        <w:ind w:right="840" w:firstLine="5670" w:firstLineChars="2700"/>
        <w:rPr>
          <w:rFonts w:ascii="宋体" w:hAnsi="宋体"/>
          <w:szCs w:val="21"/>
          <w:highlight w:val="none"/>
        </w:rPr>
      </w:pPr>
      <w:r>
        <w:rPr>
          <w:rFonts w:hint="eastAsia" w:ascii="宋体" w:hAnsi="宋体"/>
          <w:szCs w:val="21"/>
          <w:highlight w:val="none"/>
        </w:rPr>
        <w:t>日 期：</w:t>
      </w:r>
    </w:p>
    <w:p w14:paraId="0CFC310D">
      <w:pPr>
        <w:spacing w:line="360" w:lineRule="auto"/>
        <w:ind w:firstLine="420" w:firstLineChars="200"/>
        <w:rPr>
          <w:rFonts w:hint="eastAsia" w:ascii="宋体" w:hAnsi="宋体"/>
          <w:szCs w:val="21"/>
          <w:highlight w:val="none"/>
        </w:rPr>
      </w:pPr>
    </w:p>
    <w:p w14:paraId="7C871275">
      <w:pPr>
        <w:spacing w:line="360" w:lineRule="auto"/>
        <w:ind w:firstLine="420" w:firstLineChars="200"/>
        <w:rPr>
          <w:rFonts w:hint="eastAsia" w:ascii="宋体" w:hAnsi="宋体"/>
          <w:szCs w:val="21"/>
          <w:highlight w:val="none"/>
        </w:rPr>
      </w:pPr>
    </w:p>
    <w:p w14:paraId="7B58B51B">
      <w:pPr>
        <w:spacing w:line="360" w:lineRule="auto"/>
        <w:ind w:firstLine="420" w:firstLineChars="200"/>
        <w:rPr>
          <w:rFonts w:hint="eastAsia" w:ascii="宋体" w:hAnsi="宋体"/>
          <w:szCs w:val="21"/>
          <w:highlight w:val="none"/>
        </w:rPr>
      </w:pPr>
    </w:p>
    <w:p w14:paraId="52CEAD38">
      <w:pPr>
        <w:spacing w:line="360" w:lineRule="auto"/>
        <w:ind w:firstLine="420" w:firstLineChars="200"/>
        <w:rPr>
          <w:rFonts w:hint="eastAsia" w:ascii="宋体" w:hAnsi="宋体"/>
          <w:szCs w:val="21"/>
          <w:highlight w:val="none"/>
        </w:rPr>
      </w:pPr>
    </w:p>
    <w:p w14:paraId="2FAA808D">
      <w:pPr>
        <w:spacing w:line="360" w:lineRule="auto"/>
        <w:ind w:firstLine="420" w:firstLineChars="200"/>
        <w:rPr>
          <w:rFonts w:ascii="宋体" w:hAnsi="宋体" w:cs="宋体"/>
          <w:iCs/>
          <w:szCs w:val="21"/>
          <w:highlight w:val="none"/>
        </w:rPr>
      </w:pPr>
      <w:r>
        <w:rPr>
          <w:rFonts w:hint="eastAsia" w:ascii="宋体" w:hAnsi="宋体"/>
          <w:szCs w:val="21"/>
          <w:highlight w:val="none"/>
        </w:rPr>
        <w:t>注：从业人员、 营业收入、 资产总额填报上一年度数据，无上一年度数据的新成立企业可不填报。</w:t>
      </w:r>
    </w:p>
    <w:p w14:paraId="2DF4A854">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3B1638F5">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2422C8A8">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1063FF7C">
      <w:pPr>
        <w:rPr>
          <w:rFonts w:ascii="宋体" w:hAnsi="宋体" w:cs="宋体"/>
          <w:szCs w:val="21"/>
          <w:highlight w:val="none"/>
        </w:rPr>
      </w:pPr>
    </w:p>
    <w:p w14:paraId="4368DD5D">
      <w:pPr>
        <w:widowControl/>
        <w:jc w:val="left"/>
        <w:outlineLvl w:val="0"/>
        <w:rPr>
          <w:rFonts w:ascii="宋体" w:hAnsi="宋体"/>
          <w:b/>
          <w:color w:val="000000"/>
          <w:kern w:val="0"/>
          <w:sz w:val="30"/>
          <w:szCs w:val="24"/>
          <w:highlight w:val="none"/>
        </w:rPr>
      </w:pPr>
      <w:bookmarkStart w:id="668" w:name="_Toc16479"/>
      <w:r>
        <w:rPr>
          <w:rFonts w:hint="eastAsia" w:ascii="宋体" w:hAnsi="宋体"/>
          <w:b/>
          <w:bCs/>
          <w:color w:val="000000"/>
          <w:kern w:val="0"/>
          <w:sz w:val="24"/>
          <w:szCs w:val="24"/>
          <w:highlight w:val="none"/>
        </w:rPr>
        <w:t>附件2：</w:t>
      </w:r>
      <w:bookmarkEnd w:id="668"/>
    </w:p>
    <w:p w14:paraId="63A9F388">
      <w:pPr>
        <w:keepNext/>
        <w:keepLines/>
        <w:tabs>
          <w:tab w:val="left" w:pos="840"/>
        </w:tabs>
        <w:spacing w:before="260" w:after="260" w:line="412" w:lineRule="auto"/>
        <w:ind w:left="420" w:leftChars="0"/>
        <w:jc w:val="center"/>
        <w:outlineLvl w:val="9"/>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665"/>
      <w:bookmarkEnd w:id="666"/>
      <w:bookmarkEnd w:id="667"/>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0"/>
        <w:rPr>
          <w:rFonts w:ascii="宋体" w:hAnsi="宋体"/>
          <w:b/>
          <w:bCs/>
          <w:color w:val="000000"/>
          <w:kern w:val="0"/>
          <w:sz w:val="24"/>
          <w:szCs w:val="24"/>
          <w:highlight w:val="none"/>
        </w:rPr>
      </w:pPr>
      <w:bookmarkStart w:id="669" w:name="_Toc2147"/>
      <w:bookmarkStart w:id="670"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bookmarkEnd w:id="669"/>
    </w:p>
    <w:p w14:paraId="0B871BB0">
      <w:pPr>
        <w:keepNext/>
        <w:keepLines/>
        <w:tabs>
          <w:tab w:val="left" w:pos="840"/>
        </w:tabs>
        <w:spacing w:before="260" w:after="260" w:line="412" w:lineRule="auto"/>
        <w:ind w:left="420" w:leftChars="0"/>
        <w:jc w:val="center"/>
        <w:outlineLvl w:val="9"/>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670"/>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F68DDA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671" w:name="OLE_LINK3"/>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6FD22C94">
      <w:pPr>
        <w:snapToGrid w:val="0"/>
        <w:spacing w:line="520" w:lineRule="exact"/>
        <w:jc w:val="center"/>
        <w:outlineLvl w:val="0"/>
        <w:rPr>
          <w:rFonts w:hint="eastAsia" w:ascii="宋体" w:hAnsi="宋体" w:cs="宋体"/>
          <w:b/>
          <w:bCs/>
          <w:sz w:val="28"/>
          <w:szCs w:val="28"/>
          <w:highlight w:val="none"/>
        </w:rPr>
      </w:pPr>
      <w:bookmarkStart w:id="672" w:name="_Toc22513"/>
      <w:r>
        <w:rPr>
          <w:rFonts w:hint="eastAsia" w:ascii="宋体" w:hAnsi="宋体" w:cs="宋体"/>
          <w:b/>
          <w:bCs/>
          <w:sz w:val="28"/>
          <w:szCs w:val="28"/>
          <w:highlight w:val="none"/>
        </w:rPr>
        <w:t>十、响应人认为</w:t>
      </w:r>
      <w:r>
        <w:rPr>
          <w:rFonts w:hint="eastAsia" w:ascii="宋体" w:hAnsi="宋体" w:cs="宋体"/>
          <w:b/>
          <w:bCs/>
          <w:sz w:val="28"/>
          <w:szCs w:val="28"/>
          <w:highlight w:val="none"/>
          <w:lang w:val="en-US" w:eastAsia="zh-CN"/>
        </w:rPr>
        <w:t>需要提供的</w:t>
      </w:r>
      <w:r>
        <w:rPr>
          <w:rFonts w:hint="eastAsia" w:ascii="宋体" w:hAnsi="宋体" w:cs="宋体"/>
          <w:b/>
          <w:bCs/>
          <w:sz w:val="28"/>
          <w:szCs w:val="28"/>
          <w:highlight w:val="none"/>
        </w:rPr>
        <w:t>其他资料</w:t>
      </w:r>
      <w:bookmarkEnd w:id="672"/>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、招标文件规定的其他材料；</w:t>
      </w:r>
    </w:p>
    <w:p w14:paraId="3F2DE072">
      <w:pPr>
        <w:spacing w:line="480" w:lineRule="auto"/>
        <w:rPr>
          <w:rFonts w:hint="eastAsia" w:ascii="宋体" w:hAnsi="宋体"/>
          <w:bCs/>
          <w:sz w:val="24"/>
          <w:szCs w:val="24"/>
          <w:highlight w:val="none"/>
        </w:rPr>
      </w:pPr>
    </w:p>
    <w:p w14:paraId="4D53FFE1">
      <w:pPr>
        <w:numPr>
          <w:ilvl w:val="0"/>
          <w:numId w:val="7"/>
        </w:numPr>
        <w:spacing w:line="480" w:lineRule="auto"/>
        <w:rPr>
          <w:rFonts w:hint="eastAsia" w:ascii="宋体" w:hAnsi="宋体"/>
          <w:bCs/>
          <w:sz w:val="24"/>
          <w:szCs w:val="24"/>
          <w:highlight w:val="none"/>
        </w:rPr>
      </w:pPr>
      <w:r>
        <w:rPr>
          <w:rFonts w:hint="eastAsia" w:ascii="宋体" w:hAnsi="宋体"/>
          <w:bCs/>
          <w:sz w:val="24"/>
          <w:szCs w:val="24"/>
          <w:highlight w:val="none"/>
        </w:rPr>
        <w:t>响应人认为有利于投标的其他证明资料附后。</w:t>
      </w:r>
    </w:p>
    <w:p w14:paraId="70CFF0A6">
      <w:pPr>
        <w:widowControl w:val="0"/>
        <w:numPr>
          <w:ilvl w:val="0"/>
          <w:numId w:val="0"/>
        </w:numPr>
        <w:spacing w:line="480" w:lineRule="auto"/>
        <w:jc w:val="both"/>
        <w:rPr>
          <w:rFonts w:hint="eastAsia" w:ascii="宋体" w:hAnsi="宋体"/>
          <w:bCs/>
          <w:sz w:val="24"/>
          <w:szCs w:val="24"/>
          <w:highlight w:val="none"/>
        </w:rPr>
      </w:pPr>
    </w:p>
    <w:p w14:paraId="30D73F70">
      <w:pPr>
        <w:widowControl w:val="0"/>
        <w:numPr>
          <w:ilvl w:val="0"/>
          <w:numId w:val="0"/>
        </w:numPr>
        <w:spacing w:line="480" w:lineRule="auto"/>
        <w:jc w:val="both"/>
        <w:rPr>
          <w:rFonts w:hint="eastAsia" w:ascii="宋体" w:hAnsi="宋体"/>
          <w:bCs/>
          <w:sz w:val="24"/>
          <w:szCs w:val="24"/>
          <w:highlight w:val="none"/>
        </w:rPr>
      </w:pPr>
    </w:p>
    <w:p w14:paraId="2FDFA5AD">
      <w:pPr>
        <w:widowControl w:val="0"/>
        <w:numPr>
          <w:ilvl w:val="0"/>
          <w:numId w:val="0"/>
        </w:numPr>
        <w:spacing w:line="480" w:lineRule="auto"/>
        <w:jc w:val="both"/>
        <w:rPr>
          <w:rFonts w:hint="eastAsia" w:ascii="宋体" w:hAnsi="宋体"/>
          <w:bCs/>
          <w:sz w:val="24"/>
          <w:szCs w:val="24"/>
          <w:highlight w:val="none"/>
        </w:rPr>
      </w:pPr>
    </w:p>
    <w:p w14:paraId="3F3C8359">
      <w:pPr>
        <w:widowControl w:val="0"/>
        <w:numPr>
          <w:ilvl w:val="0"/>
          <w:numId w:val="0"/>
        </w:numPr>
        <w:spacing w:line="480" w:lineRule="auto"/>
        <w:jc w:val="both"/>
        <w:rPr>
          <w:rFonts w:hint="eastAsia" w:ascii="宋体" w:hAnsi="宋体"/>
          <w:bCs/>
          <w:sz w:val="24"/>
          <w:szCs w:val="24"/>
          <w:highlight w:val="none"/>
        </w:rPr>
      </w:pPr>
    </w:p>
    <w:p w14:paraId="55F9D9C8">
      <w:pPr>
        <w:widowControl w:val="0"/>
        <w:numPr>
          <w:ilvl w:val="0"/>
          <w:numId w:val="0"/>
        </w:numPr>
        <w:spacing w:line="480" w:lineRule="auto"/>
        <w:jc w:val="both"/>
        <w:rPr>
          <w:rFonts w:hint="eastAsia" w:ascii="宋体" w:hAnsi="宋体"/>
          <w:bCs/>
          <w:sz w:val="24"/>
          <w:szCs w:val="24"/>
          <w:highlight w:val="none"/>
        </w:rPr>
      </w:pPr>
    </w:p>
    <w:p w14:paraId="735F5F95">
      <w:pPr>
        <w:widowControl w:val="0"/>
        <w:numPr>
          <w:ilvl w:val="0"/>
          <w:numId w:val="0"/>
        </w:numPr>
        <w:spacing w:line="480" w:lineRule="auto"/>
        <w:jc w:val="both"/>
        <w:rPr>
          <w:rFonts w:hint="eastAsia" w:ascii="宋体" w:hAnsi="宋体"/>
          <w:bCs/>
          <w:sz w:val="24"/>
          <w:szCs w:val="24"/>
          <w:highlight w:val="none"/>
        </w:rPr>
      </w:pPr>
    </w:p>
    <w:p w14:paraId="1E7FAB4D">
      <w:pPr>
        <w:widowControl w:val="0"/>
        <w:numPr>
          <w:ilvl w:val="0"/>
          <w:numId w:val="0"/>
        </w:numPr>
        <w:spacing w:line="480" w:lineRule="auto"/>
        <w:jc w:val="both"/>
        <w:rPr>
          <w:rFonts w:hint="eastAsia" w:ascii="宋体" w:hAnsi="宋体"/>
          <w:bCs/>
          <w:sz w:val="24"/>
          <w:szCs w:val="24"/>
          <w:highlight w:val="none"/>
        </w:rPr>
      </w:pPr>
    </w:p>
    <w:p w14:paraId="185B6980">
      <w:pPr>
        <w:widowControl w:val="0"/>
        <w:numPr>
          <w:ilvl w:val="0"/>
          <w:numId w:val="0"/>
        </w:numPr>
        <w:spacing w:line="480" w:lineRule="auto"/>
        <w:jc w:val="both"/>
        <w:rPr>
          <w:rFonts w:hint="eastAsia" w:ascii="宋体" w:hAnsi="宋体"/>
          <w:bCs/>
          <w:sz w:val="24"/>
          <w:szCs w:val="24"/>
          <w:highlight w:val="none"/>
        </w:rPr>
      </w:pPr>
    </w:p>
    <w:p w14:paraId="6BBD817B">
      <w:pPr>
        <w:widowControl w:val="0"/>
        <w:numPr>
          <w:ilvl w:val="0"/>
          <w:numId w:val="0"/>
        </w:numPr>
        <w:spacing w:line="480" w:lineRule="auto"/>
        <w:jc w:val="both"/>
        <w:rPr>
          <w:rFonts w:hint="eastAsia" w:ascii="宋体" w:hAnsi="宋体"/>
          <w:bCs/>
          <w:sz w:val="24"/>
          <w:szCs w:val="24"/>
          <w:highlight w:val="none"/>
        </w:rPr>
      </w:pPr>
    </w:p>
    <w:p w14:paraId="649B4255">
      <w:pPr>
        <w:widowControl w:val="0"/>
        <w:numPr>
          <w:ilvl w:val="0"/>
          <w:numId w:val="0"/>
        </w:numPr>
        <w:spacing w:line="480" w:lineRule="auto"/>
        <w:jc w:val="both"/>
        <w:rPr>
          <w:rFonts w:hint="eastAsia" w:ascii="宋体" w:hAnsi="宋体"/>
          <w:bCs/>
          <w:sz w:val="24"/>
          <w:szCs w:val="24"/>
          <w:highlight w:val="none"/>
        </w:rPr>
      </w:pPr>
    </w:p>
    <w:p w14:paraId="2FCEA62D">
      <w:pPr>
        <w:widowControl w:val="0"/>
        <w:numPr>
          <w:ilvl w:val="0"/>
          <w:numId w:val="0"/>
        </w:numPr>
        <w:spacing w:line="480" w:lineRule="auto"/>
        <w:jc w:val="both"/>
        <w:rPr>
          <w:rFonts w:hint="eastAsia" w:ascii="宋体" w:hAnsi="宋体"/>
          <w:bCs/>
          <w:sz w:val="24"/>
          <w:szCs w:val="24"/>
          <w:highlight w:val="none"/>
        </w:rPr>
      </w:pPr>
    </w:p>
    <w:p w14:paraId="53CD6FEF">
      <w:pPr>
        <w:widowControl w:val="0"/>
        <w:numPr>
          <w:ilvl w:val="0"/>
          <w:numId w:val="0"/>
        </w:numPr>
        <w:spacing w:line="480" w:lineRule="auto"/>
        <w:jc w:val="both"/>
        <w:rPr>
          <w:rFonts w:hint="eastAsia" w:ascii="宋体" w:hAnsi="宋体"/>
          <w:bCs/>
          <w:sz w:val="24"/>
          <w:szCs w:val="24"/>
          <w:highlight w:val="none"/>
        </w:rPr>
      </w:pPr>
    </w:p>
    <w:p w14:paraId="69423E5B">
      <w:pPr>
        <w:widowControl w:val="0"/>
        <w:numPr>
          <w:ilvl w:val="0"/>
          <w:numId w:val="0"/>
        </w:numPr>
        <w:spacing w:line="480" w:lineRule="auto"/>
        <w:jc w:val="both"/>
        <w:rPr>
          <w:rFonts w:hint="eastAsia" w:ascii="宋体" w:hAnsi="宋体"/>
          <w:bCs/>
          <w:sz w:val="24"/>
          <w:szCs w:val="24"/>
          <w:highlight w:val="none"/>
        </w:rPr>
      </w:pPr>
    </w:p>
    <w:p w14:paraId="4D841B80">
      <w:pPr>
        <w:widowControl w:val="0"/>
        <w:numPr>
          <w:ilvl w:val="0"/>
          <w:numId w:val="0"/>
        </w:numPr>
        <w:spacing w:line="480" w:lineRule="auto"/>
        <w:jc w:val="both"/>
        <w:rPr>
          <w:rFonts w:hint="eastAsia" w:ascii="宋体" w:hAnsi="宋体"/>
          <w:bCs/>
          <w:sz w:val="24"/>
          <w:szCs w:val="24"/>
          <w:highlight w:val="none"/>
        </w:rPr>
      </w:pPr>
    </w:p>
    <w:bookmarkEnd w:id="671"/>
    <w:p w14:paraId="699A0BBC">
      <w:pPr>
        <w:jc w:val="center"/>
        <w:outlineLvl w:val="0"/>
        <w:rPr>
          <w:rFonts w:hint="eastAsia" w:ascii="宋体" w:hAnsi="宋体" w:eastAsia="宋体" w:cs="宋体"/>
          <w:b/>
          <w:bCs/>
          <w:color w:val="auto"/>
          <w:kern w:val="0"/>
          <w:sz w:val="36"/>
          <w:szCs w:val="36"/>
          <w:highlight w:val="none"/>
          <w:lang w:eastAsia="zh-CN"/>
        </w:rPr>
      </w:pPr>
      <w:bookmarkStart w:id="673" w:name="_Toc25189"/>
      <w:r>
        <w:rPr>
          <w:rFonts w:hint="eastAsia" w:ascii="宋体" w:hAnsi="宋体" w:eastAsia="宋体" w:cs="宋体"/>
          <w:b/>
          <w:bCs/>
          <w:color w:val="auto"/>
          <w:kern w:val="0"/>
          <w:sz w:val="36"/>
          <w:szCs w:val="36"/>
          <w:highlight w:val="none"/>
          <w:lang w:val="en-US" w:eastAsia="zh-CN"/>
        </w:rPr>
        <w:t>二标段</w:t>
      </w:r>
      <w:r>
        <w:rPr>
          <w:rFonts w:hint="eastAsia" w:ascii="宋体" w:hAnsi="宋体" w:cs="宋体"/>
          <w:b/>
          <w:bCs/>
          <w:color w:val="auto"/>
          <w:kern w:val="0"/>
          <w:sz w:val="36"/>
          <w:szCs w:val="36"/>
          <w:highlight w:val="none"/>
          <w:lang w:val="en-US" w:eastAsia="zh-CN"/>
        </w:rPr>
        <w:t>响应</w:t>
      </w:r>
      <w:r>
        <w:rPr>
          <w:rFonts w:hint="eastAsia" w:ascii="宋体" w:hAnsi="宋体" w:eastAsia="宋体" w:cs="宋体"/>
          <w:b/>
          <w:bCs/>
          <w:color w:val="auto"/>
          <w:kern w:val="0"/>
          <w:sz w:val="36"/>
          <w:szCs w:val="36"/>
          <w:highlight w:val="none"/>
          <w:lang w:eastAsia="zh-CN"/>
        </w:rPr>
        <w:t>文件格式</w:t>
      </w:r>
      <w:bookmarkEnd w:id="673"/>
    </w:p>
    <w:p w14:paraId="3DD93F4A">
      <w:pPr>
        <w:jc w:val="center"/>
        <w:rPr>
          <w:rFonts w:hint="eastAsia" w:ascii="宋体" w:hAnsi="宋体" w:eastAsia="宋体" w:cs="宋体"/>
          <w:b/>
          <w:bCs/>
          <w:color w:val="auto"/>
          <w:kern w:val="0"/>
          <w:sz w:val="36"/>
          <w:szCs w:val="36"/>
          <w:highlight w:val="none"/>
          <w:lang w:eastAsia="zh-CN"/>
        </w:rPr>
      </w:pPr>
    </w:p>
    <w:p w14:paraId="4A045BB8">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66BBE3E8">
      <w:pPr>
        <w:spacing w:line="360" w:lineRule="auto"/>
        <w:rPr>
          <w:rFonts w:hint="eastAsia" w:ascii="宋体" w:hAnsi="宋体" w:cs="宋体"/>
          <w:sz w:val="24"/>
          <w:highlight w:val="none"/>
        </w:rPr>
      </w:pPr>
    </w:p>
    <w:p w14:paraId="0247CC95">
      <w:pPr>
        <w:spacing w:line="360" w:lineRule="auto"/>
        <w:jc w:val="center"/>
        <w:rPr>
          <w:rFonts w:hint="eastAsia" w:ascii="宋体" w:hAnsi="宋体" w:cs="宋体"/>
          <w:sz w:val="24"/>
          <w:highlight w:val="none"/>
        </w:rPr>
      </w:pPr>
    </w:p>
    <w:p w14:paraId="39BAA19D">
      <w:pPr>
        <w:spacing w:line="360" w:lineRule="auto"/>
        <w:jc w:val="center"/>
        <w:rPr>
          <w:rFonts w:hint="eastAsia" w:ascii="宋体" w:hAnsi="宋体" w:cs="宋体"/>
          <w:sz w:val="24"/>
          <w:highlight w:val="none"/>
          <w:u w:val="single"/>
        </w:rPr>
      </w:pPr>
    </w:p>
    <w:p w14:paraId="55920F43">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7E33690F">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7D6C954D">
      <w:pPr>
        <w:spacing w:line="360" w:lineRule="auto"/>
        <w:ind w:firstLine="2760" w:firstLineChars="1150"/>
        <w:rPr>
          <w:rFonts w:hint="eastAsia" w:ascii="宋体" w:hAnsi="宋体" w:cs="宋体"/>
          <w:sz w:val="24"/>
          <w:highlight w:val="none"/>
        </w:rPr>
      </w:pPr>
    </w:p>
    <w:p w14:paraId="74BEAC79">
      <w:pPr>
        <w:spacing w:line="360" w:lineRule="auto"/>
        <w:ind w:firstLine="2760" w:firstLineChars="1150"/>
        <w:rPr>
          <w:rFonts w:hint="eastAsia" w:ascii="宋体" w:hAnsi="宋体" w:cs="宋体"/>
          <w:sz w:val="24"/>
          <w:highlight w:val="none"/>
        </w:rPr>
      </w:pPr>
    </w:p>
    <w:p w14:paraId="6CE2937C">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510D1D6B">
      <w:pPr>
        <w:spacing w:line="360" w:lineRule="auto"/>
        <w:jc w:val="center"/>
        <w:rPr>
          <w:rFonts w:hint="eastAsia" w:ascii="宋体" w:hAnsi="宋体" w:cs="宋体"/>
          <w:sz w:val="24"/>
          <w:highlight w:val="none"/>
        </w:rPr>
      </w:pPr>
    </w:p>
    <w:p w14:paraId="64B5F40D">
      <w:pPr>
        <w:spacing w:line="360" w:lineRule="auto"/>
        <w:jc w:val="center"/>
        <w:rPr>
          <w:rFonts w:hint="eastAsia" w:ascii="宋体" w:hAnsi="宋体" w:cs="宋体"/>
          <w:sz w:val="24"/>
          <w:highlight w:val="none"/>
        </w:rPr>
      </w:pPr>
    </w:p>
    <w:p w14:paraId="606FDCDB">
      <w:pPr>
        <w:spacing w:line="360" w:lineRule="auto"/>
        <w:jc w:val="center"/>
        <w:rPr>
          <w:rFonts w:hint="eastAsia" w:ascii="宋体" w:hAnsi="宋体" w:cs="宋体"/>
          <w:sz w:val="24"/>
          <w:highlight w:val="none"/>
        </w:rPr>
      </w:pPr>
    </w:p>
    <w:p w14:paraId="0EE4D5D0">
      <w:pPr>
        <w:spacing w:line="360" w:lineRule="auto"/>
        <w:jc w:val="center"/>
        <w:rPr>
          <w:rFonts w:hint="eastAsia" w:ascii="宋体" w:hAnsi="宋体" w:cs="宋体"/>
          <w:sz w:val="24"/>
          <w:highlight w:val="none"/>
        </w:rPr>
      </w:pPr>
    </w:p>
    <w:p w14:paraId="32DDC86B">
      <w:pPr>
        <w:spacing w:line="360" w:lineRule="auto"/>
        <w:rPr>
          <w:rFonts w:hint="eastAsia" w:ascii="宋体" w:hAnsi="宋体" w:cs="宋体"/>
          <w:sz w:val="24"/>
          <w:highlight w:val="none"/>
        </w:rPr>
      </w:pPr>
    </w:p>
    <w:p w14:paraId="76A22C28">
      <w:pPr>
        <w:spacing w:line="360" w:lineRule="auto"/>
        <w:jc w:val="center"/>
        <w:rPr>
          <w:rFonts w:hint="eastAsia" w:ascii="宋体" w:hAnsi="宋体" w:cs="宋体"/>
          <w:sz w:val="24"/>
          <w:highlight w:val="none"/>
        </w:rPr>
      </w:pPr>
    </w:p>
    <w:p w14:paraId="3E179314">
      <w:pPr>
        <w:spacing w:line="360" w:lineRule="auto"/>
        <w:jc w:val="center"/>
        <w:rPr>
          <w:rFonts w:hint="eastAsia" w:ascii="宋体" w:hAnsi="宋体" w:cs="宋体"/>
          <w:sz w:val="24"/>
          <w:highlight w:val="none"/>
        </w:rPr>
      </w:pPr>
    </w:p>
    <w:p w14:paraId="0AE34AE0">
      <w:pPr>
        <w:spacing w:line="358" w:lineRule="exact"/>
        <w:ind w:firstLine="4320" w:firstLineChars="1800"/>
        <w:jc w:val="both"/>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06C6585">
      <w:pPr>
        <w:spacing w:line="358" w:lineRule="exact"/>
        <w:jc w:val="center"/>
        <w:rPr>
          <w:rFonts w:hint="eastAsia" w:ascii="宋体" w:hAnsi="宋体" w:cs="宋体"/>
          <w:sz w:val="24"/>
          <w:highlight w:val="none"/>
        </w:rPr>
      </w:pPr>
    </w:p>
    <w:p w14:paraId="351CE522">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9228BEF">
      <w:pPr>
        <w:spacing w:line="358" w:lineRule="exact"/>
        <w:rPr>
          <w:rFonts w:hint="eastAsia" w:ascii="宋体" w:hAnsi="宋体" w:cs="宋体"/>
          <w:sz w:val="24"/>
          <w:highlight w:val="none"/>
          <w:u w:val="single"/>
        </w:rPr>
      </w:pPr>
    </w:p>
    <w:p w14:paraId="05101126">
      <w:pPr>
        <w:spacing w:line="358" w:lineRule="exact"/>
        <w:ind w:firstLine="4560" w:firstLineChars="1900"/>
        <w:jc w:val="both"/>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09FD7F6">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rPr>
        <w:t xml:space="preserve"> </w:t>
      </w:r>
    </w:p>
    <w:p w14:paraId="599ACF1A">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43168AC2">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62E06FA2">
      <w:pPr>
        <w:spacing w:line="520" w:lineRule="exact"/>
        <w:ind w:firstLine="240" w:firstLineChars="100"/>
        <w:textAlignment w:val="center"/>
        <w:rPr>
          <w:rFonts w:hint="eastAsia" w:ascii="宋体" w:hAnsi="宋体"/>
          <w:sz w:val="24"/>
          <w:szCs w:val="24"/>
          <w:highlight w:val="none"/>
        </w:rPr>
      </w:pPr>
    </w:p>
    <w:p w14:paraId="740E82A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794F88A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0B31F6D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DC64DBE">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125F19B3">
      <w:pPr>
        <w:spacing w:line="520" w:lineRule="exact"/>
        <w:ind w:firstLine="480" w:firstLineChars="200"/>
        <w:jc w:val="left"/>
        <w:textAlignment w:val="center"/>
        <w:rPr>
          <w:rFonts w:hint="eastAsia" w:ascii="宋体" w:hAnsi="宋体" w:cs="宋体"/>
          <w:sz w:val="24"/>
          <w:highlight w:val="none"/>
          <w:lang w:val="en-US" w:eastAsia="zh-CN"/>
        </w:rPr>
      </w:pPr>
      <w:r>
        <w:rPr>
          <w:rFonts w:hint="eastAsia" w:ascii="宋体" w:hAnsi="宋体" w:cs="宋体"/>
          <w:sz w:val="24"/>
          <w:highlight w:val="none"/>
        </w:rPr>
        <w:t>五、</w:t>
      </w:r>
      <w:r>
        <w:rPr>
          <w:rFonts w:hint="eastAsia" w:ascii="宋体" w:hAnsi="宋体" w:cs="宋体"/>
          <w:sz w:val="24"/>
          <w:highlight w:val="none"/>
          <w:lang w:val="en-US" w:eastAsia="zh-CN"/>
        </w:rPr>
        <w:t>分项报价表</w:t>
      </w:r>
    </w:p>
    <w:p w14:paraId="006E0522">
      <w:pPr>
        <w:spacing w:line="520" w:lineRule="exact"/>
        <w:ind w:firstLine="480" w:firstLineChars="200"/>
        <w:jc w:val="left"/>
        <w:textAlignment w:val="center"/>
        <w:rPr>
          <w:rFonts w:hint="eastAsia" w:ascii="宋体" w:hAnsi="宋体" w:cs="宋体"/>
          <w:sz w:val="24"/>
          <w:highlight w:val="none"/>
        </w:rPr>
      </w:pPr>
      <w:r>
        <w:rPr>
          <w:rFonts w:hint="eastAsia" w:ascii="宋体" w:hAnsi="宋体" w:eastAsia="宋体" w:cs="宋体"/>
          <w:sz w:val="24"/>
          <w:highlight w:val="none"/>
          <w:lang w:val="en-US" w:eastAsia="zh-CN"/>
        </w:rPr>
        <w:t>六、技术规格偏离表</w:t>
      </w:r>
    </w:p>
    <w:p w14:paraId="680CD62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、企业基本情况资料</w:t>
      </w:r>
    </w:p>
    <w:p w14:paraId="60EC70F8">
      <w:pPr>
        <w:spacing w:line="520" w:lineRule="exact"/>
        <w:ind w:firstLine="480" w:firstLineChars="200"/>
        <w:jc w:val="left"/>
        <w:textAlignment w:val="center"/>
        <w:rPr>
          <w:rFonts w:hint="eastAsia" w:ascii="宋体" w:hAnsi="宋体" w:cs="宋体"/>
          <w:sz w:val="24"/>
          <w:highlight w:val="none"/>
          <w:lang w:eastAsia="zh-CN"/>
        </w:rPr>
      </w:pP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w:t>
      </w:r>
      <w:r>
        <w:rPr>
          <w:rFonts w:hint="eastAsia" w:ascii="宋体" w:hAnsi="宋体" w:cs="宋体"/>
          <w:sz w:val="24"/>
          <w:highlight w:val="none"/>
          <w:lang w:eastAsia="zh-CN"/>
        </w:rPr>
        <w:t>技术部分</w:t>
      </w:r>
    </w:p>
    <w:p w14:paraId="24CD5B01">
      <w:pPr>
        <w:spacing w:line="520" w:lineRule="exact"/>
        <w:ind w:firstLine="480" w:firstLineChars="200"/>
        <w:jc w:val="left"/>
        <w:textAlignment w:val="center"/>
        <w:rPr>
          <w:rFonts w:hint="eastAsia" w:ascii="宋体" w:hAnsi="宋体" w:cs="宋体"/>
          <w:sz w:val="24"/>
          <w:highlight w:val="none"/>
          <w:lang w:eastAsia="zh-CN"/>
        </w:rPr>
      </w:pPr>
      <w:r>
        <w:rPr>
          <w:rFonts w:hint="eastAsia" w:ascii="宋体" w:hAnsi="宋体" w:cs="宋体"/>
          <w:sz w:val="24"/>
          <w:highlight w:val="none"/>
          <w:lang w:eastAsia="zh-CN"/>
        </w:rPr>
        <w:t>九、商务部分</w:t>
      </w:r>
    </w:p>
    <w:p w14:paraId="212683AF">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lang w:val="en-US" w:eastAsia="zh-CN"/>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61D69BB1">
      <w:pPr>
        <w:spacing w:line="0" w:lineRule="atLeast"/>
        <w:jc w:val="center"/>
        <w:outlineLvl w:val="0"/>
        <w:rPr>
          <w:rFonts w:hint="eastAsia" w:ascii="宋体" w:hAnsi="宋体" w:cs="宋体"/>
          <w:b/>
          <w:bCs/>
          <w:sz w:val="30"/>
          <w:szCs w:val="30"/>
          <w:highlight w:val="none"/>
        </w:rPr>
      </w:pPr>
      <w:r>
        <w:rPr>
          <w:rFonts w:ascii="宋体" w:hAnsi="宋体"/>
          <w:sz w:val="24"/>
          <w:szCs w:val="24"/>
          <w:highlight w:val="none"/>
        </w:rPr>
        <w:br w:type="page"/>
      </w:r>
      <w:bookmarkStart w:id="674" w:name="_Toc18399"/>
      <w:r>
        <w:rPr>
          <w:rFonts w:hint="eastAsia" w:ascii="宋体" w:hAnsi="宋体" w:cs="宋体"/>
          <w:b/>
          <w:bCs/>
          <w:sz w:val="30"/>
          <w:szCs w:val="30"/>
          <w:highlight w:val="none"/>
        </w:rPr>
        <w:t>一、磋商函及磋商函附录</w:t>
      </w:r>
      <w:bookmarkEnd w:id="674"/>
    </w:p>
    <w:p w14:paraId="3839EF7E">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EC93DD1">
      <w:pPr>
        <w:spacing w:line="0" w:lineRule="atLeast"/>
        <w:jc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7C52FD9F">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027F2DEA">
      <w:pPr>
        <w:spacing w:line="360" w:lineRule="auto"/>
        <w:jc w:val="left"/>
        <w:rPr>
          <w:rFonts w:ascii="宋体" w:hAnsi="宋体" w:eastAsia="宋体" w:cs="宋体"/>
          <w:color w:val="auto"/>
          <w:spacing w:val="24"/>
          <w:sz w:val="24"/>
          <w:szCs w:val="24"/>
          <w:highlight w:val="none"/>
        </w:rPr>
      </w:pPr>
      <w:r>
        <w:rPr>
          <w:rFonts w:hint="eastAsia" w:ascii="宋体" w:hAnsi="宋体" w:eastAsia="宋体" w:cs="宋体"/>
          <w:color w:val="auto"/>
          <w:spacing w:val="24"/>
          <w:sz w:val="24"/>
          <w:szCs w:val="24"/>
          <w:highlight w:val="none"/>
        </w:rPr>
        <w:t>致</w:t>
      </w:r>
      <w:r>
        <w:rPr>
          <w:rFonts w:hint="eastAsia" w:ascii="宋体" w:hAnsi="宋体" w:eastAsia="宋体" w:cs="宋体"/>
          <w:color w:val="auto"/>
          <w:spacing w:val="24"/>
          <w:sz w:val="24"/>
          <w:szCs w:val="24"/>
          <w:highlight w:val="none"/>
          <w:u w:val="single"/>
        </w:rPr>
        <w:t xml:space="preserve">     （采购人）     </w:t>
      </w:r>
      <w:r>
        <w:rPr>
          <w:rFonts w:hint="eastAsia" w:ascii="宋体" w:hAnsi="宋体" w:eastAsia="宋体" w:cs="宋体"/>
          <w:color w:val="auto"/>
          <w:spacing w:val="24"/>
          <w:sz w:val="24"/>
          <w:szCs w:val="24"/>
          <w:highlight w:val="none"/>
        </w:rPr>
        <w:t>：</w:t>
      </w:r>
    </w:p>
    <w:p w14:paraId="550BA2DB">
      <w:pPr>
        <w:spacing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根据已收到贵方的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文件，遵照《中华人民共和国政府采购法》等有关规定，我单位经研究上述</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文件的投标须知、合同条款、技术参数及其它有关文件后，我方愿以人民币（大写）：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元）的投标报价；供货期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,承包上述项目的</w:t>
      </w:r>
      <w:r>
        <w:rPr>
          <w:rFonts w:hint="eastAsia" w:ascii="宋体" w:hAnsi="宋体" w:eastAsia="宋体" w:cs="Arial"/>
          <w:color w:val="auto"/>
          <w:sz w:val="24"/>
          <w:szCs w:val="24"/>
          <w:highlight w:val="none"/>
        </w:rPr>
        <w:t>采购、验收、培训、质保期服务、与货物有关的运输和保险及其他伴随服务</w:t>
      </w:r>
      <w:r>
        <w:rPr>
          <w:rFonts w:hint="eastAsia" w:ascii="宋体" w:hAnsi="宋体" w:eastAsia="宋体" w:cs="宋体"/>
          <w:color w:val="auto"/>
          <w:sz w:val="24"/>
          <w:szCs w:val="24"/>
          <w:highlight w:val="none"/>
          <w:shd w:val="clear" w:color="auto" w:fill="FFFFFF"/>
        </w:rPr>
        <w:t>。</w:t>
      </w:r>
    </w:p>
    <w:p w14:paraId="255250D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1、我方已详细审核全部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文件，包括修改文件（如有）及有关附件，已充分理解并掌握了本招标项目的全部有关情况，认为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文件符合法律、法规的要求，充分体现了公开、公平、公正和诚实信用原则，我方对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文件没有任何异议。同意接受</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文件的全部内容和条件。</w:t>
      </w:r>
    </w:p>
    <w:p w14:paraId="2E8F9F1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2、我方承认</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函附表是我方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函的组成部分。</w:t>
      </w:r>
    </w:p>
    <w:p w14:paraId="3DA0624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3、如我方中标，我方承诺在收到中标通知书后，在中标通知书规定的期限内，根据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文件、我方的投标文件及有关澄清承诺书的要求，与采购人订立书面合同，并按照合同约定承担完成合同的责任和义务。</w:t>
      </w:r>
    </w:p>
    <w:p w14:paraId="70AF7EC0">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我方同意自本项目</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文件中规定的投标有效期内有效，并承诺在投标有效期内不修改、撤销投标文件。</w:t>
      </w:r>
    </w:p>
    <w:p w14:paraId="48A4F2B1">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0"/>
          <w:sz w:val="24"/>
          <w:szCs w:val="24"/>
          <w:highlight w:val="none"/>
        </w:rPr>
        <w:t>我方完全理解贵方不一定接受投标报价最低的供应商为中标供应商的行为。</w:t>
      </w:r>
    </w:p>
    <w:p w14:paraId="270946D2">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我方在此声明，所递交的投标文件及有关资料内容完整、真实和准确。</w:t>
      </w:r>
    </w:p>
    <w:p w14:paraId="04F9FC89">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1E73A59F">
      <w:pPr>
        <w:spacing w:line="700" w:lineRule="exact"/>
        <w:ind w:right="480" w:firstLine="3540" w:firstLineChars="1475"/>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906C4D7">
      <w:pPr>
        <w:wordWrap w:val="0"/>
        <w:spacing w:line="700" w:lineRule="exact"/>
        <w:ind w:firstLine="540"/>
        <w:jc w:val="right"/>
        <w:rPr>
          <w:rFonts w:hint="eastAsia"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C349FFA">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B527462">
      <w:pPr>
        <w:widowControl/>
        <w:jc w:val="left"/>
        <w:rPr>
          <w:rFonts w:hint="eastAsia" w:ascii="宋体" w:hAnsi="宋体" w:cs="宋体"/>
          <w:sz w:val="24"/>
          <w:highlight w:val="none"/>
        </w:rPr>
        <w:sectPr>
          <w:headerReference r:id="rId5" w:type="default"/>
          <w:pgSz w:w="11900" w:h="16838"/>
          <w:pgMar w:top="1077" w:right="1134" w:bottom="1077" w:left="1134" w:header="720" w:footer="720" w:gutter="0"/>
          <w:cols w:space="720" w:num="1"/>
          <w:docGrid w:type="lines" w:linePitch="360" w:charSpace="0"/>
        </w:sectPr>
      </w:pPr>
    </w:p>
    <w:p w14:paraId="3576F03C">
      <w:pPr>
        <w:spacing w:before="312" w:beforeLines="100" w:after="156" w:afterLines="50" w:line="240" w:lineRule="exact"/>
        <w:jc w:val="center"/>
        <w:textAlignment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（二）磋商函附录</w:t>
      </w:r>
    </w:p>
    <w:tbl>
      <w:tblPr>
        <w:tblStyle w:val="18"/>
        <w:tblpPr w:leftFromText="180" w:rightFromText="180" w:vertAnchor="text" w:horzAnchor="page" w:tblpX="1591" w:tblpY="626"/>
        <w:tblOverlap w:val="never"/>
        <w:tblW w:w="8719" w:type="dxa"/>
        <w:tblInd w:w="0" w:type="dxa"/>
        <w:tblLayout w:type="fixed"/>
        <w:tblCellMar>
          <w:top w:w="0" w:type="dxa"/>
          <w:left w:w="0" w:type="dxa"/>
          <w:bottom w:w="0" w:type="dxa"/>
          <w:right w:w="0" w:type="dxa"/>
        </w:tblCellMar>
      </w:tblPr>
      <w:tblGrid>
        <w:gridCol w:w="2227"/>
        <w:gridCol w:w="6492"/>
      </w:tblGrid>
      <w:tr w14:paraId="40DF4A12">
        <w:tblPrEx>
          <w:tblCellMar>
            <w:top w:w="0" w:type="dxa"/>
            <w:left w:w="0" w:type="dxa"/>
            <w:bottom w:w="0" w:type="dxa"/>
            <w:right w:w="0" w:type="dxa"/>
          </w:tblCellMar>
        </w:tblPrEx>
        <w:trPr>
          <w:trHeight w:val="694" w:hRule="atLeast"/>
        </w:trPr>
        <w:tc>
          <w:tcPr>
            <w:tcW w:w="2227" w:type="dxa"/>
            <w:tcBorders>
              <w:top w:val="single" w:color="auto" w:sz="4" w:space="0"/>
              <w:left w:val="single" w:color="auto" w:sz="4" w:space="0"/>
              <w:bottom w:val="single" w:color="auto" w:sz="4" w:space="0"/>
              <w:right w:val="single" w:color="auto" w:sz="4" w:space="0"/>
            </w:tcBorders>
            <w:vAlign w:val="center"/>
          </w:tcPr>
          <w:p w14:paraId="082E06AA">
            <w:pPr>
              <w:autoSpaceDE w:val="0"/>
              <w:autoSpaceDN w:val="0"/>
              <w:spacing w:line="500" w:lineRule="exact"/>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 xml:space="preserve"> </w:t>
            </w:r>
            <w:r>
              <w:rPr>
                <w:rFonts w:hint="eastAsia" w:ascii="宋体" w:hAnsi="宋体" w:eastAsia="宋体" w:cs="Times New Roman"/>
                <w:color w:val="auto"/>
                <w:kern w:val="0"/>
                <w:sz w:val="24"/>
                <w:szCs w:val="24"/>
                <w:highlight w:val="none"/>
              </w:rPr>
              <w:t>项目名称</w:t>
            </w:r>
          </w:p>
        </w:tc>
        <w:tc>
          <w:tcPr>
            <w:tcW w:w="6492" w:type="dxa"/>
            <w:tcBorders>
              <w:top w:val="single" w:color="auto" w:sz="4" w:space="0"/>
              <w:left w:val="nil"/>
              <w:bottom w:val="single" w:color="auto" w:sz="4" w:space="0"/>
              <w:right w:val="single" w:color="auto" w:sz="4" w:space="0"/>
            </w:tcBorders>
            <w:vAlign w:val="center"/>
          </w:tcPr>
          <w:p w14:paraId="0DD4C304">
            <w:pPr>
              <w:autoSpaceDE w:val="0"/>
              <w:autoSpaceDN w:val="0"/>
              <w:spacing w:line="500" w:lineRule="exact"/>
              <w:jc w:val="center"/>
              <w:rPr>
                <w:rFonts w:ascii="宋体" w:hAnsi="宋体" w:eastAsia="宋体" w:cs="Times New Roman"/>
                <w:color w:val="auto"/>
                <w:kern w:val="0"/>
                <w:sz w:val="24"/>
                <w:szCs w:val="24"/>
                <w:highlight w:val="none"/>
              </w:rPr>
            </w:pPr>
          </w:p>
        </w:tc>
      </w:tr>
      <w:tr w14:paraId="4CA25763">
        <w:tblPrEx>
          <w:tblCellMar>
            <w:top w:w="0" w:type="dxa"/>
            <w:left w:w="0" w:type="dxa"/>
            <w:bottom w:w="0" w:type="dxa"/>
            <w:right w:w="0" w:type="dxa"/>
          </w:tblCellMar>
        </w:tblPrEx>
        <w:trPr>
          <w:trHeight w:val="694" w:hRule="atLeast"/>
        </w:trPr>
        <w:tc>
          <w:tcPr>
            <w:tcW w:w="2227" w:type="dxa"/>
            <w:tcBorders>
              <w:top w:val="single" w:color="auto" w:sz="4" w:space="0"/>
              <w:left w:val="single" w:color="auto" w:sz="4" w:space="0"/>
              <w:bottom w:val="single" w:color="auto" w:sz="4" w:space="0"/>
              <w:right w:val="single" w:color="auto" w:sz="4" w:space="0"/>
            </w:tcBorders>
            <w:vAlign w:val="center"/>
          </w:tcPr>
          <w:p w14:paraId="4773C676">
            <w:pPr>
              <w:autoSpaceDE w:val="0"/>
              <w:autoSpaceDN w:val="0"/>
              <w:spacing w:line="500" w:lineRule="exact"/>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标段</w:t>
            </w:r>
          </w:p>
        </w:tc>
        <w:tc>
          <w:tcPr>
            <w:tcW w:w="6492" w:type="dxa"/>
            <w:tcBorders>
              <w:top w:val="single" w:color="auto" w:sz="4" w:space="0"/>
              <w:left w:val="nil"/>
              <w:bottom w:val="single" w:color="auto" w:sz="4" w:space="0"/>
              <w:right w:val="single" w:color="auto" w:sz="4" w:space="0"/>
            </w:tcBorders>
            <w:vAlign w:val="center"/>
          </w:tcPr>
          <w:p w14:paraId="66B83C10">
            <w:pPr>
              <w:autoSpaceDE w:val="0"/>
              <w:autoSpaceDN w:val="0"/>
              <w:spacing w:line="500" w:lineRule="exact"/>
              <w:jc w:val="center"/>
              <w:rPr>
                <w:rFonts w:ascii="宋体" w:hAnsi="宋体" w:eastAsia="宋体" w:cs="Times New Roman"/>
                <w:color w:val="auto"/>
                <w:kern w:val="0"/>
                <w:sz w:val="24"/>
                <w:szCs w:val="24"/>
                <w:highlight w:val="none"/>
              </w:rPr>
            </w:pPr>
          </w:p>
        </w:tc>
      </w:tr>
      <w:tr w14:paraId="24F5D856">
        <w:tblPrEx>
          <w:tblCellMar>
            <w:top w:w="0" w:type="dxa"/>
            <w:left w:w="0" w:type="dxa"/>
            <w:bottom w:w="0" w:type="dxa"/>
            <w:right w:w="0" w:type="dxa"/>
          </w:tblCellMar>
        </w:tblPrEx>
        <w:trPr>
          <w:trHeight w:val="854" w:hRule="atLeast"/>
        </w:trPr>
        <w:tc>
          <w:tcPr>
            <w:tcW w:w="2227" w:type="dxa"/>
            <w:tcBorders>
              <w:top w:val="single" w:color="auto" w:sz="4" w:space="0"/>
              <w:left w:val="single" w:color="auto" w:sz="4" w:space="0"/>
              <w:bottom w:val="single" w:color="auto" w:sz="4" w:space="0"/>
              <w:right w:val="single" w:color="auto" w:sz="4" w:space="0"/>
            </w:tcBorders>
            <w:vAlign w:val="center"/>
          </w:tcPr>
          <w:p w14:paraId="75977CF0">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p>
        </w:tc>
        <w:tc>
          <w:tcPr>
            <w:tcW w:w="6492" w:type="dxa"/>
            <w:tcBorders>
              <w:top w:val="single" w:color="auto" w:sz="4" w:space="0"/>
              <w:left w:val="nil"/>
              <w:bottom w:val="single" w:color="auto" w:sz="4" w:space="0"/>
              <w:right w:val="single" w:color="auto" w:sz="4" w:space="0"/>
            </w:tcBorders>
            <w:vAlign w:val="center"/>
          </w:tcPr>
          <w:p w14:paraId="42C36203">
            <w:pPr>
              <w:autoSpaceDE w:val="0"/>
              <w:autoSpaceDN w:val="0"/>
              <w:spacing w:line="500" w:lineRule="exact"/>
              <w:jc w:val="center"/>
              <w:rPr>
                <w:rFonts w:ascii="宋体" w:hAnsi="宋体" w:eastAsia="宋体" w:cs="Times New Roman"/>
                <w:color w:val="auto"/>
                <w:kern w:val="0"/>
                <w:sz w:val="24"/>
                <w:szCs w:val="24"/>
                <w:highlight w:val="none"/>
              </w:rPr>
            </w:pPr>
          </w:p>
        </w:tc>
      </w:tr>
      <w:tr w14:paraId="09DCF69C">
        <w:tblPrEx>
          <w:tblCellMar>
            <w:top w:w="0" w:type="dxa"/>
            <w:left w:w="0" w:type="dxa"/>
            <w:bottom w:w="0" w:type="dxa"/>
            <w:right w:w="0" w:type="dxa"/>
          </w:tblCellMar>
        </w:tblPrEx>
        <w:trPr>
          <w:trHeight w:val="1324" w:hRule="atLeast"/>
        </w:trPr>
        <w:tc>
          <w:tcPr>
            <w:tcW w:w="2227" w:type="dxa"/>
            <w:tcBorders>
              <w:top w:val="single" w:color="auto" w:sz="4" w:space="0"/>
              <w:left w:val="single" w:color="auto" w:sz="4" w:space="0"/>
              <w:bottom w:val="single" w:color="auto" w:sz="4" w:space="0"/>
              <w:right w:val="single" w:color="auto" w:sz="4" w:space="0"/>
            </w:tcBorders>
            <w:vAlign w:val="center"/>
          </w:tcPr>
          <w:p w14:paraId="6502CA57">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投标报价</w:t>
            </w:r>
          </w:p>
        </w:tc>
        <w:tc>
          <w:tcPr>
            <w:tcW w:w="6492" w:type="dxa"/>
            <w:tcBorders>
              <w:top w:val="single" w:color="auto" w:sz="4" w:space="0"/>
              <w:left w:val="nil"/>
              <w:bottom w:val="single" w:color="auto" w:sz="4" w:space="0"/>
              <w:right w:val="single" w:color="auto" w:sz="4" w:space="0"/>
            </w:tcBorders>
            <w:vAlign w:val="center"/>
          </w:tcPr>
          <w:p w14:paraId="0064F85E">
            <w:pPr>
              <w:autoSpaceDE w:val="0"/>
              <w:autoSpaceDN w:val="0"/>
              <w:spacing w:line="500" w:lineRule="exact"/>
              <w:ind w:firstLine="120" w:firstLineChars="50"/>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人民币（大写）：</w:t>
            </w:r>
          </w:p>
          <w:p w14:paraId="1B033537">
            <w:pPr>
              <w:autoSpaceDE w:val="0"/>
              <w:autoSpaceDN w:val="0"/>
              <w:spacing w:line="500" w:lineRule="exact"/>
              <w:ind w:firstLine="840" w:firstLineChars="35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（小写）：</w:t>
            </w:r>
            <w:r>
              <w:rPr>
                <w:rFonts w:ascii="宋体" w:hAnsi="宋体" w:eastAsia="宋体" w:cs="Times New Roman"/>
                <w:color w:val="auto"/>
                <w:kern w:val="0"/>
                <w:sz w:val="24"/>
                <w:szCs w:val="24"/>
                <w:highlight w:val="none"/>
              </w:rPr>
              <w:t xml:space="preserve"> </w:t>
            </w:r>
          </w:p>
        </w:tc>
      </w:tr>
      <w:tr w14:paraId="57CF4716">
        <w:tblPrEx>
          <w:tblCellMar>
            <w:top w:w="0" w:type="dxa"/>
            <w:left w:w="0" w:type="dxa"/>
            <w:bottom w:w="0" w:type="dxa"/>
            <w:right w:w="0" w:type="dxa"/>
          </w:tblCellMar>
        </w:tblPrEx>
        <w:trPr>
          <w:trHeight w:val="1324" w:hRule="atLeast"/>
        </w:trPr>
        <w:tc>
          <w:tcPr>
            <w:tcW w:w="2227" w:type="dxa"/>
            <w:tcBorders>
              <w:top w:val="single" w:color="auto" w:sz="4" w:space="0"/>
              <w:left w:val="single" w:color="auto" w:sz="4" w:space="0"/>
              <w:bottom w:val="single" w:color="auto" w:sz="4" w:space="0"/>
              <w:right w:val="single" w:color="auto" w:sz="4" w:space="0"/>
            </w:tcBorders>
            <w:vAlign w:val="center"/>
          </w:tcPr>
          <w:p w14:paraId="75C3AAE6">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质量要求</w:t>
            </w:r>
          </w:p>
        </w:tc>
        <w:tc>
          <w:tcPr>
            <w:tcW w:w="6492" w:type="dxa"/>
            <w:tcBorders>
              <w:top w:val="single" w:color="auto" w:sz="4" w:space="0"/>
              <w:left w:val="nil"/>
              <w:bottom w:val="single" w:color="auto" w:sz="4" w:space="0"/>
              <w:right w:val="single" w:color="auto" w:sz="4" w:space="0"/>
            </w:tcBorders>
            <w:vAlign w:val="center"/>
          </w:tcPr>
          <w:p w14:paraId="63156934">
            <w:pPr>
              <w:autoSpaceDE w:val="0"/>
              <w:autoSpaceDN w:val="0"/>
              <w:spacing w:line="500" w:lineRule="exact"/>
              <w:ind w:firstLine="120" w:firstLineChars="50"/>
              <w:rPr>
                <w:rFonts w:ascii="宋体" w:hAnsi="宋体" w:eastAsia="宋体" w:cs="Times New Roman"/>
                <w:color w:val="auto"/>
                <w:kern w:val="0"/>
                <w:sz w:val="24"/>
                <w:szCs w:val="24"/>
                <w:highlight w:val="none"/>
              </w:rPr>
            </w:pPr>
          </w:p>
        </w:tc>
      </w:tr>
      <w:tr w14:paraId="1766DBCF">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2A6055B8">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供货期</w:t>
            </w:r>
          </w:p>
        </w:tc>
        <w:tc>
          <w:tcPr>
            <w:tcW w:w="6492" w:type="dxa"/>
            <w:tcBorders>
              <w:top w:val="single" w:color="auto" w:sz="4" w:space="0"/>
              <w:left w:val="nil"/>
              <w:bottom w:val="single" w:color="auto" w:sz="4" w:space="0"/>
              <w:right w:val="single" w:color="auto" w:sz="4" w:space="0"/>
            </w:tcBorders>
            <w:vAlign w:val="center"/>
          </w:tcPr>
          <w:p w14:paraId="36B29586">
            <w:pPr>
              <w:autoSpaceDE w:val="0"/>
              <w:autoSpaceDN w:val="0"/>
              <w:spacing w:line="500" w:lineRule="exact"/>
              <w:jc w:val="center"/>
              <w:rPr>
                <w:rFonts w:ascii="宋体" w:hAnsi="宋体" w:eastAsia="宋体" w:cs="Times New Roman"/>
                <w:color w:val="auto"/>
                <w:kern w:val="0"/>
                <w:sz w:val="24"/>
                <w:szCs w:val="24"/>
                <w:highlight w:val="none"/>
              </w:rPr>
            </w:pPr>
          </w:p>
        </w:tc>
      </w:tr>
      <w:tr w14:paraId="0D4273EE">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61A083E2">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质保期</w:t>
            </w:r>
          </w:p>
        </w:tc>
        <w:tc>
          <w:tcPr>
            <w:tcW w:w="6492" w:type="dxa"/>
            <w:tcBorders>
              <w:top w:val="single" w:color="auto" w:sz="4" w:space="0"/>
              <w:left w:val="nil"/>
              <w:bottom w:val="single" w:color="auto" w:sz="4" w:space="0"/>
              <w:right w:val="single" w:color="auto" w:sz="4" w:space="0"/>
            </w:tcBorders>
            <w:vAlign w:val="center"/>
          </w:tcPr>
          <w:p w14:paraId="228597B4">
            <w:pPr>
              <w:autoSpaceDE w:val="0"/>
              <w:autoSpaceDN w:val="0"/>
              <w:spacing w:line="500" w:lineRule="exact"/>
              <w:jc w:val="center"/>
              <w:rPr>
                <w:rFonts w:ascii="宋体" w:hAnsi="宋体" w:eastAsia="宋体" w:cs="Times New Roman"/>
                <w:color w:val="auto"/>
                <w:kern w:val="0"/>
                <w:sz w:val="24"/>
                <w:szCs w:val="24"/>
                <w:highlight w:val="none"/>
              </w:rPr>
            </w:pPr>
          </w:p>
        </w:tc>
      </w:tr>
      <w:tr w14:paraId="7AE86FEE">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4ED781B6">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磋商</w:t>
            </w:r>
            <w:r>
              <w:rPr>
                <w:rFonts w:hint="eastAsia" w:ascii="宋体" w:hAnsi="宋体" w:eastAsia="宋体" w:cs="Times New Roman"/>
                <w:color w:val="auto"/>
                <w:kern w:val="0"/>
                <w:sz w:val="24"/>
                <w:szCs w:val="24"/>
                <w:highlight w:val="none"/>
              </w:rPr>
              <w:t>有效期</w:t>
            </w:r>
          </w:p>
        </w:tc>
        <w:tc>
          <w:tcPr>
            <w:tcW w:w="6492" w:type="dxa"/>
            <w:tcBorders>
              <w:top w:val="single" w:color="auto" w:sz="4" w:space="0"/>
              <w:left w:val="nil"/>
              <w:bottom w:val="single" w:color="auto" w:sz="4" w:space="0"/>
              <w:right w:val="single" w:color="auto" w:sz="4" w:space="0"/>
            </w:tcBorders>
            <w:vAlign w:val="center"/>
          </w:tcPr>
          <w:p w14:paraId="4FF8BECA">
            <w:pPr>
              <w:autoSpaceDE w:val="0"/>
              <w:autoSpaceDN w:val="0"/>
              <w:spacing w:line="500" w:lineRule="exact"/>
              <w:jc w:val="center"/>
              <w:rPr>
                <w:rFonts w:ascii="宋体" w:hAnsi="宋体" w:eastAsia="宋体" w:cs="Times New Roman"/>
                <w:color w:val="auto"/>
                <w:kern w:val="0"/>
                <w:sz w:val="24"/>
                <w:szCs w:val="24"/>
                <w:highlight w:val="none"/>
              </w:rPr>
            </w:pPr>
          </w:p>
        </w:tc>
      </w:tr>
      <w:tr w14:paraId="401881AA">
        <w:tblPrEx>
          <w:tblCellMar>
            <w:top w:w="0" w:type="dxa"/>
            <w:left w:w="0" w:type="dxa"/>
            <w:bottom w:w="0" w:type="dxa"/>
            <w:right w:w="0" w:type="dxa"/>
          </w:tblCellMar>
        </w:tblPrEx>
        <w:trPr>
          <w:trHeight w:val="762" w:hRule="atLeast"/>
        </w:trPr>
        <w:tc>
          <w:tcPr>
            <w:tcW w:w="2227" w:type="dxa"/>
            <w:tcBorders>
              <w:top w:val="single" w:color="auto" w:sz="4" w:space="0"/>
              <w:left w:val="single" w:color="auto" w:sz="4" w:space="0"/>
              <w:bottom w:val="single" w:color="auto" w:sz="4" w:space="0"/>
              <w:right w:val="single" w:color="auto" w:sz="4" w:space="0"/>
            </w:tcBorders>
            <w:vAlign w:val="center"/>
          </w:tcPr>
          <w:p w14:paraId="0B0E8705">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  注</w:t>
            </w:r>
          </w:p>
        </w:tc>
        <w:tc>
          <w:tcPr>
            <w:tcW w:w="6492" w:type="dxa"/>
            <w:tcBorders>
              <w:top w:val="single" w:color="auto" w:sz="4" w:space="0"/>
              <w:left w:val="nil"/>
              <w:bottom w:val="single" w:color="auto" w:sz="4" w:space="0"/>
              <w:right w:val="single" w:color="auto" w:sz="4" w:space="0"/>
            </w:tcBorders>
            <w:vAlign w:val="center"/>
          </w:tcPr>
          <w:p w14:paraId="34A6C6F2">
            <w:pPr>
              <w:autoSpaceDE w:val="0"/>
              <w:autoSpaceDN w:val="0"/>
              <w:spacing w:line="500" w:lineRule="exact"/>
              <w:jc w:val="center"/>
              <w:rPr>
                <w:rFonts w:ascii="宋体" w:hAnsi="宋体" w:eastAsia="宋体" w:cs="Times New Roman"/>
                <w:color w:val="auto"/>
                <w:kern w:val="0"/>
                <w:sz w:val="24"/>
                <w:szCs w:val="24"/>
                <w:highlight w:val="none"/>
              </w:rPr>
            </w:pPr>
          </w:p>
        </w:tc>
      </w:tr>
    </w:tbl>
    <w:p w14:paraId="512C95C6">
      <w:pPr>
        <w:spacing w:line="440" w:lineRule="exact"/>
        <w:rPr>
          <w:rFonts w:ascii="宋体" w:hAnsi="宋体" w:cs="宋体"/>
          <w:sz w:val="24"/>
          <w:highlight w:val="none"/>
        </w:rPr>
      </w:pPr>
    </w:p>
    <w:p w14:paraId="03F280BA">
      <w:pPr>
        <w:spacing w:line="440" w:lineRule="exact"/>
        <w:rPr>
          <w:rFonts w:hint="eastAsia" w:ascii="宋体" w:hAnsi="宋体" w:cs="宋体"/>
          <w:sz w:val="24"/>
          <w:highlight w:val="none"/>
        </w:rPr>
      </w:pPr>
    </w:p>
    <w:p w14:paraId="406CB2CB">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0091B36">
      <w:pPr>
        <w:spacing w:line="700" w:lineRule="exact"/>
        <w:rPr>
          <w:rFonts w:hint="eastAsia"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60C84FD9">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0FA0C420">
      <w:pPr>
        <w:spacing w:line="440" w:lineRule="exact"/>
        <w:jc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75" w:name="_Toc30817"/>
      <w:r>
        <w:rPr>
          <w:rFonts w:hint="eastAsia" w:ascii="宋体" w:hAnsi="宋体" w:cs="宋体"/>
          <w:b/>
          <w:bCs/>
          <w:sz w:val="30"/>
          <w:szCs w:val="30"/>
          <w:highlight w:val="none"/>
        </w:rPr>
        <w:t>二、法定代表人身份证明</w:t>
      </w:r>
      <w:bookmarkEnd w:id="675"/>
    </w:p>
    <w:p w14:paraId="27486F4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7B412A">
      <w:pPr>
        <w:spacing w:line="480" w:lineRule="exact"/>
        <w:textAlignment w:val="center"/>
        <w:rPr>
          <w:rFonts w:hint="eastAsia" w:ascii="宋体" w:hAnsi="宋体" w:cs="宋体"/>
          <w:sz w:val="24"/>
          <w:highlight w:val="none"/>
        </w:rPr>
      </w:pPr>
      <w:r>
        <w:rPr>
          <w:rFonts w:hint="eastAsia" w:ascii="宋体" w:hAnsi="宋体" w:cs="宋体"/>
          <w:sz w:val="24"/>
          <w:highlight w:val="none"/>
        </w:rPr>
        <w:t>响 应 人：</w:t>
      </w:r>
    </w:p>
    <w:p w14:paraId="06D9CC4B">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72550C2F">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3A1D81B1">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6F473D55">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77BDDB28">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554E36A5">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04B17956">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（响应人名称）的法定代表人。</w:t>
      </w:r>
    </w:p>
    <w:p w14:paraId="4B480142">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04D5C33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926A4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ED4B67F">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A7E1418">
      <w:pPr>
        <w:spacing w:line="480" w:lineRule="exact"/>
        <w:jc w:val="right"/>
        <w:textAlignment w:val="center"/>
        <w:rPr>
          <w:rFonts w:ascii="宋体" w:hAnsi="宋体" w:cs="宋体"/>
          <w:sz w:val="24"/>
          <w:highlight w:val="none"/>
          <w:u w:val="single"/>
        </w:rPr>
      </w:pPr>
    </w:p>
    <w:p w14:paraId="3A8B4B68">
      <w:pPr>
        <w:spacing w:line="480" w:lineRule="exact"/>
        <w:jc w:val="right"/>
        <w:textAlignment w:val="center"/>
        <w:rPr>
          <w:rFonts w:hint="eastAsia" w:ascii="宋体" w:hAnsi="宋体" w:cs="宋体"/>
          <w:sz w:val="24"/>
          <w:highlight w:val="none"/>
        </w:rPr>
      </w:pPr>
      <w:r>
        <w:rPr>
          <w:rFonts w:hint="eastAsia" w:ascii="宋体" w:hAnsi="宋体" w:cs="宋体"/>
          <w:sz w:val="24"/>
          <w:highlight w:val="none"/>
        </w:rPr>
        <w:t xml:space="preserve">年   月   日          </w:t>
      </w:r>
    </w:p>
    <w:p w14:paraId="32E1C66F">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652B61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CB673D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E2C2EBA">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B6C55F8">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C027B2C">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1B72DC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61C500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B75551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04BBF07">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9FD748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579CBAB5">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F95DA2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4AFECA10">
      <w:pPr>
        <w:spacing w:before="312" w:beforeLines="100" w:after="156" w:afterLines="5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76" w:name="_Toc13754"/>
      <w:r>
        <w:rPr>
          <w:rFonts w:hint="eastAsia" w:ascii="宋体" w:hAnsi="宋体" w:cs="宋体"/>
          <w:b/>
          <w:bCs/>
          <w:sz w:val="30"/>
          <w:szCs w:val="30"/>
          <w:highlight w:val="none"/>
        </w:rPr>
        <w:t>三、授权委托书</w:t>
      </w:r>
      <w:bookmarkEnd w:id="676"/>
    </w:p>
    <w:p w14:paraId="3ECF87F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73105CFB">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（响应人名称）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F5048F8">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1078CF2B">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7C78DF74">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159CFE9">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：（盖章）</w:t>
      </w:r>
    </w:p>
    <w:p w14:paraId="2BDE2E54">
      <w:pPr>
        <w:spacing w:line="480" w:lineRule="exact"/>
        <w:textAlignment w:val="center"/>
        <w:rPr>
          <w:rFonts w:ascii="宋体" w:hAnsi="宋体" w:cs="宋体"/>
          <w:sz w:val="24"/>
          <w:szCs w:val="24"/>
          <w:highlight w:val="none"/>
        </w:rPr>
      </w:pPr>
    </w:p>
    <w:p w14:paraId="44BF55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法定代表人：（签字或盖章）</w:t>
      </w:r>
    </w:p>
    <w:p w14:paraId="5BD349B1">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2C833D31">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24C781FA">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BE30DCC">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3041FA7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684D0247">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22C196BF">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01C76A9C">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4E5A255">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6689BC21">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3C40DFD5">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p>
    <w:p w14:paraId="1170D2B8">
      <w:pPr>
        <w:keepNext/>
        <w:keepLines/>
        <w:numPr>
          <w:ilvl w:val="0"/>
          <w:numId w:val="0"/>
        </w:numPr>
        <w:spacing w:before="60" w:after="60"/>
        <w:ind w:left="0" w:leftChars="0" w:firstLine="0" w:firstLineChars="0"/>
        <w:jc w:val="center"/>
        <w:outlineLvl w:val="0"/>
        <w:rPr>
          <w:rFonts w:ascii="宋体" w:hAnsi="宋体" w:cs="宋体"/>
          <w:b/>
          <w:sz w:val="30"/>
          <w:szCs w:val="30"/>
          <w:highlight w:val="none"/>
        </w:rPr>
      </w:pPr>
      <w:r>
        <w:rPr>
          <w:rFonts w:hint="eastAsia" w:ascii="宋体" w:hAnsi="宋体" w:cs="宋体"/>
          <w:b/>
          <w:sz w:val="30"/>
          <w:szCs w:val="30"/>
          <w:highlight w:val="none"/>
        </w:rPr>
        <w:br w:type="page"/>
      </w:r>
      <w:bookmarkStart w:id="677" w:name="_Toc31750"/>
      <w:r>
        <w:rPr>
          <w:rFonts w:hint="eastAsia" w:ascii="宋体" w:hAnsi="宋体" w:cs="宋体"/>
          <w:b/>
          <w:sz w:val="30"/>
          <w:szCs w:val="30"/>
          <w:highlight w:val="none"/>
          <w:lang w:val="en-US" w:eastAsia="zh-CN"/>
        </w:rPr>
        <w:t>四、</w:t>
      </w:r>
      <w:r>
        <w:rPr>
          <w:rFonts w:hint="eastAsia" w:ascii="宋体" w:hAnsi="宋体" w:cs="宋体"/>
          <w:b/>
          <w:sz w:val="30"/>
          <w:szCs w:val="30"/>
          <w:highlight w:val="none"/>
        </w:rPr>
        <w:t>磋商承诺函</w:t>
      </w:r>
      <w:bookmarkEnd w:id="677"/>
    </w:p>
    <w:p w14:paraId="2ED25F7A">
      <w:pPr>
        <w:spacing w:line="360" w:lineRule="auto"/>
        <w:ind w:firstLine="480" w:firstLineChars="200"/>
        <w:rPr>
          <w:rFonts w:ascii="宋体" w:hAnsi="宋体"/>
          <w:sz w:val="24"/>
          <w:szCs w:val="24"/>
          <w:highlight w:val="none"/>
        </w:rPr>
      </w:pPr>
      <w:r>
        <w:rPr>
          <w:rFonts w:hint="eastAsia" w:ascii="宋体" w:hAnsi="宋体"/>
          <w:sz w:val="24"/>
          <w:szCs w:val="24"/>
          <w:highlight w:val="none"/>
        </w:rPr>
        <w:t>致（招标人及招标代理机构）：</w:t>
      </w:r>
    </w:p>
    <w:p w14:paraId="7FA4D082">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我公司作为本次磋商项目的响应人，根据竞争性磋商文件要求，现郑重承诺如下：</w:t>
      </w:r>
    </w:p>
    <w:p w14:paraId="021917A4">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6322C0F1">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7BA58098">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773F5936">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767BCFA3">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五、响应人参加本次磋商活动要求在近三年内响应人和其法定代表人没有行贿犯罪行为。</w:t>
      </w:r>
    </w:p>
    <w:p w14:paraId="5ABA46F8">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0E64C69F">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18C2ADE5">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6B18F163">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08BDF173">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703088F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（二）在招标人确定中标人以前放弃中标候选资格的；</w:t>
      </w:r>
    </w:p>
    <w:p w14:paraId="4FF62E7D">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（三）由于中标人的原因未能按照竞争性磋商文件的规定与招标人签订合同；</w:t>
      </w:r>
    </w:p>
    <w:p w14:paraId="37C58925">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48E6F97E">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321C1AC5">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（六）与招标人、其他响应人或者招标代理机构恶意串通的；</w:t>
      </w:r>
    </w:p>
    <w:p w14:paraId="1B7F15F6">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（七）磋商有效期内，响应人在政府采购活动中有违法、违规、违纪行为。</w:t>
      </w:r>
    </w:p>
    <w:p w14:paraId="202FA458">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2B936CEE">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7AED7A55">
      <w:pPr>
        <w:spacing w:line="360" w:lineRule="auto"/>
        <w:ind w:firstLine="480" w:firstLineChars="200"/>
        <w:rPr>
          <w:rFonts w:ascii="宋体" w:hAnsi="宋体"/>
          <w:sz w:val="24"/>
          <w:szCs w:val="24"/>
          <w:highlight w:val="none"/>
        </w:rPr>
      </w:pPr>
    </w:p>
    <w:p w14:paraId="08725E34">
      <w:pPr>
        <w:snapToGrid w:val="0"/>
        <w:spacing w:line="360" w:lineRule="auto"/>
        <w:rPr>
          <w:kern w:val="0"/>
          <w:sz w:val="24"/>
          <w:szCs w:val="24"/>
          <w:highlight w:val="none"/>
        </w:rPr>
      </w:pPr>
    </w:p>
    <w:p w14:paraId="6B3BDA98">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名称：（盖章）</w:t>
      </w:r>
    </w:p>
    <w:p w14:paraId="2C6767A9">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w:t>
      </w:r>
    </w:p>
    <w:p w14:paraId="4AE6CC51">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3372EB4">
      <w:pPr>
        <w:spacing w:line="460" w:lineRule="exact"/>
        <w:ind w:firstLine="480" w:firstLineChars="200"/>
        <w:rPr>
          <w:rFonts w:hint="eastAsia" w:ascii="宋体" w:hAnsi="宋体" w:cs="宋体"/>
          <w:sz w:val="24"/>
          <w:highlight w:val="none"/>
        </w:rPr>
      </w:pPr>
    </w:p>
    <w:p w14:paraId="2720FBA8">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024EF96">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507158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F57714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7EB3B3F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082A84D">
      <w:pPr>
        <w:spacing w:before="312" w:beforeLines="100" w:after="156" w:afterLines="50" w:line="480" w:lineRule="exact"/>
        <w:jc w:val="center"/>
        <w:textAlignment w:val="center"/>
        <w:rPr>
          <w:rFonts w:hint="eastAsia" w:ascii="宋体" w:hAnsi="宋体" w:cs="宋体"/>
          <w:b/>
          <w:bCs/>
          <w:sz w:val="24"/>
          <w:highlight w:val="none"/>
        </w:rPr>
      </w:pPr>
    </w:p>
    <w:p w14:paraId="6BBF2A02">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A5D0B1D">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C4BB63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83ABBA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DBBA055">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879831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DDF3FE">
      <w:pPr>
        <w:spacing w:before="312" w:beforeLines="100" w:after="156" w:afterLines="50" w:line="480" w:lineRule="exact"/>
        <w:jc w:val="center"/>
        <w:textAlignment w:val="center"/>
        <w:rPr>
          <w:rFonts w:ascii="宋体" w:hAnsi="宋体" w:cs="宋体"/>
          <w:b/>
          <w:bCs/>
          <w:sz w:val="30"/>
          <w:szCs w:val="30"/>
          <w:highlight w:val="none"/>
        </w:rPr>
      </w:pPr>
    </w:p>
    <w:p w14:paraId="24C5A616">
      <w:pPr>
        <w:spacing w:before="312" w:beforeLines="100" w:after="156" w:afterLines="50" w:line="480" w:lineRule="exact"/>
        <w:jc w:val="center"/>
        <w:textAlignment w:val="center"/>
        <w:outlineLvl w:val="0"/>
        <w:rPr>
          <w:rFonts w:hint="eastAsia" w:ascii="宋体" w:hAnsi="宋体" w:cs="宋体"/>
          <w:sz w:val="24"/>
          <w:highlight w:val="none"/>
        </w:rPr>
      </w:pPr>
      <w:bookmarkStart w:id="678" w:name="_Toc11599"/>
      <w:r>
        <w:rPr>
          <w:rFonts w:hint="eastAsia" w:ascii="宋体" w:hAnsi="宋体" w:cs="宋体"/>
          <w:b/>
          <w:bCs/>
          <w:sz w:val="30"/>
          <w:szCs w:val="30"/>
          <w:highlight w:val="none"/>
        </w:rPr>
        <w:t>五、</w:t>
      </w:r>
      <w:r>
        <w:rPr>
          <w:rFonts w:hint="eastAsia" w:ascii="宋体" w:hAnsi="宋体" w:cs="宋体"/>
          <w:b/>
          <w:bCs/>
          <w:sz w:val="30"/>
          <w:szCs w:val="30"/>
          <w:highlight w:val="none"/>
          <w:lang w:val="en-US" w:eastAsia="zh-CN"/>
        </w:rPr>
        <w:t>分项报价表</w:t>
      </w:r>
      <w:bookmarkEnd w:id="678"/>
    </w:p>
    <w:tbl>
      <w:tblPr>
        <w:tblStyle w:val="19"/>
        <w:tblW w:w="11550" w:type="dxa"/>
        <w:tblInd w:w="-1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46"/>
        <w:gridCol w:w="4391"/>
        <w:gridCol w:w="722"/>
        <w:gridCol w:w="764"/>
        <w:gridCol w:w="1214"/>
        <w:gridCol w:w="1186"/>
        <w:gridCol w:w="750"/>
      </w:tblGrid>
      <w:tr w14:paraId="3128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0FD7ACD5">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序号</w:t>
            </w:r>
          </w:p>
        </w:tc>
        <w:tc>
          <w:tcPr>
            <w:tcW w:w="1746" w:type="dxa"/>
          </w:tcPr>
          <w:p w14:paraId="48D5F764">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产品名称</w:t>
            </w:r>
          </w:p>
        </w:tc>
        <w:tc>
          <w:tcPr>
            <w:tcW w:w="4391" w:type="dxa"/>
          </w:tcPr>
          <w:p w14:paraId="57498A38">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规格/型号</w:t>
            </w:r>
          </w:p>
        </w:tc>
        <w:tc>
          <w:tcPr>
            <w:tcW w:w="722" w:type="dxa"/>
          </w:tcPr>
          <w:p w14:paraId="61ED345D">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单位</w:t>
            </w:r>
          </w:p>
        </w:tc>
        <w:tc>
          <w:tcPr>
            <w:tcW w:w="764" w:type="dxa"/>
          </w:tcPr>
          <w:p w14:paraId="7C22C44C">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数量</w:t>
            </w:r>
          </w:p>
        </w:tc>
        <w:tc>
          <w:tcPr>
            <w:tcW w:w="1214" w:type="dxa"/>
          </w:tcPr>
          <w:p w14:paraId="0B3A5D38">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单价（元）</w:t>
            </w:r>
          </w:p>
        </w:tc>
        <w:tc>
          <w:tcPr>
            <w:tcW w:w="1186" w:type="dxa"/>
          </w:tcPr>
          <w:p w14:paraId="4B3D9D14">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总价（元）</w:t>
            </w:r>
          </w:p>
        </w:tc>
        <w:tc>
          <w:tcPr>
            <w:tcW w:w="750" w:type="dxa"/>
          </w:tcPr>
          <w:p w14:paraId="16BE76F0">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备注</w:t>
            </w:r>
          </w:p>
        </w:tc>
      </w:tr>
      <w:tr w14:paraId="305F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7071CEB0">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w:t>
            </w:r>
          </w:p>
        </w:tc>
        <w:tc>
          <w:tcPr>
            <w:tcW w:w="1746" w:type="dxa"/>
            <w:vAlign w:val="center"/>
          </w:tcPr>
          <w:p w14:paraId="41CC812F">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制冷冷凝机组</w:t>
            </w:r>
          </w:p>
        </w:tc>
        <w:tc>
          <w:tcPr>
            <w:tcW w:w="4391" w:type="dxa"/>
            <w:vAlign w:val="center"/>
          </w:tcPr>
          <w:p w14:paraId="6C742BF4">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1. 制冷机组25HP,机组包含压缩机，风冷冷凝器，储液器，压力表，过滤器，压力控制，油分离器，避震管，冷凝电机，机架等，额定功率20KW，机油型号3GS，制冷量37KW，最大运行电流45A.冷凝器换热面积260㎡。   </w:t>
            </w:r>
          </w:p>
          <w:p w14:paraId="6057484B">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2.包含设备安装、调试、运输费用     </w:t>
            </w:r>
          </w:p>
        </w:tc>
        <w:tc>
          <w:tcPr>
            <w:tcW w:w="722" w:type="dxa"/>
            <w:vAlign w:val="center"/>
          </w:tcPr>
          <w:p w14:paraId="546F44C3">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套</w:t>
            </w:r>
          </w:p>
        </w:tc>
        <w:tc>
          <w:tcPr>
            <w:tcW w:w="764" w:type="dxa"/>
            <w:vAlign w:val="center"/>
          </w:tcPr>
          <w:p w14:paraId="4C02BB1C">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w:t>
            </w:r>
          </w:p>
        </w:tc>
        <w:tc>
          <w:tcPr>
            <w:tcW w:w="1214" w:type="dxa"/>
            <w:vAlign w:val="center"/>
          </w:tcPr>
          <w:p w14:paraId="22332E6A">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1186" w:type="dxa"/>
            <w:vAlign w:val="center"/>
          </w:tcPr>
          <w:p w14:paraId="768E6850">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750" w:type="dxa"/>
            <w:vAlign w:val="center"/>
          </w:tcPr>
          <w:p w14:paraId="773A5B37">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4478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4AC1630">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w:t>
            </w:r>
          </w:p>
        </w:tc>
        <w:tc>
          <w:tcPr>
            <w:tcW w:w="1746" w:type="dxa"/>
            <w:vAlign w:val="center"/>
          </w:tcPr>
          <w:p w14:paraId="7AEF1F88">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冷风机</w:t>
            </w:r>
          </w:p>
        </w:tc>
        <w:tc>
          <w:tcPr>
            <w:tcW w:w="4391" w:type="dxa"/>
            <w:vAlign w:val="center"/>
          </w:tcPr>
          <w:p w14:paraId="6266C402">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1.DD160</w:t>
            </w:r>
          </w:p>
          <w:p w14:paraId="121D3F00">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2.采用国内知名品牌自带热保护；铜管加铝翅片制成，片距≥6mm，换热面积≥库房面积的两倍；</w:t>
            </w:r>
          </w:p>
          <w:p w14:paraId="173D1077">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3.外壳材质：镀铝锌板；化霜方式：水冲霜；高配 </w:t>
            </w:r>
          </w:p>
          <w:p w14:paraId="57484ECE">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4.包含设备安装、调试、运输费用 </w:t>
            </w:r>
          </w:p>
        </w:tc>
        <w:tc>
          <w:tcPr>
            <w:tcW w:w="722" w:type="dxa"/>
            <w:vAlign w:val="center"/>
          </w:tcPr>
          <w:p w14:paraId="5DA077A1">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台</w:t>
            </w:r>
          </w:p>
        </w:tc>
        <w:tc>
          <w:tcPr>
            <w:tcW w:w="764" w:type="dxa"/>
            <w:vAlign w:val="center"/>
          </w:tcPr>
          <w:p w14:paraId="665A451E">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4</w:t>
            </w:r>
          </w:p>
        </w:tc>
        <w:tc>
          <w:tcPr>
            <w:tcW w:w="1214" w:type="dxa"/>
            <w:vAlign w:val="center"/>
          </w:tcPr>
          <w:p w14:paraId="3FBDF80E">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1186" w:type="dxa"/>
            <w:vAlign w:val="center"/>
          </w:tcPr>
          <w:p w14:paraId="00117E09">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750" w:type="dxa"/>
            <w:vAlign w:val="center"/>
          </w:tcPr>
          <w:p w14:paraId="1B8F7555">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07B6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97465FE">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3</w:t>
            </w:r>
          </w:p>
        </w:tc>
        <w:tc>
          <w:tcPr>
            <w:tcW w:w="1746" w:type="dxa"/>
            <w:vAlign w:val="center"/>
          </w:tcPr>
          <w:p w14:paraId="3B84157F">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离心式风幕机</w:t>
            </w:r>
          </w:p>
        </w:tc>
        <w:tc>
          <w:tcPr>
            <w:tcW w:w="4391" w:type="dxa"/>
            <w:vAlign w:val="center"/>
          </w:tcPr>
          <w:p w14:paraId="0E3A8FE2">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1.3000型、功率1.1KW</w:t>
            </w:r>
          </w:p>
          <w:p w14:paraId="79A3274D">
            <w:p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 xml:space="preserve">2.包含设备安装、调试、运输费用  </w:t>
            </w:r>
          </w:p>
        </w:tc>
        <w:tc>
          <w:tcPr>
            <w:tcW w:w="722" w:type="dxa"/>
            <w:vAlign w:val="center"/>
          </w:tcPr>
          <w:p w14:paraId="2B1D6A16">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台</w:t>
            </w:r>
          </w:p>
        </w:tc>
        <w:tc>
          <w:tcPr>
            <w:tcW w:w="764" w:type="dxa"/>
            <w:vAlign w:val="center"/>
          </w:tcPr>
          <w:p w14:paraId="3AF9F02F">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w:t>
            </w:r>
          </w:p>
        </w:tc>
        <w:tc>
          <w:tcPr>
            <w:tcW w:w="1214" w:type="dxa"/>
            <w:vAlign w:val="center"/>
          </w:tcPr>
          <w:p w14:paraId="73C8AB7D">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1186" w:type="dxa"/>
            <w:vAlign w:val="center"/>
          </w:tcPr>
          <w:p w14:paraId="0FFB2659">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750" w:type="dxa"/>
            <w:vAlign w:val="center"/>
          </w:tcPr>
          <w:p w14:paraId="549C8B8A">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5E17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5040EE07">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4</w:t>
            </w:r>
          </w:p>
        </w:tc>
        <w:tc>
          <w:tcPr>
            <w:tcW w:w="1746" w:type="dxa"/>
            <w:vAlign w:val="center"/>
          </w:tcPr>
          <w:p w14:paraId="7AB0F2EE">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变压器</w:t>
            </w:r>
          </w:p>
        </w:tc>
        <w:tc>
          <w:tcPr>
            <w:tcW w:w="4391" w:type="dxa"/>
            <w:vAlign w:val="center"/>
          </w:tcPr>
          <w:p w14:paraId="1032F7A9">
            <w:pPr>
              <w:numPr>
                <w:ilvl w:val="0"/>
                <w:numId w:val="0"/>
              </w:num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1.变压器</w:t>
            </w:r>
          </w:p>
          <w:p w14:paraId="40432941">
            <w:pPr>
              <w:numPr>
                <w:ilvl w:val="0"/>
                <w:numId w:val="0"/>
              </w:numPr>
              <w:spacing w:line="360" w:lineRule="auto"/>
              <w:jc w:val="left"/>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2.S13-100KVA</w:t>
            </w:r>
          </w:p>
        </w:tc>
        <w:tc>
          <w:tcPr>
            <w:tcW w:w="722" w:type="dxa"/>
            <w:vAlign w:val="center"/>
          </w:tcPr>
          <w:p w14:paraId="5E57E625">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台</w:t>
            </w:r>
          </w:p>
        </w:tc>
        <w:tc>
          <w:tcPr>
            <w:tcW w:w="764" w:type="dxa"/>
            <w:vAlign w:val="center"/>
          </w:tcPr>
          <w:p w14:paraId="2E666873">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1</w:t>
            </w:r>
          </w:p>
        </w:tc>
        <w:tc>
          <w:tcPr>
            <w:tcW w:w="1214" w:type="dxa"/>
            <w:vAlign w:val="center"/>
          </w:tcPr>
          <w:p w14:paraId="1C503528">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1186" w:type="dxa"/>
            <w:vAlign w:val="center"/>
          </w:tcPr>
          <w:p w14:paraId="046914CD">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750" w:type="dxa"/>
            <w:vAlign w:val="center"/>
          </w:tcPr>
          <w:p w14:paraId="536A0E96">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r w14:paraId="5D5D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59C0D47">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5</w:t>
            </w:r>
          </w:p>
        </w:tc>
        <w:tc>
          <w:tcPr>
            <w:tcW w:w="1746" w:type="dxa"/>
            <w:vAlign w:val="center"/>
          </w:tcPr>
          <w:p w14:paraId="5287929C">
            <w:pPr>
              <w:spacing w:line="360" w:lineRule="auto"/>
              <w:jc w:val="center"/>
              <w:rPr>
                <w:rFonts w:hint="default" w:asciiTheme="minorEastAsia" w:hAnsiTheme="minorEastAsia" w:eastAsiaTheme="minorEastAsia" w:cstheme="minorEastAsia"/>
                <w:sz w:val="24"/>
                <w:szCs w:val="24"/>
                <w:highlight w:val="none"/>
                <w:vertAlign w:val="baseline"/>
                <w:lang w:val="en-US" w:eastAsia="zh-CN" w:bidi="ar"/>
              </w:rPr>
            </w:pPr>
            <w:r>
              <w:rPr>
                <w:rFonts w:hint="eastAsia" w:asciiTheme="minorEastAsia" w:hAnsiTheme="minorEastAsia" w:eastAsiaTheme="minorEastAsia" w:cstheme="minorEastAsia"/>
                <w:sz w:val="24"/>
                <w:szCs w:val="24"/>
                <w:highlight w:val="none"/>
                <w:vertAlign w:val="baseline"/>
                <w:lang w:val="en-US" w:eastAsia="zh-CN" w:bidi="ar"/>
              </w:rPr>
              <w:t>合计</w:t>
            </w:r>
          </w:p>
        </w:tc>
        <w:tc>
          <w:tcPr>
            <w:tcW w:w="4391" w:type="dxa"/>
            <w:vAlign w:val="center"/>
          </w:tcPr>
          <w:p w14:paraId="4DBC70F0">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722" w:type="dxa"/>
            <w:vAlign w:val="center"/>
          </w:tcPr>
          <w:p w14:paraId="27CBD625">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764" w:type="dxa"/>
            <w:vAlign w:val="center"/>
          </w:tcPr>
          <w:p w14:paraId="11C2AA41">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1214" w:type="dxa"/>
            <w:vAlign w:val="center"/>
          </w:tcPr>
          <w:p w14:paraId="5BBD0765">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1186" w:type="dxa"/>
            <w:vAlign w:val="center"/>
          </w:tcPr>
          <w:p w14:paraId="3875D0BC">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c>
          <w:tcPr>
            <w:tcW w:w="750" w:type="dxa"/>
            <w:vAlign w:val="center"/>
          </w:tcPr>
          <w:p w14:paraId="6380183B">
            <w:pPr>
              <w:spacing w:line="360" w:lineRule="auto"/>
              <w:jc w:val="center"/>
              <w:rPr>
                <w:rFonts w:hint="eastAsia" w:asciiTheme="minorEastAsia" w:hAnsiTheme="minorEastAsia" w:eastAsiaTheme="minorEastAsia" w:cstheme="minorEastAsia"/>
                <w:sz w:val="24"/>
                <w:szCs w:val="24"/>
                <w:highlight w:val="none"/>
                <w:vertAlign w:val="baseline"/>
                <w:lang w:val="en-US" w:eastAsia="zh-CN" w:bidi="ar"/>
              </w:rPr>
            </w:pPr>
          </w:p>
        </w:tc>
      </w:tr>
    </w:tbl>
    <w:p w14:paraId="1F454408">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注：如表格不足时</w:t>
      </w:r>
      <w:r>
        <w:rPr>
          <w:rFonts w:hint="eastAsia" w:ascii="宋体" w:hAnsi="宋体" w:cs="宋体"/>
          <w:sz w:val="24"/>
          <w:szCs w:val="24"/>
          <w:lang w:eastAsia="zh-CN"/>
        </w:rPr>
        <w:t>供应商</w:t>
      </w:r>
      <w:r>
        <w:rPr>
          <w:rFonts w:hint="eastAsia" w:ascii="宋体" w:hAnsi="宋体" w:eastAsia="宋体" w:cs="宋体"/>
          <w:sz w:val="24"/>
          <w:szCs w:val="24"/>
        </w:rPr>
        <w:t>可根据需要自行添加。</w:t>
      </w:r>
    </w:p>
    <w:p w14:paraId="7FD68E08">
      <w:pPr>
        <w:numPr>
          <w:ilvl w:val="0"/>
          <w:numId w:val="8"/>
        </w:num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投标费用包括项目实施所需的人工费、服务费、运输费、安装调试费、购买及制作标书费、税费及其他一切费用。</w:t>
      </w:r>
    </w:p>
    <w:p w14:paraId="3D4C5AA6">
      <w:pPr>
        <w:spacing w:before="312" w:beforeLines="100" w:after="156" w:afterLines="50" w:line="480" w:lineRule="exact"/>
        <w:jc w:val="both"/>
        <w:textAlignment w:val="center"/>
        <w:rPr>
          <w:rFonts w:hint="eastAsia" w:ascii="宋体" w:hAnsi="宋体" w:cs="宋体"/>
          <w:b/>
          <w:bCs/>
          <w:sz w:val="24"/>
          <w:highlight w:val="none"/>
        </w:rPr>
      </w:pPr>
    </w:p>
    <w:p w14:paraId="79C1AC0D">
      <w:pPr>
        <w:spacing w:line="360" w:lineRule="auto"/>
        <w:ind w:firstLine="480" w:firstLineChars="200"/>
        <w:rPr>
          <w:rFonts w:ascii="宋体" w:hAnsi="宋体"/>
          <w:sz w:val="24"/>
          <w:szCs w:val="24"/>
          <w:highlight w:val="none"/>
        </w:rPr>
      </w:pPr>
      <w:r>
        <w:rPr>
          <w:rFonts w:hint="eastAsia" w:ascii="宋体" w:hAnsi="宋体" w:cs="宋体"/>
          <w:sz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名称：（盖章）</w:t>
      </w:r>
    </w:p>
    <w:p w14:paraId="6D682BB1">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w:t>
      </w:r>
    </w:p>
    <w:p w14:paraId="37E0A4FF">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5B98F518">
      <w:pPr>
        <w:jc w:val="both"/>
        <w:outlineLvl w:val="0"/>
        <w:rPr>
          <w:rFonts w:hint="eastAsia" w:ascii="宋体" w:hAnsi="宋体" w:eastAsia="宋体" w:cs="宋体"/>
          <w:b/>
          <w:bCs/>
          <w:color w:val="auto"/>
          <w:sz w:val="28"/>
          <w:szCs w:val="28"/>
          <w:highlight w:val="none"/>
          <w:lang w:val="en-US" w:eastAsia="zh-CN"/>
        </w:rPr>
      </w:pPr>
      <w:bookmarkStart w:id="679" w:name="_Toc20313"/>
    </w:p>
    <w:p w14:paraId="756D3FB9">
      <w:pPr>
        <w:jc w:val="center"/>
        <w:outlineLvl w:val="0"/>
        <w:rPr>
          <w:rFonts w:ascii="Times New Roman" w:hAnsi="Times New Roman" w:eastAsia="宋体" w:cs="Arial"/>
          <w:b/>
          <w:bCs/>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、技术规格偏离表</w:t>
      </w:r>
      <w:bookmarkEnd w:id="679"/>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09"/>
        <w:gridCol w:w="2977"/>
        <w:gridCol w:w="2479"/>
        <w:gridCol w:w="1281"/>
        <w:gridCol w:w="923"/>
      </w:tblGrid>
      <w:tr w14:paraId="3C51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CE234D0">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9" w:type="dxa"/>
            <w:tcBorders>
              <w:top w:val="single" w:color="auto" w:sz="4" w:space="0"/>
              <w:left w:val="nil"/>
              <w:bottom w:val="single" w:color="auto" w:sz="4" w:space="0"/>
              <w:right w:val="single" w:color="auto" w:sz="4" w:space="0"/>
            </w:tcBorders>
            <w:vAlign w:val="center"/>
          </w:tcPr>
          <w:p w14:paraId="7B1F7289">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977" w:type="dxa"/>
            <w:tcBorders>
              <w:top w:val="single" w:color="auto" w:sz="4" w:space="0"/>
              <w:left w:val="nil"/>
              <w:bottom w:val="single" w:color="auto" w:sz="4" w:space="0"/>
              <w:right w:val="single" w:color="auto" w:sz="4" w:space="0"/>
            </w:tcBorders>
            <w:vAlign w:val="center"/>
          </w:tcPr>
          <w:p w14:paraId="3AD3863B">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文件要求规格或参数</w:t>
            </w:r>
          </w:p>
        </w:tc>
        <w:tc>
          <w:tcPr>
            <w:tcW w:w="2479" w:type="dxa"/>
            <w:tcBorders>
              <w:top w:val="single" w:color="auto" w:sz="4" w:space="0"/>
              <w:left w:val="nil"/>
              <w:bottom w:val="single" w:color="auto" w:sz="4" w:space="0"/>
              <w:right w:val="single" w:color="auto" w:sz="4" w:space="0"/>
            </w:tcBorders>
            <w:vAlign w:val="center"/>
          </w:tcPr>
          <w:p w14:paraId="385BB730">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投标货物规格或参数</w:t>
            </w:r>
          </w:p>
        </w:tc>
        <w:tc>
          <w:tcPr>
            <w:tcW w:w="1281" w:type="dxa"/>
            <w:tcBorders>
              <w:top w:val="single" w:color="auto" w:sz="4" w:space="0"/>
              <w:left w:val="nil"/>
              <w:bottom w:val="single" w:color="auto" w:sz="4" w:space="0"/>
              <w:right w:val="single" w:color="auto" w:sz="4" w:space="0"/>
            </w:tcBorders>
            <w:vAlign w:val="center"/>
          </w:tcPr>
          <w:p w14:paraId="4C4B57EA">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923" w:type="dxa"/>
            <w:tcBorders>
              <w:top w:val="single" w:color="auto" w:sz="4" w:space="0"/>
              <w:left w:val="nil"/>
              <w:bottom w:val="single" w:color="auto" w:sz="4" w:space="0"/>
              <w:right w:val="single" w:color="auto" w:sz="4" w:space="0"/>
            </w:tcBorders>
            <w:vAlign w:val="center"/>
          </w:tcPr>
          <w:p w14:paraId="6E50F07A">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C72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EC37381">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9" w:type="dxa"/>
            <w:tcBorders>
              <w:top w:val="single" w:color="auto" w:sz="4" w:space="0"/>
              <w:left w:val="nil"/>
              <w:bottom w:val="single" w:color="auto" w:sz="4" w:space="0"/>
              <w:right w:val="single" w:color="auto" w:sz="4" w:space="0"/>
            </w:tcBorders>
            <w:vAlign w:val="center"/>
          </w:tcPr>
          <w:p w14:paraId="5B7BE069">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6C8B6591">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E60F622">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61BABD48">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6CAE262">
            <w:pPr>
              <w:spacing w:line="480" w:lineRule="exact"/>
              <w:jc w:val="center"/>
              <w:rPr>
                <w:rFonts w:ascii="宋体" w:hAnsi="宋体" w:eastAsia="宋体" w:cs="宋体"/>
                <w:color w:val="auto"/>
                <w:sz w:val="24"/>
                <w:szCs w:val="24"/>
                <w:highlight w:val="none"/>
              </w:rPr>
            </w:pPr>
          </w:p>
        </w:tc>
      </w:tr>
      <w:tr w14:paraId="3675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FA5D21B">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9" w:type="dxa"/>
            <w:tcBorders>
              <w:top w:val="single" w:color="auto" w:sz="4" w:space="0"/>
              <w:left w:val="nil"/>
              <w:bottom w:val="single" w:color="auto" w:sz="4" w:space="0"/>
              <w:right w:val="single" w:color="auto" w:sz="4" w:space="0"/>
            </w:tcBorders>
            <w:vAlign w:val="center"/>
          </w:tcPr>
          <w:p w14:paraId="6CAF0B8C">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42C13435">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C7C2A69">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35BEFF36">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61E38BFF">
            <w:pPr>
              <w:spacing w:line="480" w:lineRule="exact"/>
              <w:jc w:val="center"/>
              <w:rPr>
                <w:rFonts w:ascii="宋体" w:hAnsi="宋体" w:eastAsia="宋体" w:cs="宋体"/>
                <w:color w:val="auto"/>
                <w:sz w:val="24"/>
                <w:szCs w:val="24"/>
                <w:highlight w:val="none"/>
              </w:rPr>
            </w:pPr>
          </w:p>
        </w:tc>
      </w:tr>
      <w:tr w14:paraId="3FEB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98A2A08">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09" w:type="dxa"/>
            <w:tcBorders>
              <w:top w:val="single" w:color="auto" w:sz="4" w:space="0"/>
              <w:left w:val="nil"/>
              <w:bottom w:val="single" w:color="auto" w:sz="4" w:space="0"/>
              <w:right w:val="single" w:color="auto" w:sz="4" w:space="0"/>
            </w:tcBorders>
            <w:vAlign w:val="center"/>
          </w:tcPr>
          <w:p w14:paraId="75CD6150">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1D84DF81">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6913EC14">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6A58F21C">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61909370">
            <w:pPr>
              <w:spacing w:line="480" w:lineRule="exact"/>
              <w:jc w:val="center"/>
              <w:rPr>
                <w:rFonts w:ascii="宋体" w:hAnsi="宋体" w:eastAsia="宋体" w:cs="宋体"/>
                <w:color w:val="auto"/>
                <w:sz w:val="24"/>
                <w:szCs w:val="24"/>
                <w:highlight w:val="none"/>
              </w:rPr>
            </w:pPr>
          </w:p>
        </w:tc>
      </w:tr>
      <w:tr w14:paraId="4B9D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68BB652">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09" w:type="dxa"/>
            <w:tcBorders>
              <w:top w:val="single" w:color="auto" w:sz="4" w:space="0"/>
              <w:left w:val="nil"/>
              <w:bottom w:val="single" w:color="auto" w:sz="4" w:space="0"/>
              <w:right w:val="single" w:color="auto" w:sz="4" w:space="0"/>
            </w:tcBorders>
            <w:vAlign w:val="center"/>
          </w:tcPr>
          <w:p w14:paraId="2552D633">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1ABF9BA7">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1A883F1B">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CD0E8BF">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77875A76">
            <w:pPr>
              <w:spacing w:line="480" w:lineRule="exact"/>
              <w:jc w:val="center"/>
              <w:rPr>
                <w:rFonts w:ascii="宋体" w:hAnsi="宋体" w:eastAsia="宋体" w:cs="宋体"/>
                <w:color w:val="auto"/>
                <w:sz w:val="24"/>
                <w:szCs w:val="24"/>
                <w:highlight w:val="none"/>
              </w:rPr>
            </w:pPr>
          </w:p>
        </w:tc>
      </w:tr>
      <w:tr w14:paraId="386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420781C">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0BCA4C6E">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0728749C">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CE32EA3">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5CB46E85">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0AED80A">
            <w:pPr>
              <w:spacing w:line="480" w:lineRule="exact"/>
              <w:jc w:val="center"/>
              <w:rPr>
                <w:rFonts w:ascii="宋体" w:hAnsi="宋体" w:eastAsia="宋体" w:cs="宋体"/>
                <w:color w:val="auto"/>
                <w:sz w:val="24"/>
                <w:szCs w:val="24"/>
                <w:highlight w:val="none"/>
              </w:rPr>
            </w:pPr>
          </w:p>
        </w:tc>
      </w:tr>
      <w:tr w14:paraId="6AFC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6638B8F">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091D134D">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784C8795">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392BABF8">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49AE77A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50BAB099">
            <w:pPr>
              <w:spacing w:line="480" w:lineRule="exact"/>
              <w:jc w:val="center"/>
              <w:rPr>
                <w:rFonts w:ascii="宋体" w:hAnsi="宋体" w:eastAsia="宋体" w:cs="宋体"/>
                <w:color w:val="auto"/>
                <w:sz w:val="24"/>
                <w:szCs w:val="24"/>
                <w:highlight w:val="none"/>
              </w:rPr>
            </w:pPr>
          </w:p>
        </w:tc>
      </w:tr>
      <w:tr w14:paraId="094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2E0B35B">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3FDF8B65">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21F5430B">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72917B5C">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9E0C20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04A5E365">
            <w:pPr>
              <w:spacing w:line="480" w:lineRule="exact"/>
              <w:jc w:val="center"/>
              <w:rPr>
                <w:rFonts w:ascii="宋体" w:hAnsi="宋体" w:eastAsia="宋体" w:cs="宋体"/>
                <w:color w:val="auto"/>
                <w:sz w:val="24"/>
                <w:szCs w:val="24"/>
                <w:highlight w:val="none"/>
              </w:rPr>
            </w:pPr>
          </w:p>
        </w:tc>
      </w:tr>
      <w:tr w14:paraId="0951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00C0515">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7BE406CA">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48392530">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213EDAE6">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3AB7BF85">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E6D3C3D">
            <w:pPr>
              <w:spacing w:line="480" w:lineRule="exact"/>
              <w:jc w:val="center"/>
              <w:rPr>
                <w:rFonts w:ascii="宋体" w:hAnsi="宋体" w:eastAsia="宋体" w:cs="宋体"/>
                <w:color w:val="auto"/>
                <w:sz w:val="24"/>
                <w:szCs w:val="24"/>
                <w:highlight w:val="none"/>
              </w:rPr>
            </w:pPr>
          </w:p>
        </w:tc>
      </w:tr>
      <w:tr w14:paraId="12B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287E385">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7C92DA53">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75BAE986">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2059162">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EF6E7F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15D1F263">
            <w:pPr>
              <w:spacing w:line="480" w:lineRule="exact"/>
              <w:jc w:val="center"/>
              <w:rPr>
                <w:rFonts w:ascii="宋体" w:hAnsi="宋体" w:eastAsia="宋体" w:cs="宋体"/>
                <w:color w:val="auto"/>
                <w:sz w:val="24"/>
                <w:szCs w:val="24"/>
                <w:highlight w:val="none"/>
              </w:rPr>
            </w:pPr>
          </w:p>
        </w:tc>
      </w:tr>
    </w:tbl>
    <w:p w14:paraId="216A65E5">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说明：</w:t>
      </w:r>
    </w:p>
    <w:p w14:paraId="7A39EE5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1、“偏离说明”一栏中响应人应对所投设备的技术参数与招标文件的要求进行对比，如无偏差请填写“无”的字样，如有偏差请注明“正偏离或负偏离”字样；</w:t>
      </w:r>
    </w:p>
    <w:p w14:paraId="20572FD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2、“偏离说明”一栏中由响应人对所投设备的技术性能对应招标文件要求就偏差之处作以重点描述；</w:t>
      </w:r>
    </w:p>
    <w:p w14:paraId="63FCE986">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3、表格由</w:t>
      </w:r>
      <w:r>
        <w:rPr>
          <w:rFonts w:hint="eastAsia" w:ascii="宋体" w:hAnsi="宋体" w:cs="宋体"/>
          <w:sz w:val="24"/>
          <w:szCs w:val="24"/>
          <w:lang w:eastAsia="zh-CN"/>
        </w:rPr>
        <w:t>供应商</w:t>
      </w:r>
      <w:r>
        <w:rPr>
          <w:rFonts w:hint="eastAsia" w:ascii="宋体" w:hAnsi="宋体" w:eastAsia="宋体" w:cs="宋体"/>
          <w:sz w:val="24"/>
          <w:szCs w:val="24"/>
        </w:rPr>
        <w:t>自行添加。</w:t>
      </w:r>
    </w:p>
    <w:p w14:paraId="5B4F97E4">
      <w:pPr>
        <w:spacing w:line="360" w:lineRule="auto"/>
        <w:ind w:firstLine="480" w:firstLineChars="200"/>
        <w:jc w:val="center"/>
        <w:rPr>
          <w:rFonts w:ascii="宋体" w:hAnsi="宋体"/>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sz w:val="24"/>
          <w:szCs w:val="24"/>
          <w:highlight w:val="none"/>
        </w:rPr>
        <w:t>名称：（盖章）</w:t>
      </w:r>
    </w:p>
    <w:p w14:paraId="5F9ABE8D">
      <w:pPr>
        <w:spacing w:line="360" w:lineRule="auto"/>
        <w:ind w:firstLine="480" w:firstLineChars="200"/>
        <w:jc w:val="right"/>
        <w:rPr>
          <w:rFonts w:ascii="宋体" w:hAnsi="宋体"/>
          <w:sz w:val="24"/>
          <w:szCs w:val="24"/>
          <w:highlight w:val="none"/>
        </w:rPr>
      </w:pPr>
      <w:r>
        <w:rPr>
          <w:rFonts w:hint="eastAsia" w:ascii="宋体" w:hAnsi="宋体"/>
          <w:sz w:val="24"/>
          <w:szCs w:val="24"/>
          <w:highlight w:val="none"/>
        </w:rPr>
        <w:t>法定代表人或授权代表：（签字或盖章）</w:t>
      </w:r>
    </w:p>
    <w:p w14:paraId="26954B52">
      <w:pPr>
        <w:spacing w:line="360" w:lineRule="auto"/>
        <w:ind w:firstLine="480" w:firstLineChars="200"/>
        <w:jc w:val="center"/>
        <w:rPr>
          <w:rFonts w:hint="eastAsia" w:ascii="宋体" w:hAnsi="宋体" w:cs="宋体"/>
          <w:b/>
          <w:bCs/>
          <w:sz w:val="24"/>
          <w:highlight w:val="none"/>
        </w:rPr>
      </w:pPr>
      <w:r>
        <w:rPr>
          <w:rFonts w:hint="eastAsia" w:ascii="宋体" w:hAnsi="宋体"/>
          <w:sz w:val="24"/>
          <w:szCs w:val="24"/>
          <w:highlight w:val="none"/>
        </w:rPr>
        <w:t>日期：</w:t>
      </w:r>
    </w:p>
    <w:p w14:paraId="53DDD7B5">
      <w:pPr>
        <w:spacing w:before="156" w:beforeLines="50" w:after="312" w:afterLines="100" w:line="480" w:lineRule="exact"/>
        <w:ind w:right="420" w:rightChars="0"/>
        <w:jc w:val="center"/>
        <w:textAlignment w:val="center"/>
        <w:outlineLvl w:val="0"/>
        <w:rPr>
          <w:rFonts w:hint="eastAsia" w:ascii="宋体" w:hAnsi="宋体" w:cs="宋体"/>
          <w:b/>
          <w:bCs/>
          <w:sz w:val="30"/>
          <w:szCs w:val="30"/>
          <w:highlight w:val="none"/>
        </w:rPr>
      </w:pPr>
      <w:bookmarkStart w:id="680" w:name="_Toc16440"/>
      <w:r>
        <w:rPr>
          <w:rFonts w:hint="eastAsia" w:ascii="宋体" w:hAnsi="宋体" w:cs="宋体"/>
          <w:b/>
          <w:bCs/>
          <w:sz w:val="30"/>
          <w:szCs w:val="30"/>
          <w:highlight w:val="none"/>
          <w:lang w:val="en-US" w:eastAsia="zh-CN"/>
        </w:rPr>
        <w:t xml:space="preserve">     七</w:t>
      </w:r>
      <w:r>
        <w:rPr>
          <w:rFonts w:hint="eastAsia" w:ascii="宋体" w:hAnsi="宋体" w:cs="宋体"/>
          <w:b/>
          <w:bCs/>
          <w:sz w:val="30"/>
          <w:szCs w:val="30"/>
          <w:highlight w:val="none"/>
        </w:rPr>
        <w:t>、企业基本情况资料</w:t>
      </w:r>
      <w:bookmarkEnd w:id="680"/>
    </w:p>
    <w:p w14:paraId="600D4F43">
      <w:pPr>
        <w:keepNext/>
        <w:keepLines/>
        <w:spacing w:before="280" w:after="290" w:line="420" w:lineRule="exact"/>
        <w:ind w:firstLine="482" w:firstLineChars="200"/>
        <w:jc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（一）响应人基本情况表</w:t>
      </w:r>
    </w:p>
    <w:tbl>
      <w:tblPr>
        <w:tblStyle w:val="18"/>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6FCE3AAF">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0C3322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4A03C089">
            <w:pPr>
              <w:topLinePunct/>
              <w:spacing w:line="480" w:lineRule="exact"/>
              <w:jc w:val="center"/>
              <w:rPr>
                <w:rFonts w:ascii="宋体" w:hAnsi="宋体" w:eastAsia="宋体" w:cs="宋体"/>
                <w:color w:val="auto"/>
                <w:sz w:val="24"/>
                <w:szCs w:val="24"/>
                <w:highlight w:val="none"/>
              </w:rPr>
            </w:pPr>
          </w:p>
        </w:tc>
      </w:tr>
      <w:tr w14:paraId="4A7598A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075BA8E">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888" w:type="dxa"/>
            <w:gridSpan w:val="4"/>
            <w:tcBorders>
              <w:top w:val="single" w:color="auto" w:sz="4" w:space="0"/>
              <w:left w:val="nil"/>
              <w:bottom w:val="single" w:color="auto" w:sz="4" w:space="0"/>
              <w:right w:val="single" w:color="auto" w:sz="4" w:space="0"/>
            </w:tcBorders>
            <w:vAlign w:val="center"/>
          </w:tcPr>
          <w:p w14:paraId="0BCFD712">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62781BC6">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70" w:type="dxa"/>
            <w:tcBorders>
              <w:top w:val="single" w:color="auto" w:sz="4" w:space="0"/>
              <w:left w:val="nil"/>
              <w:bottom w:val="single" w:color="auto" w:sz="4" w:space="0"/>
              <w:right w:val="single" w:color="auto" w:sz="4" w:space="0"/>
            </w:tcBorders>
            <w:vAlign w:val="center"/>
          </w:tcPr>
          <w:p w14:paraId="26CA90E5">
            <w:pPr>
              <w:topLinePunct/>
              <w:spacing w:line="480" w:lineRule="exact"/>
              <w:jc w:val="center"/>
              <w:rPr>
                <w:rFonts w:ascii="宋体" w:hAnsi="宋体" w:eastAsia="宋体" w:cs="宋体"/>
                <w:color w:val="auto"/>
                <w:sz w:val="24"/>
                <w:szCs w:val="24"/>
                <w:highlight w:val="none"/>
              </w:rPr>
            </w:pPr>
          </w:p>
        </w:tc>
      </w:tr>
      <w:tr w14:paraId="5DFA58C1">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5DAA3AD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83" w:type="dxa"/>
            <w:tcBorders>
              <w:top w:val="single" w:color="auto" w:sz="4" w:space="0"/>
              <w:left w:val="nil"/>
              <w:bottom w:val="single" w:color="auto" w:sz="4" w:space="0"/>
              <w:right w:val="single" w:color="auto" w:sz="4" w:space="0"/>
            </w:tcBorders>
            <w:vAlign w:val="center"/>
          </w:tcPr>
          <w:p w14:paraId="634CB508">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805" w:type="dxa"/>
            <w:gridSpan w:val="3"/>
            <w:tcBorders>
              <w:top w:val="single" w:color="auto" w:sz="4" w:space="0"/>
              <w:left w:val="nil"/>
              <w:bottom w:val="single" w:color="auto" w:sz="4" w:space="0"/>
              <w:right w:val="single" w:color="auto" w:sz="4" w:space="0"/>
            </w:tcBorders>
            <w:vAlign w:val="center"/>
          </w:tcPr>
          <w:p w14:paraId="63E1F3DA">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72C95FA4">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070" w:type="dxa"/>
            <w:tcBorders>
              <w:top w:val="single" w:color="auto" w:sz="4" w:space="0"/>
              <w:left w:val="nil"/>
              <w:bottom w:val="single" w:color="auto" w:sz="4" w:space="0"/>
              <w:right w:val="single" w:color="auto" w:sz="4" w:space="0"/>
            </w:tcBorders>
            <w:vAlign w:val="center"/>
          </w:tcPr>
          <w:p w14:paraId="7B3E7171">
            <w:pPr>
              <w:topLinePunct/>
              <w:spacing w:line="480" w:lineRule="exact"/>
              <w:jc w:val="center"/>
              <w:rPr>
                <w:rFonts w:ascii="宋体" w:hAnsi="宋体" w:eastAsia="宋体" w:cs="宋体"/>
                <w:color w:val="auto"/>
                <w:sz w:val="24"/>
                <w:szCs w:val="24"/>
                <w:highlight w:val="none"/>
              </w:rPr>
            </w:pPr>
          </w:p>
        </w:tc>
      </w:tr>
      <w:tr w14:paraId="1255869B">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0C0C9E77">
            <w:pPr>
              <w:widowControl/>
              <w:spacing w:line="480" w:lineRule="exact"/>
              <w:rPr>
                <w:rFonts w:ascii="宋体" w:hAnsi="宋体" w:eastAsia="宋体" w:cs="宋体"/>
                <w:color w:val="auto"/>
                <w:sz w:val="24"/>
                <w:szCs w:val="24"/>
                <w:highlight w:val="none"/>
              </w:rPr>
            </w:pPr>
          </w:p>
        </w:tc>
        <w:tc>
          <w:tcPr>
            <w:tcW w:w="1083" w:type="dxa"/>
            <w:tcBorders>
              <w:top w:val="single" w:color="auto" w:sz="4" w:space="0"/>
              <w:left w:val="nil"/>
              <w:bottom w:val="single" w:color="auto" w:sz="4" w:space="0"/>
              <w:right w:val="single" w:color="auto" w:sz="4" w:space="0"/>
            </w:tcBorders>
            <w:vAlign w:val="center"/>
          </w:tcPr>
          <w:p w14:paraId="4A813C5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805" w:type="dxa"/>
            <w:gridSpan w:val="3"/>
            <w:tcBorders>
              <w:top w:val="single" w:color="auto" w:sz="4" w:space="0"/>
              <w:left w:val="nil"/>
              <w:bottom w:val="single" w:color="auto" w:sz="4" w:space="0"/>
              <w:right w:val="single" w:color="auto" w:sz="4" w:space="0"/>
            </w:tcBorders>
            <w:vAlign w:val="center"/>
          </w:tcPr>
          <w:p w14:paraId="388D83C7">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1A51ADC8">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070" w:type="dxa"/>
            <w:tcBorders>
              <w:top w:val="single" w:color="auto" w:sz="4" w:space="0"/>
              <w:left w:val="nil"/>
              <w:bottom w:val="single" w:color="auto" w:sz="4" w:space="0"/>
              <w:right w:val="single" w:color="auto" w:sz="4" w:space="0"/>
            </w:tcBorders>
            <w:vAlign w:val="center"/>
          </w:tcPr>
          <w:p w14:paraId="3AF74E6C">
            <w:pPr>
              <w:topLinePunct/>
              <w:spacing w:line="480" w:lineRule="exact"/>
              <w:jc w:val="center"/>
              <w:rPr>
                <w:rFonts w:ascii="宋体" w:hAnsi="宋体" w:eastAsia="宋体" w:cs="宋体"/>
                <w:color w:val="auto"/>
                <w:sz w:val="24"/>
                <w:szCs w:val="24"/>
                <w:highlight w:val="none"/>
              </w:rPr>
            </w:pPr>
          </w:p>
        </w:tc>
      </w:tr>
      <w:tr w14:paraId="262D04B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24A49BF3">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83" w:type="dxa"/>
            <w:tcBorders>
              <w:top w:val="single" w:color="auto" w:sz="4" w:space="0"/>
              <w:left w:val="nil"/>
              <w:bottom w:val="single" w:color="auto" w:sz="4" w:space="0"/>
              <w:right w:val="single" w:color="auto" w:sz="4" w:space="0"/>
            </w:tcBorders>
            <w:vAlign w:val="center"/>
          </w:tcPr>
          <w:p w14:paraId="13242BED">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75247073">
            <w:pPr>
              <w:topLinePunct/>
              <w:spacing w:line="480" w:lineRule="exact"/>
              <w:jc w:val="center"/>
              <w:rPr>
                <w:rFonts w:ascii="宋体" w:hAnsi="宋体" w:eastAsia="宋体" w:cs="宋体"/>
                <w:color w:val="auto"/>
                <w:sz w:val="24"/>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6673F112">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6A8DA7B9">
            <w:pPr>
              <w:topLinePunct/>
              <w:spacing w:line="480" w:lineRule="exact"/>
              <w:jc w:val="center"/>
              <w:rPr>
                <w:rFonts w:ascii="宋体" w:hAnsi="宋体" w:eastAsia="宋体" w:cs="宋体"/>
                <w:color w:val="auto"/>
                <w:sz w:val="24"/>
                <w:szCs w:val="24"/>
                <w:highlight w:val="none"/>
              </w:rPr>
            </w:pPr>
          </w:p>
        </w:tc>
      </w:tr>
      <w:tr w14:paraId="5EA50564">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1D6ED29B">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083" w:type="dxa"/>
            <w:tcBorders>
              <w:top w:val="single" w:color="auto" w:sz="4" w:space="0"/>
              <w:left w:val="nil"/>
              <w:bottom w:val="single" w:color="auto" w:sz="4" w:space="0"/>
              <w:right w:val="single" w:color="auto" w:sz="4" w:space="0"/>
            </w:tcBorders>
            <w:vAlign w:val="center"/>
          </w:tcPr>
          <w:p w14:paraId="0B7ECBD0">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769A7415">
            <w:pPr>
              <w:topLinePunct/>
              <w:spacing w:line="480" w:lineRule="exact"/>
              <w:jc w:val="center"/>
              <w:rPr>
                <w:rFonts w:ascii="宋体" w:hAnsi="宋体" w:eastAsia="宋体" w:cs="宋体"/>
                <w:color w:val="auto"/>
                <w:sz w:val="24"/>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23545A86">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04888490">
            <w:pPr>
              <w:topLinePunct/>
              <w:spacing w:line="480" w:lineRule="exact"/>
              <w:jc w:val="center"/>
              <w:rPr>
                <w:rFonts w:ascii="宋体" w:hAnsi="宋体" w:eastAsia="宋体" w:cs="宋体"/>
                <w:color w:val="auto"/>
                <w:sz w:val="24"/>
                <w:szCs w:val="24"/>
                <w:highlight w:val="none"/>
              </w:rPr>
            </w:pPr>
          </w:p>
        </w:tc>
      </w:tr>
      <w:tr w14:paraId="74D0942C">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03C3021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142" w:type="dxa"/>
            <w:gridSpan w:val="2"/>
            <w:tcBorders>
              <w:top w:val="single" w:color="auto" w:sz="4" w:space="0"/>
              <w:left w:val="nil"/>
              <w:bottom w:val="single" w:color="auto" w:sz="4" w:space="0"/>
              <w:right w:val="single" w:color="auto" w:sz="4" w:space="0"/>
            </w:tcBorders>
            <w:vAlign w:val="center"/>
          </w:tcPr>
          <w:p w14:paraId="1E0551BC">
            <w:pPr>
              <w:topLinePunct/>
              <w:spacing w:line="480" w:lineRule="exact"/>
              <w:jc w:val="center"/>
              <w:rPr>
                <w:rFonts w:ascii="宋体" w:hAnsi="宋体" w:eastAsia="宋体" w:cs="宋体"/>
                <w:color w:val="auto"/>
                <w:sz w:val="24"/>
                <w:szCs w:val="24"/>
                <w:highlight w:val="none"/>
              </w:rPr>
            </w:pPr>
          </w:p>
        </w:tc>
        <w:tc>
          <w:tcPr>
            <w:tcW w:w="5176" w:type="dxa"/>
            <w:gridSpan w:val="4"/>
            <w:tcBorders>
              <w:top w:val="single" w:color="auto" w:sz="4" w:space="0"/>
              <w:left w:val="nil"/>
              <w:bottom w:val="single" w:color="auto" w:sz="4" w:space="0"/>
              <w:right w:val="single" w:color="auto" w:sz="4" w:space="0"/>
            </w:tcBorders>
            <w:vAlign w:val="center"/>
          </w:tcPr>
          <w:p w14:paraId="5C747B18">
            <w:pPr>
              <w:topLinePunct/>
              <w:spacing w:line="480" w:lineRule="exact"/>
              <w:ind w:firstLine="120" w:firstLine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222A640C">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42F11B12">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23310DBB">
            <w:pPr>
              <w:topLinePunct/>
              <w:spacing w:line="480" w:lineRule="exact"/>
              <w:jc w:val="center"/>
              <w:rPr>
                <w:rFonts w:ascii="宋体" w:hAnsi="宋体" w:eastAsia="宋体" w:cs="宋体"/>
                <w:color w:val="auto"/>
                <w:sz w:val="24"/>
                <w:szCs w:val="24"/>
                <w:highlight w:val="none"/>
              </w:rPr>
            </w:pPr>
          </w:p>
        </w:tc>
      </w:tr>
      <w:tr w14:paraId="736D2B39">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051075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318" w:type="dxa"/>
            <w:gridSpan w:val="6"/>
            <w:tcBorders>
              <w:top w:val="single" w:color="auto" w:sz="4" w:space="0"/>
              <w:left w:val="nil"/>
              <w:bottom w:val="single" w:color="auto" w:sz="4" w:space="0"/>
              <w:right w:val="single" w:color="auto" w:sz="4" w:space="0"/>
            </w:tcBorders>
            <w:vAlign w:val="center"/>
          </w:tcPr>
          <w:p w14:paraId="0707D377">
            <w:pPr>
              <w:topLinePunct/>
              <w:spacing w:line="480" w:lineRule="exact"/>
              <w:jc w:val="center"/>
              <w:rPr>
                <w:rFonts w:ascii="宋体" w:hAnsi="宋体" w:eastAsia="宋体" w:cs="宋体"/>
                <w:color w:val="auto"/>
                <w:sz w:val="24"/>
                <w:szCs w:val="24"/>
                <w:highlight w:val="none"/>
              </w:rPr>
            </w:pPr>
          </w:p>
        </w:tc>
      </w:tr>
      <w:tr w14:paraId="360BCDEB">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BD508D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7318" w:type="dxa"/>
            <w:gridSpan w:val="6"/>
            <w:tcBorders>
              <w:top w:val="single" w:color="auto" w:sz="4" w:space="0"/>
              <w:left w:val="nil"/>
              <w:bottom w:val="single" w:color="auto" w:sz="4" w:space="0"/>
              <w:right w:val="single" w:color="auto" w:sz="4" w:space="0"/>
            </w:tcBorders>
            <w:vAlign w:val="center"/>
          </w:tcPr>
          <w:p w14:paraId="3657AA00">
            <w:pPr>
              <w:topLinePunct/>
              <w:spacing w:line="480" w:lineRule="exact"/>
              <w:jc w:val="center"/>
              <w:rPr>
                <w:rFonts w:ascii="宋体" w:hAnsi="宋体" w:eastAsia="宋体" w:cs="宋体"/>
                <w:color w:val="auto"/>
                <w:sz w:val="24"/>
                <w:szCs w:val="24"/>
                <w:highlight w:val="none"/>
              </w:rPr>
            </w:pPr>
          </w:p>
        </w:tc>
      </w:tr>
      <w:tr w14:paraId="7D3256AF">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337B0F81">
            <w:pPr>
              <w:topLinePunct/>
              <w:spacing w:line="480" w:lineRule="exact"/>
              <w:ind w:firstLine="240" w:firstLineChars="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18" w:type="dxa"/>
            <w:gridSpan w:val="6"/>
            <w:tcBorders>
              <w:top w:val="single" w:color="auto" w:sz="4" w:space="0"/>
              <w:left w:val="nil"/>
              <w:right w:val="single" w:color="auto" w:sz="4" w:space="0"/>
            </w:tcBorders>
            <w:vAlign w:val="center"/>
          </w:tcPr>
          <w:p w14:paraId="6CFC002C">
            <w:pPr>
              <w:topLinePunct/>
              <w:spacing w:line="480" w:lineRule="exact"/>
              <w:rPr>
                <w:rFonts w:ascii="宋体" w:hAnsi="宋体" w:eastAsia="宋体" w:cs="宋体"/>
                <w:color w:val="auto"/>
                <w:sz w:val="24"/>
                <w:szCs w:val="24"/>
                <w:highlight w:val="none"/>
              </w:rPr>
            </w:pPr>
          </w:p>
        </w:tc>
      </w:tr>
      <w:tr w14:paraId="2FEFF256">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7F3E7C2E">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18" w:type="dxa"/>
            <w:gridSpan w:val="6"/>
            <w:tcBorders>
              <w:top w:val="single" w:color="auto" w:sz="4" w:space="0"/>
              <w:left w:val="nil"/>
              <w:bottom w:val="single" w:color="auto" w:sz="4" w:space="0"/>
              <w:right w:val="single" w:color="auto" w:sz="4" w:space="0"/>
            </w:tcBorders>
            <w:vAlign w:val="center"/>
          </w:tcPr>
          <w:p w14:paraId="25EC980A">
            <w:pPr>
              <w:topLinePunct/>
              <w:spacing w:line="480" w:lineRule="exact"/>
              <w:jc w:val="center"/>
              <w:rPr>
                <w:rFonts w:ascii="宋体" w:hAnsi="宋体" w:eastAsia="宋体" w:cs="宋体"/>
                <w:color w:val="auto"/>
                <w:sz w:val="24"/>
                <w:szCs w:val="24"/>
                <w:highlight w:val="none"/>
              </w:rPr>
            </w:pPr>
          </w:p>
        </w:tc>
      </w:tr>
    </w:tbl>
    <w:p w14:paraId="67944705">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w:t>
      </w:r>
    </w:p>
    <w:p w14:paraId="2700A6CC">
      <w:pPr>
        <w:jc w:val="center"/>
        <w:rPr>
          <w:rFonts w:ascii="宋体" w:hAnsi="宋体" w:cs="宋体"/>
          <w:sz w:val="24"/>
          <w:highlight w:val="none"/>
        </w:rPr>
      </w:pPr>
      <w:r>
        <w:rPr>
          <w:rFonts w:hint="eastAsia"/>
          <w:highlight w:val="none"/>
        </w:rPr>
        <w:br w:type="page"/>
      </w:r>
    </w:p>
    <w:p w14:paraId="6A2B137C">
      <w:pPr>
        <w:keepNext/>
        <w:widowControl/>
        <w:spacing w:line="480" w:lineRule="exact"/>
        <w:jc w:val="center"/>
        <w:outlineLvl w:val="0"/>
        <w:rPr>
          <w:rFonts w:hint="eastAsia" w:ascii="宋体" w:hAnsi="宋体" w:eastAsia="宋体" w:cs="宋体"/>
          <w:b/>
          <w:bCs/>
          <w:color w:val="auto"/>
          <w:sz w:val="28"/>
          <w:szCs w:val="28"/>
          <w:highlight w:val="none"/>
          <w:lang w:eastAsia="zh-CN"/>
        </w:rPr>
      </w:pPr>
      <w:bookmarkStart w:id="681" w:name="_Toc16020"/>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w:t>
      </w:r>
      <w:bookmarkEnd w:id="681"/>
      <w:r>
        <w:rPr>
          <w:rFonts w:hint="eastAsia" w:ascii="宋体" w:hAnsi="宋体" w:cs="宋体"/>
          <w:b/>
          <w:bCs/>
          <w:color w:val="auto"/>
          <w:sz w:val="28"/>
          <w:szCs w:val="28"/>
          <w:highlight w:val="none"/>
          <w:lang w:eastAsia="zh-CN"/>
        </w:rPr>
        <w:t>技术部分</w:t>
      </w:r>
    </w:p>
    <w:p w14:paraId="582A9F8A">
      <w:pPr>
        <w:spacing w:line="480" w:lineRule="exact"/>
        <w:rPr>
          <w:rFonts w:ascii="宋体" w:hAnsi="宋体" w:eastAsia="宋体" w:cs="宋体"/>
          <w:b/>
          <w:bCs/>
          <w:color w:val="auto"/>
          <w:sz w:val="24"/>
          <w:szCs w:val="24"/>
          <w:highlight w:val="none"/>
        </w:rPr>
      </w:pPr>
    </w:p>
    <w:p w14:paraId="2AC8A95B">
      <w:pPr>
        <w:pStyle w:val="4"/>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6B702ACE">
      <w:pPr>
        <w:spacing w:line="480" w:lineRule="exact"/>
        <w:rPr>
          <w:rFonts w:ascii="宋体" w:hAnsi="宋体" w:eastAsia="宋体" w:cs="宋体"/>
          <w:color w:val="auto"/>
          <w:sz w:val="24"/>
          <w:szCs w:val="24"/>
          <w:highlight w:val="none"/>
        </w:rPr>
      </w:pPr>
    </w:p>
    <w:p w14:paraId="0E20044C">
      <w:pPr>
        <w:spacing w:line="480" w:lineRule="exact"/>
        <w:textAlignment w:val="center"/>
        <w:rPr>
          <w:rFonts w:hint="eastAsia" w:ascii="宋体" w:hAnsi="宋体" w:cs="宋体"/>
          <w:sz w:val="24"/>
          <w:highlight w:val="none"/>
        </w:rPr>
      </w:pPr>
    </w:p>
    <w:p w14:paraId="3272D3BC">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12850B73">
      <w:pPr>
        <w:widowControl/>
        <w:jc w:val="left"/>
        <w:rPr>
          <w:rFonts w:hint="eastAsia" w:ascii="宋体" w:hAnsi="宋体"/>
          <w:b/>
          <w:bCs/>
          <w:color w:val="000000"/>
          <w:kern w:val="0"/>
          <w:sz w:val="24"/>
          <w:szCs w:val="24"/>
          <w:highlight w:val="none"/>
        </w:rPr>
      </w:pPr>
    </w:p>
    <w:p w14:paraId="75F2D679">
      <w:pPr>
        <w:widowControl/>
        <w:jc w:val="left"/>
        <w:rPr>
          <w:rFonts w:hint="eastAsia" w:ascii="宋体" w:hAnsi="宋体"/>
          <w:b/>
          <w:bCs/>
          <w:color w:val="000000"/>
          <w:kern w:val="0"/>
          <w:sz w:val="24"/>
          <w:szCs w:val="24"/>
          <w:highlight w:val="none"/>
        </w:rPr>
      </w:pPr>
    </w:p>
    <w:p w14:paraId="09DFD45D">
      <w:pPr>
        <w:widowControl/>
        <w:jc w:val="left"/>
        <w:rPr>
          <w:rFonts w:hint="eastAsia" w:ascii="宋体" w:hAnsi="宋体"/>
          <w:b/>
          <w:bCs/>
          <w:color w:val="000000"/>
          <w:kern w:val="0"/>
          <w:sz w:val="24"/>
          <w:szCs w:val="24"/>
          <w:highlight w:val="none"/>
        </w:rPr>
      </w:pPr>
    </w:p>
    <w:p w14:paraId="3AEE2766">
      <w:pPr>
        <w:widowControl/>
        <w:jc w:val="left"/>
        <w:rPr>
          <w:rFonts w:hint="eastAsia" w:ascii="宋体" w:hAnsi="宋体"/>
          <w:b/>
          <w:bCs/>
          <w:color w:val="000000"/>
          <w:kern w:val="0"/>
          <w:sz w:val="24"/>
          <w:szCs w:val="24"/>
          <w:highlight w:val="none"/>
        </w:rPr>
      </w:pPr>
    </w:p>
    <w:p w14:paraId="318A38F8">
      <w:pPr>
        <w:widowControl/>
        <w:jc w:val="left"/>
        <w:rPr>
          <w:rFonts w:hint="eastAsia" w:ascii="宋体" w:hAnsi="宋体"/>
          <w:b/>
          <w:bCs/>
          <w:color w:val="000000"/>
          <w:kern w:val="0"/>
          <w:sz w:val="24"/>
          <w:szCs w:val="24"/>
          <w:highlight w:val="none"/>
        </w:rPr>
      </w:pPr>
    </w:p>
    <w:p w14:paraId="29A6A192">
      <w:pPr>
        <w:widowControl/>
        <w:jc w:val="left"/>
        <w:rPr>
          <w:rFonts w:hint="eastAsia" w:ascii="宋体" w:hAnsi="宋体"/>
          <w:b/>
          <w:bCs/>
          <w:color w:val="000000"/>
          <w:kern w:val="0"/>
          <w:sz w:val="24"/>
          <w:szCs w:val="24"/>
          <w:highlight w:val="none"/>
        </w:rPr>
      </w:pPr>
    </w:p>
    <w:p w14:paraId="758F946F">
      <w:pPr>
        <w:widowControl/>
        <w:jc w:val="left"/>
        <w:rPr>
          <w:rFonts w:hint="eastAsia" w:ascii="宋体" w:hAnsi="宋体"/>
          <w:b/>
          <w:bCs/>
          <w:color w:val="000000"/>
          <w:kern w:val="0"/>
          <w:sz w:val="24"/>
          <w:szCs w:val="24"/>
          <w:highlight w:val="none"/>
        </w:rPr>
      </w:pPr>
    </w:p>
    <w:p w14:paraId="3C51BEF2">
      <w:pPr>
        <w:widowControl/>
        <w:jc w:val="left"/>
        <w:rPr>
          <w:rFonts w:hint="eastAsia" w:ascii="宋体" w:hAnsi="宋体"/>
          <w:b/>
          <w:bCs/>
          <w:color w:val="000000"/>
          <w:kern w:val="0"/>
          <w:sz w:val="24"/>
          <w:szCs w:val="24"/>
          <w:highlight w:val="none"/>
        </w:rPr>
      </w:pPr>
    </w:p>
    <w:p w14:paraId="47F1846C">
      <w:pPr>
        <w:widowControl/>
        <w:jc w:val="left"/>
        <w:rPr>
          <w:rFonts w:hint="eastAsia" w:ascii="宋体" w:hAnsi="宋体"/>
          <w:b/>
          <w:bCs/>
          <w:color w:val="000000"/>
          <w:kern w:val="0"/>
          <w:sz w:val="24"/>
          <w:szCs w:val="24"/>
          <w:highlight w:val="none"/>
        </w:rPr>
      </w:pPr>
    </w:p>
    <w:p w14:paraId="4650438C">
      <w:pPr>
        <w:widowControl/>
        <w:jc w:val="left"/>
        <w:rPr>
          <w:rFonts w:hint="eastAsia" w:ascii="宋体" w:hAnsi="宋体"/>
          <w:b/>
          <w:bCs/>
          <w:color w:val="000000"/>
          <w:kern w:val="0"/>
          <w:sz w:val="24"/>
          <w:szCs w:val="24"/>
          <w:highlight w:val="none"/>
        </w:rPr>
      </w:pPr>
    </w:p>
    <w:p w14:paraId="3CEC5EDA">
      <w:pPr>
        <w:widowControl/>
        <w:jc w:val="left"/>
        <w:rPr>
          <w:rFonts w:hint="eastAsia" w:ascii="宋体" w:hAnsi="宋体"/>
          <w:b/>
          <w:bCs/>
          <w:color w:val="000000"/>
          <w:kern w:val="0"/>
          <w:sz w:val="24"/>
          <w:szCs w:val="24"/>
          <w:highlight w:val="none"/>
        </w:rPr>
      </w:pPr>
    </w:p>
    <w:p w14:paraId="2EFF30CD">
      <w:pPr>
        <w:widowControl/>
        <w:jc w:val="left"/>
        <w:rPr>
          <w:rFonts w:hint="eastAsia" w:ascii="宋体" w:hAnsi="宋体"/>
          <w:b/>
          <w:bCs/>
          <w:color w:val="000000"/>
          <w:kern w:val="0"/>
          <w:sz w:val="24"/>
          <w:szCs w:val="24"/>
          <w:highlight w:val="none"/>
        </w:rPr>
      </w:pPr>
    </w:p>
    <w:p w14:paraId="705827F0">
      <w:pPr>
        <w:widowControl/>
        <w:jc w:val="left"/>
        <w:rPr>
          <w:rFonts w:hint="eastAsia" w:ascii="宋体" w:hAnsi="宋体"/>
          <w:b/>
          <w:bCs/>
          <w:color w:val="000000"/>
          <w:kern w:val="0"/>
          <w:sz w:val="24"/>
          <w:szCs w:val="24"/>
          <w:highlight w:val="none"/>
        </w:rPr>
      </w:pPr>
    </w:p>
    <w:p w14:paraId="1A736AA5">
      <w:pPr>
        <w:widowControl/>
        <w:jc w:val="left"/>
        <w:rPr>
          <w:rFonts w:hint="eastAsia" w:ascii="宋体" w:hAnsi="宋体"/>
          <w:b/>
          <w:bCs/>
          <w:color w:val="000000"/>
          <w:kern w:val="0"/>
          <w:sz w:val="24"/>
          <w:szCs w:val="24"/>
          <w:highlight w:val="none"/>
        </w:rPr>
      </w:pPr>
    </w:p>
    <w:p w14:paraId="2229AB0F">
      <w:pPr>
        <w:widowControl/>
        <w:jc w:val="left"/>
        <w:rPr>
          <w:rFonts w:hint="eastAsia" w:ascii="宋体" w:hAnsi="宋体"/>
          <w:b/>
          <w:bCs/>
          <w:color w:val="000000"/>
          <w:kern w:val="0"/>
          <w:sz w:val="24"/>
          <w:szCs w:val="24"/>
          <w:highlight w:val="none"/>
        </w:rPr>
      </w:pPr>
    </w:p>
    <w:p w14:paraId="0044B2CC">
      <w:pPr>
        <w:widowControl/>
        <w:jc w:val="left"/>
        <w:rPr>
          <w:rFonts w:hint="eastAsia" w:ascii="宋体" w:hAnsi="宋体"/>
          <w:b/>
          <w:bCs/>
          <w:color w:val="000000"/>
          <w:kern w:val="0"/>
          <w:sz w:val="24"/>
          <w:szCs w:val="24"/>
          <w:highlight w:val="none"/>
        </w:rPr>
      </w:pPr>
    </w:p>
    <w:p w14:paraId="0FDB1A32">
      <w:pPr>
        <w:widowControl/>
        <w:jc w:val="left"/>
        <w:rPr>
          <w:rFonts w:hint="eastAsia" w:ascii="宋体" w:hAnsi="宋体"/>
          <w:b/>
          <w:bCs/>
          <w:color w:val="000000"/>
          <w:kern w:val="0"/>
          <w:sz w:val="24"/>
          <w:szCs w:val="24"/>
          <w:highlight w:val="none"/>
        </w:rPr>
      </w:pPr>
    </w:p>
    <w:p w14:paraId="3A402B52">
      <w:pPr>
        <w:widowControl/>
        <w:jc w:val="left"/>
        <w:rPr>
          <w:rFonts w:hint="eastAsia" w:ascii="宋体" w:hAnsi="宋体"/>
          <w:b/>
          <w:bCs/>
          <w:color w:val="000000"/>
          <w:kern w:val="0"/>
          <w:sz w:val="24"/>
          <w:szCs w:val="24"/>
          <w:highlight w:val="none"/>
        </w:rPr>
      </w:pPr>
    </w:p>
    <w:p w14:paraId="32B72111">
      <w:pPr>
        <w:widowControl/>
        <w:jc w:val="left"/>
        <w:rPr>
          <w:rFonts w:hint="eastAsia" w:ascii="宋体" w:hAnsi="宋体"/>
          <w:b/>
          <w:bCs/>
          <w:color w:val="000000"/>
          <w:kern w:val="0"/>
          <w:sz w:val="24"/>
          <w:szCs w:val="24"/>
          <w:highlight w:val="none"/>
        </w:rPr>
      </w:pPr>
    </w:p>
    <w:p w14:paraId="56BAB10B">
      <w:pPr>
        <w:widowControl/>
        <w:jc w:val="left"/>
        <w:rPr>
          <w:rFonts w:hint="eastAsia" w:ascii="宋体" w:hAnsi="宋体"/>
          <w:b/>
          <w:bCs/>
          <w:color w:val="000000"/>
          <w:kern w:val="0"/>
          <w:sz w:val="24"/>
          <w:szCs w:val="24"/>
          <w:highlight w:val="none"/>
        </w:rPr>
      </w:pPr>
    </w:p>
    <w:p w14:paraId="415C3E8D">
      <w:pPr>
        <w:widowControl/>
        <w:jc w:val="left"/>
        <w:rPr>
          <w:rFonts w:hint="eastAsia" w:ascii="宋体" w:hAnsi="宋体"/>
          <w:b/>
          <w:bCs/>
          <w:color w:val="000000"/>
          <w:kern w:val="0"/>
          <w:sz w:val="24"/>
          <w:szCs w:val="24"/>
          <w:highlight w:val="none"/>
        </w:rPr>
      </w:pPr>
    </w:p>
    <w:p w14:paraId="7EC29879">
      <w:pPr>
        <w:widowControl/>
        <w:jc w:val="left"/>
        <w:rPr>
          <w:rFonts w:hint="eastAsia" w:ascii="宋体" w:hAnsi="宋体"/>
          <w:b/>
          <w:bCs/>
          <w:color w:val="000000"/>
          <w:kern w:val="0"/>
          <w:sz w:val="24"/>
          <w:szCs w:val="24"/>
          <w:highlight w:val="none"/>
        </w:rPr>
      </w:pPr>
    </w:p>
    <w:p w14:paraId="4EB6E535">
      <w:pPr>
        <w:widowControl/>
        <w:jc w:val="left"/>
        <w:rPr>
          <w:rFonts w:hint="eastAsia" w:ascii="宋体" w:hAnsi="宋体"/>
          <w:b/>
          <w:bCs/>
          <w:color w:val="000000"/>
          <w:kern w:val="0"/>
          <w:sz w:val="24"/>
          <w:szCs w:val="24"/>
          <w:highlight w:val="none"/>
        </w:rPr>
      </w:pPr>
    </w:p>
    <w:p w14:paraId="5165AABA">
      <w:pPr>
        <w:widowControl/>
        <w:jc w:val="left"/>
        <w:rPr>
          <w:rFonts w:hint="eastAsia" w:ascii="宋体" w:hAnsi="宋体"/>
          <w:b/>
          <w:bCs/>
          <w:color w:val="000000"/>
          <w:kern w:val="0"/>
          <w:sz w:val="24"/>
          <w:szCs w:val="24"/>
          <w:highlight w:val="none"/>
        </w:rPr>
      </w:pPr>
    </w:p>
    <w:p w14:paraId="496CE3F0">
      <w:pPr>
        <w:widowControl/>
        <w:jc w:val="left"/>
        <w:rPr>
          <w:rFonts w:hint="eastAsia" w:ascii="宋体" w:hAnsi="宋体"/>
          <w:b/>
          <w:bCs/>
          <w:color w:val="000000"/>
          <w:kern w:val="0"/>
          <w:sz w:val="24"/>
          <w:szCs w:val="24"/>
          <w:highlight w:val="none"/>
        </w:rPr>
      </w:pPr>
    </w:p>
    <w:p w14:paraId="7D7B6317">
      <w:pPr>
        <w:widowControl/>
        <w:jc w:val="left"/>
        <w:rPr>
          <w:rFonts w:hint="eastAsia" w:ascii="宋体" w:hAnsi="宋体"/>
          <w:b/>
          <w:bCs/>
          <w:color w:val="000000"/>
          <w:kern w:val="0"/>
          <w:sz w:val="24"/>
          <w:szCs w:val="24"/>
          <w:highlight w:val="none"/>
        </w:rPr>
      </w:pPr>
    </w:p>
    <w:p w14:paraId="1B14CD2C">
      <w:pPr>
        <w:widowControl/>
        <w:jc w:val="left"/>
        <w:rPr>
          <w:rFonts w:hint="eastAsia" w:ascii="宋体" w:hAnsi="宋体"/>
          <w:b/>
          <w:bCs/>
          <w:color w:val="000000"/>
          <w:kern w:val="0"/>
          <w:sz w:val="24"/>
          <w:szCs w:val="24"/>
          <w:highlight w:val="none"/>
        </w:rPr>
      </w:pPr>
    </w:p>
    <w:p w14:paraId="23B877A9">
      <w:pPr>
        <w:widowControl/>
        <w:jc w:val="left"/>
        <w:rPr>
          <w:rFonts w:hint="eastAsia" w:ascii="宋体" w:hAnsi="宋体"/>
          <w:b/>
          <w:bCs/>
          <w:color w:val="000000"/>
          <w:kern w:val="0"/>
          <w:sz w:val="24"/>
          <w:szCs w:val="24"/>
          <w:highlight w:val="none"/>
        </w:rPr>
      </w:pPr>
    </w:p>
    <w:p w14:paraId="386ED5A2">
      <w:pPr>
        <w:widowControl/>
        <w:jc w:val="left"/>
        <w:rPr>
          <w:rFonts w:hint="eastAsia" w:ascii="宋体" w:hAnsi="宋体"/>
          <w:b/>
          <w:bCs/>
          <w:color w:val="000000"/>
          <w:kern w:val="0"/>
          <w:sz w:val="24"/>
          <w:szCs w:val="24"/>
          <w:highlight w:val="none"/>
        </w:rPr>
      </w:pPr>
    </w:p>
    <w:p w14:paraId="25D5F2D7">
      <w:pPr>
        <w:widowControl/>
        <w:jc w:val="left"/>
        <w:rPr>
          <w:rFonts w:hint="eastAsia" w:ascii="宋体" w:hAnsi="宋体"/>
          <w:b/>
          <w:bCs/>
          <w:color w:val="000000"/>
          <w:kern w:val="0"/>
          <w:sz w:val="24"/>
          <w:szCs w:val="24"/>
          <w:highlight w:val="none"/>
        </w:rPr>
      </w:pPr>
    </w:p>
    <w:p w14:paraId="41229DB2">
      <w:pPr>
        <w:widowControl/>
        <w:jc w:val="left"/>
        <w:rPr>
          <w:rFonts w:hint="eastAsia" w:ascii="宋体" w:hAnsi="宋体"/>
          <w:b/>
          <w:bCs/>
          <w:color w:val="000000"/>
          <w:kern w:val="0"/>
          <w:sz w:val="24"/>
          <w:szCs w:val="24"/>
          <w:highlight w:val="none"/>
        </w:rPr>
      </w:pPr>
    </w:p>
    <w:p w14:paraId="0AEF1E40">
      <w:pPr>
        <w:widowControl/>
        <w:jc w:val="left"/>
        <w:rPr>
          <w:rFonts w:hint="eastAsia" w:ascii="宋体" w:hAnsi="宋体"/>
          <w:b/>
          <w:bCs/>
          <w:color w:val="000000"/>
          <w:kern w:val="0"/>
          <w:sz w:val="24"/>
          <w:szCs w:val="24"/>
          <w:highlight w:val="none"/>
        </w:rPr>
      </w:pPr>
    </w:p>
    <w:p w14:paraId="0F3A5E43">
      <w:pPr>
        <w:widowControl/>
        <w:jc w:val="left"/>
        <w:rPr>
          <w:rFonts w:hint="eastAsia" w:ascii="宋体" w:hAnsi="宋体"/>
          <w:b/>
          <w:bCs/>
          <w:color w:val="000000"/>
          <w:kern w:val="0"/>
          <w:sz w:val="24"/>
          <w:szCs w:val="24"/>
          <w:highlight w:val="none"/>
        </w:rPr>
      </w:pPr>
    </w:p>
    <w:p w14:paraId="6C1F579E">
      <w:pPr>
        <w:widowControl/>
        <w:jc w:val="left"/>
        <w:rPr>
          <w:rFonts w:hint="eastAsia" w:ascii="宋体" w:hAnsi="宋体"/>
          <w:b/>
          <w:bCs/>
          <w:color w:val="000000"/>
          <w:kern w:val="0"/>
          <w:sz w:val="24"/>
          <w:szCs w:val="24"/>
          <w:highlight w:val="none"/>
        </w:rPr>
      </w:pPr>
    </w:p>
    <w:p w14:paraId="46B85902">
      <w:pPr>
        <w:widowControl/>
        <w:jc w:val="left"/>
        <w:rPr>
          <w:rFonts w:hint="eastAsia" w:ascii="宋体" w:hAnsi="宋体"/>
          <w:b/>
          <w:bCs/>
          <w:color w:val="000000"/>
          <w:kern w:val="0"/>
          <w:sz w:val="24"/>
          <w:szCs w:val="24"/>
          <w:highlight w:val="none"/>
        </w:rPr>
      </w:pPr>
    </w:p>
    <w:p w14:paraId="0510F34B">
      <w:pPr>
        <w:widowControl/>
        <w:jc w:val="left"/>
        <w:rPr>
          <w:rFonts w:hint="eastAsia" w:ascii="宋体" w:hAnsi="宋体"/>
          <w:b/>
          <w:bCs/>
          <w:color w:val="000000"/>
          <w:kern w:val="0"/>
          <w:sz w:val="24"/>
          <w:szCs w:val="24"/>
          <w:highlight w:val="none"/>
        </w:rPr>
      </w:pPr>
    </w:p>
    <w:p w14:paraId="37FA89F4">
      <w:pPr>
        <w:keepNext/>
        <w:widowControl/>
        <w:spacing w:line="480" w:lineRule="exact"/>
        <w:jc w:val="center"/>
        <w:outlineLvl w:val="0"/>
        <w:rPr>
          <w:rFonts w:hint="eastAsia" w:ascii="宋体" w:hAnsi="宋体" w:eastAsia="宋体" w:cs="宋体"/>
          <w:b/>
          <w:bCs/>
          <w:color w:val="auto"/>
          <w:sz w:val="28"/>
          <w:szCs w:val="28"/>
          <w:highlight w:val="none"/>
          <w:lang w:eastAsia="zh-CN"/>
        </w:rPr>
      </w:pPr>
      <w:bookmarkStart w:id="682" w:name="_Toc3780"/>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商务部分</w:t>
      </w:r>
    </w:p>
    <w:p w14:paraId="5E446A87">
      <w:pPr>
        <w:spacing w:line="480" w:lineRule="exact"/>
        <w:rPr>
          <w:rFonts w:ascii="宋体" w:hAnsi="宋体" w:eastAsia="宋体" w:cs="宋体"/>
          <w:b/>
          <w:bCs/>
          <w:color w:val="auto"/>
          <w:sz w:val="24"/>
          <w:szCs w:val="24"/>
          <w:highlight w:val="none"/>
        </w:rPr>
      </w:pPr>
    </w:p>
    <w:p w14:paraId="4624E261">
      <w:pPr>
        <w:pStyle w:val="4"/>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499CCBFD">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47F21977">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ACE958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58B48E0">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A5CD2A5">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41A632A">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56864A4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3776C51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490A91AB">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5AFEDA2">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2467E233">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8D12C3B">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05AA6997">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CC55801">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0EC437C7">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十、供应商认为需要提供的其他资料</w:t>
      </w:r>
    </w:p>
    <w:p w14:paraId="05D86C12">
      <w:pPr>
        <w:widowControl/>
        <w:jc w:val="left"/>
        <w:outlineLvl w:val="0"/>
        <w:rPr>
          <w:rFonts w:ascii="宋体" w:hAnsi="宋体"/>
          <w:b/>
          <w:bCs/>
          <w:color w:val="000000"/>
          <w:kern w:val="0"/>
          <w:sz w:val="24"/>
          <w:szCs w:val="24"/>
          <w:highlight w:val="none"/>
        </w:rPr>
      </w:pPr>
      <w:bookmarkStart w:id="683" w:name="_Toc16859"/>
      <w:r>
        <w:rPr>
          <w:rFonts w:hint="eastAsia" w:ascii="宋体" w:hAnsi="宋体"/>
          <w:b/>
          <w:bCs/>
          <w:color w:val="000000"/>
          <w:kern w:val="0"/>
          <w:sz w:val="24"/>
          <w:szCs w:val="24"/>
          <w:highlight w:val="none"/>
        </w:rPr>
        <w:t>附件1：</w:t>
      </w:r>
      <w:bookmarkEnd w:id="683"/>
    </w:p>
    <w:p w14:paraId="738B2A6A">
      <w:pPr>
        <w:widowControl/>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sz w:val="21"/>
          <w:szCs w:val="21"/>
          <w:lang w:eastAsia="zh-CN"/>
        </w:rPr>
        <w:t>中小企业声明函（货物）</w:t>
      </w:r>
    </w:p>
    <w:p w14:paraId="6B12B92F">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highlight w:val="none"/>
          <w:u w:val="single"/>
          <w:lang w:eastAsia="zh-CN"/>
        </w:rPr>
        <w:t>（单位名称）</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u w:val="single"/>
          <w:lang w:eastAsia="zh-CN"/>
        </w:rPr>
        <w:t>（项目名称）</w:t>
      </w:r>
      <w:r>
        <w:rPr>
          <w:rFonts w:hint="eastAsia" w:ascii="宋体" w:hAnsi="宋体" w:eastAsia="宋体" w:cs="宋体"/>
          <w:color w:val="auto"/>
          <w:kern w:val="2"/>
          <w:sz w:val="21"/>
          <w:szCs w:val="21"/>
          <w:highlight w:val="none"/>
          <w:lang w:eastAsia="zh-CN"/>
        </w:rPr>
        <w:t>采购活动，提供的货物全部由符合政策要求的中小企业制造。相关企业（含联合体中的中小企业、签订分包意向协议的中小企业）的具体情况如下：</w:t>
      </w:r>
    </w:p>
    <w:p w14:paraId="15C23E78">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1. </w:t>
      </w:r>
      <w:r>
        <w:rPr>
          <w:rFonts w:hint="eastAsia" w:ascii="宋体" w:hAnsi="宋体" w:eastAsia="宋体" w:cs="宋体"/>
          <w:color w:val="auto"/>
          <w:kern w:val="2"/>
          <w:sz w:val="21"/>
          <w:szCs w:val="21"/>
          <w:highlight w:val="none"/>
          <w:u w:val="single"/>
          <w:lang w:eastAsia="zh-CN"/>
        </w:rPr>
        <w:t>（标的名称）</w:t>
      </w:r>
      <w:r>
        <w:rPr>
          <w:rFonts w:hint="eastAsia" w:ascii="宋体" w:hAnsi="宋体" w:eastAsia="宋体" w:cs="宋体"/>
          <w:color w:val="auto"/>
          <w:kern w:val="2"/>
          <w:sz w:val="21"/>
          <w:szCs w:val="21"/>
          <w:highlight w:val="none"/>
          <w:lang w:eastAsia="zh-CN"/>
        </w:rPr>
        <w:t xml:space="preserve"> ，属于</w:t>
      </w:r>
      <w:r>
        <w:rPr>
          <w:rFonts w:hint="eastAsia" w:ascii="宋体" w:hAnsi="宋体" w:eastAsia="宋体" w:cs="宋体"/>
          <w:color w:val="auto"/>
          <w:kern w:val="2"/>
          <w:sz w:val="21"/>
          <w:szCs w:val="21"/>
          <w:highlight w:val="none"/>
          <w:u w:val="single"/>
          <w:lang w:eastAsia="zh-CN"/>
        </w:rPr>
        <w:t>（采购文件中明确的所属行业）行业</w:t>
      </w:r>
      <w:r>
        <w:rPr>
          <w:rFonts w:hint="eastAsia" w:ascii="宋体" w:hAnsi="宋体" w:eastAsia="宋体" w:cs="宋体"/>
          <w:color w:val="auto"/>
          <w:kern w:val="2"/>
          <w:sz w:val="21"/>
          <w:szCs w:val="21"/>
          <w:highlight w:val="none"/>
          <w:lang w:eastAsia="zh-CN"/>
        </w:rPr>
        <w:t>；制造商为</w:t>
      </w:r>
      <w:r>
        <w:rPr>
          <w:rFonts w:hint="eastAsia" w:ascii="宋体" w:hAnsi="宋体" w:eastAsia="宋体" w:cs="宋体"/>
          <w:color w:val="auto"/>
          <w:kern w:val="2"/>
          <w:sz w:val="21"/>
          <w:szCs w:val="21"/>
          <w:highlight w:val="none"/>
          <w:u w:val="single"/>
          <w:lang w:eastAsia="zh-CN"/>
        </w:rPr>
        <w:t>（企业名称）</w:t>
      </w:r>
      <w:r>
        <w:rPr>
          <w:rFonts w:hint="eastAsia" w:ascii="宋体" w:hAnsi="宋体" w:eastAsia="宋体" w:cs="宋体"/>
          <w:color w:val="auto"/>
          <w:kern w:val="2"/>
          <w:sz w:val="21"/>
          <w:szCs w:val="21"/>
          <w:highlight w:val="none"/>
          <w:lang w:eastAsia="zh-CN"/>
        </w:rPr>
        <w:t>，从业人员</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人，营业收入为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万元，资产总额为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属于</w:t>
      </w:r>
      <w:r>
        <w:rPr>
          <w:rFonts w:hint="eastAsia" w:ascii="宋体" w:hAnsi="宋体" w:eastAsia="宋体" w:cs="宋体"/>
          <w:color w:val="auto"/>
          <w:kern w:val="2"/>
          <w:sz w:val="21"/>
          <w:szCs w:val="21"/>
          <w:highlight w:val="none"/>
          <w:u w:val="single"/>
          <w:lang w:eastAsia="zh-CN"/>
        </w:rPr>
        <w:t>（中型企业、小型企业、微型企业）</w:t>
      </w:r>
      <w:r>
        <w:rPr>
          <w:rFonts w:hint="eastAsia" w:ascii="宋体" w:hAnsi="宋体" w:eastAsia="宋体" w:cs="宋体"/>
          <w:color w:val="auto"/>
          <w:kern w:val="2"/>
          <w:sz w:val="21"/>
          <w:szCs w:val="21"/>
          <w:highlight w:val="none"/>
          <w:lang w:eastAsia="zh-CN"/>
        </w:rPr>
        <w:t>；</w:t>
      </w:r>
    </w:p>
    <w:p w14:paraId="4A5064CF">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2. </w:t>
      </w:r>
      <w:r>
        <w:rPr>
          <w:rFonts w:hint="eastAsia" w:ascii="宋体" w:hAnsi="宋体" w:eastAsia="宋体" w:cs="宋体"/>
          <w:color w:val="auto"/>
          <w:kern w:val="2"/>
          <w:sz w:val="21"/>
          <w:szCs w:val="21"/>
          <w:highlight w:val="none"/>
          <w:u w:val="single"/>
          <w:lang w:eastAsia="zh-CN"/>
        </w:rPr>
        <w:t>（标的名称）</w:t>
      </w:r>
      <w:r>
        <w:rPr>
          <w:rFonts w:hint="eastAsia" w:ascii="宋体" w:hAnsi="宋体" w:eastAsia="宋体" w:cs="宋体"/>
          <w:color w:val="auto"/>
          <w:kern w:val="2"/>
          <w:sz w:val="21"/>
          <w:szCs w:val="21"/>
          <w:highlight w:val="none"/>
          <w:lang w:eastAsia="zh-CN"/>
        </w:rPr>
        <w:t xml:space="preserve"> ，属于</w:t>
      </w:r>
      <w:r>
        <w:rPr>
          <w:rFonts w:hint="eastAsia" w:ascii="宋体" w:hAnsi="宋体" w:eastAsia="宋体" w:cs="宋体"/>
          <w:color w:val="auto"/>
          <w:kern w:val="2"/>
          <w:sz w:val="21"/>
          <w:szCs w:val="21"/>
          <w:highlight w:val="none"/>
          <w:u w:val="single"/>
          <w:lang w:eastAsia="zh-CN"/>
        </w:rPr>
        <w:t>（采购文件中明确的所属行业）行业</w:t>
      </w:r>
      <w:r>
        <w:rPr>
          <w:rFonts w:hint="eastAsia" w:ascii="宋体" w:hAnsi="宋体" w:eastAsia="宋体" w:cs="宋体"/>
          <w:color w:val="auto"/>
          <w:kern w:val="2"/>
          <w:sz w:val="21"/>
          <w:szCs w:val="21"/>
          <w:highlight w:val="none"/>
          <w:lang w:eastAsia="zh-CN"/>
        </w:rPr>
        <w:t>；制造商为</w:t>
      </w:r>
      <w:r>
        <w:rPr>
          <w:rFonts w:hint="eastAsia" w:ascii="宋体" w:hAnsi="宋体" w:eastAsia="宋体" w:cs="宋体"/>
          <w:color w:val="auto"/>
          <w:kern w:val="2"/>
          <w:sz w:val="21"/>
          <w:szCs w:val="21"/>
          <w:highlight w:val="none"/>
          <w:u w:val="single"/>
          <w:lang w:eastAsia="zh-CN"/>
        </w:rPr>
        <w:t>（企业名称）</w:t>
      </w:r>
      <w:r>
        <w:rPr>
          <w:rFonts w:hint="eastAsia" w:ascii="宋体" w:hAnsi="宋体" w:eastAsia="宋体" w:cs="宋体"/>
          <w:color w:val="auto"/>
          <w:kern w:val="2"/>
          <w:sz w:val="21"/>
          <w:szCs w:val="21"/>
          <w:highlight w:val="none"/>
          <w:lang w:eastAsia="zh-CN"/>
        </w:rPr>
        <w:t>，从业人员</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人，营业收入为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万元，资产总额为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万元，属于</w:t>
      </w:r>
      <w:r>
        <w:rPr>
          <w:rFonts w:hint="eastAsia" w:ascii="宋体" w:hAnsi="宋体" w:eastAsia="宋体" w:cs="宋体"/>
          <w:color w:val="auto"/>
          <w:kern w:val="2"/>
          <w:sz w:val="21"/>
          <w:szCs w:val="21"/>
          <w:highlight w:val="none"/>
          <w:u w:val="single"/>
          <w:lang w:eastAsia="zh-CN"/>
        </w:rPr>
        <w:t>（中型企业、小型企业、微型企业）</w:t>
      </w:r>
      <w:r>
        <w:rPr>
          <w:rFonts w:hint="eastAsia" w:ascii="宋体" w:hAnsi="宋体" w:eastAsia="宋体" w:cs="宋体"/>
          <w:color w:val="auto"/>
          <w:kern w:val="2"/>
          <w:sz w:val="21"/>
          <w:szCs w:val="21"/>
          <w:highlight w:val="none"/>
          <w:lang w:eastAsia="zh-CN"/>
        </w:rPr>
        <w:t>；</w:t>
      </w:r>
    </w:p>
    <w:p w14:paraId="36762714">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p>
    <w:p w14:paraId="08B35E94">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以上企业，不属于大企业的分支机构，不存在控股股东为大企业的情形，也不存在与大企业的负责人为同一人的情形。</w:t>
      </w:r>
    </w:p>
    <w:p w14:paraId="0C4DDC9E">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本企业对上述声明内容的真实性负责。如有虚假，将依法承担相应责任。</w:t>
      </w:r>
    </w:p>
    <w:p w14:paraId="6D6AD972">
      <w:pPr>
        <w:pStyle w:val="5"/>
        <w:spacing w:before="102" w:after="120" w:line="417" w:lineRule="auto"/>
        <w:ind w:left="318" w:right="376" w:firstLine="4592" w:firstLineChars="2187"/>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企业名称（盖章）：</w:t>
      </w:r>
    </w:p>
    <w:p w14:paraId="327E6A04">
      <w:pPr>
        <w:pStyle w:val="5"/>
        <w:spacing w:before="102" w:after="120" w:line="417" w:lineRule="auto"/>
        <w:ind w:right="376" w:firstLine="4830" w:firstLineChars="23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日 期：</w:t>
      </w:r>
    </w:p>
    <w:p w14:paraId="7B336DA2">
      <w:pPr>
        <w:spacing w:line="360" w:lineRule="auto"/>
        <w:ind w:firstLine="420" w:firstLineChars="200"/>
        <w:rPr>
          <w:rFonts w:hint="eastAsia" w:ascii="宋体" w:hAnsi="宋体"/>
          <w:szCs w:val="21"/>
          <w:highlight w:val="none"/>
        </w:rPr>
      </w:pPr>
    </w:p>
    <w:p w14:paraId="48848C86">
      <w:pPr>
        <w:spacing w:line="360" w:lineRule="auto"/>
        <w:ind w:firstLine="420" w:firstLineChars="200"/>
        <w:rPr>
          <w:rFonts w:hint="eastAsia" w:ascii="宋体" w:hAnsi="宋体"/>
          <w:szCs w:val="21"/>
          <w:highlight w:val="none"/>
        </w:rPr>
      </w:pPr>
    </w:p>
    <w:p w14:paraId="0A901BE8">
      <w:pPr>
        <w:spacing w:line="360" w:lineRule="auto"/>
        <w:ind w:firstLine="420" w:firstLineChars="200"/>
        <w:rPr>
          <w:rFonts w:hint="eastAsia" w:ascii="宋体" w:hAnsi="宋体"/>
          <w:szCs w:val="21"/>
          <w:highlight w:val="none"/>
        </w:rPr>
      </w:pPr>
    </w:p>
    <w:p w14:paraId="05747A97">
      <w:pPr>
        <w:spacing w:line="360" w:lineRule="auto"/>
        <w:ind w:firstLine="420" w:firstLineChars="200"/>
        <w:rPr>
          <w:rFonts w:hint="eastAsia" w:ascii="宋体" w:hAnsi="宋体"/>
          <w:szCs w:val="21"/>
          <w:highlight w:val="none"/>
        </w:rPr>
      </w:pPr>
    </w:p>
    <w:p w14:paraId="09CE53F2">
      <w:pPr>
        <w:spacing w:line="360" w:lineRule="auto"/>
        <w:ind w:firstLine="420" w:firstLineChars="200"/>
        <w:rPr>
          <w:rFonts w:ascii="宋体" w:hAnsi="宋体" w:cs="宋体"/>
          <w:b/>
          <w:bCs/>
          <w:kern w:val="28"/>
          <w:sz w:val="30"/>
          <w:szCs w:val="30"/>
          <w:highlight w:val="none"/>
        </w:rPr>
      </w:pPr>
      <w:r>
        <w:rPr>
          <w:rFonts w:hint="eastAsia" w:ascii="宋体" w:hAnsi="宋体"/>
          <w:szCs w:val="21"/>
          <w:highlight w:val="none"/>
        </w:rPr>
        <w:t>注：从业人员、 营业收入、 资产总额填报上一年度数据，无上一年度数据的新成立企业可不填报。</w:t>
      </w:r>
    </w:p>
    <w:p w14:paraId="662730D0">
      <w:pPr>
        <w:rPr>
          <w:rFonts w:ascii="宋体" w:hAnsi="宋体" w:cs="宋体"/>
          <w:szCs w:val="21"/>
          <w:highlight w:val="none"/>
        </w:rPr>
      </w:pPr>
    </w:p>
    <w:p w14:paraId="0DA36FC8">
      <w:pPr>
        <w:widowControl/>
        <w:jc w:val="left"/>
        <w:outlineLvl w:val="0"/>
        <w:rPr>
          <w:rFonts w:ascii="宋体" w:hAnsi="宋体"/>
          <w:b/>
          <w:color w:val="000000"/>
          <w:kern w:val="0"/>
          <w:sz w:val="30"/>
          <w:szCs w:val="24"/>
          <w:highlight w:val="none"/>
        </w:rPr>
      </w:pPr>
      <w:bookmarkStart w:id="684" w:name="_Toc27983"/>
      <w:r>
        <w:rPr>
          <w:rFonts w:hint="eastAsia" w:ascii="宋体" w:hAnsi="宋体"/>
          <w:b/>
          <w:bCs/>
          <w:color w:val="000000"/>
          <w:kern w:val="0"/>
          <w:sz w:val="24"/>
          <w:szCs w:val="24"/>
          <w:highlight w:val="none"/>
        </w:rPr>
        <w:t>附件2：</w:t>
      </w:r>
      <w:bookmarkEnd w:id="684"/>
    </w:p>
    <w:p w14:paraId="0BC3AFAF">
      <w:pPr>
        <w:keepNext/>
        <w:keepLines/>
        <w:tabs>
          <w:tab w:val="left" w:pos="840"/>
        </w:tabs>
        <w:spacing w:before="260" w:after="260" w:line="412" w:lineRule="auto"/>
        <w:ind w:left="420" w:leftChars="0"/>
        <w:jc w:val="center"/>
        <w:outlineLvl w:val="9"/>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p>
    <w:p w14:paraId="29304C0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38EF67">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02723DB9">
      <w:pPr>
        <w:spacing w:line="440" w:lineRule="exact"/>
        <w:rPr>
          <w:rFonts w:ascii="宋体" w:hAnsi="宋体" w:cs="宋体"/>
          <w:spacing w:val="6"/>
          <w:szCs w:val="21"/>
          <w:highlight w:val="none"/>
        </w:rPr>
      </w:pPr>
    </w:p>
    <w:p w14:paraId="31B7251D">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F05FC34">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74046988">
      <w:pPr>
        <w:widowControl/>
        <w:spacing w:line="440" w:lineRule="exact"/>
        <w:rPr>
          <w:rFonts w:ascii="宋体" w:hAnsi="宋体" w:cs="宋体"/>
          <w:b/>
          <w:szCs w:val="21"/>
          <w:highlight w:val="none"/>
        </w:rPr>
      </w:pPr>
    </w:p>
    <w:p w14:paraId="62DC9A1E">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7C59D519">
      <w:pPr>
        <w:widowControl/>
        <w:spacing w:line="440" w:lineRule="exact"/>
        <w:rPr>
          <w:rFonts w:ascii="宋体" w:hAnsi="宋体" w:cs="宋体"/>
          <w:b/>
          <w:szCs w:val="21"/>
          <w:highlight w:val="none"/>
        </w:rPr>
      </w:pPr>
      <w:r>
        <w:rPr>
          <w:rFonts w:hint="eastAsia" w:ascii="宋体" w:hAnsi="宋体" w:cs="宋体"/>
          <w:b/>
          <w:szCs w:val="21"/>
          <w:highlight w:val="none"/>
        </w:rPr>
        <w:t>》。）</w:t>
      </w:r>
    </w:p>
    <w:p w14:paraId="36F8EC78">
      <w:pPr>
        <w:tabs>
          <w:tab w:val="left" w:pos="840"/>
        </w:tabs>
        <w:autoSpaceDE w:val="0"/>
        <w:autoSpaceDN w:val="0"/>
        <w:adjustRightInd w:val="0"/>
        <w:spacing w:line="440" w:lineRule="exact"/>
        <w:rPr>
          <w:rFonts w:ascii="宋体" w:hAnsi="宋体"/>
          <w:b/>
          <w:sz w:val="24"/>
          <w:highlight w:val="none"/>
        </w:rPr>
      </w:pPr>
    </w:p>
    <w:p w14:paraId="38A67ED1">
      <w:pPr>
        <w:spacing w:line="440" w:lineRule="exact"/>
        <w:rPr>
          <w:highlight w:val="none"/>
        </w:rPr>
      </w:pPr>
      <w:r>
        <w:rPr>
          <w:rFonts w:hint="eastAsia"/>
          <w:highlight w:val="none"/>
        </w:rPr>
        <w:t>《财政部民政部中国残疾人联合会关于促进残疾人就业政府采购政策的通知》（财库（2017〔141〕号）的规定：</w:t>
      </w:r>
    </w:p>
    <w:p w14:paraId="7C1DAF0C">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87A7D7F">
      <w:pPr>
        <w:spacing w:line="440" w:lineRule="exact"/>
        <w:rPr>
          <w:highlight w:val="none"/>
        </w:rPr>
      </w:pPr>
      <w:r>
        <w:rPr>
          <w:rFonts w:hint="eastAsia"/>
          <w:highlight w:val="none"/>
        </w:rPr>
        <w:t>（1）安置的残疾人占本单位在职职工人数的比例不低于25%（含25%），并且安置的残疾人人数不少于10人（含10人）；</w:t>
      </w:r>
    </w:p>
    <w:p w14:paraId="5C0DE949">
      <w:pPr>
        <w:spacing w:line="440" w:lineRule="exact"/>
        <w:rPr>
          <w:highlight w:val="none"/>
        </w:rPr>
      </w:pPr>
      <w:r>
        <w:rPr>
          <w:rFonts w:hint="eastAsia"/>
          <w:highlight w:val="none"/>
        </w:rPr>
        <w:t>（2）依法与安置的每位残疾人签订了一年以上（含一年）的劳动合同或服务协议；</w:t>
      </w:r>
    </w:p>
    <w:p w14:paraId="489DCC5F">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7844C2FD">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302E9C26">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097DFDE4">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14AB8BFD">
      <w:pPr>
        <w:keepNext/>
        <w:keepLines/>
        <w:tabs>
          <w:tab w:val="left" w:pos="840"/>
        </w:tabs>
        <w:spacing w:before="260" w:after="260" w:line="412" w:lineRule="auto"/>
        <w:outlineLvl w:val="0"/>
        <w:rPr>
          <w:rFonts w:ascii="宋体" w:hAnsi="宋体"/>
          <w:b/>
          <w:bCs/>
          <w:color w:val="000000"/>
          <w:kern w:val="0"/>
          <w:sz w:val="24"/>
          <w:szCs w:val="24"/>
          <w:highlight w:val="none"/>
        </w:rPr>
      </w:pPr>
      <w:bookmarkStart w:id="685" w:name="_Toc19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bookmarkEnd w:id="685"/>
    </w:p>
    <w:p w14:paraId="5ECCE00C">
      <w:pPr>
        <w:keepNext/>
        <w:keepLines/>
        <w:tabs>
          <w:tab w:val="left" w:pos="840"/>
        </w:tabs>
        <w:spacing w:before="260" w:after="260" w:line="412" w:lineRule="auto"/>
        <w:ind w:left="420" w:leftChars="0"/>
        <w:jc w:val="center"/>
        <w:outlineLvl w:val="9"/>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p>
    <w:p w14:paraId="163A0331">
      <w:pPr>
        <w:rPr>
          <w:highlight w:val="none"/>
          <w:lang w:val="en-GB"/>
        </w:rPr>
      </w:pPr>
    </w:p>
    <w:p w14:paraId="0F2705EE">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070166B6">
      <w:pPr>
        <w:spacing w:line="360" w:lineRule="auto"/>
        <w:rPr>
          <w:highlight w:val="none"/>
          <w:lang w:val="en-GB"/>
        </w:rPr>
      </w:pPr>
    </w:p>
    <w:p w14:paraId="0B9A613A">
      <w:pPr>
        <w:spacing w:line="360" w:lineRule="auto"/>
        <w:rPr>
          <w:highlight w:val="none"/>
          <w:lang w:val="en-GB"/>
        </w:rPr>
      </w:pPr>
    </w:p>
    <w:p w14:paraId="320B58F4">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6F1B3BA5">
      <w:pPr>
        <w:widowControl/>
        <w:spacing w:before="100" w:beforeAutospacing="1" w:after="100" w:afterAutospacing="1"/>
        <w:jc w:val="left"/>
        <w:rPr>
          <w:rFonts w:ascii="宋体" w:hAnsi="宋体"/>
          <w:kern w:val="0"/>
          <w:sz w:val="24"/>
          <w:szCs w:val="24"/>
          <w:highlight w:val="none"/>
        </w:rPr>
      </w:pPr>
    </w:p>
    <w:p w14:paraId="47AE0F92">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5DEB8CA">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39B7B66F">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0F189CA">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1C6C67C8">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bookmarkEnd w:id="682"/>
    <w:p w14:paraId="74BB63EB">
      <w:pPr>
        <w:keepNext/>
        <w:widowControl/>
        <w:spacing w:line="480" w:lineRule="exact"/>
        <w:jc w:val="both"/>
        <w:outlineLvl w:val="9"/>
        <w:rPr>
          <w:rFonts w:hint="default" w:ascii="宋体" w:hAnsi="宋体" w:eastAsia="宋体" w:cs="宋体"/>
          <w:b/>
          <w:bCs/>
          <w:color w:val="auto"/>
          <w:sz w:val="28"/>
          <w:szCs w:val="28"/>
          <w:highlight w:val="none"/>
          <w:lang w:val="en-US" w:eastAsia="zh-CN"/>
        </w:rPr>
      </w:pPr>
    </w:p>
    <w:p w14:paraId="56A0D47A">
      <w:pPr>
        <w:keepNext/>
        <w:keepLines/>
        <w:autoSpaceDE w:val="0"/>
        <w:autoSpaceDN w:val="0"/>
        <w:spacing w:line="360" w:lineRule="auto"/>
        <w:jc w:val="both"/>
        <w:outlineLvl w:val="9"/>
        <w:rPr>
          <w:rFonts w:ascii="宋体" w:hAnsi="宋体"/>
          <w:b/>
          <w:color w:val="000000"/>
          <w:kern w:val="0"/>
          <w:sz w:val="28"/>
          <w:szCs w:val="28"/>
          <w:highlight w:val="none"/>
        </w:rPr>
      </w:pPr>
    </w:p>
    <w:p w14:paraId="59CE2CF5">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51E32DF3">
      <w:pPr>
        <w:spacing w:line="220" w:lineRule="atLeast"/>
        <w:rPr>
          <w:highlight w:val="none"/>
        </w:rPr>
      </w:pPr>
    </w:p>
    <w:p w14:paraId="77249D80">
      <w:pPr>
        <w:spacing w:line="480" w:lineRule="exact"/>
        <w:textAlignment w:val="center"/>
        <w:rPr>
          <w:rFonts w:hint="eastAsia" w:ascii="宋体" w:hAnsi="宋体" w:cs="宋体"/>
          <w:sz w:val="24"/>
          <w:highlight w:val="none"/>
        </w:rPr>
      </w:pPr>
    </w:p>
    <w:p w14:paraId="48696B26">
      <w:pPr>
        <w:spacing w:line="480" w:lineRule="exact"/>
        <w:textAlignment w:val="center"/>
        <w:rPr>
          <w:rFonts w:hint="eastAsia" w:ascii="宋体" w:hAnsi="宋体" w:cs="宋体"/>
          <w:b/>
          <w:bCs/>
          <w:sz w:val="24"/>
          <w:highlight w:val="none"/>
        </w:rPr>
      </w:pPr>
      <w:r>
        <w:rPr>
          <w:rFonts w:hint="eastAsia" w:ascii="宋体" w:hAnsi="宋体" w:cs="宋体"/>
          <w:sz w:val="24"/>
          <w:highlight w:val="none"/>
        </w:rPr>
        <w:t xml:space="preserve"> </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_5b8b_4f53">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10"/>
      <w:jc w:val="center"/>
    </w:pPr>
    <w:r>
      <w:fldChar w:fldCharType="begin"/>
    </w:r>
    <w:r>
      <w:instrText xml:space="preserve"> PAGE   \* MERGEFORMAT </w:instrText>
    </w:r>
    <w:r>
      <w:fldChar w:fldCharType="separate"/>
    </w:r>
    <w:r>
      <w:rPr>
        <w:lang w:val="zh-CN"/>
      </w:rPr>
      <w:t>51</w:t>
    </w:r>
    <w:r>
      <w:fldChar w:fldCharType="end"/>
    </w:r>
  </w:p>
  <w:p w14:paraId="120E2D95">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EE33">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AFE00">
                          <w:pPr>
                            <w:pStyle w:val="10"/>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0B5AFE00">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361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99A305"/>
    <w:multiLevelType w:val="singleLevel"/>
    <w:tmpl w:val="2399A305"/>
    <w:lvl w:ilvl="0" w:tentative="0">
      <w:start w:val="6"/>
      <w:numFmt w:val="decimal"/>
      <w:suff w:val="nothing"/>
      <w:lvlText w:val="%1、"/>
      <w:lvlJc w:val="left"/>
    </w:lvl>
  </w:abstractNum>
  <w:abstractNum w:abstractNumId="3">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768B4DC"/>
    <w:multiLevelType w:val="singleLevel"/>
    <w:tmpl w:val="3768B4DC"/>
    <w:lvl w:ilvl="0" w:tentative="0">
      <w:start w:val="2"/>
      <w:numFmt w:val="decimal"/>
      <w:suff w:val="nothing"/>
      <w:lvlText w:val="%1、"/>
      <w:lvlJc w:val="left"/>
    </w:lvl>
  </w:abstractNum>
  <w:abstractNum w:abstractNumId="5">
    <w:nsid w:val="38CF757B"/>
    <w:multiLevelType w:val="singleLevel"/>
    <w:tmpl w:val="38CF757B"/>
    <w:lvl w:ilvl="0" w:tentative="0">
      <w:start w:val="4"/>
      <w:numFmt w:val="chineseCounting"/>
      <w:suff w:val="nothing"/>
      <w:lvlText w:val="%1、"/>
      <w:lvlJc w:val="left"/>
      <w:rPr>
        <w:rFonts w:hint="eastAsia"/>
      </w:rPr>
    </w:lvl>
  </w:abstractNum>
  <w:abstractNum w:abstractNumId="6">
    <w:nsid w:val="3942CB99"/>
    <w:multiLevelType w:val="singleLevel"/>
    <w:tmpl w:val="3942CB99"/>
    <w:lvl w:ilvl="0" w:tentative="0">
      <w:start w:val="2"/>
      <w:numFmt w:val="decimal"/>
      <w:lvlText w:val="%1."/>
      <w:lvlJc w:val="left"/>
      <w:pPr>
        <w:tabs>
          <w:tab w:val="left" w:pos="312"/>
        </w:tabs>
      </w:pPr>
    </w:lvl>
  </w:abstractNum>
  <w:abstractNum w:abstractNumId="7">
    <w:nsid w:val="4A2313DB"/>
    <w:multiLevelType w:val="singleLevel"/>
    <w:tmpl w:val="4A2313DB"/>
    <w:lvl w:ilvl="0" w:tentative="0">
      <w:start w:val="1"/>
      <w:numFmt w:val="decimal"/>
      <w:suff w:val="nothing"/>
      <w:lvlText w:val="%1、"/>
      <w:lvlJc w:val="left"/>
    </w:lvl>
  </w:abstractNum>
  <w:num w:numId="1">
    <w:abstractNumId w:val="2"/>
  </w:num>
  <w:num w:numId="2">
    <w:abstractNumId w:val="6"/>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03577A2"/>
    <w:rsid w:val="006F7F72"/>
    <w:rsid w:val="021A27AB"/>
    <w:rsid w:val="02C40969"/>
    <w:rsid w:val="03B4047B"/>
    <w:rsid w:val="04A66578"/>
    <w:rsid w:val="060E6ACB"/>
    <w:rsid w:val="077A53ED"/>
    <w:rsid w:val="07CF369E"/>
    <w:rsid w:val="09002522"/>
    <w:rsid w:val="0ACE6FDF"/>
    <w:rsid w:val="0DB86C18"/>
    <w:rsid w:val="0EB83A78"/>
    <w:rsid w:val="0FF643BB"/>
    <w:rsid w:val="10266267"/>
    <w:rsid w:val="116457F1"/>
    <w:rsid w:val="12D42619"/>
    <w:rsid w:val="153D756E"/>
    <w:rsid w:val="158133EF"/>
    <w:rsid w:val="163634D4"/>
    <w:rsid w:val="193463F1"/>
    <w:rsid w:val="1999688D"/>
    <w:rsid w:val="19AA6CD4"/>
    <w:rsid w:val="1D9A312D"/>
    <w:rsid w:val="1E2647B5"/>
    <w:rsid w:val="1FD87CB3"/>
    <w:rsid w:val="20690547"/>
    <w:rsid w:val="21F93D33"/>
    <w:rsid w:val="223034CD"/>
    <w:rsid w:val="23717875"/>
    <w:rsid w:val="23E10F23"/>
    <w:rsid w:val="2432352D"/>
    <w:rsid w:val="24AF1021"/>
    <w:rsid w:val="25496D80"/>
    <w:rsid w:val="27CB43C4"/>
    <w:rsid w:val="280E28F6"/>
    <w:rsid w:val="289A324F"/>
    <w:rsid w:val="28C826B1"/>
    <w:rsid w:val="28DC4973"/>
    <w:rsid w:val="29EC6874"/>
    <w:rsid w:val="2A58320D"/>
    <w:rsid w:val="2A6A2ACF"/>
    <w:rsid w:val="2B157704"/>
    <w:rsid w:val="2BD61589"/>
    <w:rsid w:val="2BDA47DA"/>
    <w:rsid w:val="2CE25B95"/>
    <w:rsid w:val="2F0D52C2"/>
    <w:rsid w:val="2F143740"/>
    <w:rsid w:val="2F90171F"/>
    <w:rsid w:val="2FBD0A96"/>
    <w:rsid w:val="3102072B"/>
    <w:rsid w:val="3183186B"/>
    <w:rsid w:val="3216623C"/>
    <w:rsid w:val="32D61E6F"/>
    <w:rsid w:val="331B019D"/>
    <w:rsid w:val="337C2A16"/>
    <w:rsid w:val="3390481C"/>
    <w:rsid w:val="33C81968"/>
    <w:rsid w:val="391D7CAB"/>
    <w:rsid w:val="397C551E"/>
    <w:rsid w:val="3B190B4B"/>
    <w:rsid w:val="3E314013"/>
    <w:rsid w:val="3F4E2026"/>
    <w:rsid w:val="3FC43DF8"/>
    <w:rsid w:val="402443FA"/>
    <w:rsid w:val="40714F85"/>
    <w:rsid w:val="40AA5A49"/>
    <w:rsid w:val="40B338BC"/>
    <w:rsid w:val="40CB304E"/>
    <w:rsid w:val="40FC2C13"/>
    <w:rsid w:val="42196D3E"/>
    <w:rsid w:val="440E4AB8"/>
    <w:rsid w:val="464D150D"/>
    <w:rsid w:val="47C9793E"/>
    <w:rsid w:val="483D231C"/>
    <w:rsid w:val="48514479"/>
    <w:rsid w:val="48E56510"/>
    <w:rsid w:val="49E36EF3"/>
    <w:rsid w:val="4D61085B"/>
    <w:rsid w:val="4D743895"/>
    <w:rsid w:val="4DA327E9"/>
    <w:rsid w:val="4EA135A7"/>
    <w:rsid w:val="4F3F2E1E"/>
    <w:rsid w:val="4F895E47"/>
    <w:rsid w:val="4FE044A3"/>
    <w:rsid w:val="525E6123"/>
    <w:rsid w:val="527E5C57"/>
    <w:rsid w:val="529C6BFA"/>
    <w:rsid w:val="5337169E"/>
    <w:rsid w:val="5402441A"/>
    <w:rsid w:val="54490E62"/>
    <w:rsid w:val="54B30FDA"/>
    <w:rsid w:val="55D96F95"/>
    <w:rsid w:val="57352F3C"/>
    <w:rsid w:val="57617F01"/>
    <w:rsid w:val="57664CC0"/>
    <w:rsid w:val="585D2FF4"/>
    <w:rsid w:val="59DD53DB"/>
    <w:rsid w:val="5BF037E6"/>
    <w:rsid w:val="5C0324C1"/>
    <w:rsid w:val="5C4C0928"/>
    <w:rsid w:val="5CF504E8"/>
    <w:rsid w:val="5D731EE5"/>
    <w:rsid w:val="5D8D744A"/>
    <w:rsid w:val="5EFA44B9"/>
    <w:rsid w:val="5FA25B22"/>
    <w:rsid w:val="61442C54"/>
    <w:rsid w:val="62E34D32"/>
    <w:rsid w:val="63476AA6"/>
    <w:rsid w:val="66140709"/>
    <w:rsid w:val="672506F4"/>
    <w:rsid w:val="67850037"/>
    <w:rsid w:val="68417457"/>
    <w:rsid w:val="68713DBF"/>
    <w:rsid w:val="692C5FC9"/>
    <w:rsid w:val="6A877381"/>
    <w:rsid w:val="6E011F24"/>
    <w:rsid w:val="6F714744"/>
    <w:rsid w:val="709E6598"/>
    <w:rsid w:val="7123407B"/>
    <w:rsid w:val="71730E29"/>
    <w:rsid w:val="71E71AD1"/>
    <w:rsid w:val="723914F7"/>
    <w:rsid w:val="732D105C"/>
    <w:rsid w:val="741C69DA"/>
    <w:rsid w:val="750A2CD7"/>
    <w:rsid w:val="771340C5"/>
    <w:rsid w:val="7747751D"/>
    <w:rsid w:val="77FE2FC7"/>
    <w:rsid w:val="782A5B6A"/>
    <w:rsid w:val="789C4A53"/>
    <w:rsid w:val="78F60CC8"/>
    <w:rsid w:val="7B914152"/>
    <w:rsid w:val="7BC47442"/>
    <w:rsid w:val="7BFF2E69"/>
    <w:rsid w:val="7C4F5666"/>
    <w:rsid w:val="7E0E6C5F"/>
    <w:rsid w:val="7E4C2EA5"/>
    <w:rsid w:val="7EB52241"/>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Body Text"/>
    <w:basedOn w:val="1"/>
    <w:next w:val="6"/>
    <w:qFormat/>
    <w:uiPriority w:val="0"/>
    <w:pPr>
      <w:ind w:left="122"/>
    </w:pPr>
    <w:rPr>
      <w:rFonts w:ascii="宋体" w:hAnsi="宋体" w:eastAsia="宋体"/>
      <w:sz w:val="21"/>
      <w:szCs w:val="21"/>
    </w:rPr>
  </w:style>
  <w:style w:type="paragraph" w:customStyle="1" w:styleId="6">
    <w:name w:val="Default"/>
    <w:basedOn w:val="1"/>
    <w:next w:val="1"/>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styleId="7">
    <w:name w:val="Body Text Indent"/>
    <w:basedOn w:val="1"/>
    <w:next w:val="8"/>
    <w:qFormat/>
    <w:uiPriority w:val="0"/>
    <w:pPr>
      <w:spacing w:after="120"/>
      <w:ind w:left="420" w:leftChars="200"/>
    </w:pPr>
  </w:style>
  <w:style w:type="paragraph" w:styleId="8">
    <w:name w:val="envelope return"/>
    <w:basedOn w:val="1"/>
    <w:semiHidden/>
    <w:qFormat/>
    <w:uiPriority w:val="0"/>
    <w:pPr>
      <w:snapToGrid w:val="0"/>
      <w:spacing w:after="200" w:line="276" w:lineRule="auto"/>
    </w:pPr>
    <w:rPr>
      <w:rFonts w:ascii="Arial" w:hAnsi="Arial" w:cs="Arial"/>
      <w:lang w:bidi="en-US"/>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13">
    <w:name w:val="Message Header"/>
    <w:basedOn w:val="1"/>
    <w:next w:val="1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14">
    <w:name w:val="我的正文"/>
    <w:basedOn w:val="7"/>
    <w:autoRedefine/>
    <w:qFormat/>
    <w:uiPriority w:val="0"/>
    <w:pPr>
      <w:ind w:firstLine="480" w:firstLineChars="200"/>
    </w:pPr>
    <w:rPr>
      <w:szCs w:val="20"/>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1"/>
    <w:next w:val="17"/>
    <w:qFormat/>
    <w:uiPriority w:val="0"/>
    <w:pPr>
      <w:widowControl/>
      <w:spacing w:line="276" w:lineRule="auto"/>
      <w:ind w:firstLine="420" w:firstLineChars="100"/>
      <w:jc w:val="left"/>
    </w:pPr>
    <w:rPr>
      <w:rFonts w:ascii="宋体" w:eastAsia="仿宋" w:cs="Times New Roman"/>
      <w:kern w:val="0"/>
      <w:sz w:val="24"/>
      <w:szCs w:val="21"/>
    </w:rPr>
  </w:style>
  <w:style w:type="paragraph" w:styleId="17">
    <w:name w:val="Body Text First Indent 2"/>
    <w:basedOn w:val="1"/>
    <w:next w:val="1"/>
    <w:qFormat/>
    <w:uiPriority w:val="0"/>
    <w:pPr>
      <w:widowControl/>
      <w:spacing w:line="276" w:lineRule="auto"/>
      <w:ind w:firstLine="420" w:firstLineChars="200"/>
      <w:jc w:val="left"/>
    </w:pPr>
    <w:rPr>
      <w:rFonts w:ascii="宋体" w:hAnsi="Calibri" w:eastAsia="仿宋" w:cs="Times New Roman"/>
      <w:kern w:val="0"/>
      <w:sz w:val="24"/>
      <w:szCs w:val="21"/>
    </w:rPr>
  </w:style>
  <w:style w:type="table" w:styleId="19">
    <w:name w:val="Table Grid"/>
    <w:basedOn w:val="1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character" w:customStyle="1" w:styleId="33">
    <w:name w:val="first-child"/>
    <w:basedOn w:val="20"/>
    <w:qFormat/>
    <w:uiPriority w:val="0"/>
  </w:style>
  <w:style w:type="character" w:customStyle="1" w:styleId="34">
    <w:name w:val="layui-layer-tabnow"/>
    <w:basedOn w:val="20"/>
    <w:qFormat/>
    <w:uiPriority w:val="0"/>
    <w:rPr>
      <w:bdr w:val="single" w:color="CCCCCC" w:sz="6" w:space="0"/>
      <w:shd w:val="clear" w:fill="FFFFFF"/>
    </w:rPr>
  </w:style>
  <w:style w:type="character" w:customStyle="1" w:styleId="35">
    <w:name w:val="hover"/>
    <w:basedOn w:val="20"/>
    <w:qFormat/>
    <w:uiPriority w:val="0"/>
    <w:rPr>
      <w:color w:val="2590EB"/>
    </w:rPr>
  </w:style>
  <w:style w:type="character" w:customStyle="1" w:styleId="36">
    <w:name w:val="hover1"/>
    <w:basedOn w:val="20"/>
    <w:qFormat/>
    <w:uiPriority w:val="0"/>
    <w:rPr>
      <w:color w:val="2590EB"/>
    </w:rPr>
  </w:style>
  <w:style w:type="character" w:customStyle="1" w:styleId="37">
    <w:name w:val="hover2"/>
    <w:basedOn w:val="20"/>
    <w:qFormat/>
    <w:uiPriority w:val="0"/>
  </w:style>
  <w:style w:type="character" w:customStyle="1" w:styleId="38">
    <w:name w:val="mini-outputtext1"/>
    <w:basedOn w:val="20"/>
    <w:qFormat/>
    <w:uiPriority w:val="0"/>
  </w:style>
  <w:style w:type="character" w:customStyle="1" w:styleId="39">
    <w:name w:val="hover3"/>
    <w:basedOn w:val="20"/>
    <w:qFormat/>
    <w:uiPriority w:val="0"/>
  </w:style>
  <w:style w:type="paragraph" w:styleId="40">
    <w:name w:val="List Paragraph"/>
    <w:basedOn w:val="1"/>
    <w:qFormat/>
    <w:uiPriority w:val="0"/>
    <w:pPr>
      <w:ind w:firstLine="420" w:firstLineChars="200"/>
    </w:pPr>
    <w:rPr>
      <w:rFonts w:ascii="Calibri" w:hAnsi="Calibri"/>
      <w:szCs w:val="24"/>
    </w:rPr>
  </w:style>
  <w:style w:type="paragraph" w:customStyle="1" w:styleId="41">
    <w:name w:val="Normal_0_1"/>
    <w:autoRedefine/>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9035</Words>
  <Characters>10841</Characters>
  <Lines>0</Lines>
  <Paragraphs>0</Paragraphs>
  <TotalTime>9</TotalTime>
  <ScaleCrop>false</ScaleCrop>
  <LinksUpToDate>false</LinksUpToDate>
  <CharactersWithSpaces>10969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Administrator</cp:lastModifiedBy>
  <cp:lastPrinted>2024-10-14T08:11:00Z</cp:lastPrinted>
  <dcterms:modified xsi:type="dcterms:W3CDTF">2025-04-17T07:12:37Z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860C01FE9D3D48269A81509F74921D20_13</vt:lpwstr>
  </property>
  <property fmtid="{D5CDD505-2E9C-101B-9397-08002B2CF9AE}" pid="4" name="KSOTemplateDocerSaveRecord">
    <vt:lpwstr>eyJoZGlkIjoiNzA4MzhjNTY4MWFkNzY3YmMxNjIxNDBiZGRmNzdkMjYiLCJ1c2VySWQiOiIzNTI3ODc2MjUifQ==</vt:lpwstr>
  </property>
</Properties>
</file>