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DD0FB">
      <w:pPr>
        <w:spacing w:before="240" w:after="60"/>
        <w:jc w:val="center"/>
        <w:outlineLvl w:val="0"/>
        <w:rPr>
          <w:rFonts w:hint="eastAsia" w:ascii="宋体" w:hAnsi="宋体" w:eastAsia="宋体" w:cs="Times New Roman"/>
          <w:b/>
          <w:bCs/>
          <w:sz w:val="32"/>
          <w:szCs w:val="32"/>
          <w:highlight w:val="none"/>
        </w:rPr>
      </w:pPr>
      <w:bookmarkStart w:id="5" w:name="_GoBack"/>
      <w:bookmarkStart w:id="0" w:name="_Toc7104347"/>
      <w:bookmarkStart w:id="1" w:name="_Toc508875390"/>
      <w:bookmarkStart w:id="2" w:name="_Toc23444"/>
      <w:r>
        <w:rPr>
          <w:rFonts w:hint="eastAsia" w:ascii="宋体" w:hAnsi="宋体" w:eastAsia="宋体" w:cs="Times New Roman"/>
          <w:b/>
          <w:bCs/>
          <w:sz w:val="32"/>
          <w:szCs w:val="32"/>
          <w:highlight w:val="none"/>
          <w:lang w:eastAsia="zh-CN"/>
        </w:rPr>
        <w:t>国有三门峡河西林场林区生产道路维修项目</w:t>
      </w:r>
    </w:p>
    <w:p w14:paraId="327E75F2">
      <w:pPr>
        <w:spacing w:before="240" w:after="60"/>
        <w:jc w:val="center"/>
        <w:outlineLvl w:val="0"/>
        <w:rPr>
          <w:rFonts w:ascii="宋体" w:hAnsi="宋体" w:eastAsia="宋体" w:cs="宋体"/>
          <w:b/>
          <w:bCs/>
          <w:kern w:val="0"/>
          <w:sz w:val="32"/>
          <w:szCs w:val="32"/>
          <w:highlight w:val="none"/>
        </w:rPr>
      </w:pPr>
      <w:r>
        <w:rPr>
          <w:rFonts w:hint="eastAsia" w:ascii="宋体" w:hAnsi="宋体" w:eastAsia="宋体" w:cs="Times New Roman"/>
          <w:b/>
          <w:bCs/>
          <w:sz w:val="32"/>
          <w:szCs w:val="32"/>
          <w:highlight w:val="none"/>
        </w:rPr>
        <w:t>竞争性磋商公告</w:t>
      </w:r>
      <w:bookmarkEnd w:id="0"/>
      <w:bookmarkEnd w:id="1"/>
      <w:bookmarkEnd w:id="2"/>
      <w:bookmarkStart w:id="3" w:name="_Toc508875393"/>
    </w:p>
    <w:bookmarkEnd w:id="5"/>
    <w:p w14:paraId="1DE200A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rPr>
      </w:pPr>
      <w:bookmarkStart w:id="4" w:name="_Toc7104348"/>
      <w:r>
        <w:rPr>
          <w:rFonts w:hint="eastAsia" w:ascii="宋体" w:hAnsi="宋体" w:eastAsia="宋体" w:cs="宋体"/>
          <w:kern w:val="0"/>
          <w:sz w:val="24"/>
          <w:szCs w:val="24"/>
          <w:highlight w:val="none"/>
          <w:lang w:eastAsia="zh-CN"/>
        </w:rPr>
        <w:t>国有三门峡河西林场林区生产道路维修项目</w:t>
      </w:r>
      <w:r>
        <w:rPr>
          <w:rFonts w:hint="eastAsia" w:ascii="宋体" w:hAnsi="宋体" w:eastAsia="宋体" w:cs="宋体"/>
          <w:kern w:val="0"/>
          <w:sz w:val="24"/>
          <w:szCs w:val="24"/>
          <w:highlight w:val="none"/>
        </w:rPr>
        <w:t>的潜在供应商凭CA登录三门峡市公共资源交易中心网获取本项目磋商文件，并于</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分（北京时间）前提交响应文件。</w:t>
      </w:r>
    </w:p>
    <w:p w14:paraId="24205EFE">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一、项目基本情况</w:t>
      </w:r>
    </w:p>
    <w:p w14:paraId="4F7E087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采购编号：</w:t>
      </w:r>
      <w:r>
        <w:rPr>
          <w:rFonts w:hint="eastAsia" w:ascii="宋体" w:hAnsi="宋体" w:eastAsia="宋体" w:cs="宋体"/>
          <w:kern w:val="0"/>
          <w:sz w:val="24"/>
          <w:szCs w:val="24"/>
          <w:highlight w:val="none"/>
          <w:lang w:val="en-US" w:eastAsia="zh-CN"/>
        </w:rPr>
        <w:t>三财竞磋采购-2025-28、</w:t>
      </w:r>
      <w:r>
        <w:rPr>
          <w:rFonts w:hint="eastAsia" w:ascii="宋体" w:hAnsi="宋体" w:eastAsia="宋体" w:cs="宋体"/>
          <w:kern w:val="0"/>
          <w:sz w:val="24"/>
          <w:szCs w:val="24"/>
          <w:highlight w:val="none"/>
          <w:lang w:eastAsia="zh-CN"/>
        </w:rPr>
        <w:t>项目编号：</w:t>
      </w:r>
      <w:r>
        <w:rPr>
          <w:rFonts w:hint="eastAsia" w:ascii="宋体" w:hAnsi="宋体" w:eastAsia="宋体" w:cs="宋体"/>
          <w:kern w:val="0"/>
          <w:sz w:val="24"/>
          <w:szCs w:val="24"/>
          <w:highlight w:val="none"/>
          <w:lang w:val="en-US" w:eastAsia="zh-CN"/>
        </w:rPr>
        <w:t>SGZ[2025]221-ZC152</w:t>
      </w:r>
    </w:p>
    <w:p w14:paraId="203AFCA3">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2、项目名称：</w:t>
      </w:r>
      <w:r>
        <w:rPr>
          <w:rFonts w:hint="eastAsia" w:ascii="宋体" w:hAnsi="宋体" w:eastAsia="宋体" w:cs="宋体"/>
          <w:kern w:val="0"/>
          <w:sz w:val="24"/>
          <w:szCs w:val="24"/>
          <w:highlight w:val="none"/>
          <w:lang w:eastAsia="zh-CN"/>
        </w:rPr>
        <w:t>国有三门峡河西林场林区生产道路维修项目</w:t>
      </w:r>
    </w:p>
    <w:p w14:paraId="39A19AEF">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3、采购方式：竞争性磋商</w:t>
      </w:r>
    </w:p>
    <w:p w14:paraId="2A5DFC1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lang w:val="en-US" w:eastAsia="zh-CN"/>
        </w:rPr>
        <w:t>招标控制价</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1370819.00元，其中一标段（大湖标段）：634492.00元；二标段（文峪标段）：736327.00元；</w:t>
      </w:r>
    </w:p>
    <w:tbl>
      <w:tblPr>
        <w:tblStyle w:val="37"/>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2447"/>
        <w:gridCol w:w="1313"/>
        <w:gridCol w:w="1350"/>
        <w:gridCol w:w="1302"/>
        <w:gridCol w:w="1362"/>
      </w:tblGrid>
      <w:tr w14:paraId="100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8" w:type="dxa"/>
            <w:vAlign w:val="center"/>
          </w:tcPr>
          <w:p w14:paraId="5612964F">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550" w:type="dxa"/>
            <w:vAlign w:val="center"/>
          </w:tcPr>
          <w:p w14:paraId="79C0251D">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包号</w:t>
            </w:r>
          </w:p>
        </w:tc>
        <w:tc>
          <w:tcPr>
            <w:tcW w:w="2447" w:type="dxa"/>
            <w:vAlign w:val="center"/>
          </w:tcPr>
          <w:p w14:paraId="0C7EC961">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包名称</w:t>
            </w:r>
          </w:p>
        </w:tc>
        <w:tc>
          <w:tcPr>
            <w:tcW w:w="1313" w:type="dxa"/>
            <w:vAlign w:val="center"/>
          </w:tcPr>
          <w:p w14:paraId="6EC3C6E0">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包预算（元）</w:t>
            </w:r>
          </w:p>
        </w:tc>
        <w:tc>
          <w:tcPr>
            <w:tcW w:w="1350" w:type="dxa"/>
            <w:vAlign w:val="center"/>
          </w:tcPr>
          <w:p w14:paraId="2EB1FD13">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包最高限价（元）</w:t>
            </w:r>
          </w:p>
        </w:tc>
        <w:tc>
          <w:tcPr>
            <w:tcW w:w="1302" w:type="dxa"/>
            <w:vAlign w:val="center"/>
          </w:tcPr>
          <w:p w14:paraId="24AA694C">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是否专门面向中小企业</w:t>
            </w:r>
          </w:p>
        </w:tc>
        <w:tc>
          <w:tcPr>
            <w:tcW w:w="1362" w:type="dxa"/>
            <w:vAlign w:val="center"/>
          </w:tcPr>
          <w:p w14:paraId="4BCCEAC4">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采购预留金额（元）</w:t>
            </w:r>
          </w:p>
        </w:tc>
      </w:tr>
      <w:tr w14:paraId="5A32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8" w:type="dxa"/>
            <w:vAlign w:val="center"/>
          </w:tcPr>
          <w:p w14:paraId="15038F82">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1</w:t>
            </w:r>
          </w:p>
        </w:tc>
        <w:tc>
          <w:tcPr>
            <w:tcW w:w="1550" w:type="dxa"/>
            <w:vAlign w:val="center"/>
          </w:tcPr>
          <w:p w14:paraId="23FE25EA">
            <w:pPr>
              <w:adjustRightInd/>
              <w:snapToGrid/>
              <w:spacing w:after="0" w:line="5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SGZ[2025]221-ZC152</w:t>
            </w:r>
            <w:r>
              <w:rPr>
                <w:rFonts w:hint="eastAsia" w:ascii="宋体" w:hAnsi="宋体" w:eastAsia="宋体" w:cs="宋体"/>
                <w:sz w:val="21"/>
                <w:szCs w:val="21"/>
                <w:lang w:val="en-US" w:eastAsia="zh-CN"/>
              </w:rPr>
              <w:t>-1</w:t>
            </w:r>
          </w:p>
        </w:tc>
        <w:tc>
          <w:tcPr>
            <w:tcW w:w="2447" w:type="dxa"/>
            <w:vAlign w:val="center"/>
          </w:tcPr>
          <w:p w14:paraId="52254469">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国有三门峡河西林场林区生产道路维修项目（一标段大湖标段）</w:t>
            </w:r>
          </w:p>
        </w:tc>
        <w:tc>
          <w:tcPr>
            <w:tcW w:w="1313" w:type="dxa"/>
            <w:vAlign w:val="center"/>
          </w:tcPr>
          <w:p w14:paraId="46256611">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634492.00</w:t>
            </w:r>
          </w:p>
        </w:tc>
        <w:tc>
          <w:tcPr>
            <w:tcW w:w="1350" w:type="dxa"/>
            <w:vAlign w:val="center"/>
          </w:tcPr>
          <w:p w14:paraId="7DB1E886">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634492.00</w:t>
            </w:r>
          </w:p>
        </w:tc>
        <w:tc>
          <w:tcPr>
            <w:tcW w:w="1302" w:type="dxa"/>
            <w:vAlign w:val="center"/>
          </w:tcPr>
          <w:p w14:paraId="7F6F71D9">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color w:val="333333"/>
                <w:sz w:val="21"/>
                <w:szCs w:val="21"/>
                <w:lang w:val="en-US" w:eastAsia="zh-CN"/>
              </w:rPr>
              <w:t>否</w:t>
            </w:r>
          </w:p>
        </w:tc>
        <w:tc>
          <w:tcPr>
            <w:tcW w:w="1362" w:type="dxa"/>
            <w:vAlign w:val="center"/>
          </w:tcPr>
          <w:p w14:paraId="058BB7D3">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634492.00</w:t>
            </w:r>
          </w:p>
        </w:tc>
      </w:tr>
      <w:tr w14:paraId="59D0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8" w:type="dxa"/>
            <w:vAlign w:val="center"/>
          </w:tcPr>
          <w:p w14:paraId="4CB9E85B">
            <w:pPr>
              <w:adjustRightInd/>
              <w:snapToGrid/>
              <w:spacing w:after="0" w:line="5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50" w:type="dxa"/>
            <w:vAlign w:val="center"/>
          </w:tcPr>
          <w:p w14:paraId="660408F4">
            <w:pPr>
              <w:adjustRightInd/>
              <w:snapToGrid/>
              <w:spacing w:after="0" w:line="5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SGZ[2025]221-ZC152</w:t>
            </w:r>
            <w:r>
              <w:rPr>
                <w:rFonts w:hint="eastAsia" w:ascii="宋体" w:hAnsi="宋体" w:eastAsia="宋体" w:cs="宋体"/>
                <w:sz w:val="21"/>
                <w:szCs w:val="21"/>
                <w:lang w:val="en-US" w:eastAsia="zh-CN"/>
              </w:rPr>
              <w:t>-2</w:t>
            </w:r>
          </w:p>
        </w:tc>
        <w:tc>
          <w:tcPr>
            <w:tcW w:w="2447" w:type="dxa"/>
            <w:shd w:val="clear" w:color="auto" w:fill="auto"/>
            <w:vAlign w:val="center"/>
          </w:tcPr>
          <w:p w14:paraId="1588FB77">
            <w:pPr>
              <w:adjustRightInd/>
              <w:snapToGrid/>
              <w:spacing w:after="0" w:line="5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4"/>
                <w:szCs w:val="24"/>
                <w:highlight w:val="none"/>
                <w:lang w:eastAsia="zh-CN"/>
              </w:rPr>
              <w:t>国有三门峡河西林场林区生产道路维修项目（</w:t>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lang w:eastAsia="zh-CN"/>
              </w:rPr>
              <w:t>标段文峪标段）</w:t>
            </w:r>
          </w:p>
        </w:tc>
        <w:tc>
          <w:tcPr>
            <w:tcW w:w="1313" w:type="dxa"/>
            <w:shd w:val="clear" w:color="auto" w:fill="auto"/>
            <w:vAlign w:val="center"/>
          </w:tcPr>
          <w:p w14:paraId="70F55CAD">
            <w:pPr>
              <w:adjustRightInd/>
              <w:snapToGrid/>
              <w:spacing w:after="0" w:line="5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4"/>
                <w:szCs w:val="24"/>
                <w:highlight w:val="none"/>
                <w:lang w:eastAsia="zh-CN"/>
              </w:rPr>
              <w:t>736327.00</w:t>
            </w:r>
          </w:p>
        </w:tc>
        <w:tc>
          <w:tcPr>
            <w:tcW w:w="1350" w:type="dxa"/>
            <w:vAlign w:val="center"/>
          </w:tcPr>
          <w:p w14:paraId="21AE8C00">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736327.00</w:t>
            </w:r>
          </w:p>
        </w:tc>
        <w:tc>
          <w:tcPr>
            <w:tcW w:w="1302" w:type="dxa"/>
            <w:vAlign w:val="center"/>
          </w:tcPr>
          <w:p w14:paraId="4CCCBFE5">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否</w:t>
            </w:r>
          </w:p>
        </w:tc>
        <w:tc>
          <w:tcPr>
            <w:tcW w:w="1362" w:type="dxa"/>
            <w:vAlign w:val="center"/>
          </w:tcPr>
          <w:p w14:paraId="189A6C91">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736327.00</w:t>
            </w:r>
          </w:p>
        </w:tc>
      </w:tr>
    </w:tbl>
    <w:p w14:paraId="5C5B3AD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p>
    <w:p w14:paraId="1D11FA5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val="en-US" w:eastAsia="zh-CN"/>
        </w:rPr>
        <w:t>资金来源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财政资金、自筹资金</w:t>
      </w:r>
      <w:r>
        <w:rPr>
          <w:rFonts w:hint="eastAsia" w:ascii="宋体" w:hAnsi="宋体" w:eastAsia="宋体" w:cs="宋体"/>
          <w:kern w:val="0"/>
          <w:sz w:val="24"/>
          <w:szCs w:val="24"/>
          <w:highlight w:val="none"/>
        </w:rPr>
        <w:t>，已落实</w:t>
      </w:r>
    </w:p>
    <w:p w14:paraId="6D4DA13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6、项目概况：</w:t>
      </w:r>
      <w:r>
        <w:rPr>
          <w:rFonts w:hint="eastAsia" w:ascii="宋体" w:hAnsi="宋体" w:eastAsia="宋体" w:cs="宋体"/>
          <w:kern w:val="0"/>
          <w:sz w:val="24"/>
          <w:szCs w:val="24"/>
          <w:highlight w:val="none"/>
          <w:lang w:val="en-US" w:eastAsia="zh-CN"/>
        </w:rPr>
        <w:t>本项目为国有三门峡河西林场林区生产道路维修项目。主要为一标段（大湖标段），大湖管理站大南沟林区1470坑口至槽洞沟新站:全长1037米，路基宽4.5米，路面宽3.5米，路面为铺筑 20cm 厚水泥混凝土面层，主要项目内容有路基土方、混凝土路面浇筑、标志牌等。二标段（文峪标段），全长1200米，路基宽5.0米，路面宽4.0米，路面为铺筑20cm 厚水泥混凝土面层。主要项目内容有路基土方、混凝土路面浇筑、标志牌等。详见施工图纸及工程量清单。</w:t>
      </w:r>
    </w:p>
    <w:p w14:paraId="7943CF3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磋商范围：磋商文件及工程量清单等范围内的全部内容</w:t>
      </w:r>
    </w:p>
    <w:p w14:paraId="695B9C8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、计划工期</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60日历天</w:t>
      </w:r>
    </w:p>
    <w:p w14:paraId="5AA8CD71">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、质量要求：达到国家质量验收规范合格标准</w:t>
      </w:r>
    </w:p>
    <w:p w14:paraId="5F7A5C9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本项目不接受联合体</w:t>
      </w:r>
      <w:r>
        <w:rPr>
          <w:rFonts w:hint="eastAsia" w:ascii="宋体" w:hAnsi="宋体" w:eastAsia="宋体" w:cs="宋体"/>
          <w:kern w:val="0"/>
          <w:sz w:val="24"/>
          <w:szCs w:val="24"/>
          <w:highlight w:val="none"/>
          <w:lang w:val="en-US" w:eastAsia="zh-CN"/>
        </w:rPr>
        <w:t>参加</w:t>
      </w:r>
      <w:r>
        <w:rPr>
          <w:rFonts w:hint="eastAsia" w:ascii="宋体" w:hAnsi="宋体" w:eastAsia="宋体" w:cs="宋体"/>
          <w:kern w:val="0"/>
          <w:sz w:val="24"/>
          <w:szCs w:val="24"/>
          <w:highlight w:val="none"/>
        </w:rPr>
        <w:t>。</w:t>
      </w:r>
    </w:p>
    <w:p w14:paraId="6FCE81E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二、申请人的资格要求</w:t>
      </w:r>
    </w:p>
    <w:p w14:paraId="086928A9">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1、供应商符合《中华人民共和国政府采购法》第二十二条规定条件；</w:t>
      </w:r>
    </w:p>
    <w:p w14:paraId="689F7A9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项目需要落实的政府采购政策：本项目非专门面向中小企业采购,执行促进中小企业（监狱企业、残疾人福利性企业）发展等政府采购政策；</w:t>
      </w:r>
    </w:p>
    <w:p w14:paraId="736A8599">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3、本项目的特定资格条件：</w:t>
      </w:r>
    </w:p>
    <w:p w14:paraId="3DDFF59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（1）供应商须具有有效的营业执照副本、税务登记证副本、组织机构代码证（或三证合一的营业执照副本）；</w:t>
      </w:r>
    </w:p>
    <w:p w14:paraId="47E23D0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sz w:val="24"/>
          <w:szCs w:val="24"/>
          <w:lang w:val="zh-TW"/>
        </w:rPr>
      </w:pPr>
      <w:r>
        <w:rPr>
          <w:rFonts w:hint="eastAsia" w:ascii="宋体" w:hAnsi="宋体" w:eastAsia="宋体" w:cs="宋体"/>
          <w:kern w:val="0"/>
          <w:sz w:val="24"/>
          <w:szCs w:val="24"/>
          <w:highlight w:val="none"/>
        </w:rPr>
        <w:t>（2）</w:t>
      </w:r>
      <w:r>
        <w:rPr>
          <w:rFonts w:hint="eastAsia" w:ascii="宋体" w:hAnsi="宋体" w:cs="宋体"/>
          <w:sz w:val="24"/>
          <w:szCs w:val="24"/>
          <w:lang w:val="zh-TW"/>
        </w:rPr>
        <w:t>具有</w:t>
      </w:r>
      <w:r>
        <w:rPr>
          <w:rFonts w:hint="eastAsia" w:ascii="宋体" w:hAnsi="宋体" w:cs="宋体"/>
          <w:sz w:val="24"/>
          <w:szCs w:val="24"/>
          <w:lang w:val="zh-TW" w:eastAsia="zh-CN"/>
        </w:rPr>
        <w:t>市政公用工程施工总承包叁级及以上资质或公路工程施工总承包叁级及以上资质并具有有效的安全生产许可证</w:t>
      </w:r>
      <w:r>
        <w:rPr>
          <w:rFonts w:hint="eastAsia" w:ascii="宋体" w:hAnsi="宋体" w:cs="宋体"/>
          <w:sz w:val="24"/>
          <w:szCs w:val="24"/>
          <w:lang w:val="zh-TW"/>
        </w:rPr>
        <w:t>；</w:t>
      </w:r>
    </w:p>
    <w:p w14:paraId="5B32DA6F">
      <w:pPr>
        <w:keepNext w:val="0"/>
        <w:keepLines w:val="0"/>
        <w:pageBreakBefore w:val="0"/>
        <w:widowControl/>
        <w:kinsoku/>
        <w:overflowPunct/>
        <w:topLinePunct w:val="0"/>
        <w:autoSpaceDE/>
        <w:autoSpaceDN/>
        <w:bidi w:val="0"/>
        <w:adjustRightInd/>
        <w:snapToGrid/>
        <w:spacing w:after="100" w:line="48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cs="宋体"/>
          <w:color w:val="auto"/>
          <w:sz w:val="24"/>
          <w:szCs w:val="24"/>
          <w:lang w:val="en-US" w:eastAsia="zh-CN"/>
        </w:rPr>
        <w:t>拟派项目经理须具有相关专业二级（含二级）及以上注册建造师资格，须提供注册建造师证书、安全生产考核合格证、无在建项目承诺书及在本企业近半年连续三个月参加社会养老保险的缴费证明；</w:t>
      </w:r>
    </w:p>
    <w:p w14:paraId="696F9CC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（4）供应商需提供本企业的无商业贿赂及不正当竞争行为的承诺书；</w:t>
      </w:r>
    </w:p>
    <w:p w14:paraId="2972CD6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（5）供应商须出具在中国裁判文书网（http://wenshu.court.gov.cn）自行查询的无行贿犯罪记录截图或自行承诺（查询/承诺对象为企业、法定代表人、项目经理）；</w:t>
      </w:r>
    </w:p>
    <w:p w14:paraId="1675BABA">
      <w:pPr>
        <w:keepNext w:val="0"/>
        <w:keepLines w:val="0"/>
        <w:pageBreakBefore w:val="0"/>
        <w:widowControl w:val="0"/>
        <w:kinsoku/>
        <w:wordWrap w:val="0"/>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r>
        <w:rPr>
          <w:rFonts w:hint="eastAsia" w:asciiTheme="minorEastAsia" w:hAnsiTheme="minorEastAsia" w:cstheme="minorEastAsia"/>
          <w:color w:val="auto"/>
          <w:sz w:val="24"/>
          <w:szCs w:val="24"/>
          <w:highlight w:val="none"/>
          <w:lang w:val="en-US" w:eastAsia="zh-CN"/>
        </w:rPr>
        <w:t>未列入“中国执行信息公开网”http://zxgk.court.gov.cn/shixin网站的“失信被执行人”名单、“信用中国”www.creditchina.gov.cn网站的“</w:t>
      </w:r>
      <w:r>
        <w:rPr>
          <w:rFonts w:hint="eastAsia" w:asciiTheme="minorEastAsia" w:hAnsiTheme="minorEastAsia" w:cstheme="minorEastAsia"/>
          <w:color w:val="auto"/>
          <w:sz w:val="24"/>
          <w:szCs w:val="24"/>
          <w:highlight w:val="none"/>
        </w:rPr>
        <w:t>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eastAsia="宋体" w:cs="宋体"/>
          <w:kern w:val="0"/>
          <w:sz w:val="24"/>
          <w:szCs w:val="24"/>
          <w:highlight w:val="none"/>
        </w:rPr>
        <w:t>。</w:t>
      </w:r>
    </w:p>
    <w:p w14:paraId="5880319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温馨提醒：本项目为资格后审，资格审查由采购人依法组建的磋商小组负责。各磋商供应商认真阅读本项目磋商供应商资格要求，避免无资格投标而造成不必要的损失。</w:t>
      </w:r>
    </w:p>
    <w:p w14:paraId="5FBA7B5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三、竞争性磋商文件的获取</w:t>
      </w:r>
    </w:p>
    <w:p w14:paraId="2E7DB32F">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shd w:val="clear" w:color="auto" w:fill="FFFFFF"/>
        </w:rPr>
        <w:t>1、时间：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日至</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日8时30分</w:t>
      </w:r>
      <w:r>
        <w:rPr>
          <w:rFonts w:hint="eastAsia" w:ascii="宋体" w:hAnsi="宋体" w:eastAsia="宋体" w:cs="宋体"/>
          <w:color w:val="0000FF"/>
          <w:kern w:val="0"/>
          <w:sz w:val="24"/>
          <w:szCs w:val="24"/>
          <w:highlight w:val="none"/>
        </w:rPr>
        <w:t>（</w:t>
      </w:r>
      <w:r>
        <w:rPr>
          <w:rFonts w:hint="eastAsia" w:ascii="宋体" w:hAnsi="宋体" w:eastAsia="宋体" w:cs="宋体"/>
          <w:kern w:val="0"/>
          <w:sz w:val="24"/>
          <w:szCs w:val="24"/>
          <w:highlight w:val="none"/>
        </w:rPr>
        <w:t>北京时间）。</w:t>
      </w:r>
    </w:p>
    <w:p w14:paraId="215DCD5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2、地点：三门峡市公共资源交易中心网</w:t>
      </w:r>
    </w:p>
    <w:p w14:paraId="3A075984">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3、方式：凡有意参加的供应商，须完成市场主体信息库登记并取得CA数字证书，凭CA数字证书登录三门峡公共资源交易中心</w:t>
      </w:r>
      <w:r>
        <w:rPr>
          <w:rFonts w:hint="eastAsia" w:ascii="宋体" w:hAnsi="宋体" w:eastAsia="宋体" w:cs="宋体"/>
          <w:kern w:val="0"/>
          <w:sz w:val="24"/>
          <w:szCs w:val="24"/>
          <w:highlight w:val="none"/>
          <w:lang w:val="en-US" w:eastAsia="zh-CN"/>
        </w:rPr>
        <w:t>网</w:t>
      </w:r>
      <w:r>
        <w:rPr>
          <w:rFonts w:hint="eastAsia" w:ascii="宋体" w:hAnsi="宋体" w:eastAsia="宋体" w:cs="宋体"/>
          <w:kern w:val="0"/>
          <w:sz w:val="24"/>
          <w:szCs w:val="24"/>
          <w:highlight w:val="none"/>
        </w:rPr>
        <w:t>，点击交易平台选择“市场主体登录”，在所参与项目右侧点击参与投标，即可直接下载本项目磋商文件。</w:t>
      </w:r>
    </w:p>
    <w:p w14:paraId="4D81E75A">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具体操作请查看以下链接：http://gzjy.smx.gov.cn/</w:t>
      </w:r>
    </w:p>
    <w:p w14:paraId="6215D416">
      <w:pPr>
        <w:keepNext w:val="0"/>
        <w:keepLines w:val="0"/>
        <w:pageBreakBefore w:val="0"/>
        <w:kinsoku/>
        <w:wordWrap w:val="0"/>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CA证书：http://gzjy.smx.gov.cn/bzzx/008001/20211105/57b16af9-ab87-4395-a723-7758c628a3f8.html</w:t>
      </w:r>
    </w:p>
    <w:p w14:paraId="07C73F4C">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4、根据《关于进一步加强公共资源交易管理持续优化营商环境的通知》（三公管办[2020]2号）文件的要求，磋商文件费用不再收取。</w:t>
      </w:r>
    </w:p>
    <w:p w14:paraId="379A6317">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shd w:val="clear" w:color="auto" w:fill="FFFFFF"/>
        </w:rPr>
        <w:t>四、响应上传递交截止时间及地点</w:t>
      </w:r>
    </w:p>
    <w:p w14:paraId="2D07D25B">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shd w:val="clear" w:color="auto" w:fill="FFFFFF"/>
        </w:rPr>
        <w:t>1、截止时间：</w:t>
      </w:r>
      <w:r>
        <w:rPr>
          <w:rFonts w:hint="eastAsia" w:ascii="宋体" w:hAnsi="宋体" w:eastAsia="宋体" w:cs="宋体"/>
          <w:color w:val="auto"/>
          <w:kern w:val="0"/>
          <w:sz w:val="24"/>
          <w:szCs w:val="24"/>
          <w:highlight w:val="none"/>
          <w:shd w:val="clear" w:color="auto" w:fill="FFFFFF"/>
          <w:lang w:eastAsia="zh-CN"/>
        </w:rPr>
        <w:t>202</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年</w:t>
      </w: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lang w:eastAsia="zh-CN"/>
        </w:rPr>
        <w:t>月</w:t>
      </w:r>
      <w:r>
        <w:rPr>
          <w:rFonts w:hint="eastAsia" w:ascii="宋体" w:hAnsi="宋体" w:eastAsia="宋体" w:cs="宋体"/>
          <w:color w:val="auto"/>
          <w:kern w:val="0"/>
          <w:sz w:val="24"/>
          <w:szCs w:val="24"/>
          <w:highlight w:val="none"/>
          <w:shd w:val="clear" w:color="auto" w:fill="FFFFFF"/>
          <w:lang w:val="en-US" w:eastAsia="zh-CN"/>
        </w:rPr>
        <w:t>11</w:t>
      </w:r>
      <w:r>
        <w:rPr>
          <w:rFonts w:hint="eastAsia" w:ascii="宋体" w:hAnsi="宋体" w:eastAsia="宋体" w:cs="宋体"/>
          <w:color w:val="auto"/>
          <w:kern w:val="0"/>
          <w:sz w:val="24"/>
          <w:szCs w:val="24"/>
          <w:highlight w:val="none"/>
          <w:shd w:val="clear" w:color="auto" w:fill="FFFFFF"/>
          <w:lang w:eastAsia="zh-CN"/>
        </w:rPr>
        <w:t>日8时30分</w:t>
      </w:r>
      <w:r>
        <w:rPr>
          <w:rFonts w:hint="eastAsia" w:ascii="宋体" w:hAnsi="宋体" w:eastAsia="宋体" w:cs="宋体"/>
          <w:kern w:val="0"/>
          <w:sz w:val="24"/>
          <w:szCs w:val="24"/>
          <w:highlight w:val="none"/>
          <w:shd w:val="clear" w:color="auto" w:fill="FFFFFF"/>
        </w:rPr>
        <w:t>（北京时间），逾期上传递交响应文件的，采购人不予受理；</w:t>
      </w:r>
    </w:p>
    <w:p w14:paraId="4140D9D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2、地点：在三门峡市公共资源交易中心网中上传加密响应文件。</w:t>
      </w:r>
    </w:p>
    <w:p w14:paraId="640DACB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时间及地点</w:t>
      </w:r>
    </w:p>
    <w:p w14:paraId="4D6CACA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时间：</w:t>
      </w:r>
      <w:r>
        <w:rPr>
          <w:rFonts w:hint="eastAsia" w:ascii="宋体" w:hAnsi="宋体" w:eastAsia="宋体" w:cs="宋体"/>
          <w:color w:val="auto"/>
          <w:kern w:val="0"/>
          <w:sz w:val="24"/>
          <w:szCs w:val="24"/>
          <w:highlight w:val="none"/>
          <w:shd w:val="clear" w:color="auto" w:fill="FFFFFF"/>
          <w:lang w:eastAsia="zh-CN"/>
        </w:rPr>
        <w:t>202</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年</w:t>
      </w: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lang w:eastAsia="zh-CN"/>
        </w:rPr>
        <w:t>月</w:t>
      </w:r>
      <w:r>
        <w:rPr>
          <w:rFonts w:hint="eastAsia" w:ascii="宋体" w:hAnsi="宋体" w:eastAsia="宋体" w:cs="宋体"/>
          <w:color w:val="auto"/>
          <w:kern w:val="0"/>
          <w:sz w:val="24"/>
          <w:szCs w:val="24"/>
          <w:highlight w:val="none"/>
          <w:shd w:val="clear" w:color="auto" w:fill="FFFFFF"/>
          <w:lang w:val="en-US" w:eastAsia="zh-CN"/>
        </w:rPr>
        <w:t>11</w:t>
      </w:r>
      <w:r>
        <w:rPr>
          <w:rFonts w:hint="eastAsia" w:ascii="宋体" w:hAnsi="宋体" w:eastAsia="宋体" w:cs="宋体"/>
          <w:color w:val="auto"/>
          <w:kern w:val="0"/>
          <w:sz w:val="24"/>
          <w:szCs w:val="24"/>
          <w:highlight w:val="none"/>
          <w:shd w:val="clear" w:color="auto" w:fill="FFFFFF"/>
          <w:lang w:eastAsia="zh-CN"/>
        </w:rPr>
        <w:t>日8时30分</w:t>
      </w:r>
      <w:r>
        <w:rPr>
          <w:rFonts w:hint="eastAsia" w:ascii="宋体" w:hAnsi="宋体" w:eastAsia="宋体" w:cs="宋体"/>
          <w:color w:val="auto"/>
          <w:sz w:val="24"/>
          <w:szCs w:val="24"/>
          <w:highlight w:val="none"/>
        </w:rPr>
        <w:t>（北京时间）；</w:t>
      </w:r>
    </w:p>
    <w:p w14:paraId="72016D4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三门峡</w:t>
      </w:r>
      <w:r>
        <w:rPr>
          <w:rFonts w:hint="eastAsia" w:ascii="宋体" w:hAnsi="宋体" w:eastAsia="宋体" w:cs="宋体"/>
          <w:color w:val="auto"/>
          <w:sz w:val="24"/>
          <w:szCs w:val="24"/>
          <w:highlight w:val="none"/>
        </w:rPr>
        <w:t>市公共资源交易中心</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w:t>
      </w:r>
    </w:p>
    <w:p w14:paraId="329907DA">
      <w:pPr>
        <w:keepNext w:val="0"/>
        <w:keepLines w:val="0"/>
        <w:pageBreakBefore w:val="0"/>
        <w:widowControl w:val="0"/>
        <w:kinsoku/>
        <w:wordWrap w:val="0"/>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3、方式：本项目为不见面开标项目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当日供应商</w:t>
      </w:r>
      <w:r>
        <w:rPr>
          <w:rFonts w:hint="eastAsia" w:ascii="宋体" w:hAnsi="宋体" w:eastAsia="宋体" w:cs="宋体"/>
          <w:sz w:val="24"/>
          <w:szCs w:val="24"/>
          <w:highlight w:val="none"/>
          <w:lang w:eastAsia="zh-CN"/>
        </w:rPr>
        <w:t>无须</w:t>
      </w:r>
      <w:r>
        <w:rPr>
          <w:rFonts w:hint="eastAsia" w:ascii="宋体" w:hAnsi="宋体" w:eastAsia="宋体" w:cs="宋体"/>
          <w:sz w:val="24"/>
          <w:szCs w:val="24"/>
          <w:highlight w:val="none"/>
        </w:rPr>
        <w:t>到</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现场参加</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会议，供应商应当在</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截止时间前，登陆不见面开标大厅选择登陆三门峡市公共资源</w:t>
      </w:r>
      <w:r>
        <w:rPr>
          <w:rFonts w:hint="eastAsia" w:ascii="宋体" w:hAnsi="宋体" w:eastAsia="宋体" w:cs="宋体"/>
          <w:kern w:val="0"/>
          <w:sz w:val="24"/>
          <w:szCs w:val="24"/>
          <w:highlight w:val="none"/>
          <w:shd w:val="clear" w:color="auto" w:fill="FFFFFF"/>
        </w:rPr>
        <w:t>电子招投标系统进行登陆（网址为</w:t>
      </w:r>
      <w:r>
        <w:rPr>
          <w:rFonts w:hint="eastAsia" w:ascii="宋体" w:hAnsi="宋体" w:eastAsia="宋体" w:cs="宋体"/>
          <w:kern w:val="1"/>
          <w:sz w:val="24"/>
          <w:szCs w:val="24"/>
          <w:highlight w:val="none"/>
        </w:rPr>
        <w:t>http://120.194.249.36:10094/BidOpening/bidopeninghallaction/hall/login</w:t>
      </w:r>
      <w:r>
        <w:rPr>
          <w:rFonts w:hint="eastAsia" w:ascii="宋体" w:hAnsi="宋体" w:eastAsia="宋体" w:cs="宋体"/>
          <w:kern w:val="0"/>
          <w:sz w:val="24"/>
          <w:szCs w:val="24"/>
          <w:highlight w:val="none"/>
          <w:shd w:val="clear" w:color="auto" w:fill="FFFFFF"/>
        </w:rPr>
        <w:t>）,在线准时参加</w:t>
      </w:r>
      <w:r>
        <w:rPr>
          <w:rFonts w:hint="eastAsia" w:ascii="宋体" w:hAnsi="宋体" w:eastAsia="宋体" w:cs="宋体"/>
          <w:kern w:val="0"/>
          <w:sz w:val="24"/>
          <w:szCs w:val="24"/>
          <w:highlight w:val="none"/>
          <w:shd w:val="clear" w:color="auto" w:fill="FFFFFF"/>
          <w:lang w:val="en-US" w:eastAsia="zh-CN"/>
        </w:rPr>
        <w:t>磋商</w:t>
      </w:r>
      <w:r>
        <w:rPr>
          <w:rFonts w:hint="eastAsia" w:ascii="宋体" w:hAnsi="宋体" w:eastAsia="宋体" w:cs="宋体"/>
          <w:kern w:val="0"/>
          <w:sz w:val="24"/>
          <w:szCs w:val="24"/>
          <w:highlight w:val="none"/>
          <w:shd w:val="clear" w:color="auto" w:fill="FFFFFF"/>
        </w:rPr>
        <w:t>活动并进行</w:t>
      </w:r>
      <w:r>
        <w:rPr>
          <w:rFonts w:hint="eastAsia" w:ascii="宋体" w:hAnsi="宋体" w:eastAsia="宋体" w:cs="宋体"/>
          <w:kern w:val="0"/>
          <w:sz w:val="24"/>
          <w:szCs w:val="24"/>
          <w:highlight w:val="none"/>
          <w:shd w:val="clear" w:color="auto" w:fill="FFFFFF"/>
          <w:lang w:val="en-US" w:eastAsia="zh-CN"/>
        </w:rPr>
        <w:t>磋商响应</w:t>
      </w:r>
      <w:r>
        <w:rPr>
          <w:rFonts w:hint="eastAsia" w:ascii="宋体" w:hAnsi="宋体" w:eastAsia="宋体" w:cs="宋体"/>
          <w:kern w:val="0"/>
          <w:sz w:val="24"/>
          <w:szCs w:val="24"/>
          <w:highlight w:val="none"/>
          <w:shd w:val="clear" w:color="auto" w:fill="FFFFFF"/>
        </w:rPr>
        <w:t>文件解密等。每位供应商的解密时间为</w:t>
      </w:r>
      <w:r>
        <w:rPr>
          <w:rFonts w:hint="eastAsia" w:ascii="宋体" w:hAnsi="宋体" w:eastAsia="宋体" w:cs="宋体"/>
          <w:kern w:val="0"/>
          <w:sz w:val="24"/>
          <w:szCs w:val="24"/>
          <w:highlight w:val="none"/>
          <w:shd w:val="clear" w:color="auto" w:fill="FFFFFF"/>
          <w:lang w:val="en-US" w:eastAsia="zh-CN"/>
        </w:rPr>
        <w:t>磋商</w:t>
      </w:r>
      <w:r>
        <w:rPr>
          <w:rFonts w:hint="eastAsia" w:ascii="宋体" w:hAnsi="宋体" w:eastAsia="宋体" w:cs="宋体"/>
          <w:kern w:val="0"/>
          <w:sz w:val="24"/>
          <w:szCs w:val="24"/>
          <w:highlight w:val="none"/>
          <w:shd w:val="clear" w:color="auto" w:fill="FFFFFF"/>
        </w:rPr>
        <w:t>时间起30分钟内完成。因供应商原因未能解密、解密失败或解密超时的将被拒绝。</w:t>
      </w:r>
    </w:p>
    <w:p w14:paraId="60D0A4FE">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六、发布公告的媒介</w:t>
      </w:r>
    </w:p>
    <w:p w14:paraId="382B370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本次竞争性</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公告在</w:t>
      </w:r>
      <w:r>
        <w:rPr>
          <w:rFonts w:hint="eastAsia" w:ascii="宋体" w:hAnsi="宋体" w:eastAsia="宋体" w:cs="宋体"/>
          <w:sz w:val="24"/>
          <w:szCs w:val="24"/>
          <w:highlight w:val="none"/>
          <w:lang w:eastAsia="zh-CN"/>
        </w:rPr>
        <w:t>《中国采购与招标网》、</w:t>
      </w:r>
      <w:r>
        <w:rPr>
          <w:rFonts w:hint="eastAsia" w:ascii="宋体" w:hAnsi="宋体" w:eastAsia="宋体" w:cs="宋体"/>
          <w:sz w:val="24"/>
          <w:szCs w:val="24"/>
          <w:highlight w:val="none"/>
        </w:rPr>
        <w:t>《河南省政府采购网》、《三门峡市公共资源交易中心</w:t>
      </w:r>
      <w:r>
        <w:rPr>
          <w:rFonts w:hint="eastAsia" w:ascii="宋体" w:hAnsi="宋体" w:eastAsia="宋体" w:cs="宋体"/>
          <w:sz w:val="24"/>
          <w:szCs w:val="24"/>
          <w:highlight w:val="none"/>
          <w:lang w:val="en-US" w:eastAsia="zh-CN"/>
        </w:rPr>
        <w:t>网</w:t>
      </w:r>
      <w:r>
        <w:rPr>
          <w:rFonts w:hint="eastAsia" w:ascii="宋体" w:hAnsi="宋体" w:eastAsia="宋体" w:cs="宋体"/>
          <w:sz w:val="24"/>
          <w:szCs w:val="24"/>
          <w:highlight w:val="none"/>
        </w:rPr>
        <w:t>》同时发布。</w:t>
      </w:r>
    </w:p>
    <w:p w14:paraId="4EB90E14">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七、其他补充事宜</w:t>
      </w:r>
    </w:p>
    <w:p w14:paraId="56A4F53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1、供应商应仔细阅读操作手册，在本公告中要求的截止时间前完成网上磋商响应文件的递交等工作。因供应商操作不当等问题造成的无法下载磋商文件、无法投标等一切后果，由供应商自行承担；</w:t>
      </w:r>
    </w:p>
    <w:p w14:paraId="0BB0DC0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2、根据《河南省财政厅关于优化政府采购营商环境有关问题的通知》（豫财购【2019】4号）第6条的规定，磋商保证金不再收取。供应商应以承诺函的形式替代保证金，承诺函应明确承诺事项及违背承诺的责任。</w:t>
      </w:r>
    </w:p>
    <w:p w14:paraId="5E3DF44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3、本项目实行资格后审，审查内容以</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截止时间前在三门峡市公共资源交易平台“</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文件”上传的信息为准，同时，供应商须自行完善主体库资料。规定时间外上传或更改的信息不作为评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依据。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文件中上传的信息真实有效，扫描件清晰可辨。否则，由此造成应得分而未得分或资格审查不合格等情况的，由供应商承担责任。</w:t>
      </w:r>
    </w:p>
    <w:p w14:paraId="06DCA3EE">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4、供应商递交的响应文件不论</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与否均不予退还；</w:t>
      </w:r>
    </w:p>
    <w:p w14:paraId="4214B09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所发生的一切费用由供应商自行承担，并承担相应的风险和责任；</w:t>
      </w:r>
    </w:p>
    <w:p w14:paraId="2EFE2938">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八、联系方式</w:t>
      </w:r>
    </w:p>
    <w:p w14:paraId="71709740">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1、采购人：国有三门峡河西林场</w:t>
      </w:r>
    </w:p>
    <w:p w14:paraId="52D2737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地址：灵宝市管委会长乐路</w:t>
      </w:r>
    </w:p>
    <w:p w14:paraId="27F2616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联系人：张先生</w:t>
      </w:r>
    </w:p>
    <w:p w14:paraId="2D8E127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联系电话：13803986566</w:t>
      </w:r>
    </w:p>
    <w:p w14:paraId="5E11F2EA">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2、代理机构：河南联仁工程管理有限公司</w:t>
      </w:r>
    </w:p>
    <w:p w14:paraId="0348BC2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地址：河南自贸试验区郑州片区(经)航海东路1356号商鼎大厦209、212、216室     </w:t>
      </w:r>
    </w:p>
    <w:p w14:paraId="60E9BB1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人：袁女士</w:t>
      </w:r>
    </w:p>
    <w:p w14:paraId="09474558">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联系电话：15978327176</w:t>
      </w:r>
    </w:p>
    <w:p w14:paraId="6C02C7A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3.项目联系方式</w:t>
      </w:r>
    </w:p>
    <w:p w14:paraId="4652FC4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人：袁女士</w:t>
      </w:r>
    </w:p>
    <w:p w14:paraId="7B677AC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联系电话：15978327176</w:t>
      </w:r>
    </w:p>
    <w:p w14:paraId="4CA30050">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4、监督单位信息</w:t>
      </w:r>
    </w:p>
    <w:p w14:paraId="3DFD54A1">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名称：中共三门峡市林业局机关委员会</w:t>
      </w:r>
    </w:p>
    <w:p w14:paraId="53CF54D4">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rPr>
      </w:pPr>
      <w:r>
        <w:rPr>
          <w:rFonts w:hint="eastAsia" w:ascii="宋体" w:hAnsi="宋体" w:eastAsia="宋体" w:cs="宋体"/>
          <w:sz w:val="24"/>
          <w:szCs w:val="24"/>
          <w:highlight w:val="none"/>
          <w:lang w:val="en-US" w:eastAsia="zh-CN"/>
        </w:rPr>
        <w:t>联系方式:0398-2821021</w:t>
      </w:r>
    </w:p>
    <w:bookmarkEnd w:id="3"/>
    <w:bookmarkEnd w:id="4"/>
    <w:p w14:paraId="5B369C02">
      <w:pPr>
        <w:rPr>
          <w:highlight w:val="none"/>
        </w:rPr>
      </w:pPr>
    </w:p>
    <w:p w14:paraId="718DB8FB">
      <w:pPr>
        <w:rPr>
          <w:highlight w:val="none"/>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28B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2B193">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A2B193">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30B8">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39B3039"/>
    <w:rsid w:val="0074005C"/>
    <w:rsid w:val="01E52B01"/>
    <w:rsid w:val="039B3039"/>
    <w:rsid w:val="04DD1F52"/>
    <w:rsid w:val="05241B93"/>
    <w:rsid w:val="061656FB"/>
    <w:rsid w:val="0AA01CBB"/>
    <w:rsid w:val="0B260413"/>
    <w:rsid w:val="0B664CB3"/>
    <w:rsid w:val="0C1A2F26"/>
    <w:rsid w:val="0D4D1F27"/>
    <w:rsid w:val="122D02D9"/>
    <w:rsid w:val="128123D2"/>
    <w:rsid w:val="12A4291D"/>
    <w:rsid w:val="15830259"/>
    <w:rsid w:val="15B01805"/>
    <w:rsid w:val="160B0552"/>
    <w:rsid w:val="16E8721E"/>
    <w:rsid w:val="17753D7C"/>
    <w:rsid w:val="17776A8B"/>
    <w:rsid w:val="17B62B1E"/>
    <w:rsid w:val="17DB3813"/>
    <w:rsid w:val="18AB01A9"/>
    <w:rsid w:val="19A52923"/>
    <w:rsid w:val="1C8F2CC1"/>
    <w:rsid w:val="1E54647B"/>
    <w:rsid w:val="203615D5"/>
    <w:rsid w:val="209C1C28"/>
    <w:rsid w:val="23C640E9"/>
    <w:rsid w:val="24036043"/>
    <w:rsid w:val="24AD7057"/>
    <w:rsid w:val="24BB79C6"/>
    <w:rsid w:val="2681192E"/>
    <w:rsid w:val="27A97FAA"/>
    <w:rsid w:val="29925DC0"/>
    <w:rsid w:val="2BF11F1F"/>
    <w:rsid w:val="2C1A538E"/>
    <w:rsid w:val="2E0A551A"/>
    <w:rsid w:val="2E426494"/>
    <w:rsid w:val="2EFC17EB"/>
    <w:rsid w:val="2FCA1ED3"/>
    <w:rsid w:val="3049232A"/>
    <w:rsid w:val="314927C9"/>
    <w:rsid w:val="33947D60"/>
    <w:rsid w:val="347664D6"/>
    <w:rsid w:val="34B02FD3"/>
    <w:rsid w:val="34C12E11"/>
    <w:rsid w:val="36F974DE"/>
    <w:rsid w:val="38123949"/>
    <w:rsid w:val="39BD78E5"/>
    <w:rsid w:val="39F50F64"/>
    <w:rsid w:val="3D2A5291"/>
    <w:rsid w:val="3D591292"/>
    <w:rsid w:val="3D70539A"/>
    <w:rsid w:val="3F260727"/>
    <w:rsid w:val="40056EC3"/>
    <w:rsid w:val="41D85470"/>
    <w:rsid w:val="43285881"/>
    <w:rsid w:val="443E5F15"/>
    <w:rsid w:val="45E56936"/>
    <w:rsid w:val="45F67A39"/>
    <w:rsid w:val="464A2500"/>
    <w:rsid w:val="47C66DCA"/>
    <w:rsid w:val="4B9537C2"/>
    <w:rsid w:val="4BB1049F"/>
    <w:rsid w:val="4C237A7B"/>
    <w:rsid w:val="4D665E71"/>
    <w:rsid w:val="4DFC0584"/>
    <w:rsid w:val="4EC5363F"/>
    <w:rsid w:val="4F642884"/>
    <w:rsid w:val="4F754C20"/>
    <w:rsid w:val="508D7BB9"/>
    <w:rsid w:val="51FB7688"/>
    <w:rsid w:val="52981B85"/>
    <w:rsid w:val="5630526E"/>
    <w:rsid w:val="57F97214"/>
    <w:rsid w:val="5D137698"/>
    <w:rsid w:val="5D440AF9"/>
    <w:rsid w:val="5D4B0BE0"/>
    <w:rsid w:val="5EBD78BB"/>
    <w:rsid w:val="5F73441E"/>
    <w:rsid w:val="605624A7"/>
    <w:rsid w:val="60716BAF"/>
    <w:rsid w:val="60AA20C1"/>
    <w:rsid w:val="60B81F74"/>
    <w:rsid w:val="61EA4E6B"/>
    <w:rsid w:val="652C7549"/>
    <w:rsid w:val="65C910F1"/>
    <w:rsid w:val="68494705"/>
    <w:rsid w:val="6A486BD3"/>
    <w:rsid w:val="6B7B1AB7"/>
    <w:rsid w:val="6C66443E"/>
    <w:rsid w:val="6FB5018B"/>
    <w:rsid w:val="701A1155"/>
    <w:rsid w:val="71B656E1"/>
    <w:rsid w:val="72600369"/>
    <w:rsid w:val="736D47CE"/>
    <w:rsid w:val="73BC418E"/>
    <w:rsid w:val="74F040EF"/>
    <w:rsid w:val="752B15CB"/>
    <w:rsid w:val="7D311748"/>
    <w:rsid w:val="7F634163"/>
    <w:rsid w:val="7F89761A"/>
    <w:rsid w:val="7F9D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120" w:line="360" w:lineRule="auto"/>
      <w:ind w:left="420" w:firstLine="420"/>
    </w:pPr>
    <w:rPr>
      <w:rFonts w:eastAsia="Arial Unicode MS"/>
      <w:color w:val="000000"/>
      <w:kern w:val="0"/>
      <w:sz w:val="20"/>
      <w:szCs w:val="20"/>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等线 Light" w:hAnsi="等线 Light" w:eastAsia="等线 Light" w:cs="Times New Roman"/>
    </w:rPr>
  </w:style>
  <w:style w:type="paragraph" w:styleId="7">
    <w:name w:val="Body Text"/>
    <w:basedOn w:val="1"/>
    <w:next w:val="1"/>
    <w:qFormat/>
    <w:uiPriority w:val="99"/>
    <w:pPr>
      <w:spacing w:line="360" w:lineRule="auto"/>
    </w:pPr>
    <w:rPr>
      <w:rFonts w:ascii="宋体"/>
      <w:sz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Body Text 2"/>
    <w:basedOn w:val="1"/>
    <w:next w:val="7"/>
    <w:qFormat/>
    <w:uiPriority w:val="99"/>
    <w:pPr>
      <w:widowControl w:val="0"/>
      <w:spacing w:after="120" w:line="480" w:lineRule="auto"/>
      <w:jc w:val="both"/>
    </w:pPr>
    <w:rPr>
      <w:kern w:val="2"/>
      <w:sz w:val="21"/>
      <w:szCs w:val="24"/>
    </w:rPr>
  </w:style>
  <w:style w:type="paragraph" w:styleId="12">
    <w:name w:val="Body Text First Indent"/>
    <w:basedOn w:val="7"/>
    <w:next w:val="2"/>
    <w:unhideWhenUsed/>
    <w:qFormat/>
    <w:uiPriority w:val="0"/>
    <w:pPr>
      <w:spacing w:after="120" w:line="240" w:lineRule="auto"/>
      <w:ind w:firstLine="420" w:firstLineChars="100"/>
    </w:pPr>
    <w:rPr>
      <w:rFonts w:ascii="Times New Roman"/>
      <w:sz w:val="20"/>
    </w:r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Emphasis"/>
    <w:basedOn w:val="14"/>
    <w:qFormat/>
    <w:uiPriority w:val="0"/>
    <w:rPr>
      <w:b/>
      <w:bCs/>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hint="default" w:ascii="monospace" w:hAnsi="monospace" w:eastAsia="monospace" w:cs="monospace"/>
    </w:rPr>
  </w:style>
  <w:style w:type="paragraph" w:customStyle="1" w:styleId="2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character" w:customStyle="1" w:styleId="29">
    <w:name w:val="hover1"/>
    <w:basedOn w:val="14"/>
    <w:qFormat/>
    <w:uiPriority w:val="0"/>
    <w:rPr>
      <w:color w:val="2590EB"/>
    </w:rPr>
  </w:style>
  <w:style w:type="character" w:customStyle="1" w:styleId="30">
    <w:name w:val="hover2"/>
    <w:basedOn w:val="14"/>
    <w:qFormat/>
    <w:uiPriority w:val="0"/>
    <w:rPr>
      <w:color w:val="2590EB"/>
    </w:rPr>
  </w:style>
  <w:style w:type="character" w:customStyle="1" w:styleId="31">
    <w:name w:val="hover3"/>
    <w:basedOn w:val="14"/>
    <w:qFormat/>
    <w:uiPriority w:val="0"/>
  </w:style>
  <w:style w:type="character" w:customStyle="1" w:styleId="32">
    <w:name w:val="mini-outputtext1"/>
    <w:basedOn w:val="14"/>
    <w:qFormat/>
    <w:uiPriority w:val="0"/>
  </w:style>
  <w:style w:type="paragraph" w:customStyle="1" w:styleId="33">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4">
    <w:name w:val="hover"/>
    <w:basedOn w:val="14"/>
    <w:qFormat/>
    <w:uiPriority w:val="0"/>
    <w:rPr>
      <w:color w:val="2590EB"/>
    </w:rPr>
  </w:style>
  <w:style w:type="character" w:customStyle="1" w:styleId="35">
    <w:name w:val="first-child"/>
    <w:basedOn w:val="14"/>
    <w:qFormat/>
    <w:uiPriority w:val="0"/>
  </w:style>
  <w:style w:type="character" w:customStyle="1" w:styleId="36">
    <w:name w:val="layui-layer-tabnow"/>
    <w:basedOn w:val="14"/>
    <w:qFormat/>
    <w:uiPriority w:val="0"/>
    <w:rPr>
      <w:bdr w:val="single" w:color="CCCCCC" w:sz="4" w:space="0"/>
      <w:shd w:val="clear" w:fill="FFFFFF"/>
    </w:rPr>
  </w:style>
  <w:style w:type="table" w:customStyle="1" w:styleId="37">
    <w:name w:val="网格型5"/>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2419</Words>
  <Characters>2935</Characters>
  <Lines>0</Lines>
  <Paragraphs>0</Paragraphs>
  <TotalTime>20</TotalTime>
  <ScaleCrop>false</ScaleCrop>
  <LinksUpToDate>false</LinksUpToDate>
  <CharactersWithSpaces>2947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2023-07-06T14:42:00Z</dcterms:created>
  <dc:creator>文档存本地丢失不负责</dc:creator>
  <cp:lastModifiedBy>沐明</cp:lastModifiedBy>
  <cp:lastPrinted>2024-10-17T11:57:00Z</cp:lastPrinted>
  <dcterms:modified xsi:type="dcterms:W3CDTF">2025-05-26T09:30:18Z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EE6FDF07F4C7433B988AFB53C80E5953_13</vt:lpwstr>
  </property>
  <property fmtid="{D5CDD505-2E9C-101B-9397-08002B2CF9AE}" pid="4" name="KSOTemplateDocerSaveRecord">
    <vt:lpwstr>eyJoZGlkIjoiNjkzMTg4MDE4YmNjMmI0NGNjNWQ3MjBhZjZjNTdiN2YiLCJ1c2VySWQiOiI0NDYzMzMxNTcifQ==</vt:lpwstr>
  </property>
</Properties>
</file>