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B91A1">
      <w:pPr>
        <w:pStyle w:val="2"/>
        <w:snapToGrid w:val="0"/>
        <w:spacing w:line="240" w:lineRule="auto"/>
        <w:jc w:val="center"/>
        <w:rPr>
          <w:rFonts w:ascii="宋体" w:hAnsi="宋体"/>
        </w:rPr>
      </w:pPr>
      <w:r>
        <w:rPr>
          <w:rFonts w:hint="eastAsia" w:ascii="宋体" w:hAnsi="宋体"/>
        </w:rPr>
        <w:drawing>
          <wp:inline distT="0" distB="0" distL="114300" distR="114300">
            <wp:extent cx="6115050" cy="8648065"/>
            <wp:effectExtent l="0" t="0" r="0" b="635"/>
            <wp:docPr id="5" name="图片 5" descr="651d372f32720f537d1613cc433f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51d372f32720f537d1613cc433f277"/>
                    <pic:cNvPicPr>
                      <a:picLocks noChangeAspect="1"/>
                    </pic:cNvPicPr>
                  </pic:nvPicPr>
                  <pic:blipFill>
                    <a:blip r:embed="rId8"/>
                    <a:stretch>
                      <a:fillRect/>
                    </a:stretch>
                  </pic:blipFill>
                  <pic:spPr>
                    <a:xfrm>
                      <a:off x="0" y="0"/>
                      <a:ext cx="6115050" cy="8648065"/>
                    </a:xfrm>
                    <a:prstGeom prst="rect">
                      <a:avLst/>
                    </a:prstGeom>
                  </pic:spPr>
                </pic:pic>
              </a:graphicData>
            </a:graphic>
          </wp:inline>
        </w:drawing>
      </w:r>
      <w:r>
        <w:rPr>
          <w:rFonts w:hint="eastAsia" w:ascii="宋体" w:hAnsi="宋体"/>
        </w:rPr>
        <w:t>目  录</w:t>
      </w:r>
      <w:r>
        <w:rPr>
          <w:rFonts w:hint="eastAsia" w:ascii="宋体" w:hAnsi="宋体"/>
        </w:rPr>
        <w:tab/>
      </w:r>
    </w:p>
    <w:p w14:paraId="16C812B3"/>
    <w:p w14:paraId="1C2B6417"/>
    <w:p w14:paraId="4B6D180F">
      <w:pPr>
        <w:spacing w:line="480" w:lineRule="auto"/>
      </w:pPr>
      <w:r>
        <w:rPr>
          <w:rFonts w:hint="eastAsia"/>
        </w:rPr>
        <w:t>第一章 招标公告</w:t>
      </w:r>
      <w:r>
        <w:rPr>
          <w:rFonts w:hint="eastAsia"/>
        </w:rPr>
        <w:tab/>
      </w:r>
    </w:p>
    <w:p w14:paraId="5DA1F1E4">
      <w:pPr>
        <w:spacing w:line="480" w:lineRule="auto"/>
      </w:pPr>
      <w:r>
        <w:rPr>
          <w:rFonts w:hint="eastAsia"/>
        </w:rPr>
        <w:t>第二章 投标人须知</w:t>
      </w:r>
      <w:r>
        <w:rPr>
          <w:rFonts w:hint="eastAsia"/>
        </w:rPr>
        <w:tab/>
      </w:r>
    </w:p>
    <w:p w14:paraId="78902CF5">
      <w:pPr>
        <w:spacing w:line="480" w:lineRule="auto"/>
      </w:pPr>
      <w:r>
        <w:rPr>
          <w:rFonts w:hint="eastAsia"/>
        </w:rPr>
        <w:t>第三章 评标办法</w:t>
      </w:r>
      <w:r>
        <w:rPr>
          <w:rFonts w:hint="eastAsia"/>
        </w:rPr>
        <w:tab/>
      </w:r>
    </w:p>
    <w:p w14:paraId="1030D5CB">
      <w:pPr>
        <w:spacing w:line="480" w:lineRule="auto"/>
      </w:pPr>
      <w:r>
        <w:rPr>
          <w:rFonts w:hint="eastAsia"/>
        </w:rPr>
        <w:t>第四章 合同条款及格式</w:t>
      </w:r>
      <w:r>
        <w:rPr>
          <w:rFonts w:hint="eastAsia"/>
        </w:rPr>
        <w:tab/>
      </w:r>
    </w:p>
    <w:p w14:paraId="59ADA0A5">
      <w:pPr>
        <w:spacing w:line="480" w:lineRule="auto"/>
      </w:pPr>
      <w:r>
        <w:rPr>
          <w:rFonts w:hint="eastAsia"/>
        </w:rPr>
        <w:t>第五章 采购需求</w:t>
      </w:r>
      <w:r>
        <w:rPr>
          <w:rFonts w:hint="eastAsia"/>
        </w:rPr>
        <w:tab/>
      </w:r>
    </w:p>
    <w:p w14:paraId="7DEE3C35">
      <w:pPr>
        <w:spacing w:line="480" w:lineRule="auto"/>
      </w:pPr>
      <w:r>
        <w:rPr>
          <w:rFonts w:hint="eastAsia"/>
        </w:rPr>
        <w:t>第六章 投标文件格式</w:t>
      </w:r>
    </w:p>
    <w:p w14:paraId="7120D1FE">
      <w:pPr>
        <w:spacing w:line="480" w:lineRule="auto"/>
      </w:pPr>
      <w:r>
        <w:rPr>
          <w:rFonts w:hint="eastAsia"/>
        </w:rPr>
        <w:t>第七章 政采领域优化营商环境相关政策</w:t>
      </w:r>
    </w:p>
    <w:p w14:paraId="4600DF07"/>
    <w:p w14:paraId="2FF7388C">
      <w:pPr>
        <w:pStyle w:val="2"/>
        <w:snapToGrid w:val="0"/>
        <w:spacing w:line="240" w:lineRule="auto"/>
        <w:jc w:val="center"/>
        <w:rPr>
          <w:rFonts w:ascii="宋体" w:hAnsi="宋体"/>
        </w:rPr>
      </w:pPr>
      <w:r>
        <w:rPr>
          <w:rFonts w:ascii="宋体" w:hAnsi="宋体"/>
        </w:rPr>
        <w:br w:type="page"/>
      </w:r>
      <w:bookmarkStart w:id="0" w:name="_Toc512597502"/>
      <w:bookmarkStart w:id="1" w:name="_Toc13274"/>
      <w:bookmarkStart w:id="2" w:name="_Toc5601"/>
      <w:bookmarkStart w:id="3" w:name="_Toc23269_WPSOffice_Level1"/>
      <w:r>
        <w:rPr>
          <w:rFonts w:hint="eastAsia" w:ascii="宋体" w:hAnsi="宋体"/>
          <w:bCs/>
          <w:sz w:val="36"/>
          <w:szCs w:val="36"/>
        </w:rPr>
        <w:t>第一章 招标公告</w:t>
      </w:r>
      <w:bookmarkEnd w:id="0"/>
      <w:bookmarkEnd w:id="1"/>
      <w:bookmarkEnd w:id="2"/>
      <w:bookmarkEnd w:id="3"/>
    </w:p>
    <w:p w14:paraId="764C524C">
      <w:pPr>
        <w:spacing w:line="360" w:lineRule="auto"/>
        <w:jc w:val="center"/>
        <w:rPr>
          <w:b/>
          <w:bCs/>
          <w:sz w:val="28"/>
          <w:szCs w:val="28"/>
        </w:rPr>
      </w:pPr>
      <w:bookmarkStart w:id="4" w:name="_Toc512597503"/>
      <w:r>
        <w:rPr>
          <w:rFonts w:hint="eastAsia"/>
          <w:b/>
          <w:bCs/>
          <w:sz w:val="28"/>
          <w:szCs w:val="28"/>
          <w:highlight w:val="none"/>
        </w:rPr>
        <w:t>【</w:t>
      </w:r>
      <w:r>
        <w:rPr>
          <w:rFonts w:hint="eastAsia"/>
          <w:b/>
          <w:bCs/>
          <w:sz w:val="28"/>
          <w:szCs w:val="28"/>
          <w:highlight w:val="none"/>
          <w:lang w:eastAsia="zh-CN"/>
        </w:rPr>
        <w:t>平公资采2025881号</w:t>
      </w:r>
      <w:r>
        <w:rPr>
          <w:rFonts w:hint="eastAsia"/>
          <w:b/>
          <w:bCs/>
          <w:sz w:val="28"/>
          <w:szCs w:val="28"/>
          <w:highlight w:val="none"/>
        </w:rPr>
        <w:t>】</w:t>
      </w:r>
      <w:r>
        <w:rPr>
          <w:rFonts w:hint="eastAsia"/>
          <w:b/>
          <w:bCs/>
          <w:sz w:val="28"/>
          <w:szCs w:val="28"/>
          <w:lang w:eastAsia="zh-CN"/>
        </w:rPr>
        <w:t>平顶山市妇幼保健院母婴中心服务项目—</w:t>
      </w:r>
      <w:r>
        <w:rPr>
          <w:rFonts w:hint="eastAsia"/>
          <w:b/>
          <w:bCs/>
          <w:sz w:val="28"/>
          <w:szCs w:val="28"/>
        </w:rPr>
        <w:t>招标公告</w:t>
      </w:r>
    </w:p>
    <w:p w14:paraId="21E65DE0">
      <w:pPr>
        <w:spacing w:line="360" w:lineRule="auto"/>
        <w:ind w:firstLine="422" w:firstLineChars="200"/>
        <w:jc w:val="left"/>
      </w:pPr>
      <w:r>
        <w:rPr>
          <w:rFonts w:hint="eastAsia"/>
          <w:b/>
          <w:bCs/>
        </w:rPr>
        <w:t>项目概况</w:t>
      </w:r>
    </w:p>
    <w:p w14:paraId="71FBCB65">
      <w:pPr>
        <w:spacing w:line="360" w:lineRule="auto"/>
        <w:ind w:firstLine="420" w:firstLineChars="200"/>
        <w:rPr>
          <w:rFonts w:ascii="宋体" w:hAnsi="宋体" w:cs="宋体"/>
          <w:szCs w:val="22"/>
        </w:rPr>
      </w:pPr>
      <w:r>
        <w:rPr>
          <w:rFonts w:hint="eastAsia" w:hAnsi="宋体" w:cs="宋体"/>
          <w:u w:val="single"/>
          <w:lang w:eastAsia="zh-CN"/>
        </w:rPr>
        <w:t>平顶山市妇幼保健院母婴中心服务项目</w:t>
      </w:r>
      <w:r>
        <w:rPr>
          <w:rFonts w:hint="eastAsia" w:ascii="宋体" w:hAnsi="宋体" w:cs="宋体"/>
        </w:rPr>
        <w:t>的潜在投标人应在</w:t>
      </w:r>
      <w:r>
        <w:rPr>
          <w:rFonts w:hint="eastAsia" w:ascii="宋体" w:hAnsi="宋体" w:cs="宋体"/>
          <w:u w:val="single"/>
          <w:lang w:eastAsia="zh-CN"/>
        </w:rPr>
        <w:t>《全国公共资源交易平台（河南省.平顶山市）》电子交易系统</w:t>
      </w:r>
      <w:r>
        <w:rPr>
          <w:rFonts w:hint="eastAsia" w:ascii="宋体" w:hAnsi="宋体" w:cs="宋体"/>
        </w:rPr>
        <w:t>获取招标文件</w:t>
      </w:r>
      <w:r>
        <w:rPr>
          <w:rFonts w:hint="eastAsia" w:ascii="宋体" w:hAnsi="宋体" w:cs="宋体"/>
          <w:highlight w:val="none"/>
        </w:rPr>
        <w:t>，</w:t>
      </w:r>
      <w:r>
        <w:rPr>
          <w:rFonts w:hint="eastAsia" w:ascii="宋体" w:hAnsi="宋体" w:cs="宋体"/>
          <w:szCs w:val="22"/>
          <w:highlight w:val="none"/>
        </w:rPr>
        <w:t>并于202</w:t>
      </w:r>
      <w:r>
        <w:rPr>
          <w:rFonts w:hint="eastAsia" w:ascii="宋体" w:hAnsi="宋体" w:cs="宋体"/>
          <w:szCs w:val="22"/>
          <w:highlight w:val="none"/>
          <w:lang w:val="en-US" w:eastAsia="zh-CN"/>
        </w:rPr>
        <w:t>5</w:t>
      </w:r>
      <w:r>
        <w:rPr>
          <w:rFonts w:hint="eastAsia" w:ascii="宋体" w:hAnsi="宋体" w:cs="宋体"/>
          <w:szCs w:val="22"/>
          <w:highlight w:val="none"/>
        </w:rPr>
        <w:t>年</w:t>
      </w:r>
      <w:r>
        <w:rPr>
          <w:rFonts w:hint="eastAsia" w:ascii="宋体" w:hAnsi="宋体" w:cs="宋体"/>
          <w:szCs w:val="22"/>
          <w:highlight w:val="none"/>
          <w:lang w:val="en-US" w:eastAsia="zh-CN"/>
        </w:rPr>
        <w:t>09</w:t>
      </w:r>
      <w:r>
        <w:rPr>
          <w:rFonts w:hint="eastAsia" w:ascii="宋体" w:hAnsi="宋体" w:cs="宋体"/>
          <w:szCs w:val="22"/>
          <w:highlight w:val="none"/>
        </w:rPr>
        <w:t>月</w:t>
      </w:r>
      <w:r>
        <w:rPr>
          <w:rFonts w:hint="eastAsia" w:ascii="宋体" w:hAnsi="宋体" w:cs="宋体"/>
          <w:szCs w:val="22"/>
          <w:highlight w:val="none"/>
          <w:lang w:val="en-US" w:eastAsia="zh-CN"/>
        </w:rPr>
        <w:t>23</w:t>
      </w:r>
      <w:r>
        <w:rPr>
          <w:rFonts w:hint="eastAsia" w:ascii="宋体" w:hAnsi="宋体" w:cs="宋体"/>
          <w:szCs w:val="22"/>
          <w:highlight w:val="none"/>
        </w:rPr>
        <w:t>日</w:t>
      </w:r>
      <w:r>
        <w:rPr>
          <w:rFonts w:hint="eastAsia" w:ascii="宋体" w:hAnsi="宋体" w:cs="宋体"/>
          <w:szCs w:val="22"/>
          <w:highlight w:val="none"/>
          <w:lang w:val="en-US" w:eastAsia="zh-CN"/>
        </w:rPr>
        <w:t>08</w:t>
      </w:r>
      <w:r>
        <w:rPr>
          <w:rFonts w:hint="eastAsia" w:ascii="宋体" w:hAnsi="宋体" w:cs="宋体"/>
          <w:szCs w:val="22"/>
          <w:highlight w:val="none"/>
        </w:rPr>
        <w:t>点</w:t>
      </w:r>
      <w:r>
        <w:rPr>
          <w:rFonts w:hint="eastAsia" w:ascii="宋体" w:hAnsi="宋体" w:cs="宋体"/>
          <w:szCs w:val="22"/>
          <w:highlight w:val="none"/>
          <w:lang w:val="en-US" w:eastAsia="zh-CN"/>
        </w:rPr>
        <w:t>40</w:t>
      </w:r>
      <w:r>
        <w:rPr>
          <w:rFonts w:hint="eastAsia" w:ascii="宋体" w:hAnsi="宋体" w:cs="宋体"/>
          <w:szCs w:val="22"/>
          <w:highlight w:val="none"/>
        </w:rPr>
        <w:t>分（北京时间）前递交投标文件</w:t>
      </w:r>
      <w:r>
        <w:rPr>
          <w:rFonts w:hint="eastAsia" w:ascii="宋体" w:hAnsi="宋体" w:cs="宋体"/>
          <w:szCs w:val="22"/>
        </w:rPr>
        <w:t>。</w:t>
      </w:r>
    </w:p>
    <w:p w14:paraId="699788FE">
      <w:pPr>
        <w:spacing w:line="360" w:lineRule="auto"/>
        <w:rPr>
          <w:b/>
          <w:bCs/>
          <w:szCs w:val="22"/>
        </w:rPr>
      </w:pPr>
      <w:bookmarkStart w:id="5" w:name="_Toc35393621"/>
      <w:bookmarkStart w:id="6" w:name="_Toc28359002"/>
      <w:bookmarkStart w:id="7" w:name="_Toc28359079"/>
      <w:bookmarkStart w:id="8" w:name="_Toc35393790"/>
      <w:bookmarkStart w:id="9" w:name="_Hlk24379207"/>
      <w:r>
        <w:rPr>
          <w:rFonts w:hint="eastAsia"/>
          <w:b/>
          <w:bCs/>
          <w:szCs w:val="22"/>
        </w:rPr>
        <w:t>一、项目基本情况</w:t>
      </w:r>
      <w:bookmarkEnd w:id="5"/>
      <w:bookmarkEnd w:id="6"/>
      <w:bookmarkEnd w:id="7"/>
      <w:bookmarkEnd w:id="8"/>
    </w:p>
    <w:p w14:paraId="31D65EC1">
      <w:pPr>
        <w:spacing w:line="360" w:lineRule="auto"/>
        <w:rPr>
          <w:rFonts w:hint="default" w:ascii="宋体" w:hAnsi="宋体" w:eastAsia="宋体" w:cs="宋体"/>
          <w:highlight w:val="none"/>
          <w:lang w:val="en-US" w:eastAsia="zh-CN"/>
        </w:rPr>
      </w:pPr>
      <w:r>
        <w:rPr>
          <w:rFonts w:hint="eastAsia" w:ascii="宋体" w:hAnsi="宋体" w:cs="宋体"/>
        </w:rPr>
        <w:t>1、</w:t>
      </w:r>
      <w:r>
        <w:rPr>
          <w:rFonts w:hint="eastAsia" w:hAnsi="宋体" w:cs="宋体"/>
        </w:rPr>
        <w:t>项目编号</w:t>
      </w:r>
      <w:r>
        <w:rPr>
          <w:rFonts w:hint="eastAsia" w:ascii="宋体" w:hAnsi="宋体" w:cs="宋体"/>
          <w:highlight w:val="none"/>
        </w:rPr>
        <w:t>：</w:t>
      </w:r>
      <w:r>
        <w:rPr>
          <w:rFonts w:hint="eastAsia" w:ascii="宋体" w:hAnsi="宋体" w:cs="宋体"/>
          <w:highlight w:val="none"/>
          <w:lang w:eastAsia="zh-CN"/>
        </w:rPr>
        <w:t>平采招标-202</w:t>
      </w:r>
      <w:r>
        <w:rPr>
          <w:rFonts w:hint="eastAsia" w:ascii="宋体" w:hAnsi="宋体" w:cs="宋体"/>
          <w:highlight w:val="none"/>
          <w:lang w:val="en-US" w:eastAsia="zh-CN"/>
        </w:rPr>
        <w:t>5</w:t>
      </w:r>
      <w:r>
        <w:rPr>
          <w:rFonts w:hint="eastAsia" w:ascii="宋体" w:hAnsi="宋体" w:cs="宋体"/>
          <w:highlight w:val="none"/>
          <w:lang w:eastAsia="zh-CN"/>
        </w:rPr>
        <w:t>-</w:t>
      </w:r>
      <w:r>
        <w:rPr>
          <w:rFonts w:hint="eastAsia" w:ascii="宋体" w:hAnsi="宋体" w:cs="宋体"/>
          <w:highlight w:val="none"/>
          <w:lang w:val="en-US" w:eastAsia="zh-CN"/>
        </w:rPr>
        <w:t xml:space="preserve">116  </w:t>
      </w:r>
    </w:p>
    <w:p w14:paraId="3CC075A0">
      <w:pPr>
        <w:spacing w:line="360" w:lineRule="auto"/>
        <w:rPr>
          <w:rFonts w:hint="eastAsia" w:ascii="宋体" w:hAnsi="宋体" w:eastAsia="宋体" w:cs="宋体"/>
          <w:lang w:eastAsia="zh-CN"/>
        </w:rPr>
      </w:pPr>
      <w:r>
        <w:rPr>
          <w:rFonts w:hint="eastAsia" w:ascii="宋体" w:hAnsi="宋体" w:cs="宋体"/>
        </w:rPr>
        <w:t>2、项目名称：</w:t>
      </w:r>
      <w:r>
        <w:rPr>
          <w:rFonts w:hint="eastAsia" w:hAnsi="宋体" w:cs="宋体"/>
          <w:lang w:eastAsia="zh-CN"/>
        </w:rPr>
        <w:t>平顶山市妇幼保健院母婴中心服务项目</w:t>
      </w:r>
    </w:p>
    <w:bookmarkEnd w:id="9"/>
    <w:p w14:paraId="05448683">
      <w:pPr>
        <w:spacing w:line="360" w:lineRule="auto"/>
        <w:rPr>
          <w:rFonts w:ascii="宋体" w:hAnsi="宋体" w:cs="宋体"/>
        </w:rPr>
      </w:pPr>
      <w:r>
        <w:rPr>
          <w:rFonts w:hint="eastAsia" w:ascii="宋体" w:hAnsi="宋体" w:cs="宋体"/>
        </w:rPr>
        <w:t>3、采购方式</w:t>
      </w:r>
      <w:r>
        <w:rPr>
          <w:rFonts w:hint="eastAsia" w:hAnsi="宋体" w:cs="宋体"/>
        </w:rPr>
        <w:t>：公开招标</w:t>
      </w:r>
    </w:p>
    <w:p w14:paraId="58C6CE26">
      <w:pPr>
        <w:spacing w:line="360" w:lineRule="auto"/>
        <w:rPr>
          <w:rFonts w:ascii="宋体" w:hAnsi="宋体" w:cs="宋体"/>
        </w:rPr>
      </w:pPr>
      <w:r>
        <w:rPr>
          <w:rFonts w:hint="eastAsia" w:ascii="宋体" w:hAnsi="宋体" w:cs="宋体"/>
        </w:rPr>
        <w:t>4、预算金额：</w:t>
      </w:r>
      <w:r>
        <w:rPr>
          <w:rFonts w:hint="eastAsia" w:hAnsi="宋体" w:cs="宋体"/>
          <w:lang w:eastAsia="zh-CN"/>
        </w:rPr>
        <w:t>1800000.00</w:t>
      </w:r>
      <w:r>
        <w:rPr>
          <w:rFonts w:hint="eastAsia" w:ascii="宋体" w:hAnsi="宋体" w:cs="宋体"/>
        </w:rPr>
        <w:t>元</w:t>
      </w:r>
    </w:p>
    <w:p w14:paraId="4603C893">
      <w:pPr>
        <w:spacing w:line="360" w:lineRule="auto"/>
        <w:rPr>
          <w:rFonts w:ascii="宋体" w:hAnsi="宋体" w:cs="宋体"/>
        </w:rPr>
      </w:pPr>
      <w:r>
        <w:rPr>
          <w:rFonts w:hint="eastAsia" w:ascii="宋体" w:hAnsi="宋体" w:cs="宋体"/>
        </w:rPr>
        <w:t>最高限价：</w:t>
      </w:r>
      <w:r>
        <w:rPr>
          <w:rFonts w:hint="eastAsia" w:hAnsi="宋体" w:cs="宋体"/>
          <w:lang w:eastAsia="zh-CN"/>
        </w:rPr>
        <w:t>1800000.00</w:t>
      </w:r>
      <w:r>
        <w:rPr>
          <w:rFonts w:hint="eastAsia" w:ascii="宋体" w:hAnsi="宋体" w:cs="宋体"/>
        </w:rPr>
        <w:t>元</w:t>
      </w:r>
    </w:p>
    <w:tbl>
      <w:tblPr>
        <w:tblStyle w:val="18"/>
        <w:tblW w:w="9400" w:type="dxa"/>
        <w:jc w:val="center"/>
        <w:tblLayout w:type="fixed"/>
        <w:tblCellMar>
          <w:top w:w="0" w:type="dxa"/>
          <w:left w:w="0" w:type="dxa"/>
          <w:bottom w:w="0" w:type="dxa"/>
          <w:right w:w="0" w:type="dxa"/>
        </w:tblCellMar>
      </w:tblPr>
      <w:tblGrid>
        <w:gridCol w:w="433"/>
        <w:gridCol w:w="2370"/>
        <w:gridCol w:w="2676"/>
        <w:gridCol w:w="1505"/>
        <w:gridCol w:w="2416"/>
      </w:tblGrid>
      <w:tr w14:paraId="0DF21F7E">
        <w:tblPrEx>
          <w:tblCellMar>
            <w:top w:w="0" w:type="dxa"/>
            <w:left w:w="0" w:type="dxa"/>
            <w:bottom w:w="0" w:type="dxa"/>
            <w:right w:w="0" w:type="dxa"/>
          </w:tblCellMar>
        </w:tblPrEx>
        <w:trPr>
          <w:trHeight w:val="305" w:hRule="atLeast"/>
          <w:jc w:val="center"/>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2263DF">
            <w:pPr>
              <w:widowControl/>
              <w:spacing w:line="360" w:lineRule="auto"/>
              <w:jc w:val="center"/>
              <w:textAlignment w:val="center"/>
              <w:rPr>
                <w:rFonts w:ascii="宋体" w:hAnsi="宋体" w:cs="宋体"/>
              </w:rPr>
            </w:pPr>
            <w:r>
              <w:rPr>
                <w:rFonts w:hint="eastAsia" w:ascii="宋体" w:hAnsi="宋体" w:cs="宋体"/>
                <w:kern w:val="0"/>
                <w:lang w:bidi="ar"/>
              </w:rPr>
              <w:t>序号</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6FAEA">
            <w:pPr>
              <w:widowControl/>
              <w:spacing w:line="360" w:lineRule="auto"/>
              <w:jc w:val="center"/>
              <w:textAlignment w:val="center"/>
              <w:rPr>
                <w:rFonts w:ascii="宋体" w:hAnsi="宋体" w:cs="宋体"/>
              </w:rPr>
            </w:pPr>
            <w:r>
              <w:rPr>
                <w:rFonts w:hint="eastAsia" w:ascii="宋体" w:hAnsi="宋体" w:cs="宋体"/>
                <w:kern w:val="0"/>
                <w:lang w:bidi="ar"/>
              </w:rPr>
              <w:t>包号</w:t>
            </w: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0D5F2">
            <w:pPr>
              <w:widowControl/>
              <w:spacing w:line="360" w:lineRule="auto"/>
              <w:jc w:val="center"/>
              <w:textAlignment w:val="center"/>
              <w:rPr>
                <w:rFonts w:ascii="宋体" w:hAnsi="宋体" w:cs="宋体"/>
              </w:rPr>
            </w:pPr>
            <w:r>
              <w:rPr>
                <w:rFonts w:hint="eastAsia" w:ascii="宋体" w:hAnsi="宋体" w:cs="宋体"/>
                <w:kern w:val="0"/>
                <w:lang w:bidi="ar"/>
              </w:rPr>
              <w:t>包名称</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1B2C9">
            <w:pPr>
              <w:widowControl/>
              <w:spacing w:line="360" w:lineRule="auto"/>
              <w:jc w:val="center"/>
              <w:textAlignment w:val="center"/>
              <w:rPr>
                <w:rFonts w:ascii="宋体" w:hAnsi="宋体" w:cs="宋体"/>
              </w:rPr>
            </w:pPr>
            <w:r>
              <w:rPr>
                <w:rFonts w:hint="eastAsia" w:ascii="宋体" w:hAnsi="宋体" w:cs="宋体"/>
                <w:kern w:val="0"/>
                <w:lang w:bidi="ar"/>
              </w:rPr>
              <w:t>包预算（元）</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48D87">
            <w:pPr>
              <w:widowControl/>
              <w:spacing w:line="360" w:lineRule="auto"/>
              <w:jc w:val="center"/>
              <w:textAlignment w:val="center"/>
              <w:rPr>
                <w:rFonts w:ascii="宋体" w:hAnsi="宋体" w:cs="宋体"/>
              </w:rPr>
            </w:pPr>
            <w:r>
              <w:rPr>
                <w:rFonts w:hint="eastAsia" w:ascii="宋体" w:hAnsi="宋体" w:cs="宋体"/>
                <w:kern w:val="0"/>
                <w:lang w:bidi="ar"/>
              </w:rPr>
              <w:t>包最高限价（元）</w:t>
            </w:r>
          </w:p>
        </w:tc>
      </w:tr>
      <w:tr w14:paraId="3DC7CC60">
        <w:tblPrEx>
          <w:tblCellMar>
            <w:top w:w="0" w:type="dxa"/>
            <w:left w:w="0" w:type="dxa"/>
            <w:bottom w:w="0" w:type="dxa"/>
            <w:right w:w="0" w:type="dxa"/>
          </w:tblCellMar>
        </w:tblPrEx>
        <w:trPr>
          <w:trHeight w:val="848" w:hRule="atLeast"/>
          <w:jc w:val="center"/>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09968">
            <w:pPr>
              <w:widowControl/>
              <w:spacing w:line="360" w:lineRule="auto"/>
              <w:jc w:val="center"/>
              <w:textAlignment w:val="center"/>
              <w:rPr>
                <w:rFonts w:ascii="宋体" w:hAnsi="宋体" w:cs="宋体"/>
              </w:rPr>
            </w:pPr>
            <w:r>
              <w:rPr>
                <w:rFonts w:hint="eastAsia" w:ascii="宋体" w:hAnsi="宋体" w:cs="宋体"/>
                <w:kern w:val="0"/>
                <w:lang w:bidi="ar"/>
              </w:rPr>
              <w:t>1</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9666F">
            <w:pPr>
              <w:widowControl/>
              <w:spacing w:line="360" w:lineRule="auto"/>
              <w:jc w:val="center"/>
              <w:textAlignment w:val="center"/>
              <w:rPr>
                <w:rFonts w:ascii="宋体" w:hAnsi="宋体" w:cs="宋体"/>
              </w:rPr>
            </w:pPr>
            <w:r>
              <w:rPr>
                <w:rFonts w:hint="eastAsia" w:hAnsi="宋体" w:cs="宋体"/>
                <w:szCs w:val="22"/>
                <w:highlight w:val="none"/>
                <w:lang w:eastAsia="zh-CN"/>
              </w:rPr>
              <w:t>平公资采2025881号</w:t>
            </w:r>
            <w:r>
              <w:rPr>
                <w:rFonts w:hint="eastAsia" w:hAnsi="宋体" w:cs="宋体"/>
                <w:szCs w:val="22"/>
                <w:highlight w:val="none"/>
              </w:rPr>
              <w:t>-1</w:t>
            </w: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24E73">
            <w:pPr>
              <w:widowControl/>
              <w:spacing w:line="360" w:lineRule="auto"/>
              <w:jc w:val="center"/>
              <w:textAlignment w:val="center"/>
              <w:rPr>
                <w:rFonts w:hint="eastAsia" w:ascii="宋体" w:hAnsi="宋体" w:eastAsia="宋体" w:cs="宋体"/>
                <w:lang w:eastAsia="zh-CN"/>
              </w:rPr>
            </w:pPr>
            <w:r>
              <w:rPr>
                <w:rFonts w:hint="eastAsia" w:ascii="宋体" w:hAnsi="宋体" w:cs="宋体"/>
                <w:kern w:val="0"/>
                <w:lang w:val="en-US" w:eastAsia="zh-CN" w:bidi="ar"/>
              </w:rPr>
              <w:t>第一标段</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9CBF5">
            <w:pPr>
              <w:widowControl/>
              <w:spacing w:line="360" w:lineRule="auto"/>
              <w:jc w:val="center"/>
              <w:textAlignment w:val="center"/>
              <w:rPr>
                <w:rFonts w:hint="eastAsia" w:ascii="宋体" w:hAnsi="宋体" w:eastAsia="宋体" w:cs="宋体"/>
                <w:lang w:eastAsia="zh-CN"/>
              </w:rPr>
            </w:pPr>
            <w:r>
              <w:rPr>
                <w:rFonts w:hint="eastAsia" w:hAnsi="宋体" w:cs="宋体"/>
                <w:lang w:val="en-US" w:eastAsia="zh-CN"/>
              </w:rPr>
              <w:t>1800000.00</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69180">
            <w:pPr>
              <w:widowControl/>
              <w:spacing w:line="360" w:lineRule="auto"/>
              <w:jc w:val="center"/>
              <w:textAlignment w:val="center"/>
              <w:rPr>
                <w:rFonts w:hint="eastAsia" w:ascii="宋体" w:hAnsi="宋体" w:eastAsia="宋体" w:cs="宋体"/>
                <w:lang w:eastAsia="zh-CN"/>
              </w:rPr>
            </w:pPr>
            <w:r>
              <w:rPr>
                <w:rFonts w:hint="eastAsia" w:hAnsi="宋体" w:cs="宋体"/>
                <w:lang w:val="en-US" w:eastAsia="zh-CN"/>
              </w:rPr>
              <w:t>1800000.00</w:t>
            </w:r>
          </w:p>
        </w:tc>
      </w:tr>
    </w:tbl>
    <w:p w14:paraId="06462B58">
      <w:pPr>
        <w:spacing w:line="360" w:lineRule="auto"/>
      </w:pPr>
      <w:r>
        <w:rPr>
          <w:rFonts w:hint="eastAsia"/>
        </w:rPr>
        <w:t>5、采购需求（包括但不限于标的的名称、数量、简要技术需求或服务要求等）</w:t>
      </w:r>
    </w:p>
    <w:p w14:paraId="08DDF18C">
      <w:pPr>
        <w:spacing w:line="360" w:lineRule="auto"/>
        <w:ind w:firstLine="420" w:firstLineChars="200"/>
        <w:rPr>
          <w:rFonts w:ascii="宋体" w:hAnsi="宋体" w:cs="宋体"/>
        </w:rPr>
      </w:pPr>
      <w:r>
        <w:rPr>
          <w:rFonts w:hint="eastAsia" w:ascii="宋体" w:hAnsi="宋体" w:cs="宋体"/>
        </w:rPr>
        <w:t>5.1采购范围：</w:t>
      </w:r>
      <w:bookmarkStart w:id="10" w:name="OLE_LINK1"/>
      <w:r>
        <w:rPr>
          <w:rFonts w:hint="eastAsia" w:hAnsi="宋体" w:cs="宋体"/>
          <w:lang w:eastAsia="zh-CN"/>
        </w:rPr>
        <w:t>平顶山市妇幼保健院母婴中心服务项目</w:t>
      </w:r>
      <w:r>
        <w:rPr>
          <w:rFonts w:hint="eastAsia" w:hAnsi="宋体" w:cs="宋体"/>
        </w:rPr>
        <w:t>，</w:t>
      </w:r>
      <w:r>
        <w:rPr>
          <w:rFonts w:hint="eastAsia" w:hAnsi="宋体" w:cs="宋体"/>
          <w:lang w:eastAsia="zh-CN"/>
        </w:rPr>
        <w:t>服务范围包含养生保健服务（非医疗）、母婴生活护理（不含医疗服务）、餐饮管理、中心配套活动服务（活动围绕增强产妇身心快速恢复，包括不限于：产后瑜伽、手工课程、保健知识及母婴健康知识培训讲座）</w:t>
      </w:r>
      <w:r>
        <w:rPr>
          <w:rFonts w:hint="eastAsia"/>
          <w:lang w:val="en-US" w:eastAsia="zh-CN"/>
        </w:rPr>
        <w:t>。</w:t>
      </w:r>
      <w:bookmarkEnd w:id="10"/>
    </w:p>
    <w:p w14:paraId="1312A5E0">
      <w:pPr>
        <w:spacing w:line="360" w:lineRule="auto"/>
        <w:ind w:firstLine="420" w:firstLineChars="200"/>
      </w:pPr>
      <w:r>
        <w:rPr>
          <w:rFonts w:hint="eastAsia" w:ascii="宋体" w:hAnsi="宋体" w:cs="宋体"/>
        </w:rPr>
        <w:t>5.2资金来源：</w:t>
      </w:r>
      <w:r>
        <w:rPr>
          <w:rFonts w:hint="eastAsia" w:ascii="宋体" w:hAnsi="宋体" w:cs="宋体"/>
          <w:lang w:eastAsia="zh-CN"/>
        </w:rPr>
        <w:t>单位自筹</w:t>
      </w:r>
      <w:r>
        <w:rPr>
          <w:rFonts w:hint="eastAsia" w:ascii="宋体" w:hAnsi="宋体" w:cs="宋体"/>
        </w:rPr>
        <w:t>，已落实</w:t>
      </w:r>
    </w:p>
    <w:p w14:paraId="60B1E07E">
      <w:pPr>
        <w:spacing w:line="360" w:lineRule="auto"/>
        <w:ind w:firstLine="420" w:firstLineChars="200"/>
        <w:rPr>
          <w:rFonts w:ascii="宋体" w:hAnsi="宋体" w:cs="宋体"/>
        </w:rPr>
      </w:pPr>
      <w:r>
        <w:rPr>
          <w:rFonts w:hint="eastAsia" w:ascii="宋体" w:hAnsi="宋体" w:cs="宋体"/>
        </w:rPr>
        <w:t>5.3</w:t>
      </w:r>
      <w:r>
        <w:rPr>
          <w:rFonts w:hint="eastAsia" w:ascii="宋体" w:hAnsi="宋体" w:cs="宋体"/>
          <w:lang w:eastAsia="zh-CN"/>
        </w:rPr>
        <w:t>服务地点</w:t>
      </w:r>
      <w:r>
        <w:rPr>
          <w:rFonts w:hint="eastAsia" w:ascii="宋体" w:hAnsi="宋体" w:cs="宋体"/>
        </w:rPr>
        <w:t>：采购人指定地点</w:t>
      </w:r>
    </w:p>
    <w:p w14:paraId="1FEE73CC">
      <w:pPr>
        <w:spacing w:line="360" w:lineRule="auto"/>
        <w:ind w:firstLine="420" w:firstLineChars="200"/>
        <w:rPr>
          <w:rFonts w:ascii="宋体" w:hAnsi="宋体" w:cs="宋体"/>
          <w:highlight w:val="none"/>
        </w:rPr>
      </w:pPr>
      <w:r>
        <w:rPr>
          <w:rFonts w:hint="eastAsia" w:ascii="宋体" w:hAnsi="宋体" w:cs="宋体"/>
        </w:rPr>
        <w:t>5.4</w:t>
      </w:r>
      <w:r>
        <w:rPr>
          <w:rFonts w:hint="eastAsia" w:ascii="宋体" w:hAnsi="宋体" w:cs="宋体"/>
          <w:lang w:eastAsia="zh-CN"/>
        </w:rPr>
        <w:t>服务期限</w:t>
      </w:r>
      <w:r>
        <w:rPr>
          <w:rFonts w:hint="eastAsia" w:ascii="宋体" w:hAnsi="宋体" w:cs="宋体"/>
          <w:highlight w:val="none"/>
        </w:rPr>
        <w:t>：</w:t>
      </w:r>
      <w:r>
        <w:rPr>
          <w:rFonts w:hint="eastAsia" w:ascii="宋体" w:hAnsi="宋体" w:cs="宋体"/>
          <w:highlight w:val="none"/>
          <w:lang w:eastAsia="zh-CN"/>
        </w:rPr>
        <w:t>3年</w:t>
      </w:r>
    </w:p>
    <w:p w14:paraId="07656AB1">
      <w:pPr>
        <w:spacing w:line="360" w:lineRule="auto"/>
        <w:ind w:firstLine="420" w:firstLineChars="200"/>
        <w:rPr>
          <w:rFonts w:hint="eastAsia" w:ascii="宋体" w:hAnsi="宋体" w:eastAsia="宋体" w:cs="宋体"/>
          <w:szCs w:val="22"/>
          <w:lang w:eastAsia="zh-CN"/>
        </w:rPr>
      </w:pPr>
      <w:r>
        <w:rPr>
          <w:rFonts w:hint="eastAsia" w:ascii="宋体" w:hAnsi="宋体" w:cs="宋体"/>
          <w:szCs w:val="22"/>
        </w:rPr>
        <w:t>5.6</w:t>
      </w:r>
      <w:r>
        <w:rPr>
          <w:rFonts w:hint="eastAsia" w:ascii="宋体" w:hAnsi="宋体" w:cs="宋体"/>
          <w:szCs w:val="22"/>
          <w:lang w:eastAsia="zh-CN"/>
        </w:rPr>
        <w:t>服务质量</w:t>
      </w:r>
      <w:r>
        <w:rPr>
          <w:rFonts w:hint="eastAsia" w:ascii="宋体" w:hAnsi="宋体" w:cs="宋体"/>
          <w:szCs w:val="22"/>
        </w:rPr>
        <w:t>：</w:t>
      </w:r>
      <w:r>
        <w:rPr>
          <w:rFonts w:hint="eastAsia" w:ascii="宋体" w:hAnsi="宋体" w:cs="宋体"/>
          <w:szCs w:val="22"/>
          <w:lang w:eastAsia="zh-CN"/>
        </w:rPr>
        <w:t>符合采购人需求标准</w:t>
      </w:r>
    </w:p>
    <w:p w14:paraId="3852A6FB">
      <w:pPr>
        <w:spacing w:line="360" w:lineRule="auto"/>
        <w:ind w:firstLine="420" w:firstLineChars="200"/>
        <w:rPr>
          <w:rFonts w:hint="default" w:ascii="宋体" w:hAnsi="宋体" w:eastAsia="宋体" w:cs="宋体"/>
          <w:szCs w:val="22"/>
          <w:lang w:val="en-US" w:eastAsia="zh-CN"/>
        </w:rPr>
      </w:pPr>
      <w:r>
        <w:rPr>
          <w:rFonts w:hint="eastAsia" w:ascii="宋体" w:hAnsi="宋体" w:cs="宋体"/>
          <w:szCs w:val="22"/>
        </w:rPr>
        <w:t>5.7标包划分：</w:t>
      </w:r>
      <w:r>
        <w:rPr>
          <w:rFonts w:hint="eastAsia" w:ascii="宋体" w:hAnsi="宋体" w:cs="宋体"/>
          <w:szCs w:val="22"/>
          <w:lang w:eastAsia="zh-CN"/>
        </w:rPr>
        <w:t>本项目划分为</w:t>
      </w:r>
      <w:r>
        <w:rPr>
          <w:rFonts w:hint="eastAsia" w:ascii="宋体" w:hAnsi="宋体" w:cs="宋体"/>
          <w:szCs w:val="22"/>
          <w:lang w:val="en-US" w:eastAsia="zh-CN"/>
        </w:rPr>
        <w:t>1</w:t>
      </w:r>
      <w:r>
        <w:rPr>
          <w:rFonts w:hint="eastAsia" w:ascii="宋体" w:hAnsi="宋体" w:cs="宋体"/>
          <w:szCs w:val="22"/>
          <w:lang w:eastAsia="zh-CN"/>
        </w:rPr>
        <w:t>个标包</w:t>
      </w:r>
    </w:p>
    <w:p w14:paraId="4CA8774F">
      <w:pPr>
        <w:spacing w:line="360" w:lineRule="auto"/>
        <w:rPr>
          <w:rFonts w:hint="eastAsia" w:ascii="宋体" w:hAnsi="宋体" w:eastAsia="宋体" w:cs="宋体"/>
          <w:szCs w:val="22"/>
          <w:lang w:eastAsia="zh-CN"/>
        </w:rPr>
      </w:pPr>
      <w:r>
        <w:rPr>
          <w:rFonts w:hint="eastAsia" w:ascii="宋体" w:hAnsi="宋体" w:cs="宋体"/>
          <w:szCs w:val="22"/>
        </w:rPr>
        <w:t>6、合同履行期限：</w:t>
      </w:r>
      <w:r>
        <w:rPr>
          <w:rFonts w:hint="eastAsia" w:ascii="宋体" w:hAnsi="宋体" w:cs="宋体"/>
          <w:szCs w:val="22"/>
          <w:lang w:eastAsia="zh-CN"/>
        </w:rPr>
        <w:t>同服务期限</w:t>
      </w:r>
    </w:p>
    <w:p w14:paraId="7E5980AC">
      <w:pPr>
        <w:spacing w:line="360" w:lineRule="auto"/>
        <w:rPr>
          <w:rFonts w:ascii="宋体" w:hAnsi="宋体" w:cs="宋体"/>
          <w:szCs w:val="22"/>
        </w:rPr>
      </w:pPr>
      <w:r>
        <w:rPr>
          <w:rFonts w:hint="eastAsia" w:ascii="宋体" w:hAnsi="宋体" w:cs="宋体"/>
          <w:szCs w:val="22"/>
        </w:rPr>
        <w:t>7、本项目是否接受联合体投标：否</w:t>
      </w:r>
    </w:p>
    <w:p w14:paraId="250E5AE1">
      <w:pPr>
        <w:spacing w:line="360" w:lineRule="auto"/>
        <w:rPr>
          <w:rFonts w:hint="eastAsia" w:ascii="宋体" w:hAnsi="宋体" w:eastAsia="宋体" w:cs="宋体"/>
          <w:szCs w:val="22"/>
          <w:lang w:eastAsia="zh-CN"/>
        </w:rPr>
      </w:pPr>
      <w:r>
        <w:rPr>
          <w:rFonts w:hint="eastAsia" w:ascii="宋体" w:hAnsi="宋体" w:cs="宋体"/>
          <w:szCs w:val="22"/>
        </w:rPr>
        <w:t>8、是否接受进口产品：</w:t>
      </w:r>
      <w:r>
        <w:rPr>
          <w:rFonts w:hint="eastAsia" w:ascii="宋体" w:hAnsi="宋体" w:cs="宋体"/>
          <w:szCs w:val="22"/>
          <w:lang w:eastAsia="zh-CN"/>
        </w:rPr>
        <w:t>否</w:t>
      </w:r>
    </w:p>
    <w:p w14:paraId="76E884AD">
      <w:pPr>
        <w:spacing w:line="360" w:lineRule="auto"/>
        <w:rPr>
          <w:rFonts w:hint="eastAsia" w:ascii="宋体" w:hAnsi="宋体" w:eastAsia="宋体" w:cs="宋体"/>
          <w:szCs w:val="22"/>
          <w:lang w:eastAsia="zh-CN"/>
        </w:rPr>
      </w:pPr>
      <w:r>
        <w:rPr>
          <w:rFonts w:hint="eastAsia" w:ascii="宋体" w:hAnsi="宋体" w:cs="宋体"/>
          <w:szCs w:val="22"/>
        </w:rPr>
        <w:t>9、是否专门面向中小企业：</w:t>
      </w:r>
      <w:r>
        <w:rPr>
          <w:rFonts w:hint="eastAsia" w:ascii="宋体" w:hAnsi="宋体" w:cs="宋体"/>
          <w:szCs w:val="22"/>
          <w:lang w:eastAsia="zh-CN"/>
        </w:rPr>
        <w:t>是</w:t>
      </w:r>
    </w:p>
    <w:p w14:paraId="692BA618">
      <w:pPr>
        <w:spacing w:line="360" w:lineRule="auto"/>
        <w:rPr>
          <w:b/>
          <w:bCs/>
          <w:szCs w:val="22"/>
        </w:rPr>
      </w:pPr>
      <w:bookmarkStart w:id="11" w:name="_Toc35393622"/>
      <w:bookmarkStart w:id="12" w:name="_Toc28359003"/>
      <w:bookmarkStart w:id="13" w:name="_Toc35393791"/>
      <w:bookmarkStart w:id="14" w:name="_Toc28359080"/>
      <w:r>
        <w:rPr>
          <w:rFonts w:hint="eastAsia"/>
          <w:b/>
          <w:bCs/>
          <w:szCs w:val="22"/>
        </w:rPr>
        <w:t>二、申请人的资格要求：</w:t>
      </w:r>
      <w:bookmarkEnd w:id="11"/>
      <w:bookmarkEnd w:id="12"/>
      <w:bookmarkEnd w:id="13"/>
      <w:bookmarkEnd w:id="14"/>
    </w:p>
    <w:p w14:paraId="4F72A548">
      <w:pPr>
        <w:spacing w:line="360" w:lineRule="auto"/>
        <w:rPr>
          <w:rFonts w:ascii="宋体" w:hAnsi="宋体" w:cs="宋体"/>
        </w:rPr>
      </w:pPr>
      <w:r>
        <w:rPr>
          <w:rFonts w:hint="eastAsia" w:ascii="宋体" w:hAnsi="宋体" w:cs="宋体"/>
          <w:b/>
          <w:bCs/>
        </w:rPr>
        <w:t>1、满足《中华人民共和国政府采购法》第二十二条规定；</w:t>
      </w:r>
    </w:p>
    <w:p w14:paraId="0135F077">
      <w:pPr>
        <w:spacing w:line="360" w:lineRule="auto"/>
        <w:rPr>
          <w:rFonts w:hint="eastAsia" w:hAnsi="宋体"/>
          <w:highlight w:val="none"/>
        </w:rPr>
      </w:pPr>
      <w:bookmarkStart w:id="15" w:name="_Toc28359081"/>
      <w:bookmarkStart w:id="16" w:name="_Toc28359004"/>
      <w:r>
        <w:rPr>
          <w:rFonts w:hint="eastAsia" w:ascii="宋体" w:hAnsi="宋体" w:cs="宋体"/>
          <w:b/>
          <w:bCs/>
        </w:rPr>
        <w:t>2、落实政府采购政策需满足的资格要求：</w:t>
      </w:r>
      <w:r>
        <w:rPr>
          <w:rFonts w:hint="eastAsia" w:hAnsi="宋体"/>
          <w:highlight w:val="none"/>
        </w:rPr>
        <w:t>根据《政府采购促进中小企业发展管理办法》(财库[2020]46号)的规定，本项目专门针对中小企业采购，供应商应为中小微企业、监狱企业、残疾人福利性单位，供应商须提供相关有效声明材料。中小企业划型标准依据工信部联企业〔2011〕300号文件的规定。</w:t>
      </w:r>
    </w:p>
    <w:p w14:paraId="6DE5621B">
      <w:pPr>
        <w:spacing w:line="360" w:lineRule="auto"/>
        <w:rPr>
          <w:rFonts w:ascii="宋体" w:hAnsi="宋体" w:cs="宋体"/>
          <w:b/>
          <w:bCs/>
        </w:rPr>
      </w:pPr>
      <w:r>
        <w:rPr>
          <w:rFonts w:hint="eastAsia" w:ascii="宋体" w:hAnsi="宋体" w:cs="宋体"/>
          <w:b/>
          <w:bCs/>
        </w:rPr>
        <w:t>3、本项目的特定资格要求：</w:t>
      </w:r>
    </w:p>
    <w:p w14:paraId="0C419432">
      <w:pPr>
        <w:spacing w:line="360" w:lineRule="auto"/>
        <w:ind w:firstLine="420" w:firstLineChars="200"/>
      </w:pPr>
      <w:r>
        <w:rPr>
          <w:rFonts w:hint="eastAsia"/>
        </w:rPr>
        <w:t>3.1具有独立承担民事责任的能力（提供有效的营业执照或</w:t>
      </w:r>
      <w:r>
        <w:rPr>
          <w:rFonts w:hint="eastAsia" w:ascii="宋体" w:hAnsi="宋体" w:cs="宋体"/>
          <w:szCs w:val="21"/>
        </w:rPr>
        <w:t>电子营业执照</w:t>
      </w:r>
      <w:r>
        <w:rPr>
          <w:rFonts w:hint="eastAsia"/>
        </w:rPr>
        <w:t>）；</w:t>
      </w:r>
    </w:p>
    <w:p w14:paraId="37FE03B2">
      <w:pPr>
        <w:spacing w:line="360" w:lineRule="auto"/>
        <w:ind w:firstLine="420" w:firstLineChars="200"/>
      </w:pPr>
      <w:r>
        <w:rPr>
          <w:rFonts w:hint="eastAsia"/>
        </w:rPr>
        <w:t>3.2具有良好的商业信誉和健全的财务会计制度（自行承诺）；</w:t>
      </w:r>
    </w:p>
    <w:p w14:paraId="5E53B806">
      <w:pPr>
        <w:spacing w:line="360" w:lineRule="auto"/>
        <w:ind w:firstLine="420" w:firstLineChars="200"/>
      </w:pPr>
      <w:r>
        <w:rPr>
          <w:rFonts w:hint="eastAsia"/>
        </w:rPr>
        <w:t>3.3具有履行合同所必需的设备和专业技术能力（自行承诺）；</w:t>
      </w:r>
    </w:p>
    <w:p w14:paraId="309EEEE8">
      <w:pPr>
        <w:spacing w:line="360" w:lineRule="auto"/>
        <w:ind w:firstLine="420" w:firstLineChars="200"/>
      </w:pPr>
      <w:r>
        <w:rPr>
          <w:rFonts w:hint="eastAsia"/>
        </w:rPr>
        <w:t>3.4有依法缴纳税收和社会保障资金的良好记录（自行承诺））；</w:t>
      </w:r>
    </w:p>
    <w:p w14:paraId="72FC8A85">
      <w:pPr>
        <w:spacing w:line="360" w:lineRule="auto"/>
        <w:ind w:firstLine="420" w:firstLineChars="200"/>
      </w:pPr>
      <w:r>
        <w:rPr>
          <w:rFonts w:hint="eastAsia"/>
        </w:rPr>
        <w:t>3.5参加政府采购活动前三年或注册公司以来，在经营活动中没有重大违法记录的书面声明；</w:t>
      </w:r>
    </w:p>
    <w:p w14:paraId="713C6309">
      <w:pPr>
        <w:spacing w:line="360" w:lineRule="auto"/>
        <w:ind w:firstLine="420" w:firstLineChars="200"/>
        <w:rPr>
          <w:rFonts w:hint="eastAsia" w:eastAsia="宋体"/>
          <w:lang w:eastAsia="zh-CN"/>
        </w:rPr>
      </w:pPr>
      <w:r>
        <w:rPr>
          <w:rFonts w:hint="eastAsia"/>
        </w:rPr>
        <w:t>3.6对列入“信用中国”（www.creditchina.gov.cn）网站的“失信被执行人”(自动跳转至“中国执行信息公开网”)、“重大税收违法失信主体”、“中国政府采购”（www.ccgp.gov.cn）网站的“政府采购严重违法失信行为记录名单”的供应商，将拒绝其参加政府采购活动 （采购人、代理机构在开标时通过“信用中国”、“中国执行信息公开网”及“中国政府采购网”查询供应商信用情况）</w:t>
      </w:r>
      <w:r>
        <w:rPr>
          <w:rFonts w:hint="eastAsia"/>
          <w:lang w:eastAsia="zh-CN"/>
        </w:rPr>
        <w:t>；</w:t>
      </w:r>
    </w:p>
    <w:p w14:paraId="1ABA19E3">
      <w:pPr>
        <w:spacing w:line="360" w:lineRule="auto"/>
        <w:ind w:firstLine="420" w:firstLineChars="200"/>
        <w:rPr>
          <w:rFonts w:hint="eastAsia"/>
        </w:rPr>
      </w:pPr>
      <w:r>
        <w:rPr>
          <w:rFonts w:hint="eastAsia"/>
        </w:rPr>
        <w:t>3.7单位负责人为同一人或者存在直接控股、管理关系的不同供应商，不得参加同一合同项下的政府采购活动（需提供承诺函，格式自拟）；</w:t>
      </w:r>
    </w:p>
    <w:p w14:paraId="2EE5ECC3">
      <w:pPr>
        <w:spacing w:line="360" w:lineRule="auto"/>
        <w:ind w:firstLine="420" w:firstLineChars="200"/>
        <w:rPr>
          <w:rFonts w:hint="eastAsia" w:ascii="Times New Roman" w:hAnsi="Times New Roman" w:cs="Times New Roman"/>
        </w:rPr>
      </w:pPr>
      <w:r>
        <w:rPr>
          <w:rFonts w:hint="eastAsia" w:ascii="Times New Roman" w:hAnsi="Times New Roman" w:cs="Times New Roman"/>
          <w:lang w:val="en-US" w:eastAsia="zh-CN"/>
        </w:rPr>
        <w:t>3.8</w:t>
      </w:r>
      <w:r>
        <w:rPr>
          <w:rFonts w:hint="eastAsia" w:ascii="Times New Roman" w:hAnsi="Times New Roman" w:cs="Times New Roman"/>
        </w:rPr>
        <w:t>本项目不接受联合体投标，资格审查方式为资格后审。</w:t>
      </w:r>
    </w:p>
    <w:p w14:paraId="335278E6">
      <w:pPr>
        <w:spacing w:line="360" w:lineRule="auto"/>
        <w:ind w:firstLine="420" w:firstLineChars="200"/>
        <w:rPr>
          <w:rFonts w:hint="eastAsia" w:ascii="Times New Roman" w:hAnsi="Times New Roman" w:cs="Times New Roman"/>
        </w:rPr>
      </w:pPr>
      <w:r>
        <w:rPr>
          <w:rFonts w:hint="eastAsia" w:ascii="Times New Roman" w:hAnsi="Times New Roman" w:cs="Times New Roman"/>
        </w:rPr>
        <w:t>注：如投标人为新成立企业，可提供注册后的相关证明材料。</w:t>
      </w:r>
    </w:p>
    <w:p w14:paraId="10BF06B5">
      <w:pPr>
        <w:spacing w:line="360" w:lineRule="auto"/>
        <w:rPr>
          <w:b/>
          <w:bCs/>
          <w:szCs w:val="22"/>
          <w:highlight w:val="none"/>
        </w:rPr>
      </w:pPr>
      <w:bookmarkStart w:id="17" w:name="_Toc35393623"/>
      <w:bookmarkStart w:id="18" w:name="_Toc35393792"/>
      <w:r>
        <w:rPr>
          <w:rFonts w:hint="eastAsia"/>
          <w:b/>
          <w:bCs/>
          <w:szCs w:val="22"/>
        </w:rPr>
        <w:t>三、获</w:t>
      </w:r>
      <w:r>
        <w:rPr>
          <w:rFonts w:hint="eastAsia"/>
          <w:b/>
          <w:bCs/>
          <w:szCs w:val="22"/>
          <w:highlight w:val="none"/>
        </w:rPr>
        <w:t>取</w:t>
      </w:r>
      <w:bookmarkEnd w:id="15"/>
      <w:bookmarkEnd w:id="16"/>
      <w:bookmarkEnd w:id="17"/>
      <w:bookmarkEnd w:id="18"/>
      <w:r>
        <w:rPr>
          <w:rFonts w:hint="eastAsia"/>
          <w:b/>
          <w:bCs/>
          <w:szCs w:val="22"/>
          <w:highlight w:val="none"/>
        </w:rPr>
        <w:t>招标文件</w:t>
      </w:r>
    </w:p>
    <w:p w14:paraId="2BD39647">
      <w:pPr>
        <w:spacing w:line="360" w:lineRule="auto"/>
        <w:ind w:firstLine="422" w:firstLineChars="200"/>
        <w:rPr>
          <w:szCs w:val="22"/>
          <w:highlight w:val="none"/>
        </w:rPr>
      </w:pPr>
      <w:r>
        <w:rPr>
          <w:rFonts w:hint="eastAsia" w:hAnsi="宋体" w:cs="宋体"/>
          <w:b/>
          <w:bCs/>
          <w:highlight w:val="none"/>
        </w:rPr>
        <w:t>1.</w:t>
      </w:r>
      <w:r>
        <w:rPr>
          <w:rFonts w:hint="eastAsia" w:ascii="宋体" w:hAnsi="宋体" w:cs="宋体"/>
          <w:b/>
          <w:bCs/>
          <w:highlight w:val="none"/>
        </w:rPr>
        <w:t>时间</w:t>
      </w:r>
      <w:r>
        <w:rPr>
          <w:rFonts w:hint="eastAsia" w:ascii="宋体" w:hAnsi="宋体" w:cs="宋体"/>
          <w:szCs w:val="22"/>
          <w:highlight w:val="none"/>
        </w:rPr>
        <w:t>：</w:t>
      </w:r>
      <w:r>
        <w:rPr>
          <w:rFonts w:hint="eastAsia"/>
          <w:szCs w:val="22"/>
          <w:highlight w:val="none"/>
        </w:rPr>
        <w:t>202</w:t>
      </w:r>
      <w:r>
        <w:rPr>
          <w:rFonts w:hint="eastAsia"/>
          <w:szCs w:val="22"/>
          <w:highlight w:val="none"/>
          <w:lang w:val="en-US" w:eastAsia="zh-CN"/>
        </w:rPr>
        <w:t>5</w:t>
      </w:r>
      <w:r>
        <w:rPr>
          <w:rFonts w:hint="eastAsia"/>
          <w:szCs w:val="22"/>
          <w:highlight w:val="none"/>
        </w:rPr>
        <w:t>年</w:t>
      </w:r>
      <w:r>
        <w:rPr>
          <w:rFonts w:hint="eastAsia"/>
          <w:szCs w:val="22"/>
          <w:highlight w:val="none"/>
          <w:lang w:val="en-US" w:eastAsia="zh-CN"/>
        </w:rPr>
        <w:t>09</w:t>
      </w:r>
      <w:r>
        <w:rPr>
          <w:rFonts w:hint="eastAsia"/>
          <w:szCs w:val="22"/>
          <w:highlight w:val="none"/>
        </w:rPr>
        <w:t>月</w:t>
      </w:r>
      <w:r>
        <w:rPr>
          <w:rFonts w:hint="eastAsia"/>
          <w:szCs w:val="22"/>
          <w:highlight w:val="none"/>
          <w:lang w:val="en-US" w:eastAsia="zh-CN"/>
        </w:rPr>
        <w:t>03</w:t>
      </w:r>
      <w:r>
        <w:rPr>
          <w:rFonts w:hint="eastAsia"/>
          <w:szCs w:val="22"/>
          <w:highlight w:val="none"/>
        </w:rPr>
        <w:t>日至202</w:t>
      </w:r>
      <w:r>
        <w:rPr>
          <w:rFonts w:hint="eastAsia"/>
          <w:szCs w:val="22"/>
          <w:highlight w:val="none"/>
          <w:lang w:val="en-US" w:eastAsia="zh-CN"/>
        </w:rPr>
        <w:t>5</w:t>
      </w:r>
      <w:r>
        <w:rPr>
          <w:rFonts w:hint="eastAsia"/>
          <w:szCs w:val="22"/>
          <w:highlight w:val="none"/>
        </w:rPr>
        <w:t>年</w:t>
      </w:r>
      <w:r>
        <w:rPr>
          <w:rFonts w:hint="eastAsia"/>
          <w:szCs w:val="22"/>
          <w:highlight w:val="none"/>
          <w:lang w:val="en-US" w:eastAsia="zh-CN"/>
        </w:rPr>
        <w:t>09</w:t>
      </w:r>
      <w:r>
        <w:rPr>
          <w:rFonts w:hint="eastAsia"/>
          <w:szCs w:val="22"/>
          <w:highlight w:val="none"/>
        </w:rPr>
        <w:t>月</w:t>
      </w:r>
      <w:r>
        <w:rPr>
          <w:rFonts w:hint="eastAsia"/>
          <w:szCs w:val="22"/>
          <w:highlight w:val="none"/>
          <w:lang w:val="en-US" w:eastAsia="zh-CN"/>
        </w:rPr>
        <w:t>22</w:t>
      </w:r>
      <w:r>
        <w:rPr>
          <w:rFonts w:hint="eastAsia"/>
          <w:szCs w:val="22"/>
          <w:highlight w:val="none"/>
        </w:rPr>
        <w:t>日，每天上午0：00至12：00，下午12：00至23：59（北京时间）</w:t>
      </w:r>
    </w:p>
    <w:p w14:paraId="11B3DA4E">
      <w:pPr>
        <w:spacing w:line="360" w:lineRule="auto"/>
        <w:ind w:firstLine="422" w:firstLineChars="200"/>
        <w:rPr>
          <w:rFonts w:hint="eastAsia" w:ascii="宋体" w:hAnsi="宋体" w:eastAsia="宋体" w:cs="宋体"/>
          <w:highlight w:val="none"/>
          <w:lang w:eastAsia="zh-CN"/>
        </w:rPr>
      </w:pPr>
      <w:r>
        <w:rPr>
          <w:rFonts w:hint="eastAsia" w:hAnsi="宋体" w:cs="宋体"/>
          <w:b/>
          <w:bCs/>
          <w:highlight w:val="none"/>
        </w:rPr>
        <w:t>2.</w:t>
      </w:r>
      <w:r>
        <w:rPr>
          <w:rFonts w:hint="eastAsia" w:ascii="宋体" w:hAnsi="宋体" w:cs="宋体"/>
          <w:b/>
          <w:bCs/>
          <w:highlight w:val="none"/>
        </w:rPr>
        <w:t>地点：</w:t>
      </w:r>
      <w:r>
        <w:rPr>
          <w:rFonts w:hint="eastAsia" w:ascii="宋体" w:hAnsi="宋体" w:cs="宋体"/>
          <w:highlight w:val="none"/>
          <w:lang w:eastAsia="zh-CN"/>
        </w:rPr>
        <w:t>《全国公共资源交易平台（河南省.平顶山市）》电子交易系统</w:t>
      </w:r>
    </w:p>
    <w:p w14:paraId="4999212C">
      <w:pPr>
        <w:spacing w:line="360" w:lineRule="auto"/>
        <w:ind w:firstLine="422" w:firstLineChars="200"/>
        <w:rPr>
          <w:rFonts w:ascii="宋体" w:hAnsi="宋体" w:cs="宋体"/>
          <w:highlight w:val="none"/>
        </w:rPr>
      </w:pPr>
      <w:r>
        <w:rPr>
          <w:rFonts w:hint="eastAsia" w:hAnsi="宋体" w:cs="宋体"/>
          <w:b/>
          <w:bCs/>
          <w:highlight w:val="none"/>
        </w:rPr>
        <w:t>3.</w:t>
      </w:r>
      <w:r>
        <w:rPr>
          <w:rFonts w:hint="eastAsia" w:ascii="宋体" w:hAnsi="宋体" w:cs="宋体"/>
          <w:b/>
          <w:bCs/>
          <w:highlight w:val="none"/>
        </w:rPr>
        <w:t>方式：</w:t>
      </w:r>
      <w:r>
        <w:rPr>
          <w:rFonts w:hint="eastAsia" w:ascii="宋体" w:hAnsi="宋体" w:cs="宋体"/>
          <w:highlight w:val="none"/>
        </w:rPr>
        <w:t>潜在供应商需凭CA数字证书通过《全国公共资源交易平台（河南省.平顶山市）》自行下载</w:t>
      </w:r>
    </w:p>
    <w:p w14:paraId="56F7CCA9">
      <w:pPr>
        <w:spacing w:line="360" w:lineRule="auto"/>
        <w:ind w:firstLine="422" w:firstLineChars="200"/>
        <w:rPr>
          <w:rFonts w:ascii="宋体" w:hAnsi="宋体" w:cs="宋体"/>
          <w:highlight w:val="none"/>
        </w:rPr>
      </w:pPr>
      <w:r>
        <w:rPr>
          <w:rFonts w:hint="eastAsia" w:hAnsi="宋体" w:cs="宋体"/>
          <w:b/>
          <w:bCs/>
          <w:highlight w:val="none"/>
        </w:rPr>
        <w:t>4.</w:t>
      </w:r>
      <w:r>
        <w:rPr>
          <w:rFonts w:hint="eastAsia" w:ascii="宋体" w:hAnsi="宋体" w:cs="宋体"/>
          <w:b/>
          <w:bCs/>
          <w:highlight w:val="none"/>
        </w:rPr>
        <w:t>售价：</w:t>
      </w:r>
      <w:r>
        <w:rPr>
          <w:rFonts w:hint="eastAsia" w:ascii="宋体" w:hAnsi="宋体" w:cs="宋体"/>
          <w:highlight w:val="none"/>
        </w:rPr>
        <w:t>0.00元</w:t>
      </w:r>
    </w:p>
    <w:p w14:paraId="147DC586">
      <w:pPr>
        <w:spacing w:line="360" w:lineRule="auto"/>
        <w:rPr>
          <w:b/>
          <w:bCs/>
          <w:szCs w:val="22"/>
          <w:highlight w:val="none"/>
        </w:rPr>
      </w:pPr>
      <w:bookmarkStart w:id="19" w:name="_Toc28359082"/>
      <w:bookmarkStart w:id="20" w:name="_Toc28359005"/>
      <w:bookmarkStart w:id="21" w:name="_Toc35393624"/>
      <w:bookmarkStart w:id="22" w:name="_Toc35393793"/>
      <w:r>
        <w:rPr>
          <w:rFonts w:hint="eastAsia"/>
          <w:b/>
          <w:bCs/>
          <w:szCs w:val="22"/>
          <w:highlight w:val="none"/>
        </w:rPr>
        <w:t>四、</w:t>
      </w:r>
      <w:bookmarkEnd w:id="19"/>
      <w:bookmarkEnd w:id="20"/>
      <w:bookmarkEnd w:id="21"/>
      <w:bookmarkEnd w:id="22"/>
      <w:r>
        <w:rPr>
          <w:rFonts w:hint="eastAsia"/>
          <w:b/>
          <w:bCs/>
          <w:szCs w:val="22"/>
          <w:highlight w:val="none"/>
        </w:rPr>
        <w:t>投标截止时间及地点</w:t>
      </w:r>
    </w:p>
    <w:p w14:paraId="7359F48F">
      <w:pPr>
        <w:spacing w:line="360" w:lineRule="auto"/>
        <w:ind w:firstLine="422" w:firstLineChars="200"/>
        <w:rPr>
          <w:rFonts w:ascii="宋体" w:hAnsi="宋体" w:cs="宋体"/>
          <w:szCs w:val="22"/>
          <w:highlight w:val="none"/>
        </w:rPr>
      </w:pPr>
      <w:r>
        <w:rPr>
          <w:rFonts w:hint="eastAsia" w:hAnsi="宋体" w:cs="宋体"/>
          <w:b/>
          <w:bCs/>
          <w:highlight w:val="none"/>
        </w:rPr>
        <w:t>1.</w:t>
      </w:r>
      <w:r>
        <w:rPr>
          <w:rFonts w:hint="eastAsia" w:ascii="宋体" w:hAnsi="宋体" w:cs="宋体"/>
          <w:b/>
          <w:bCs/>
          <w:highlight w:val="none"/>
        </w:rPr>
        <w:t>时间</w:t>
      </w:r>
      <w:r>
        <w:rPr>
          <w:rFonts w:hint="eastAsia" w:ascii="宋体" w:hAnsi="宋体" w:cs="宋体"/>
          <w:highlight w:val="none"/>
        </w:rPr>
        <w:t>：</w:t>
      </w:r>
      <w:r>
        <w:rPr>
          <w:rFonts w:hint="eastAsia" w:ascii="宋体" w:hAnsi="宋体" w:cs="宋体"/>
          <w:szCs w:val="22"/>
          <w:highlight w:val="none"/>
        </w:rPr>
        <w:t>202</w:t>
      </w:r>
      <w:r>
        <w:rPr>
          <w:rFonts w:hint="eastAsia" w:ascii="宋体" w:hAnsi="宋体" w:cs="宋体"/>
          <w:szCs w:val="22"/>
          <w:highlight w:val="none"/>
          <w:lang w:val="en-US" w:eastAsia="zh-CN"/>
        </w:rPr>
        <w:t>5</w:t>
      </w:r>
      <w:r>
        <w:rPr>
          <w:rFonts w:hint="eastAsia" w:ascii="宋体" w:hAnsi="宋体" w:cs="宋体"/>
          <w:szCs w:val="22"/>
          <w:highlight w:val="none"/>
        </w:rPr>
        <w:t>年</w:t>
      </w:r>
      <w:r>
        <w:rPr>
          <w:rFonts w:hint="eastAsia" w:ascii="宋体" w:hAnsi="宋体" w:cs="宋体"/>
          <w:szCs w:val="22"/>
          <w:highlight w:val="none"/>
          <w:lang w:val="en-US" w:eastAsia="zh-CN"/>
        </w:rPr>
        <w:t>09</w:t>
      </w:r>
      <w:r>
        <w:rPr>
          <w:rFonts w:hint="eastAsia" w:ascii="宋体" w:hAnsi="宋体" w:cs="宋体"/>
          <w:szCs w:val="22"/>
          <w:highlight w:val="none"/>
        </w:rPr>
        <w:t>月</w:t>
      </w:r>
      <w:r>
        <w:rPr>
          <w:rFonts w:hint="eastAsia" w:ascii="宋体" w:hAnsi="宋体" w:cs="宋体"/>
          <w:szCs w:val="22"/>
          <w:highlight w:val="none"/>
          <w:lang w:val="en-US" w:eastAsia="zh-CN"/>
        </w:rPr>
        <w:t>23</w:t>
      </w:r>
      <w:r>
        <w:rPr>
          <w:rFonts w:hint="eastAsia" w:ascii="宋体" w:hAnsi="宋体" w:cs="宋体"/>
          <w:szCs w:val="22"/>
          <w:highlight w:val="none"/>
        </w:rPr>
        <w:t>日</w:t>
      </w:r>
      <w:r>
        <w:rPr>
          <w:rFonts w:hint="eastAsia" w:ascii="宋体" w:hAnsi="宋体" w:cs="宋体"/>
          <w:szCs w:val="22"/>
          <w:highlight w:val="none"/>
          <w:lang w:val="en-US" w:eastAsia="zh-CN"/>
        </w:rPr>
        <w:t>08</w:t>
      </w:r>
      <w:r>
        <w:rPr>
          <w:rFonts w:hint="eastAsia" w:ascii="宋体" w:hAnsi="宋体" w:cs="宋体"/>
          <w:szCs w:val="22"/>
          <w:highlight w:val="none"/>
        </w:rPr>
        <w:t>点</w:t>
      </w:r>
      <w:r>
        <w:rPr>
          <w:rFonts w:hint="eastAsia" w:ascii="宋体" w:hAnsi="宋体" w:cs="宋体"/>
          <w:szCs w:val="22"/>
          <w:highlight w:val="none"/>
          <w:lang w:val="en-US" w:eastAsia="zh-CN"/>
        </w:rPr>
        <w:t>40</w:t>
      </w:r>
      <w:r>
        <w:rPr>
          <w:rFonts w:hint="eastAsia" w:ascii="宋体" w:hAnsi="宋体" w:cs="宋体"/>
          <w:szCs w:val="22"/>
          <w:highlight w:val="none"/>
        </w:rPr>
        <w:t>分（北京时间）</w:t>
      </w:r>
    </w:p>
    <w:p w14:paraId="2B537D7E">
      <w:pPr>
        <w:spacing w:line="360" w:lineRule="auto"/>
        <w:ind w:firstLine="422" w:firstLineChars="200"/>
        <w:rPr>
          <w:rFonts w:hint="eastAsia" w:ascii="宋体" w:hAnsi="宋体" w:eastAsia="宋体" w:cs="宋体"/>
          <w:highlight w:val="none"/>
          <w:lang w:eastAsia="zh-CN"/>
        </w:rPr>
      </w:pPr>
      <w:r>
        <w:rPr>
          <w:rFonts w:hint="eastAsia" w:hAnsi="宋体" w:cs="宋体"/>
          <w:b/>
          <w:bCs/>
          <w:highlight w:val="none"/>
        </w:rPr>
        <w:t>2.</w:t>
      </w:r>
      <w:r>
        <w:rPr>
          <w:rFonts w:hint="eastAsia" w:ascii="宋体" w:hAnsi="宋体" w:cs="宋体"/>
          <w:b/>
          <w:bCs/>
          <w:highlight w:val="none"/>
        </w:rPr>
        <w:t>地点：</w:t>
      </w:r>
      <w:r>
        <w:rPr>
          <w:rFonts w:hint="eastAsia" w:ascii="宋体" w:hAnsi="宋体" w:cs="宋体"/>
          <w:highlight w:val="none"/>
          <w:lang w:eastAsia="zh-CN"/>
        </w:rPr>
        <w:t>《全国公共资源交易平台（河南省.平顶山市）》电子交易系统</w:t>
      </w:r>
    </w:p>
    <w:p w14:paraId="24EB4CE5">
      <w:pPr>
        <w:spacing w:line="360" w:lineRule="auto"/>
        <w:rPr>
          <w:b/>
          <w:bCs/>
          <w:szCs w:val="22"/>
          <w:highlight w:val="none"/>
        </w:rPr>
      </w:pPr>
      <w:bookmarkStart w:id="23" w:name="_Toc28359084"/>
      <w:bookmarkStart w:id="24" w:name="_Toc28359007"/>
      <w:bookmarkStart w:id="25" w:name="_Toc35393625"/>
      <w:bookmarkStart w:id="26" w:name="_Toc35393794"/>
      <w:r>
        <w:rPr>
          <w:rFonts w:hint="eastAsia"/>
          <w:b/>
          <w:bCs/>
          <w:szCs w:val="22"/>
          <w:highlight w:val="none"/>
        </w:rPr>
        <w:t>五、开标时间及地点</w:t>
      </w:r>
    </w:p>
    <w:p w14:paraId="1A2B1E01">
      <w:pPr>
        <w:spacing w:line="360" w:lineRule="auto"/>
        <w:ind w:firstLine="422" w:firstLineChars="200"/>
        <w:rPr>
          <w:szCs w:val="22"/>
          <w:highlight w:val="none"/>
        </w:rPr>
      </w:pPr>
      <w:r>
        <w:rPr>
          <w:rFonts w:hint="eastAsia" w:hAnsi="宋体" w:cs="宋体"/>
          <w:b/>
          <w:bCs/>
          <w:highlight w:val="none"/>
        </w:rPr>
        <w:t>1.</w:t>
      </w:r>
      <w:r>
        <w:rPr>
          <w:rFonts w:hint="eastAsia" w:ascii="宋体" w:hAnsi="宋体" w:cs="宋体"/>
          <w:b/>
          <w:bCs/>
          <w:highlight w:val="none"/>
        </w:rPr>
        <w:t>时间</w:t>
      </w:r>
      <w:r>
        <w:rPr>
          <w:rFonts w:hint="eastAsia" w:ascii="宋体" w:hAnsi="宋体" w:cs="宋体"/>
          <w:highlight w:val="none"/>
        </w:rPr>
        <w:t>：</w:t>
      </w:r>
      <w:r>
        <w:rPr>
          <w:rFonts w:hint="eastAsia"/>
          <w:szCs w:val="22"/>
          <w:highlight w:val="none"/>
        </w:rPr>
        <w:t>202</w:t>
      </w:r>
      <w:r>
        <w:rPr>
          <w:rFonts w:hint="eastAsia"/>
          <w:szCs w:val="22"/>
          <w:highlight w:val="none"/>
          <w:lang w:val="en-US" w:eastAsia="zh-CN"/>
        </w:rPr>
        <w:t>5</w:t>
      </w:r>
      <w:r>
        <w:rPr>
          <w:rFonts w:hint="eastAsia"/>
          <w:szCs w:val="22"/>
          <w:highlight w:val="none"/>
        </w:rPr>
        <w:t>年</w:t>
      </w:r>
      <w:r>
        <w:rPr>
          <w:rFonts w:hint="eastAsia"/>
          <w:szCs w:val="22"/>
          <w:highlight w:val="none"/>
          <w:lang w:val="en-US" w:eastAsia="zh-CN"/>
        </w:rPr>
        <w:t>09</w:t>
      </w:r>
      <w:r>
        <w:rPr>
          <w:rFonts w:hint="eastAsia"/>
          <w:szCs w:val="22"/>
          <w:highlight w:val="none"/>
        </w:rPr>
        <w:t>月</w:t>
      </w:r>
      <w:r>
        <w:rPr>
          <w:rFonts w:hint="eastAsia"/>
          <w:szCs w:val="22"/>
          <w:highlight w:val="none"/>
          <w:lang w:val="en-US" w:eastAsia="zh-CN"/>
        </w:rPr>
        <w:t>23</w:t>
      </w:r>
      <w:r>
        <w:rPr>
          <w:rFonts w:hint="eastAsia"/>
          <w:szCs w:val="22"/>
          <w:highlight w:val="none"/>
        </w:rPr>
        <w:t>日</w:t>
      </w:r>
      <w:r>
        <w:rPr>
          <w:rFonts w:hint="eastAsia"/>
          <w:szCs w:val="22"/>
          <w:highlight w:val="none"/>
          <w:lang w:val="en-US" w:eastAsia="zh-CN"/>
        </w:rPr>
        <w:t>08</w:t>
      </w:r>
      <w:r>
        <w:rPr>
          <w:rFonts w:hint="eastAsia"/>
          <w:szCs w:val="22"/>
          <w:highlight w:val="none"/>
        </w:rPr>
        <w:t>点</w:t>
      </w:r>
      <w:r>
        <w:rPr>
          <w:rFonts w:hint="eastAsia"/>
          <w:szCs w:val="22"/>
          <w:highlight w:val="none"/>
          <w:lang w:val="en-US" w:eastAsia="zh-CN"/>
        </w:rPr>
        <w:t>40</w:t>
      </w:r>
      <w:r>
        <w:rPr>
          <w:rFonts w:hint="eastAsia"/>
          <w:szCs w:val="22"/>
          <w:highlight w:val="none"/>
        </w:rPr>
        <w:t>分（北京时间）</w:t>
      </w:r>
    </w:p>
    <w:p w14:paraId="56062028">
      <w:pPr>
        <w:spacing w:line="360" w:lineRule="auto"/>
        <w:ind w:firstLine="422" w:firstLineChars="200"/>
        <w:rPr>
          <w:rFonts w:hint="eastAsia" w:ascii="宋体" w:hAnsi="宋体" w:eastAsia="宋体" w:cs="宋体"/>
          <w:lang w:eastAsia="zh-CN"/>
        </w:rPr>
      </w:pPr>
      <w:r>
        <w:rPr>
          <w:rFonts w:hint="eastAsia" w:hAnsi="宋体" w:cs="宋体"/>
          <w:b/>
          <w:bCs/>
          <w:highlight w:val="none"/>
        </w:rPr>
        <w:t>2.</w:t>
      </w:r>
      <w:r>
        <w:rPr>
          <w:rFonts w:hint="eastAsia" w:ascii="宋体" w:hAnsi="宋体" w:cs="宋体"/>
          <w:b/>
          <w:bCs/>
          <w:highlight w:val="none"/>
        </w:rPr>
        <w:t>地点：</w:t>
      </w:r>
      <w:r>
        <w:rPr>
          <w:rFonts w:hint="eastAsia" w:ascii="宋体" w:hAnsi="宋体" w:cs="宋体"/>
          <w:highlight w:val="none"/>
          <w:lang w:eastAsia="zh-CN"/>
        </w:rPr>
        <w:t>《全国公共资源交易平台（河南省.平顶山市）》电子交易系统</w:t>
      </w:r>
    </w:p>
    <w:bookmarkEnd w:id="23"/>
    <w:bookmarkEnd w:id="24"/>
    <w:bookmarkEnd w:id="25"/>
    <w:bookmarkEnd w:id="26"/>
    <w:p w14:paraId="44B2B35B">
      <w:pPr>
        <w:spacing w:line="360" w:lineRule="auto"/>
        <w:rPr>
          <w:b/>
          <w:bCs/>
        </w:rPr>
      </w:pPr>
      <w:r>
        <w:rPr>
          <w:rFonts w:hint="eastAsia"/>
          <w:b/>
          <w:bCs/>
        </w:rPr>
        <w:t>六、发布公告的媒介及招标公告期限</w:t>
      </w:r>
    </w:p>
    <w:p w14:paraId="7BB1E133">
      <w:pPr>
        <w:spacing w:line="360" w:lineRule="auto"/>
        <w:ind w:firstLine="420" w:firstLineChars="200"/>
        <w:rPr>
          <w:rFonts w:ascii="宋体" w:hAnsi="宋体" w:cs="宋体"/>
        </w:rPr>
      </w:pPr>
      <w:r>
        <w:rPr>
          <w:rFonts w:hint="eastAsia" w:ascii="宋体" w:hAnsi="宋体" w:cs="宋体"/>
        </w:rPr>
        <w:t>本次招标公告在《河南省政府采购网》、《</w:t>
      </w:r>
      <w:r>
        <w:rPr>
          <w:rFonts w:hint="eastAsia" w:ascii="宋体" w:hAnsi="宋体" w:cs="宋体"/>
          <w:lang w:val="en-US" w:eastAsia="zh-CN"/>
        </w:rPr>
        <w:t>平顶山市</w:t>
      </w:r>
      <w:r>
        <w:rPr>
          <w:rFonts w:hint="eastAsia" w:ascii="宋体" w:hAnsi="宋体" w:cs="宋体"/>
        </w:rPr>
        <w:t>政府采购网》、</w:t>
      </w:r>
      <w:r>
        <w:rPr>
          <w:rFonts w:hint="eastAsia" w:ascii="宋体" w:hAnsi="宋体" w:cs="宋体"/>
          <w:szCs w:val="21"/>
        </w:rPr>
        <w:t>《中国招标投标公共服务平台》、《河南省电子招标投标公共服务平台》、</w:t>
      </w:r>
      <w:r>
        <w:rPr>
          <w:rFonts w:hint="eastAsia" w:ascii="宋体" w:hAnsi="宋体" w:cs="宋体"/>
        </w:rPr>
        <w:t>《全国公共资源交易平台（河南省·平顶山市）》网上发布上发布。招标公告期限为五个工作日。</w:t>
      </w:r>
    </w:p>
    <w:p w14:paraId="4B431B94">
      <w:pPr>
        <w:spacing w:line="360" w:lineRule="auto"/>
        <w:rPr>
          <w:b/>
          <w:bCs/>
          <w:szCs w:val="22"/>
        </w:rPr>
      </w:pPr>
      <w:bookmarkStart w:id="27" w:name="_Toc35393795"/>
      <w:bookmarkStart w:id="28" w:name="_Toc35393626"/>
      <w:r>
        <w:rPr>
          <w:rFonts w:hint="eastAsia"/>
          <w:b/>
          <w:bCs/>
          <w:szCs w:val="22"/>
        </w:rPr>
        <w:t>七、其他补充事宜</w:t>
      </w:r>
      <w:bookmarkEnd w:id="27"/>
      <w:bookmarkEnd w:id="28"/>
    </w:p>
    <w:p w14:paraId="51DE7D7D">
      <w:pPr>
        <w:spacing w:line="360" w:lineRule="auto"/>
        <w:ind w:firstLine="420" w:firstLineChars="200"/>
        <w:rPr>
          <w:rFonts w:ascii="宋体" w:hAnsi="宋体" w:cs="宋体"/>
        </w:rPr>
      </w:pPr>
      <w:r>
        <w:rPr>
          <w:rFonts w:hint="eastAsia" w:ascii="宋体" w:hAnsi="宋体" w:cs="宋体"/>
        </w:rPr>
        <w:t>1.平顶山市公共资源交易中心全面实行在线“不见面”开标，投标人远程在线解密响应文件，不再到开标现场，投标人开标前应仔细阅读招标文件中《“不见面”开标注意事项及操作流程》。</w:t>
      </w:r>
    </w:p>
    <w:p w14:paraId="5DA4561A">
      <w:pPr>
        <w:spacing w:line="360" w:lineRule="auto"/>
        <w:ind w:firstLine="420" w:firstLineChars="200"/>
        <w:rPr>
          <w:rFonts w:hint="eastAsia" w:ascii="宋体" w:hAnsi="宋体" w:cs="宋体"/>
          <w:color w:val="auto"/>
          <w:sz w:val="21"/>
          <w:szCs w:val="21"/>
          <w:highlight w:val="none"/>
        </w:rPr>
      </w:pPr>
      <w:r>
        <w:rPr>
          <w:rFonts w:hint="eastAsia" w:ascii="宋体" w:hAnsi="宋体" w:cs="宋体"/>
          <w:lang w:val="en-US" w:eastAsia="zh-CN"/>
        </w:rPr>
        <w:t>2</w:t>
      </w:r>
      <w:r>
        <w:rPr>
          <w:rFonts w:hint="eastAsia" w:ascii="宋体" w:hAnsi="宋体" w:cs="宋体"/>
        </w:rPr>
        <w:t>.</w:t>
      </w:r>
      <w:r>
        <w:rPr>
          <w:rFonts w:hint="eastAsia" w:ascii="宋体" w:hAnsi="宋体" w:cs="宋体"/>
          <w:color w:val="auto"/>
          <w:sz w:val="21"/>
          <w:szCs w:val="21"/>
          <w:highlight w:val="none"/>
        </w:rPr>
        <w:t>投标人或其他利害关系人对招标公告及采购文件如有异议，请按中华人民共和国财政部令第94号《政府采购质疑和投诉办法》的相关规定，在规定时间内，向采购人、采购代理机构、政府采购监督部门提出质疑、投诉等事宜。逾期未提交或未按照要求提交的质疑、投诉将不予受理。采购文件公告期限同招标公告期限。</w:t>
      </w:r>
    </w:p>
    <w:p w14:paraId="2272C943">
      <w:pPr>
        <w:spacing w:line="360" w:lineRule="auto"/>
        <w:ind w:firstLine="420" w:firstLineChars="200"/>
        <w:rPr>
          <w:rFonts w:ascii="宋体" w:hAnsi="宋体" w:cs="宋体"/>
        </w:rPr>
      </w:pPr>
      <w:r>
        <w:rPr>
          <w:rFonts w:hint="eastAsia" w:ascii="宋体" w:hAnsi="宋体" w:cs="宋体"/>
          <w:lang w:val="en-US" w:eastAsia="zh-CN"/>
        </w:rPr>
        <w:t>3</w:t>
      </w:r>
      <w:r>
        <w:rPr>
          <w:rFonts w:hint="eastAsia" w:ascii="宋体" w:hAnsi="宋体" w:cs="宋体"/>
        </w:rPr>
        <w:t>.“该公告已同步至“平顶山市公共资源交易中心微信公众号”，可通过公众号中的服务栏目进行查阅”</w:t>
      </w:r>
    </w:p>
    <w:p w14:paraId="421F670F">
      <w:pPr>
        <w:spacing w:line="360" w:lineRule="auto"/>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4.</w:t>
      </w:r>
      <w:r>
        <w:rPr>
          <w:rFonts w:hint="eastAsia" w:ascii="宋体" w:hAnsi="宋体" w:cs="宋体"/>
          <w:b/>
          <w:bCs/>
          <w:highlight w:val="none"/>
        </w:rPr>
        <w:t>监督</w:t>
      </w:r>
      <w:r>
        <w:rPr>
          <w:rFonts w:hint="eastAsia" w:ascii="宋体" w:hAnsi="宋体" w:cs="宋体"/>
          <w:b/>
          <w:bCs/>
          <w:highlight w:val="none"/>
          <w:lang w:eastAsia="zh-CN"/>
        </w:rPr>
        <w:t>部门</w:t>
      </w:r>
      <w:r>
        <w:rPr>
          <w:rFonts w:hint="eastAsia" w:ascii="宋体" w:hAnsi="宋体" w:cs="宋体"/>
          <w:b/>
          <w:bCs/>
          <w:highlight w:val="none"/>
          <w:lang w:val="en-US" w:eastAsia="zh-CN"/>
        </w:rPr>
        <w:t>1</w:t>
      </w:r>
      <w:r>
        <w:rPr>
          <w:rFonts w:hint="eastAsia" w:ascii="宋体" w:hAnsi="宋体" w:cs="宋体"/>
          <w:highlight w:val="none"/>
        </w:rPr>
        <w:t>: 平顶山市财政局</w:t>
      </w:r>
      <w:r>
        <w:rPr>
          <w:rFonts w:hint="eastAsia" w:ascii="宋体" w:hAnsi="宋体" w:cs="宋体"/>
          <w:highlight w:val="none"/>
          <w:lang w:val="en-US" w:eastAsia="zh-CN"/>
        </w:rPr>
        <w:t xml:space="preserve">   </w:t>
      </w:r>
    </w:p>
    <w:p w14:paraId="60DDDAE8">
      <w:pPr>
        <w:spacing w:line="360" w:lineRule="auto"/>
        <w:ind w:firstLine="420" w:firstLineChars="200"/>
        <w:rPr>
          <w:rFonts w:hint="eastAsia" w:ascii="宋体" w:hAnsi="宋体" w:cs="宋体"/>
          <w:highlight w:val="none"/>
        </w:rPr>
      </w:pPr>
      <w:r>
        <w:rPr>
          <w:rFonts w:hint="eastAsia" w:ascii="宋体" w:hAnsi="宋体" w:cs="宋体"/>
          <w:highlight w:val="none"/>
        </w:rPr>
        <w:t>联系方式：0375-2627595</w:t>
      </w:r>
    </w:p>
    <w:p w14:paraId="514F5260">
      <w:pPr>
        <w:spacing w:line="360" w:lineRule="auto"/>
        <w:ind w:firstLine="422" w:firstLineChars="200"/>
        <w:rPr>
          <w:rFonts w:hint="eastAsia" w:ascii="宋体" w:hAnsi="宋体" w:cs="宋体"/>
          <w:highlight w:val="none"/>
        </w:rPr>
      </w:pPr>
      <w:r>
        <w:rPr>
          <w:rFonts w:hint="eastAsia" w:ascii="宋体" w:hAnsi="宋体" w:cs="宋体"/>
          <w:b/>
          <w:bCs/>
          <w:highlight w:val="none"/>
        </w:rPr>
        <w:t>监督部门2</w:t>
      </w:r>
      <w:r>
        <w:rPr>
          <w:rFonts w:hint="eastAsia" w:ascii="宋体" w:hAnsi="宋体" w:cs="宋体"/>
          <w:highlight w:val="none"/>
        </w:rPr>
        <w:t>：平顶山市卫生健康委员会</w:t>
      </w:r>
    </w:p>
    <w:p w14:paraId="3379D06B">
      <w:pPr>
        <w:spacing w:line="360" w:lineRule="auto"/>
        <w:ind w:firstLine="420" w:firstLineChars="200"/>
        <w:rPr>
          <w:rFonts w:hint="eastAsia" w:ascii="宋体" w:hAnsi="宋体" w:cs="宋体"/>
          <w:highlight w:val="none"/>
        </w:rPr>
      </w:pPr>
      <w:r>
        <w:rPr>
          <w:rFonts w:hint="eastAsia" w:ascii="宋体" w:hAnsi="宋体" w:cs="宋体"/>
          <w:highlight w:val="none"/>
        </w:rPr>
        <w:t>统一社会信用代码：11410400MB1632093J</w:t>
      </w:r>
    </w:p>
    <w:p w14:paraId="0834E62A">
      <w:pPr>
        <w:spacing w:line="360" w:lineRule="auto"/>
        <w:ind w:firstLine="420" w:firstLineChars="200"/>
        <w:rPr>
          <w:rFonts w:hint="eastAsia" w:ascii="宋体" w:hAnsi="宋体" w:cs="宋体"/>
          <w:highlight w:val="none"/>
        </w:rPr>
      </w:pPr>
      <w:r>
        <w:rPr>
          <w:rFonts w:hint="eastAsia" w:ascii="宋体" w:hAnsi="宋体" w:cs="宋体"/>
          <w:highlight w:val="none"/>
        </w:rPr>
        <w:t>联系人：易先生</w:t>
      </w:r>
    </w:p>
    <w:p w14:paraId="4F97929D">
      <w:pPr>
        <w:spacing w:line="360" w:lineRule="auto"/>
        <w:ind w:firstLine="420" w:firstLineChars="200"/>
        <w:rPr>
          <w:rFonts w:hint="eastAsia" w:ascii="宋体" w:hAnsi="宋体" w:cs="宋体"/>
          <w:highlight w:val="none"/>
        </w:rPr>
      </w:pPr>
      <w:r>
        <w:rPr>
          <w:rFonts w:hint="eastAsia" w:ascii="宋体" w:hAnsi="宋体" w:cs="宋体"/>
          <w:highlight w:val="none"/>
        </w:rPr>
        <w:t>联系方式：0375-497601895</w:t>
      </w:r>
    </w:p>
    <w:p w14:paraId="5EFCCA65">
      <w:pPr>
        <w:spacing w:line="360" w:lineRule="auto"/>
        <w:rPr>
          <w:b/>
          <w:bCs/>
          <w:szCs w:val="22"/>
        </w:rPr>
      </w:pPr>
      <w:bookmarkStart w:id="29" w:name="_Toc35393627"/>
      <w:bookmarkStart w:id="30" w:name="_Toc28359008"/>
      <w:bookmarkStart w:id="31" w:name="_Toc35393796"/>
      <w:bookmarkStart w:id="32" w:name="_Toc28359085"/>
      <w:r>
        <w:rPr>
          <w:rFonts w:hint="eastAsia"/>
          <w:b/>
          <w:bCs/>
          <w:szCs w:val="22"/>
        </w:rPr>
        <w:t>八、</w:t>
      </w:r>
      <w:bookmarkEnd w:id="29"/>
      <w:bookmarkEnd w:id="30"/>
      <w:bookmarkEnd w:id="31"/>
      <w:bookmarkEnd w:id="32"/>
      <w:r>
        <w:rPr>
          <w:rFonts w:hint="eastAsia"/>
          <w:b/>
          <w:bCs/>
          <w:szCs w:val="22"/>
        </w:rPr>
        <w:t>凡对本次招标提出询问，请按照以下方式联系</w:t>
      </w:r>
    </w:p>
    <w:p w14:paraId="1C375B06">
      <w:pPr>
        <w:spacing w:line="460" w:lineRule="exact"/>
        <w:ind w:firstLine="422" w:firstLineChars="200"/>
        <w:rPr>
          <w:rFonts w:ascii="宋体" w:hAnsi="宋体" w:cs="宋体"/>
          <w:b/>
          <w:bCs/>
          <w:szCs w:val="21"/>
        </w:rPr>
      </w:pPr>
      <w:bookmarkStart w:id="33" w:name="OLE_LINK3"/>
      <w:r>
        <w:rPr>
          <w:rFonts w:hint="eastAsia" w:ascii="宋体" w:hAnsi="宋体" w:cs="宋体"/>
          <w:b/>
          <w:bCs/>
          <w:szCs w:val="21"/>
        </w:rPr>
        <w:t>1.采购人信息</w:t>
      </w:r>
      <w:bookmarkStart w:id="34" w:name="_Toc28359086"/>
      <w:bookmarkStart w:id="35" w:name="_Toc28359009"/>
    </w:p>
    <w:p w14:paraId="3B3D15AE">
      <w:pPr>
        <w:spacing w:line="460" w:lineRule="exact"/>
        <w:ind w:firstLine="420" w:firstLineChars="200"/>
        <w:rPr>
          <w:rFonts w:hint="eastAsia" w:hAnsi="宋体" w:eastAsia="宋体" w:cs="宋体"/>
          <w:highlight w:val="none"/>
          <w:lang w:eastAsia="zh-CN"/>
        </w:rPr>
      </w:pPr>
      <w:r>
        <w:rPr>
          <w:rFonts w:hint="eastAsia" w:ascii="宋体" w:hAnsi="宋体" w:cs="宋体"/>
          <w:highlight w:val="none"/>
        </w:rPr>
        <w:t>名称：</w:t>
      </w:r>
      <w:r>
        <w:rPr>
          <w:rFonts w:hint="eastAsia" w:hAnsi="宋体" w:cs="宋体"/>
          <w:highlight w:val="none"/>
          <w:lang w:eastAsia="zh-CN"/>
        </w:rPr>
        <w:t>平顶山市妇幼保健院</w:t>
      </w:r>
    </w:p>
    <w:p w14:paraId="65FF8DDC">
      <w:pPr>
        <w:spacing w:line="460" w:lineRule="exact"/>
        <w:ind w:firstLine="420" w:firstLineChars="200"/>
        <w:rPr>
          <w:rFonts w:ascii="宋体" w:hAnsi="宋体" w:cs="宋体"/>
          <w:highlight w:val="none"/>
        </w:rPr>
      </w:pPr>
      <w:r>
        <w:rPr>
          <w:rFonts w:hint="eastAsia" w:ascii="宋体" w:hAnsi="宋体" w:cs="宋体"/>
          <w:highlight w:val="none"/>
        </w:rPr>
        <w:t>地址：</w:t>
      </w:r>
      <w:r>
        <w:rPr>
          <w:rFonts w:hint="eastAsia" w:ascii="宋体" w:hAnsi="宋体" w:cs="宋体"/>
          <w:highlight w:val="none"/>
          <w:lang w:eastAsia="zh-CN"/>
        </w:rPr>
        <w:t>河南省平顶山市开源路南段28号院</w:t>
      </w:r>
      <w:r>
        <w:rPr>
          <w:rFonts w:hint="eastAsia" w:ascii="宋体" w:hAnsi="宋体" w:cs="宋体"/>
          <w:highlight w:val="none"/>
        </w:rPr>
        <w:t>　　　　　　　　　</w:t>
      </w:r>
    </w:p>
    <w:p w14:paraId="2B204710">
      <w:pPr>
        <w:spacing w:line="460" w:lineRule="exact"/>
        <w:ind w:firstLine="420" w:firstLineChars="200"/>
        <w:rPr>
          <w:rFonts w:hint="eastAsia" w:ascii="宋体" w:hAnsi="宋体" w:eastAsia="宋体" w:cs="宋体"/>
          <w:highlight w:val="none"/>
          <w:lang w:val="en-US" w:eastAsia="zh-CN"/>
        </w:rPr>
      </w:pPr>
      <w:r>
        <w:rPr>
          <w:rFonts w:hint="eastAsia" w:ascii="宋体" w:hAnsi="宋体" w:cs="宋体"/>
          <w:highlight w:val="none"/>
        </w:rPr>
        <w:t>联系人：</w:t>
      </w:r>
      <w:r>
        <w:rPr>
          <w:rFonts w:hint="eastAsia" w:ascii="宋体" w:hAnsi="宋体" w:cs="宋体"/>
          <w:highlight w:val="none"/>
          <w:lang w:val="en-US" w:eastAsia="zh-CN"/>
        </w:rPr>
        <w:t>刘先生</w:t>
      </w:r>
    </w:p>
    <w:p w14:paraId="31D980C2">
      <w:pPr>
        <w:spacing w:line="460" w:lineRule="exact"/>
        <w:ind w:firstLine="420" w:firstLineChars="200"/>
        <w:rPr>
          <w:rFonts w:hint="default" w:ascii="宋体" w:hAnsi="宋体" w:eastAsia="宋体" w:cs="宋体"/>
          <w:highlight w:val="none"/>
          <w:lang w:val="en-US" w:eastAsia="zh-CN"/>
        </w:rPr>
      </w:pPr>
      <w:r>
        <w:rPr>
          <w:rFonts w:hint="eastAsia" w:ascii="宋体" w:hAnsi="宋体" w:cs="宋体"/>
          <w:highlight w:val="none"/>
        </w:rPr>
        <w:t>联系方式：</w:t>
      </w:r>
      <w:r>
        <w:rPr>
          <w:rFonts w:hint="eastAsia" w:ascii="宋体" w:hAnsi="宋体" w:cs="宋体"/>
          <w:highlight w:val="none"/>
          <w:lang w:val="en-US" w:eastAsia="zh-CN"/>
        </w:rPr>
        <w:t>0375-8917516</w:t>
      </w:r>
    </w:p>
    <w:p w14:paraId="3A62BF7F">
      <w:pPr>
        <w:spacing w:line="460" w:lineRule="exact"/>
        <w:ind w:firstLine="422" w:firstLineChars="200"/>
        <w:rPr>
          <w:rFonts w:ascii="宋体" w:hAnsi="宋体" w:cs="宋体"/>
          <w:b/>
          <w:bCs/>
          <w:szCs w:val="21"/>
        </w:rPr>
      </w:pPr>
      <w:r>
        <w:rPr>
          <w:rFonts w:hint="eastAsia" w:ascii="宋体" w:hAnsi="宋体" w:cs="宋体"/>
          <w:b/>
          <w:bCs/>
          <w:szCs w:val="21"/>
        </w:rPr>
        <w:t>2.采购代理机构信息</w:t>
      </w:r>
      <w:bookmarkEnd w:id="34"/>
      <w:bookmarkEnd w:id="35"/>
    </w:p>
    <w:p w14:paraId="009D0EEF">
      <w:pPr>
        <w:spacing w:line="460" w:lineRule="exact"/>
        <w:ind w:firstLine="420" w:firstLineChars="200"/>
        <w:rPr>
          <w:rFonts w:ascii="宋体" w:hAnsi="宋体" w:cs="宋体"/>
          <w:szCs w:val="21"/>
        </w:rPr>
      </w:pPr>
      <w:r>
        <w:rPr>
          <w:rFonts w:hint="eastAsia" w:ascii="宋体" w:hAnsi="宋体" w:cs="宋体"/>
          <w:szCs w:val="21"/>
        </w:rPr>
        <w:t>名称：方大国际工程咨询股份有限公司　　　　　　　　　　　　</w:t>
      </w:r>
    </w:p>
    <w:p w14:paraId="4D4F6AA6">
      <w:pPr>
        <w:spacing w:line="460" w:lineRule="exact"/>
        <w:ind w:firstLine="420" w:firstLineChars="200"/>
        <w:rPr>
          <w:rFonts w:ascii="宋体" w:hAnsi="宋体" w:cs="宋体"/>
          <w:szCs w:val="21"/>
        </w:rPr>
      </w:pPr>
      <w:r>
        <w:rPr>
          <w:rFonts w:hint="eastAsia" w:ascii="宋体" w:hAnsi="宋体" w:cs="宋体"/>
          <w:szCs w:val="21"/>
        </w:rPr>
        <w:t>地址：郑州市郑东新区康宁街与普济路交会处德威广场12层　　　　　　　　　　　　</w:t>
      </w:r>
    </w:p>
    <w:p w14:paraId="7937F18B">
      <w:pPr>
        <w:spacing w:line="460" w:lineRule="exact"/>
        <w:ind w:firstLine="420" w:firstLineChars="200"/>
        <w:rPr>
          <w:rFonts w:ascii="宋体" w:hAnsi="宋体" w:cs="宋体"/>
          <w:szCs w:val="21"/>
        </w:rPr>
      </w:pPr>
      <w:r>
        <w:rPr>
          <w:rFonts w:hint="eastAsia" w:ascii="宋体" w:hAnsi="宋体" w:cs="宋体"/>
          <w:szCs w:val="21"/>
        </w:rPr>
        <w:t>联系人：金广涛</w:t>
      </w:r>
    </w:p>
    <w:p w14:paraId="2FCD06E2">
      <w:pPr>
        <w:spacing w:line="460" w:lineRule="exact"/>
        <w:ind w:firstLine="420" w:firstLineChars="200"/>
        <w:rPr>
          <w:rFonts w:ascii="宋体" w:hAnsi="宋体" w:cs="宋体"/>
          <w:szCs w:val="21"/>
        </w:rPr>
      </w:pPr>
      <w:r>
        <w:rPr>
          <w:rFonts w:hint="eastAsia" w:ascii="宋体" w:hAnsi="宋体" w:cs="宋体"/>
          <w:szCs w:val="21"/>
        </w:rPr>
        <w:t>联系方式：</w:t>
      </w:r>
      <w:bookmarkStart w:id="36" w:name="_Toc28359010"/>
      <w:bookmarkStart w:id="37" w:name="_Toc28359087"/>
      <w:r>
        <w:rPr>
          <w:rFonts w:hint="eastAsia" w:ascii="宋体" w:hAnsi="宋体" w:cs="宋体"/>
          <w:szCs w:val="21"/>
        </w:rPr>
        <w:t>13323756823　</w:t>
      </w:r>
    </w:p>
    <w:p w14:paraId="7ADF55FB">
      <w:pPr>
        <w:spacing w:line="460" w:lineRule="exact"/>
        <w:ind w:firstLine="422" w:firstLineChars="200"/>
        <w:rPr>
          <w:rFonts w:ascii="宋体" w:hAnsi="宋体" w:cs="宋体"/>
          <w:b/>
          <w:bCs/>
          <w:szCs w:val="21"/>
        </w:rPr>
      </w:pPr>
      <w:r>
        <w:rPr>
          <w:rFonts w:hint="eastAsia" w:ascii="宋体" w:hAnsi="宋体" w:cs="宋体"/>
          <w:b/>
          <w:bCs/>
          <w:szCs w:val="21"/>
        </w:rPr>
        <w:t>3.项目联系方式</w:t>
      </w:r>
      <w:bookmarkEnd w:id="36"/>
      <w:bookmarkEnd w:id="37"/>
    </w:p>
    <w:p w14:paraId="07288308">
      <w:pPr>
        <w:spacing w:line="460" w:lineRule="exact"/>
        <w:ind w:firstLine="420" w:firstLineChars="200"/>
        <w:rPr>
          <w:rFonts w:ascii="宋体" w:hAnsi="宋体" w:cs="宋体"/>
          <w:szCs w:val="21"/>
        </w:rPr>
      </w:pPr>
      <w:r>
        <w:rPr>
          <w:rFonts w:hint="eastAsia" w:ascii="宋体" w:hAnsi="宋体" w:cs="宋体"/>
          <w:szCs w:val="21"/>
        </w:rPr>
        <w:t>项目联系人：金广涛</w:t>
      </w:r>
    </w:p>
    <w:p w14:paraId="1128E4D9">
      <w:pPr>
        <w:spacing w:line="460" w:lineRule="exact"/>
        <w:ind w:firstLine="420" w:firstLineChars="200"/>
        <w:rPr>
          <w:rFonts w:ascii="宋体" w:hAnsi="宋体" w:cs="宋体"/>
          <w:szCs w:val="21"/>
        </w:rPr>
      </w:pPr>
      <w:r>
        <w:rPr>
          <w:rFonts w:hint="eastAsia" w:ascii="宋体" w:hAnsi="宋体" w:cs="宋体"/>
          <w:szCs w:val="21"/>
        </w:rPr>
        <w:t>电　话：13323756823　</w:t>
      </w:r>
    </w:p>
    <w:bookmarkEnd w:id="33"/>
    <w:p w14:paraId="727B944A">
      <w:pPr>
        <w:spacing w:line="360" w:lineRule="auto"/>
        <w:rPr>
          <w:rFonts w:ascii="宋体" w:hAnsi="宋体"/>
          <w:sz w:val="22"/>
          <w:szCs w:val="22"/>
        </w:rPr>
      </w:pPr>
    </w:p>
    <w:p w14:paraId="727B041F">
      <w:pPr>
        <w:rPr>
          <w:rFonts w:ascii="宋体" w:hAnsi="宋体"/>
        </w:rPr>
      </w:pPr>
      <w:bookmarkStart w:id="38" w:name="_Toc14181"/>
      <w:r>
        <w:rPr>
          <w:rFonts w:hint="eastAsia" w:ascii="宋体" w:hAnsi="宋体"/>
        </w:rPr>
        <w:br w:type="page"/>
      </w:r>
    </w:p>
    <w:p w14:paraId="1F20CF35">
      <w:pPr>
        <w:pStyle w:val="2"/>
        <w:snapToGrid w:val="0"/>
        <w:spacing w:line="240" w:lineRule="auto"/>
        <w:ind w:left="1125" w:firstLine="2249" w:firstLineChars="700"/>
        <w:rPr>
          <w:rFonts w:ascii="宋体" w:hAnsi="宋体"/>
        </w:rPr>
      </w:pPr>
      <w:bookmarkStart w:id="39" w:name="_Toc19019"/>
      <w:bookmarkStart w:id="40" w:name="_Toc26280_WPSOffice_Level1"/>
      <w:r>
        <w:rPr>
          <w:rFonts w:hint="eastAsia" w:ascii="宋体" w:hAnsi="宋体"/>
        </w:rPr>
        <w:t>第二章 投标人须知</w:t>
      </w:r>
      <w:bookmarkEnd w:id="4"/>
      <w:bookmarkEnd w:id="38"/>
      <w:bookmarkEnd w:id="39"/>
      <w:bookmarkEnd w:id="40"/>
    </w:p>
    <w:p w14:paraId="1B67D049">
      <w:pPr>
        <w:pStyle w:val="3"/>
        <w:ind w:firstLine="420"/>
        <w:jc w:val="center"/>
        <w:rPr>
          <w:rFonts w:ascii="宋体" w:hAnsi="宋体" w:eastAsia="宋体"/>
        </w:rPr>
      </w:pPr>
      <w:bookmarkStart w:id="41" w:name="_Toc184635070"/>
      <w:bookmarkStart w:id="42" w:name="_Toc512597504"/>
      <w:bookmarkStart w:id="43" w:name="_Toc16840"/>
      <w:r>
        <w:rPr>
          <w:rFonts w:hint="eastAsia" w:ascii="宋体" w:hAnsi="宋体" w:eastAsia="宋体"/>
        </w:rPr>
        <w:t>投标人须知前附表</w:t>
      </w:r>
      <w:bookmarkEnd w:id="41"/>
      <w:bookmarkEnd w:id="42"/>
      <w:bookmarkEnd w:id="43"/>
    </w:p>
    <w:p w14:paraId="4C6295D6">
      <w:pPr>
        <w:pStyle w:val="10"/>
        <w:ind w:left="840" w:hanging="420"/>
      </w:pPr>
      <w:bookmarkStart w:id="44" w:name="_Toc179632546"/>
      <w:bookmarkStart w:id="45" w:name="_Toc144974497"/>
      <w:bookmarkStart w:id="46" w:name="_Toc296602420"/>
      <w:bookmarkStart w:id="47" w:name="_Toc152042305"/>
      <w:bookmarkStart w:id="48" w:name="_Toc152045529"/>
      <w:bookmarkStart w:id="49" w:name="_Toc246996918"/>
      <w:bookmarkStart w:id="50" w:name="_Toc247085689"/>
      <w:bookmarkStart w:id="51" w:name="_Toc246996175"/>
    </w:p>
    <w:tbl>
      <w:tblPr>
        <w:tblStyle w:val="18"/>
        <w:tblW w:w="8796" w:type="dxa"/>
        <w:tblInd w:w="760" w:type="dxa"/>
        <w:tblLayout w:type="fixed"/>
        <w:tblCellMar>
          <w:top w:w="0" w:type="dxa"/>
          <w:left w:w="0" w:type="dxa"/>
          <w:bottom w:w="0" w:type="dxa"/>
          <w:right w:w="0" w:type="dxa"/>
        </w:tblCellMar>
      </w:tblPr>
      <w:tblGrid>
        <w:gridCol w:w="858"/>
        <w:gridCol w:w="1501"/>
        <w:gridCol w:w="6437"/>
      </w:tblGrid>
      <w:tr w14:paraId="03EFDEFE">
        <w:tblPrEx>
          <w:tblCellMar>
            <w:top w:w="0" w:type="dxa"/>
            <w:left w:w="0" w:type="dxa"/>
            <w:bottom w:w="0" w:type="dxa"/>
            <w:right w:w="0" w:type="dxa"/>
          </w:tblCellMar>
        </w:tblPrEx>
        <w:trPr>
          <w:trHeight w:val="311" w:hRule="atLeast"/>
        </w:trPr>
        <w:tc>
          <w:tcPr>
            <w:tcW w:w="858" w:type="dxa"/>
            <w:tcBorders>
              <w:top w:val="single" w:color="000000" w:sz="4" w:space="0"/>
              <w:left w:val="single" w:color="000000" w:sz="4" w:space="0"/>
              <w:bottom w:val="single" w:color="000000" w:sz="4" w:space="0"/>
              <w:right w:val="single" w:color="000000" w:sz="4" w:space="0"/>
            </w:tcBorders>
          </w:tcPr>
          <w:p w14:paraId="5C20F0BC">
            <w:pPr>
              <w:pStyle w:val="23"/>
              <w:kinsoku w:val="0"/>
              <w:overflowPunct w:val="0"/>
              <w:spacing w:before="2" w:line="289" w:lineRule="exact"/>
              <w:ind w:right="218"/>
              <w:jc w:val="right"/>
              <w:rPr>
                <w:rFonts w:ascii="仿宋" w:hAnsi="仿宋" w:eastAsia="仿宋"/>
              </w:rPr>
            </w:pPr>
            <w:bookmarkStart w:id="52" w:name="_Toc413941322"/>
            <w:bookmarkStart w:id="53" w:name="_Toc25121"/>
            <w:r>
              <w:rPr>
                <w:rFonts w:hint="eastAsia" w:ascii="仿宋" w:hAnsi="仿宋" w:eastAsia="仿宋"/>
              </w:rPr>
              <w:t>序号</w:t>
            </w:r>
          </w:p>
        </w:tc>
        <w:tc>
          <w:tcPr>
            <w:tcW w:w="1501" w:type="dxa"/>
            <w:tcBorders>
              <w:top w:val="single" w:color="000000" w:sz="4" w:space="0"/>
              <w:left w:val="single" w:color="000000" w:sz="4" w:space="0"/>
              <w:bottom w:val="single" w:color="000000" w:sz="4" w:space="0"/>
              <w:right w:val="single" w:color="000000" w:sz="4" w:space="0"/>
            </w:tcBorders>
          </w:tcPr>
          <w:p w14:paraId="5778978F">
            <w:pPr>
              <w:pStyle w:val="23"/>
              <w:tabs>
                <w:tab w:val="left" w:pos="488"/>
              </w:tabs>
              <w:kinsoku w:val="0"/>
              <w:overflowPunct w:val="0"/>
              <w:spacing w:before="2" w:line="289" w:lineRule="exact"/>
              <w:ind w:left="8"/>
              <w:jc w:val="center"/>
              <w:rPr>
                <w:rFonts w:ascii="仿宋" w:hAnsi="仿宋" w:eastAsia="仿宋"/>
              </w:rPr>
            </w:pPr>
            <w:r>
              <w:rPr>
                <w:rFonts w:hint="eastAsia" w:ascii="仿宋" w:hAnsi="仿宋" w:eastAsia="仿宋"/>
              </w:rPr>
              <w:t>名</w:t>
            </w:r>
            <w:r>
              <w:rPr>
                <w:rFonts w:ascii="仿宋" w:hAnsi="仿宋" w:eastAsia="仿宋"/>
              </w:rPr>
              <w:tab/>
            </w:r>
            <w:r>
              <w:rPr>
                <w:rFonts w:hint="eastAsia" w:ascii="仿宋" w:hAnsi="仿宋" w:eastAsia="仿宋"/>
              </w:rPr>
              <w:t>称</w:t>
            </w:r>
          </w:p>
        </w:tc>
        <w:tc>
          <w:tcPr>
            <w:tcW w:w="6437" w:type="dxa"/>
            <w:tcBorders>
              <w:top w:val="single" w:color="000000" w:sz="4" w:space="0"/>
              <w:left w:val="single" w:color="000000" w:sz="4" w:space="0"/>
              <w:bottom w:val="single" w:color="000000" w:sz="4" w:space="0"/>
              <w:right w:val="single" w:color="000000" w:sz="4" w:space="0"/>
            </w:tcBorders>
          </w:tcPr>
          <w:p w14:paraId="2D276784">
            <w:pPr>
              <w:pStyle w:val="23"/>
              <w:tabs>
                <w:tab w:val="left" w:pos="489"/>
              </w:tabs>
              <w:kinsoku w:val="0"/>
              <w:overflowPunct w:val="0"/>
              <w:spacing w:before="2" w:line="289" w:lineRule="exact"/>
              <w:ind w:left="9"/>
              <w:jc w:val="center"/>
              <w:rPr>
                <w:rFonts w:ascii="仿宋" w:hAnsi="仿宋" w:eastAsia="仿宋"/>
              </w:rPr>
            </w:pPr>
            <w:r>
              <w:rPr>
                <w:rFonts w:hint="eastAsia" w:ascii="仿宋" w:hAnsi="仿宋" w:eastAsia="仿宋"/>
              </w:rPr>
              <w:t>内</w:t>
            </w:r>
            <w:r>
              <w:rPr>
                <w:rFonts w:ascii="仿宋" w:hAnsi="仿宋" w:eastAsia="仿宋"/>
              </w:rPr>
              <w:tab/>
            </w:r>
            <w:r>
              <w:rPr>
                <w:rFonts w:hint="eastAsia" w:ascii="仿宋" w:hAnsi="仿宋" w:eastAsia="仿宋"/>
              </w:rPr>
              <w:t>容</w:t>
            </w:r>
          </w:p>
        </w:tc>
      </w:tr>
      <w:tr w14:paraId="6010925F">
        <w:tblPrEx>
          <w:tblCellMar>
            <w:top w:w="0" w:type="dxa"/>
            <w:left w:w="0" w:type="dxa"/>
            <w:bottom w:w="0" w:type="dxa"/>
            <w:right w:w="0" w:type="dxa"/>
          </w:tblCellMar>
        </w:tblPrEx>
        <w:trPr>
          <w:trHeight w:val="1052"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19326788">
            <w:pPr>
              <w:jc w:val="center"/>
              <w:rPr>
                <w:rFonts w:ascii="仿宋" w:hAnsi="仿宋" w:eastAsia="仿宋" w:cs="宋体"/>
                <w:sz w:val="24"/>
              </w:rPr>
            </w:pPr>
            <w:r>
              <w:rPr>
                <w:rFonts w:hint="eastAsia" w:ascii="仿宋" w:hAnsi="仿宋" w:eastAsia="仿宋" w:cs="宋体"/>
                <w:sz w:val="24"/>
              </w:rPr>
              <w:t>1</w:t>
            </w:r>
          </w:p>
        </w:tc>
        <w:tc>
          <w:tcPr>
            <w:tcW w:w="1501" w:type="dxa"/>
            <w:tcBorders>
              <w:top w:val="single" w:color="000000" w:sz="4" w:space="0"/>
              <w:left w:val="single" w:color="000000" w:sz="4" w:space="0"/>
              <w:bottom w:val="single" w:color="000000" w:sz="4" w:space="0"/>
              <w:right w:val="single" w:color="000000" w:sz="4" w:space="0"/>
            </w:tcBorders>
            <w:vAlign w:val="center"/>
          </w:tcPr>
          <w:p w14:paraId="59CAEBB3">
            <w:pPr>
              <w:jc w:val="center"/>
              <w:rPr>
                <w:rFonts w:ascii="仿宋" w:hAnsi="仿宋" w:eastAsia="仿宋" w:cs="宋体"/>
                <w:sz w:val="24"/>
              </w:rPr>
            </w:pPr>
            <w:r>
              <w:rPr>
                <w:rFonts w:hint="eastAsia" w:ascii="仿宋" w:hAnsi="仿宋" w:eastAsia="仿宋" w:cs="宋体"/>
                <w:sz w:val="24"/>
              </w:rPr>
              <w:t>采购人</w:t>
            </w:r>
          </w:p>
        </w:tc>
        <w:tc>
          <w:tcPr>
            <w:tcW w:w="6437" w:type="dxa"/>
            <w:tcBorders>
              <w:top w:val="single" w:color="000000" w:sz="4" w:space="0"/>
              <w:left w:val="single" w:color="000000" w:sz="4" w:space="0"/>
              <w:bottom w:val="single" w:color="000000" w:sz="4" w:space="0"/>
              <w:right w:val="single" w:color="000000" w:sz="4" w:space="0"/>
            </w:tcBorders>
            <w:vAlign w:val="center"/>
          </w:tcPr>
          <w:p w14:paraId="4A5AF9D7">
            <w:pPr>
              <w:spacing w:line="360" w:lineRule="auto"/>
              <w:rPr>
                <w:rFonts w:hint="eastAsia" w:ascii="仿宋" w:hAnsi="仿宋" w:eastAsia="仿宋" w:cs="宋体"/>
                <w:sz w:val="24"/>
                <w:szCs w:val="22"/>
                <w:lang w:val="en-US" w:eastAsia="zh-CN"/>
              </w:rPr>
            </w:pPr>
            <w:r>
              <w:rPr>
                <w:rFonts w:hint="eastAsia" w:ascii="仿宋" w:hAnsi="仿宋" w:eastAsia="仿宋" w:cs="宋体"/>
                <w:sz w:val="24"/>
                <w:szCs w:val="22"/>
                <w:lang w:val="en-US" w:eastAsia="zh-CN"/>
              </w:rPr>
              <w:t>名称：平顶山市妇幼保健院</w:t>
            </w:r>
          </w:p>
          <w:p w14:paraId="773995C5">
            <w:pPr>
              <w:spacing w:line="360" w:lineRule="auto"/>
              <w:rPr>
                <w:rFonts w:hint="eastAsia" w:ascii="仿宋" w:hAnsi="仿宋" w:eastAsia="仿宋" w:cs="宋体"/>
                <w:sz w:val="24"/>
                <w:szCs w:val="22"/>
                <w:lang w:val="en-US" w:eastAsia="zh-CN"/>
              </w:rPr>
            </w:pPr>
            <w:r>
              <w:rPr>
                <w:rFonts w:hint="eastAsia" w:ascii="仿宋" w:hAnsi="仿宋" w:eastAsia="仿宋" w:cs="宋体"/>
                <w:sz w:val="24"/>
                <w:szCs w:val="22"/>
                <w:lang w:val="en-US" w:eastAsia="zh-CN"/>
              </w:rPr>
              <w:t>地址：河南省平顶山市开源路南段28号院　　　　　　　　　</w:t>
            </w:r>
          </w:p>
          <w:p w14:paraId="60146BDD">
            <w:pPr>
              <w:spacing w:line="360" w:lineRule="auto"/>
              <w:rPr>
                <w:rFonts w:hint="eastAsia" w:ascii="仿宋" w:hAnsi="仿宋" w:eastAsia="仿宋" w:cs="宋体"/>
                <w:sz w:val="24"/>
                <w:szCs w:val="22"/>
                <w:lang w:val="en-US" w:eastAsia="zh-CN"/>
              </w:rPr>
            </w:pPr>
            <w:r>
              <w:rPr>
                <w:rFonts w:hint="eastAsia" w:ascii="仿宋" w:hAnsi="仿宋" w:eastAsia="仿宋" w:cs="宋体"/>
                <w:sz w:val="24"/>
                <w:szCs w:val="22"/>
                <w:lang w:val="en-US" w:eastAsia="zh-CN"/>
              </w:rPr>
              <w:t>联系人：刘先生</w:t>
            </w:r>
          </w:p>
          <w:p w14:paraId="00712B6A">
            <w:pPr>
              <w:spacing w:line="360" w:lineRule="auto"/>
              <w:rPr>
                <w:rFonts w:hint="eastAsia" w:ascii="仿宋" w:hAnsi="仿宋" w:eastAsia="仿宋" w:cs="宋体"/>
                <w:sz w:val="24"/>
                <w:lang w:eastAsia="zh-CN"/>
              </w:rPr>
            </w:pPr>
            <w:r>
              <w:rPr>
                <w:rFonts w:hint="eastAsia" w:ascii="仿宋" w:hAnsi="仿宋" w:eastAsia="仿宋" w:cs="宋体"/>
                <w:sz w:val="24"/>
                <w:szCs w:val="22"/>
                <w:lang w:val="en-US" w:eastAsia="zh-CN"/>
              </w:rPr>
              <w:t>联系方式：0375-8917516</w:t>
            </w:r>
          </w:p>
        </w:tc>
      </w:tr>
      <w:tr w14:paraId="032AB79D">
        <w:tblPrEx>
          <w:tblCellMar>
            <w:top w:w="0" w:type="dxa"/>
            <w:left w:w="0" w:type="dxa"/>
            <w:bottom w:w="0" w:type="dxa"/>
            <w:right w:w="0" w:type="dxa"/>
          </w:tblCellMar>
        </w:tblPrEx>
        <w:trPr>
          <w:trHeight w:val="1366"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40A6C324">
            <w:pPr>
              <w:jc w:val="center"/>
              <w:rPr>
                <w:rFonts w:ascii="仿宋" w:hAnsi="仿宋" w:eastAsia="仿宋" w:cs="宋体"/>
                <w:sz w:val="24"/>
              </w:rPr>
            </w:pPr>
            <w:r>
              <w:rPr>
                <w:rFonts w:hint="eastAsia" w:ascii="仿宋" w:hAnsi="仿宋" w:eastAsia="仿宋" w:cs="宋体"/>
                <w:sz w:val="24"/>
              </w:rPr>
              <w:t>2</w:t>
            </w:r>
          </w:p>
        </w:tc>
        <w:tc>
          <w:tcPr>
            <w:tcW w:w="1501" w:type="dxa"/>
            <w:tcBorders>
              <w:top w:val="single" w:color="000000" w:sz="4" w:space="0"/>
              <w:left w:val="single" w:color="000000" w:sz="4" w:space="0"/>
              <w:bottom w:val="single" w:color="000000" w:sz="4" w:space="0"/>
              <w:right w:val="single" w:color="000000" w:sz="4" w:space="0"/>
            </w:tcBorders>
            <w:vAlign w:val="center"/>
          </w:tcPr>
          <w:p w14:paraId="76BEB2DC">
            <w:pPr>
              <w:jc w:val="center"/>
              <w:rPr>
                <w:rFonts w:ascii="仿宋" w:hAnsi="仿宋" w:eastAsia="仿宋" w:cs="宋体"/>
                <w:sz w:val="24"/>
              </w:rPr>
            </w:pPr>
            <w:r>
              <w:rPr>
                <w:rFonts w:hint="eastAsia" w:ascii="仿宋" w:hAnsi="仿宋" w:eastAsia="仿宋" w:cs="宋体"/>
                <w:sz w:val="24"/>
              </w:rPr>
              <w:t>采购代理机构</w:t>
            </w:r>
          </w:p>
        </w:tc>
        <w:tc>
          <w:tcPr>
            <w:tcW w:w="6437" w:type="dxa"/>
            <w:tcBorders>
              <w:top w:val="single" w:color="000000" w:sz="4" w:space="0"/>
              <w:left w:val="single" w:color="000000" w:sz="4" w:space="0"/>
              <w:bottom w:val="single" w:color="000000" w:sz="4" w:space="0"/>
              <w:right w:val="single" w:color="000000" w:sz="4" w:space="0"/>
            </w:tcBorders>
            <w:vAlign w:val="center"/>
          </w:tcPr>
          <w:p w14:paraId="63E449C2">
            <w:pPr>
              <w:spacing w:line="360" w:lineRule="auto"/>
              <w:rPr>
                <w:rFonts w:hint="eastAsia" w:ascii="仿宋" w:hAnsi="仿宋" w:eastAsia="仿宋" w:cs="宋体"/>
                <w:sz w:val="24"/>
                <w:szCs w:val="22"/>
                <w:lang w:val="en-US" w:eastAsia="zh-CN"/>
              </w:rPr>
            </w:pPr>
            <w:r>
              <w:rPr>
                <w:rFonts w:hint="eastAsia" w:ascii="仿宋" w:hAnsi="仿宋" w:eastAsia="仿宋" w:cs="宋体"/>
                <w:sz w:val="24"/>
              </w:rPr>
              <w:t>名</w:t>
            </w:r>
            <w:r>
              <w:rPr>
                <w:rFonts w:hint="eastAsia" w:ascii="仿宋" w:hAnsi="仿宋" w:eastAsia="仿宋" w:cs="宋体"/>
                <w:sz w:val="24"/>
                <w:szCs w:val="22"/>
                <w:lang w:val="en-US" w:eastAsia="zh-CN"/>
              </w:rPr>
              <w:t>称：方大国际工程咨询股份有限公司　　　　　　　　　　　　</w:t>
            </w:r>
          </w:p>
          <w:p w14:paraId="17268300">
            <w:pPr>
              <w:spacing w:line="360" w:lineRule="auto"/>
              <w:rPr>
                <w:rFonts w:hint="eastAsia" w:ascii="仿宋" w:hAnsi="仿宋" w:eastAsia="仿宋" w:cs="宋体"/>
                <w:sz w:val="24"/>
                <w:szCs w:val="22"/>
                <w:lang w:val="en-US" w:eastAsia="zh-CN"/>
              </w:rPr>
            </w:pPr>
            <w:r>
              <w:rPr>
                <w:rFonts w:hint="eastAsia" w:ascii="仿宋" w:hAnsi="仿宋" w:eastAsia="仿宋" w:cs="宋体"/>
                <w:sz w:val="24"/>
                <w:szCs w:val="22"/>
                <w:lang w:val="en-US" w:eastAsia="zh-CN"/>
              </w:rPr>
              <w:t>地址：郑州市郑东新区康宁街与普济路交会处德威广场12层</w:t>
            </w:r>
          </w:p>
          <w:p w14:paraId="184975A1">
            <w:pPr>
              <w:spacing w:line="360" w:lineRule="auto"/>
              <w:rPr>
                <w:rFonts w:hint="eastAsia" w:ascii="仿宋" w:hAnsi="仿宋" w:eastAsia="仿宋" w:cs="宋体"/>
                <w:sz w:val="24"/>
                <w:szCs w:val="22"/>
                <w:lang w:val="en-US" w:eastAsia="zh-CN"/>
              </w:rPr>
            </w:pPr>
            <w:r>
              <w:rPr>
                <w:rFonts w:hint="eastAsia" w:ascii="仿宋" w:hAnsi="仿宋" w:eastAsia="仿宋" w:cs="宋体"/>
                <w:sz w:val="24"/>
                <w:szCs w:val="22"/>
                <w:lang w:val="en-US" w:eastAsia="zh-CN"/>
              </w:rPr>
              <w:t>联系人：金广涛　　　　　　　　　　　</w:t>
            </w:r>
          </w:p>
          <w:p w14:paraId="23BD9DB6">
            <w:pPr>
              <w:spacing w:line="360" w:lineRule="auto"/>
              <w:rPr>
                <w:rFonts w:hint="eastAsia" w:ascii="仿宋" w:hAnsi="仿宋" w:eastAsia="仿宋" w:cs="宋体"/>
                <w:sz w:val="24"/>
                <w:szCs w:val="22"/>
                <w:lang w:val="en-US" w:eastAsia="zh-CN"/>
              </w:rPr>
            </w:pPr>
            <w:r>
              <w:rPr>
                <w:rFonts w:hint="eastAsia" w:ascii="仿宋" w:hAnsi="仿宋" w:eastAsia="仿宋" w:cs="宋体"/>
                <w:sz w:val="24"/>
                <w:szCs w:val="22"/>
                <w:lang w:val="en-US" w:eastAsia="zh-CN"/>
              </w:rPr>
              <w:t>联系方式：13323756823　</w:t>
            </w:r>
          </w:p>
          <w:p w14:paraId="0458F758">
            <w:pPr>
              <w:spacing w:line="360" w:lineRule="auto"/>
              <w:rPr>
                <w:rFonts w:ascii="仿宋" w:hAnsi="仿宋" w:eastAsia="仿宋" w:cs="宋体"/>
                <w:sz w:val="24"/>
              </w:rPr>
            </w:pPr>
            <w:r>
              <w:rPr>
                <w:rFonts w:hint="eastAsia" w:ascii="仿宋" w:hAnsi="仿宋" w:eastAsia="仿宋" w:cs="宋体"/>
                <w:sz w:val="24"/>
                <w:szCs w:val="22"/>
                <w:lang w:val="en-US" w:eastAsia="zh-CN"/>
              </w:rPr>
              <w:t>邮箱：pingdingshanfd@163.com</w:t>
            </w:r>
          </w:p>
        </w:tc>
      </w:tr>
      <w:tr w14:paraId="6363BB92">
        <w:tblPrEx>
          <w:tblCellMar>
            <w:top w:w="0" w:type="dxa"/>
            <w:left w:w="0" w:type="dxa"/>
            <w:bottom w:w="0" w:type="dxa"/>
            <w:right w:w="0" w:type="dxa"/>
          </w:tblCellMar>
        </w:tblPrEx>
        <w:trPr>
          <w:trHeight w:val="467"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4E98AFD3">
            <w:pPr>
              <w:jc w:val="center"/>
              <w:rPr>
                <w:rFonts w:ascii="仿宋" w:hAnsi="仿宋" w:eastAsia="仿宋" w:cs="宋体"/>
                <w:sz w:val="24"/>
              </w:rPr>
            </w:pPr>
            <w:r>
              <w:rPr>
                <w:rFonts w:hint="eastAsia" w:ascii="仿宋" w:hAnsi="仿宋" w:eastAsia="仿宋" w:cs="宋体"/>
                <w:sz w:val="24"/>
              </w:rPr>
              <w:t>3</w:t>
            </w:r>
          </w:p>
        </w:tc>
        <w:tc>
          <w:tcPr>
            <w:tcW w:w="1501" w:type="dxa"/>
            <w:tcBorders>
              <w:top w:val="single" w:color="000000" w:sz="4" w:space="0"/>
              <w:left w:val="single" w:color="000000" w:sz="4" w:space="0"/>
              <w:bottom w:val="single" w:color="000000" w:sz="4" w:space="0"/>
              <w:right w:val="single" w:color="000000" w:sz="4" w:space="0"/>
            </w:tcBorders>
            <w:vAlign w:val="center"/>
          </w:tcPr>
          <w:p w14:paraId="774D8B9D">
            <w:pPr>
              <w:jc w:val="center"/>
              <w:rPr>
                <w:rFonts w:ascii="仿宋" w:hAnsi="仿宋" w:eastAsia="仿宋" w:cs="宋体"/>
                <w:sz w:val="24"/>
              </w:rPr>
            </w:pPr>
            <w:r>
              <w:rPr>
                <w:rFonts w:hint="eastAsia" w:ascii="仿宋" w:hAnsi="仿宋" w:eastAsia="仿宋" w:cs="宋体"/>
                <w:sz w:val="24"/>
              </w:rPr>
              <w:t>项目名称</w:t>
            </w:r>
          </w:p>
        </w:tc>
        <w:tc>
          <w:tcPr>
            <w:tcW w:w="6437" w:type="dxa"/>
            <w:tcBorders>
              <w:top w:val="single" w:color="000000" w:sz="4" w:space="0"/>
              <w:left w:val="single" w:color="000000" w:sz="4" w:space="0"/>
              <w:bottom w:val="single" w:color="000000" w:sz="4" w:space="0"/>
              <w:right w:val="single" w:color="000000" w:sz="4" w:space="0"/>
            </w:tcBorders>
            <w:vAlign w:val="center"/>
          </w:tcPr>
          <w:p w14:paraId="3B536E4F">
            <w:pPr>
              <w:jc w:val="left"/>
              <w:rPr>
                <w:rFonts w:hint="eastAsia" w:ascii="仿宋" w:hAnsi="仿宋" w:eastAsia="仿宋" w:cs="宋体"/>
                <w:sz w:val="24"/>
                <w:lang w:eastAsia="zh-CN"/>
              </w:rPr>
            </w:pPr>
            <w:r>
              <w:rPr>
                <w:rFonts w:hint="eastAsia" w:ascii="仿宋" w:hAnsi="仿宋" w:eastAsia="仿宋" w:cs="宋体"/>
                <w:sz w:val="24"/>
                <w:szCs w:val="22"/>
                <w:lang w:eastAsia="zh-CN"/>
              </w:rPr>
              <w:t>平顶山市妇幼保健院母婴中心服务项目</w:t>
            </w:r>
          </w:p>
        </w:tc>
      </w:tr>
      <w:tr w14:paraId="464A2A96">
        <w:tblPrEx>
          <w:tblCellMar>
            <w:top w:w="0" w:type="dxa"/>
            <w:left w:w="0" w:type="dxa"/>
            <w:bottom w:w="0" w:type="dxa"/>
            <w:right w:w="0" w:type="dxa"/>
          </w:tblCellMar>
        </w:tblPrEx>
        <w:trPr>
          <w:trHeight w:val="633"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63FA8797">
            <w:pPr>
              <w:jc w:val="center"/>
              <w:rPr>
                <w:rFonts w:ascii="仿宋" w:hAnsi="仿宋" w:eastAsia="仿宋" w:cs="宋体"/>
                <w:sz w:val="24"/>
              </w:rPr>
            </w:pPr>
            <w:r>
              <w:rPr>
                <w:rFonts w:hint="eastAsia" w:ascii="仿宋" w:hAnsi="仿宋" w:eastAsia="仿宋" w:cs="宋体"/>
                <w:sz w:val="24"/>
              </w:rPr>
              <w:t>4</w:t>
            </w:r>
          </w:p>
        </w:tc>
        <w:tc>
          <w:tcPr>
            <w:tcW w:w="1501" w:type="dxa"/>
            <w:tcBorders>
              <w:top w:val="single" w:color="000000" w:sz="4" w:space="0"/>
              <w:left w:val="single" w:color="000000" w:sz="4" w:space="0"/>
              <w:bottom w:val="single" w:color="000000" w:sz="4" w:space="0"/>
              <w:right w:val="single" w:color="000000" w:sz="4" w:space="0"/>
            </w:tcBorders>
            <w:vAlign w:val="center"/>
          </w:tcPr>
          <w:p w14:paraId="0C1A4FA3">
            <w:pPr>
              <w:jc w:val="center"/>
              <w:rPr>
                <w:rFonts w:ascii="仿宋" w:hAnsi="仿宋" w:eastAsia="仿宋" w:cs="宋体"/>
                <w:sz w:val="24"/>
              </w:rPr>
            </w:pPr>
            <w:r>
              <w:rPr>
                <w:rFonts w:hint="eastAsia" w:ascii="仿宋" w:hAnsi="仿宋" w:eastAsia="仿宋" w:cs="宋体"/>
                <w:sz w:val="24"/>
              </w:rPr>
              <w:t>资金来源及落实情况</w:t>
            </w:r>
          </w:p>
        </w:tc>
        <w:tc>
          <w:tcPr>
            <w:tcW w:w="6437" w:type="dxa"/>
            <w:tcBorders>
              <w:top w:val="single" w:color="000000" w:sz="4" w:space="0"/>
              <w:left w:val="single" w:color="000000" w:sz="4" w:space="0"/>
              <w:bottom w:val="single" w:color="000000" w:sz="4" w:space="0"/>
              <w:right w:val="single" w:color="000000" w:sz="4" w:space="0"/>
            </w:tcBorders>
            <w:vAlign w:val="center"/>
          </w:tcPr>
          <w:p w14:paraId="1870090F">
            <w:pPr>
              <w:jc w:val="left"/>
              <w:rPr>
                <w:rFonts w:ascii="仿宋" w:hAnsi="仿宋" w:eastAsia="仿宋" w:cs="宋体"/>
                <w:sz w:val="24"/>
              </w:rPr>
            </w:pPr>
            <w:r>
              <w:rPr>
                <w:rFonts w:hint="eastAsia" w:ascii="仿宋" w:hAnsi="仿宋" w:eastAsia="仿宋" w:cs="宋体"/>
                <w:sz w:val="24"/>
                <w:szCs w:val="22"/>
                <w:lang w:eastAsia="zh-CN"/>
              </w:rPr>
              <w:t>单位自筹，已落实</w:t>
            </w:r>
          </w:p>
        </w:tc>
      </w:tr>
      <w:tr w14:paraId="630F1CE1">
        <w:tblPrEx>
          <w:tblCellMar>
            <w:top w:w="0" w:type="dxa"/>
            <w:left w:w="0" w:type="dxa"/>
            <w:bottom w:w="0" w:type="dxa"/>
            <w:right w:w="0" w:type="dxa"/>
          </w:tblCellMar>
        </w:tblPrEx>
        <w:trPr>
          <w:trHeight w:val="916"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64D6ED83">
            <w:pPr>
              <w:jc w:val="center"/>
              <w:rPr>
                <w:rFonts w:ascii="仿宋" w:hAnsi="仿宋" w:eastAsia="仿宋" w:cs="宋体"/>
                <w:sz w:val="24"/>
              </w:rPr>
            </w:pPr>
            <w:r>
              <w:rPr>
                <w:rFonts w:hint="eastAsia" w:ascii="仿宋" w:hAnsi="仿宋" w:eastAsia="仿宋" w:cs="宋体"/>
                <w:sz w:val="24"/>
              </w:rPr>
              <w:t>5</w:t>
            </w:r>
          </w:p>
        </w:tc>
        <w:tc>
          <w:tcPr>
            <w:tcW w:w="1501" w:type="dxa"/>
            <w:tcBorders>
              <w:top w:val="single" w:color="000000" w:sz="4" w:space="0"/>
              <w:left w:val="single" w:color="000000" w:sz="4" w:space="0"/>
              <w:bottom w:val="single" w:color="000000" w:sz="4" w:space="0"/>
              <w:right w:val="single" w:color="000000" w:sz="4" w:space="0"/>
            </w:tcBorders>
            <w:vAlign w:val="center"/>
          </w:tcPr>
          <w:p w14:paraId="0331AAA0">
            <w:pPr>
              <w:jc w:val="center"/>
              <w:rPr>
                <w:rFonts w:ascii="仿宋" w:hAnsi="仿宋" w:eastAsia="仿宋" w:cs="宋体"/>
                <w:sz w:val="24"/>
              </w:rPr>
            </w:pPr>
            <w:r>
              <w:rPr>
                <w:rFonts w:hint="eastAsia" w:ascii="仿宋" w:hAnsi="仿宋" w:eastAsia="仿宋" w:cs="宋体"/>
                <w:sz w:val="24"/>
              </w:rPr>
              <w:t>采购内容</w:t>
            </w:r>
          </w:p>
        </w:tc>
        <w:tc>
          <w:tcPr>
            <w:tcW w:w="6437" w:type="dxa"/>
            <w:tcBorders>
              <w:top w:val="single" w:color="000000" w:sz="4" w:space="0"/>
              <w:left w:val="single" w:color="000000" w:sz="4" w:space="0"/>
              <w:bottom w:val="single" w:color="000000" w:sz="4" w:space="0"/>
              <w:right w:val="single" w:color="000000" w:sz="4" w:space="0"/>
            </w:tcBorders>
            <w:vAlign w:val="center"/>
          </w:tcPr>
          <w:p w14:paraId="1C204D19">
            <w:pPr>
              <w:spacing w:line="360" w:lineRule="auto"/>
              <w:rPr>
                <w:rFonts w:ascii="仿宋" w:hAnsi="仿宋" w:eastAsia="仿宋" w:cs="宋体"/>
                <w:sz w:val="24"/>
              </w:rPr>
            </w:pPr>
            <w:r>
              <w:rPr>
                <w:rFonts w:hint="eastAsia" w:ascii="仿宋" w:hAnsi="仿宋" w:eastAsia="仿宋" w:cs="宋体"/>
                <w:sz w:val="24"/>
                <w:szCs w:val="22"/>
                <w:lang w:eastAsia="zh-CN"/>
              </w:rPr>
              <w:t>平顶山市妇幼保健院母婴中心服务项目，服务范围包含养生保健服务（非医疗）、母婴生活护理（不含医疗服务）、餐饮管理、中心配套活动服务（活动围绕增强产妇身心快速恢复，包括不限于：产后瑜伽、手工课程、保健知识及母婴健康知识培训讲座）。</w:t>
            </w:r>
          </w:p>
        </w:tc>
      </w:tr>
      <w:tr w14:paraId="6BB524DB">
        <w:tblPrEx>
          <w:tblCellMar>
            <w:top w:w="0" w:type="dxa"/>
            <w:left w:w="0" w:type="dxa"/>
            <w:bottom w:w="0" w:type="dxa"/>
            <w:right w:w="0" w:type="dxa"/>
          </w:tblCellMar>
        </w:tblPrEx>
        <w:trPr>
          <w:trHeight w:val="557"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789C4F53">
            <w:pPr>
              <w:jc w:val="center"/>
              <w:rPr>
                <w:rFonts w:ascii="仿宋" w:hAnsi="仿宋" w:eastAsia="仿宋" w:cs="宋体"/>
                <w:sz w:val="24"/>
              </w:rPr>
            </w:pPr>
            <w:r>
              <w:rPr>
                <w:rFonts w:hint="eastAsia" w:ascii="仿宋" w:hAnsi="仿宋" w:eastAsia="仿宋" w:cs="宋体"/>
                <w:sz w:val="24"/>
              </w:rPr>
              <w:t>6</w:t>
            </w:r>
          </w:p>
        </w:tc>
        <w:tc>
          <w:tcPr>
            <w:tcW w:w="1501" w:type="dxa"/>
            <w:tcBorders>
              <w:top w:val="single" w:color="000000" w:sz="4" w:space="0"/>
              <w:left w:val="single" w:color="000000" w:sz="4" w:space="0"/>
              <w:bottom w:val="single" w:color="000000" w:sz="4" w:space="0"/>
              <w:right w:val="single" w:color="000000" w:sz="4" w:space="0"/>
            </w:tcBorders>
            <w:vAlign w:val="center"/>
          </w:tcPr>
          <w:p w14:paraId="08DBFE5E">
            <w:pPr>
              <w:jc w:val="center"/>
              <w:rPr>
                <w:rFonts w:ascii="仿宋" w:hAnsi="仿宋" w:eastAsia="仿宋" w:cs="宋体"/>
                <w:sz w:val="24"/>
              </w:rPr>
            </w:pPr>
            <w:r>
              <w:rPr>
                <w:rFonts w:hint="eastAsia" w:ascii="仿宋" w:hAnsi="仿宋" w:eastAsia="仿宋" w:cs="宋体"/>
                <w:sz w:val="24"/>
              </w:rPr>
              <w:t>采购方式</w:t>
            </w:r>
          </w:p>
        </w:tc>
        <w:tc>
          <w:tcPr>
            <w:tcW w:w="6437" w:type="dxa"/>
            <w:tcBorders>
              <w:top w:val="single" w:color="000000" w:sz="4" w:space="0"/>
              <w:left w:val="single" w:color="000000" w:sz="4" w:space="0"/>
              <w:bottom w:val="single" w:color="000000" w:sz="4" w:space="0"/>
              <w:right w:val="single" w:color="000000" w:sz="4" w:space="0"/>
            </w:tcBorders>
            <w:vAlign w:val="center"/>
          </w:tcPr>
          <w:p w14:paraId="48E7BDFD">
            <w:pPr>
              <w:jc w:val="left"/>
              <w:rPr>
                <w:rFonts w:ascii="仿宋" w:hAnsi="仿宋" w:eastAsia="仿宋"/>
                <w:sz w:val="24"/>
              </w:rPr>
            </w:pPr>
            <w:r>
              <w:rPr>
                <w:rFonts w:hint="eastAsia" w:ascii="仿宋" w:hAnsi="仿宋" w:eastAsia="仿宋"/>
                <w:sz w:val="24"/>
              </w:rPr>
              <w:t>公开招标</w:t>
            </w:r>
          </w:p>
        </w:tc>
      </w:tr>
      <w:tr w14:paraId="03E58134">
        <w:tblPrEx>
          <w:tblCellMar>
            <w:top w:w="0" w:type="dxa"/>
            <w:left w:w="0" w:type="dxa"/>
            <w:bottom w:w="0" w:type="dxa"/>
            <w:right w:w="0" w:type="dxa"/>
          </w:tblCellMar>
        </w:tblPrEx>
        <w:trPr>
          <w:trHeight w:val="557"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7D88BD81">
            <w:pPr>
              <w:jc w:val="center"/>
              <w:rPr>
                <w:rFonts w:ascii="仿宋" w:hAnsi="仿宋" w:eastAsia="仿宋" w:cs="宋体"/>
                <w:sz w:val="24"/>
              </w:rPr>
            </w:pPr>
            <w:r>
              <w:rPr>
                <w:rFonts w:hint="eastAsia" w:ascii="仿宋" w:hAnsi="仿宋" w:eastAsia="仿宋" w:cs="宋体"/>
                <w:sz w:val="24"/>
              </w:rPr>
              <w:t>7</w:t>
            </w:r>
          </w:p>
        </w:tc>
        <w:tc>
          <w:tcPr>
            <w:tcW w:w="1501" w:type="dxa"/>
            <w:tcBorders>
              <w:top w:val="single" w:color="000000" w:sz="4" w:space="0"/>
              <w:left w:val="single" w:color="000000" w:sz="4" w:space="0"/>
              <w:bottom w:val="single" w:color="000000" w:sz="4" w:space="0"/>
              <w:right w:val="single" w:color="000000" w:sz="4" w:space="0"/>
            </w:tcBorders>
            <w:vAlign w:val="center"/>
          </w:tcPr>
          <w:p w14:paraId="604452DC">
            <w:pPr>
              <w:rPr>
                <w:rFonts w:ascii="仿宋" w:hAnsi="仿宋" w:eastAsia="仿宋"/>
                <w:sz w:val="24"/>
              </w:rPr>
            </w:pPr>
            <w:r>
              <w:rPr>
                <w:rFonts w:hint="eastAsia" w:ascii="仿宋" w:hAnsi="仿宋" w:eastAsia="仿宋"/>
                <w:sz w:val="24"/>
              </w:rPr>
              <w:t>采购项目属性</w:t>
            </w:r>
          </w:p>
        </w:tc>
        <w:tc>
          <w:tcPr>
            <w:tcW w:w="6437" w:type="dxa"/>
            <w:tcBorders>
              <w:top w:val="single" w:color="000000" w:sz="4" w:space="0"/>
              <w:left w:val="single" w:color="000000" w:sz="4" w:space="0"/>
              <w:bottom w:val="single" w:color="000000" w:sz="4" w:space="0"/>
              <w:right w:val="single" w:color="000000" w:sz="4" w:space="0"/>
            </w:tcBorders>
            <w:vAlign w:val="center"/>
          </w:tcPr>
          <w:p w14:paraId="13FA6FF1">
            <w:pPr>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 xml:space="preserve">货物       </w:t>
            </w:r>
            <w:bookmarkStart w:id="54" w:name="OLE_LINK2"/>
            <w:r>
              <w:rPr>
                <w:rFonts w:ascii="仿宋" w:hAnsi="仿宋" w:eastAsia="仿宋" w:cs="宋体"/>
                <w:sz w:val="24"/>
              </w:rPr>
              <w:fldChar w:fldCharType="begin"/>
            </w:r>
            <w:r>
              <w:rPr>
                <w:rFonts w:ascii="仿宋" w:hAnsi="仿宋" w:eastAsia="仿宋" w:cs="宋体"/>
                <w:sz w:val="24"/>
              </w:rPr>
              <w:instrText xml:space="preserve"> </w:instrText>
            </w:r>
            <w:r>
              <w:rPr>
                <w:rFonts w:hint="eastAsia" w:ascii="仿宋" w:hAnsi="仿宋" w:eastAsia="仿宋" w:cs="宋体"/>
                <w:sz w:val="24"/>
              </w:rPr>
              <w:instrText xml:space="preserve">eq \o\ac(□</w:instrText>
            </w:r>
            <w:r>
              <w:rPr>
                <w:rFonts w:hint="eastAsia" w:ascii="仿宋" w:hAnsi="仿宋" w:eastAsia="仿宋" w:cs="宋体"/>
                <w:sz w:val="24"/>
                <w:lang w:eastAsia="zh-CN"/>
              </w:rPr>
              <w:instrText xml:space="preserve">,</w:instrText>
            </w:r>
            <w:r>
              <w:rPr>
                <w:rFonts w:hint="eastAsia" w:ascii="仿宋" w:hAnsi="仿宋" w:eastAsia="仿宋" w:cs="宋体"/>
                <w:position w:val="2"/>
                <w:sz w:val="16"/>
                <w:lang w:eastAsia="zh-CN"/>
              </w:rPr>
              <w:instrText xml:space="preserve">√</w:instrText>
            </w:r>
            <w:r>
              <w:rPr>
                <w:rFonts w:hint="eastAsia" w:ascii="仿宋" w:hAnsi="仿宋" w:eastAsia="仿宋" w:cs="宋体"/>
                <w:sz w:val="24"/>
              </w:rPr>
              <w:instrText xml:space="preserve">)</w:instrText>
            </w:r>
            <w:r>
              <w:rPr>
                <w:rFonts w:ascii="仿宋" w:hAnsi="仿宋" w:eastAsia="仿宋" w:cs="宋体"/>
                <w:sz w:val="24"/>
              </w:rPr>
              <w:fldChar w:fldCharType="end"/>
            </w:r>
            <w:bookmarkEnd w:id="54"/>
            <w:r>
              <w:rPr>
                <w:rFonts w:hint="eastAsia" w:ascii="仿宋" w:hAnsi="仿宋" w:eastAsia="仿宋"/>
                <w:sz w:val="24"/>
              </w:rPr>
              <w:t>服务       □工程</w:t>
            </w:r>
          </w:p>
        </w:tc>
      </w:tr>
      <w:tr w14:paraId="0EAAA8CC">
        <w:tblPrEx>
          <w:tblCellMar>
            <w:top w:w="0" w:type="dxa"/>
            <w:left w:w="0" w:type="dxa"/>
            <w:bottom w:w="0" w:type="dxa"/>
            <w:right w:w="0" w:type="dxa"/>
          </w:tblCellMar>
        </w:tblPrEx>
        <w:trPr>
          <w:trHeight w:val="453"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0664149C">
            <w:pPr>
              <w:jc w:val="center"/>
              <w:rPr>
                <w:rFonts w:ascii="仿宋" w:hAnsi="仿宋" w:eastAsia="仿宋" w:cs="宋体"/>
                <w:sz w:val="24"/>
              </w:rPr>
            </w:pPr>
            <w:r>
              <w:rPr>
                <w:rFonts w:hint="eastAsia" w:ascii="仿宋" w:hAnsi="仿宋" w:eastAsia="仿宋" w:cs="宋体"/>
                <w:sz w:val="24"/>
              </w:rPr>
              <w:t>8</w:t>
            </w:r>
          </w:p>
        </w:tc>
        <w:tc>
          <w:tcPr>
            <w:tcW w:w="1501" w:type="dxa"/>
            <w:tcBorders>
              <w:top w:val="single" w:color="000000" w:sz="4" w:space="0"/>
              <w:left w:val="single" w:color="000000" w:sz="4" w:space="0"/>
              <w:bottom w:val="single" w:color="000000" w:sz="4" w:space="0"/>
              <w:right w:val="single" w:color="000000" w:sz="4" w:space="0"/>
            </w:tcBorders>
            <w:vAlign w:val="center"/>
          </w:tcPr>
          <w:p w14:paraId="32866816">
            <w:pPr>
              <w:jc w:val="center"/>
              <w:rPr>
                <w:rFonts w:ascii="仿宋" w:hAnsi="仿宋" w:eastAsia="仿宋" w:cs="宋体"/>
                <w:sz w:val="24"/>
              </w:rPr>
            </w:pPr>
            <w:r>
              <w:rPr>
                <w:rFonts w:hint="eastAsia" w:ascii="仿宋" w:hAnsi="仿宋" w:eastAsia="仿宋"/>
                <w:sz w:val="24"/>
              </w:rPr>
              <w:t>合同履行期限</w:t>
            </w:r>
          </w:p>
        </w:tc>
        <w:tc>
          <w:tcPr>
            <w:tcW w:w="6437" w:type="dxa"/>
            <w:tcBorders>
              <w:top w:val="single" w:color="000000" w:sz="4" w:space="0"/>
              <w:left w:val="single" w:color="000000" w:sz="4" w:space="0"/>
              <w:bottom w:val="single" w:color="000000" w:sz="4" w:space="0"/>
              <w:right w:val="single" w:color="000000" w:sz="4" w:space="0"/>
            </w:tcBorders>
            <w:vAlign w:val="center"/>
          </w:tcPr>
          <w:p w14:paraId="34885750">
            <w:pPr>
              <w:jc w:val="left"/>
              <w:rPr>
                <w:rFonts w:hint="eastAsia" w:ascii="仿宋" w:hAnsi="仿宋" w:eastAsia="仿宋" w:cs="宋体"/>
                <w:sz w:val="24"/>
                <w:lang w:eastAsia="zh-CN"/>
              </w:rPr>
            </w:pPr>
            <w:r>
              <w:rPr>
                <w:rFonts w:hint="eastAsia" w:ascii="仿宋" w:hAnsi="仿宋" w:eastAsia="仿宋" w:cs="宋体"/>
                <w:sz w:val="24"/>
                <w:lang w:eastAsia="zh-CN"/>
              </w:rPr>
              <w:t>同服务期限</w:t>
            </w:r>
          </w:p>
        </w:tc>
      </w:tr>
      <w:tr w14:paraId="596BE1F6">
        <w:tblPrEx>
          <w:tblCellMar>
            <w:top w:w="0" w:type="dxa"/>
            <w:left w:w="0" w:type="dxa"/>
            <w:bottom w:w="0" w:type="dxa"/>
            <w:right w:w="0" w:type="dxa"/>
          </w:tblCellMar>
        </w:tblPrEx>
        <w:trPr>
          <w:trHeight w:val="467"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76F6E727">
            <w:pPr>
              <w:jc w:val="center"/>
              <w:rPr>
                <w:rFonts w:ascii="仿宋" w:hAnsi="仿宋" w:eastAsia="仿宋" w:cs="宋体"/>
                <w:sz w:val="24"/>
              </w:rPr>
            </w:pPr>
            <w:r>
              <w:rPr>
                <w:rFonts w:hint="eastAsia" w:ascii="仿宋" w:hAnsi="仿宋" w:eastAsia="仿宋" w:cs="宋体"/>
                <w:sz w:val="24"/>
              </w:rPr>
              <w:t>9</w:t>
            </w:r>
          </w:p>
        </w:tc>
        <w:tc>
          <w:tcPr>
            <w:tcW w:w="1501" w:type="dxa"/>
            <w:tcBorders>
              <w:top w:val="single" w:color="000000" w:sz="4" w:space="0"/>
              <w:left w:val="single" w:color="000000" w:sz="4" w:space="0"/>
              <w:bottom w:val="single" w:color="000000" w:sz="4" w:space="0"/>
              <w:right w:val="single" w:color="000000" w:sz="4" w:space="0"/>
            </w:tcBorders>
            <w:vAlign w:val="center"/>
          </w:tcPr>
          <w:p w14:paraId="71305296">
            <w:pPr>
              <w:jc w:val="center"/>
              <w:rPr>
                <w:rFonts w:hint="eastAsia" w:ascii="仿宋" w:hAnsi="仿宋" w:eastAsia="仿宋" w:cs="宋体"/>
                <w:sz w:val="24"/>
                <w:lang w:eastAsia="zh-CN"/>
              </w:rPr>
            </w:pPr>
            <w:r>
              <w:rPr>
                <w:rFonts w:hint="eastAsia" w:ascii="仿宋" w:hAnsi="仿宋" w:eastAsia="仿宋" w:cs="宋体"/>
                <w:sz w:val="24"/>
                <w:lang w:eastAsia="zh-CN"/>
              </w:rPr>
              <w:t>服务期限</w:t>
            </w:r>
          </w:p>
        </w:tc>
        <w:tc>
          <w:tcPr>
            <w:tcW w:w="6437" w:type="dxa"/>
            <w:tcBorders>
              <w:top w:val="single" w:color="000000" w:sz="4" w:space="0"/>
              <w:left w:val="single" w:color="000000" w:sz="4" w:space="0"/>
              <w:bottom w:val="single" w:color="000000" w:sz="4" w:space="0"/>
              <w:right w:val="single" w:color="000000" w:sz="4" w:space="0"/>
            </w:tcBorders>
            <w:vAlign w:val="center"/>
          </w:tcPr>
          <w:p w14:paraId="16D12105">
            <w:pPr>
              <w:jc w:val="left"/>
              <w:rPr>
                <w:rFonts w:ascii="仿宋" w:hAnsi="仿宋" w:eastAsia="仿宋" w:cs="宋体"/>
                <w:sz w:val="24"/>
                <w:highlight w:val="none"/>
              </w:rPr>
            </w:pPr>
            <w:r>
              <w:rPr>
                <w:rFonts w:hint="eastAsia" w:ascii="仿宋" w:hAnsi="仿宋" w:eastAsia="仿宋" w:cs="宋体"/>
                <w:sz w:val="24"/>
                <w:szCs w:val="22"/>
                <w:highlight w:val="none"/>
                <w:lang w:eastAsia="zh-CN"/>
              </w:rPr>
              <w:t>3年</w:t>
            </w:r>
            <w:r>
              <w:rPr>
                <w:rFonts w:hint="eastAsia" w:ascii="仿宋" w:hAnsi="仿宋" w:eastAsia="仿宋" w:cs="宋体"/>
                <w:sz w:val="24"/>
                <w:szCs w:val="22"/>
                <w:highlight w:val="none"/>
              </w:rPr>
              <w:t>；</w:t>
            </w:r>
          </w:p>
        </w:tc>
      </w:tr>
      <w:tr w14:paraId="50692FB0">
        <w:tblPrEx>
          <w:tblCellMar>
            <w:top w:w="0" w:type="dxa"/>
            <w:left w:w="0" w:type="dxa"/>
            <w:bottom w:w="0" w:type="dxa"/>
            <w:right w:w="0" w:type="dxa"/>
          </w:tblCellMar>
        </w:tblPrEx>
        <w:trPr>
          <w:trHeight w:val="466"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161A6F4C">
            <w:pPr>
              <w:jc w:val="center"/>
              <w:rPr>
                <w:rFonts w:ascii="仿宋" w:hAnsi="仿宋" w:eastAsia="仿宋" w:cs="宋体"/>
                <w:sz w:val="24"/>
              </w:rPr>
            </w:pPr>
            <w:r>
              <w:rPr>
                <w:rFonts w:hint="eastAsia" w:ascii="仿宋" w:hAnsi="仿宋" w:eastAsia="仿宋" w:cs="宋体"/>
                <w:sz w:val="24"/>
              </w:rPr>
              <w:t>10</w:t>
            </w:r>
          </w:p>
        </w:tc>
        <w:tc>
          <w:tcPr>
            <w:tcW w:w="1501" w:type="dxa"/>
            <w:tcBorders>
              <w:top w:val="single" w:color="000000" w:sz="4" w:space="0"/>
              <w:left w:val="single" w:color="000000" w:sz="4" w:space="0"/>
              <w:bottom w:val="single" w:color="000000" w:sz="4" w:space="0"/>
              <w:right w:val="single" w:color="000000" w:sz="4" w:space="0"/>
            </w:tcBorders>
            <w:vAlign w:val="center"/>
          </w:tcPr>
          <w:p w14:paraId="1EE00C2D">
            <w:pPr>
              <w:jc w:val="center"/>
              <w:rPr>
                <w:rFonts w:hint="eastAsia" w:ascii="仿宋" w:hAnsi="仿宋" w:eastAsia="仿宋" w:cs="宋体"/>
                <w:sz w:val="24"/>
                <w:lang w:eastAsia="zh-CN"/>
              </w:rPr>
            </w:pPr>
            <w:r>
              <w:rPr>
                <w:rFonts w:hint="eastAsia" w:ascii="仿宋" w:hAnsi="仿宋" w:eastAsia="仿宋" w:cs="宋体"/>
                <w:sz w:val="24"/>
                <w:lang w:eastAsia="zh-CN"/>
              </w:rPr>
              <w:t>服务地点</w:t>
            </w:r>
          </w:p>
        </w:tc>
        <w:tc>
          <w:tcPr>
            <w:tcW w:w="6437" w:type="dxa"/>
            <w:tcBorders>
              <w:top w:val="single" w:color="000000" w:sz="4" w:space="0"/>
              <w:left w:val="single" w:color="000000" w:sz="4" w:space="0"/>
              <w:bottom w:val="single" w:color="000000" w:sz="4" w:space="0"/>
              <w:right w:val="single" w:color="000000" w:sz="4" w:space="0"/>
            </w:tcBorders>
            <w:vAlign w:val="center"/>
          </w:tcPr>
          <w:p w14:paraId="28572B5C">
            <w:pPr>
              <w:jc w:val="left"/>
              <w:rPr>
                <w:rFonts w:ascii="仿宋" w:hAnsi="仿宋" w:eastAsia="仿宋" w:cs="宋体"/>
                <w:sz w:val="24"/>
              </w:rPr>
            </w:pPr>
            <w:r>
              <w:rPr>
                <w:rFonts w:hint="eastAsia" w:ascii="仿宋" w:hAnsi="仿宋" w:eastAsia="仿宋" w:cs="宋体"/>
                <w:sz w:val="24"/>
              </w:rPr>
              <w:t>采购人指定地点</w:t>
            </w:r>
          </w:p>
        </w:tc>
      </w:tr>
      <w:tr w14:paraId="2E7BEB1A">
        <w:tblPrEx>
          <w:tblCellMar>
            <w:top w:w="0" w:type="dxa"/>
            <w:left w:w="0" w:type="dxa"/>
            <w:bottom w:w="0" w:type="dxa"/>
            <w:right w:w="0" w:type="dxa"/>
          </w:tblCellMar>
        </w:tblPrEx>
        <w:trPr>
          <w:trHeight w:val="467"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25A4FBAB">
            <w:pPr>
              <w:jc w:val="center"/>
              <w:rPr>
                <w:rFonts w:ascii="仿宋" w:hAnsi="仿宋" w:eastAsia="仿宋" w:cs="宋体"/>
                <w:sz w:val="24"/>
              </w:rPr>
            </w:pPr>
            <w:r>
              <w:rPr>
                <w:rFonts w:hint="eastAsia" w:ascii="仿宋" w:hAnsi="仿宋" w:eastAsia="仿宋" w:cs="宋体"/>
                <w:sz w:val="24"/>
              </w:rPr>
              <w:t>11</w:t>
            </w:r>
          </w:p>
        </w:tc>
        <w:tc>
          <w:tcPr>
            <w:tcW w:w="1501" w:type="dxa"/>
            <w:tcBorders>
              <w:top w:val="single" w:color="000000" w:sz="4" w:space="0"/>
              <w:left w:val="single" w:color="000000" w:sz="4" w:space="0"/>
              <w:bottom w:val="single" w:color="000000" w:sz="4" w:space="0"/>
              <w:right w:val="single" w:color="000000" w:sz="4" w:space="0"/>
            </w:tcBorders>
            <w:vAlign w:val="center"/>
          </w:tcPr>
          <w:p w14:paraId="63426813">
            <w:pPr>
              <w:jc w:val="center"/>
              <w:rPr>
                <w:rFonts w:hint="eastAsia" w:ascii="仿宋" w:hAnsi="仿宋" w:eastAsia="仿宋" w:cs="宋体"/>
                <w:sz w:val="24"/>
                <w:lang w:eastAsia="zh-CN"/>
              </w:rPr>
            </w:pPr>
            <w:r>
              <w:rPr>
                <w:rFonts w:hint="eastAsia" w:ascii="仿宋" w:hAnsi="仿宋" w:eastAsia="仿宋" w:cs="宋体"/>
                <w:sz w:val="24"/>
                <w:lang w:eastAsia="zh-CN"/>
              </w:rPr>
              <w:t>服务质量</w:t>
            </w:r>
          </w:p>
        </w:tc>
        <w:tc>
          <w:tcPr>
            <w:tcW w:w="6437" w:type="dxa"/>
            <w:tcBorders>
              <w:top w:val="single" w:color="000000" w:sz="4" w:space="0"/>
              <w:left w:val="single" w:color="000000" w:sz="4" w:space="0"/>
              <w:bottom w:val="single" w:color="000000" w:sz="4" w:space="0"/>
              <w:right w:val="single" w:color="000000" w:sz="4" w:space="0"/>
            </w:tcBorders>
            <w:vAlign w:val="center"/>
          </w:tcPr>
          <w:p w14:paraId="1F71BE51">
            <w:pPr>
              <w:jc w:val="left"/>
              <w:rPr>
                <w:rFonts w:hint="eastAsia" w:ascii="仿宋" w:hAnsi="仿宋" w:eastAsia="仿宋" w:cs="宋体"/>
                <w:sz w:val="24"/>
                <w:lang w:eastAsia="zh-CN"/>
              </w:rPr>
            </w:pPr>
            <w:r>
              <w:rPr>
                <w:rFonts w:hint="eastAsia" w:ascii="仿宋" w:hAnsi="仿宋" w:eastAsia="仿宋"/>
                <w:sz w:val="24"/>
                <w:lang w:eastAsia="zh-CN"/>
              </w:rPr>
              <w:t>符合采购人需求标准</w:t>
            </w:r>
          </w:p>
        </w:tc>
      </w:tr>
      <w:tr w14:paraId="3200E4C1">
        <w:tblPrEx>
          <w:tblCellMar>
            <w:top w:w="0" w:type="dxa"/>
            <w:left w:w="0" w:type="dxa"/>
            <w:bottom w:w="0" w:type="dxa"/>
            <w:right w:w="0" w:type="dxa"/>
          </w:tblCellMar>
        </w:tblPrEx>
        <w:trPr>
          <w:trHeight w:val="416"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1C857021">
            <w:pPr>
              <w:jc w:val="center"/>
              <w:rPr>
                <w:rFonts w:ascii="仿宋" w:hAnsi="仿宋" w:eastAsia="仿宋" w:cs="宋体"/>
                <w:sz w:val="24"/>
              </w:rPr>
            </w:pPr>
            <w:r>
              <w:rPr>
                <w:rFonts w:hint="eastAsia" w:ascii="仿宋" w:hAnsi="仿宋" w:eastAsia="仿宋" w:cs="宋体"/>
                <w:sz w:val="24"/>
              </w:rPr>
              <w:t>12</w:t>
            </w:r>
          </w:p>
        </w:tc>
        <w:tc>
          <w:tcPr>
            <w:tcW w:w="1501" w:type="dxa"/>
            <w:tcBorders>
              <w:top w:val="single" w:color="000000" w:sz="4" w:space="0"/>
              <w:left w:val="single" w:color="000000" w:sz="4" w:space="0"/>
              <w:bottom w:val="single" w:color="000000" w:sz="4" w:space="0"/>
              <w:right w:val="single" w:color="000000" w:sz="4" w:space="0"/>
            </w:tcBorders>
            <w:vAlign w:val="center"/>
          </w:tcPr>
          <w:p w14:paraId="259FCA86">
            <w:pPr>
              <w:jc w:val="center"/>
              <w:rPr>
                <w:rFonts w:ascii="仿宋" w:hAnsi="仿宋" w:eastAsia="仿宋" w:cs="宋体"/>
                <w:sz w:val="24"/>
              </w:rPr>
            </w:pPr>
            <w:r>
              <w:rPr>
                <w:rFonts w:hint="eastAsia" w:ascii="仿宋" w:hAnsi="仿宋" w:eastAsia="仿宋" w:cs="宋体"/>
                <w:sz w:val="24"/>
              </w:rPr>
              <w:t>投标人资格要求</w:t>
            </w:r>
          </w:p>
        </w:tc>
        <w:tc>
          <w:tcPr>
            <w:tcW w:w="6437" w:type="dxa"/>
            <w:tcBorders>
              <w:top w:val="single" w:color="000000" w:sz="4" w:space="0"/>
              <w:left w:val="single" w:color="000000" w:sz="4" w:space="0"/>
              <w:bottom w:val="single" w:color="000000" w:sz="4" w:space="0"/>
              <w:right w:val="single" w:color="000000" w:sz="4" w:space="0"/>
            </w:tcBorders>
            <w:vAlign w:val="center"/>
          </w:tcPr>
          <w:p w14:paraId="5298A0DA">
            <w:pPr>
              <w:jc w:val="left"/>
              <w:rPr>
                <w:rFonts w:ascii="仿宋" w:hAnsi="仿宋" w:eastAsia="仿宋" w:cs="宋体"/>
                <w:sz w:val="24"/>
              </w:rPr>
            </w:pPr>
            <w:r>
              <w:rPr>
                <w:rFonts w:hint="eastAsia" w:ascii="仿宋" w:hAnsi="仿宋" w:eastAsia="仿宋" w:cs="宋体"/>
                <w:bCs/>
                <w:sz w:val="24"/>
              </w:rPr>
              <w:t>详见招标公告</w:t>
            </w:r>
          </w:p>
        </w:tc>
      </w:tr>
      <w:tr w14:paraId="7B85EFD2">
        <w:tblPrEx>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47A1AD50">
            <w:pPr>
              <w:jc w:val="center"/>
              <w:rPr>
                <w:rFonts w:ascii="仿宋" w:hAnsi="仿宋" w:eastAsia="仿宋" w:cs="宋体"/>
                <w:sz w:val="24"/>
              </w:rPr>
            </w:pPr>
            <w:r>
              <w:rPr>
                <w:rFonts w:hint="eastAsia" w:ascii="仿宋" w:hAnsi="仿宋" w:eastAsia="仿宋" w:cs="宋体"/>
                <w:sz w:val="24"/>
              </w:rPr>
              <w:t>13</w:t>
            </w:r>
          </w:p>
        </w:tc>
        <w:tc>
          <w:tcPr>
            <w:tcW w:w="1501" w:type="dxa"/>
            <w:tcBorders>
              <w:top w:val="single" w:color="000000" w:sz="4" w:space="0"/>
              <w:left w:val="single" w:color="000000" w:sz="4" w:space="0"/>
              <w:bottom w:val="single" w:color="000000" w:sz="4" w:space="0"/>
              <w:right w:val="single" w:color="000000" w:sz="4" w:space="0"/>
            </w:tcBorders>
            <w:vAlign w:val="center"/>
          </w:tcPr>
          <w:p w14:paraId="21220EFF">
            <w:pPr>
              <w:jc w:val="center"/>
              <w:rPr>
                <w:rFonts w:ascii="仿宋" w:hAnsi="仿宋" w:eastAsia="仿宋" w:cs="宋体"/>
                <w:sz w:val="24"/>
              </w:rPr>
            </w:pPr>
            <w:r>
              <w:rPr>
                <w:rFonts w:hint="eastAsia" w:ascii="仿宋" w:hAnsi="仿宋" w:eastAsia="仿宋" w:cs="宋体"/>
                <w:sz w:val="24"/>
              </w:rPr>
              <w:t>是否接受联合体</w:t>
            </w:r>
          </w:p>
          <w:p w14:paraId="3EC467D8">
            <w:pPr>
              <w:jc w:val="center"/>
              <w:rPr>
                <w:rFonts w:ascii="仿宋" w:hAnsi="仿宋" w:eastAsia="仿宋" w:cs="宋体"/>
                <w:sz w:val="24"/>
              </w:rPr>
            </w:pPr>
            <w:r>
              <w:rPr>
                <w:rFonts w:hint="eastAsia" w:ascii="仿宋" w:hAnsi="仿宋" w:eastAsia="仿宋" w:cs="宋体"/>
                <w:sz w:val="24"/>
              </w:rPr>
              <w:t>投标</w:t>
            </w:r>
          </w:p>
        </w:tc>
        <w:tc>
          <w:tcPr>
            <w:tcW w:w="6437" w:type="dxa"/>
            <w:tcBorders>
              <w:top w:val="single" w:color="000000" w:sz="4" w:space="0"/>
              <w:left w:val="single" w:color="000000" w:sz="4" w:space="0"/>
              <w:bottom w:val="single" w:color="000000" w:sz="4" w:space="0"/>
              <w:right w:val="single" w:color="000000" w:sz="4" w:space="0"/>
            </w:tcBorders>
            <w:vAlign w:val="center"/>
          </w:tcPr>
          <w:p w14:paraId="716FE82E">
            <w:pPr>
              <w:jc w:val="left"/>
              <w:rPr>
                <w:rFonts w:ascii="仿宋" w:hAnsi="仿宋" w:eastAsia="仿宋" w:cs="宋体"/>
                <w:sz w:val="24"/>
              </w:rPr>
            </w:pPr>
            <w:r>
              <w:rPr>
                <w:rFonts w:hint="eastAsia" w:ascii="仿宋" w:hAnsi="仿宋" w:eastAsia="仿宋" w:cs="宋体"/>
                <w:sz w:val="24"/>
              </w:rPr>
              <w:t>☑不接受</w:t>
            </w:r>
          </w:p>
          <w:p w14:paraId="602D3B22">
            <w:pPr>
              <w:jc w:val="left"/>
              <w:rPr>
                <w:rFonts w:ascii="仿宋" w:hAnsi="仿宋" w:eastAsia="仿宋" w:cs="宋体"/>
                <w:sz w:val="24"/>
              </w:rPr>
            </w:pPr>
            <w:r>
              <w:rPr>
                <w:rFonts w:hint="eastAsia" w:ascii="仿宋" w:hAnsi="仿宋" w:eastAsia="仿宋" w:cs="宋体"/>
                <w:sz w:val="24"/>
              </w:rPr>
              <w:t>□接受</w:t>
            </w:r>
          </w:p>
        </w:tc>
      </w:tr>
      <w:tr w14:paraId="29642B1F">
        <w:tblPrEx>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7A8739F8">
            <w:pPr>
              <w:jc w:val="center"/>
              <w:rPr>
                <w:rFonts w:ascii="仿宋" w:hAnsi="仿宋" w:eastAsia="仿宋" w:cs="宋体"/>
                <w:sz w:val="24"/>
              </w:rPr>
            </w:pPr>
            <w:r>
              <w:rPr>
                <w:rFonts w:hint="eastAsia" w:ascii="仿宋" w:hAnsi="仿宋" w:eastAsia="仿宋" w:cs="宋体"/>
                <w:sz w:val="24"/>
              </w:rPr>
              <w:t>14</w:t>
            </w:r>
          </w:p>
        </w:tc>
        <w:tc>
          <w:tcPr>
            <w:tcW w:w="1501" w:type="dxa"/>
            <w:tcBorders>
              <w:top w:val="single" w:color="000000" w:sz="4" w:space="0"/>
              <w:left w:val="single" w:color="000000" w:sz="4" w:space="0"/>
              <w:bottom w:val="single" w:color="000000" w:sz="4" w:space="0"/>
              <w:right w:val="single" w:color="000000" w:sz="4" w:space="0"/>
            </w:tcBorders>
            <w:vAlign w:val="center"/>
          </w:tcPr>
          <w:p w14:paraId="15D0CCFE">
            <w:pPr>
              <w:jc w:val="center"/>
              <w:rPr>
                <w:rFonts w:ascii="仿宋" w:hAnsi="仿宋" w:eastAsia="仿宋" w:cs="宋体"/>
                <w:sz w:val="24"/>
              </w:rPr>
            </w:pPr>
            <w:r>
              <w:rPr>
                <w:rFonts w:hint="eastAsia" w:ascii="仿宋" w:hAnsi="仿宋" w:eastAsia="仿宋" w:cs="宋体"/>
                <w:sz w:val="24"/>
              </w:rPr>
              <w:t>踏勘现场及答疑</w:t>
            </w:r>
          </w:p>
        </w:tc>
        <w:tc>
          <w:tcPr>
            <w:tcW w:w="6437" w:type="dxa"/>
            <w:tcBorders>
              <w:top w:val="single" w:color="000000" w:sz="4" w:space="0"/>
              <w:left w:val="single" w:color="000000" w:sz="4" w:space="0"/>
              <w:bottom w:val="single" w:color="000000" w:sz="4" w:space="0"/>
              <w:right w:val="single" w:color="000000" w:sz="4" w:space="0"/>
            </w:tcBorders>
            <w:vAlign w:val="center"/>
          </w:tcPr>
          <w:p w14:paraId="4703EEAF">
            <w:pPr>
              <w:jc w:val="left"/>
              <w:rPr>
                <w:rFonts w:ascii="仿宋" w:hAnsi="仿宋" w:eastAsia="仿宋" w:cs="宋体"/>
                <w:sz w:val="24"/>
              </w:rPr>
            </w:pPr>
            <w:r>
              <w:rPr>
                <w:rFonts w:hint="eastAsia" w:ascii="仿宋" w:hAnsi="仿宋" w:eastAsia="仿宋" w:cs="宋体"/>
                <w:sz w:val="24"/>
              </w:rPr>
              <w:t>☑不组织</w:t>
            </w:r>
          </w:p>
          <w:p w14:paraId="08593C72">
            <w:pPr>
              <w:jc w:val="left"/>
              <w:rPr>
                <w:rFonts w:ascii="仿宋" w:hAnsi="仿宋" w:eastAsia="仿宋" w:cs="宋体"/>
                <w:sz w:val="24"/>
              </w:rPr>
            </w:pPr>
            <w:r>
              <w:rPr>
                <w:rFonts w:hint="eastAsia" w:ascii="仿宋" w:hAnsi="仿宋" w:eastAsia="仿宋" w:cs="宋体"/>
                <w:sz w:val="24"/>
              </w:rPr>
              <w:t>□组织</w:t>
            </w:r>
          </w:p>
        </w:tc>
      </w:tr>
      <w:tr w14:paraId="3AE63FA8">
        <w:tblPrEx>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20DE3F55">
            <w:pPr>
              <w:jc w:val="center"/>
              <w:rPr>
                <w:rFonts w:ascii="仿宋" w:hAnsi="仿宋" w:eastAsia="仿宋" w:cs="宋体"/>
                <w:sz w:val="24"/>
              </w:rPr>
            </w:pPr>
            <w:r>
              <w:rPr>
                <w:rFonts w:hint="eastAsia" w:ascii="仿宋" w:hAnsi="仿宋" w:eastAsia="仿宋" w:cs="宋体"/>
                <w:sz w:val="24"/>
              </w:rPr>
              <w:t>15</w:t>
            </w:r>
          </w:p>
        </w:tc>
        <w:tc>
          <w:tcPr>
            <w:tcW w:w="1501" w:type="dxa"/>
            <w:tcBorders>
              <w:top w:val="single" w:color="000000" w:sz="4" w:space="0"/>
              <w:left w:val="single" w:color="000000" w:sz="4" w:space="0"/>
              <w:bottom w:val="single" w:color="000000" w:sz="4" w:space="0"/>
              <w:right w:val="single" w:color="000000" w:sz="4" w:space="0"/>
            </w:tcBorders>
            <w:vAlign w:val="center"/>
          </w:tcPr>
          <w:p w14:paraId="02A9153B">
            <w:pPr>
              <w:jc w:val="center"/>
              <w:rPr>
                <w:rFonts w:ascii="仿宋" w:hAnsi="仿宋" w:eastAsia="仿宋" w:cs="宋体"/>
                <w:sz w:val="24"/>
              </w:rPr>
            </w:pPr>
            <w:r>
              <w:rPr>
                <w:rFonts w:hint="eastAsia" w:ascii="仿宋" w:hAnsi="仿宋" w:eastAsia="仿宋" w:cs="宋体"/>
                <w:sz w:val="24"/>
              </w:rPr>
              <w:t>投标预备会</w:t>
            </w:r>
          </w:p>
        </w:tc>
        <w:tc>
          <w:tcPr>
            <w:tcW w:w="6437" w:type="dxa"/>
            <w:tcBorders>
              <w:top w:val="single" w:color="000000" w:sz="4" w:space="0"/>
              <w:left w:val="single" w:color="000000" w:sz="4" w:space="0"/>
              <w:bottom w:val="single" w:color="000000" w:sz="4" w:space="0"/>
              <w:right w:val="single" w:color="000000" w:sz="4" w:space="0"/>
            </w:tcBorders>
            <w:vAlign w:val="center"/>
          </w:tcPr>
          <w:p w14:paraId="5539536D">
            <w:pPr>
              <w:jc w:val="left"/>
              <w:rPr>
                <w:rFonts w:ascii="仿宋" w:hAnsi="仿宋" w:eastAsia="仿宋" w:cs="宋体"/>
                <w:sz w:val="24"/>
              </w:rPr>
            </w:pPr>
            <w:r>
              <w:rPr>
                <w:rFonts w:hint="eastAsia" w:ascii="仿宋" w:hAnsi="仿宋" w:eastAsia="仿宋" w:cs="宋体"/>
                <w:sz w:val="24"/>
              </w:rPr>
              <w:t>☑不召开</w:t>
            </w:r>
          </w:p>
          <w:p w14:paraId="62503339">
            <w:pPr>
              <w:jc w:val="left"/>
              <w:rPr>
                <w:rFonts w:ascii="仿宋" w:hAnsi="仿宋" w:eastAsia="仿宋" w:cs="宋体"/>
                <w:sz w:val="24"/>
              </w:rPr>
            </w:pPr>
            <w:r>
              <w:rPr>
                <w:rFonts w:hint="eastAsia" w:ascii="仿宋" w:hAnsi="仿宋" w:eastAsia="仿宋" w:cs="宋体"/>
                <w:sz w:val="24"/>
              </w:rPr>
              <w:t>□召开</w:t>
            </w:r>
          </w:p>
        </w:tc>
      </w:tr>
      <w:tr w14:paraId="7FA352B6">
        <w:tblPrEx>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6A52E662">
            <w:pPr>
              <w:jc w:val="center"/>
              <w:rPr>
                <w:rFonts w:ascii="仿宋" w:hAnsi="仿宋" w:eastAsia="仿宋" w:cs="宋体"/>
                <w:sz w:val="24"/>
              </w:rPr>
            </w:pPr>
            <w:r>
              <w:rPr>
                <w:rFonts w:hint="eastAsia" w:ascii="仿宋" w:hAnsi="仿宋" w:eastAsia="仿宋" w:cs="宋体"/>
                <w:sz w:val="24"/>
              </w:rPr>
              <w:t>16</w:t>
            </w:r>
          </w:p>
        </w:tc>
        <w:tc>
          <w:tcPr>
            <w:tcW w:w="1501" w:type="dxa"/>
            <w:tcBorders>
              <w:top w:val="single" w:color="000000" w:sz="4" w:space="0"/>
              <w:left w:val="single" w:color="000000" w:sz="4" w:space="0"/>
              <w:bottom w:val="single" w:color="000000" w:sz="4" w:space="0"/>
              <w:right w:val="single" w:color="000000" w:sz="4" w:space="0"/>
            </w:tcBorders>
            <w:vAlign w:val="center"/>
          </w:tcPr>
          <w:p w14:paraId="0272C0AC">
            <w:pPr>
              <w:jc w:val="center"/>
              <w:rPr>
                <w:rFonts w:ascii="仿宋" w:hAnsi="仿宋" w:eastAsia="仿宋" w:cs="宋体"/>
                <w:sz w:val="24"/>
              </w:rPr>
            </w:pPr>
            <w:r>
              <w:rPr>
                <w:rFonts w:hint="eastAsia" w:ascii="仿宋" w:hAnsi="仿宋" w:eastAsia="仿宋" w:cs="宋体"/>
                <w:sz w:val="24"/>
              </w:rPr>
              <w:t>技术偏离</w:t>
            </w:r>
          </w:p>
        </w:tc>
        <w:tc>
          <w:tcPr>
            <w:tcW w:w="6437" w:type="dxa"/>
            <w:tcBorders>
              <w:top w:val="single" w:color="000000" w:sz="4" w:space="0"/>
              <w:left w:val="single" w:color="000000" w:sz="4" w:space="0"/>
              <w:bottom w:val="single" w:color="000000" w:sz="4" w:space="0"/>
              <w:right w:val="single" w:color="000000" w:sz="4" w:space="0"/>
            </w:tcBorders>
            <w:vAlign w:val="center"/>
          </w:tcPr>
          <w:p w14:paraId="6EDBF74A">
            <w:pPr>
              <w:jc w:val="left"/>
              <w:rPr>
                <w:rFonts w:ascii="仿宋" w:hAnsi="仿宋" w:eastAsia="仿宋" w:cs="宋体"/>
                <w:sz w:val="24"/>
              </w:rPr>
            </w:pPr>
            <w:r>
              <w:rPr>
                <w:rFonts w:hint="eastAsia" w:ascii="仿宋" w:hAnsi="仿宋" w:eastAsia="仿宋" w:cs="宋体"/>
                <w:sz w:val="24"/>
                <w:lang w:eastAsia="zh-CN"/>
              </w:rPr>
              <w:t>☑</w:t>
            </w:r>
            <w:r>
              <w:rPr>
                <w:rFonts w:hint="eastAsia" w:ascii="仿宋" w:hAnsi="仿宋" w:eastAsia="仿宋" w:cs="宋体"/>
                <w:sz w:val="24"/>
              </w:rPr>
              <w:t>不允许负偏差</w:t>
            </w:r>
          </w:p>
          <w:p w14:paraId="25310CF7">
            <w:pPr>
              <w:jc w:val="left"/>
              <w:rPr>
                <w:rFonts w:ascii="仿宋" w:hAnsi="仿宋" w:eastAsia="仿宋" w:cs="宋体"/>
                <w:sz w:val="24"/>
              </w:rPr>
            </w:pPr>
            <w:r>
              <w:rPr>
                <w:rFonts w:hint="eastAsia" w:ascii="仿宋" w:hAnsi="仿宋" w:eastAsia="仿宋" w:cs="宋体"/>
                <w:sz w:val="24"/>
                <w:lang w:eastAsia="zh-CN"/>
              </w:rPr>
              <w:t>□</w:t>
            </w:r>
            <w:r>
              <w:rPr>
                <w:rFonts w:hint="eastAsia" w:ascii="仿宋" w:hAnsi="仿宋" w:eastAsia="仿宋" w:cs="宋体"/>
                <w:sz w:val="24"/>
              </w:rPr>
              <w:t>允许</w:t>
            </w:r>
          </w:p>
        </w:tc>
      </w:tr>
      <w:tr w14:paraId="74C51FFD">
        <w:tblPrEx>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05780D38">
            <w:pPr>
              <w:jc w:val="center"/>
              <w:rPr>
                <w:rFonts w:ascii="仿宋" w:hAnsi="仿宋" w:eastAsia="仿宋" w:cs="宋体"/>
                <w:sz w:val="24"/>
              </w:rPr>
            </w:pPr>
            <w:r>
              <w:rPr>
                <w:rFonts w:hint="eastAsia" w:ascii="仿宋" w:hAnsi="仿宋" w:eastAsia="仿宋" w:cs="宋体"/>
                <w:sz w:val="24"/>
              </w:rPr>
              <w:t>17</w:t>
            </w:r>
          </w:p>
        </w:tc>
        <w:tc>
          <w:tcPr>
            <w:tcW w:w="1501" w:type="dxa"/>
            <w:tcBorders>
              <w:top w:val="single" w:color="000000" w:sz="4" w:space="0"/>
              <w:left w:val="single" w:color="000000" w:sz="4" w:space="0"/>
              <w:bottom w:val="single" w:color="000000" w:sz="4" w:space="0"/>
              <w:right w:val="single" w:color="000000" w:sz="4" w:space="0"/>
            </w:tcBorders>
            <w:vAlign w:val="center"/>
          </w:tcPr>
          <w:p w14:paraId="6CF299FA">
            <w:pPr>
              <w:jc w:val="center"/>
              <w:rPr>
                <w:rFonts w:ascii="仿宋" w:hAnsi="仿宋" w:eastAsia="仿宋" w:cs="宋体"/>
                <w:sz w:val="24"/>
              </w:rPr>
            </w:pPr>
            <w:r>
              <w:rPr>
                <w:rFonts w:hint="eastAsia" w:ascii="仿宋" w:hAnsi="仿宋" w:eastAsia="仿宋" w:cs="宋体"/>
                <w:sz w:val="24"/>
              </w:rPr>
              <w:t>构成招标文件的</w:t>
            </w:r>
          </w:p>
          <w:p w14:paraId="1AF66693">
            <w:pPr>
              <w:jc w:val="center"/>
              <w:rPr>
                <w:rFonts w:ascii="仿宋" w:hAnsi="仿宋" w:eastAsia="仿宋" w:cs="宋体"/>
                <w:sz w:val="24"/>
              </w:rPr>
            </w:pPr>
            <w:r>
              <w:rPr>
                <w:rFonts w:hint="eastAsia" w:ascii="仿宋" w:hAnsi="仿宋" w:eastAsia="仿宋" w:cs="宋体"/>
                <w:sz w:val="24"/>
              </w:rPr>
              <w:t>其他材料</w:t>
            </w:r>
          </w:p>
        </w:tc>
        <w:tc>
          <w:tcPr>
            <w:tcW w:w="6437" w:type="dxa"/>
            <w:tcBorders>
              <w:top w:val="single" w:color="000000" w:sz="4" w:space="0"/>
              <w:left w:val="single" w:color="000000" w:sz="4" w:space="0"/>
              <w:bottom w:val="single" w:color="000000" w:sz="4" w:space="0"/>
              <w:right w:val="single" w:color="000000" w:sz="4" w:space="0"/>
            </w:tcBorders>
            <w:vAlign w:val="center"/>
          </w:tcPr>
          <w:p w14:paraId="5A9F688D">
            <w:pPr>
              <w:jc w:val="left"/>
              <w:rPr>
                <w:rFonts w:ascii="仿宋" w:hAnsi="仿宋" w:eastAsia="仿宋" w:cs="宋体"/>
                <w:sz w:val="24"/>
              </w:rPr>
            </w:pPr>
            <w:r>
              <w:rPr>
                <w:rFonts w:hint="eastAsia" w:ascii="仿宋" w:hAnsi="仿宋" w:eastAsia="仿宋" w:cs="宋体"/>
                <w:sz w:val="24"/>
              </w:rPr>
              <w:t>与本项目有关的解答、澄清、修改与补充等</w:t>
            </w:r>
          </w:p>
        </w:tc>
      </w:tr>
      <w:tr w14:paraId="5F604C15">
        <w:tblPrEx>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080F7845">
            <w:pPr>
              <w:jc w:val="center"/>
              <w:rPr>
                <w:rFonts w:ascii="仿宋" w:hAnsi="仿宋" w:eastAsia="仿宋" w:cs="宋体"/>
                <w:sz w:val="24"/>
              </w:rPr>
            </w:pPr>
            <w:r>
              <w:rPr>
                <w:rFonts w:hint="eastAsia" w:ascii="仿宋" w:hAnsi="仿宋" w:eastAsia="仿宋" w:cs="宋体"/>
                <w:sz w:val="24"/>
              </w:rPr>
              <w:t>18</w:t>
            </w:r>
          </w:p>
        </w:tc>
        <w:tc>
          <w:tcPr>
            <w:tcW w:w="1501" w:type="dxa"/>
            <w:tcBorders>
              <w:top w:val="single" w:color="000000" w:sz="4" w:space="0"/>
              <w:left w:val="single" w:color="000000" w:sz="4" w:space="0"/>
              <w:bottom w:val="single" w:color="000000" w:sz="4" w:space="0"/>
              <w:right w:val="single" w:color="000000" w:sz="4" w:space="0"/>
            </w:tcBorders>
            <w:vAlign w:val="center"/>
          </w:tcPr>
          <w:p w14:paraId="5873E1BA">
            <w:pPr>
              <w:jc w:val="center"/>
              <w:rPr>
                <w:rFonts w:ascii="仿宋" w:hAnsi="仿宋" w:eastAsia="仿宋" w:cs="宋体"/>
                <w:sz w:val="24"/>
              </w:rPr>
            </w:pPr>
            <w:r>
              <w:rPr>
                <w:rFonts w:hint="eastAsia" w:ascii="仿宋" w:hAnsi="仿宋" w:eastAsia="仿宋" w:cs="宋体"/>
                <w:sz w:val="24"/>
              </w:rPr>
              <w:t>投标人要求澄清招标文件的截止时间</w:t>
            </w:r>
          </w:p>
        </w:tc>
        <w:tc>
          <w:tcPr>
            <w:tcW w:w="6437" w:type="dxa"/>
            <w:tcBorders>
              <w:top w:val="single" w:color="000000" w:sz="4" w:space="0"/>
              <w:left w:val="single" w:color="000000" w:sz="4" w:space="0"/>
              <w:bottom w:val="single" w:color="000000" w:sz="4" w:space="0"/>
              <w:right w:val="single" w:color="000000" w:sz="4" w:space="0"/>
            </w:tcBorders>
            <w:vAlign w:val="center"/>
          </w:tcPr>
          <w:p w14:paraId="28D0F9E3">
            <w:pPr>
              <w:jc w:val="left"/>
              <w:rPr>
                <w:rFonts w:ascii="仿宋" w:hAnsi="仿宋" w:eastAsia="仿宋" w:cs="宋体"/>
                <w:sz w:val="24"/>
              </w:rPr>
            </w:pPr>
            <w:r>
              <w:rPr>
                <w:rFonts w:hint="eastAsia" w:ascii="仿宋" w:hAnsi="仿宋" w:eastAsia="仿宋" w:cs="宋体"/>
                <w:sz w:val="24"/>
              </w:rPr>
              <w:t>按招标文件规定的投标文件截止前</w:t>
            </w:r>
            <w:r>
              <w:rPr>
                <w:rFonts w:ascii="仿宋" w:hAnsi="仿宋" w:eastAsia="仿宋" w:cs="宋体"/>
                <w:sz w:val="24"/>
              </w:rPr>
              <w:t xml:space="preserve"> 1</w:t>
            </w:r>
            <w:r>
              <w:rPr>
                <w:rFonts w:hint="eastAsia" w:ascii="仿宋" w:hAnsi="仿宋" w:eastAsia="仿宋" w:cs="宋体"/>
                <w:sz w:val="24"/>
              </w:rPr>
              <w:t>5</w:t>
            </w:r>
            <w:r>
              <w:rPr>
                <w:rFonts w:ascii="仿宋" w:hAnsi="仿宋" w:eastAsia="仿宋" w:cs="宋体"/>
                <w:sz w:val="24"/>
              </w:rPr>
              <w:t xml:space="preserve"> </w:t>
            </w:r>
            <w:r>
              <w:rPr>
                <w:rFonts w:hint="eastAsia" w:ascii="仿宋" w:hAnsi="仿宋" w:eastAsia="仿宋" w:cs="宋体"/>
                <w:sz w:val="24"/>
              </w:rPr>
              <w:t>日前</w:t>
            </w:r>
          </w:p>
        </w:tc>
      </w:tr>
      <w:tr w14:paraId="3EA7EF7F">
        <w:tblPrEx>
          <w:tblCellMar>
            <w:top w:w="0" w:type="dxa"/>
            <w:left w:w="0" w:type="dxa"/>
            <w:bottom w:w="0" w:type="dxa"/>
            <w:right w:w="0" w:type="dxa"/>
          </w:tblCellMar>
        </w:tblPrEx>
        <w:trPr>
          <w:trHeight w:val="477"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132F0AAD">
            <w:pPr>
              <w:jc w:val="center"/>
              <w:rPr>
                <w:rFonts w:ascii="仿宋" w:hAnsi="仿宋" w:eastAsia="仿宋" w:cs="宋体"/>
                <w:sz w:val="24"/>
              </w:rPr>
            </w:pPr>
            <w:r>
              <w:rPr>
                <w:rFonts w:hint="eastAsia" w:ascii="仿宋" w:hAnsi="仿宋" w:eastAsia="仿宋" w:cs="宋体"/>
                <w:sz w:val="24"/>
              </w:rPr>
              <w:t>19</w:t>
            </w:r>
          </w:p>
        </w:tc>
        <w:tc>
          <w:tcPr>
            <w:tcW w:w="1501" w:type="dxa"/>
            <w:tcBorders>
              <w:top w:val="single" w:color="000000" w:sz="4" w:space="0"/>
              <w:left w:val="single" w:color="000000" w:sz="4" w:space="0"/>
              <w:bottom w:val="single" w:color="000000" w:sz="4" w:space="0"/>
              <w:right w:val="single" w:color="000000" w:sz="4" w:space="0"/>
            </w:tcBorders>
            <w:vAlign w:val="center"/>
          </w:tcPr>
          <w:p w14:paraId="63DC88E9">
            <w:pPr>
              <w:jc w:val="center"/>
              <w:rPr>
                <w:rFonts w:ascii="仿宋" w:hAnsi="仿宋" w:eastAsia="仿宋" w:cs="宋体"/>
                <w:sz w:val="24"/>
              </w:rPr>
            </w:pPr>
            <w:r>
              <w:rPr>
                <w:rFonts w:hint="eastAsia" w:ascii="仿宋" w:hAnsi="仿宋" w:eastAsia="仿宋" w:cs="宋体"/>
                <w:sz w:val="24"/>
              </w:rPr>
              <w:t>投标截止时间</w:t>
            </w:r>
          </w:p>
        </w:tc>
        <w:tc>
          <w:tcPr>
            <w:tcW w:w="6437" w:type="dxa"/>
            <w:tcBorders>
              <w:top w:val="single" w:color="000000" w:sz="4" w:space="0"/>
              <w:left w:val="single" w:color="000000" w:sz="4" w:space="0"/>
              <w:bottom w:val="single" w:color="000000" w:sz="4" w:space="0"/>
              <w:right w:val="single" w:color="000000" w:sz="4" w:space="0"/>
            </w:tcBorders>
            <w:vAlign w:val="center"/>
          </w:tcPr>
          <w:p w14:paraId="1A66827B">
            <w:pPr>
              <w:jc w:val="left"/>
              <w:rPr>
                <w:rFonts w:ascii="仿宋" w:hAnsi="仿宋" w:eastAsia="仿宋" w:cs="宋体"/>
                <w:sz w:val="24"/>
                <w:szCs w:val="22"/>
                <w:highlight w:val="none"/>
              </w:rPr>
            </w:pPr>
            <w:r>
              <w:rPr>
                <w:rFonts w:hint="eastAsia" w:ascii="仿宋" w:hAnsi="仿宋" w:eastAsia="仿宋" w:cs="宋体"/>
                <w:sz w:val="24"/>
                <w:szCs w:val="22"/>
                <w:highlight w:val="none"/>
              </w:rPr>
              <w:t>202</w:t>
            </w:r>
            <w:r>
              <w:rPr>
                <w:rFonts w:hint="eastAsia" w:ascii="仿宋" w:hAnsi="仿宋" w:eastAsia="仿宋" w:cs="宋体"/>
                <w:sz w:val="24"/>
                <w:szCs w:val="22"/>
                <w:highlight w:val="none"/>
                <w:lang w:val="en-US" w:eastAsia="zh-CN"/>
              </w:rPr>
              <w:t>5</w:t>
            </w:r>
            <w:r>
              <w:rPr>
                <w:rFonts w:hint="eastAsia" w:ascii="仿宋" w:hAnsi="仿宋" w:eastAsia="仿宋" w:cs="宋体"/>
                <w:sz w:val="24"/>
                <w:szCs w:val="22"/>
                <w:highlight w:val="none"/>
              </w:rPr>
              <w:t>年</w:t>
            </w:r>
            <w:r>
              <w:rPr>
                <w:rFonts w:hint="eastAsia" w:ascii="仿宋" w:hAnsi="仿宋" w:eastAsia="仿宋" w:cs="宋体"/>
                <w:sz w:val="24"/>
                <w:szCs w:val="22"/>
                <w:highlight w:val="none"/>
                <w:lang w:val="en-US" w:eastAsia="zh-CN"/>
              </w:rPr>
              <w:t>09</w:t>
            </w:r>
            <w:r>
              <w:rPr>
                <w:rFonts w:hint="eastAsia" w:ascii="仿宋" w:hAnsi="仿宋" w:eastAsia="仿宋" w:cs="宋体"/>
                <w:sz w:val="24"/>
                <w:szCs w:val="22"/>
                <w:highlight w:val="none"/>
              </w:rPr>
              <w:t>月</w:t>
            </w:r>
            <w:r>
              <w:rPr>
                <w:rFonts w:hint="eastAsia" w:ascii="仿宋" w:hAnsi="仿宋" w:eastAsia="仿宋" w:cs="宋体"/>
                <w:sz w:val="24"/>
                <w:szCs w:val="22"/>
                <w:highlight w:val="none"/>
                <w:lang w:val="en-US" w:eastAsia="zh-CN"/>
              </w:rPr>
              <w:t>23</w:t>
            </w:r>
            <w:r>
              <w:rPr>
                <w:rFonts w:hint="eastAsia" w:ascii="仿宋" w:hAnsi="仿宋" w:eastAsia="仿宋" w:cs="宋体"/>
                <w:sz w:val="24"/>
                <w:szCs w:val="22"/>
                <w:highlight w:val="none"/>
              </w:rPr>
              <w:t>日</w:t>
            </w:r>
            <w:r>
              <w:rPr>
                <w:rFonts w:hint="eastAsia" w:ascii="仿宋" w:hAnsi="仿宋" w:eastAsia="仿宋" w:cs="宋体"/>
                <w:sz w:val="24"/>
                <w:szCs w:val="22"/>
                <w:highlight w:val="none"/>
                <w:lang w:val="en-US" w:eastAsia="zh-CN"/>
              </w:rPr>
              <w:t>08</w:t>
            </w:r>
            <w:r>
              <w:rPr>
                <w:rFonts w:hint="eastAsia" w:ascii="仿宋" w:hAnsi="仿宋" w:eastAsia="仿宋" w:cs="宋体"/>
                <w:sz w:val="24"/>
                <w:szCs w:val="22"/>
                <w:highlight w:val="none"/>
              </w:rPr>
              <w:t>时</w:t>
            </w:r>
            <w:r>
              <w:rPr>
                <w:rFonts w:hint="eastAsia" w:ascii="仿宋" w:hAnsi="仿宋" w:eastAsia="仿宋" w:cs="宋体"/>
                <w:sz w:val="24"/>
                <w:szCs w:val="22"/>
                <w:highlight w:val="none"/>
                <w:lang w:val="en-US" w:eastAsia="zh-CN"/>
              </w:rPr>
              <w:t>40</w:t>
            </w:r>
            <w:r>
              <w:rPr>
                <w:rFonts w:hint="eastAsia" w:ascii="仿宋" w:hAnsi="仿宋" w:eastAsia="仿宋" w:cs="宋体"/>
                <w:sz w:val="24"/>
                <w:szCs w:val="22"/>
                <w:highlight w:val="none"/>
              </w:rPr>
              <w:t>分（北京时间）</w:t>
            </w:r>
          </w:p>
          <w:p w14:paraId="5796F4F9">
            <w:pPr>
              <w:jc w:val="left"/>
              <w:rPr>
                <w:rFonts w:ascii="仿宋" w:hAnsi="仿宋" w:eastAsia="仿宋" w:cs="宋体"/>
                <w:sz w:val="24"/>
              </w:rPr>
            </w:pPr>
            <w:r>
              <w:rPr>
                <w:rFonts w:hint="eastAsia" w:ascii="仿宋" w:hAnsi="仿宋" w:eastAsia="仿宋" w:cs="宋体"/>
                <w:sz w:val="24"/>
                <w:highlight w:val="none"/>
              </w:rPr>
              <w:t>注：全面实行在线“不见面”开标，投标</w:t>
            </w:r>
            <w:r>
              <w:rPr>
                <w:rFonts w:hint="eastAsia" w:ascii="仿宋" w:hAnsi="仿宋" w:eastAsia="仿宋" w:cs="宋体"/>
                <w:sz w:val="24"/>
              </w:rPr>
              <w:t>人远程在线解密投标文件，不再到开标现场，投标人开标前应仔细阅读《“不见面”开标注意事项及操作流程》。</w:t>
            </w:r>
          </w:p>
        </w:tc>
      </w:tr>
      <w:tr w14:paraId="52C5E5A5">
        <w:tblPrEx>
          <w:tblCellMar>
            <w:top w:w="0" w:type="dxa"/>
            <w:left w:w="0" w:type="dxa"/>
            <w:bottom w:w="0" w:type="dxa"/>
            <w:right w:w="0" w:type="dxa"/>
          </w:tblCellMar>
        </w:tblPrEx>
        <w:trPr>
          <w:trHeight w:val="477"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15FC2C82">
            <w:pPr>
              <w:jc w:val="center"/>
              <w:rPr>
                <w:rFonts w:ascii="仿宋" w:hAnsi="仿宋" w:eastAsia="仿宋" w:cs="宋体"/>
                <w:sz w:val="24"/>
              </w:rPr>
            </w:pPr>
            <w:r>
              <w:rPr>
                <w:rFonts w:hint="eastAsia" w:ascii="仿宋" w:hAnsi="仿宋" w:eastAsia="仿宋" w:cs="宋体"/>
                <w:sz w:val="24"/>
              </w:rPr>
              <w:t>20</w:t>
            </w:r>
          </w:p>
        </w:tc>
        <w:tc>
          <w:tcPr>
            <w:tcW w:w="1501" w:type="dxa"/>
            <w:tcBorders>
              <w:top w:val="single" w:color="000000" w:sz="4" w:space="0"/>
              <w:left w:val="single" w:color="000000" w:sz="4" w:space="0"/>
              <w:bottom w:val="single" w:color="000000" w:sz="4" w:space="0"/>
              <w:right w:val="single" w:color="000000" w:sz="4" w:space="0"/>
            </w:tcBorders>
            <w:vAlign w:val="center"/>
          </w:tcPr>
          <w:p w14:paraId="73307B30">
            <w:pPr>
              <w:jc w:val="center"/>
              <w:rPr>
                <w:rFonts w:ascii="仿宋" w:hAnsi="仿宋" w:eastAsia="仿宋" w:cs="宋体"/>
                <w:sz w:val="24"/>
              </w:rPr>
            </w:pPr>
            <w:r>
              <w:rPr>
                <w:rFonts w:hint="eastAsia" w:ascii="仿宋" w:hAnsi="仿宋" w:eastAsia="仿宋" w:cs="宋体"/>
                <w:sz w:val="24"/>
              </w:rPr>
              <w:t>投标文件电子版</w:t>
            </w:r>
          </w:p>
        </w:tc>
        <w:tc>
          <w:tcPr>
            <w:tcW w:w="6437" w:type="dxa"/>
            <w:tcBorders>
              <w:top w:val="single" w:color="000000" w:sz="4" w:space="0"/>
              <w:left w:val="single" w:color="000000" w:sz="4" w:space="0"/>
              <w:bottom w:val="single" w:color="000000" w:sz="4" w:space="0"/>
              <w:right w:val="single" w:color="000000" w:sz="4" w:space="0"/>
            </w:tcBorders>
            <w:vAlign w:val="center"/>
          </w:tcPr>
          <w:p w14:paraId="0E299D92">
            <w:pPr>
              <w:jc w:val="left"/>
              <w:rPr>
                <w:rFonts w:ascii="仿宋" w:hAnsi="仿宋" w:eastAsia="仿宋" w:cs="宋体"/>
                <w:sz w:val="24"/>
              </w:rPr>
            </w:pPr>
            <w:r>
              <w:rPr>
                <w:rFonts w:hint="eastAsia" w:ascii="仿宋" w:hAnsi="仿宋" w:eastAsia="仿宋" w:cs="宋体"/>
                <w:sz w:val="24"/>
              </w:rPr>
              <w:t>加密版投标文件1份（.file格式），并按规定进行上传。</w:t>
            </w:r>
          </w:p>
        </w:tc>
      </w:tr>
      <w:tr w14:paraId="64494BDD">
        <w:tblPrEx>
          <w:tblCellMar>
            <w:top w:w="0" w:type="dxa"/>
            <w:left w:w="0" w:type="dxa"/>
            <w:bottom w:w="0" w:type="dxa"/>
            <w:right w:w="0" w:type="dxa"/>
          </w:tblCellMar>
        </w:tblPrEx>
        <w:trPr>
          <w:trHeight w:val="477"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36220BEA">
            <w:pPr>
              <w:jc w:val="center"/>
              <w:rPr>
                <w:rFonts w:ascii="仿宋" w:hAnsi="仿宋" w:eastAsia="仿宋" w:cs="宋体"/>
                <w:sz w:val="24"/>
              </w:rPr>
            </w:pPr>
            <w:r>
              <w:rPr>
                <w:rFonts w:hint="eastAsia" w:ascii="仿宋" w:hAnsi="仿宋" w:eastAsia="仿宋" w:cs="宋体"/>
                <w:sz w:val="24"/>
              </w:rPr>
              <w:t>21</w:t>
            </w:r>
          </w:p>
        </w:tc>
        <w:tc>
          <w:tcPr>
            <w:tcW w:w="1501" w:type="dxa"/>
            <w:tcBorders>
              <w:top w:val="single" w:color="000000" w:sz="4" w:space="0"/>
              <w:left w:val="single" w:color="000000" w:sz="4" w:space="0"/>
              <w:bottom w:val="single" w:color="000000" w:sz="4" w:space="0"/>
              <w:right w:val="single" w:color="000000" w:sz="4" w:space="0"/>
            </w:tcBorders>
            <w:vAlign w:val="center"/>
          </w:tcPr>
          <w:p w14:paraId="0AE53269">
            <w:pPr>
              <w:jc w:val="center"/>
              <w:rPr>
                <w:rFonts w:ascii="仿宋" w:hAnsi="仿宋" w:eastAsia="仿宋" w:cs="宋体"/>
                <w:b/>
                <w:bCs/>
                <w:sz w:val="24"/>
                <w:highlight w:val="none"/>
              </w:rPr>
            </w:pPr>
            <w:r>
              <w:rPr>
                <w:rFonts w:hint="eastAsia" w:ascii="仿宋" w:hAnsi="仿宋" w:eastAsia="仿宋" w:cs="宋体"/>
                <w:b/>
                <w:bCs/>
                <w:sz w:val="24"/>
                <w:highlight w:val="none"/>
              </w:rPr>
              <w:t>投标有效期</w:t>
            </w:r>
          </w:p>
        </w:tc>
        <w:tc>
          <w:tcPr>
            <w:tcW w:w="6437" w:type="dxa"/>
            <w:tcBorders>
              <w:top w:val="single" w:color="000000" w:sz="4" w:space="0"/>
              <w:left w:val="single" w:color="000000" w:sz="4" w:space="0"/>
              <w:bottom w:val="single" w:color="000000" w:sz="4" w:space="0"/>
              <w:right w:val="single" w:color="000000" w:sz="4" w:space="0"/>
            </w:tcBorders>
            <w:vAlign w:val="center"/>
          </w:tcPr>
          <w:p w14:paraId="5C90F144">
            <w:pPr>
              <w:jc w:val="left"/>
              <w:rPr>
                <w:rFonts w:ascii="仿宋" w:hAnsi="仿宋" w:eastAsia="仿宋" w:cs="宋体"/>
                <w:b/>
                <w:bCs/>
                <w:sz w:val="24"/>
                <w:highlight w:val="none"/>
              </w:rPr>
            </w:pPr>
            <w:r>
              <w:rPr>
                <w:rFonts w:hint="eastAsia" w:ascii="仿宋" w:hAnsi="仿宋" w:eastAsia="仿宋"/>
                <w:b/>
                <w:bCs/>
                <w:sz w:val="24"/>
                <w:highlight w:val="none"/>
              </w:rPr>
              <w:t>投标截止之日起60个日历天</w:t>
            </w:r>
          </w:p>
        </w:tc>
      </w:tr>
      <w:tr w14:paraId="71DB4980">
        <w:tblPrEx>
          <w:tblCellMar>
            <w:top w:w="0" w:type="dxa"/>
            <w:left w:w="0" w:type="dxa"/>
            <w:bottom w:w="0" w:type="dxa"/>
            <w:right w:w="0" w:type="dxa"/>
          </w:tblCellMar>
        </w:tblPrEx>
        <w:trPr>
          <w:trHeight w:val="349" w:hRule="atLeast"/>
        </w:trPr>
        <w:tc>
          <w:tcPr>
            <w:tcW w:w="858" w:type="dxa"/>
            <w:vMerge w:val="restart"/>
            <w:tcBorders>
              <w:top w:val="single" w:color="000000" w:sz="4" w:space="0"/>
              <w:left w:val="single" w:color="000000" w:sz="4" w:space="0"/>
              <w:right w:val="single" w:color="000000" w:sz="4" w:space="0"/>
            </w:tcBorders>
            <w:vAlign w:val="center"/>
          </w:tcPr>
          <w:p w14:paraId="35DFD9C1">
            <w:pPr>
              <w:jc w:val="center"/>
              <w:rPr>
                <w:rFonts w:ascii="仿宋" w:hAnsi="仿宋" w:eastAsia="仿宋" w:cs="宋体"/>
                <w:sz w:val="24"/>
              </w:rPr>
            </w:pPr>
            <w:r>
              <w:rPr>
                <w:rFonts w:hint="eastAsia" w:ascii="仿宋" w:hAnsi="仿宋" w:eastAsia="仿宋" w:cs="宋体"/>
                <w:sz w:val="24"/>
              </w:rPr>
              <w:t>22</w:t>
            </w:r>
          </w:p>
        </w:tc>
        <w:tc>
          <w:tcPr>
            <w:tcW w:w="1501" w:type="dxa"/>
            <w:tcBorders>
              <w:top w:val="single" w:color="000000" w:sz="4" w:space="0"/>
              <w:left w:val="single" w:color="000000" w:sz="4" w:space="0"/>
              <w:bottom w:val="single" w:color="000000" w:sz="4" w:space="0"/>
              <w:right w:val="single" w:color="000000" w:sz="4" w:space="0"/>
            </w:tcBorders>
          </w:tcPr>
          <w:p w14:paraId="36C2561C">
            <w:pPr>
              <w:rPr>
                <w:rFonts w:ascii="仿宋" w:hAnsi="仿宋" w:eastAsia="仿宋"/>
                <w:sz w:val="24"/>
              </w:rPr>
            </w:pPr>
            <w:r>
              <w:rPr>
                <w:rFonts w:hint="eastAsia" w:ascii="仿宋" w:hAnsi="仿宋" w:eastAsia="仿宋"/>
                <w:sz w:val="24"/>
              </w:rPr>
              <w:t>投标保证金</w:t>
            </w:r>
          </w:p>
        </w:tc>
        <w:tc>
          <w:tcPr>
            <w:tcW w:w="6437" w:type="dxa"/>
            <w:tcBorders>
              <w:top w:val="single" w:color="000000" w:sz="4" w:space="0"/>
              <w:left w:val="single" w:color="000000" w:sz="4" w:space="0"/>
              <w:bottom w:val="single" w:color="000000" w:sz="4" w:space="0"/>
              <w:right w:val="single" w:color="000000" w:sz="4" w:space="0"/>
            </w:tcBorders>
          </w:tcPr>
          <w:p w14:paraId="006B514A">
            <w:pPr>
              <w:rPr>
                <w:rFonts w:ascii="仿宋" w:hAnsi="仿宋" w:eastAsia="仿宋"/>
                <w:sz w:val="24"/>
              </w:rPr>
            </w:pPr>
            <w:r>
              <w:rPr>
                <w:rFonts w:hint="eastAsia" w:ascii="仿宋" w:hAnsi="仿宋" w:eastAsia="仿宋"/>
                <w:sz w:val="24"/>
              </w:rPr>
              <w:t>不收取</w:t>
            </w:r>
          </w:p>
        </w:tc>
      </w:tr>
      <w:tr w14:paraId="5EF205CB">
        <w:tblPrEx>
          <w:tblCellMar>
            <w:top w:w="0" w:type="dxa"/>
            <w:left w:w="0" w:type="dxa"/>
            <w:bottom w:w="0" w:type="dxa"/>
            <w:right w:w="0" w:type="dxa"/>
          </w:tblCellMar>
        </w:tblPrEx>
        <w:trPr>
          <w:trHeight w:val="349" w:hRule="atLeast"/>
        </w:trPr>
        <w:tc>
          <w:tcPr>
            <w:tcW w:w="858" w:type="dxa"/>
            <w:vMerge w:val="continue"/>
            <w:tcBorders>
              <w:left w:val="single" w:color="000000" w:sz="4" w:space="0"/>
              <w:right w:val="single" w:color="000000" w:sz="4" w:space="0"/>
            </w:tcBorders>
            <w:vAlign w:val="center"/>
          </w:tcPr>
          <w:p w14:paraId="45CA2034">
            <w:pPr>
              <w:jc w:val="center"/>
              <w:rPr>
                <w:rFonts w:ascii="仿宋" w:hAnsi="仿宋" w:eastAsia="仿宋" w:cs="宋体"/>
                <w:sz w:val="24"/>
              </w:rPr>
            </w:pPr>
          </w:p>
        </w:tc>
        <w:tc>
          <w:tcPr>
            <w:tcW w:w="1501" w:type="dxa"/>
            <w:tcBorders>
              <w:top w:val="single" w:color="000000" w:sz="4" w:space="0"/>
              <w:left w:val="single" w:color="000000" w:sz="4" w:space="0"/>
              <w:bottom w:val="single" w:color="000000" w:sz="4" w:space="0"/>
              <w:right w:val="single" w:color="000000" w:sz="4" w:space="0"/>
            </w:tcBorders>
          </w:tcPr>
          <w:p w14:paraId="096B56CC">
            <w:pPr>
              <w:rPr>
                <w:rFonts w:ascii="仿宋" w:hAnsi="仿宋" w:eastAsia="仿宋"/>
                <w:sz w:val="24"/>
              </w:rPr>
            </w:pPr>
            <w:r>
              <w:rPr>
                <w:rFonts w:hint="eastAsia" w:ascii="仿宋" w:hAnsi="仿宋" w:eastAsia="仿宋"/>
                <w:sz w:val="24"/>
              </w:rPr>
              <w:t>履约保证金</w:t>
            </w:r>
          </w:p>
        </w:tc>
        <w:tc>
          <w:tcPr>
            <w:tcW w:w="6437" w:type="dxa"/>
            <w:tcBorders>
              <w:top w:val="single" w:color="000000" w:sz="4" w:space="0"/>
              <w:left w:val="single" w:color="000000" w:sz="4" w:space="0"/>
              <w:bottom w:val="single" w:color="000000" w:sz="4" w:space="0"/>
              <w:right w:val="single" w:color="000000" w:sz="4" w:space="0"/>
            </w:tcBorders>
          </w:tcPr>
          <w:p w14:paraId="1F587691">
            <w:pPr>
              <w:rPr>
                <w:rFonts w:ascii="仿宋" w:hAnsi="仿宋" w:eastAsia="仿宋"/>
                <w:sz w:val="24"/>
              </w:rPr>
            </w:pPr>
            <w:r>
              <w:rPr>
                <w:rFonts w:hint="eastAsia" w:ascii="仿宋" w:hAnsi="仿宋" w:eastAsia="仿宋"/>
                <w:sz w:val="24"/>
              </w:rPr>
              <w:t>不收取</w:t>
            </w:r>
          </w:p>
        </w:tc>
      </w:tr>
      <w:tr w14:paraId="7DD7868D">
        <w:tblPrEx>
          <w:tblCellMar>
            <w:top w:w="0" w:type="dxa"/>
            <w:left w:w="0" w:type="dxa"/>
            <w:bottom w:w="0" w:type="dxa"/>
            <w:right w:w="0" w:type="dxa"/>
          </w:tblCellMar>
        </w:tblPrEx>
        <w:trPr>
          <w:trHeight w:val="349" w:hRule="atLeast"/>
        </w:trPr>
        <w:tc>
          <w:tcPr>
            <w:tcW w:w="858" w:type="dxa"/>
            <w:vMerge w:val="continue"/>
            <w:tcBorders>
              <w:left w:val="single" w:color="000000" w:sz="4" w:space="0"/>
              <w:right w:val="single" w:color="000000" w:sz="4" w:space="0"/>
            </w:tcBorders>
            <w:vAlign w:val="center"/>
          </w:tcPr>
          <w:p w14:paraId="0946F9AA">
            <w:pPr>
              <w:jc w:val="center"/>
              <w:rPr>
                <w:rFonts w:ascii="仿宋" w:hAnsi="仿宋" w:eastAsia="仿宋" w:cs="宋体"/>
                <w:sz w:val="24"/>
              </w:rPr>
            </w:pPr>
          </w:p>
        </w:tc>
        <w:tc>
          <w:tcPr>
            <w:tcW w:w="1501" w:type="dxa"/>
            <w:tcBorders>
              <w:top w:val="single" w:color="000000" w:sz="4" w:space="0"/>
              <w:left w:val="single" w:color="000000" w:sz="4" w:space="0"/>
              <w:bottom w:val="single" w:color="000000" w:sz="4" w:space="0"/>
              <w:right w:val="single" w:color="000000" w:sz="4" w:space="0"/>
            </w:tcBorders>
          </w:tcPr>
          <w:p w14:paraId="4A0A1232">
            <w:pPr>
              <w:rPr>
                <w:rFonts w:ascii="仿宋" w:hAnsi="仿宋" w:eastAsia="仿宋"/>
                <w:sz w:val="24"/>
              </w:rPr>
            </w:pPr>
            <w:r>
              <w:rPr>
                <w:rFonts w:hint="eastAsia" w:ascii="仿宋" w:hAnsi="仿宋" w:eastAsia="仿宋"/>
                <w:sz w:val="24"/>
              </w:rPr>
              <w:t>质量保证金</w:t>
            </w:r>
          </w:p>
        </w:tc>
        <w:tc>
          <w:tcPr>
            <w:tcW w:w="6437" w:type="dxa"/>
            <w:tcBorders>
              <w:top w:val="single" w:color="000000" w:sz="4" w:space="0"/>
              <w:left w:val="single" w:color="000000" w:sz="4" w:space="0"/>
              <w:bottom w:val="single" w:color="000000" w:sz="4" w:space="0"/>
              <w:right w:val="single" w:color="000000" w:sz="4" w:space="0"/>
            </w:tcBorders>
          </w:tcPr>
          <w:p w14:paraId="0B8D481A">
            <w:pPr>
              <w:rPr>
                <w:rFonts w:ascii="仿宋" w:hAnsi="仿宋" w:eastAsia="仿宋"/>
                <w:sz w:val="24"/>
              </w:rPr>
            </w:pPr>
            <w:r>
              <w:rPr>
                <w:rFonts w:hint="eastAsia" w:ascii="仿宋" w:hAnsi="仿宋" w:eastAsia="仿宋"/>
                <w:sz w:val="24"/>
              </w:rPr>
              <w:t>不收取</w:t>
            </w:r>
          </w:p>
        </w:tc>
      </w:tr>
      <w:tr w14:paraId="73BA8AA7">
        <w:tblPrEx>
          <w:tblCellMar>
            <w:top w:w="0" w:type="dxa"/>
            <w:left w:w="0" w:type="dxa"/>
            <w:bottom w:w="0" w:type="dxa"/>
            <w:right w:w="0" w:type="dxa"/>
          </w:tblCellMar>
        </w:tblPrEx>
        <w:trPr>
          <w:trHeight w:val="349" w:hRule="atLeast"/>
        </w:trPr>
        <w:tc>
          <w:tcPr>
            <w:tcW w:w="858" w:type="dxa"/>
            <w:vMerge w:val="continue"/>
            <w:tcBorders>
              <w:left w:val="single" w:color="000000" w:sz="4" w:space="0"/>
              <w:bottom w:val="single" w:color="000000" w:sz="4" w:space="0"/>
              <w:right w:val="single" w:color="000000" w:sz="4" w:space="0"/>
            </w:tcBorders>
            <w:vAlign w:val="center"/>
          </w:tcPr>
          <w:p w14:paraId="52AEDEF7">
            <w:pPr>
              <w:jc w:val="center"/>
              <w:rPr>
                <w:rFonts w:ascii="仿宋" w:hAnsi="仿宋" w:eastAsia="仿宋" w:cs="宋体"/>
                <w:sz w:val="24"/>
              </w:rPr>
            </w:pPr>
          </w:p>
        </w:tc>
        <w:tc>
          <w:tcPr>
            <w:tcW w:w="1501" w:type="dxa"/>
            <w:tcBorders>
              <w:top w:val="single" w:color="000000" w:sz="4" w:space="0"/>
              <w:left w:val="single" w:color="000000" w:sz="4" w:space="0"/>
              <w:bottom w:val="single" w:color="000000" w:sz="4" w:space="0"/>
              <w:right w:val="single" w:color="000000" w:sz="4" w:space="0"/>
            </w:tcBorders>
          </w:tcPr>
          <w:p w14:paraId="5BC9B34C">
            <w:pPr>
              <w:rPr>
                <w:rFonts w:ascii="仿宋" w:hAnsi="仿宋" w:eastAsia="仿宋"/>
                <w:sz w:val="24"/>
              </w:rPr>
            </w:pPr>
            <w:r>
              <w:rPr>
                <w:rFonts w:hint="eastAsia" w:ascii="仿宋" w:hAnsi="仿宋" w:eastAsia="仿宋"/>
                <w:sz w:val="24"/>
              </w:rPr>
              <w:t>招标文件费用</w:t>
            </w:r>
          </w:p>
        </w:tc>
        <w:tc>
          <w:tcPr>
            <w:tcW w:w="6437" w:type="dxa"/>
            <w:tcBorders>
              <w:top w:val="single" w:color="000000" w:sz="4" w:space="0"/>
              <w:left w:val="single" w:color="000000" w:sz="4" w:space="0"/>
              <w:bottom w:val="single" w:color="000000" w:sz="4" w:space="0"/>
              <w:right w:val="single" w:color="000000" w:sz="4" w:space="0"/>
            </w:tcBorders>
          </w:tcPr>
          <w:p w14:paraId="107529BD">
            <w:pPr>
              <w:rPr>
                <w:rFonts w:ascii="仿宋" w:hAnsi="仿宋" w:eastAsia="仿宋"/>
                <w:sz w:val="24"/>
              </w:rPr>
            </w:pPr>
            <w:r>
              <w:rPr>
                <w:rFonts w:hint="eastAsia" w:ascii="仿宋" w:hAnsi="仿宋" w:eastAsia="仿宋"/>
                <w:sz w:val="24"/>
              </w:rPr>
              <w:t>不收取</w:t>
            </w:r>
          </w:p>
        </w:tc>
      </w:tr>
      <w:tr w14:paraId="0701EC7B">
        <w:tblPrEx>
          <w:tblCellMar>
            <w:top w:w="0" w:type="dxa"/>
            <w:left w:w="0" w:type="dxa"/>
            <w:bottom w:w="0" w:type="dxa"/>
            <w:right w:w="0" w:type="dxa"/>
          </w:tblCellMar>
        </w:tblPrEx>
        <w:trPr>
          <w:trHeight w:val="477"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17A46893">
            <w:pPr>
              <w:jc w:val="center"/>
              <w:rPr>
                <w:rFonts w:ascii="仿宋" w:hAnsi="仿宋" w:eastAsia="仿宋" w:cs="宋体"/>
                <w:sz w:val="24"/>
              </w:rPr>
            </w:pPr>
            <w:r>
              <w:rPr>
                <w:rFonts w:hint="eastAsia" w:ascii="仿宋" w:hAnsi="仿宋" w:eastAsia="仿宋" w:cs="宋体"/>
                <w:sz w:val="24"/>
              </w:rPr>
              <w:t>23</w:t>
            </w:r>
          </w:p>
        </w:tc>
        <w:tc>
          <w:tcPr>
            <w:tcW w:w="1501" w:type="dxa"/>
            <w:tcBorders>
              <w:top w:val="single" w:color="000000" w:sz="4" w:space="0"/>
              <w:left w:val="single" w:color="000000" w:sz="4" w:space="0"/>
              <w:bottom w:val="single" w:color="000000" w:sz="4" w:space="0"/>
              <w:right w:val="single" w:color="000000" w:sz="4" w:space="0"/>
            </w:tcBorders>
            <w:vAlign w:val="center"/>
          </w:tcPr>
          <w:p w14:paraId="32CCCE2E">
            <w:pPr>
              <w:jc w:val="center"/>
              <w:rPr>
                <w:rFonts w:ascii="仿宋" w:hAnsi="仿宋" w:eastAsia="仿宋" w:cs="宋体"/>
                <w:sz w:val="24"/>
              </w:rPr>
            </w:pPr>
            <w:r>
              <w:rPr>
                <w:rFonts w:hint="eastAsia" w:ascii="仿宋" w:hAnsi="仿宋" w:eastAsia="仿宋" w:cs="宋体"/>
                <w:sz w:val="24"/>
              </w:rPr>
              <w:t>签字或盖章要求</w:t>
            </w:r>
          </w:p>
        </w:tc>
        <w:tc>
          <w:tcPr>
            <w:tcW w:w="6437" w:type="dxa"/>
            <w:tcBorders>
              <w:top w:val="single" w:color="000000" w:sz="4" w:space="0"/>
              <w:left w:val="single" w:color="000000" w:sz="4" w:space="0"/>
              <w:bottom w:val="single" w:color="000000" w:sz="4" w:space="0"/>
              <w:right w:val="single" w:color="000000" w:sz="4" w:space="0"/>
            </w:tcBorders>
            <w:vAlign w:val="center"/>
          </w:tcPr>
          <w:p w14:paraId="53C4936E">
            <w:pPr>
              <w:rPr>
                <w:rFonts w:hint="eastAsia" w:ascii="仿宋" w:hAnsi="仿宋" w:eastAsia="仿宋"/>
                <w:sz w:val="24"/>
              </w:rPr>
            </w:pPr>
            <w:r>
              <w:rPr>
                <w:rFonts w:hint="eastAsia" w:ascii="仿宋" w:hAnsi="仿宋" w:eastAsia="仿宋"/>
                <w:sz w:val="24"/>
              </w:rPr>
              <w:t>投标文件应按招标文件要求加盖单位公章、签字、盖章。投标文件中的各类证书及企业相关证明资料复印件须加盖投标人电子印章。若被授权代理人签字或盖章的，投标文件中应附法定代表人有效授权委托书。</w:t>
            </w:r>
          </w:p>
          <w:p w14:paraId="0D1FEA7E">
            <w:pPr>
              <w:rPr>
                <w:rFonts w:hint="eastAsia" w:ascii="仿宋" w:hAnsi="仿宋" w:eastAsia="仿宋"/>
                <w:sz w:val="24"/>
              </w:rPr>
            </w:pPr>
            <w:r>
              <w:rPr>
                <w:rFonts w:hint="eastAsia" w:ascii="仿宋" w:hAnsi="仿宋" w:eastAsia="仿宋"/>
                <w:sz w:val="24"/>
              </w:rPr>
              <w:t>注：</w:t>
            </w:r>
          </w:p>
          <w:p w14:paraId="3AF925B0">
            <w:pPr>
              <w:rPr>
                <w:rFonts w:hint="eastAsia" w:ascii="仿宋" w:hAnsi="仿宋" w:eastAsia="仿宋"/>
                <w:sz w:val="24"/>
              </w:rPr>
            </w:pPr>
            <w:r>
              <w:rPr>
                <w:rFonts w:hint="eastAsia" w:ascii="仿宋" w:hAnsi="仿宋" w:eastAsia="仿宋"/>
                <w:sz w:val="24"/>
              </w:rPr>
              <w:t>1.根据《中华人民共和国电子签名法》第十四条规定：可靠的电子签名与手写签名或者盖章具有同等的法律效力。</w:t>
            </w:r>
          </w:p>
          <w:p w14:paraId="73BA2E76">
            <w:r>
              <w:rPr>
                <w:rFonts w:hint="eastAsia" w:ascii="仿宋" w:hAnsi="仿宋" w:eastAsia="仿宋"/>
                <w:sz w:val="24"/>
              </w:rPr>
              <w:t>2.加盖供应商单位的 CA 印章和纸质文件上加盖供应商单位公章后扫描上传具有同等效力。</w:t>
            </w:r>
          </w:p>
        </w:tc>
      </w:tr>
      <w:tr w14:paraId="1E37449C">
        <w:tblPrEx>
          <w:tblCellMar>
            <w:top w:w="0" w:type="dxa"/>
            <w:left w:w="0" w:type="dxa"/>
            <w:bottom w:w="0" w:type="dxa"/>
            <w:right w:w="0" w:type="dxa"/>
          </w:tblCellMar>
        </w:tblPrEx>
        <w:trPr>
          <w:trHeight w:val="477"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447704BA">
            <w:pPr>
              <w:jc w:val="center"/>
              <w:rPr>
                <w:rFonts w:ascii="仿宋" w:hAnsi="仿宋" w:eastAsia="仿宋" w:cs="宋体"/>
                <w:sz w:val="24"/>
              </w:rPr>
            </w:pPr>
            <w:r>
              <w:rPr>
                <w:rFonts w:hint="eastAsia" w:ascii="仿宋" w:hAnsi="仿宋" w:eastAsia="仿宋" w:cs="宋体"/>
                <w:sz w:val="24"/>
              </w:rPr>
              <w:t>24</w:t>
            </w:r>
          </w:p>
        </w:tc>
        <w:tc>
          <w:tcPr>
            <w:tcW w:w="1501" w:type="dxa"/>
            <w:tcBorders>
              <w:top w:val="single" w:color="000000" w:sz="4" w:space="0"/>
              <w:left w:val="single" w:color="000000" w:sz="4" w:space="0"/>
              <w:bottom w:val="single" w:color="000000" w:sz="4" w:space="0"/>
              <w:right w:val="single" w:color="000000" w:sz="4" w:space="0"/>
            </w:tcBorders>
            <w:vAlign w:val="center"/>
          </w:tcPr>
          <w:p w14:paraId="37BE02A3">
            <w:pPr>
              <w:jc w:val="center"/>
              <w:rPr>
                <w:rFonts w:ascii="仿宋" w:hAnsi="仿宋" w:eastAsia="仿宋" w:cs="宋体"/>
                <w:sz w:val="24"/>
              </w:rPr>
            </w:pPr>
            <w:r>
              <w:rPr>
                <w:rFonts w:hint="eastAsia" w:ascii="仿宋" w:hAnsi="仿宋" w:eastAsia="仿宋" w:cs="宋体"/>
                <w:sz w:val="24"/>
              </w:rPr>
              <w:t>递交投标文件地点</w:t>
            </w:r>
          </w:p>
        </w:tc>
        <w:tc>
          <w:tcPr>
            <w:tcW w:w="6437" w:type="dxa"/>
            <w:tcBorders>
              <w:top w:val="single" w:color="000000" w:sz="4" w:space="0"/>
              <w:left w:val="single" w:color="000000" w:sz="4" w:space="0"/>
              <w:bottom w:val="single" w:color="000000" w:sz="4" w:space="0"/>
              <w:right w:val="single" w:color="000000" w:sz="4" w:space="0"/>
            </w:tcBorders>
            <w:vAlign w:val="center"/>
          </w:tcPr>
          <w:p w14:paraId="733ED69C">
            <w:pPr>
              <w:rPr>
                <w:rFonts w:ascii="仿宋" w:hAnsi="仿宋" w:eastAsia="仿宋" w:cs="宋体"/>
                <w:sz w:val="24"/>
              </w:rPr>
            </w:pPr>
            <w:r>
              <w:rPr>
                <w:rFonts w:hint="eastAsia" w:ascii="仿宋" w:hAnsi="仿宋" w:eastAsia="仿宋"/>
                <w:sz w:val="24"/>
                <w:lang w:eastAsia="zh-CN"/>
              </w:rPr>
              <w:t>《全国公共资源交易平台（河南省.平顶山市）》电子交易系统</w:t>
            </w:r>
          </w:p>
        </w:tc>
      </w:tr>
      <w:tr w14:paraId="33D27229">
        <w:tblPrEx>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41537B86">
            <w:pPr>
              <w:jc w:val="center"/>
              <w:rPr>
                <w:rFonts w:ascii="仿宋" w:hAnsi="仿宋" w:eastAsia="仿宋" w:cs="宋体"/>
                <w:sz w:val="24"/>
              </w:rPr>
            </w:pPr>
            <w:r>
              <w:rPr>
                <w:rFonts w:hint="eastAsia" w:ascii="仿宋" w:hAnsi="仿宋" w:eastAsia="仿宋" w:cs="宋体"/>
                <w:sz w:val="24"/>
              </w:rPr>
              <w:t>25</w:t>
            </w:r>
          </w:p>
        </w:tc>
        <w:tc>
          <w:tcPr>
            <w:tcW w:w="1501" w:type="dxa"/>
            <w:tcBorders>
              <w:top w:val="single" w:color="000000" w:sz="4" w:space="0"/>
              <w:left w:val="single" w:color="000000" w:sz="4" w:space="0"/>
              <w:bottom w:val="single" w:color="000000" w:sz="4" w:space="0"/>
              <w:right w:val="single" w:color="000000" w:sz="4" w:space="0"/>
            </w:tcBorders>
            <w:vAlign w:val="center"/>
          </w:tcPr>
          <w:p w14:paraId="4581BAD6">
            <w:pPr>
              <w:jc w:val="center"/>
              <w:rPr>
                <w:rFonts w:ascii="仿宋" w:hAnsi="仿宋" w:eastAsia="仿宋" w:cs="宋体"/>
                <w:sz w:val="24"/>
              </w:rPr>
            </w:pPr>
            <w:r>
              <w:rPr>
                <w:rFonts w:hint="eastAsia" w:ascii="仿宋" w:hAnsi="仿宋" w:eastAsia="仿宋" w:cs="宋体"/>
                <w:sz w:val="24"/>
              </w:rPr>
              <w:t>开标时间和地点</w:t>
            </w:r>
          </w:p>
        </w:tc>
        <w:tc>
          <w:tcPr>
            <w:tcW w:w="6437" w:type="dxa"/>
            <w:tcBorders>
              <w:top w:val="single" w:color="000000" w:sz="4" w:space="0"/>
              <w:left w:val="single" w:color="000000" w:sz="4" w:space="0"/>
              <w:bottom w:val="single" w:color="000000" w:sz="4" w:space="0"/>
              <w:right w:val="single" w:color="000000" w:sz="4" w:space="0"/>
            </w:tcBorders>
            <w:vAlign w:val="center"/>
          </w:tcPr>
          <w:p w14:paraId="1711263B">
            <w:pPr>
              <w:jc w:val="left"/>
              <w:rPr>
                <w:rFonts w:ascii="仿宋" w:hAnsi="仿宋" w:eastAsia="仿宋" w:cs="宋体"/>
                <w:sz w:val="24"/>
              </w:rPr>
            </w:pPr>
            <w:r>
              <w:rPr>
                <w:rFonts w:hint="eastAsia" w:ascii="仿宋" w:hAnsi="仿宋" w:eastAsia="仿宋" w:cs="宋体"/>
                <w:sz w:val="24"/>
              </w:rPr>
              <w:t>开标时间：同投标截止时间；</w:t>
            </w:r>
          </w:p>
          <w:p w14:paraId="153460D1">
            <w:pPr>
              <w:jc w:val="left"/>
              <w:rPr>
                <w:rFonts w:ascii="仿宋" w:hAnsi="仿宋" w:eastAsia="仿宋" w:cs="宋体"/>
                <w:sz w:val="24"/>
              </w:rPr>
            </w:pPr>
            <w:r>
              <w:rPr>
                <w:rFonts w:hint="eastAsia" w:ascii="仿宋" w:hAnsi="仿宋" w:eastAsia="仿宋" w:cs="宋体"/>
                <w:sz w:val="24"/>
              </w:rPr>
              <w:t>开标地点：《全国公共资源交易平台（河南省.平顶山市）》电子交易系统</w:t>
            </w:r>
          </w:p>
        </w:tc>
      </w:tr>
      <w:tr w14:paraId="3F978E1A">
        <w:tblPrEx>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6FA58CA4">
            <w:pPr>
              <w:jc w:val="center"/>
              <w:rPr>
                <w:rFonts w:ascii="仿宋" w:hAnsi="仿宋" w:eastAsia="仿宋" w:cs="宋体"/>
                <w:sz w:val="24"/>
              </w:rPr>
            </w:pPr>
            <w:r>
              <w:rPr>
                <w:rFonts w:hint="eastAsia" w:ascii="仿宋" w:hAnsi="仿宋" w:eastAsia="仿宋" w:cs="宋体"/>
                <w:sz w:val="24"/>
              </w:rPr>
              <w:t>26</w:t>
            </w:r>
          </w:p>
        </w:tc>
        <w:tc>
          <w:tcPr>
            <w:tcW w:w="1501" w:type="dxa"/>
            <w:tcBorders>
              <w:top w:val="single" w:color="000000" w:sz="4" w:space="0"/>
              <w:left w:val="single" w:color="000000" w:sz="4" w:space="0"/>
              <w:bottom w:val="single" w:color="000000" w:sz="4" w:space="0"/>
              <w:right w:val="single" w:color="000000" w:sz="4" w:space="0"/>
            </w:tcBorders>
            <w:vAlign w:val="center"/>
          </w:tcPr>
          <w:p w14:paraId="7D2F9E83">
            <w:pPr>
              <w:jc w:val="center"/>
              <w:rPr>
                <w:rFonts w:ascii="仿宋" w:hAnsi="仿宋" w:eastAsia="仿宋" w:cs="宋体"/>
                <w:sz w:val="24"/>
              </w:rPr>
            </w:pPr>
            <w:r>
              <w:rPr>
                <w:rFonts w:hint="eastAsia" w:ascii="仿宋" w:hAnsi="仿宋" w:eastAsia="仿宋" w:cs="宋体"/>
                <w:sz w:val="24"/>
              </w:rPr>
              <w:t>开标程序</w:t>
            </w:r>
          </w:p>
        </w:tc>
        <w:tc>
          <w:tcPr>
            <w:tcW w:w="6437" w:type="dxa"/>
            <w:tcBorders>
              <w:top w:val="single" w:color="000000" w:sz="4" w:space="0"/>
              <w:left w:val="single" w:color="000000" w:sz="4" w:space="0"/>
              <w:bottom w:val="single" w:color="000000" w:sz="4" w:space="0"/>
              <w:right w:val="single" w:color="000000" w:sz="4" w:space="0"/>
            </w:tcBorders>
            <w:vAlign w:val="center"/>
          </w:tcPr>
          <w:p w14:paraId="4DF3A95E">
            <w:pPr>
              <w:jc w:val="left"/>
              <w:rPr>
                <w:rFonts w:ascii="仿宋" w:hAnsi="仿宋" w:eastAsia="仿宋" w:cs="宋体"/>
                <w:sz w:val="24"/>
              </w:rPr>
            </w:pPr>
            <w:r>
              <w:rPr>
                <w:rFonts w:hint="eastAsia" w:ascii="仿宋" w:hAnsi="仿宋" w:eastAsia="仿宋" w:cs="宋体"/>
                <w:sz w:val="24"/>
              </w:rPr>
              <w:t>（</w:t>
            </w:r>
            <w:r>
              <w:rPr>
                <w:rFonts w:ascii="仿宋" w:hAnsi="仿宋" w:eastAsia="仿宋" w:cs="宋体"/>
                <w:sz w:val="24"/>
              </w:rPr>
              <w:t>1</w:t>
            </w:r>
            <w:r>
              <w:rPr>
                <w:rFonts w:hint="eastAsia" w:ascii="仿宋" w:hAnsi="仿宋" w:eastAsia="仿宋" w:cs="宋体"/>
                <w:sz w:val="24"/>
              </w:rPr>
              <w:t>）电子化投标文件采用双重加密方式。开标时，首先由投标人使用</w:t>
            </w:r>
            <w:r>
              <w:rPr>
                <w:rFonts w:ascii="仿宋" w:hAnsi="仿宋" w:eastAsia="仿宋" w:cs="宋体"/>
                <w:sz w:val="24"/>
              </w:rPr>
              <w:t xml:space="preserve"> CA </w:t>
            </w:r>
            <w:r>
              <w:rPr>
                <w:rFonts w:hint="eastAsia" w:ascii="仿宋" w:hAnsi="仿宋" w:eastAsia="仿宋" w:cs="宋体"/>
                <w:sz w:val="24"/>
              </w:rPr>
              <w:t>证书，在规定时间内对其电子化投标文件进行首次解密，投标人解密完成后，再由中介服务机构使用</w:t>
            </w:r>
            <w:r>
              <w:rPr>
                <w:rFonts w:ascii="仿宋" w:hAnsi="仿宋" w:eastAsia="仿宋" w:cs="宋体"/>
                <w:sz w:val="24"/>
              </w:rPr>
              <w:t xml:space="preserve"> CA </w:t>
            </w:r>
            <w:r>
              <w:rPr>
                <w:rFonts w:hint="eastAsia" w:ascii="仿宋" w:hAnsi="仿宋" w:eastAsia="仿宋" w:cs="宋体"/>
                <w:sz w:val="24"/>
              </w:rPr>
              <w:t>证书对投标文件进行再次解密。</w:t>
            </w:r>
          </w:p>
          <w:p w14:paraId="6F2B84CC">
            <w:pPr>
              <w:jc w:val="left"/>
              <w:rPr>
                <w:rFonts w:ascii="仿宋" w:hAnsi="仿宋" w:eastAsia="仿宋" w:cs="宋体"/>
                <w:sz w:val="24"/>
              </w:rPr>
            </w:pPr>
            <w:r>
              <w:rPr>
                <w:rFonts w:hint="eastAsia" w:ascii="仿宋" w:hAnsi="仿宋" w:eastAsia="仿宋" w:cs="宋体"/>
                <w:sz w:val="24"/>
              </w:rPr>
              <w:t>（</w:t>
            </w:r>
            <w:r>
              <w:rPr>
                <w:rFonts w:ascii="仿宋" w:hAnsi="仿宋" w:eastAsia="仿宋" w:cs="宋体"/>
                <w:sz w:val="24"/>
              </w:rPr>
              <w:t>2</w:t>
            </w:r>
            <w:r>
              <w:rPr>
                <w:rFonts w:hint="eastAsia" w:ascii="仿宋" w:hAnsi="仿宋" w:eastAsia="仿宋" w:cs="宋体"/>
                <w:sz w:val="24"/>
              </w:rPr>
              <w:t>）待所有投标人投标文件解密完成后，由中介服务机构操作，对所有已解密投标文件进行唱标。</w:t>
            </w:r>
          </w:p>
        </w:tc>
      </w:tr>
      <w:tr w14:paraId="6B8E00EF">
        <w:tblPrEx>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24B22D4E">
            <w:pPr>
              <w:jc w:val="center"/>
              <w:rPr>
                <w:rFonts w:ascii="仿宋" w:hAnsi="仿宋" w:eastAsia="仿宋" w:cs="宋体"/>
                <w:sz w:val="24"/>
              </w:rPr>
            </w:pPr>
            <w:r>
              <w:rPr>
                <w:rFonts w:hint="eastAsia" w:ascii="仿宋" w:hAnsi="仿宋" w:eastAsia="仿宋" w:cs="宋体"/>
                <w:sz w:val="24"/>
              </w:rPr>
              <w:t>27</w:t>
            </w:r>
          </w:p>
        </w:tc>
        <w:tc>
          <w:tcPr>
            <w:tcW w:w="1501" w:type="dxa"/>
            <w:tcBorders>
              <w:top w:val="single" w:color="000000" w:sz="4" w:space="0"/>
              <w:left w:val="single" w:color="000000" w:sz="4" w:space="0"/>
              <w:bottom w:val="single" w:color="000000" w:sz="4" w:space="0"/>
              <w:right w:val="single" w:color="000000" w:sz="4" w:space="0"/>
            </w:tcBorders>
            <w:vAlign w:val="center"/>
          </w:tcPr>
          <w:p w14:paraId="0E468E85">
            <w:pPr>
              <w:jc w:val="center"/>
              <w:rPr>
                <w:rFonts w:ascii="仿宋" w:hAnsi="仿宋" w:eastAsia="仿宋" w:cs="宋体"/>
                <w:sz w:val="24"/>
              </w:rPr>
            </w:pPr>
            <w:r>
              <w:rPr>
                <w:rFonts w:hint="eastAsia" w:ascii="仿宋" w:hAnsi="仿宋" w:eastAsia="仿宋" w:cs="宋体"/>
                <w:sz w:val="24"/>
              </w:rPr>
              <w:t>评标委员会的组建</w:t>
            </w:r>
          </w:p>
        </w:tc>
        <w:tc>
          <w:tcPr>
            <w:tcW w:w="6437" w:type="dxa"/>
            <w:tcBorders>
              <w:top w:val="single" w:color="000000" w:sz="4" w:space="0"/>
              <w:left w:val="single" w:color="000000" w:sz="4" w:space="0"/>
              <w:bottom w:val="single" w:color="000000" w:sz="4" w:space="0"/>
              <w:right w:val="single" w:color="000000" w:sz="4" w:space="0"/>
            </w:tcBorders>
            <w:vAlign w:val="center"/>
          </w:tcPr>
          <w:p w14:paraId="26AFFC96">
            <w:pPr>
              <w:jc w:val="left"/>
              <w:rPr>
                <w:rFonts w:hint="eastAsia" w:ascii="仿宋" w:hAnsi="仿宋" w:eastAsia="仿宋" w:cs="宋体"/>
                <w:sz w:val="24"/>
              </w:rPr>
            </w:pPr>
            <w:r>
              <w:rPr>
                <w:rFonts w:hint="eastAsia" w:ascii="仿宋" w:hAnsi="仿宋" w:eastAsia="仿宋" w:cs="宋体"/>
                <w:sz w:val="24"/>
              </w:rPr>
              <w:t xml:space="preserve">评标委员会构成：由采购人代表及相关技术、经济专家 </w:t>
            </w:r>
            <w:r>
              <w:rPr>
                <w:rFonts w:hint="eastAsia" w:ascii="仿宋" w:hAnsi="仿宋" w:eastAsia="仿宋" w:cs="宋体"/>
                <w:sz w:val="24"/>
                <w:lang w:val="en-US" w:eastAsia="zh-CN"/>
              </w:rPr>
              <w:t>5</w:t>
            </w:r>
            <w:r>
              <w:rPr>
                <w:rFonts w:hint="eastAsia" w:ascii="仿宋" w:hAnsi="仿宋" w:eastAsia="仿宋" w:cs="宋体"/>
                <w:sz w:val="24"/>
              </w:rPr>
              <w:t xml:space="preserve"> 人以上单数组成</w:t>
            </w:r>
            <w:r>
              <w:rPr>
                <w:rFonts w:hint="eastAsia" w:ascii="仿宋" w:hAnsi="仿宋" w:eastAsia="仿宋" w:cs="宋体"/>
                <w:sz w:val="24"/>
                <w:lang w:eastAsia="zh-CN"/>
              </w:rPr>
              <w:t>，其中评审专家不得少于成员总数的三分之二</w:t>
            </w:r>
            <w:r>
              <w:rPr>
                <w:rFonts w:hint="eastAsia" w:ascii="仿宋" w:hAnsi="仿宋" w:eastAsia="仿宋" w:cs="宋体"/>
                <w:sz w:val="24"/>
              </w:rPr>
              <w:t>。</w:t>
            </w:r>
          </w:p>
          <w:p w14:paraId="102D3AA1">
            <w:pPr>
              <w:jc w:val="left"/>
              <w:rPr>
                <w:rFonts w:hint="eastAsia" w:ascii="仿宋" w:hAnsi="仿宋" w:eastAsia="仿宋" w:cs="宋体"/>
                <w:sz w:val="24"/>
              </w:rPr>
            </w:pPr>
            <w:r>
              <w:rPr>
                <w:rFonts w:hint="eastAsia" w:ascii="仿宋" w:hAnsi="仿宋" w:eastAsia="仿宋" w:cs="宋体"/>
                <w:sz w:val="24"/>
              </w:rPr>
              <w:t>评标专家确定方式:由招标人从相关评标专家库中随机抽取。上述规定为一组评标专家组成方式，根据项目标段数量和评标工作量，可由多组专家完成评审，但一个标段只能由一组专家评审。</w:t>
            </w:r>
          </w:p>
          <w:p w14:paraId="593C51D4">
            <w:pPr>
              <w:jc w:val="left"/>
            </w:pPr>
            <w:r>
              <w:rPr>
                <w:rFonts w:hint="eastAsia" w:ascii="仿宋" w:hAnsi="仿宋" w:eastAsia="仿宋" w:cs="宋体"/>
                <w:sz w:val="24"/>
              </w:rPr>
              <w:t>参与评标的采购人代表由业主单位委托担任</w:t>
            </w:r>
          </w:p>
        </w:tc>
      </w:tr>
      <w:tr w14:paraId="41C582E8">
        <w:tblPrEx>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547FED18">
            <w:pPr>
              <w:jc w:val="center"/>
              <w:rPr>
                <w:rFonts w:ascii="仿宋" w:hAnsi="仿宋" w:eastAsia="仿宋" w:cs="宋体"/>
                <w:sz w:val="24"/>
              </w:rPr>
            </w:pPr>
            <w:r>
              <w:rPr>
                <w:rFonts w:hint="eastAsia" w:ascii="仿宋" w:hAnsi="仿宋" w:eastAsia="仿宋" w:cs="宋体"/>
                <w:sz w:val="24"/>
              </w:rPr>
              <w:t>28</w:t>
            </w:r>
          </w:p>
        </w:tc>
        <w:tc>
          <w:tcPr>
            <w:tcW w:w="1501" w:type="dxa"/>
            <w:tcBorders>
              <w:top w:val="single" w:color="000000" w:sz="4" w:space="0"/>
              <w:left w:val="single" w:color="000000" w:sz="4" w:space="0"/>
              <w:bottom w:val="single" w:color="000000" w:sz="4" w:space="0"/>
              <w:right w:val="single" w:color="000000" w:sz="4" w:space="0"/>
            </w:tcBorders>
            <w:vAlign w:val="center"/>
          </w:tcPr>
          <w:p w14:paraId="231BAD71">
            <w:pPr>
              <w:jc w:val="center"/>
              <w:rPr>
                <w:rFonts w:ascii="仿宋" w:hAnsi="仿宋" w:eastAsia="仿宋" w:cs="宋体"/>
                <w:sz w:val="24"/>
              </w:rPr>
            </w:pPr>
            <w:r>
              <w:rPr>
                <w:rFonts w:hint="eastAsia" w:ascii="仿宋" w:hAnsi="仿宋" w:eastAsia="仿宋" w:cs="宋体"/>
                <w:sz w:val="24"/>
              </w:rPr>
              <w:t>是否授权评标委会</w:t>
            </w:r>
          </w:p>
          <w:p w14:paraId="4745BE5A">
            <w:pPr>
              <w:jc w:val="center"/>
              <w:rPr>
                <w:rFonts w:ascii="仿宋" w:hAnsi="仿宋" w:eastAsia="仿宋" w:cs="宋体"/>
                <w:sz w:val="24"/>
              </w:rPr>
            </w:pPr>
            <w:r>
              <w:rPr>
                <w:rFonts w:hint="eastAsia" w:ascii="仿宋" w:hAnsi="仿宋" w:eastAsia="仿宋" w:cs="宋体"/>
                <w:sz w:val="24"/>
              </w:rPr>
              <w:t>确定中标人</w:t>
            </w:r>
          </w:p>
        </w:tc>
        <w:tc>
          <w:tcPr>
            <w:tcW w:w="6437" w:type="dxa"/>
            <w:tcBorders>
              <w:top w:val="single" w:color="000000" w:sz="4" w:space="0"/>
              <w:left w:val="single" w:color="000000" w:sz="4" w:space="0"/>
              <w:bottom w:val="single" w:color="000000" w:sz="4" w:space="0"/>
              <w:right w:val="single" w:color="000000" w:sz="4" w:space="0"/>
            </w:tcBorders>
            <w:vAlign w:val="center"/>
          </w:tcPr>
          <w:p w14:paraId="371A4684">
            <w:pPr>
              <w:jc w:val="left"/>
              <w:rPr>
                <w:rFonts w:ascii="仿宋" w:hAnsi="仿宋" w:eastAsia="仿宋" w:cs="宋体"/>
                <w:sz w:val="24"/>
              </w:rPr>
            </w:pPr>
            <w:r>
              <w:rPr>
                <w:rFonts w:hint="eastAsia" w:ascii="仿宋" w:hAnsi="仿宋" w:eastAsia="仿宋" w:cs="宋体"/>
                <w:sz w:val="24"/>
              </w:rPr>
              <w:t>否，由评标委员会按投标人最后得分高低推荐前1-3名为中标候选人。若排名第一的中标候选人放弃中标、因不可抗力提出不能履行合同，招标人可以确定第二中标候选人为中标人</w:t>
            </w:r>
            <w:r>
              <w:rPr>
                <w:rFonts w:hint="eastAsia" w:ascii="仿宋" w:hAnsi="仿宋" w:eastAsia="仿宋" w:cs="宋体"/>
                <w:sz w:val="24"/>
                <w:lang w:eastAsia="zh-CN"/>
              </w:rPr>
              <w:t>或</w:t>
            </w:r>
            <w:r>
              <w:rPr>
                <w:rFonts w:hint="eastAsia" w:ascii="仿宋" w:hAnsi="仿宋" w:eastAsia="仿宋" w:cs="宋体"/>
                <w:sz w:val="24"/>
              </w:rPr>
              <w:t>依法重新招标；依此类推。当所有中标候选人因上述原因不能签订合同的，招标人将依法重新招标。</w:t>
            </w:r>
          </w:p>
        </w:tc>
      </w:tr>
      <w:tr w14:paraId="07A748EC">
        <w:tblPrEx>
          <w:tblCellMar>
            <w:top w:w="0" w:type="dxa"/>
            <w:left w:w="0" w:type="dxa"/>
            <w:bottom w:w="0" w:type="dxa"/>
            <w:right w:w="0" w:type="dxa"/>
          </w:tblCellMar>
        </w:tblPrEx>
        <w:trPr>
          <w:trHeight w:val="431"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54FFF702">
            <w:pPr>
              <w:jc w:val="center"/>
              <w:rPr>
                <w:rFonts w:ascii="仿宋" w:hAnsi="仿宋" w:eastAsia="仿宋" w:cs="宋体"/>
                <w:sz w:val="24"/>
              </w:rPr>
            </w:pPr>
            <w:r>
              <w:rPr>
                <w:rFonts w:hint="eastAsia" w:ascii="仿宋" w:hAnsi="仿宋" w:eastAsia="仿宋" w:cs="宋体"/>
                <w:sz w:val="24"/>
              </w:rPr>
              <w:t>29</w:t>
            </w:r>
          </w:p>
        </w:tc>
        <w:tc>
          <w:tcPr>
            <w:tcW w:w="1501" w:type="dxa"/>
            <w:tcBorders>
              <w:top w:val="single" w:color="000000" w:sz="4" w:space="0"/>
              <w:left w:val="single" w:color="000000" w:sz="4" w:space="0"/>
              <w:bottom w:val="single" w:color="000000" w:sz="4" w:space="0"/>
              <w:right w:val="single" w:color="000000" w:sz="4" w:space="0"/>
            </w:tcBorders>
            <w:vAlign w:val="center"/>
          </w:tcPr>
          <w:p w14:paraId="7F793213">
            <w:pPr>
              <w:jc w:val="center"/>
              <w:rPr>
                <w:rFonts w:ascii="仿宋" w:hAnsi="仿宋" w:eastAsia="仿宋" w:cs="宋体"/>
                <w:sz w:val="24"/>
              </w:rPr>
            </w:pPr>
            <w:r>
              <w:rPr>
                <w:rFonts w:hint="eastAsia" w:ascii="仿宋" w:hAnsi="仿宋" w:eastAsia="仿宋" w:cs="宋体"/>
                <w:sz w:val="24"/>
              </w:rPr>
              <w:t>接收质疑函的方式和联系方式</w:t>
            </w:r>
          </w:p>
        </w:tc>
        <w:tc>
          <w:tcPr>
            <w:tcW w:w="6437" w:type="dxa"/>
            <w:tcBorders>
              <w:top w:val="single" w:color="000000" w:sz="4" w:space="0"/>
              <w:left w:val="single" w:color="000000" w:sz="4" w:space="0"/>
              <w:bottom w:val="single" w:color="000000" w:sz="4" w:space="0"/>
              <w:right w:val="single" w:color="000000" w:sz="4" w:space="0"/>
            </w:tcBorders>
            <w:vAlign w:val="center"/>
          </w:tcPr>
          <w:p w14:paraId="6AB45FFB">
            <w:pPr>
              <w:jc w:val="left"/>
              <w:rPr>
                <w:rFonts w:hint="eastAsia" w:ascii="仿宋" w:hAnsi="仿宋" w:eastAsia="仿宋" w:cs="宋体"/>
                <w:sz w:val="24"/>
              </w:rPr>
            </w:pPr>
            <w:r>
              <w:rPr>
                <w:rFonts w:hint="eastAsia" w:ascii="仿宋" w:hAnsi="仿宋" w:eastAsia="仿宋" w:cs="宋体"/>
                <w:sz w:val="24"/>
              </w:rPr>
              <w:t>质疑函应以书面形式同时向采购人和采购代理机构递交，质疑函的格式和内容应当符合相关法律法规的要求。联系方式如下：</w:t>
            </w:r>
          </w:p>
          <w:p w14:paraId="1D3AA511">
            <w:pPr>
              <w:jc w:val="left"/>
              <w:rPr>
                <w:rFonts w:hint="eastAsia" w:ascii="仿宋" w:hAnsi="仿宋" w:eastAsia="仿宋" w:cs="宋体"/>
                <w:sz w:val="24"/>
              </w:rPr>
            </w:pPr>
            <w:r>
              <w:rPr>
                <w:rFonts w:hint="eastAsia" w:ascii="仿宋" w:hAnsi="仿宋" w:eastAsia="仿宋" w:cs="宋体"/>
                <w:sz w:val="24"/>
              </w:rPr>
              <w:t>联系人：金广涛          联系电话：13323756823</w:t>
            </w:r>
          </w:p>
          <w:p w14:paraId="5D13F5F6">
            <w:pPr>
              <w:jc w:val="left"/>
              <w:rPr>
                <w:rFonts w:hint="eastAsia" w:ascii="仿宋" w:hAnsi="仿宋" w:eastAsia="仿宋" w:cs="宋体"/>
                <w:sz w:val="24"/>
              </w:rPr>
            </w:pPr>
            <w:r>
              <w:rPr>
                <w:rFonts w:hint="eastAsia" w:ascii="仿宋" w:hAnsi="仿宋" w:eastAsia="仿宋" w:cs="宋体"/>
                <w:sz w:val="24"/>
              </w:rPr>
              <w:t>对供应商提出的质疑，采购人、采购代理机构应当依法及时答复和处理，不得推诿扯皮故意刁难，须进行实质性回应。</w:t>
            </w:r>
          </w:p>
          <w:p w14:paraId="018423FE">
            <w:pPr>
              <w:jc w:val="left"/>
            </w:pPr>
            <w:r>
              <w:rPr>
                <w:rFonts w:hint="eastAsia" w:ascii="仿宋" w:hAnsi="仿宋" w:eastAsia="仿宋" w:cs="宋体"/>
                <w:b/>
                <w:bCs/>
                <w:sz w:val="24"/>
                <w:highlight w:val="none"/>
              </w:rPr>
              <w:t>供应商在法定质疑期内应当一次性提出针对同一采购程序环节的质疑，否则，采购人或代理机构将不予受理</w:t>
            </w:r>
            <w:r>
              <w:rPr>
                <w:rFonts w:hint="eastAsia" w:ascii="仿宋" w:hAnsi="仿宋" w:eastAsia="仿宋" w:cs="宋体"/>
                <w:sz w:val="24"/>
                <w:lang w:eastAsia="zh-CN"/>
              </w:rPr>
              <w:t>。</w:t>
            </w:r>
          </w:p>
        </w:tc>
      </w:tr>
      <w:tr w14:paraId="551159AB">
        <w:tblPrEx>
          <w:tblCellMar>
            <w:top w:w="0" w:type="dxa"/>
            <w:left w:w="0" w:type="dxa"/>
            <w:bottom w:w="0" w:type="dxa"/>
            <w:right w:w="0" w:type="dxa"/>
          </w:tblCellMar>
        </w:tblPrEx>
        <w:trPr>
          <w:trHeight w:val="691" w:hRule="atLeast"/>
        </w:trPr>
        <w:tc>
          <w:tcPr>
            <w:tcW w:w="858" w:type="dxa"/>
            <w:tcBorders>
              <w:top w:val="single" w:color="000000" w:sz="4" w:space="0"/>
              <w:left w:val="single" w:color="000000" w:sz="4" w:space="0"/>
              <w:right w:val="single" w:color="000000" w:sz="4" w:space="0"/>
            </w:tcBorders>
            <w:vAlign w:val="center"/>
          </w:tcPr>
          <w:p w14:paraId="0E9286AA">
            <w:pPr>
              <w:jc w:val="center"/>
              <w:rPr>
                <w:rFonts w:ascii="仿宋" w:hAnsi="仿宋" w:eastAsia="仿宋" w:cs="宋体"/>
                <w:sz w:val="24"/>
              </w:rPr>
            </w:pPr>
            <w:r>
              <w:rPr>
                <w:rFonts w:hint="eastAsia" w:ascii="仿宋" w:hAnsi="仿宋" w:eastAsia="仿宋" w:cs="宋体"/>
                <w:sz w:val="24"/>
              </w:rPr>
              <w:t>30</w:t>
            </w:r>
          </w:p>
        </w:tc>
        <w:tc>
          <w:tcPr>
            <w:tcW w:w="1501" w:type="dxa"/>
            <w:tcBorders>
              <w:top w:val="single" w:color="000000" w:sz="4" w:space="0"/>
              <w:left w:val="single" w:color="000000" w:sz="4" w:space="0"/>
              <w:right w:val="single" w:color="000000" w:sz="4" w:space="0"/>
            </w:tcBorders>
            <w:vAlign w:val="center"/>
          </w:tcPr>
          <w:p w14:paraId="6930769F">
            <w:pPr>
              <w:jc w:val="center"/>
              <w:rPr>
                <w:rFonts w:ascii="仿宋" w:hAnsi="仿宋" w:eastAsia="仿宋" w:cs="宋体"/>
                <w:sz w:val="24"/>
              </w:rPr>
            </w:pPr>
            <w:r>
              <w:rPr>
                <w:rFonts w:hint="eastAsia" w:ascii="仿宋" w:hAnsi="仿宋" w:eastAsia="仿宋" w:cs="宋体"/>
                <w:sz w:val="24"/>
              </w:rPr>
              <w:t>最高投标限价</w:t>
            </w:r>
          </w:p>
        </w:tc>
        <w:tc>
          <w:tcPr>
            <w:tcW w:w="6437" w:type="dxa"/>
            <w:tcBorders>
              <w:top w:val="single" w:color="000000" w:sz="4" w:space="0"/>
              <w:left w:val="single" w:color="000000" w:sz="4" w:space="0"/>
              <w:right w:val="single" w:color="000000" w:sz="4" w:space="0"/>
            </w:tcBorders>
            <w:vAlign w:val="center"/>
          </w:tcPr>
          <w:p w14:paraId="1EB1BEAF">
            <w:pPr>
              <w:jc w:val="left"/>
              <w:rPr>
                <w:rFonts w:hint="eastAsia" w:ascii="仿宋" w:hAnsi="仿宋" w:eastAsia="仿宋" w:cs="宋体"/>
                <w:b/>
                <w:bCs/>
                <w:sz w:val="24"/>
                <w:lang w:eastAsia="zh-CN"/>
              </w:rPr>
            </w:pPr>
            <w:r>
              <w:rPr>
                <w:rFonts w:hint="eastAsia" w:ascii="仿宋" w:hAnsi="仿宋" w:eastAsia="仿宋" w:cs="宋体"/>
                <w:b/>
                <w:bCs/>
                <w:sz w:val="24"/>
              </w:rPr>
              <w:t>最高限价：</w:t>
            </w:r>
            <w:r>
              <w:rPr>
                <w:rFonts w:hint="eastAsia" w:ascii="仿宋" w:hAnsi="仿宋" w:eastAsia="仿宋" w:cs="宋体"/>
                <w:b/>
                <w:bCs/>
                <w:sz w:val="24"/>
                <w:lang w:val="en-US" w:eastAsia="zh-CN"/>
              </w:rPr>
              <w:t>1800000.00</w:t>
            </w:r>
            <w:r>
              <w:rPr>
                <w:rFonts w:hint="eastAsia" w:ascii="仿宋" w:hAnsi="仿宋" w:eastAsia="仿宋" w:cs="宋体"/>
                <w:b/>
                <w:bCs/>
                <w:sz w:val="24"/>
              </w:rPr>
              <w:t>元</w:t>
            </w:r>
          </w:p>
          <w:p w14:paraId="036A8996">
            <w:pPr>
              <w:jc w:val="left"/>
              <w:rPr>
                <w:rFonts w:ascii="仿宋" w:hAnsi="仿宋" w:eastAsia="仿宋"/>
                <w:sz w:val="24"/>
              </w:rPr>
            </w:pPr>
            <w:r>
              <w:rPr>
                <w:rFonts w:hint="eastAsia" w:ascii="仿宋" w:hAnsi="仿宋" w:eastAsia="仿宋" w:cs="宋体"/>
                <w:sz w:val="24"/>
              </w:rPr>
              <w:t>注：超出最高限价按废标处理。</w:t>
            </w:r>
          </w:p>
        </w:tc>
      </w:tr>
      <w:tr w14:paraId="7093C959">
        <w:tblPrEx>
          <w:tblCellMar>
            <w:top w:w="0" w:type="dxa"/>
            <w:left w:w="0" w:type="dxa"/>
            <w:bottom w:w="0" w:type="dxa"/>
            <w:right w:w="0" w:type="dxa"/>
          </w:tblCellMar>
        </w:tblPrEx>
        <w:trPr>
          <w:trHeight w:val="2031"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31CB0F06">
            <w:pPr>
              <w:jc w:val="center"/>
              <w:rPr>
                <w:rFonts w:ascii="仿宋" w:hAnsi="仿宋" w:eastAsia="仿宋" w:cs="宋体"/>
                <w:color w:val="000000"/>
                <w:sz w:val="24"/>
              </w:rPr>
            </w:pPr>
            <w:r>
              <w:rPr>
                <w:rFonts w:hint="eastAsia" w:ascii="仿宋" w:hAnsi="仿宋" w:eastAsia="仿宋" w:cs="宋体"/>
                <w:color w:val="000000"/>
                <w:sz w:val="24"/>
              </w:rPr>
              <w:t>31</w:t>
            </w:r>
          </w:p>
        </w:tc>
        <w:tc>
          <w:tcPr>
            <w:tcW w:w="1501" w:type="dxa"/>
            <w:tcBorders>
              <w:top w:val="single" w:color="000000" w:sz="4" w:space="0"/>
              <w:left w:val="single" w:color="000000" w:sz="4" w:space="0"/>
              <w:bottom w:val="single" w:color="000000" w:sz="4" w:space="0"/>
              <w:right w:val="single" w:color="000000" w:sz="4" w:space="0"/>
            </w:tcBorders>
            <w:vAlign w:val="center"/>
          </w:tcPr>
          <w:p w14:paraId="254A8A3A">
            <w:pPr>
              <w:jc w:val="center"/>
              <w:rPr>
                <w:rFonts w:ascii="仿宋" w:hAnsi="仿宋" w:eastAsia="仿宋" w:cs="宋体"/>
                <w:sz w:val="24"/>
              </w:rPr>
            </w:pPr>
            <w:r>
              <w:rPr>
                <w:rFonts w:ascii="仿宋" w:hAnsi="仿宋" w:eastAsia="仿宋" w:cs="宋体"/>
                <w:sz w:val="24"/>
              </w:rPr>
              <w:t>招标代理服务费</w:t>
            </w:r>
          </w:p>
        </w:tc>
        <w:tc>
          <w:tcPr>
            <w:tcW w:w="6437" w:type="dxa"/>
            <w:tcBorders>
              <w:top w:val="single" w:color="000000" w:sz="4" w:space="0"/>
              <w:left w:val="single" w:color="000000" w:sz="4" w:space="0"/>
              <w:bottom w:val="single" w:color="000000" w:sz="4" w:space="0"/>
              <w:right w:val="single" w:color="000000" w:sz="4" w:space="0"/>
            </w:tcBorders>
            <w:vAlign w:val="center"/>
          </w:tcPr>
          <w:p w14:paraId="15815450">
            <w:pPr>
              <w:jc w:val="left"/>
              <w:rPr>
                <w:rFonts w:ascii="仿宋" w:hAnsi="仿宋" w:eastAsia="仿宋" w:cs="宋体"/>
                <w:sz w:val="24"/>
              </w:rPr>
            </w:pPr>
            <w:r>
              <w:rPr>
                <w:rFonts w:hint="eastAsia" w:ascii="仿宋" w:hAnsi="仿宋" w:eastAsia="仿宋" w:cs="宋体"/>
                <w:sz w:val="24"/>
              </w:rPr>
              <w:t>招标代理费参照豫招协【2023】002号文件</w:t>
            </w:r>
            <w:r>
              <w:rPr>
                <w:rFonts w:hint="eastAsia" w:ascii="仿宋" w:hAnsi="仿宋" w:eastAsia="仿宋" w:cs="宋体"/>
                <w:sz w:val="24"/>
                <w:lang w:eastAsia="zh-CN"/>
              </w:rPr>
              <w:t>服务类标准上浮</w:t>
            </w:r>
            <w:r>
              <w:rPr>
                <w:rFonts w:hint="eastAsia" w:ascii="仿宋" w:hAnsi="仿宋" w:eastAsia="仿宋" w:cs="宋体"/>
                <w:sz w:val="24"/>
                <w:lang w:val="en-US" w:eastAsia="zh-CN"/>
              </w:rPr>
              <w:t>15%</w:t>
            </w:r>
            <w:r>
              <w:rPr>
                <w:rFonts w:hint="eastAsia" w:ascii="仿宋" w:hAnsi="仿宋" w:eastAsia="仿宋" w:cs="宋体"/>
                <w:sz w:val="24"/>
              </w:rPr>
              <w:t>，中标单位领取中标通知书时一次性向代理公司交纳。</w:t>
            </w:r>
          </w:p>
          <w:p w14:paraId="57731B82">
            <w:pPr>
              <w:jc w:val="left"/>
              <w:rPr>
                <w:rFonts w:ascii="仿宋" w:hAnsi="仿宋" w:eastAsia="仿宋" w:cs="宋体"/>
                <w:sz w:val="24"/>
              </w:rPr>
            </w:pPr>
            <w:r>
              <w:rPr>
                <w:rFonts w:hint="eastAsia" w:ascii="仿宋" w:hAnsi="仿宋" w:eastAsia="仿宋" w:cs="宋体"/>
                <w:sz w:val="24"/>
              </w:rPr>
              <w:t>此费用由投标人综合考虑到投标报价中，不再单独列项。</w:t>
            </w:r>
          </w:p>
        </w:tc>
      </w:tr>
      <w:tr w14:paraId="6BD4EAA9">
        <w:tblPrEx>
          <w:tblCellMar>
            <w:top w:w="0" w:type="dxa"/>
            <w:left w:w="0" w:type="dxa"/>
            <w:bottom w:w="0" w:type="dxa"/>
            <w:right w:w="0" w:type="dxa"/>
          </w:tblCellMar>
        </w:tblPrEx>
        <w:trPr>
          <w:trHeight w:val="139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3E23E4FD">
            <w:pPr>
              <w:jc w:val="center"/>
              <w:rPr>
                <w:rFonts w:ascii="仿宋" w:hAnsi="仿宋" w:eastAsia="仿宋" w:cs="宋体"/>
                <w:sz w:val="24"/>
              </w:rPr>
            </w:pPr>
            <w:r>
              <w:rPr>
                <w:rFonts w:hint="eastAsia" w:ascii="仿宋" w:hAnsi="仿宋" w:eastAsia="仿宋" w:cs="宋体"/>
                <w:sz w:val="24"/>
              </w:rPr>
              <w:t>32</w:t>
            </w:r>
          </w:p>
        </w:tc>
        <w:tc>
          <w:tcPr>
            <w:tcW w:w="1501" w:type="dxa"/>
            <w:tcBorders>
              <w:top w:val="single" w:color="000000" w:sz="4" w:space="0"/>
              <w:left w:val="single" w:color="000000" w:sz="4" w:space="0"/>
              <w:bottom w:val="single" w:color="000000" w:sz="4" w:space="0"/>
              <w:right w:val="single" w:color="000000" w:sz="4" w:space="0"/>
            </w:tcBorders>
            <w:vAlign w:val="center"/>
          </w:tcPr>
          <w:p w14:paraId="7C37DB10">
            <w:pPr>
              <w:jc w:val="center"/>
              <w:rPr>
                <w:rFonts w:ascii="仿宋" w:hAnsi="仿宋" w:eastAsia="仿宋" w:cs="宋体"/>
                <w:sz w:val="24"/>
                <w:highlight w:val="none"/>
              </w:rPr>
            </w:pPr>
            <w:r>
              <w:rPr>
                <w:rFonts w:hint="eastAsia" w:ascii="仿宋" w:hAnsi="仿宋" w:eastAsia="仿宋" w:cs="宋体"/>
                <w:sz w:val="24"/>
                <w:highlight w:val="none"/>
              </w:rPr>
              <w:t>付款方式</w:t>
            </w:r>
          </w:p>
        </w:tc>
        <w:tc>
          <w:tcPr>
            <w:tcW w:w="6437" w:type="dxa"/>
            <w:tcBorders>
              <w:top w:val="single" w:color="000000" w:sz="4" w:space="0"/>
              <w:left w:val="single" w:color="000000" w:sz="4" w:space="0"/>
              <w:bottom w:val="single" w:color="000000" w:sz="4" w:space="0"/>
              <w:right w:val="single" w:color="000000" w:sz="4" w:space="0"/>
            </w:tcBorders>
            <w:vAlign w:val="center"/>
          </w:tcPr>
          <w:p w14:paraId="0C5E7CF9">
            <w:pPr>
              <w:jc w:val="left"/>
              <w:rPr>
                <w:rFonts w:ascii="仿宋" w:hAnsi="仿宋" w:eastAsia="仿宋" w:cs="宋体"/>
                <w:sz w:val="24"/>
                <w:highlight w:val="none"/>
              </w:rPr>
            </w:pPr>
            <w:r>
              <w:rPr>
                <w:rFonts w:hint="eastAsia" w:ascii="仿宋" w:hAnsi="仿宋" w:eastAsia="仿宋" w:cs="宋体"/>
                <w:sz w:val="24"/>
                <w:highlight w:val="none"/>
              </w:rPr>
              <w:t>在运营服务期限内，服务结算周期为一个季度，甲方每季度支付乙方运营服务费用，乙方向甲方出具服务发票（甲方收到乙方出具的服务发票后7个工作日内与乙方结算）。</w:t>
            </w:r>
          </w:p>
        </w:tc>
      </w:tr>
      <w:tr w14:paraId="23FB18F7">
        <w:tblPrEx>
          <w:tblCellMar>
            <w:top w:w="0" w:type="dxa"/>
            <w:left w:w="0" w:type="dxa"/>
            <w:bottom w:w="0" w:type="dxa"/>
            <w:right w:w="0" w:type="dxa"/>
          </w:tblCellMar>
        </w:tblPrEx>
        <w:trPr>
          <w:trHeight w:val="274"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7A01E4D7">
            <w:pPr>
              <w:jc w:val="center"/>
              <w:rPr>
                <w:rFonts w:ascii="仿宋" w:hAnsi="仿宋" w:eastAsia="仿宋" w:cs="宋体"/>
                <w:sz w:val="24"/>
              </w:rPr>
            </w:pPr>
            <w:r>
              <w:rPr>
                <w:rFonts w:hint="eastAsia" w:ascii="仿宋" w:hAnsi="仿宋" w:eastAsia="仿宋" w:cs="宋体"/>
                <w:sz w:val="24"/>
              </w:rPr>
              <w:t>33</w:t>
            </w:r>
          </w:p>
        </w:tc>
        <w:tc>
          <w:tcPr>
            <w:tcW w:w="1501" w:type="dxa"/>
            <w:tcBorders>
              <w:top w:val="single" w:color="000000" w:sz="4" w:space="0"/>
              <w:left w:val="single" w:color="000000" w:sz="4" w:space="0"/>
              <w:bottom w:val="single" w:color="000000" w:sz="4" w:space="0"/>
              <w:right w:val="single" w:color="000000" w:sz="4" w:space="0"/>
            </w:tcBorders>
            <w:vAlign w:val="center"/>
          </w:tcPr>
          <w:p w14:paraId="31EC6DA1">
            <w:pPr>
              <w:spacing w:line="360" w:lineRule="auto"/>
              <w:jc w:val="center"/>
              <w:rPr>
                <w:rFonts w:ascii="仿宋" w:hAnsi="仿宋" w:eastAsia="仿宋" w:cs="宋体"/>
                <w:b/>
                <w:sz w:val="24"/>
              </w:rPr>
            </w:pPr>
            <w:r>
              <w:rPr>
                <w:rFonts w:hint="eastAsia" w:ascii="仿宋" w:hAnsi="仿宋" w:eastAsia="仿宋" w:cs="宋体"/>
                <w:b/>
                <w:sz w:val="24"/>
              </w:rPr>
              <w:t>政采领域优化营商环境相关政策</w:t>
            </w:r>
          </w:p>
          <w:p w14:paraId="42D0EDE8">
            <w:pPr>
              <w:spacing w:line="360" w:lineRule="auto"/>
              <w:jc w:val="center"/>
              <w:rPr>
                <w:rFonts w:ascii="仿宋" w:hAnsi="仿宋" w:eastAsia="仿宋" w:cs="宋体"/>
                <w:sz w:val="24"/>
              </w:rPr>
            </w:pPr>
          </w:p>
        </w:tc>
        <w:tc>
          <w:tcPr>
            <w:tcW w:w="6437" w:type="dxa"/>
            <w:tcBorders>
              <w:top w:val="single" w:color="000000" w:sz="4" w:space="0"/>
              <w:left w:val="single" w:color="000000" w:sz="4" w:space="0"/>
              <w:bottom w:val="single" w:color="000000" w:sz="4" w:space="0"/>
              <w:right w:val="single" w:color="000000" w:sz="4" w:space="0"/>
            </w:tcBorders>
            <w:vAlign w:val="center"/>
          </w:tcPr>
          <w:p w14:paraId="58AD0AB3">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一、落实四个“一日办”精神：</w:t>
            </w:r>
          </w:p>
          <w:p w14:paraId="67102864">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按照《平顶山市财政局关于压减政府采购各环节时限 进一步优化政府采购营商环境的通知》（平财购〔2021〕34号）通知，落实四个“一日办”精神：</w:t>
            </w:r>
          </w:p>
          <w:p w14:paraId="20CDD726">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（1）在评审结束后1日内确定采购结果，同时对中标单位发出中标或成交通知书，并在网上进行公告；</w:t>
            </w:r>
          </w:p>
          <w:p w14:paraId="764EDA37">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（2）中标或成交通知书发出后，1日内与中标或成交供应商签订合同，合同签订当日完成合同备案工作；</w:t>
            </w:r>
          </w:p>
          <w:p w14:paraId="6487D423">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（3）政府采购项目供应商履约完成后，采购人应在供应商提出验收申请1个工作日内完成验收，同时在平顶山市政府采购网发布验收结果公告；</w:t>
            </w:r>
          </w:p>
          <w:p w14:paraId="4B63DA3D">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（4）验收合格具备付款条件的项目，采购人要在1个工作日内按照合同约定支付项目资金。</w:t>
            </w:r>
          </w:p>
          <w:p w14:paraId="2396AB5E">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注：签合同需法定代表人携带本人身份证（如为授权委托人，则携带法定代表人授权委托书及本人身份证）、单位公章、合同纸质版本一式六份及合同电子版。</w:t>
            </w:r>
          </w:p>
          <w:p w14:paraId="0E631CF1">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二、维护企业在政府采购活动中的知情权</w:t>
            </w:r>
          </w:p>
          <w:p w14:paraId="652AD6CD">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72B3C925">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三、提供中小企业声明函格式</w:t>
            </w:r>
          </w:p>
          <w:p w14:paraId="24B1C2C5">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在采购文件中，采购代理机构应按照财政部、工信部印发的《政府采购促进中小企业发展管理办法》的通知精神（财库〔2020〕46号）提供中小企业声明函格式。</w:t>
            </w:r>
          </w:p>
          <w:p w14:paraId="7C349289">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根据《政府采购促进中小企业发展管理办法》（财库〔2020〕46号）第四条：在政府采购活动中，供应商提供的货物、工程或者服务符合下列情形的，享受本办法规定的中小企业扶持政策：</w:t>
            </w:r>
          </w:p>
          <w:p w14:paraId="5CDAED08">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（一）在货物采购项目中，货物由中小企业制造，即货物由中小企业生产且使用该中小企业商号或者注册商标；</w:t>
            </w:r>
          </w:p>
          <w:p w14:paraId="0657F6C1">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（二）在工程采购项目中，工程由中小企业承建，即工程施工单位为中小企业；</w:t>
            </w:r>
          </w:p>
          <w:p w14:paraId="39E0E018">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（三）在服务采购项目中，服务由中小企业承接，即提供服务的人员为中小企业依照《中华人民共和国劳动合同法》订立劳动合同的从业人员。</w:t>
            </w:r>
          </w:p>
          <w:p w14:paraId="0A69A3ED">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在货物采购项目中，供应商提供的货物既有中小企业制</w:t>
            </w:r>
          </w:p>
          <w:p w14:paraId="5585CD83">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造货物，也有大型企业制造货物的，不享受本办法规定的中小企业扶持政策。</w:t>
            </w:r>
          </w:p>
          <w:p w14:paraId="2E7A9EC0">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以联合体形式参加政府采购活动，联合体各方均为中小企业的，联合体视同中小企业。其中，联合体各方均为小微企业的，联合体视同小微企业。</w:t>
            </w:r>
          </w:p>
          <w:p w14:paraId="02339C70">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四、推广政府采购合同融资</w:t>
            </w:r>
          </w:p>
          <w:p w14:paraId="3EEE8BAA">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要求采购人和代理机构将“政府采购合同融资告知函”写入招标文件，鼓励中标供应商凭借采购合同申请贷款，助力解决中小企业融资难、融资贵的问题。</w:t>
            </w:r>
          </w:p>
          <w:p w14:paraId="51B68292">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五、落实预留采购份额</w:t>
            </w:r>
          </w:p>
          <w:p w14:paraId="06691A4E">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14:paraId="14E686DC">
            <w:pPr>
              <w:pStyle w:val="16"/>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六、落实价格评审优惠政策</w:t>
            </w:r>
          </w:p>
          <w:p w14:paraId="29F6C951">
            <w:pPr>
              <w:pStyle w:val="16"/>
              <w:ind w:left="105" w:leftChars="50" w:firstLine="210"/>
              <w:jc w:val="left"/>
              <w:rPr>
                <w:rFonts w:ascii="仿宋" w:hAnsi="仿宋" w:eastAsia="仿宋" w:cs="宋体"/>
                <w:sz w:val="24"/>
              </w:rPr>
            </w:pPr>
            <w:r>
              <w:rPr>
                <w:rFonts w:hint="eastAsia" w:ascii="仿宋" w:hAnsi="仿宋" w:eastAsia="仿宋" w:cs="宋体"/>
                <w:sz w:val="24"/>
                <w:lang w:eastAsia="zh-CN"/>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 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从高选择价格扣除比例和评审优惠幅度，支持中小企业发展。上述政策应当在评审办法中注明确定值。</w:t>
            </w:r>
          </w:p>
        </w:tc>
      </w:tr>
      <w:tr w14:paraId="3B4CBC1A">
        <w:tblPrEx>
          <w:tblCellMar>
            <w:top w:w="0" w:type="dxa"/>
            <w:left w:w="0" w:type="dxa"/>
            <w:bottom w:w="0" w:type="dxa"/>
            <w:right w:w="0" w:type="dxa"/>
          </w:tblCellMar>
        </w:tblPrEx>
        <w:trPr>
          <w:trHeight w:val="1830"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439A659C">
            <w:pPr>
              <w:jc w:val="center"/>
              <w:rPr>
                <w:rFonts w:ascii="仿宋" w:hAnsi="仿宋" w:eastAsia="仿宋" w:cs="宋体"/>
                <w:sz w:val="24"/>
              </w:rPr>
            </w:pPr>
            <w:r>
              <w:rPr>
                <w:rFonts w:hint="eastAsia" w:ascii="仿宋" w:hAnsi="仿宋" w:eastAsia="仿宋" w:cs="宋体"/>
                <w:sz w:val="24"/>
              </w:rPr>
              <w:t>34</w:t>
            </w:r>
          </w:p>
        </w:tc>
        <w:tc>
          <w:tcPr>
            <w:tcW w:w="1501" w:type="dxa"/>
            <w:tcBorders>
              <w:top w:val="single" w:color="000000" w:sz="4" w:space="0"/>
              <w:left w:val="single" w:color="000000" w:sz="4" w:space="0"/>
              <w:bottom w:val="single" w:color="000000" w:sz="4" w:space="0"/>
              <w:right w:val="single" w:color="000000" w:sz="4" w:space="0"/>
            </w:tcBorders>
            <w:vAlign w:val="center"/>
          </w:tcPr>
          <w:p w14:paraId="49245E0D">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落实绿色产品（节能产品、环境标志产品）优先采购政策。</w:t>
            </w:r>
          </w:p>
        </w:tc>
        <w:tc>
          <w:tcPr>
            <w:tcW w:w="6437" w:type="dxa"/>
            <w:tcBorders>
              <w:top w:val="single" w:color="000000" w:sz="4" w:space="0"/>
              <w:left w:val="single" w:color="000000" w:sz="4" w:space="0"/>
              <w:bottom w:val="single" w:color="000000" w:sz="4" w:space="0"/>
              <w:right w:val="single" w:color="000000" w:sz="4" w:space="0"/>
            </w:tcBorders>
            <w:vAlign w:val="center"/>
          </w:tcPr>
          <w:p w14:paraId="41EB73A6">
            <w:pPr>
              <w:rPr>
                <w:rFonts w:hint="eastAsia" w:ascii="仿宋" w:hAnsi="仿宋" w:eastAsia="仿宋" w:cs="宋体"/>
                <w:sz w:val="24"/>
                <w:highlight w:val="none"/>
                <w:lang w:eastAsia="zh-CN"/>
              </w:rPr>
            </w:pPr>
            <w:r>
              <w:rPr>
                <w:rFonts w:hint="eastAsia" w:ascii="仿宋" w:hAnsi="仿宋" w:eastAsia="仿宋" w:cs="宋体"/>
                <w:sz w:val="24"/>
                <w:lang w:eastAsia="zh-CN"/>
              </w:rPr>
              <w:t>不适用</w:t>
            </w:r>
          </w:p>
        </w:tc>
      </w:tr>
      <w:tr w14:paraId="372306A0">
        <w:tblPrEx>
          <w:tblCellMar>
            <w:top w:w="0" w:type="dxa"/>
            <w:left w:w="0" w:type="dxa"/>
            <w:bottom w:w="0" w:type="dxa"/>
            <w:right w:w="0" w:type="dxa"/>
          </w:tblCellMar>
        </w:tblPrEx>
        <w:trPr>
          <w:trHeight w:val="274"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5BC2F2DE">
            <w:pPr>
              <w:jc w:val="center"/>
              <w:rPr>
                <w:rFonts w:ascii="仿宋" w:hAnsi="仿宋" w:eastAsia="仿宋" w:cs="宋体"/>
                <w:color w:val="000000"/>
                <w:sz w:val="24"/>
              </w:rPr>
            </w:pPr>
            <w:r>
              <w:rPr>
                <w:rFonts w:hint="eastAsia" w:ascii="仿宋" w:hAnsi="仿宋" w:eastAsia="仿宋" w:cs="宋体"/>
                <w:color w:val="000000"/>
                <w:sz w:val="24"/>
              </w:rPr>
              <w:t>35</w:t>
            </w:r>
          </w:p>
        </w:tc>
        <w:tc>
          <w:tcPr>
            <w:tcW w:w="1501" w:type="dxa"/>
            <w:tcBorders>
              <w:top w:val="single" w:color="000000" w:sz="4" w:space="0"/>
              <w:left w:val="single" w:color="000000" w:sz="4" w:space="0"/>
              <w:bottom w:val="single" w:color="000000" w:sz="4" w:space="0"/>
              <w:right w:val="single" w:color="000000" w:sz="4" w:space="0"/>
            </w:tcBorders>
            <w:vAlign w:val="center"/>
          </w:tcPr>
          <w:p w14:paraId="075CF033">
            <w:pPr>
              <w:spacing w:line="360" w:lineRule="auto"/>
              <w:jc w:val="center"/>
              <w:rPr>
                <w:rFonts w:ascii="仿宋" w:hAnsi="仿宋" w:eastAsia="仿宋" w:cs="宋体"/>
                <w:b/>
                <w:sz w:val="24"/>
              </w:rPr>
            </w:pPr>
            <w:r>
              <w:rPr>
                <w:rFonts w:hint="eastAsia" w:ascii="仿宋" w:hAnsi="仿宋" w:eastAsia="仿宋" w:cs="宋体"/>
                <w:b/>
                <w:sz w:val="24"/>
              </w:rPr>
              <w:t>本项目所属行业</w:t>
            </w:r>
          </w:p>
        </w:tc>
        <w:tc>
          <w:tcPr>
            <w:tcW w:w="6437" w:type="dxa"/>
            <w:tcBorders>
              <w:top w:val="single" w:color="000000" w:sz="4" w:space="0"/>
              <w:left w:val="single" w:color="000000" w:sz="4" w:space="0"/>
              <w:bottom w:val="single" w:color="000000" w:sz="4" w:space="0"/>
              <w:right w:val="single" w:color="000000" w:sz="4" w:space="0"/>
            </w:tcBorders>
            <w:vAlign w:val="center"/>
          </w:tcPr>
          <w:p w14:paraId="09D3D5EE">
            <w:pPr>
              <w:rPr>
                <w:rFonts w:hint="default" w:ascii="仿宋" w:hAnsi="仿宋" w:eastAsia="仿宋" w:cs="宋体"/>
                <w:color w:val="auto"/>
                <w:kern w:val="2"/>
                <w:sz w:val="24"/>
                <w:szCs w:val="22"/>
                <w:shd w:val="clear" w:color="auto" w:fill="auto"/>
                <w:lang w:val="en-US" w:eastAsia="zh-CN" w:bidi="ar-SA"/>
              </w:rPr>
            </w:pPr>
            <w:r>
              <w:rPr>
                <w:rFonts w:hint="eastAsia" w:ascii="仿宋" w:hAnsi="仿宋" w:eastAsia="仿宋" w:cs="宋体"/>
                <w:color w:val="auto"/>
                <w:kern w:val="2"/>
                <w:sz w:val="24"/>
                <w:szCs w:val="22"/>
                <w:shd w:val="clear" w:color="auto" w:fill="auto"/>
                <w:lang w:val="zh-TW" w:eastAsia="zh-CN" w:bidi="ar-SA"/>
              </w:rPr>
              <w:t>标的：</w:t>
            </w:r>
            <w:r>
              <w:rPr>
                <w:rFonts w:hint="eastAsia" w:ascii="仿宋" w:hAnsi="仿宋" w:eastAsia="仿宋" w:cs="宋体"/>
                <w:color w:val="auto"/>
                <w:kern w:val="2"/>
                <w:sz w:val="24"/>
                <w:szCs w:val="22"/>
                <w:shd w:val="clear" w:color="auto" w:fill="auto"/>
                <w:lang w:val="en-US" w:eastAsia="zh-CN" w:bidi="ar-SA"/>
              </w:rPr>
              <w:t>平顶山市妇幼保健院母婴中心服务项目</w:t>
            </w:r>
          </w:p>
          <w:p w14:paraId="39142CBA">
            <w:pPr>
              <w:rPr>
                <w:rFonts w:hint="eastAsia" w:ascii="仿宋" w:hAnsi="仿宋" w:eastAsia="仿宋" w:cs="宋体"/>
                <w:color w:val="auto"/>
                <w:kern w:val="2"/>
                <w:sz w:val="24"/>
                <w:szCs w:val="22"/>
                <w:shd w:val="clear" w:color="auto" w:fill="auto"/>
                <w:lang w:val="en-US" w:eastAsia="zh-CN" w:bidi="ar-SA"/>
              </w:rPr>
            </w:pPr>
            <w:r>
              <w:rPr>
                <w:rFonts w:hint="eastAsia" w:ascii="仿宋" w:hAnsi="仿宋" w:eastAsia="仿宋" w:cs="宋体"/>
                <w:color w:val="auto"/>
                <w:kern w:val="2"/>
                <w:sz w:val="24"/>
                <w:szCs w:val="22"/>
                <w:shd w:val="clear" w:color="auto" w:fill="auto"/>
                <w:lang w:val="zh-TW" w:eastAsia="zh-CN" w:bidi="ar-SA"/>
              </w:rPr>
              <w:t>属于：租赁和商务服务业</w:t>
            </w:r>
            <w:r>
              <w:rPr>
                <w:rFonts w:hint="eastAsia" w:ascii="仿宋" w:hAnsi="仿宋" w:eastAsia="仿宋" w:cs="宋体"/>
                <w:color w:val="auto"/>
                <w:kern w:val="2"/>
                <w:sz w:val="24"/>
                <w:szCs w:val="22"/>
                <w:shd w:val="clear" w:color="auto" w:fill="auto"/>
                <w:lang w:val="en-US" w:eastAsia="zh-CN" w:bidi="ar-SA"/>
              </w:rPr>
              <w:t xml:space="preserve">（行业属性划分参照关于印发中小企业划型标准规定的通知(工信部联企业〔2011〕300号)  </w:t>
            </w:r>
          </w:p>
        </w:tc>
      </w:tr>
      <w:tr w14:paraId="6D2BD050">
        <w:tblPrEx>
          <w:tblCellMar>
            <w:top w:w="0" w:type="dxa"/>
            <w:left w:w="0" w:type="dxa"/>
            <w:bottom w:w="0" w:type="dxa"/>
            <w:right w:w="0" w:type="dxa"/>
          </w:tblCellMar>
        </w:tblPrEx>
        <w:trPr>
          <w:trHeight w:val="274"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13F533B2">
            <w:pPr>
              <w:jc w:val="center"/>
              <w:rPr>
                <w:rFonts w:ascii="仿宋" w:hAnsi="仿宋" w:eastAsia="仿宋" w:cs="宋体"/>
                <w:color w:val="000000"/>
                <w:sz w:val="24"/>
              </w:rPr>
            </w:pPr>
            <w:r>
              <w:rPr>
                <w:rFonts w:hint="eastAsia" w:ascii="仿宋" w:hAnsi="仿宋" w:eastAsia="仿宋" w:cs="宋体"/>
                <w:color w:val="000000"/>
                <w:sz w:val="24"/>
              </w:rPr>
              <w:t>36</w:t>
            </w:r>
          </w:p>
        </w:tc>
        <w:tc>
          <w:tcPr>
            <w:tcW w:w="1501" w:type="dxa"/>
            <w:tcBorders>
              <w:top w:val="single" w:color="000000" w:sz="4" w:space="0"/>
              <w:left w:val="single" w:color="000000" w:sz="4" w:space="0"/>
              <w:bottom w:val="single" w:color="000000" w:sz="4" w:space="0"/>
              <w:right w:val="single" w:color="000000" w:sz="4" w:space="0"/>
            </w:tcBorders>
            <w:vAlign w:val="center"/>
          </w:tcPr>
          <w:p w14:paraId="6E00AA78">
            <w:pPr>
              <w:spacing w:line="360" w:lineRule="auto"/>
              <w:jc w:val="center"/>
              <w:rPr>
                <w:rFonts w:ascii="仿宋" w:hAnsi="仿宋" w:eastAsia="仿宋" w:cs="宋体"/>
                <w:b/>
                <w:color w:val="auto"/>
                <w:sz w:val="24"/>
                <w:shd w:val="clear" w:color="auto" w:fill="auto"/>
              </w:rPr>
            </w:pPr>
            <w:r>
              <w:rPr>
                <w:rFonts w:hint="eastAsia" w:ascii="仿宋" w:hAnsi="仿宋" w:eastAsia="仿宋" w:cs="宋体"/>
                <w:b/>
                <w:color w:val="auto"/>
                <w:sz w:val="24"/>
                <w:shd w:val="clear" w:color="auto" w:fill="auto"/>
              </w:rPr>
              <w:t>核心产品</w:t>
            </w:r>
          </w:p>
        </w:tc>
        <w:tc>
          <w:tcPr>
            <w:tcW w:w="6437" w:type="dxa"/>
            <w:tcBorders>
              <w:top w:val="single" w:color="000000" w:sz="4" w:space="0"/>
              <w:left w:val="single" w:color="000000" w:sz="4" w:space="0"/>
              <w:bottom w:val="single" w:color="000000" w:sz="4" w:space="0"/>
              <w:right w:val="single" w:color="000000" w:sz="4" w:space="0"/>
            </w:tcBorders>
            <w:vAlign w:val="center"/>
          </w:tcPr>
          <w:p w14:paraId="554697A7">
            <w:pPr>
              <w:pStyle w:val="8"/>
              <w:rPr>
                <w:rFonts w:hint="eastAsia" w:ascii="仿宋" w:hAnsi="仿宋" w:eastAsia="仿宋" w:cs="宋体"/>
                <w:color w:val="auto"/>
                <w:kern w:val="2"/>
                <w:sz w:val="24"/>
                <w:szCs w:val="22"/>
                <w:shd w:val="clear" w:color="auto" w:fill="auto"/>
                <w:lang w:val="zh-TW" w:eastAsia="zh-CN" w:bidi="ar-SA"/>
              </w:rPr>
            </w:pPr>
            <w:r>
              <w:rPr>
                <w:rFonts w:hint="eastAsia" w:ascii="仿宋" w:hAnsi="仿宋" w:eastAsia="仿宋" w:cs="宋体"/>
                <w:color w:val="auto"/>
                <w:kern w:val="2"/>
                <w:sz w:val="24"/>
                <w:szCs w:val="22"/>
                <w:shd w:val="clear" w:color="auto" w:fill="auto"/>
                <w:lang w:val="zh-TW" w:eastAsia="zh-CN" w:bidi="ar-SA"/>
              </w:rPr>
              <w:t>不适用</w:t>
            </w:r>
          </w:p>
        </w:tc>
      </w:tr>
      <w:tr w14:paraId="6A5E92BB">
        <w:tblPrEx>
          <w:tblCellMar>
            <w:top w:w="0" w:type="dxa"/>
            <w:left w:w="0" w:type="dxa"/>
            <w:bottom w:w="0" w:type="dxa"/>
            <w:right w:w="0" w:type="dxa"/>
          </w:tblCellMar>
        </w:tblPrEx>
        <w:trPr>
          <w:trHeight w:val="274" w:hRule="atLeast"/>
        </w:trPr>
        <w:tc>
          <w:tcPr>
            <w:tcW w:w="858" w:type="dxa"/>
            <w:tcBorders>
              <w:top w:val="single" w:color="000000" w:sz="4" w:space="0"/>
              <w:left w:val="single" w:color="000000" w:sz="4" w:space="0"/>
              <w:right w:val="single" w:color="000000" w:sz="4" w:space="0"/>
            </w:tcBorders>
            <w:vAlign w:val="center"/>
          </w:tcPr>
          <w:p w14:paraId="32432DD3">
            <w:pPr>
              <w:jc w:val="center"/>
              <w:rPr>
                <w:rFonts w:ascii="仿宋" w:hAnsi="仿宋" w:eastAsia="仿宋" w:cs="宋体"/>
                <w:color w:val="000000"/>
                <w:sz w:val="24"/>
              </w:rPr>
            </w:pPr>
            <w:r>
              <w:rPr>
                <w:rFonts w:hint="eastAsia" w:ascii="仿宋" w:hAnsi="仿宋" w:eastAsia="仿宋" w:cs="宋体"/>
                <w:color w:val="000000"/>
                <w:sz w:val="24"/>
              </w:rPr>
              <w:t>其它</w:t>
            </w:r>
          </w:p>
        </w:tc>
        <w:tc>
          <w:tcPr>
            <w:tcW w:w="1501" w:type="dxa"/>
            <w:tcBorders>
              <w:top w:val="single" w:color="000000" w:sz="4" w:space="0"/>
              <w:left w:val="single" w:color="000000" w:sz="4" w:space="0"/>
              <w:bottom w:val="single" w:color="000000" w:sz="4" w:space="0"/>
              <w:right w:val="single" w:color="000000" w:sz="4" w:space="0"/>
            </w:tcBorders>
            <w:vAlign w:val="center"/>
          </w:tcPr>
          <w:p w14:paraId="0015134C">
            <w:pPr>
              <w:spacing w:line="360" w:lineRule="auto"/>
              <w:jc w:val="center"/>
              <w:rPr>
                <w:rFonts w:ascii="仿宋" w:hAnsi="仿宋" w:eastAsia="仿宋" w:cs="宋体"/>
                <w:b/>
                <w:sz w:val="24"/>
              </w:rPr>
            </w:pPr>
            <w:r>
              <w:rPr>
                <w:rFonts w:hint="eastAsia" w:ascii="仿宋" w:hAnsi="仿宋" w:eastAsia="仿宋" w:cs="宋体"/>
                <w:b/>
                <w:sz w:val="24"/>
              </w:rPr>
              <w:t>合同签订方式</w:t>
            </w:r>
          </w:p>
        </w:tc>
        <w:tc>
          <w:tcPr>
            <w:tcW w:w="6437" w:type="dxa"/>
            <w:tcBorders>
              <w:top w:val="single" w:color="000000" w:sz="4" w:space="0"/>
              <w:left w:val="single" w:color="000000" w:sz="4" w:space="0"/>
              <w:bottom w:val="single" w:color="000000" w:sz="4" w:space="0"/>
              <w:right w:val="single" w:color="000000" w:sz="4" w:space="0"/>
            </w:tcBorders>
            <w:vAlign w:val="center"/>
          </w:tcPr>
          <w:p w14:paraId="42B96288">
            <w:pPr>
              <w:pStyle w:val="16"/>
              <w:ind w:right="105" w:rightChars="50" w:firstLine="0" w:firstLineChars="0"/>
              <w:rPr>
                <w:rFonts w:ascii="仿宋" w:hAnsi="仿宋" w:eastAsia="仿宋" w:cs="宋体"/>
                <w:sz w:val="24"/>
              </w:rPr>
            </w:pPr>
            <w:r>
              <w:rPr>
                <w:rFonts w:hint="eastAsia" w:ascii="仿宋" w:hAnsi="仿宋" w:eastAsia="仿宋" w:cs="宋体"/>
                <w:sz w:val="24"/>
                <w:lang w:val="zh-TW"/>
              </w:rPr>
              <w:t>合同在线签订，招标人（采购人）与中标人（供应商）利用平顶山公共资源交易平台“合同在线签订模块”，将电子合同推送至对方进行审核，经双方确认均无异议通过后，进行在线签章，完成合同签订并公示。</w:t>
            </w:r>
          </w:p>
        </w:tc>
      </w:tr>
      <w:bookmarkEnd w:id="52"/>
    </w:tbl>
    <w:p w14:paraId="777C1011"/>
    <w:bookmarkEnd w:id="44"/>
    <w:bookmarkEnd w:id="45"/>
    <w:bookmarkEnd w:id="46"/>
    <w:bookmarkEnd w:id="47"/>
    <w:bookmarkEnd w:id="48"/>
    <w:bookmarkEnd w:id="49"/>
    <w:bookmarkEnd w:id="50"/>
    <w:bookmarkEnd w:id="51"/>
    <w:bookmarkEnd w:id="53"/>
    <w:p w14:paraId="2B457F50">
      <w:pPr>
        <w:pStyle w:val="3"/>
      </w:pPr>
      <w:r>
        <w:rPr>
          <w:rFonts w:hint="eastAsia"/>
        </w:rPr>
        <w:t>投标人须知正文</w:t>
      </w:r>
    </w:p>
    <w:p w14:paraId="0E994084">
      <w:pPr>
        <w:spacing w:line="400" w:lineRule="exact"/>
        <w:rPr>
          <w:rFonts w:ascii="宋体" w:hAnsi="宋体" w:cs="宋体"/>
          <w:szCs w:val="21"/>
        </w:rPr>
      </w:pPr>
      <w:r>
        <w:rPr>
          <w:rFonts w:hint="eastAsia" w:ascii="宋体" w:hAnsi="宋体" w:cs="宋体"/>
          <w:szCs w:val="21"/>
        </w:rPr>
        <w:t>1、本采购项目采购人：见投标人须知前附表。</w:t>
      </w:r>
    </w:p>
    <w:p w14:paraId="51A22008">
      <w:pPr>
        <w:spacing w:line="400" w:lineRule="exact"/>
        <w:rPr>
          <w:rFonts w:ascii="宋体" w:hAnsi="宋体" w:cs="宋体"/>
          <w:szCs w:val="21"/>
        </w:rPr>
      </w:pPr>
      <w:r>
        <w:rPr>
          <w:rFonts w:hint="eastAsia" w:ascii="宋体" w:hAnsi="宋体" w:cs="宋体"/>
          <w:szCs w:val="21"/>
        </w:rPr>
        <w:t>2、本采购项目采购代理机构：见投标人须知前附表。</w:t>
      </w:r>
    </w:p>
    <w:p w14:paraId="3CFB67B7">
      <w:pPr>
        <w:spacing w:line="400" w:lineRule="exact"/>
        <w:rPr>
          <w:rFonts w:ascii="宋体" w:hAnsi="宋体" w:cs="宋体"/>
          <w:szCs w:val="21"/>
        </w:rPr>
      </w:pPr>
      <w:r>
        <w:rPr>
          <w:rFonts w:hint="eastAsia" w:ascii="宋体" w:hAnsi="宋体" w:cs="宋体"/>
          <w:szCs w:val="21"/>
        </w:rPr>
        <w:t>3、本采购项目名称：见投标人须知前附表。</w:t>
      </w:r>
      <w:bookmarkStart w:id="55" w:name="_Toc152045531"/>
      <w:bookmarkStart w:id="56" w:name="_Toc296602422"/>
      <w:bookmarkStart w:id="57" w:name="_Toc152042307"/>
      <w:bookmarkStart w:id="58" w:name="_Toc144974499"/>
      <w:bookmarkStart w:id="59" w:name="_Toc247085691"/>
      <w:bookmarkStart w:id="60" w:name="_Toc512597507"/>
      <w:bookmarkStart w:id="61" w:name="_Toc14440"/>
      <w:bookmarkStart w:id="62" w:name="_Toc246996920"/>
      <w:bookmarkStart w:id="63" w:name="_Toc410287378"/>
      <w:bookmarkStart w:id="64" w:name="_Toc246996177"/>
      <w:bookmarkStart w:id="65" w:name="_Toc179632548"/>
    </w:p>
    <w:p w14:paraId="3E9AB6CB">
      <w:pPr>
        <w:spacing w:line="400" w:lineRule="exact"/>
        <w:rPr>
          <w:rFonts w:ascii="宋体" w:hAnsi="宋体" w:cs="宋体"/>
          <w:szCs w:val="21"/>
        </w:rPr>
      </w:pPr>
      <w:r>
        <w:rPr>
          <w:rFonts w:hint="eastAsia" w:ascii="宋体" w:hAnsi="宋体" w:cs="宋体"/>
          <w:szCs w:val="21"/>
        </w:rPr>
        <w:t>4、本采购项目资金来源和落实情况</w:t>
      </w:r>
      <w:bookmarkEnd w:id="55"/>
      <w:bookmarkEnd w:id="56"/>
      <w:bookmarkEnd w:id="57"/>
      <w:bookmarkEnd w:id="58"/>
      <w:bookmarkEnd w:id="59"/>
      <w:bookmarkEnd w:id="60"/>
      <w:bookmarkEnd w:id="61"/>
      <w:bookmarkEnd w:id="62"/>
      <w:bookmarkEnd w:id="63"/>
      <w:bookmarkEnd w:id="64"/>
      <w:bookmarkEnd w:id="65"/>
    </w:p>
    <w:p w14:paraId="59EAE34F">
      <w:pPr>
        <w:spacing w:line="400" w:lineRule="exact"/>
        <w:rPr>
          <w:rFonts w:ascii="宋体" w:hAnsi="宋体" w:cs="宋体"/>
          <w:szCs w:val="21"/>
        </w:rPr>
      </w:pPr>
      <w:r>
        <w:rPr>
          <w:rFonts w:hint="eastAsia" w:ascii="宋体" w:hAnsi="宋体" w:cs="宋体"/>
          <w:szCs w:val="21"/>
        </w:rPr>
        <w:t>5、本次采购内容：见投标人须知前附表。</w:t>
      </w:r>
    </w:p>
    <w:p w14:paraId="3F08208E">
      <w:pPr>
        <w:spacing w:line="400" w:lineRule="exact"/>
        <w:rPr>
          <w:rFonts w:ascii="宋体" w:hAnsi="宋体" w:cs="宋体"/>
          <w:szCs w:val="21"/>
        </w:rPr>
      </w:pPr>
      <w:r>
        <w:rPr>
          <w:rFonts w:hint="eastAsia" w:ascii="宋体" w:hAnsi="宋体" w:cs="宋体"/>
          <w:szCs w:val="21"/>
        </w:rPr>
        <w:t>6、本采购项目的采购方式：见投标人须知前附表。</w:t>
      </w:r>
    </w:p>
    <w:p w14:paraId="61FE5D22">
      <w:pPr>
        <w:spacing w:line="400" w:lineRule="exact"/>
        <w:rPr>
          <w:rFonts w:ascii="宋体" w:hAnsi="宋体" w:cs="宋体"/>
          <w:szCs w:val="21"/>
        </w:rPr>
      </w:pPr>
      <w:r>
        <w:rPr>
          <w:rFonts w:hint="eastAsia" w:ascii="宋体" w:hAnsi="宋体" w:cs="宋体"/>
          <w:szCs w:val="21"/>
        </w:rPr>
        <w:t>7、本次采购项目属性：见投标人须知前附表。</w:t>
      </w:r>
    </w:p>
    <w:p w14:paraId="3823A89B">
      <w:pPr>
        <w:spacing w:line="400" w:lineRule="exact"/>
        <w:rPr>
          <w:rFonts w:ascii="宋体" w:hAnsi="宋体" w:cs="宋体"/>
          <w:szCs w:val="21"/>
        </w:rPr>
      </w:pPr>
      <w:r>
        <w:rPr>
          <w:rFonts w:hint="eastAsia" w:ascii="宋体" w:hAnsi="宋体" w:cs="宋体"/>
          <w:szCs w:val="21"/>
        </w:rPr>
        <w:t>8、本次采购项目合同履行期限：见投标人须知前附表。</w:t>
      </w:r>
    </w:p>
    <w:p w14:paraId="0B0FFC03">
      <w:pPr>
        <w:spacing w:line="400" w:lineRule="exact"/>
        <w:rPr>
          <w:rFonts w:ascii="宋体" w:hAnsi="宋体" w:cs="宋体"/>
          <w:szCs w:val="21"/>
        </w:rPr>
      </w:pPr>
      <w:r>
        <w:rPr>
          <w:rFonts w:hint="eastAsia" w:ascii="宋体" w:hAnsi="宋体" w:cs="宋体"/>
          <w:szCs w:val="21"/>
        </w:rPr>
        <w:t>9、本次采购项目</w:t>
      </w:r>
      <w:r>
        <w:rPr>
          <w:rFonts w:hint="eastAsia" w:ascii="宋体" w:hAnsi="宋体" w:cs="宋体"/>
          <w:szCs w:val="21"/>
          <w:lang w:eastAsia="zh-CN"/>
        </w:rPr>
        <w:t>服务期限</w:t>
      </w:r>
      <w:r>
        <w:rPr>
          <w:rFonts w:hint="eastAsia" w:ascii="宋体" w:hAnsi="宋体" w:cs="宋体"/>
          <w:szCs w:val="21"/>
        </w:rPr>
        <w:t>：见投标人须知前附表。</w:t>
      </w:r>
    </w:p>
    <w:p w14:paraId="5501E11A">
      <w:pPr>
        <w:spacing w:line="400" w:lineRule="exact"/>
        <w:rPr>
          <w:rFonts w:ascii="宋体" w:hAnsi="宋体" w:cs="宋体"/>
          <w:szCs w:val="21"/>
        </w:rPr>
      </w:pPr>
      <w:r>
        <w:rPr>
          <w:rFonts w:hint="eastAsia" w:ascii="宋体" w:hAnsi="宋体" w:cs="宋体"/>
          <w:szCs w:val="21"/>
        </w:rPr>
        <w:t>10、本采购项目的</w:t>
      </w:r>
      <w:r>
        <w:rPr>
          <w:rFonts w:hint="eastAsia" w:ascii="宋体" w:hAnsi="宋体" w:cs="宋体"/>
          <w:szCs w:val="21"/>
          <w:lang w:eastAsia="zh-CN"/>
        </w:rPr>
        <w:t>服务地点</w:t>
      </w:r>
      <w:r>
        <w:rPr>
          <w:rFonts w:hint="eastAsia" w:ascii="宋体" w:hAnsi="宋体" w:cs="宋体"/>
          <w:szCs w:val="21"/>
        </w:rPr>
        <w:t>：见投标人须知前附表。</w:t>
      </w:r>
    </w:p>
    <w:p w14:paraId="076DA601">
      <w:pPr>
        <w:spacing w:line="400" w:lineRule="exact"/>
        <w:rPr>
          <w:rFonts w:ascii="宋体" w:hAnsi="宋体" w:cs="宋体"/>
          <w:szCs w:val="21"/>
        </w:rPr>
      </w:pPr>
      <w:r>
        <w:rPr>
          <w:rFonts w:hint="eastAsia" w:ascii="宋体" w:hAnsi="宋体" w:cs="宋体"/>
          <w:szCs w:val="21"/>
        </w:rPr>
        <w:t>11、本采购项目的</w:t>
      </w:r>
      <w:r>
        <w:rPr>
          <w:rFonts w:hint="eastAsia" w:ascii="宋体" w:hAnsi="宋体" w:cs="宋体"/>
          <w:szCs w:val="21"/>
          <w:lang w:eastAsia="zh-CN"/>
        </w:rPr>
        <w:t>服务质量</w:t>
      </w:r>
      <w:r>
        <w:rPr>
          <w:rFonts w:hint="eastAsia" w:ascii="宋体" w:hAnsi="宋体" w:cs="宋体"/>
          <w:szCs w:val="21"/>
        </w:rPr>
        <w:t>：见投标人须知前附表。</w:t>
      </w:r>
    </w:p>
    <w:p w14:paraId="781FF513">
      <w:pPr>
        <w:spacing w:line="400" w:lineRule="exact"/>
        <w:rPr>
          <w:rFonts w:ascii="宋体" w:hAnsi="宋体" w:cs="宋体"/>
          <w:szCs w:val="21"/>
        </w:rPr>
      </w:pPr>
      <w:r>
        <w:rPr>
          <w:rFonts w:hint="eastAsia" w:ascii="宋体" w:hAnsi="宋体" w:cs="宋体"/>
          <w:szCs w:val="21"/>
        </w:rPr>
        <w:t>12、本采购项目的投标人资格：见投标人须知前附表。</w:t>
      </w:r>
    </w:p>
    <w:p w14:paraId="15DDD6F1">
      <w:pPr>
        <w:spacing w:line="400" w:lineRule="exact"/>
        <w:rPr>
          <w:rFonts w:ascii="宋体" w:hAnsi="宋体" w:cs="宋体"/>
          <w:szCs w:val="21"/>
        </w:rPr>
      </w:pPr>
      <w:r>
        <w:rPr>
          <w:rFonts w:hint="eastAsia" w:ascii="宋体" w:hAnsi="宋体" w:cs="宋体"/>
          <w:szCs w:val="21"/>
        </w:rPr>
        <w:t>13、本采购项目是否接受联合体投标：见投标人须知前附表。</w:t>
      </w:r>
    </w:p>
    <w:p w14:paraId="23D046D6">
      <w:pPr>
        <w:spacing w:line="400" w:lineRule="exact"/>
        <w:ind w:firstLine="420" w:firstLineChars="200"/>
        <w:rPr>
          <w:rFonts w:ascii="宋体" w:hAnsi="宋体" w:cs="宋体"/>
          <w:szCs w:val="21"/>
        </w:rPr>
      </w:pPr>
      <w:r>
        <w:rPr>
          <w:rFonts w:hint="eastAsia" w:ascii="宋体" w:hAnsi="宋体" w:cs="宋体"/>
          <w:szCs w:val="21"/>
        </w:rPr>
        <w:t>13.1投标人须知前附表规定接受联合体投标的，除应符合本章第12项和投标人须知前附表的要求外，还应遵守以下规定：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F884D77">
      <w:pPr>
        <w:spacing w:line="400" w:lineRule="exact"/>
        <w:rPr>
          <w:rFonts w:ascii="宋体" w:hAnsi="宋体" w:cs="宋体"/>
          <w:szCs w:val="21"/>
        </w:rPr>
      </w:pPr>
      <w:r>
        <w:rPr>
          <w:rFonts w:hint="eastAsia" w:ascii="宋体" w:hAnsi="宋体" w:cs="宋体"/>
          <w:szCs w:val="21"/>
        </w:rPr>
        <w:t>14、本采购项目是否踏勘现场及答疑：见投标人须知前附表。</w:t>
      </w:r>
    </w:p>
    <w:p w14:paraId="49CFB921">
      <w:pPr>
        <w:spacing w:line="400" w:lineRule="exact"/>
        <w:rPr>
          <w:rFonts w:ascii="宋体" w:hAnsi="宋体" w:cs="宋体"/>
          <w:szCs w:val="21"/>
        </w:rPr>
      </w:pPr>
      <w:r>
        <w:rPr>
          <w:rFonts w:hint="eastAsia" w:ascii="宋体" w:hAnsi="宋体" w:cs="宋体"/>
          <w:szCs w:val="21"/>
        </w:rPr>
        <w:t>15、本采购项目是否招开投标预备会：见投标人须知前附表。</w:t>
      </w:r>
    </w:p>
    <w:p w14:paraId="16C70EB9">
      <w:pPr>
        <w:spacing w:line="400" w:lineRule="exact"/>
        <w:rPr>
          <w:rFonts w:ascii="宋体" w:hAnsi="宋体" w:cs="宋体"/>
          <w:szCs w:val="21"/>
        </w:rPr>
      </w:pPr>
      <w:r>
        <w:rPr>
          <w:rFonts w:hint="eastAsia" w:ascii="宋体" w:hAnsi="宋体" w:cs="宋体"/>
          <w:szCs w:val="21"/>
        </w:rPr>
        <w:t>16、本采购项目是否允许技术偏离：见投标人须知前附表。</w:t>
      </w:r>
    </w:p>
    <w:p w14:paraId="69EAE44A">
      <w:pPr>
        <w:spacing w:line="400" w:lineRule="exact"/>
        <w:rPr>
          <w:rFonts w:ascii="宋体" w:hAnsi="宋体" w:cs="宋体"/>
          <w:szCs w:val="21"/>
        </w:rPr>
      </w:pPr>
      <w:r>
        <w:rPr>
          <w:rFonts w:hint="eastAsia" w:ascii="宋体" w:hAnsi="宋体" w:cs="宋体"/>
          <w:szCs w:val="21"/>
        </w:rPr>
        <w:t>17、本采购项目构成招标文件的其他材料：见投标人须知前附表。</w:t>
      </w:r>
    </w:p>
    <w:p w14:paraId="367F6B74">
      <w:pPr>
        <w:spacing w:line="400" w:lineRule="exact"/>
        <w:rPr>
          <w:rFonts w:ascii="宋体" w:hAnsi="宋体" w:cs="宋体"/>
          <w:szCs w:val="21"/>
        </w:rPr>
      </w:pPr>
      <w:r>
        <w:rPr>
          <w:rFonts w:hint="eastAsia" w:ascii="宋体" w:hAnsi="宋体" w:cs="宋体"/>
          <w:szCs w:val="21"/>
        </w:rPr>
        <w:t>18、投标人要求澄清招标文件的截止时间：见投标人须知前附表。</w:t>
      </w:r>
    </w:p>
    <w:p w14:paraId="19FBF332">
      <w:pPr>
        <w:spacing w:line="400" w:lineRule="exact"/>
        <w:ind w:firstLine="420" w:firstLineChars="200"/>
        <w:rPr>
          <w:rFonts w:ascii="宋体" w:hAnsi="宋体" w:cs="宋体"/>
          <w:szCs w:val="21"/>
        </w:rPr>
      </w:pPr>
      <w:r>
        <w:rPr>
          <w:rFonts w:hint="eastAsia" w:ascii="宋体" w:hAnsi="宋体" w:cs="宋体"/>
          <w:szCs w:val="21"/>
        </w:rPr>
        <w:t>18.1投标人应仔细阅读和检查招标文件的全部内容。如发现缺页、附件不全或认为采购文件使自己的权益受到损害的，可以自获取采购文件之日或者采购文件公告期限届满之日（在公告期限届满之前下载的，则质疑期限以实际获取采购文件之日起计算，公告期限届满后获取采购文件的，以公告期限届满之日为准）起</w:t>
      </w:r>
      <w:r>
        <w:rPr>
          <w:rFonts w:hint="eastAsia" w:ascii="宋体" w:hAnsi="宋体" w:cs="宋体"/>
          <w:szCs w:val="21"/>
          <w:lang w:val="en-US" w:eastAsia="zh-CN"/>
        </w:rPr>
        <w:t>7个工作日</w:t>
      </w:r>
      <w:r>
        <w:rPr>
          <w:rFonts w:hint="eastAsia" w:ascii="宋体" w:hAnsi="宋体" w:cs="宋体"/>
        </w:rPr>
        <w:t>按中华人民共和国财政部令第94号《政府采购质疑和投诉办法》的相关规定，以书面形式向采购人</w:t>
      </w:r>
      <w:r>
        <w:rPr>
          <w:rFonts w:hint="eastAsia" w:ascii="宋体" w:hAnsi="宋体" w:cs="宋体"/>
          <w:lang w:eastAsia="zh-CN"/>
        </w:rPr>
        <w:t>或</w:t>
      </w:r>
      <w:r>
        <w:rPr>
          <w:rFonts w:hint="eastAsia" w:ascii="宋体" w:hAnsi="宋体" w:cs="宋体"/>
        </w:rPr>
        <w:t>采购代理机构提出质疑(加盖单位公章且法定代表人签字)，由其授权代表携带法人授权书及本人身份证件提交(邮寄、传真件不予受理)。逾期未提交或未按照要求提交的质疑函将不予受理</w:t>
      </w:r>
      <w:r>
        <w:rPr>
          <w:rFonts w:hint="eastAsia" w:ascii="宋体" w:hAnsi="宋体" w:cs="宋体"/>
          <w:szCs w:val="21"/>
        </w:rPr>
        <w:t>。采购文件公告期限同招标公告期限。</w:t>
      </w:r>
    </w:p>
    <w:p w14:paraId="78C3341D">
      <w:pPr>
        <w:spacing w:line="400" w:lineRule="exact"/>
        <w:ind w:firstLine="420" w:firstLineChars="200"/>
        <w:rPr>
          <w:rFonts w:ascii="宋体" w:hAnsi="宋体" w:cs="宋体"/>
          <w:szCs w:val="21"/>
        </w:rPr>
      </w:pPr>
      <w:r>
        <w:rPr>
          <w:rFonts w:hint="eastAsia" w:ascii="宋体" w:hAnsi="宋体" w:cs="宋体"/>
          <w:szCs w:val="21"/>
        </w:rPr>
        <w:t>18.2澄清的内容可能影响投标文件编制的，采购人或者采购代理机构将在投标截止时间至少15日前，通过电子交易系统通知所有获取招标文件的潜在投标人。不足15日的，采购人或者采购代理机构应当顺延提交投标文件的截止时间</w:t>
      </w:r>
    </w:p>
    <w:p w14:paraId="0B81A786">
      <w:pPr>
        <w:spacing w:line="400" w:lineRule="exact"/>
        <w:ind w:firstLine="420" w:firstLineChars="200"/>
        <w:rPr>
          <w:rFonts w:hint="eastAsia" w:ascii="宋体" w:hAnsi="宋体" w:cs="宋体"/>
          <w:szCs w:val="21"/>
        </w:rPr>
      </w:pPr>
      <w:r>
        <w:rPr>
          <w:rFonts w:hint="eastAsia" w:ascii="宋体" w:hAnsi="宋体" w:cs="宋体"/>
          <w:szCs w:val="21"/>
        </w:rPr>
        <w:t>18.3因交易中心平台在开标前具有保密性，投标人在投标截止时间前须自行查看项目进展、变更通知、澄清、修改公告及回复，因投标人未及时查看而造成的后果自负。</w:t>
      </w:r>
    </w:p>
    <w:p w14:paraId="04264E3F">
      <w:pPr>
        <w:spacing w:line="400" w:lineRule="exact"/>
        <w:rPr>
          <w:rFonts w:ascii="宋体" w:hAnsi="宋体" w:cs="宋体"/>
          <w:szCs w:val="21"/>
        </w:rPr>
      </w:pPr>
      <w:r>
        <w:rPr>
          <w:rFonts w:hint="eastAsia" w:ascii="宋体" w:hAnsi="宋体" w:cs="宋体"/>
          <w:szCs w:val="21"/>
        </w:rPr>
        <w:t>19、投标截止时间：见投标人须知前附表。</w:t>
      </w:r>
    </w:p>
    <w:p w14:paraId="5B6112A0">
      <w:pPr>
        <w:spacing w:line="400" w:lineRule="exact"/>
        <w:rPr>
          <w:rFonts w:ascii="宋体" w:hAnsi="宋体" w:cs="宋体"/>
          <w:szCs w:val="21"/>
        </w:rPr>
      </w:pPr>
      <w:r>
        <w:rPr>
          <w:rFonts w:hint="eastAsia" w:ascii="宋体" w:hAnsi="宋体" w:cs="宋体"/>
          <w:szCs w:val="21"/>
        </w:rPr>
        <w:t>20、投标文件电子版：见投标人须知前附表。</w:t>
      </w:r>
    </w:p>
    <w:p w14:paraId="23ADEB15">
      <w:pPr>
        <w:spacing w:line="400" w:lineRule="exact"/>
        <w:rPr>
          <w:rFonts w:ascii="宋体" w:hAnsi="宋体" w:cs="宋体"/>
          <w:szCs w:val="21"/>
        </w:rPr>
      </w:pPr>
      <w:r>
        <w:rPr>
          <w:rFonts w:hint="eastAsia" w:ascii="宋体" w:hAnsi="宋体" w:cs="宋体"/>
          <w:szCs w:val="21"/>
        </w:rPr>
        <w:t>21、投标有效期：见投标人须知前附表。</w:t>
      </w:r>
    </w:p>
    <w:p w14:paraId="6D7BA895">
      <w:pPr>
        <w:spacing w:line="400" w:lineRule="exact"/>
        <w:ind w:firstLine="420" w:firstLineChars="200"/>
        <w:rPr>
          <w:rFonts w:ascii="宋体" w:hAnsi="宋体" w:cs="宋体"/>
          <w:szCs w:val="21"/>
        </w:rPr>
      </w:pPr>
      <w:r>
        <w:rPr>
          <w:rFonts w:hint="eastAsia" w:ascii="宋体" w:hAnsi="宋体" w:cs="宋体"/>
          <w:szCs w:val="21"/>
        </w:rPr>
        <w:t>21.1在投标人须知前附表规定的投标有效期内，投标人不得要求撤销或修改其投标文件。</w:t>
      </w:r>
    </w:p>
    <w:p w14:paraId="33F41033">
      <w:pPr>
        <w:spacing w:line="400" w:lineRule="exact"/>
        <w:ind w:firstLine="420" w:firstLineChars="200"/>
      </w:pPr>
      <w:r>
        <w:rPr>
          <w:rFonts w:hint="eastAsia" w:ascii="宋体" w:hAnsi="宋体" w:cs="宋体"/>
          <w:szCs w:val="21"/>
        </w:rPr>
        <w:t>21.2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w:t>
      </w:r>
    </w:p>
    <w:p w14:paraId="605D642B">
      <w:pPr>
        <w:spacing w:line="400" w:lineRule="exact"/>
        <w:rPr>
          <w:rFonts w:ascii="宋体" w:hAnsi="宋体" w:cs="宋体"/>
          <w:szCs w:val="21"/>
        </w:rPr>
      </w:pPr>
      <w:r>
        <w:rPr>
          <w:rFonts w:hint="eastAsia" w:ascii="宋体" w:hAnsi="宋体" w:cs="宋体"/>
          <w:szCs w:val="21"/>
        </w:rPr>
        <w:t>22、本采购项目的投标保证金、履约保证金、质量保证金、招标文件费用：见投标人须知前附表。</w:t>
      </w:r>
    </w:p>
    <w:p w14:paraId="1312032A">
      <w:pPr>
        <w:spacing w:line="400" w:lineRule="exact"/>
        <w:rPr>
          <w:rFonts w:ascii="宋体" w:hAnsi="宋体" w:cs="宋体"/>
          <w:szCs w:val="21"/>
        </w:rPr>
      </w:pPr>
      <w:r>
        <w:rPr>
          <w:rFonts w:hint="eastAsia" w:ascii="宋体" w:hAnsi="宋体" w:cs="宋体"/>
          <w:szCs w:val="21"/>
        </w:rPr>
        <w:t>23、签字或盖章要求：见投标人须知前附表。</w:t>
      </w:r>
    </w:p>
    <w:p w14:paraId="07699E37">
      <w:pPr>
        <w:spacing w:line="400" w:lineRule="exact"/>
        <w:rPr>
          <w:rFonts w:ascii="宋体" w:hAnsi="宋体" w:cs="宋体"/>
          <w:szCs w:val="21"/>
        </w:rPr>
      </w:pPr>
      <w:r>
        <w:rPr>
          <w:rFonts w:hint="eastAsia" w:ascii="宋体" w:hAnsi="宋体" w:cs="宋体"/>
          <w:szCs w:val="21"/>
        </w:rPr>
        <w:t>24、递交投标文件地点：见投标人须知前附表。</w:t>
      </w:r>
    </w:p>
    <w:p w14:paraId="17D3E55A">
      <w:pPr>
        <w:spacing w:line="400" w:lineRule="exact"/>
        <w:rPr>
          <w:rFonts w:ascii="宋体" w:hAnsi="宋体" w:cs="宋体"/>
          <w:szCs w:val="21"/>
        </w:rPr>
      </w:pPr>
      <w:r>
        <w:rPr>
          <w:rFonts w:hint="eastAsia" w:ascii="宋体" w:hAnsi="宋体" w:cs="宋体"/>
          <w:szCs w:val="21"/>
        </w:rPr>
        <w:t>25、开标时间和地点：见投标人须知前附表。</w:t>
      </w:r>
    </w:p>
    <w:p w14:paraId="333C878F">
      <w:pPr>
        <w:spacing w:line="400" w:lineRule="exact"/>
        <w:rPr>
          <w:rFonts w:ascii="宋体" w:hAnsi="宋体" w:cs="宋体"/>
          <w:szCs w:val="21"/>
        </w:rPr>
      </w:pPr>
      <w:r>
        <w:rPr>
          <w:rFonts w:hint="eastAsia" w:ascii="宋体" w:hAnsi="宋体" w:cs="宋体"/>
          <w:szCs w:val="21"/>
        </w:rPr>
        <w:t>26、开标程序：见投标人须知前附表。</w:t>
      </w:r>
    </w:p>
    <w:p w14:paraId="0CEB64E1">
      <w:pPr>
        <w:spacing w:line="400" w:lineRule="exact"/>
        <w:rPr>
          <w:rFonts w:ascii="宋体" w:hAnsi="宋体" w:cs="宋体"/>
          <w:szCs w:val="21"/>
        </w:rPr>
      </w:pPr>
      <w:r>
        <w:rPr>
          <w:rFonts w:hint="eastAsia" w:ascii="宋体" w:hAnsi="宋体" w:cs="宋体"/>
          <w:szCs w:val="21"/>
        </w:rPr>
        <w:t>27、评标委员会的组建：见投标人须知前附表。</w:t>
      </w:r>
    </w:p>
    <w:p w14:paraId="5B5E6118">
      <w:pPr>
        <w:spacing w:line="400" w:lineRule="exact"/>
        <w:ind w:firstLine="420" w:firstLineChars="200"/>
        <w:rPr>
          <w:rFonts w:ascii="宋体" w:hAnsi="宋体" w:cs="宋体"/>
          <w:szCs w:val="21"/>
        </w:rPr>
      </w:pPr>
      <w:r>
        <w:rPr>
          <w:rFonts w:hint="eastAsia" w:ascii="宋体" w:hAnsi="宋体" w:cs="宋体"/>
          <w:szCs w:val="21"/>
        </w:rPr>
        <w:t>27.1评审专家与参加采购活动的供应商存在下列利害关系之一的,应当回避:</w:t>
      </w:r>
    </w:p>
    <w:p w14:paraId="72F88C08">
      <w:pPr>
        <w:spacing w:line="400" w:lineRule="exact"/>
        <w:ind w:firstLine="420" w:firstLineChars="200"/>
        <w:rPr>
          <w:rFonts w:ascii="宋体" w:hAnsi="宋体" w:cs="宋体"/>
          <w:szCs w:val="21"/>
        </w:rPr>
      </w:pPr>
      <w:r>
        <w:rPr>
          <w:rFonts w:hint="eastAsia" w:ascii="宋体" w:hAnsi="宋体" w:cs="宋体"/>
          <w:szCs w:val="21"/>
        </w:rPr>
        <w:t>(一)参加采购活动前三年内,与供应商存在劳动关系,或者担任过供应商的董事、监事,或者是供应商的控股股东或实际控制人;</w:t>
      </w:r>
    </w:p>
    <w:p w14:paraId="16E3B7D7">
      <w:pPr>
        <w:spacing w:line="400" w:lineRule="exact"/>
        <w:ind w:firstLine="420" w:firstLineChars="200"/>
        <w:rPr>
          <w:rFonts w:ascii="宋体" w:hAnsi="宋体" w:cs="宋体"/>
          <w:szCs w:val="21"/>
        </w:rPr>
      </w:pPr>
      <w:r>
        <w:rPr>
          <w:rFonts w:hint="eastAsia" w:ascii="宋体" w:hAnsi="宋体" w:cs="宋体"/>
          <w:szCs w:val="21"/>
        </w:rPr>
        <w:t>(二)与供应商的法定代表人或者负责人有夫妻、直系血亲、三代以内旁系血亲或者近姻亲关系;</w:t>
      </w:r>
    </w:p>
    <w:p w14:paraId="010D5309">
      <w:pPr>
        <w:spacing w:line="400" w:lineRule="exact"/>
        <w:ind w:firstLine="420" w:firstLineChars="200"/>
        <w:rPr>
          <w:rFonts w:ascii="宋体" w:hAnsi="宋体" w:cs="宋体"/>
          <w:szCs w:val="21"/>
        </w:rPr>
      </w:pPr>
      <w:r>
        <w:rPr>
          <w:rFonts w:hint="eastAsia" w:ascii="宋体" w:hAnsi="宋体" w:cs="宋体"/>
          <w:szCs w:val="21"/>
        </w:rPr>
        <w:t>(三)与供应商有其他可能影响政府采购活动公平、公正进行的关系。</w:t>
      </w:r>
    </w:p>
    <w:p w14:paraId="501E39C7">
      <w:pPr>
        <w:spacing w:line="400" w:lineRule="exact"/>
        <w:ind w:firstLine="420" w:firstLineChars="200"/>
        <w:rPr>
          <w:rFonts w:ascii="宋体" w:hAnsi="宋体" w:cs="宋体"/>
          <w:szCs w:val="21"/>
        </w:rPr>
      </w:pPr>
      <w:r>
        <w:rPr>
          <w:rFonts w:hint="eastAsia" w:ascii="宋体" w:hAnsi="宋体" w:cs="宋体"/>
          <w:szCs w:val="21"/>
        </w:rPr>
        <w:t>27.2评审专家发现本人与参加采购活动的供应商有利害关系的,应当主动提出回避。采购人或者采购代理机构发现评审专家与参加采购活动的供应商有利害关系的,应当要求其回避。</w:t>
      </w:r>
    </w:p>
    <w:p w14:paraId="1C53F62B">
      <w:pPr>
        <w:spacing w:line="400" w:lineRule="exact"/>
        <w:ind w:firstLine="420" w:firstLineChars="200"/>
        <w:rPr>
          <w:rFonts w:ascii="宋体" w:hAnsi="宋体" w:cs="宋体"/>
          <w:szCs w:val="21"/>
        </w:rPr>
      </w:pPr>
      <w:r>
        <w:rPr>
          <w:rFonts w:hint="eastAsia" w:ascii="宋体" w:hAnsi="宋体" w:cs="宋体"/>
          <w:szCs w:val="21"/>
        </w:rPr>
        <w:t>27.3除《政府采购评审专家管理办法》第十三条规定的情形外,评审专家对本单位的政府采购项目只能作为采购人代表参与评审活动。</w:t>
      </w:r>
    </w:p>
    <w:p w14:paraId="74DDD9CF">
      <w:pPr>
        <w:spacing w:line="400" w:lineRule="exact"/>
        <w:ind w:firstLine="420" w:firstLineChars="200"/>
        <w:rPr>
          <w:rFonts w:ascii="宋体" w:hAnsi="宋体" w:cs="宋体"/>
          <w:szCs w:val="21"/>
        </w:rPr>
      </w:pPr>
      <w:r>
        <w:rPr>
          <w:rFonts w:hint="eastAsia" w:ascii="宋体" w:hAnsi="宋体" w:cs="宋体"/>
          <w:szCs w:val="21"/>
        </w:rPr>
        <w:t>27.4各级财政部门政府采购监督管理工作人员,不得作为评审专家参与政府采购项目的评审活动。</w:t>
      </w:r>
    </w:p>
    <w:p w14:paraId="645259DD">
      <w:pPr>
        <w:spacing w:line="400" w:lineRule="exact"/>
        <w:ind w:firstLine="420" w:firstLineChars="200"/>
      </w:pPr>
      <w:r>
        <w:rPr>
          <w:rFonts w:hint="eastAsia" w:ascii="宋体" w:hAnsi="宋体" w:cs="宋体"/>
          <w:szCs w:val="21"/>
        </w:rPr>
        <w:t>27.5评标原则：评标活动遵循公平、公正、科学和择优的原则。</w:t>
      </w:r>
    </w:p>
    <w:p w14:paraId="5FE8F269">
      <w:pPr>
        <w:spacing w:line="400" w:lineRule="exact"/>
        <w:rPr>
          <w:rFonts w:ascii="宋体" w:hAnsi="宋体" w:cs="宋体"/>
          <w:szCs w:val="21"/>
        </w:rPr>
      </w:pPr>
      <w:r>
        <w:rPr>
          <w:rFonts w:hint="eastAsia" w:ascii="宋体" w:hAnsi="宋体" w:cs="宋体"/>
          <w:szCs w:val="21"/>
        </w:rPr>
        <w:t>28、是否授权评标委会确定中标人：见投标人须知前附表。</w:t>
      </w:r>
    </w:p>
    <w:p w14:paraId="7ECB05B6">
      <w:pPr>
        <w:spacing w:line="400" w:lineRule="exact"/>
        <w:rPr>
          <w:rFonts w:ascii="宋体" w:hAnsi="宋体" w:cs="宋体"/>
          <w:szCs w:val="21"/>
        </w:rPr>
      </w:pPr>
      <w:r>
        <w:rPr>
          <w:rFonts w:hint="eastAsia" w:ascii="宋体" w:hAnsi="宋体" w:cs="宋体"/>
          <w:szCs w:val="21"/>
        </w:rPr>
        <w:t>29、接收质疑函的方式和联系方式：见投标人须知前附表。</w:t>
      </w:r>
    </w:p>
    <w:p w14:paraId="5958A039">
      <w:pPr>
        <w:spacing w:line="400" w:lineRule="exact"/>
        <w:rPr>
          <w:rFonts w:ascii="宋体" w:hAnsi="宋体" w:cs="宋体"/>
          <w:szCs w:val="21"/>
        </w:rPr>
      </w:pPr>
      <w:r>
        <w:rPr>
          <w:rFonts w:hint="eastAsia" w:ascii="宋体" w:hAnsi="宋体" w:cs="宋体"/>
          <w:szCs w:val="21"/>
        </w:rPr>
        <w:t>30、最高投标限价：见投标人须知前附表。</w:t>
      </w:r>
    </w:p>
    <w:p w14:paraId="5486B43D">
      <w:pPr>
        <w:spacing w:line="400" w:lineRule="exact"/>
        <w:rPr>
          <w:rFonts w:ascii="宋体" w:hAnsi="宋体" w:cs="宋体"/>
          <w:szCs w:val="21"/>
        </w:rPr>
      </w:pPr>
      <w:r>
        <w:rPr>
          <w:rFonts w:hint="eastAsia" w:ascii="宋体" w:hAnsi="宋体" w:cs="宋体"/>
          <w:szCs w:val="21"/>
        </w:rPr>
        <w:t>31、招标代理服务费：见投标人须知前附表。</w:t>
      </w:r>
    </w:p>
    <w:p w14:paraId="07958962">
      <w:pPr>
        <w:spacing w:line="400" w:lineRule="exact"/>
        <w:rPr>
          <w:rFonts w:ascii="宋体" w:hAnsi="宋体" w:cs="宋体"/>
          <w:szCs w:val="21"/>
        </w:rPr>
      </w:pPr>
      <w:r>
        <w:rPr>
          <w:rFonts w:hint="eastAsia" w:ascii="宋体" w:hAnsi="宋体" w:cs="宋体"/>
          <w:szCs w:val="21"/>
        </w:rPr>
        <w:t>32、付款方式：见投标人须知前附表。</w:t>
      </w:r>
    </w:p>
    <w:p w14:paraId="06F89E9D">
      <w:pPr>
        <w:spacing w:line="400" w:lineRule="exact"/>
        <w:rPr>
          <w:rFonts w:ascii="宋体" w:hAnsi="宋体" w:cs="宋体"/>
          <w:szCs w:val="21"/>
        </w:rPr>
      </w:pPr>
      <w:r>
        <w:rPr>
          <w:rFonts w:hint="eastAsia" w:ascii="宋体" w:hAnsi="宋体" w:cs="宋体"/>
          <w:szCs w:val="21"/>
        </w:rPr>
        <w:t>33、政采领域优化营商环境相关政策：见投标人须知前附表。</w:t>
      </w:r>
    </w:p>
    <w:p w14:paraId="0C3A6A5C">
      <w:pPr>
        <w:spacing w:line="400" w:lineRule="exact"/>
        <w:rPr>
          <w:rFonts w:ascii="宋体" w:hAnsi="宋体" w:cs="宋体"/>
          <w:szCs w:val="21"/>
        </w:rPr>
      </w:pPr>
      <w:r>
        <w:rPr>
          <w:rFonts w:hint="eastAsia" w:ascii="宋体" w:hAnsi="宋体" w:cs="宋体"/>
          <w:szCs w:val="21"/>
        </w:rPr>
        <w:t>34、落实绿色产品（节能产品、环境标志产品）优先采购政策：见投标人须知前附表。</w:t>
      </w:r>
    </w:p>
    <w:p w14:paraId="3FB9F43C">
      <w:pPr>
        <w:spacing w:line="400" w:lineRule="exact"/>
        <w:rPr>
          <w:rFonts w:ascii="宋体" w:hAnsi="宋体" w:cs="宋体"/>
          <w:szCs w:val="21"/>
        </w:rPr>
      </w:pPr>
      <w:r>
        <w:rPr>
          <w:rFonts w:hint="eastAsia" w:ascii="宋体" w:hAnsi="宋体" w:cs="宋体"/>
          <w:szCs w:val="21"/>
        </w:rPr>
        <w:t>35、本项目所属行业：见投标人须知前附表。</w:t>
      </w:r>
    </w:p>
    <w:p w14:paraId="7BA473B6">
      <w:pPr>
        <w:pStyle w:val="4"/>
        <w:rPr>
          <w:rFonts w:ascii="宋体" w:hAnsi="宋体" w:cs="宋体"/>
          <w:sz w:val="21"/>
          <w:szCs w:val="21"/>
        </w:rPr>
      </w:pPr>
      <w:bookmarkStart w:id="66" w:name="_Toc512597509"/>
      <w:bookmarkStart w:id="67" w:name="_Toc420960507"/>
      <w:bookmarkStart w:id="68" w:name="_Toc247639843"/>
      <w:bookmarkStart w:id="69" w:name="_Toc15489"/>
      <w:bookmarkStart w:id="70" w:name="_Toc420960596"/>
      <w:bookmarkStart w:id="71" w:name="_Toc420960217"/>
      <w:bookmarkStart w:id="72" w:name="_Toc420960304"/>
      <w:r>
        <w:rPr>
          <w:rFonts w:hint="eastAsia" w:ascii="宋体" w:hAnsi="宋体" w:cs="宋体"/>
          <w:sz w:val="21"/>
          <w:szCs w:val="21"/>
        </w:rPr>
        <w:t>36、其它</w:t>
      </w:r>
    </w:p>
    <w:bookmarkEnd w:id="66"/>
    <w:bookmarkEnd w:id="67"/>
    <w:bookmarkEnd w:id="68"/>
    <w:bookmarkEnd w:id="69"/>
    <w:bookmarkEnd w:id="70"/>
    <w:bookmarkEnd w:id="71"/>
    <w:bookmarkEnd w:id="72"/>
    <w:p w14:paraId="78F32750">
      <w:pPr>
        <w:pStyle w:val="4"/>
        <w:rPr>
          <w:rFonts w:ascii="宋体" w:hAnsi="宋体" w:cs="宋体"/>
          <w:sz w:val="21"/>
          <w:szCs w:val="21"/>
        </w:rPr>
      </w:pPr>
      <w:bookmarkStart w:id="73" w:name="_Toc247085694"/>
      <w:bookmarkStart w:id="74" w:name="_Toc144974503"/>
      <w:bookmarkStart w:id="75" w:name="_Toc179632552"/>
      <w:bookmarkStart w:id="76" w:name="_Toc410287381"/>
      <w:bookmarkStart w:id="77" w:name="_Toc152045535"/>
      <w:bookmarkStart w:id="78" w:name="_Toc246996180"/>
      <w:bookmarkStart w:id="79" w:name="_Toc152042311"/>
      <w:bookmarkStart w:id="80" w:name="_Toc512597510"/>
      <w:bookmarkStart w:id="81" w:name="_Toc30846"/>
      <w:bookmarkStart w:id="82" w:name="_Toc246996923"/>
      <w:bookmarkStart w:id="83" w:name="_Toc296602425"/>
      <w:r>
        <w:rPr>
          <w:rFonts w:hint="eastAsia" w:ascii="宋体" w:hAnsi="宋体" w:cs="宋体"/>
          <w:sz w:val="21"/>
          <w:szCs w:val="21"/>
        </w:rPr>
        <w:t>36.1费用承担</w:t>
      </w:r>
      <w:bookmarkEnd w:id="73"/>
      <w:bookmarkEnd w:id="74"/>
      <w:bookmarkEnd w:id="75"/>
      <w:bookmarkEnd w:id="76"/>
      <w:bookmarkEnd w:id="77"/>
      <w:bookmarkEnd w:id="78"/>
      <w:bookmarkEnd w:id="79"/>
      <w:bookmarkEnd w:id="80"/>
      <w:bookmarkEnd w:id="81"/>
      <w:bookmarkEnd w:id="82"/>
      <w:bookmarkEnd w:id="83"/>
    </w:p>
    <w:p w14:paraId="59B064FA">
      <w:pPr>
        <w:spacing w:line="400" w:lineRule="exact"/>
        <w:ind w:firstLine="420" w:firstLineChars="200"/>
        <w:rPr>
          <w:rFonts w:ascii="宋体" w:hAnsi="宋体" w:cs="宋体"/>
          <w:szCs w:val="21"/>
        </w:rPr>
      </w:pPr>
      <w:r>
        <w:rPr>
          <w:rFonts w:hint="eastAsia" w:ascii="宋体" w:hAnsi="宋体" w:cs="宋体"/>
          <w:szCs w:val="21"/>
        </w:rPr>
        <w:t>投标人准备和参加投标活动发生的费用自理。</w:t>
      </w:r>
    </w:p>
    <w:p w14:paraId="079F005E">
      <w:pPr>
        <w:pStyle w:val="4"/>
        <w:rPr>
          <w:rFonts w:ascii="宋体" w:hAnsi="宋体" w:cs="宋体"/>
          <w:sz w:val="21"/>
          <w:szCs w:val="21"/>
        </w:rPr>
      </w:pPr>
      <w:bookmarkStart w:id="84" w:name="_Toc410287382"/>
      <w:bookmarkStart w:id="85" w:name="_Toc179632553"/>
      <w:bookmarkStart w:id="86" w:name="_Toc152042312"/>
      <w:bookmarkStart w:id="87" w:name="_Toc247085695"/>
      <w:bookmarkStart w:id="88" w:name="_Toc512597511"/>
      <w:bookmarkStart w:id="89" w:name="_Toc11754"/>
      <w:bookmarkStart w:id="90" w:name="_Toc296602426"/>
      <w:bookmarkStart w:id="91" w:name="_Toc246996924"/>
      <w:bookmarkStart w:id="92" w:name="_Toc246996181"/>
      <w:bookmarkStart w:id="93" w:name="_Toc152045536"/>
      <w:bookmarkStart w:id="94" w:name="_Toc144974504"/>
      <w:r>
        <w:rPr>
          <w:rFonts w:hint="eastAsia" w:ascii="宋体" w:hAnsi="宋体" w:cs="宋体"/>
          <w:sz w:val="21"/>
          <w:szCs w:val="21"/>
        </w:rPr>
        <w:t>36.2保密</w:t>
      </w:r>
      <w:bookmarkEnd w:id="84"/>
      <w:bookmarkEnd w:id="85"/>
      <w:bookmarkEnd w:id="86"/>
      <w:bookmarkEnd w:id="87"/>
      <w:bookmarkEnd w:id="88"/>
      <w:bookmarkEnd w:id="89"/>
      <w:bookmarkEnd w:id="90"/>
      <w:bookmarkEnd w:id="91"/>
      <w:bookmarkEnd w:id="92"/>
      <w:bookmarkEnd w:id="93"/>
      <w:bookmarkEnd w:id="94"/>
    </w:p>
    <w:p w14:paraId="7E9AEB2F">
      <w:pPr>
        <w:spacing w:line="400" w:lineRule="exact"/>
        <w:ind w:firstLine="420" w:firstLineChars="200"/>
        <w:rPr>
          <w:rFonts w:ascii="宋体" w:hAnsi="宋体" w:cs="宋体"/>
          <w:szCs w:val="21"/>
        </w:rPr>
      </w:pPr>
      <w:r>
        <w:rPr>
          <w:rFonts w:hint="eastAsia" w:ascii="宋体" w:hAnsi="宋体" w:cs="宋体"/>
          <w:szCs w:val="21"/>
        </w:rPr>
        <w:t xml:space="preserve">参与招标投标活动的各方应对招标文件和投标文件中的商业和技术等秘密保密，违者应对由此造成的后果承担法律责任。 </w:t>
      </w:r>
    </w:p>
    <w:p w14:paraId="3651482A">
      <w:pPr>
        <w:pStyle w:val="4"/>
        <w:rPr>
          <w:rFonts w:ascii="宋体" w:hAnsi="宋体" w:cs="宋体"/>
          <w:sz w:val="21"/>
          <w:szCs w:val="21"/>
        </w:rPr>
      </w:pPr>
      <w:bookmarkStart w:id="95" w:name="_Toc144974505"/>
      <w:bookmarkStart w:id="96" w:name="_Toc152045537"/>
      <w:bookmarkStart w:id="97" w:name="_Toc179632554"/>
      <w:bookmarkStart w:id="98" w:name="_Toc296602427"/>
      <w:bookmarkStart w:id="99" w:name="_Toc152042313"/>
      <w:bookmarkStart w:id="100" w:name="_Toc246996925"/>
      <w:bookmarkStart w:id="101" w:name="_Toc12852"/>
      <w:bookmarkStart w:id="102" w:name="_Toc246996182"/>
      <w:bookmarkStart w:id="103" w:name="_Toc247085696"/>
      <w:bookmarkStart w:id="104" w:name="_Toc410287383"/>
      <w:bookmarkStart w:id="105" w:name="_Toc512597512"/>
      <w:r>
        <w:rPr>
          <w:rFonts w:hint="eastAsia" w:ascii="宋体" w:hAnsi="宋体" w:cs="宋体"/>
          <w:sz w:val="21"/>
          <w:szCs w:val="21"/>
        </w:rPr>
        <w:t>36.7 语言</w:t>
      </w:r>
      <w:bookmarkEnd w:id="95"/>
      <w:r>
        <w:rPr>
          <w:rFonts w:hint="eastAsia" w:ascii="宋体" w:hAnsi="宋体" w:cs="宋体"/>
          <w:sz w:val="21"/>
          <w:szCs w:val="21"/>
        </w:rPr>
        <w:t>文字</w:t>
      </w:r>
      <w:bookmarkEnd w:id="96"/>
      <w:bookmarkEnd w:id="97"/>
      <w:bookmarkEnd w:id="98"/>
      <w:bookmarkEnd w:id="99"/>
      <w:bookmarkEnd w:id="100"/>
      <w:bookmarkEnd w:id="101"/>
      <w:bookmarkEnd w:id="102"/>
      <w:bookmarkEnd w:id="103"/>
      <w:bookmarkEnd w:id="104"/>
      <w:bookmarkEnd w:id="105"/>
    </w:p>
    <w:p w14:paraId="5A30772F">
      <w:pPr>
        <w:spacing w:line="400" w:lineRule="exact"/>
        <w:ind w:firstLine="420" w:firstLineChars="200"/>
        <w:rPr>
          <w:rFonts w:ascii="宋体" w:hAnsi="宋体" w:cs="宋体"/>
          <w:szCs w:val="21"/>
        </w:rPr>
      </w:pPr>
      <w:bookmarkStart w:id="106" w:name="_Toc144974506"/>
      <w:bookmarkStart w:id="107" w:name="_Toc247085697"/>
      <w:bookmarkStart w:id="108" w:name="_Toc179632555"/>
      <w:bookmarkStart w:id="109" w:name="_Toc246996183"/>
      <w:bookmarkStart w:id="110" w:name="_Toc152042314"/>
      <w:bookmarkStart w:id="111" w:name="_Toc152045538"/>
      <w:bookmarkStart w:id="112" w:name="_Toc246996926"/>
      <w:r>
        <w:rPr>
          <w:rFonts w:hint="eastAsia" w:ascii="宋体" w:hAnsi="宋体" w:cs="宋体"/>
          <w:szCs w:val="21"/>
        </w:rPr>
        <w:t>招标投标文件使用的语言文字为中文。专业技术术语允许使用外文，但应附有中文翻译。</w:t>
      </w:r>
    </w:p>
    <w:p w14:paraId="18798665">
      <w:pPr>
        <w:pStyle w:val="4"/>
        <w:rPr>
          <w:rFonts w:ascii="宋体" w:hAnsi="宋体" w:cs="宋体"/>
          <w:sz w:val="21"/>
          <w:szCs w:val="21"/>
        </w:rPr>
      </w:pPr>
      <w:bookmarkStart w:id="113" w:name="_Toc21912"/>
      <w:bookmarkStart w:id="114" w:name="_Toc296602428"/>
      <w:bookmarkStart w:id="115" w:name="_Toc410287384"/>
      <w:bookmarkStart w:id="116" w:name="_Toc512597513"/>
      <w:r>
        <w:rPr>
          <w:rFonts w:hint="eastAsia" w:ascii="宋体" w:hAnsi="宋体" w:cs="宋体"/>
          <w:sz w:val="21"/>
          <w:szCs w:val="21"/>
        </w:rPr>
        <w:t>36.8计量单位</w:t>
      </w:r>
      <w:bookmarkEnd w:id="106"/>
      <w:bookmarkEnd w:id="107"/>
      <w:bookmarkEnd w:id="108"/>
      <w:bookmarkEnd w:id="109"/>
      <w:bookmarkEnd w:id="110"/>
      <w:bookmarkEnd w:id="111"/>
      <w:bookmarkEnd w:id="112"/>
      <w:bookmarkEnd w:id="113"/>
      <w:bookmarkEnd w:id="114"/>
      <w:bookmarkEnd w:id="115"/>
      <w:bookmarkEnd w:id="116"/>
    </w:p>
    <w:p w14:paraId="79970658">
      <w:pPr>
        <w:spacing w:line="400" w:lineRule="exact"/>
        <w:ind w:firstLine="420" w:firstLineChars="200"/>
        <w:rPr>
          <w:rFonts w:ascii="宋体" w:hAnsi="宋体" w:cs="宋体"/>
          <w:kern w:val="0"/>
          <w:szCs w:val="21"/>
        </w:rPr>
      </w:pPr>
      <w:r>
        <w:rPr>
          <w:rFonts w:hint="eastAsia" w:ascii="宋体" w:hAnsi="宋体" w:cs="宋体"/>
          <w:szCs w:val="21"/>
        </w:rPr>
        <w:t>所有计量均采用中华人民共和国法定计量单位。</w:t>
      </w:r>
    </w:p>
    <w:p w14:paraId="71C8D123">
      <w:pPr>
        <w:pStyle w:val="4"/>
        <w:rPr>
          <w:rFonts w:ascii="宋体" w:hAnsi="宋体" w:cs="宋体"/>
          <w:sz w:val="21"/>
          <w:szCs w:val="21"/>
        </w:rPr>
      </w:pPr>
      <w:bookmarkStart w:id="117" w:name="_Toc152042324"/>
      <w:bookmarkStart w:id="118" w:name="_Toc144974516"/>
      <w:bookmarkStart w:id="119" w:name="_Toc296602438"/>
      <w:bookmarkStart w:id="120" w:name="_Toc512597524"/>
      <w:bookmarkStart w:id="121" w:name="_Toc8071"/>
      <w:bookmarkStart w:id="122" w:name="_Toc247085707"/>
      <w:bookmarkStart w:id="123" w:name="_Toc152045548"/>
      <w:bookmarkStart w:id="124" w:name="_Toc179632566"/>
      <w:bookmarkStart w:id="125" w:name="_Toc246996936"/>
      <w:bookmarkStart w:id="126" w:name="_Toc246996193"/>
      <w:r>
        <w:rPr>
          <w:rFonts w:hint="eastAsia" w:ascii="宋体" w:hAnsi="宋体" w:cs="宋体"/>
          <w:sz w:val="21"/>
          <w:szCs w:val="21"/>
        </w:rPr>
        <w:t>36.9投标报价</w:t>
      </w:r>
      <w:bookmarkEnd w:id="117"/>
      <w:bookmarkEnd w:id="118"/>
      <w:bookmarkEnd w:id="119"/>
      <w:bookmarkEnd w:id="120"/>
      <w:bookmarkEnd w:id="121"/>
      <w:bookmarkEnd w:id="122"/>
      <w:bookmarkEnd w:id="123"/>
      <w:bookmarkEnd w:id="124"/>
      <w:bookmarkEnd w:id="125"/>
      <w:bookmarkEnd w:id="126"/>
    </w:p>
    <w:p w14:paraId="5647B68B">
      <w:pPr>
        <w:spacing w:line="400" w:lineRule="exact"/>
        <w:ind w:firstLine="420" w:firstLineChars="200"/>
        <w:rPr>
          <w:rFonts w:ascii="宋体" w:hAnsi="宋体" w:cs="宋体"/>
          <w:szCs w:val="21"/>
        </w:rPr>
      </w:pPr>
      <w:bookmarkStart w:id="127" w:name="_Toc152045549"/>
      <w:bookmarkStart w:id="128" w:name="_Toc152042325"/>
      <w:bookmarkStart w:id="129" w:name="_Toc179632567"/>
      <w:bookmarkStart w:id="130" w:name="_Toc144974517"/>
      <w:r>
        <w:rPr>
          <w:rFonts w:hint="eastAsia" w:ascii="宋体" w:hAnsi="宋体" w:cs="宋体"/>
          <w:szCs w:val="21"/>
        </w:rPr>
        <w:t>36.9.1投标报价为固定总报价，报价包含为完成采购需求所需的与之相关的一切费用。</w:t>
      </w:r>
    </w:p>
    <w:p w14:paraId="1B4171E7">
      <w:pPr>
        <w:spacing w:line="400" w:lineRule="exact"/>
        <w:ind w:firstLine="420" w:firstLineChars="200"/>
        <w:rPr>
          <w:rFonts w:ascii="宋体" w:hAnsi="宋体" w:cs="宋体"/>
          <w:szCs w:val="21"/>
        </w:rPr>
      </w:pPr>
      <w:r>
        <w:rPr>
          <w:rFonts w:hint="eastAsia" w:ascii="宋体" w:hAnsi="宋体" w:cs="宋体"/>
          <w:szCs w:val="21"/>
        </w:rPr>
        <w:t>36.9.2投标文件报价出现前后不一致的，除招标文件另有规定外，按照下列规定修正：</w:t>
      </w:r>
    </w:p>
    <w:p w14:paraId="7CBB5CED">
      <w:pPr>
        <w:spacing w:line="400" w:lineRule="exact"/>
        <w:ind w:firstLine="420" w:firstLineChars="200"/>
        <w:rPr>
          <w:rFonts w:ascii="宋体" w:hAnsi="宋体" w:cs="宋体"/>
          <w:szCs w:val="21"/>
        </w:rPr>
      </w:pPr>
      <w:r>
        <w:rPr>
          <w:rFonts w:hint="eastAsia" w:ascii="宋体" w:hAnsi="宋体" w:cs="宋体"/>
          <w:szCs w:val="21"/>
        </w:rPr>
        <w:t>　　（一）投标文件中开标一览表（报价表）内容与投标文件中相应内容不一致的，以开标一览表（报价表）为准；</w:t>
      </w:r>
    </w:p>
    <w:p w14:paraId="57EC8E65">
      <w:pPr>
        <w:spacing w:line="400" w:lineRule="exact"/>
        <w:ind w:firstLine="420" w:firstLineChars="200"/>
        <w:rPr>
          <w:rFonts w:ascii="宋体" w:hAnsi="宋体" w:cs="宋体"/>
          <w:szCs w:val="21"/>
        </w:rPr>
      </w:pPr>
      <w:r>
        <w:rPr>
          <w:rFonts w:hint="eastAsia" w:ascii="宋体" w:hAnsi="宋体" w:cs="宋体"/>
          <w:szCs w:val="21"/>
        </w:rPr>
        <w:t>　　（二）大写金额和小写金额不一致的，以大写金额为准；</w:t>
      </w:r>
    </w:p>
    <w:p w14:paraId="4907B53A">
      <w:pPr>
        <w:spacing w:line="400" w:lineRule="exact"/>
        <w:ind w:firstLine="420" w:firstLineChars="200"/>
        <w:rPr>
          <w:rFonts w:ascii="宋体" w:hAnsi="宋体" w:cs="宋体"/>
          <w:szCs w:val="21"/>
        </w:rPr>
      </w:pPr>
      <w:r>
        <w:rPr>
          <w:rFonts w:hint="eastAsia" w:ascii="宋体" w:hAnsi="宋体" w:cs="宋体"/>
          <w:szCs w:val="21"/>
        </w:rPr>
        <w:t>　　（三）单价金额小数点或者百分比有明显错位的，以开标一览表的总价为准，并修改单价；</w:t>
      </w:r>
    </w:p>
    <w:p w14:paraId="0860FFA9">
      <w:pPr>
        <w:spacing w:line="400" w:lineRule="exact"/>
        <w:ind w:firstLine="420" w:firstLineChars="200"/>
        <w:rPr>
          <w:rFonts w:ascii="宋体" w:hAnsi="宋体" w:cs="宋体"/>
          <w:szCs w:val="21"/>
        </w:rPr>
      </w:pPr>
      <w:r>
        <w:rPr>
          <w:rFonts w:hint="eastAsia" w:ascii="宋体" w:hAnsi="宋体" w:cs="宋体"/>
          <w:szCs w:val="21"/>
        </w:rPr>
        <w:t>　　（四）总价金额与按单价汇总金额不一致的，以单价金额计算结果为准。</w:t>
      </w:r>
    </w:p>
    <w:p w14:paraId="3E3C4DD2">
      <w:pPr>
        <w:spacing w:line="400" w:lineRule="exact"/>
        <w:ind w:firstLine="420" w:firstLineChars="200"/>
        <w:rPr>
          <w:rFonts w:ascii="宋体" w:hAnsi="宋体" w:cs="宋体"/>
          <w:szCs w:val="21"/>
        </w:rPr>
      </w:pPr>
      <w:r>
        <w:rPr>
          <w:rFonts w:hint="eastAsia" w:ascii="宋体" w:hAnsi="宋体" w:cs="宋体"/>
          <w:szCs w:val="21"/>
        </w:rPr>
        <w:t>同时出现两种以上不一致的，按照前款规定的顺序修正。修正后的报价按照本须知36.12.3款的规定经投标人确认后产生约束力，投标人不确认的，其投标无效。</w:t>
      </w:r>
    </w:p>
    <w:bookmarkEnd w:id="127"/>
    <w:bookmarkEnd w:id="128"/>
    <w:bookmarkEnd w:id="129"/>
    <w:bookmarkEnd w:id="130"/>
    <w:p w14:paraId="4B631ED0">
      <w:pPr>
        <w:pStyle w:val="4"/>
        <w:spacing w:line="440" w:lineRule="exact"/>
        <w:rPr>
          <w:rFonts w:ascii="宋体" w:hAnsi="宋体" w:cs="宋体"/>
          <w:sz w:val="21"/>
          <w:szCs w:val="21"/>
        </w:rPr>
      </w:pPr>
      <w:bookmarkStart w:id="131" w:name="_Toc296602442"/>
      <w:bookmarkStart w:id="132" w:name="_Toc512597529"/>
      <w:bookmarkStart w:id="133" w:name="_Toc28498"/>
      <w:bookmarkStart w:id="134" w:name="_Toc246996940"/>
      <w:bookmarkStart w:id="135" w:name="_Toc246996197"/>
      <w:bookmarkStart w:id="136" w:name="_Toc179632571"/>
      <w:bookmarkStart w:id="137" w:name="_Toc152045553"/>
      <w:bookmarkStart w:id="138" w:name="_Toc152042329"/>
      <w:bookmarkStart w:id="139" w:name="_Toc247085711"/>
      <w:bookmarkStart w:id="140" w:name="_Toc144974521"/>
      <w:r>
        <w:rPr>
          <w:rFonts w:hint="eastAsia" w:ascii="宋体" w:hAnsi="宋体" w:cs="宋体"/>
          <w:sz w:val="21"/>
          <w:szCs w:val="21"/>
        </w:rPr>
        <w:t>36.10投标文件的编制</w:t>
      </w:r>
      <w:bookmarkEnd w:id="131"/>
      <w:bookmarkEnd w:id="132"/>
      <w:bookmarkEnd w:id="133"/>
    </w:p>
    <w:p w14:paraId="3E593D3E">
      <w:pPr>
        <w:spacing w:line="440" w:lineRule="exact"/>
        <w:ind w:firstLine="420" w:firstLineChars="200"/>
        <w:rPr>
          <w:rFonts w:ascii="宋体" w:hAnsi="宋体" w:cs="宋体"/>
          <w:szCs w:val="21"/>
        </w:rPr>
      </w:pPr>
      <w:r>
        <w:rPr>
          <w:rFonts w:hint="eastAsia" w:ascii="宋体" w:hAnsi="宋体" w:cs="宋体"/>
          <w:szCs w:val="21"/>
        </w:rPr>
        <w:t>36.10.1投标文件应按第六章“投标文件格式”进行编写，如有必要，可以增加附页，作为投标文件的组成部分。其中，投标函附录在满足招标文件实质性要求的基础上，可以提出比招标文件要求更有利于采购人的承诺。</w:t>
      </w:r>
    </w:p>
    <w:p w14:paraId="6798594B">
      <w:pPr>
        <w:spacing w:line="440" w:lineRule="exact"/>
        <w:ind w:firstLine="420" w:firstLineChars="200"/>
        <w:rPr>
          <w:rFonts w:ascii="宋体" w:hAnsi="宋体" w:cs="宋体"/>
          <w:szCs w:val="21"/>
        </w:rPr>
      </w:pPr>
      <w:r>
        <w:rPr>
          <w:rFonts w:hint="eastAsia" w:ascii="宋体" w:hAnsi="宋体" w:cs="宋体"/>
          <w:szCs w:val="21"/>
        </w:rPr>
        <w:t>36.10.2投标文件应当对招标文件有关</w:t>
      </w:r>
      <w:r>
        <w:rPr>
          <w:rFonts w:hint="eastAsia" w:ascii="宋体" w:hAnsi="宋体" w:cs="宋体"/>
          <w:szCs w:val="21"/>
          <w:lang w:eastAsia="zh-CN"/>
        </w:rPr>
        <w:t>服务期限</w:t>
      </w:r>
      <w:r>
        <w:rPr>
          <w:rFonts w:hint="eastAsia" w:ascii="宋体" w:hAnsi="宋体" w:cs="宋体"/>
          <w:szCs w:val="21"/>
        </w:rPr>
        <w:t>、投标有效期、</w:t>
      </w:r>
      <w:r>
        <w:rPr>
          <w:rFonts w:hint="eastAsia" w:ascii="宋体" w:hAnsi="宋体" w:cs="宋体"/>
          <w:szCs w:val="21"/>
          <w:lang w:eastAsia="zh-CN"/>
        </w:rPr>
        <w:t>服务质量</w:t>
      </w:r>
      <w:r>
        <w:rPr>
          <w:rFonts w:hint="eastAsia" w:ascii="宋体" w:hAnsi="宋体" w:cs="宋体"/>
          <w:szCs w:val="21"/>
        </w:rPr>
        <w:t>、采购需求、采购范围等实质性内容作出响应。</w:t>
      </w:r>
    </w:p>
    <w:bookmarkEnd w:id="134"/>
    <w:bookmarkEnd w:id="135"/>
    <w:bookmarkEnd w:id="136"/>
    <w:bookmarkEnd w:id="137"/>
    <w:bookmarkEnd w:id="138"/>
    <w:bookmarkEnd w:id="139"/>
    <w:bookmarkEnd w:id="140"/>
    <w:p w14:paraId="2B96DA9B">
      <w:pPr>
        <w:pStyle w:val="4"/>
        <w:spacing w:line="400" w:lineRule="exact"/>
        <w:rPr>
          <w:rFonts w:ascii="宋体" w:hAnsi="宋体" w:cs="宋体"/>
          <w:sz w:val="21"/>
          <w:szCs w:val="21"/>
        </w:rPr>
      </w:pPr>
      <w:bookmarkStart w:id="141" w:name="_Toc152042333"/>
      <w:bookmarkStart w:id="142" w:name="_Toc247085715"/>
      <w:bookmarkStart w:id="143" w:name="_Toc246996201"/>
      <w:bookmarkStart w:id="144" w:name="_Toc179632575"/>
      <w:bookmarkStart w:id="145" w:name="_Toc512597532"/>
      <w:bookmarkStart w:id="146" w:name="_Toc25042"/>
      <w:bookmarkStart w:id="147" w:name="_Toc296602445"/>
      <w:bookmarkStart w:id="148" w:name="_Toc144974525"/>
      <w:bookmarkStart w:id="149" w:name="_Toc246996944"/>
      <w:bookmarkStart w:id="150" w:name="_Toc152045557"/>
      <w:r>
        <w:rPr>
          <w:rFonts w:hint="eastAsia" w:ascii="宋体" w:hAnsi="宋体" w:cs="宋体"/>
          <w:sz w:val="21"/>
          <w:szCs w:val="21"/>
        </w:rPr>
        <w:t>36.11投标文件的递交</w:t>
      </w:r>
      <w:bookmarkEnd w:id="141"/>
      <w:bookmarkEnd w:id="142"/>
      <w:bookmarkEnd w:id="143"/>
      <w:bookmarkEnd w:id="144"/>
      <w:bookmarkEnd w:id="145"/>
      <w:bookmarkEnd w:id="146"/>
      <w:bookmarkEnd w:id="147"/>
      <w:bookmarkEnd w:id="148"/>
      <w:bookmarkEnd w:id="149"/>
      <w:bookmarkEnd w:id="150"/>
    </w:p>
    <w:p w14:paraId="44B5B0CF">
      <w:pPr>
        <w:autoSpaceDE w:val="0"/>
        <w:autoSpaceDN w:val="0"/>
        <w:adjustRightInd w:val="0"/>
        <w:spacing w:line="360" w:lineRule="auto"/>
        <w:ind w:firstLine="539" w:firstLineChars="257"/>
        <w:jc w:val="left"/>
        <w:rPr>
          <w:rFonts w:ascii="宋体" w:hAnsi="宋体" w:cs="宋体"/>
          <w:kern w:val="0"/>
          <w:szCs w:val="21"/>
        </w:rPr>
      </w:pPr>
      <w:bookmarkStart w:id="151" w:name="_Toc246996202"/>
      <w:bookmarkStart w:id="152" w:name="_Toc144974526"/>
      <w:bookmarkStart w:id="153" w:name="_Toc247085716"/>
      <w:bookmarkStart w:id="154" w:name="_Toc152042334"/>
      <w:bookmarkStart w:id="155" w:name="_Toc246996945"/>
      <w:bookmarkStart w:id="156" w:name="_Toc296602446"/>
      <w:bookmarkStart w:id="157" w:name="_Toc152045558"/>
      <w:bookmarkStart w:id="158" w:name="_Toc179632576"/>
      <w:bookmarkStart w:id="159" w:name="_Toc512597533"/>
      <w:r>
        <w:rPr>
          <w:rFonts w:hint="eastAsia" w:ascii="宋体" w:hAnsi="宋体" w:cs="宋体"/>
          <w:kern w:val="0"/>
          <w:szCs w:val="21"/>
        </w:rPr>
        <w:t>36.11.1 网上投标上传的电子投标文件应使用CA数字证书认证并加密，上传时必须得到电脑“上传成功”的确认，未按要求加密和CA数字证书认证的投标文件，将被视为无效投标文件，其投标文件将被拒绝，采购人不予受理。</w:t>
      </w:r>
    </w:p>
    <w:p w14:paraId="15BBD5F7">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rPr>
        <w:t>36.11.2投标人应在本章规定的投标截止时间前递交投标文件。</w:t>
      </w:r>
    </w:p>
    <w:p w14:paraId="55184174">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rPr>
        <w:t>36.11.3除投标人须知前附表另有规定外，投标人所递交的投标文件不予退还。</w:t>
      </w:r>
    </w:p>
    <w:p w14:paraId="36D5C66A">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rPr>
        <w:t>36.11.4逾期上传的投标文件，采购人不予受理。</w:t>
      </w:r>
    </w:p>
    <w:p w14:paraId="0EEDE8ED">
      <w:pPr>
        <w:pStyle w:val="4"/>
        <w:rPr>
          <w:rFonts w:ascii="宋体" w:hAnsi="宋体" w:cs="宋体"/>
          <w:sz w:val="21"/>
          <w:szCs w:val="21"/>
        </w:rPr>
      </w:pPr>
      <w:bookmarkStart w:id="160" w:name="_Toc30108"/>
      <w:r>
        <w:rPr>
          <w:rFonts w:hint="eastAsia" w:ascii="宋体" w:hAnsi="宋体" w:cs="宋体"/>
          <w:sz w:val="21"/>
          <w:szCs w:val="21"/>
        </w:rPr>
        <w:t>36.12投标文件的修改与撤回</w:t>
      </w:r>
      <w:bookmarkEnd w:id="151"/>
      <w:bookmarkEnd w:id="152"/>
      <w:bookmarkEnd w:id="153"/>
      <w:bookmarkEnd w:id="154"/>
      <w:bookmarkEnd w:id="155"/>
      <w:bookmarkEnd w:id="156"/>
      <w:bookmarkEnd w:id="157"/>
      <w:bookmarkEnd w:id="158"/>
      <w:bookmarkEnd w:id="159"/>
      <w:bookmarkEnd w:id="160"/>
    </w:p>
    <w:p w14:paraId="5F306101">
      <w:pPr>
        <w:autoSpaceDE w:val="0"/>
        <w:autoSpaceDN w:val="0"/>
        <w:adjustRightInd w:val="0"/>
        <w:spacing w:line="360" w:lineRule="auto"/>
        <w:ind w:firstLine="539" w:firstLineChars="257"/>
        <w:jc w:val="left"/>
        <w:rPr>
          <w:rFonts w:ascii="宋体" w:hAnsi="宋体" w:cs="宋体"/>
          <w:kern w:val="0"/>
          <w:szCs w:val="21"/>
        </w:rPr>
      </w:pPr>
      <w:bookmarkStart w:id="161" w:name="_Toc246996203"/>
      <w:bookmarkStart w:id="162" w:name="_Toc247085717"/>
      <w:bookmarkStart w:id="163" w:name="_Toc144974527"/>
      <w:bookmarkStart w:id="164" w:name="_Toc246996946"/>
      <w:bookmarkStart w:id="165" w:name="_Toc152042335"/>
      <w:bookmarkStart w:id="166" w:name="_Toc179632577"/>
      <w:bookmarkStart w:id="167" w:name="_Toc512597534"/>
      <w:bookmarkStart w:id="168" w:name="_Toc152045559"/>
      <w:bookmarkStart w:id="169" w:name="_Toc296602447"/>
      <w:r>
        <w:rPr>
          <w:rFonts w:hint="eastAsia" w:ascii="宋体" w:hAnsi="宋体" w:cs="宋体"/>
          <w:kern w:val="0"/>
          <w:szCs w:val="21"/>
        </w:rPr>
        <w:t>36.12.1 在投标人须知前附表规定的投标截止时间前，投标人可以修改或撤回已递交的投标文件，最终投标文件以投标截止时间前完成上传至公共资源交易管理中心电子交易系统最后一份投标文件为准。</w:t>
      </w:r>
    </w:p>
    <w:p w14:paraId="1999D05E">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rPr>
        <w:t>36.12.2 投标截止时间之后，在投标有效期内，投标人不得撤回投标文件。</w:t>
      </w:r>
    </w:p>
    <w:p w14:paraId="7C2A4802">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rPr>
        <w:t>36.12.3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后上传至电子交易系统。投标人的澄清、说明或者补正不得超出投标文件的范围或者改变投标文件的实质性内容。</w:t>
      </w:r>
    </w:p>
    <w:bookmarkEnd w:id="161"/>
    <w:bookmarkEnd w:id="162"/>
    <w:bookmarkEnd w:id="163"/>
    <w:bookmarkEnd w:id="164"/>
    <w:bookmarkEnd w:id="165"/>
    <w:bookmarkEnd w:id="166"/>
    <w:bookmarkEnd w:id="167"/>
    <w:bookmarkEnd w:id="168"/>
    <w:bookmarkEnd w:id="169"/>
    <w:p w14:paraId="74820A13">
      <w:pPr>
        <w:pStyle w:val="4"/>
        <w:rPr>
          <w:rFonts w:ascii="宋体" w:hAnsi="宋体" w:cs="宋体"/>
          <w:sz w:val="21"/>
          <w:szCs w:val="21"/>
        </w:rPr>
      </w:pPr>
      <w:bookmarkStart w:id="170" w:name="_Toc246996952"/>
      <w:bookmarkStart w:id="171" w:name="_Toc296602454"/>
      <w:bookmarkStart w:id="172" w:name="_Toc247085723"/>
      <w:bookmarkStart w:id="173" w:name="_Toc29792"/>
      <w:bookmarkStart w:id="174" w:name="_Toc152045565"/>
      <w:bookmarkStart w:id="175" w:name="_Toc246996209"/>
      <w:bookmarkStart w:id="176" w:name="_Toc152042341"/>
      <w:bookmarkStart w:id="177" w:name="_Toc179632583"/>
      <w:bookmarkStart w:id="178" w:name="_Toc512597540"/>
      <w:bookmarkStart w:id="179" w:name="_Toc144974533"/>
      <w:r>
        <w:rPr>
          <w:rFonts w:hint="eastAsia" w:ascii="宋体" w:hAnsi="宋体" w:cs="宋体"/>
          <w:sz w:val="21"/>
          <w:szCs w:val="21"/>
        </w:rPr>
        <w:t>36.13评标</w:t>
      </w:r>
      <w:bookmarkEnd w:id="170"/>
      <w:bookmarkEnd w:id="171"/>
      <w:bookmarkEnd w:id="172"/>
      <w:bookmarkEnd w:id="173"/>
      <w:bookmarkEnd w:id="174"/>
      <w:bookmarkEnd w:id="175"/>
      <w:bookmarkEnd w:id="176"/>
      <w:bookmarkEnd w:id="177"/>
      <w:bookmarkEnd w:id="178"/>
      <w:bookmarkEnd w:id="179"/>
    </w:p>
    <w:p w14:paraId="3E7E6BA0">
      <w:pPr>
        <w:spacing w:line="400" w:lineRule="exact"/>
        <w:ind w:firstLine="420" w:firstLineChars="200"/>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bookmarkStart w:id="180" w:name="_Toc152042342"/>
      <w:bookmarkStart w:id="181" w:name="_Toc246996953"/>
      <w:bookmarkStart w:id="182" w:name="_Toc296602455"/>
      <w:bookmarkStart w:id="183" w:name="_Toc246996210"/>
      <w:bookmarkStart w:id="184" w:name="_Toc179632584"/>
      <w:bookmarkStart w:id="185" w:name="_Toc247085724"/>
      <w:bookmarkStart w:id="186" w:name="_Toc144974534"/>
      <w:bookmarkStart w:id="187" w:name="_Toc152045566"/>
    </w:p>
    <w:bookmarkEnd w:id="180"/>
    <w:bookmarkEnd w:id="181"/>
    <w:bookmarkEnd w:id="182"/>
    <w:bookmarkEnd w:id="183"/>
    <w:bookmarkEnd w:id="184"/>
    <w:bookmarkEnd w:id="185"/>
    <w:bookmarkEnd w:id="186"/>
    <w:bookmarkEnd w:id="187"/>
    <w:p w14:paraId="3FA7137A">
      <w:pPr>
        <w:pStyle w:val="4"/>
        <w:rPr>
          <w:rFonts w:ascii="宋体" w:hAnsi="宋体" w:cs="宋体"/>
          <w:sz w:val="21"/>
          <w:szCs w:val="21"/>
        </w:rPr>
      </w:pPr>
      <w:bookmarkStart w:id="188" w:name="_Toc512597543"/>
      <w:bookmarkStart w:id="189" w:name="_Toc296602457"/>
      <w:bookmarkStart w:id="190" w:name="_Toc6266"/>
      <w:r>
        <w:rPr>
          <w:rFonts w:hint="eastAsia" w:ascii="宋体" w:hAnsi="宋体" w:cs="宋体"/>
          <w:sz w:val="21"/>
          <w:szCs w:val="21"/>
        </w:rPr>
        <w:t>36.14中标结果公</w:t>
      </w:r>
      <w:bookmarkEnd w:id="188"/>
      <w:bookmarkEnd w:id="189"/>
      <w:r>
        <w:rPr>
          <w:rFonts w:hint="eastAsia" w:ascii="宋体" w:hAnsi="宋体" w:cs="宋体"/>
          <w:sz w:val="21"/>
          <w:szCs w:val="21"/>
        </w:rPr>
        <w:t>告</w:t>
      </w:r>
      <w:bookmarkEnd w:id="190"/>
    </w:p>
    <w:p w14:paraId="301B909E">
      <w:pPr>
        <w:spacing w:line="400" w:lineRule="exact"/>
        <w:ind w:firstLine="420" w:firstLineChars="200"/>
        <w:rPr>
          <w:rFonts w:ascii="宋体" w:hAnsi="宋体" w:cs="宋体"/>
          <w:szCs w:val="21"/>
        </w:rPr>
      </w:pPr>
      <w:r>
        <w:rPr>
          <w:rFonts w:hint="eastAsia" w:ascii="宋体" w:hAnsi="宋体" w:cs="宋体"/>
          <w:szCs w:val="21"/>
        </w:rPr>
        <w:t>采购人在招标公告公布的媒介公示中标结果。</w:t>
      </w:r>
    </w:p>
    <w:p w14:paraId="2F81461A">
      <w:pPr>
        <w:pStyle w:val="4"/>
        <w:rPr>
          <w:rFonts w:ascii="宋体" w:hAnsi="宋体" w:cs="宋体"/>
          <w:sz w:val="21"/>
          <w:szCs w:val="21"/>
        </w:rPr>
      </w:pPr>
      <w:bookmarkStart w:id="191" w:name="_Toc512597544"/>
      <w:bookmarkStart w:id="192" w:name="_Toc247085726"/>
      <w:bookmarkStart w:id="193" w:name="_Toc296602458"/>
      <w:bookmarkStart w:id="194" w:name="_Toc246996212"/>
      <w:bookmarkStart w:id="195" w:name="_Toc152045568"/>
      <w:bookmarkStart w:id="196" w:name="_Toc246996955"/>
      <w:bookmarkStart w:id="197" w:name="_Toc152042344"/>
      <w:bookmarkStart w:id="198" w:name="_Toc144974536"/>
      <w:bookmarkStart w:id="199" w:name="_Toc24251"/>
      <w:bookmarkStart w:id="200" w:name="_Toc179632586"/>
      <w:r>
        <w:rPr>
          <w:rFonts w:hint="eastAsia" w:ascii="宋体" w:hAnsi="宋体" w:cs="宋体"/>
          <w:sz w:val="21"/>
          <w:szCs w:val="21"/>
        </w:rPr>
        <w:t>36.15 中标通知</w:t>
      </w:r>
      <w:bookmarkEnd w:id="191"/>
      <w:bookmarkEnd w:id="192"/>
      <w:bookmarkEnd w:id="193"/>
      <w:bookmarkEnd w:id="194"/>
      <w:bookmarkEnd w:id="195"/>
      <w:bookmarkEnd w:id="196"/>
      <w:bookmarkEnd w:id="197"/>
      <w:bookmarkEnd w:id="198"/>
      <w:bookmarkEnd w:id="199"/>
      <w:bookmarkEnd w:id="200"/>
    </w:p>
    <w:p w14:paraId="32593BEA">
      <w:pPr>
        <w:spacing w:line="400" w:lineRule="exact"/>
        <w:ind w:firstLine="420" w:firstLineChars="200"/>
        <w:rPr>
          <w:rFonts w:ascii="宋体" w:hAnsi="宋体" w:cs="宋体"/>
          <w:szCs w:val="21"/>
        </w:rPr>
      </w:pPr>
      <w:r>
        <w:rPr>
          <w:rFonts w:hint="eastAsia" w:ascii="宋体" w:hAnsi="宋体" w:cs="宋体"/>
          <w:szCs w:val="21"/>
        </w:rPr>
        <w:t>在本章规定的投标有效期内，采购人以书面形式向中标人发出中标通知书，同时将中标结果通知通过电子交易系统通知未中标的投标人。</w:t>
      </w:r>
    </w:p>
    <w:p w14:paraId="7FD18FB1">
      <w:pPr>
        <w:pStyle w:val="3"/>
        <w:rPr>
          <w:rFonts w:ascii="宋体" w:hAnsi="宋体" w:eastAsia="宋体" w:cs="宋体"/>
          <w:sz w:val="21"/>
          <w:szCs w:val="21"/>
        </w:rPr>
      </w:pPr>
      <w:bookmarkStart w:id="201" w:name="_Toc184635078"/>
      <w:bookmarkStart w:id="202" w:name="_Toc512597547"/>
      <w:bookmarkStart w:id="203" w:name="_Toc2040"/>
      <w:bookmarkStart w:id="204" w:name="_Toc246996967"/>
      <w:bookmarkStart w:id="205" w:name="_Toc144974547"/>
      <w:bookmarkStart w:id="206" w:name="_Toc296602467"/>
      <w:bookmarkStart w:id="207" w:name="_Toc152042357"/>
      <w:bookmarkStart w:id="208" w:name="_Toc179632598"/>
      <w:bookmarkStart w:id="209" w:name="_Toc247085738"/>
      <w:bookmarkStart w:id="210" w:name="_Toc152045580"/>
      <w:bookmarkStart w:id="211" w:name="_Toc246996224"/>
      <w:r>
        <w:rPr>
          <w:rFonts w:hint="eastAsia" w:ascii="宋体" w:hAnsi="宋体" w:eastAsia="宋体" w:cs="宋体"/>
          <w:sz w:val="21"/>
          <w:szCs w:val="21"/>
        </w:rPr>
        <w:t>36.16废标和</w:t>
      </w:r>
      <w:bookmarkEnd w:id="201"/>
      <w:bookmarkEnd w:id="202"/>
      <w:r>
        <w:rPr>
          <w:rFonts w:hint="eastAsia" w:ascii="宋体" w:hAnsi="宋体" w:eastAsia="宋体" w:cs="宋体"/>
          <w:sz w:val="21"/>
          <w:szCs w:val="21"/>
        </w:rPr>
        <w:t>其它采购方式</w:t>
      </w:r>
      <w:bookmarkEnd w:id="203"/>
    </w:p>
    <w:p w14:paraId="55661AB3">
      <w:pPr>
        <w:pStyle w:val="4"/>
        <w:ind w:firstLine="422" w:firstLineChars="200"/>
        <w:rPr>
          <w:rFonts w:ascii="宋体" w:hAnsi="宋体" w:cs="宋体"/>
          <w:sz w:val="21"/>
          <w:szCs w:val="21"/>
        </w:rPr>
      </w:pPr>
      <w:bookmarkStart w:id="212" w:name="_Toc3521"/>
      <w:r>
        <w:rPr>
          <w:rFonts w:hint="eastAsia" w:ascii="宋体" w:hAnsi="宋体" w:cs="宋体"/>
          <w:sz w:val="21"/>
          <w:szCs w:val="21"/>
        </w:rPr>
        <w:t>36.16.1废标</w:t>
      </w:r>
      <w:bookmarkEnd w:id="212"/>
    </w:p>
    <w:p w14:paraId="0282FC45">
      <w:pPr>
        <w:spacing w:line="360" w:lineRule="auto"/>
        <w:ind w:firstLine="420" w:firstLineChars="200"/>
        <w:textAlignment w:val="baseline"/>
        <w:rPr>
          <w:rFonts w:ascii="宋体" w:hAnsi="宋体" w:cs="宋体"/>
          <w:szCs w:val="21"/>
        </w:rPr>
      </w:pPr>
      <w:r>
        <w:rPr>
          <w:rFonts w:hint="eastAsia" w:ascii="宋体" w:hAnsi="宋体" w:cs="宋体"/>
          <w:szCs w:val="21"/>
        </w:rPr>
        <w:t>在招标采购中，出现下列情形之一的，应予废标：</w:t>
      </w:r>
    </w:p>
    <w:p w14:paraId="58F3BDA8">
      <w:pPr>
        <w:spacing w:line="360" w:lineRule="auto"/>
        <w:ind w:firstLine="420" w:firstLineChars="200"/>
        <w:textAlignment w:val="baseline"/>
        <w:rPr>
          <w:rFonts w:ascii="宋体" w:hAnsi="宋体" w:cs="宋体"/>
          <w:szCs w:val="21"/>
        </w:rPr>
      </w:pPr>
      <w:r>
        <w:rPr>
          <w:rFonts w:hint="eastAsia" w:ascii="宋体" w:hAnsi="宋体" w:cs="宋体"/>
          <w:szCs w:val="21"/>
        </w:rPr>
        <w:t>　（一）符合专业条件的供应商或者对招标文件作实质响应的供应商不足三家的；</w:t>
      </w:r>
    </w:p>
    <w:p w14:paraId="0F99FCDF">
      <w:pPr>
        <w:spacing w:line="360" w:lineRule="auto"/>
        <w:ind w:firstLine="420" w:firstLineChars="200"/>
        <w:textAlignment w:val="baseline"/>
        <w:rPr>
          <w:rFonts w:ascii="宋体" w:hAnsi="宋体" w:cs="宋体"/>
          <w:szCs w:val="21"/>
        </w:rPr>
      </w:pPr>
      <w:r>
        <w:rPr>
          <w:rFonts w:hint="eastAsia" w:ascii="宋体" w:hAnsi="宋体" w:cs="宋体"/>
          <w:szCs w:val="21"/>
        </w:rPr>
        <w:t>　（二）出现影响采购公正的违法、违规行为的；</w:t>
      </w:r>
    </w:p>
    <w:p w14:paraId="6B29C122">
      <w:pPr>
        <w:spacing w:line="360" w:lineRule="auto"/>
        <w:ind w:firstLine="420" w:firstLineChars="200"/>
        <w:textAlignment w:val="baseline"/>
        <w:rPr>
          <w:rFonts w:ascii="宋体" w:hAnsi="宋体" w:cs="宋体"/>
          <w:szCs w:val="21"/>
        </w:rPr>
      </w:pPr>
      <w:r>
        <w:rPr>
          <w:rFonts w:hint="eastAsia" w:ascii="宋体" w:hAnsi="宋体" w:cs="宋体"/>
          <w:szCs w:val="21"/>
        </w:rPr>
        <w:t>　（三）投标人的报价均超过了采购预算，采购人不能支付的；</w:t>
      </w:r>
    </w:p>
    <w:p w14:paraId="3F931092">
      <w:pPr>
        <w:spacing w:line="360" w:lineRule="auto"/>
        <w:ind w:firstLine="420" w:firstLineChars="200"/>
        <w:textAlignment w:val="baseline"/>
        <w:rPr>
          <w:rFonts w:ascii="宋体" w:hAnsi="宋体" w:cs="宋体"/>
          <w:szCs w:val="21"/>
        </w:rPr>
      </w:pPr>
      <w:r>
        <w:rPr>
          <w:rFonts w:hint="eastAsia" w:ascii="宋体" w:hAnsi="宋体" w:cs="宋体"/>
          <w:szCs w:val="21"/>
        </w:rPr>
        <w:t>　（四）因重大变故，采购任务取消的。</w:t>
      </w:r>
    </w:p>
    <w:p w14:paraId="0DD8DBAF">
      <w:pPr>
        <w:spacing w:line="360" w:lineRule="auto"/>
        <w:ind w:firstLine="840" w:firstLineChars="400"/>
        <w:textAlignment w:val="baseline"/>
        <w:rPr>
          <w:rFonts w:ascii="宋体" w:hAnsi="宋体" w:cs="宋体"/>
          <w:szCs w:val="21"/>
        </w:rPr>
      </w:pPr>
      <w:r>
        <w:rPr>
          <w:rFonts w:hint="eastAsia" w:ascii="宋体" w:hAnsi="宋体" w:cs="宋体"/>
          <w:szCs w:val="21"/>
        </w:rPr>
        <w:t>废标后，采购人应当将废标理由通知所有投标人。</w:t>
      </w:r>
    </w:p>
    <w:p w14:paraId="75522C88">
      <w:pPr>
        <w:pStyle w:val="4"/>
        <w:ind w:firstLine="422" w:firstLineChars="200"/>
        <w:rPr>
          <w:rFonts w:ascii="宋体" w:hAnsi="宋体" w:cs="宋体"/>
          <w:sz w:val="21"/>
          <w:szCs w:val="21"/>
        </w:rPr>
      </w:pPr>
      <w:bookmarkStart w:id="213" w:name="_Toc27415"/>
      <w:r>
        <w:rPr>
          <w:rFonts w:hint="eastAsia" w:ascii="宋体" w:hAnsi="宋体" w:cs="宋体"/>
          <w:sz w:val="21"/>
          <w:szCs w:val="21"/>
        </w:rPr>
        <w:t>36.16.2它采购方式</w:t>
      </w:r>
      <w:bookmarkEnd w:id="213"/>
    </w:p>
    <w:p w14:paraId="72DE7699">
      <w:pPr>
        <w:spacing w:line="360" w:lineRule="auto"/>
        <w:ind w:firstLine="420" w:firstLineChars="200"/>
        <w:textAlignment w:val="baseline"/>
        <w:rPr>
          <w:rFonts w:ascii="宋体" w:hAnsi="宋体" w:cs="宋体"/>
          <w:szCs w:val="21"/>
        </w:rPr>
      </w:pPr>
      <w:r>
        <w:rPr>
          <w:rFonts w:hint="eastAsia" w:ascii="宋体" w:hAnsi="宋体" w:cs="宋体"/>
          <w:szCs w:val="21"/>
        </w:rPr>
        <w:t>重新招标后投标人仍少于3 个或者所有投标被否决的，经原审批或核准部门批准后采用非招标方式进行采购或不再进行招标。</w:t>
      </w:r>
    </w:p>
    <w:p w14:paraId="14B410B7">
      <w:pPr>
        <w:pStyle w:val="3"/>
        <w:rPr>
          <w:rFonts w:ascii="宋体" w:hAnsi="宋体" w:eastAsia="宋体" w:cs="宋体"/>
          <w:sz w:val="21"/>
          <w:szCs w:val="21"/>
        </w:rPr>
      </w:pPr>
      <w:bookmarkStart w:id="214" w:name="_Toc184635079"/>
      <w:bookmarkStart w:id="215" w:name="_Toc512597550"/>
      <w:bookmarkStart w:id="216" w:name="_Toc6135"/>
      <w:r>
        <w:rPr>
          <w:rFonts w:hint="eastAsia" w:ascii="宋体" w:hAnsi="宋体" w:eastAsia="宋体" w:cs="宋体"/>
          <w:sz w:val="21"/>
          <w:szCs w:val="21"/>
        </w:rPr>
        <w:t>36.17纪律和监督</w:t>
      </w:r>
      <w:bookmarkEnd w:id="214"/>
      <w:bookmarkEnd w:id="215"/>
      <w:bookmarkEnd w:id="216"/>
    </w:p>
    <w:p w14:paraId="28A5BE4E">
      <w:pPr>
        <w:pStyle w:val="4"/>
        <w:ind w:firstLine="422" w:firstLineChars="200"/>
        <w:rPr>
          <w:rFonts w:ascii="宋体" w:hAnsi="宋体" w:cs="宋体"/>
          <w:sz w:val="21"/>
          <w:szCs w:val="21"/>
        </w:rPr>
      </w:pPr>
      <w:bookmarkStart w:id="217" w:name="_Toc512597551"/>
      <w:bookmarkStart w:id="218" w:name="_Toc20450"/>
      <w:r>
        <w:rPr>
          <w:rFonts w:hint="eastAsia" w:ascii="宋体" w:hAnsi="宋体" w:cs="宋体"/>
          <w:sz w:val="21"/>
          <w:szCs w:val="21"/>
        </w:rPr>
        <w:t>36.17.1 对采购人的纪律要求</w:t>
      </w:r>
      <w:bookmarkEnd w:id="217"/>
      <w:bookmarkEnd w:id="218"/>
    </w:p>
    <w:p w14:paraId="1EF0977C">
      <w:pPr>
        <w:spacing w:line="360" w:lineRule="auto"/>
        <w:ind w:firstLine="420" w:firstLineChars="200"/>
        <w:textAlignment w:val="baseline"/>
        <w:rPr>
          <w:rFonts w:ascii="宋体" w:hAnsi="宋体" w:cs="宋体"/>
          <w:szCs w:val="21"/>
        </w:rPr>
      </w:pPr>
      <w:r>
        <w:rPr>
          <w:rFonts w:hint="eastAsia" w:ascii="宋体" w:hAnsi="宋体" w:cs="宋体"/>
          <w:szCs w:val="21"/>
        </w:rPr>
        <w:t>采购人不得泄漏招标投标活动中应当保密的情况和资料，不得与投标人串通损害国家利益、社会公共利益或者他人合法权益。</w:t>
      </w:r>
    </w:p>
    <w:p w14:paraId="44E98D83">
      <w:pPr>
        <w:spacing w:line="360" w:lineRule="auto"/>
        <w:ind w:firstLine="422" w:firstLineChars="200"/>
        <w:jc w:val="left"/>
        <w:textAlignment w:val="baseline"/>
        <w:rPr>
          <w:rFonts w:ascii="宋体" w:hAnsi="宋体" w:cs="宋体"/>
          <w:bCs/>
          <w:szCs w:val="21"/>
        </w:rPr>
      </w:pPr>
      <w:bookmarkStart w:id="219" w:name="_Toc1262"/>
      <w:r>
        <w:rPr>
          <w:rStyle w:val="24"/>
          <w:rFonts w:hint="eastAsia" w:ascii="宋体" w:hAnsi="宋体" w:cs="宋体"/>
          <w:bCs/>
          <w:sz w:val="21"/>
          <w:szCs w:val="21"/>
        </w:rPr>
        <w:t>禁止采购人与投标人串通投标</w:t>
      </w:r>
      <w:bookmarkEnd w:id="219"/>
      <w:r>
        <w:rPr>
          <w:rFonts w:hint="eastAsia" w:ascii="宋体" w:hAnsi="宋体" w:cs="宋体"/>
          <w:bCs/>
          <w:szCs w:val="21"/>
        </w:rPr>
        <w:br w:type="textWrapping"/>
      </w:r>
      <w:r>
        <w:rPr>
          <w:rFonts w:hint="eastAsia" w:ascii="宋体" w:hAnsi="宋体" w:cs="宋体"/>
          <w:bCs/>
          <w:szCs w:val="21"/>
        </w:rPr>
        <w:t xml:space="preserve">    下列情形之一的，属于恶意串通，对供应商依照政府采购法第七十七条第一款的规定追究法律责任，对采购人、采购代理机构及其工作人员依照政府采购法第七十二条的规定追究法律责任：</w:t>
      </w:r>
    </w:p>
    <w:p w14:paraId="5642251A">
      <w:pPr>
        <w:spacing w:line="360" w:lineRule="auto"/>
        <w:jc w:val="left"/>
        <w:textAlignment w:val="baseline"/>
        <w:rPr>
          <w:rFonts w:ascii="宋体" w:hAnsi="宋体" w:cs="宋体"/>
          <w:bCs/>
          <w:szCs w:val="21"/>
        </w:rPr>
      </w:pPr>
      <w:r>
        <w:rPr>
          <w:rFonts w:hint="eastAsia" w:ascii="宋体" w:hAnsi="宋体" w:cs="宋体"/>
          <w:bCs/>
          <w:szCs w:val="21"/>
        </w:rPr>
        <w:t>　　（一）供应商直接或者间接从采购人或者采购代理机构处获得其他供应商的相关情况并修改其投标文件或者响应文件；</w:t>
      </w:r>
    </w:p>
    <w:p w14:paraId="4F2ACCA7">
      <w:pPr>
        <w:spacing w:line="360" w:lineRule="auto"/>
        <w:jc w:val="left"/>
        <w:textAlignment w:val="baseline"/>
        <w:rPr>
          <w:rFonts w:ascii="宋体" w:hAnsi="宋体" w:cs="宋体"/>
          <w:bCs/>
          <w:szCs w:val="21"/>
        </w:rPr>
      </w:pPr>
      <w:r>
        <w:rPr>
          <w:rFonts w:hint="eastAsia" w:ascii="宋体" w:hAnsi="宋体" w:cs="宋体"/>
          <w:bCs/>
          <w:szCs w:val="21"/>
        </w:rPr>
        <w:t>　　（二）供应商按照采购人或者采购代理机构的授意撤换、修改投标文件或者响应文件；</w:t>
      </w:r>
    </w:p>
    <w:p w14:paraId="1EB7D8FF">
      <w:pPr>
        <w:spacing w:line="360" w:lineRule="auto"/>
        <w:jc w:val="left"/>
        <w:textAlignment w:val="baseline"/>
        <w:rPr>
          <w:rFonts w:ascii="宋体" w:hAnsi="宋体" w:cs="宋体"/>
          <w:bCs/>
          <w:szCs w:val="21"/>
        </w:rPr>
      </w:pPr>
      <w:r>
        <w:rPr>
          <w:rFonts w:hint="eastAsia" w:ascii="宋体" w:hAnsi="宋体" w:cs="宋体"/>
          <w:bCs/>
          <w:szCs w:val="21"/>
        </w:rPr>
        <w:t>　　（三）供应商之间协商报价、技术方案等投标文件或者响应文件的实质性内容；</w:t>
      </w:r>
    </w:p>
    <w:p w14:paraId="2BA26140">
      <w:pPr>
        <w:spacing w:line="360" w:lineRule="auto"/>
        <w:jc w:val="left"/>
        <w:textAlignment w:val="baseline"/>
        <w:rPr>
          <w:rFonts w:ascii="宋体" w:hAnsi="宋体" w:cs="宋体"/>
          <w:bCs/>
          <w:szCs w:val="21"/>
        </w:rPr>
      </w:pPr>
      <w:r>
        <w:rPr>
          <w:rFonts w:hint="eastAsia" w:ascii="宋体" w:hAnsi="宋体" w:cs="宋体"/>
          <w:bCs/>
          <w:szCs w:val="21"/>
        </w:rPr>
        <w:t>　　（四）属于同一集团、协会、商会等组织成员的供应商按照该组织要求协同参加政府采购活动；</w:t>
      </w:r>
    </w:p>
    <w:p w14:paraId="1E23EDFF">
      <w:pPr>
        <w:spacing w:line="360" w:lineRule="auto"/>
        <w:jc w:val="left"/>
        <w:textAlignment w:val="baseline"/>
        <w:rPr>
          <w:rFonts w:ascii="宋体" w:hAnsi="宋体" w:cs="宋体"/>
          <w:bCs/>
          <w:szCs w:val="21"/>
        </w:rPr>
      </w:pPr>
      <w:r>
        <w:rPr>
          <w:rFonts w:hint="eastAsia" w:ascii="宋体" w:hAnsi="宋体" w:cs="宋体"/>
          <w:bCs/>
          <w:szCs w:val="21"/>
        </w:rPr>
        <w:t>　　（五）供应商之间事先约定由某一特定供应商中标、成交；</w:t>
      </w:r>
    </w:p>
    <w:p w14:paraId="79C3C9B7">
      <w:pPr>
        <w:spacing w:line="360" w:lineRule="auto"/>
        <w:jc w:val="left"/>
        <w:textAlignment w:val="baseline"/>
        <w:rPr>
          <w:rFonts w:ascii="宋体" w:hAnsi="宋体" w:cs="宋体"/>
          <w:bCs/>
          <w:szCs w:val="21"/>
        </w:rPr>
      </w:pPr>
      <w:r>
        <w:rPr>
          <w:rFonts w:hint="eastAsia" w:ascii="宋体" w:hAnsi="宋体" w:cs="宋体"/>
          <w:bCs/>
          <w:szCs w:val="21"/>
        </w:rPr>
        <w:t>　　（六）供应商之间商定部分供应商放弃参加政府采购活动或者放弃中标、成交；</w:t>
      </w:r>
    </w:p>
    <w:p w14:paraId="267120CA">
      <w:pPr>
        <w:spacing w:line="360" w:lineRule="auto"/>
        <w:jc w:val="left"/>
        <w:textAlignment w:val="baseline"/>
        <w:rPr>
          <w:rFonts w:ascii="宋体" w:hAnsi="宋体" w:cs="宋体"/>
          <w:bCs/>
          <w:szCs w:val="21"/>
        </w:rPr>
      </w:pPr>
      <w:r>
        <w:rPr>
          <w:rFonts w:hint="eastAsia" w:ascii="宋体" w:hAnsi="宋体" w:cs="宋体"/>
          <w:bCs/>
          <w:szCs w:val="21"/>
        </w:rPr>
        <w:t>　　（七）供应商与采购人或者采购代理机构之间、供应商相互之间，为谋求特定供应商中标、成交或者排斥其他供应商的其他串通行为。</w:t>
      </w:r>
    </w:p>
    <w:p w14:paraId="5A808885">
      <w:pPr>
        <w:pStyle w:val="4"/>
        <w:ind w:firstLine="422" w:firstLineChars="200"/>
        <w:rPr>
          <w:rFonts w:ascii="宋体" w:hAnsi="宋体" w:cs="宋体"/>
          <w:sz w:val="21"/>
          <w:szCs w:val="21"/>
        </w:rPr>
      </w:pPr>
      <w:bookmarkStart w:id="220" w:name="_Toc17935"/>
      <w:bookmarkStart w:id="221" w:name="_Toc512597552"/>
      <w:r>
        <w:rPr>
          <w:rFonts w:hint="eastAsia" w:ascii="宋体" w:hAnsi="宋体" w:cs="宋体"/>
          <w:sz w:val="21"/>
          <w:szCs w:val="21"/>
        </w:rPr>
        <w:t>36.17.2 对投标人的纪律要求</w:t>
      </w:r>
      <w:bookmarkEnd w:id="220"/>
      <w:bookmarkEnd w:id="221"/>
    </w:p>
    <w:p w14:paraId="7B562E89">
      <w:pPr>
        <w:spacing w:line="360" w:lineRule="auto"/>
        <w:ind w:firstLine="420" w:firstLineChars="200"/>
        <w:textAlignment w:val="baseline"/>
        <w:rPr>
          <w:rFonts w:ascii="宋体" w:hAnsi="宋体" w:cs="宋体"/>
          <w:szCs w:val="21"/>
        </w:rPr>
      </w:pPr>
      <w:r>
        <w:rPr>
          <w:rFonts w:hint="eastAsia" w:ascii="宋体" w:hAnsi="宋体" w:cs="宋体"/>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109A4942">
      <w:pPr>
        <w:spacing w:line="360" w:lineRule="auto"/>
        <w:ind w:left="420" w:leftChars="200"/>
        <w:jc w:val="left"/>
        <w:textAlignment w:val="baseline"/>
        <w:rPr>
          <w:rStyle w:val="24"/>
          <w:rFonts w:ascii="宋体" w:hAnsi="宋体" w:cs="宋体"/>
          <w:bCs/>
          <w:sz w:val="21"/>
          <w:szCs w:val="21"/>
        </w:rPr>
      </w:pPr>
      <w:bookmarkStart w:id="222" w:name="_Toc15818"/>
      <w:r>
        <w:rPr>
          <w:rStyle w:val="24"/>
          <w:rFonts w:hint="eastAsia" w:ascii="宋体" w:hAnsi="宋体" w:cs="宋体"/>
          <w:bCs/>
          <w:sz w:val="21"/>
          <w:szCs w:val="21"/>
        </w:rPr>
        <w:t>禁止投标人相互串通投标</w:t>
      </w:r>
      <w:bookmarkEnd w:id="222"/>
    </w:p>
    <w:p w14:paraId="1AC70264">
      <w:pPr>
        <w:spacing w:line="360" w:lineRule="auto"/>
        <w:ind w:firstLine="420" w:firstLineChars="200"/>
        <w:jc w:val="left"/>
        <w:textAlignment w:val="baseline"/>
        <w:rPr>
          <w:rFonts w:ascii="宋体" w:hAnsi="宋体" w:cs="宋体"/>
          <w:bCs/>
          <w:szCs w:val="21"/>
        </w:rPr>
      </w:pPr>
      <w:r>
        <w:rPr>
          <w:rFonts w:hint="eastAsia" w:ascii="宋体" w:hAnsi="宋体" w:cs="宋体"/>
          <w:bCs/>
          <w:szCs w:val="21"/>
        </w:rPr>
        <w:t>下列情形之一的，属于恶意串通，对供应商依照政府采购法第七十七条第一款的规定追究法律责任，对采购人、采购代理机构及其工作人员依照政府采购法第七十二条的规定追究法律责任：</w:t>
      </w:r>
    </w:p>
    <w:p w14:paraId="37A3AB92">
      <w:pPr>
        <w:spacing w:line="360" w:lineRule="auto"/>
        <w:jc w:val="left"/>
        <w:textAlignment w:val="baseline"/>
        <w:rPr>
          <w:rFonts w:ascii="宋体" w:hAnsi="宋体" w:cs="宋体"/>
          <w:bCs/>
          <w:szCs w:val="21"/>
        </w:rPr>
      </w:pPr>
      <w:r>
        <w:rPr>
          <w:rFonts w:hint="eastAsia" w:ascii="宋体" w:hAnsi="宋体" w:cs="宋体"/>
          <w:bCs/>
          <w:szCs w:val="21"/>
        </w:rPr>
        <w:t>　　（一）供应商直接或者间接从采购人或者采购代理机构处获得其他供应商的相关情况并修改其投标文件或者响应文件；</w:t>
      </w:r>
    </w:p>
    <w:p w14:paraId="3642DC1F">
      <w:pPr>
        <w:spacing w:line="360" w:lineRule="auto"/>
        <w:jc w:val="left"/>
        <w:textAlignment w:val="baseline"/>
        <w:rPr>
          <w:rFonts w:ascii="宋体" w:hAnsi="宋体" w:cs="宋体"/>
          <w:bCs/>
          <w:szCs w:val="21"/>
        </w:rPr>
      </w:pPr>
      <w:r>
        <w:rPr>
          <w:rFonts w:hint="eastAsia" w:ascii="宋体" w:hAnsi="宋体" w:cs="宋体"/>
          <w:bCs/>
          <w:szCs w:val="21"/>
        </w:rPr>
        <w:t>　　（二）供应商按照采购人或者采购代理机构的授意撤换、修改投标文件或者响应文件；</w:t>
      </w:r>
    </w:p>
    <w:p w14:paraId="39B3AA56">
      <w:pPr>
        <w:spacing w:line="360" w:lineRule="auto"/>
        <w:jc w:val="left"/>
        <w:textAlignment w:val="baseline"/>
        <w:rPr>
          <w:rFonts w:ascii="宋体" w:hAnsi="宋体" w:cs="宋体"/>
          <w:bCs/>
          <w:szCs w:val="21"/>
        </w:rPr>
      </w:pPr>
      <w:r>
        <w:rPr>
          <w:rFonts w:hint="eastAsia" w:ascii="宋体" w:hAnsi="宋体" w:cs="宋体"/>
          <w:bCs/>
          <w:szCs w:val="21"/>
        </w:rPr>
        <w:t>　　（三）供应商之间协商报价、技术方案等投标文件或者响应文件的实质性内容；</w:t>
      </w:r>
    </w:p>
    <w:p w14:paraId="177F6749">
      <w:pPr>
        <w:spacing w:line="360" w:lineRule="auto"/>
        <w:jc w:val="left"/>
        <w:textAlignment w:val="baseline"/>
        <w:rPr>
          <w:rFonts w:ascii="宋体" w:hAnsi="宋体" w:cs="宋体"/>
          <w:bCs/>
          <w:szCs w:val="21"/>
        </w:rPr>
      </w:pPr>
      <w:r>
        <w:rPr>
          <w:rFonts w:hint="eastAsia" w:ascii="宋体" w:hAnsi="宋体" w:cs="宋体"/>
          <w:bCs/>
          <w:szCs w:val="21"/>
        </w:rPr>
        <w:t>　　（四）属于同一集团、协会、商会等组织成员的供应商按照该组织要求协同参加政府采购活动；</w:t>
      </w:r>
    </w:p>
    <w:p w14:paraId="1D249FAA">
      <w:pPr>
        <w:spacing w:line="360" w:lineRule="auto"/>
        <w:jc w:val="left"/>
        <w:textAlignment w:val="baseline"/>
        <w:rPr>
          <w:rFonts w:ascii="宋体" w:hAnsi="宋体" w:cs="宋体"/>
          <w:bCs/>
          <w:szCs w:val="21"/>
        </w:rPr>
      </w:pPr>
      <w:r>
        <w:rPr>
          <w:rFonts w:hint="eastAsia" w:ascii="宋体" w:hAnsi="宋体" w:cs="宋体"/>
          <w:bCs/>
          <w:szCs w:val="21"/>
        </w:rPr>
        <w:t>　　（五）供应商之间事先约定由某一特定供应商中标、成交；</w:t>
      </w:r>
    </w:p>
    <w:p w14:paraId="0B8893B9">
      <w:pPr>
        <w:spacing w:line="360" w:lineRule="auto"/>
        <w:jc w:val="left"/>
        <w:textAlignment w:val="baseline"/>
        <w:rPr>
          <w:rFonts w:ascii="宋体" w:hAnsi="宋体" w:cs="宋体"/>
          <w:bCs/>
          <w:szCs w:val="21"/>
        </w:rPr>
      </w:pPr>
      <w:r>
        <w:rPr>
          <w:rFonts w:hint="eastAsia" w:ascii="宋体" w:hAnsi="宋体" w:cs="宋体"/>
          <w:bCs/>
          <w:szCs w:val="21"/>
        </w:rPr>
        <w:t>　　（六）供应商之间商定部分供应商放弃参加政府采购活动或者放弃中标、成交；</w:t>
      </w:r>
    </w:p>
    <w:p w14:paraId="7D553FE3">
      <w:pPr>
        <w:spacing w:line="360" w:lineRule="auto"/>
        <w:jc w:val="left"/>
        <w:textAlignment w:val="baseline"/>
        <w:rPr>
          <w:rFonts w:ascii="宋体" w:hAnsi="宋体" w:cs="宋体"/>
          <w:bCs/>
          <w:szCs w:val="21"/>
        </w:rPr>
      </w:pPr>
      <w:r>
        <w:rPr>
          <w:rFonts w:hint="eastAsia" w:ascii="宋体" w:hAnsi="宋体" w:cs="宋体"/>
          <w:bCs/>
          <w:szCs w:val="21"/>
        </w:rPr>
        <w:t>　　（七）供应商与采购人或者采购代理机构之间、供应商相互之间，为谋求特定供应商中标、成交或者排斥其他供应商的其他串通行为。</w:t>
      </w:r>
    </w:p>
    <w:p w14:paraId="7A275679">
      <w:pPr>
        <w:spacing w:line="360" w:lineRule="auto"/>
        <w:ind w:firstLine="422" w:firstLineChars="200"/>
        <w:jc w:val="left"/>
        <w:textAlignment w:val="baseline"/>
        <w:rPr>
          <w:rFonts w:ascii="宋体" w:hAnsi="宋体" w:cs="宋体"/>
          <w:bCs/>
          <w:szCs w:val="21"/>
        </w:rPr>
      </w:pPr>
      <w:bookmarkStart w:id="223" w:name="_Toc20849"/>
      <w:r>
        <w:rPr>
          <w:rStyle w:val="24"/>
          <w:rFonts w:hint="eastAsia" w:ascii="宋体" w:hAnsi="宋体" w:cs="宋体"/>
          <w:bCs/>
          <w:sz w:val="21"/>
          <w:szCs w:val="21"/>
        </w:rPr>
        <w:t>有下列情形之一的，视为投标人相互串通投标：</w:t>
      </w:r>
      <w:bookmarkEnd w:id="223"/>
    </w:p>
    <w:p w14:paraId="5AE82A71">
      <w:pPr>
        <w:spacing w:line="360" w:lineRule="auto"/>
        <w:jc w:val="left"/>
        <w:textAlignment w:val="baseline"/>
        <w:rPr>
          <w:rFonts w:ascii="宋体" w:hAnsi="宋体" w:cs="宋体"/>
          <w:bCs/>
          <w:szCs w:val="21"/>
        </w:rPr>
      </w:pPr>
      <w:r>
        <w:rPr>
          <w:rFonts w:hint="eastAsia" w:ascii="宋体" w:hAnsi="宋体" w:cs="宋体"/>
          <w:bCs/>
          <w:szCs w:val="21"/>
        </w:rPr>
        <w:t>　　（一）不同投标人的投标文件由同一单位或者个人编制；</w:t>
      </w:r>
    </w:p>
    <w:p w14:paraId="582E9BC9">
      <w:pPr>
        <w:spacing w:line="360" w:lineRule="auto"/>
        <w:jc w:val="left"/>
        <w:textAlignment w:val="baseline"/>
        <w:rPr>
          <w:rFonts w:ascii="宋体" w:hAnsi="宋体" w:cs="宋体"/>
          <w:bCs/>
          <w:szCs w:val="21"/>
        </w:rPr>
      </w:pPr>
      <w:r>
        <w:rPr>
          <w:rFonts w:hint="eastAsia" w:ascii="宋体" w:hAnsi="宋体" w:cs="宋体"/>
          <w:bCs/>
          <w:szCs w:val="21"/>
        </w:rPr>
        <w:t>　　（二）不同投标人委托同一单位或者个人办理投标事宜；</w:t>
      </w:r>
    </w:p>
    <w:p w14:paraId="1EBC47F0">
      <w:pPr>
        <w:spacing w:line="360" w:lineRule="auto"/>
        <w:jc w:val="left"/>
        <w:textAlignment w:val="baseline"/>
        <w:rPr>
          <w:rFonts w:ascii="宋体" w:hAnsi="宋体" w:cs="宋体"/>
          <w:bCs/>
          <w:szCs w:val="21"/>
        </w:rPr>
      </w:pPr>
      <w:r>
        <w:rPr>
          <w:rFonts w:hint="eastAsia" w:ascii="宋体" w:hAnsi="宋体" w:cs="宋体"/>
          <w:bCs/>
          <w:szCs w:val="21"/>
        </w:rPr>
        <w:t>　　（三）不同投标人的投标文件载明的项目管理成员或者联系人员为同一人；</w:t>
      </w:r>
    </w:p>
    <w:p w14:paraId="5F5E4E1E">
      <w:pPr>
        <w:spacing w:line="360" w:lineRule="auto"/>
        <w:jc w:val="left"/>
        <w:textAlignment w:val="baseline"/>
        <w:rPr>
          <w:rFonts w:ascii="宋体" w:hAnsi="宋体" w:cs="宋体"/>
          <w:bCs/>
          <w:szCs w:val="21"/>
        </w:rPr>
      </w:pPr>
      <w:r>
        <w:rPr>
          <w:rFonts w:hint="eastAsia" w:ascii="宋体" w:hAnsi="宋体" w:cs="宋体"/>
          <w:bCs/>
          <w:szCs w:val="21"/>
        </w:rPr>
        <w:t>　　（四）不同投标人的投标文件异常一致或者投标报价呈规律性差异；</w:t>
      </w:r>
    </w:p>
    <w:p w14:paraId="645CC7B8">
      <w:pPr>
        <w:spacing w:line="360" w:lineRule="auto"/>
        <w:jc w:val="left"/>
        <w:textAlignment w:val="baseline"/>
        <w:rPr>
          <w:rFonts w:ascii="宋体" w:hAnsi="宋体" w:cs="宋体"/>
          <w:bCs/>
          <w:szCs w:val="21"/>
        </w:rPr>
      </w:pPr>
      <w:r>
        <w:rPr>
          <w:rFonts w:hint="eastAsia" w:ascii="宋体" w:hAnsi="宋体" w:cs="宋体"/>
          <w:bCs/>
          <w:szCs w:val="21"/>
        </w:rPr>
        <w:t>　　（五）不同投标人的投标文件相互混装；</w:t>
      </w:r>
    </w:p>
    <w:p w14:paraId="047F0B6F">
      <w:pPr>
        <w:spacing w:line="360" w:lineRule="auto"/>
        <w:jc w:val="left"/>
        <w:textAlignment w:val="baseline"/>
        <w:rPr>
          <w:rFonts w:ascii="宋体" w:hAnsi="宋体" w:cs="宋体"/>
          <w:bCs/>
          <w:szCs w:val="21"/>
        </w:rPr>
      </w:pPr>
      <w:r>
        <w:rPr>
          <w:rFonts w:hint="eastAsia" w:ascii="宋体" w:hAnsi="宋体" w:cs="宋体"/>
          <w:bCs/>
          <w:szCs w:val="21"/>
        </w:rPr>
        <w:t>　　（六）不同投标人的投标保证金从同一单位或者个人的账户转出。</w:t>
      </w:r>
    </w:p>
    <w:p w14:paraId="3C08F2CB">
      <w:pPr>
        <w:pStyle w:val="4"/>
        <w:rPr>
          <w:rFonts w:ascii="宋体" w:hAnsi="宋体" w:cs="宋体"/>
          <w:sz w:val="21"/>
          <w:szCs w:val="21"/>
        </w:rPr>
      </w:pPr>
      <w:bookmarkStart w:id="224" w:name="_Toc512597553"/>
      <w:bookmarkStart w:id="225" w:name="_Toc24933"/>
      <w:r>
        <w:rPr>
          <w:rFonts w:hint="eastAsia" w:ascii="宋体" w:hAnsi="宋体" w:cs="宋体"/>
          <w:sz w:val="21"/>
          <w:szCs w:val="21"/>
        </w:rPr>
        <w:t>36.17.4 对评标委员会成员的纪律要求</w:t>
      </w:r>
      <w:bookmarkEnd w:id="224"/>
      <w:bookmarkEnd w:id="225"/>
    </w:p>
    <w:p w14:paraId="02BC34E9">
      <w:pPr>
        <w:spacing w:line="360" w:lineRule="auto"/>
        <w:ind w:firstLine="420" w:firstLineChars="200"/>
        <w:textAlignment w:val="baseline"/>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0824C39">
      <w:pPr>
        <w:pStyle w:val="4"/>
        <w:rPr>
          <w:rFonts w:ascii="宋体" w:hAnsi="宋体" w:cs="宋体"/>
          <w:sz w:val="21"/>
          <w:szCs w:val="21"/>
        </w:rPr>
      </w:pPr>
      <w:bookmarkStart w:id="226" w:name="_Toc24193"/>
      <w:bookmarkStart w:id="227" w:name="_Toc512597554"/>
      <w:r>
        <w:rPr>
          <w:rFonts w:hint="eastAsia" w:ascii="宋体" w:hAnsi="宋体" w:cs="宋体"/>
          <w:sz w:val="21"/>
          <w:szCs w:val="21"/>
        </w:rPr>
        <w:t>36.17.5 对与评标活动有关的工作人员的纪律要求</w:t>
      </w:r>
      <w:bookmarkEnd w:id="226"/>
      <w:bookmarkEnd w:id="227"/>
    </w:p>
    <w:p w14:paraId="5CD792FC">
      <w:pPr>
        <w:spacing w:line="360" w:lineRule="auto"/>
        <w:ind w:firstLine="420" w:firstLineChars="200"/>
        <w:textAlignment w:val="baseline"/>
        <w:rPr>
          <w:rFonts w:ascii="宋体" w:hAnsi="宋体" w:cs="宋体"/>
          <w:szCs w:val="21"/>
        </w:rPr>
      </w:pPr>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4"/>
      <w:bookmarkEnd w:id="205"/>
      <w:bookmarkEnd w:id="206"/>
      <w:bookmarkEnd w:id="207"/>
      <w:bookmarkEnd w:id="208"/>
      <w:bookmarkEnd w:id="209"/>
      <w:bookmarkEnd w:id="210"/>
      <w:bookmarkEnd w:id="211"/>
      <w:bookmarkStart w:id="228" w:name="_Toc30779"/>
      <w:bookmarkStart w:id="229" w:name="_Toc987"/>
      <w:bookmarkStart w:id="230" w:name="_Toc512597558"/>
      <w:r>
        <w:rPr>
          <w:rFonts w:hint="eastAsia" w:ascii="宋体" w:hAnsi="宋体" w:cs="宋体"/>
          <w:szCs w:val="21"/>
        </w:rPr>
        <w:br w:type="page"/>
      </w:r>
    </w:p>
    <w:p w14:paraId="108322B8">
      <w:pPr>
        <w:pStyle w:val="2"/>
        <w:jc w:val="center"/>
      </w:pPr>
      <w:bookmarkStart w:id="231" w:name="_Toc11616_WPSOffice_Level1"/>
      <w:r>
        <w:rPr>
          <w:rFonts w:hint="eastAsia"/>
        </w:rPr>
        <w:t>第三章 评标办法</w:t>
      </w:r>
      <w:bookmarkEnd w:id="228"/>
      <w:bookmarkEnd w:id="229"/>
      <w:bookmarkEnd w:id="230"/>
      <w:bookmarkEnd w:id="231"/>
    </w:p>
    <w:p w14:paraId="6B018933">
      <w:pPr>
        <w:jc w:val="center"/>
        <w:rPr>
          <w:b/>
          <w:sz w:val="24"/>
          <w:szCs w:val="24"/>
        </w:rPr>
      </w:pPr>
      <w:r>
        <w:rPr>
          <w:rFonts w:hint="eastAsia"/>
          <w:b/>
          <w:sz w:val="24"/>
          <w:szCs w:val="24"/>
        </w:rPr>
        <w:t>评标办法前附表</w:t>
      </w:r>
    </w:p>
    <w:p w14:paraId="2AEF1C38">
      <w:pPr>
        <w:rPr>
          <w:b/>
          <w:sz w:val="24"/>
          <w:szCs w:val="24"/>
        </w:rPr>
      </w:pPr>
      <w:r>
        <w:rPr>
          <w:rFonts w:hint="eastAsia"/>
          <w:b/>
          <w:sz w:val="24"/>
          <w:szCs w:val="24"/>
        </w:rPr>
        <w:br w:type="page"/>
      </w:r>
    </w:p>
    <w:p w14:paraId="265C3939"/>
    <w:tbl>
      <w:tblPr>
        <w:tblStyle w:val="18"/>
        <w:tblW w:w="10065"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2"/>
        <w:gridCol w:w="1040"/>
        <w:gridCol w:w="3402"/>
        <w:gridCol w:w="4731"/>
      </w:tblGrid>
      <w:tr w14:paraId="0DBD9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932" w:type="dxa"/>
            <w:gridSpan w:val="2"/>
            <w:tcBorders>
              <w:top w:val="single" w:color="auto" w:sz="4" w:space="0"/>
              <w:bottom w:val="single" w:color="auto" w:sz="4" w:space="0"/>
              <w:right w:val="single" w:color="auto" w:sz="4" w:space="0"/>
            </w:tcBorders>
            <w:vAlign w:val="center"/>
          </w:tcPr>
          <w:p w14:paraId="03D59790">
            <w:pPr>
              <w:spacing w:line="360" w:lineRule="auto"/>
              <w:jc w:val="center"/>
              <w:rPr>
                <w:b/>
                <w:sz w:val="24"/>
              </w:rPr>
            </w:pPr>
            <w:r>
              <w:rPr>
                <w:b/>
                <w:sz w:val="24"/>
              </w:rPr>
              <w:t>条款号</w:t>
            </w:r>
          </w:p>
        </w:tc>
        <w:tc>
          <w:tcPr>
            <w:tcW w:w="3402" w:type="dxa"/>
            <w:tcBorders>
              <w:top w:val="single" w:color="auto" w:sz="4" w:space="0"/>
              <w:left w:val="single" w:color="auto" w:sz="4" w:space="0"/>
              <w:bottom w:val="single" w:color="auto" w:sz="4" w:space="0"/>
              <w:right w:val="single" w:color="auto" w:sz="4" w:space="0"/>
            </w:tcBorders>
            <w:vAlign w:val="center"/>
          </w:tcPr>
          <w:p w14:paraId="2B501F05">
            <w:pPr>
              <w:spacing w:line="360" w:lineRule="auto"/>
              <w:jc w:val="center"/>
              <w:rPr>
                <w:b/>
                <w:sz w:val="24"/>
              </w:rPr>
            </w:pPr>
            <w:r>
              <w:rPr>
                <w:b/>
                <w:sz w:val="24"/>
              </w:rPr>
              <w:t>评审因素</w:t>
            </w:r>
          </w:p>
        </w:tc>
        <w:tc>
          <w:tcPr>
            <w:tcW w:w="4731" w:type="dxa"/>
            <w:tcBorders>
              <w:top w:val="single" w:color="auto" w:sz="4" w:space="0"/>
              <w:left w:val="single" w:color="auto" w:sz="4" w:space="0"/>
              <w:bottom w:val="single" w:color="auto" w:sz="4" w:space="0"/>
              <w:right w:val="single" w:color="auto" w:sz="4" w:space="0"/>
            </w:tcBorders>
            <w:vAlign w:val="center"/>
          </w:tcPr>
          <w:p w14:paraId="60C38FDB">
            <w:pPr>
              <w:spacing w:line="360" w:lineRule="auto"/>
              <w:jc w:val="center"/>
              <w:rPr>
                <w:b/>
                <w:sz w:val="24"/>
              </w:rPr>
            </w:pPr>
            <w:r>
              <w:rPr>
                <w:b/>
                <w:sz w:val="24"/>
              </w:rPr>
              <w:t>评审标准</w:t>
            </w:r>
          </w:p>
        </w:tc>
      </w:tr>
      <w:tr w14:paraId="174D4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26" w:hRule="atLeast"/>
        </w:trPr>
        <w:tc>
          <w:tcPr>
            <w:tcW w:w="892" w:type="dxa"/>
            <w:vMerge w:val="restart"/>
            <w:tcBorders>
              <w:top w:val="single" w:color="auto" w:sz="4" w:space="0"/>
              <w:right w:val="single" w:color="auto" w:sz="4" w:space="0"/>
            </w:tcBorders>
            <w:vAlign w:val="center"/>
          </w:tcPr>
          <w:p w14:paraId="168F6AB2">
            <w:pPr>
              <w:spacing w:line="360" w:lineRule="auto"/>
              <w:jc w:val="center"/>
              <w:rPr>
                <w:sz w:val="22"/>
                <w:szCs w:val="18"/>
              </w:rPr>
            </w:pPr>
          </w:p>
          <w:p w14:paraId="3ED44FF1">
            <w:pPr>
              <w:spacing w:line="360" w:lineRule="auto"/>
              <w:rPr>
                <w:sz w:val="22"/>
                <w:szCs w:val="18"/>
              </w:rPr>
            </w:pPr>
            <w:r>
              <w:rPr>
                <w:rFonts w:hint="eastAsia"/>
                <w:sz w:val="22"/>
                <w:szCs w:val="18"/>
              </w:rPr>
              <w:t>1.1</w:t>
            </w:r>
          </w:p>
        </w:tc>
        <w:tc>
          <w:tcPr>
            <w:tcW w:w="1040" w:type="dxa"/>
            <w:vMerge w:val="restart"/>
            <w:tcBorders>
              <w:top w:val="single" w:color="auto" w:sz="4" w:space="0"/>
              <w:right w:val="single" w:color="auto" w:sz="4" w:space="0"/>
            </w:tcBorders>
            <w:vAlign w:val="center"/>
          </w:tcPr>
          <w:p w14:paraId="7BF5F6C8">
            <w:pPr>
              <w:spacing w:line="360" w:lineRule="auto"/>
              <w:jc w:val="center"/>
              <w:rPr>
                <w:sz w:val="22"/>
                <w:szCs w:val="18"/>
              </w:rPr>
            </w:pPr>
            <w:r>
              <w:rPr>
                <w:sz w:val="22"/>
                <w:szCs w:val="18"/>
              </w:rPr>
              <w:t>资格评审标准</w:t>
            </w:r>
          </w:p>
        </w:tc>
        <w:tc>
          <w:tcPr>
            <w:tcW w:w="8133" w:type="dxa"/>
            <w:gridSpan w:val="2"/>
            <w:tcBorders>
              <w:top w:val="single" w:color="auto" w:sz="4" w:space="0"/>
              <w:left w:val="single" w:color="auto" w:sz="4" w:space="0"/>
              <w:bottom w:val="single" w:color="auto" w:sz="4" w:space="0"/>
              <w:right w:val="single" w:color="auto" w:sz="4" w:space="0"/>
            </w:tcBorders>
            <w:vAlign w:val="center"/>
          </w:tcPr>
          <w:p w14:paraId="4C0DD89E">
            <w:pPr>
              <w:spacing w:line="360" w:lineRule="auto"/>
              <w:rPr>
                <w:rFonts w:ascii="宋体" w:hAnsi="宋体" w:cs="宋体"/>
              </w:rPr>
            </w:pPr>
            <w:r>
              <w:rPr>
                <w:rFonts w:hint="eastAsia" w:ascii="宋体" w:hAnsi="宋体" w:cs="宋体"/>
                <w:b/>
                <w:bCs/>
              </w:rPr>
              <w:t>1、满足《中华人民共和国政府采购法》第二十二条规定；</w:t>
            </w:r>
          </w:p>
          <w:p w14:paraId="09D156F3">
            <w:pPr>
              <w:spacing w:line="360" w:lineRule="auto"/>
              <w:rPr>
                <w:rFonts w:hint="eastAsia" w:hAnsi="宋体"/>
                <w:highlight w:val="none"/>
              </w:rPr>
            </w:pPr>
            <w:r>
              <w:rPr>
                <w:rFonts w:hint="eastAsia" w:ascii="宋体" w:hAnsi="宋体" w:cs="宋体"/>
                <w:b/>
                <w:bCs/>
              </w:rPr>
              <w:t>2、落实政府采购政策需满足的资格要求：</w:t>
            </w:r>
            <w:r>
              <w:rPr>
                <w:rFonts w:hint="eastAsia" w:hAnsi="宋体"/>
                <w:highlight w:val="none"/>
              </w:rPr>
              <w:t>根据《政府采购促进中小企业发展管理办法》(财库[2020]46号)的规定，本项目专门针对中小企业采购，供应商应为中小微企业、监狱企业、残疾人福利性单位，供应商须提供相关有效声明材料。中小企业划型标准依据工信部联企业〔2011〕300号文件的规定。</w:t>
            </w:r>
          </w:p>
          <w:p w14:paraId="204816FD">
            <w:pPr>
              <w:spacing w:line="360" w:lineRule="auto"/>
              <w:rPr>
                <w:rFonts w:ascii="宋体" w:hAnsi="宋体" w:cs="宋体"/>
                <w:b/>
                <w:bCs/>
              </w:rPr>
            </w:pPr>
            <w:r>
              <w:rPr>
                <w:rFonts w:hint="eastAsia" w:ascii="宋体" w:hAnsi="宋体" w:cs="宋体"/>
                <w:b/>
                <w:bCs/>
              </w:rPr>
              <w:t>3、本项目的特定资格要求：</w:t>
            </w:r>
          </w:p>
          <w:p w14:paraId="07D0F858">
            <w:pPr>
              <w:spacing w:line="360" w:lineRule="auto"/>
              <w:ind w:firstLine="420" w:firstLineChars="200"/>
            </w:pPr>
            <w:r>
              <w:rPr>
                <w:rFonts w:hint="eastAsia"/>
              </w:rPr>
              <w:t>3.1具有独立承担民事责任的能力（提供有效的营业执照或</w:t>
            </w:r>
            <w:r>
              <w:rPr>
                <w:rFonts w:hint="eastAsia" w:ascii="宋体" w:hAnsi="宋体" w:cs="宋体"/>
                <w:szCs w:val="21"/>
              </w:rPr>
              <w:t>电子营业执照</w:t>
            </w:r>
            <w:r>
              <w:rPr>
                <w:rFonts w:hint="eastAsia"/>
              </w:rPr>
              <w:t>）；</w:t>
            </w:r>
          </w:p>
          <w:p w14:paraId="56B41384">
            <w:pPr>
              <w:spacing w:line="360" w:lineRule="auto"/>
              <w:ind w:firstLine="420" w:firstLineChars="200"/>
            </w:pPr>
            <w:r>
              <w:rPr>
                <w:rFonts w:hint="eastAsia"/>
              </w:rPr>
              <w:t>3.2具有良好的商业信誉和健全的财务会计制度（自行承诺）；</w:t>
            </w:r>
          </w:p>
          <w:p w14:paraId="2E6A8566">
            <w:pPr>
              <w:spacing w:line="360" w:lineRule="auto"/>
              <w:ind w:firstLine="420" w:firstLineChars="200"/>
            </w:pPr>
            <w:r>
              <w:rPr>
                <w:rFonts w:hint="eastAsia"/>
              </w:rPr>
              <w:t>3.3具有履行合同所必需的设备和专业技术能力（自行承诺）；</w:t>
            </w:r>
          </w:p>
          <w:p w14:paraId="3F3A2115">
            <w:pPr>
              <w:spacing w:line="360" w:lineRule="auto"/>
              <w:ind w:firstLine="420" w:firstLineChars="200"/>
            </w:pPr>
            <w:r>
              <w:rPr>
                <w:rFonts w:hint="eastAsia"/>
              </w:rPr>
              <w:t>3.4有依法缴纳税收和社会保障资金的良好记录（自行承诺））；</w:t>
            </w:r>
          </w:p>
          <w:p w14:paraId="06B93704">
            <w:pPr>
              <w:spacing w:line="360" w:lineRule="auto"/>
              <w:ind w:firstLine="420" w:firstLineChars="200"/>
            </w:pPr>
            <w:r>
              <w:rPr>
                <w:rFonts w:hint="eastAsia"/>
              </w:rPr>
              <w:t>3.5参加政府采购活动前三年或注册公司以来，在经营活动中没有重大违法记录的书面声明；</w:t>
            </w:r>
          </w:p>
          <w:p w14:paraId="18E7479C">
            <w:pPr>
              <w:spacing w:line="360" w:lineRule="auto"/>
              <w:ind w:firstLine="420" w:firstLineChars="200"/>
              <w:rPr>
                <w:rFonts w:hint="eastAsia" w:eastAsia="宋体"/>
                <w:lang w:eastAsia="zh-CN"/>
              </w:rPr>
            </w:pPr>
            <w:r>
              <w:rPr>
                <w:rFonts w:hint="eastAsia"/>
              </w:rPr>
              <w:t>3.6对列入“信用中国”（www.creditchina.gov.cn）网站的“失信被执行人”(自动跳转至“中国执行信息公开网”)、“重大税收违法失信主体”、“中国政府采购”（www.ccgp.gov.cn）网站的“政府采购严重违法失信行为记录名单”的供应商，将拒绝其参加政府采购活动 （采购人、代理机构在开标时通过“信用中国”、“中国执行信息公开网”及“中国政府采购网”查询供应商信用情况）</w:t>
            </w:r>
            <w:r>
              <w:rPr>
                <w:rFonts w:hint="eastAsia"/>
                <w:lang w:eastAsia="zh-CN"/>
              </w:rPr>
              <w:t>；</w:t>
            </w:r>
          </w:p>
          <w:p w14:paraId="345D9F14">
            <w:pPr>
              <w:spacing w:line="360" w:lineRule="auto"/>
              <w:ind w:firstLine="420" w:firstLineChars="200"/>
              <w:rPr>
                <w:rFonts w:hint="eastAsia"/>
              </w:rPr>
            </w:pPr>
            <w:r>
              <w:rPr>
                <w:rFonts w:hint="eastAsia"/>
              </w:rPr>
              <w:t>3.7单位负责人为同一人或者存在直接控股、管理关系的不同供应商，不得参加同一合同项下的政府采购活动（需提供承诺函，格式自拟）；</w:t>
            </w:r>
          </w:p>
          <w:p w14:paraId="781C49B3">
            <w:pPr>
              <w:spacing w:line="360" w:lineRule="auto"/>
              <w:ind w:firstLine="420" w:firstLineChars="200"/>
              <w:rPr>
                <w:rFonts w:hint="eastAsia" w:ascii="Times New Roman" w:hAnsi="Times New Roman" w:cs="Times New Roman"/>
              </w:rPr>
            </w:pPr>
            <w:r>
              <w:rPr>
                <w:rFonts w:hint="eastAsia" w:ascii="Times New Roman" w:hAnsi="Times New Roman" w:cs="Times New Roman"/>
                <w:lang w:val="en-US" w:eastAsia="zh-CN"/>
              </w:rPr>
              <w:t>3.8</w:t>
            </w:r>
            <w:r>
              <w:rPr>
                <w:rFonts w:hint="eastAsia" w:ascii="Times New Roman" w:hAnsi="Times New Roman" w:cs="Times New Roman"/>
              </w:rPr>
              <w:t>本项目不接受联合体投标，资格审查方式为资格后审。</w:t>
            </w:r>
          </w:p>
          <w:p w14:paraId="6A700783">
            <w:pPr>
              <w:spacing w:line="360" w:lineRule="auto"/>
              <w:ind w:firstLine="420" w:firstLineChars="200"/>
              <w:rPr>
                <w:rFonts w:hint="eastAsia" w:ascii="Times New Roman" w:hAnsi="Times New Roman" w:cs="Times New Roman"/>
              </w:rPr>
            </w:pPr>
            <w:r>
              <w:rPr>
                <w:rFonts w:hint="eastAsia" w:ascii="Times New Roman" w:hAnsi="Times New Roman" w:cs="Times New Roman"/>
              </w:rPr>
              <w:t>注：如投标人为新成立企业，可提供注册后的相关证明材料。</w:t>
            </w:r>
          </w:p>
          <w:p w14:paraId="6DEDFB5E">
            <w:pPr>
              <w:spacing w:line="360" w:lineRule="auto"/>
              <w:ind w:firstLine="440" w:firstLineChars="200"/>
              <w:rPr>
                <w:sz w:val="22"/>
                <w:szCs w:val="18"/>
              </w:rPr>
            </w:pPr>
          </w:p>
        </w:tc>
      </w:tr>
      <w:tr w14:paraId="5E9AF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92" w:hRule="atLeast"/>
        </w:trPr>
        <w:tc>
          <w:tcPr>
            <w:tcW w:w="892" w:type="dxa"/>
            <w:tcBorders>
              <w:top w:val="single" w:color="auto" w:sz="4" w:space="0"/>
              <w:right w:val="single" w:color="auto" w:sz="4" w:space="0"/>
            </w:tcBorders>
            <w:vAlign w:val="center"/>
          </w:tcPr>
          <w:p w14:paraId="57235C23">
            <w:pPr>
              <w:spacing w:line="360" w:lineRule="auto"/>
              <w:jc w:val="center"/>
              <w:rPr>
                <w:sz w:val="22"/>
                <w:szCs w:val="18"/>
              </w:rPr>
            </w:pPr>
          </w:p>
          <w:p w14:paraId="1AE273D6">
            <w:pPr>
              <w:spacing w:line="360" w:lineRule="auto"/>
              <w:jc w:val="center"/>
              <w:rPr>
                <w:sz w:val="22"/>
                <w:szCs w:val="18"/>
              </w:rPr>
            </w:pPr>
          </w:p>
          <w:p w14:paraId="4375F305">
            <w:pPr>
              <w:spacing w:line="360" w:lineRule="auto"/>
              <w:jc w:val="center"/>
              <w:rPr>
                <w:sz w:val="22"/>
                <w:szCs w:val="18"/>
              </w:rPr>
            </w:pPr>
            <w:r>
              <w:rPr>
                <w:sz w:val="22"/>
                <w:szCs w:val="18"/>
              </w:rPr>
              <w:t>1.</w:t>
            </w:r>
            <w:r>
              <w:rPr>
                <w:rFonts w:hint="eastAsia"/>
                <w:sz w:val="22"/>
                <w:szCs w:val="18"/>
              </w:rPr>
              <w:t>2</w:t>
            </w:r>
          </w:p>
          <w:p w14:paraId="6094A7F5">
            <w:pPr>
              <w:spacing w:line="360" w:lineRule="auto"/>
              <w:jc w:val="center"/>
              <w:rPr>
                <w:sz w:val="22"/>
                <w:szCs w:val="18"/>
              </w:rPr>
            </w:pPr>
          </w:p>
          <w:p w14:paraId="1A13CE9C">
            <w:pPr>
              <w:spacing w:line="360" w:lineRule="auto"/>
              <w:rPr>
                <w:sz w:val="22"/>
                <w:szCs w:val="18"/>
              </w:rPr>
            </w:pPr>
          </w:p>
        </w:tc>
        <w:tc>
          <w:tcPr>
            <w:tcW w:w="1040" w:type="dxa"/>
            <w:tcBorders>
              <w:top w:val="single" w:color="auto" w:sz="4" w:space="0"/>
              <w:right w:val="single" w:color="auto" w:sz="4" w:space="0"/>
            </w:tcBorders>
            <w:vAlign w:val="center"/>
          </w:tcPr>
          <w:p w14:paraId="1FB08A9B">
            <w:pPr>
              <w:spacing w:line="360" w:lineRule="auto"/>
              <w:rPr>
                <w:sz w:val="22"/>
                <w:szCs w:val="18"/>
              </w:rPr>
            </w:pPr>
            <w:r>
              <w:rPr>
                <w:rFonts w:hint="eastAsia" w:ascii="宋体" w:hAnsi="宋体"/>
              </w:rPr>
              <w:t>初步评</w:t>
            </w:r>
            <w:r>
              <w:rPr>
                <w:rFonts w:hint="eastAsia" w:ascii="宋体" w:hAnsi="宋体"/>
                <w:szCs w:val="22"/>
              </w:rPr>
              <w:t>审标准</w:t>
            </w:r>
          </w:p>
        </w:tc>
        <w:tc>
          <w:tcPr>
            <w:tcW w:w="8133" w:type="dxa"/>
            <w:gridSpan w:val="2"/>
            <w:tcBorders>
              <w:top w:val="single" w:color="auto" w:sz="4" w:space="0"/>
              <w:left w:val="single" w:color="auto" w:sz="4" w:space="0"/>
              <w:bottom w:val="single" w:color="auto" w:sz="4" w:space="0"/>
              <w:right w:val="single" w:color="auto" w:sz="4" w:space="0"/>
            </w:tcBorders>
            <w:vAlign w:val="center"/>
          </w:tcPr>
          <w:p w14:paraId="7ED8903C">
            <w:pPr>
              <w:spacing w:line="360" w:lineRule="auto"/>
              <w:ind w:firstLine="218" w:firstLineChars="104"/>
              <w:rPr>
                <w:szCs w:val="22"/>
              </w:rPr>
            </w:pPr>
            <w:r>
              <w:rPr>
                <w:rFonts w:hint="eastAsia"/>
                <w:szCs w:val="22"/>
              </w:rPr>
              <w:t>（1）投标函按招标文件要求签章。</w:t>
            </w:r>
          </w:p>
          <w:p w14:paraId="5034F3D0">
            <w:pPr>
              <w:spacing w:line="360" w:lineRule="auto"/>
              <w:ind w:firstLine="218" w:firstLineChars="104"/>
              <w:rPr>
                <w:szCs w:val="22"/>
              </w:rPr>
            </w:pPr>
            <w:r>
              <w:rPr>
                <w:rFonts w:hint="eastAsia"/>
                <w:szCs w:val="22"/>
              </w:rPr>
              <w:t>（2）在一份投标文件中</w:t>
            </w:r>
            <w:r>
              <w:rPr>
                <w:rFonts w:hint="eastAsia"/>
                <w:szCs w:val="22"/>
                <w:lang w:eastAsia="zh-CN"/>
              </w:rPr>
              <w:t>只有一个有效报价</w:t>
            </w:r>
            <w:r>
              <w:rPr>
                <w:rFonts w:hint="eastAsia"/>
                <w:szCs w:val="22"/>
              </w:rPr>
              <w:t xml:space="preserve">。 </w:t>
            </w:r>
          </w:p>
          <w:p w14:paraId="71BDAF28">
            <w:pPr>
              <w:spacing w:line="360" w:lineRule="auto"/>
              <w:ind w:firstLine="218" w:firstLineChars="104"/>
              <w:rPr>
                <w:szCs w:val="22"/>
              </w:rPr>
            </w:pPr>
            <w:r>
              <w:rPr>
                <w:rFonts w:hint="eastAsia"/>
                <w:szCs w:val="22"/>
              </w:rPr>
              <w:t>（3）</w:t>
            </w:r>
            <w:r>
              <w:rPr>
                <w:rFonts w:hint="eastAsia"/>
                <w:szCs w:val="22"/>
                <w:lang w:eastAsia="zh-CN"/>
              </w:rPr>
              <w:t>未出现</w:t>
            </w:r>
            <w:r>
              <w:rPr>
                <w:rFonts w:hint="eastAsia"/>
                <w:szCs w:val="22"/>
              </w:rPr>
              <w:t>以他人名义投标、串通投标、弄虚作假的</w:t>
            </w:r>
            <w:r>
              <w:rPr>
                <w:rFonts w:hint="eastAsia"/>
                <w:szCs w:val="22"/>
                <w:lang w:eastAsia="zh-CN"/>
              </w:rPr>
              <w:t>情况</w:t>
            </w:r>
            <w:r>
              <w:rPr>
                <w:rFonts w:hint="eastAsia"/>
                <w:szCs w:val="22"/>
              </w:rPr>
              <w:t>。</w:t>
            </w:r>
          </w:p>
          <w:p w14:paraId="6C2E4911">
            <w:pPr>
              <w:spacing w:line="360" w:lineRule="auto"/>
              <w:ind w:firstLine="218" w:firstLineChars="104"/>
              <w:rPr>
                <w:szCs w:val="22"/>
              </w:rPr>
            </w:pPr>
            <w:r>
              <w:rPr>
                <w:rFonts w:hint="eastAsia"/>
                <w:szCs w:val="22"/>
              </w:rPr>
              <w:t>（4）投标报价</w:t>
            </w:r>
            <w:r>
              <w:rPr>
                <w:rFonts w:hint="eastAsia"/>
                <w:szCs w:val="22"/>
                <w:lang w:eastAsia="zh-CN"/>
              </w:rPr>
              <w:t>低于（含等于）</w:t>
            </w:r>
            <w:r>
              <w:rPr>
                <w:rFonts w:hint="eastAsia"/>
                <w:szCs w:val="22"/>
              </w:rPr>
              <w:t>最高投标限价。</w:t>
            </w:r>
          </w:p>
          <w:p w14:paraId="371C9B28">
            <w:pPr>
              <w:spacing w:line="360" w:lineRule="auto"/>
              <w:ind w:firstLine="218" w:firstLineChars="104"/>
              <w:rPr>
                <w:szCs w:val="22"/>
              </w:rPr>
            </w:pPr>
            <w:r>
              <w:rPr>
                <w:rFonts w:hint="eastAsia"/>
                <w:szCs w:val="22"/>
              </w:rPr>
              <w:t>（5）投标有效期、</w:t>
            </w:r>
            <w:r>
              <w:rPr>
                <w:rFonts w:hint="eastAsia"/>
                <w:szCs w:val="22"/>
                <w:lang w:eastAsia="zh-CN"/>
              </w:rPr>
              <w:t>服务地点</w:t>
            </w:r>
            <w:r>
              <w:rPr>
                <w:rFonts w:hint="eastAsia"/>
                <w:szCs w:val="22"/>
              </w:rPr>
              <w:t>、</w:t>
            </w:r>
            <w:r>
              <w:rPr>
                <w:rFonts w:hint="eastAsia"/>
                <w:szCs w:val="22"/>
                <w:lang w:eastAsia="zh-CN"/>
              </w:rPr>
              <w:t>服务期限</w:t>
            </w:r>
            <w:r>
              <w:rPr>
                <w:rFonts w:hint="eastAsia"/>
                <w:szCs w:val="22"/>
              </w:rPr>
              <w:t>、</w:t>
            </w:r>
            <w:r>
              <w:rPr>
                <w:rFonts w:hint="eastAsia"/>
                <w:szCs w:val="22"/>
                <w:lang w:eastAsia="zh-CN"/>
              </w:rPr>
              <w:t>服务内容</w:t>
            </w:r>
            <w:bookmarkStart w:id="366" w:name="_GoBack"/>
            <w:bookmarkEnd w:id="366"/>
            <w:r>
              <w:rPr>
                <w:rFonts w:hint="eastAsia"/>
                <w:szCs w:val="22"/>
              </w:rPr>
              <w:t>、</w:t>
            </w:r>
            <w:r>
              <w:rPr>
                <w:rFonts w:hint="eastAsia"/>
                <w:szCs w:val="22"/>
                <w:lang w:eastAsia="zh-CN"/>
              </w:rPr>
              <w:t>服务质量</w:t>
            </w:r>
            <w:r>
              <w:rPr>
                <w:rFonts w:hint="eastAsia"/>
                <w:szCs w:val="22"/>
              </w:rPr>
              <w:t>满足招标文件要求。</w:t>
            </w:r>
          </w:p>
          <w:p w14:paraId="582CC406">
            <w:pPr>
              <w:spacing w:line="360" w:lineRule="auto"/>
              <w:ind w:firstLine="218" w:firstLineChars="104"/>
              <w:rPr>
                <w:sz w:val="22"/>
                <w:szCs w:val="18"/>
              </w:rPr>
            </w:pPr>
            <w:r>
              <w:rPr>
                <w:rFonts w:hint="eastAsia"/>
                <w:szCs w:val="22"/>
              </w:rPr>
              <w:t>（6）</w:t>
            </w:r>
            <w:r>
              <w:rPr>
                <w:rFonts w:hint="eastAsia"/>
                <w:szCs w:val="22"/>
                <w:lang w:eastAsia="zh-CN"/>
              </w:rPr>
              <w:t>未出现</w:t>
            </w:r>
            <w:r>
              <w:rPr>
                <w:rFonts w:hint="eastAsia"/>
                <w:szCs w:val="22"/>
              </w:rPr>
              <w:t>其它不响应招标文件、不符合法律法规的情况。</w:t>
            </w:r>
          </w:p>
        </w:tc>
      </w:tr>
      <w:tr w14:paraId="4F0F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932" w:type="dxa"/>
            <w:gridSpan w:val="2"/>
            <w:tcBorders>
              <w:top w:val="single" w:color="auto" w:sz="4" w:space="0"/>
              <w:left w:val="single" w:color="auto" w:sz="4" w:space="0"/>
              <w:bottom w:val="single" w:color="auto" w:sz="4" w:space="0"/>
              <w:right w:val="single" w:color="auto" w:sz="4" w:space="0"/>
            </w:tcBorders>
            <w:vAlign w:val="center"/>
          </w:tcPr>
          <w:p w14:paraId="3F29E0C4">
            <w:pPr>
              <w:tabs>
                <w:tab w:val="center" w:pos="4153"/>
                <w:tab w:val="right" w:pos="8306"/>
              </w:tabs>
              <w:snapToGrid w:val="0"/>
              <w:jc w:val="center"/>
              <w:rPr>
                <w:rFonts w:ascii="宋体" w:hAnsi="宋体"/>
                <w:szCs w:val="21"/>
              </w:rPr>
            </w:pPr>
            <w:r>
              <w:rPr>
                <w:rFonts w:hint="eastAsia" w:ascii="宋体" w:hAnsi="宋体"/>
                <w:szCs w:val="21"/>
              </w:rPr>
              <w:t>2.2.1</w:t>
            </w:r>
          </w:p>
        </w:tc>
        <w:tc>
          <w:tcPr>
            <w:tcW w:w="3402" w:type="dxa"/>
            <w:tcBorders>
              <w:top w:val="single" w:color="auto" w:sz="4" w:space="0"/>
              <w:left w:val="single" w:color="auto" w:sz="4" w:space="0"/>
              <w:bottom w:val="single" w:color="auto" w:sz="4" w:space="0"/>
              <w:right w:val="single" w:color="auto" w:sz="4" w:space="0"/>
            </w:tcBorders>
            <w:vAlign w:val="center"/>
          </w:tcPr>
          <w:p w14:paraId="04BC3954">
            <w:pPr>
              <w:tabs>
                <w:tab w:val="center" w:pos="4153"/>
                <w:tab w:val="right" w:pos="8306"/>
              </w:tabs>
              <w:snapToGrid w:val="0"/>
              <w:jc w:val="center"/>
              <w:rPr>
                <w:rFonts w:ascii="宋体" w:hAnsi="宋体"/>
                <w:szCs w:val="21"/>
              </w:rPr>
            </w:pPr>
            <w:r>
              <w:rPr>
                <w:rFonts w:hint="eastAsia" w:ascii="宋体" w:hAnsi="宋体"/>
                <w:szCs w:val="21"/>
              </w:rPr>
              <w:t>分值构成</w:t>
            </w:r>
          </w:p>
          <w:p w14:paraId="4F6395B8">
            <w:pPr>
              <w:tabs>
                <w:tab w:val="center" w:pos="4153"/>
                <w:tab w:val="right" w:pos="8306"/>
              </w:tabs>
              <w:snapToGrid w:val="0"/>
              <w:jc w:val="center"/>
              <w:rPr>
                <w:rFonts w:ascii="宋体" w:hAnsi="宋体"/>
                <w:szCs w:val="21"/>
              </w:rPr>
            </w:pPr>
            <w:r>
              <w:rPr>
                <w:rFonts w:hint="eastAsia" w:ascii="宋体" w:hAnsi="宋体"/>
                <w:szCs w:val="21"/>
              </w:rPr>
              <w:t>（总分100分）</w:t>
            </w:r>
          </w:p>
        </w:tc>
        <w:tc>
          <w:tcPr>
            <w:tcW w:w="4731" w:type="dxa"/>
            <w:tcBorders>
              <w:top w:val="single" w:color="auto" w:sz="4" w:space="0"/>
              <w:left w:val="single" w:color="auto" w:sz="4" w:space="0"/>
              <w:bottom w:val="single" w:color="auto" w:sz="4" w:space="0"/>
              <w:right w:val="single" w:color="auto" w:sz="4" w:space="0"/>
            </w:tcBorders>
            <w:vAlign w:val="center"/>
          </w:tcPr>
          <w:p w14:paraId="67CA51DD">
            <w:pPr>
              <w:tabs>
                <w:tab w:val="center" w:pos="4153"/>
                <w:tab w:val="right" w:pos="8306"/>
              </w:tabs>
              <w:snapToGrid w:val="0"/>
              <w:rPr>
                <w:rFonts w:ascii="宋体" w:hAnsi="宋体"/>
                <w:szCs w:val="21"/>
              </w:rPr>
            </w:pPr>
            <w:r>
              <w:rPr>
                <w:rFonts w:hint="eastAsia" w:ascii="宋体" w:hAnsi="宋体"/>
                <w:szCs w:val="21"/>
              </w:rPr>
              <w:t>报价部分：</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分</w:t>
            </w:r>
          </w:p>
          <w:p w14:paraId="44CD5BF9">
            <w:pPr>
              <w:tabs>
                <w:tab w:val="center" w:pos="4153"/>
                <w:tab w:val="right" w:pos="8306"/>
              </w:tabs>
              <w:snapToGrid w:val="0"/>
              <w:rPr>
                <w:rFonts w:ascii="宋体" w:hAnsi="宋体"/>
                <w:szCs w:val="21"/>
              </w:rPr>
            </w:pPr>
            <w:r>
              <w:rPr>
                <w:rFonts w:hint="eastAsia" w:ascii="宋体" w:hAnsi="宋体"/>
                <w:szCs w:val="21"/>
              </w:rPr>
              <w:t>技术部分：</w:t>
            </w:r>
            <w:r>
              <w:rPr>
                <w:rFonts w:hint="eastAsia" w:ascii="宋体" w:hAnsi="宋体"/>
                <w:szCs w:val="21"/>
                <w:u w:val="single"/>
              </w:rPr>
              <w:t xml:space="preserve">  </w:t>
            </w:r>
            <w:r>
              <w:rPr>
                <w:rFonts w:hint="eastAsia" w:ascii="宋体" w:hAnsi="宋体"/>
                <w:szCs w:val="21"/>
                <w:u w:val="single"/>
                <w:lang w:val="en-US" w:eastAsia="zh-CN"/>
              </w:rPr>
              <w:t>50</w:t>
            </w:r>
            <w:r>
              <w:rPr>
                <w:rFonts w:hint="eastAsia" w:ascii="宋体" w:hAnsi="宋体"/>
                <w:szCs w:val="21"/>
              </w:rPr>
              <w:t>分</w:t>
            </w:r>
          </w:p>
          <w:p w14:paraId="25917504">
            <w:pPr>
              <w:tabs>
                <w:tab w:val="center" w:pos="4153"/>
                <w:tab w:val="right" w:pos="8306"/>
              </w:tabs>
              <w:snapToGrid w:val="0"/>
              <w:rPr>
                <w:rFonts w:ascii="宋体" w:hAnsi="宋体"/>
                <w:szCs w:val="21"/>
              </w:rPr>
            </w:pPr>
            <w:r>
              <w:rPr>
                <w:rFonts w:hint="eastAsia" w:ascii="宋体" w:hAnsi="宋体"/>
                <w:szCs w:val="21"/>
              </w:rPr>
              <w:t>综合部分：</w:t>
            </w:r>
            <w:r>
              <w:rPr>
                <w:rFonts w:hint="eastAsia" w:ascii="宋体" w:hAnsi="宋体"/>
                <w:szCs w:val="21"/>
                <w:u w:val="single"/>
              </w:rPr>
              <w:t xml:space="preserve">  </w:t>
            </w:r>
            <w:r>
              <w:rPr>
                <w:rFonts w:hint="eastAsia" w:ascii="宋体" w:hAnsi="宋体"/>
                <w:szCs w:val="21"/>
                <w:u w:val="single"/>
                <w:lang w:val="en-US" w:eastAsia="zh-CN"/>
              </w:rPr>
              <w:t>20</w:t>
            </w:r>
            <w:r>
              <w:rPr>
                <w:rFonts w:hint="eastAsia" w:ascii="宋体" w:hAnsi="宋体"/>
                <w:szCs w:val="21"/>
                <w:u w:val="single"/>
              </w:rPr>
              <w:t xml:space="preserve"> </w:t>
            </w:r>
            <w:r>
              <w:rPr>
                <w:rFonts w:hint="eastAsia" w:ascii="宋体" w:hAnsi="宋体"/>
                <w:szCs w:val="21"/>
              </w:rPr>
              <w:t>分</w:t>
            </w:r>
          </w:p>
        </w:tc>
      </w:tr>
    </w:tbl>
    <w:p w14:paraId="6766D3FB">
      <w:pPr>
        <w:jc w:val="center"/>
        <w:rPr>
          <w:b/>
          <w:sz w:val="28"/>
          <w:szCs w:val="28"/>
        </w:rPr>
      </w:pPr>
    </w:p>
    <w:p w14:paraId="3CA922A7">
      <w:pPr>
        <w:rPr>
          <w:b/>
          <w:sz w:val="28"/>
          <w:szCs w:val="28"/>
        </w:rPr>
      </w:pPr>
      <w:r>
        <w:rPr>
          <w:rFonts w:hint="eastAsia"/>
          <w:b/>
          <w:sz w:val="28"/>
          <w:szCs w:val="28"/>
        </w:rPr>
        <w:br w:type="page"/>
      </w:r>
    </w:p>
    <w:p w14:paraId="1E125BAE">
      <w:pPr>
        <w:jc w:val="center"/>
      </w:pPr>
      <w:r>
        <w:rPr>
          <w:rFonts w:hint="eastAsia"/>
          <w:b/>
          <w:sz w:val="28"/>
          <w:szCs w:val="28"/>
        </w:rPr>
        <w:t>报价部分评标办法</w:t>
      </w:r>
    </w:p>
    <w:tbl>
      <w:tblPr>
        <w:tblStyle w:val="18"/>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7106"/>
      </w:tblGrid>
      <w:tr w14:paraId="24BE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6"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14:paraId="63092BA0">
            <w:pPr>
              <w:spacing w:line="360" w:lineRule="auto"/>
              <w:ind w:firstLine="105" w:firstLineChars="50"/>
              <w:jc w:val="center"/>
            </w:pPr>
            <w:r>
              <w:t>1</w:t>
            </w:r>
            <w:r>
              <w:rPr>
                <w:rFonts w:hint="eastAsia"/>
              </w:rPr>
              <w:t>、投标报价（</w:t>
            </w:r>
            <w:r>
              <w:t>30</w:t>
            </w:r>
            <w:r>
              <w:rPr>
                <w:rFonts w:hint="eastAsia"/>
              </w:rPr>
              <w:t>分）</w:t>
            </w:r>
          </w:p>
        </w:tc>
        <w:tc>
          <w:tcPr>
            <w:tcW w:w="7106" w:type="dxa"/>
            <w:tcBorders>
              <w:top w:val="single" w:color="auto" w:sz="4" w:space="0"/>
              <w:left w:val="single" w:color="auto" w:sz="4" w:space="0"/>
              <w:bottom w:val="single" w:color="auto" w:sz="4" w:space="0"/>
              <w:right w:val="single" w:color="auto" w:sz="4" w:space="0"/>
            </w:tcBorders>
            <w:vAlign w:val="center"/>
          </w:tcPr>
          <w:p w14:paraId="2F2E05F6">
            <w:pPr>
              <w:kinsoku w:val="0"/>
              <w:overflowPunct w:val="0"/>
              <w:autoSpaceDE w:val="0"/>
              <w:autoSpaceDN w:val="0"/>
              <w:adjustRightInd w:val="0"/>
              <w:snapToGrid w:val="0"/>
              <w:spacing w:line="360" w:lineRule="auto"/>
              <w:rPr>
                <w:rFonts w:hint="eastAsia" w:ascii="Times New Roman" w:hAnsi="Times New Roman" w:eastAsia="宋体" w:cs="Times New Roman"/>
                <w:kern w:val="2"/>
                <w:sz w:val="21"/>
                <w:lang w:val="en-US" w:eastAsia="zh-CN" w:bidi="ar-SA"/>
              </w:rPr>
            </w:pPr>
            <w:r>
              <w:rPr>
                <w:rFonts w:hint="eastAsia" w:ascii="宋体" w:hAnsi="宋体"/>
                <w:szCs w:val="21"/>
              </w:rPr>
              <w:t>评标基准价计算方法：</w:t>
            </w:r>
            <w:r>
              <w:rPr>
                <w:rFonts w:hint="eastAsia"/>
              </w:rPr>
              <w:t>满足招标文件要求且投标价格最低的投标报价为评标基</w:t>
            </w:r>
            <w:r>
              <w:rPr>
                <w:rFonts w:hint="eastAsia" w:ascii="Times New Roman" w:hAnsi="Times New Roman" w:eastAsia="宋体" w:cs="Times New Roman"/>
                <w:kern w:val="2"/>
                <w:sz w:val="21"/>
                <w:lang w:val="en-US" w:eastAsia="zh-CN" w:bidi="ar-SA"/>
              </w:rPr>
              <w:t>准价，其价格分为满分</w:t>
            </w:r>
            <w:r>
              <w:rPr>
                <w:rFonts w:hint="eastAsia" w:ascii="Times New Roman" w:hAnsi="Times New Roman" w:cs="Times New Roman"/>
                <w:kern w:val="2"/>
                <w:sz w:val="21"/>
                <w:lang w:val="en-US" w:eastAsia="zh-CN" w:bidi="ar-SA"/>
              </w:rPr>
              <w:t>。</w:t>
            </w:r>
          </w:p>
          <w:p w14:paraId="14106514">
            <w:pPr>
              <w:pStyle w:val="16"/>
              <w:ind w:firstLine="0" w:firstLineChars="0"/>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投标报价得分=(评标基准价／投标报价)×30</w:t>
            </w:r>
          </w:p>
          <w:p w14:paraId="73436624">
            <w:pPr>
              <w:pStyle w:val="16"/>
              <w:ind w:firstLine="0" w:firstLineChars="0"/>
              <w:rPr>
                <w:rFonts w:ascii="Times New Roman" w:hAnsi="Times New Roman" w:eastAsia="宋体" w:cs="Times New Roman"/>
                <w:kern w:val="2"/>
                <w:sz w:val="21"/>
                <w:lang w:val="en-US" w:eastAsia="zh-CN" w:bidi="ar-SA"/>
              </w:rPr>
            </w:pPr>
            <w:r>
              <w:rPr>
                <w:rFonts w:ascii="Times New Roman" w:hAnsi="Times New Roman" w:eastAsia="宋体" w:cs="Times New Roman"/>
                <w:kern w:val="2"/>
                <w:sz w:val="21"/>
                <w:lang w:val="en-US" w:eastAsia="zh-CN" w:bidi="ar-SA"/>
              </w:rPr>
              <w:t>注：1、有效供应商是指实质上响应招标文件要求并通过实质性审核未被否决投标的所有供应商。</w:t>
            </w:r>
          </w:p>
          <w:p w14:paraId="5FD3DD1E">
            <w:pPr>
              <w:pStyle w:val="16"/>
              <w:numPr>
                <w:ilvl w:val="0"/>
                <w:numId w:val="0"/>
              </w:numPr>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2、</w:t>
            </w:r>
            <w:r>
              <w:rPr>
                <w:rFonts w:ascii="Times New Roman" w:hAnsi="Times New Roman" w:eastAsia="宋体" w:cs="Times New Roman"/>
                <w:kern w:val="2"/>
                <w:sz w:val="21"/>
                <w:lang w:val="en-US" w:eastAsia="zh-CN" w:bidi="ar-SA"/>
              </w:rPr>
              <w:t>评标委员会认为供应商的报价明显低于其他通过符合性审查供应商的报价或成本价，有可能影响产品质量或者不能诚信履约的，应当要求其在评标现场合理的时间内提供书面说明，必要时提交相关证明材料；供应商不能证明其报价合理性的，评标委员会应当将其作为无效投标处理</w:t>
            </w:r>
          </w:p>
          <w:p w14:paraId="652A4A30">
            <w:pPr>
              <w:pStyle w:val="17"/>
              <w:numPr>
                <w:ilvl w:val="0"/>
                <w:numId w:val="0"/>
              </w:numPr>
            </w:pPr>
            <w:r>
              <w:rPr>
                <w:rFonts w:hint="eastAsia" w:ascii="Times New Roman" w:hAnsi="Times New Roman" w:eastAsia="宋体" w:cs="Times New Roman"/>
                <w:kern w:val="2"/>
                <w:sz w:val="21"/>
                <w:lang w:val="en-US" w:eastAsia="zh-CN" w:bidi="ar-SA"/>
              </w:rPr>
              <w:t>3、因本项目专门面向中小型企业采购，故项目报价不再进行扣除</w:t>
            </w:r>
          </w:p>
        </w:tc>
      </w:tr>
    </w:tbl>
    <w:p w14:paraId="772D9DC9">
      <w:pPr>
        <w:rPr>
          <w:b/>
          <w:sz w:val="28"/>
          <w:szCs w:val="28"/>
        </w:rPr>
      </w:pPr>
      <w:r>
        <w:rPr>
          <w:rFonts w:hint="eastAsia"/>
          <w:b/>
          <w:sz w:val="28"/>
          <w:szCs w:val="28"/>
        </w:rPr>
        <w:br w:type="page"/>
      </w:r>
    </w:p>
    <w:p w14:paraId="43C0130F">
      <w:pPr>
        <w:ind w:firstLine="3654" w:firstLineChars="1300"/>
        <w:rPr>
          <w:b/>
          <w:sz w:val="28"/>
          <w:szCs w:val="28"/>
        </w:rPr>
      </w:pPr>
      <w:r>
        <w:rPr>
          <w:rFonts w:hint="eastAsia"/>
          <w:b/>
          <w:sz w:val="28"/>
          <w:szCs w:val="28"/>
        </w:rPr>
        <w:t>技术部分</w:t>
      </w:r>
      <w:r>
        <w:rPr>
          <w:rFonts w:hint="eastAsia"/>
          <w:b/>
          <w:sz w:val="28"/>
          <w:szCs w:val="28"/>
          <w:lang w:eastAsia="zh-CN"/>
        </w:rPr>
        <w:t>（服务方案）</w:t>
      </w:r>
      <w:r>
        <w:rPr>
          <w:rFonts w:hint="eastAsia"/>
          <w:b/>
          <w:sz w:val="28"/>
          <w:szCs w:val="28"/>
        </w:rPr>
        <w:t>评标办法</w:t>
      </w:r>
    </w:p>
    <w:tbl>
      <w:tblPr>
        <w:tblStyle w:val="18"/>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5"/>
        <w:gridCol w:w="1080"/>
        <w:gridCol w:w="6285"/>
        <w:gridCol w:w="1080"/>
      </w:tblGrid>
      <w:tr w14:paraId="703A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23F7E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340635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评分内容</w:t>
            </w:r>
          </w:p>
        </w:tc>
        <w:tc>
          <w:tcPr>
            <w:tcW w:w="6285" w:type="dxa"/>
            <w:tcBorders>
              <w:top w:val="single" w:color="000000" w:sz="8" w:space="0"/>
              <w:left w:val="nil"/>
              <w:bottom w:val="single" w:color="000000" w:sz="8" w:space="0"/>
              <w:right w:val="single" w:color="000000" w:sz="8" w:space="0"/>
            </w:tcBorders>
            <w:shd w:val="clear" w:color="auto" w:fill="auto"/>
            <w:vAlign w:val="center"/>
          </w:tcPr>
          <w:p w14:paraId="4D57E0E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评分标准</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45E31A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r>
      <w:tr w14:paraId="304AE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35" w:type="dxa"/>
            <w:tcBorders>
              <w:top w:val="nil"/>
              <w:left w:val="single" w:color="000000" w:sz="8" w:space="0"/>
              <w:bottom w:val="nil"/>
              <w:right w:val="single" w:color="000000" w:sz="8" w:space="0"/>
            </w:tcBorders>
            <w:shd w:val="clear" w:color="auto" w:fill="auto"/>
            <w:vAlign w:val="center"/>
          </w:tcPr>
          <w:p w14:paraId="6F157F0D">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技术标（50分）</w:t>
            </w:r>
          </w:p>
        </w:tc>
        <w:tc>
          <w:tcPr>
            <w:tcW w:w="1080" w:type="dxa"/>
            <w:vMerge w:val="restart"/>
            <w:tcBorders>
              <w:top w:val="nil"/>
              <w:left w:val="nil"/>
              <w:bottom w:val="single" w:color="000000" w:sz="8" w:space="0"/>
              <w:right w:val="single" w:color="000000" w:sz="8" w:space="0"/>
            </w:tcBorders>
            <w:shd w:val="clear" w:color="auto" w:fill="auto"/>
            <w:vAlign w:val="center"/>
          </w:tcPr>
          <w:p w14:paraId="43C02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服务方案</w:t>
            </w:r>
          </w:p>
        </w:tc>
        <w:tc>
          <w:tcPr>
            <w:tcW w:w="6285" w:type="dxa"/>
            <w:tcBorders>
              <w:top w:val="nil"/>
              <w:left w:val="nil"/>
              <w:bottom w:val="nil"/>
              <w:right w:val="single" w:color="000000" w:sz="8" w:space="0"/>
            </w:tcBorders>
            <w:shd w:val="clear" w:color="auto" w:fill="auto"/>
            <w:vAlign w:val="center"/>
          </w:tcPr>
          <w:p w14:paraId="2E2CDD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投标人针对本项目特点及实际情况制定的服务方案进行评分：</w:t>
            </w:r>
          </w:p>
        </w:tc>
        <w:tc>
          <w:tcPr>
            <w:tcW w:w="1080" w:type="dxa"/>
            <w:vMerge w:val="restart"/>
            <w:tcBorders>
              <w:top w:val="nil"/>
              <w:left w:val="nil"/>
              <w:bottom w:val="single" w:color="000000" w:sz="8" w:space="0"/>
              <w:right w:val="single" w:color="000000" w:sz="8" w:space="0"/>
            </w:tcBorders>
            <w:shd w:val="clear" w:color="auto" w:fill="auto"/>
            <w:vAlign w:val="center"/>
          </w:tcPr>
          <w:p w14:paraId="09FAD7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r>
      <w:tr w14:paraId="6E2D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35" w:type="dxa"/>
            <w:tcBorders>
              <w:top w:val="nil"/>
              <w:left w:val="single" w:color="000000" w:sz="8" w:space="0"/>
              <w:bottom w:val="nil"/>
              <w:right w:val="single" w:color="000000" w:sz="8" w:space="0"/>
            </w:tcBorders>
            <w:shd w:val="clear" w:color="auto" w:fill="auto"/>
            <w:vAlign w:val="center"/>
          </w:tcPr>
          <w:p w14:paraId="2BA867A7">
            <w:pPr>
              <w:jc w:val="both"/>
              <w:rPr>
                <w:rFonts w:hint="eastAsia" w:ascii="宋体" w:hAnsi="宋体" w:eastAsia="宋体" w:cs="宋体"/>
                <w:b/>
                <w:bCs/>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13D375C1">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571639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（1）服务方案针对性强，可实施性强的得3分；</w:t>
            </w:r>
          </w:p>
        </w:tc>
        <w:tc>
          <w:tcPr>
            <w:tcW w:w="1080" w:type="dxa"/>
            <w:vMerge w:val="continue"/>
            <w:tcBorders>
              <w:top w:val="nil"/>
              <w:left w:val="nil"/>
              <w:bottom w:val="single" w:color="000000" w:sz="8" w:space="0"/>
              <w:right w:val="single" w:color="000000" w:sz="8" w:space="0"/>
            </w:tcBorders>
            <w:shd w:val="clear" w:color="auto" w:fill="auto"/>
            <w:vAlign w:val="center"/>
          </w:tcPr>
          <w:p w14:paraId="5EC26644">
            <w:pPr>
              <w:jc w:val="center"/>
              <w:rPr>
                <w:rFonts w:hint="eastAsia" w:ascii="宋体" w:hAnsi="宋体" w:eastAsia="宋体" w:cs="宋体"/>
                <w:b/>
                <w:bCs/>
                <w:i w:val="0"/>
                <w:iCs w:val="0"/>
                <w:color w:val="000000"/>
                <w:sz w:val="24"/>
                <w:szCs w:val="24"/>
                <w:u w:val="none"/>
              </w:rPr>
            </w:pPr>
          </w:p>
        </w:tc>
      </w:tr>
      <w:tr w14:paraId="7F4E0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0CAE37E8">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BB7615E">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3F6F91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（2）服务方案针对性较强，可实施性较强的得2分；</w:t>
            </w:r>
          </w:p>
        </w:tc>
        <w:tc>
          <w:tcPr>
            <w:tcW w:w="1080" w:type="dxa"/>
            <w:vMerge w:val="continue"/>
            <w:tcBorders>
              <w:top w:val="nil"/>
              <w:left w:val="nil"/>
              <w:bottom w:val="single" w:color="000000" w:sz="8" w:space="0"/>
              <w:right w:val="single" w:color="000000" w:sz="8" w:space="0"/>
            </w:tcBorders>
            <w:shd w:val="clear" w:color="auto" w:fill="auto"/>
            <w:vAlign w:val="center"/>
          </w:tcPr>
          <w:p w14:paraId="557D605E">
            <w:pPr>
              <w:jc w:val="center"/>
              <w:rPr>
                <w:rFonts w:hint="eastAsia" w:ascii="宋体" w:hAnsi="宋体" w:eastAsia="宋体" w:cs="宋体"/>
                <w:b/>
                <w:bCs/>
                <w:i w:val="0"/>
                <w:iCs w:val="0"/>
                <w:color w:val="000000"/>
                <w:sz w:val="24"/>
                <w:szCs w:val="24"/>
                <w:u w:val="none"/>
              </w:rPr>
            </w:pPr>
          </w:p>
        </w:tc>
      </w:tr>
      <w:tr w14:paraId="13B44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6345DF33">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FFA38BD">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34DE12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（3）服务方案满足项目基本需求得1分；</w:t>
            </w:r>
          </w:p>
        </w:tc>
        <w:tc>
          <w:tcPr>
            <w:tcW w:w="1080" w:type="dxa"/>
            <w:vMerge w:val="continue"/>
            <w:tcBorders>
              <w:top w:val="nil"/>
              <w:left w:val="nil"/>
              <w:bottom w:val="single" w:color="000000" w:sz="8" w:space="0"/>
              <w:right w:val="single" w:color="000000" w:sz="8" w:space="0"/>
            </w:tcBorders>
            <w:shd w:val="clear" w:color="auto" w:fill="auto"/>
            <w:vAlign w:val="center"/>
          </w:tcPr>
          <w:p w14:paraId="75241D3D">
            <w:pPr>
              <w:jc w:val="center"/>
              <w:rPr>
                <w:rFonts w:hint="eastAsia" w:ascii="宋体" w:hAnsi="宋体" w:eastAsia="宋体" w:cs="宋体"/>
                <w:b/>
                <w:bCs/>
                <w:i w:val="0"/>
                <w:iCs w:val="0"/>
                <w:color w:val="000000"/>
                <w:sz w:val="24"/>
                <w:szCs w:val="24"/>
                <w:u w:val="none"/>
              </w:rPr>
            </w:pPr>
          </w:p>
        </w:tc>
      </w:tr>
      <w:tr w14:paraId="6883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5588287A">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E9B902C">
            <w:pPr>
              <w:jc w:val="center"/>
              <w:rPr>
                <w:rFonts w:hint="eastAsia" w:ascii="宋体" w:hAnsi="宋体" w:eastAsia="宋体" w:cs="宋体"/>
                <w:i w:val="0"/>
                <w:iCs w:val="0"/>
                <w:color w:val="000000"/>
                <w:sz w:val="24"/>
                <w:szCs w:val="24"/>
                <w:u w:val="none"/>
              </w:rPr>
            </w:pPr>
          </w:p>
        </w:tc>
        <w:tc>
          <w:tcPr>
            <w:tcW w:w="6285" w:type="dxa"/>
            <w:tcBorders>
              <w:top w:val="nil"/>
              <w:left w:val="nil"/>
              <w:bottom w:val="single" w:color="000000" w:sz="8" w:space="0"/>
              <w:right w:val="single" w:color="000000" w:sz="8" w:space="0"/>
            </w:tcBorders>
            <w:shd w:val="clear" w:color="auto" w:fill="auto"/>
            <w:vAlign w:val="center"/>
          </w:tcPr>
          <w:p w14:paraId="1C9CBF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（4）服务方案未提供不得分。</w:t>
            </w:r>
          </w:p>
        </w:tc>
        <w:tc>
          <w:tcPr>
            <w:tcW w:w="1080" w:type="dxa"/>
            <w:vMerge w:val="continue"/>
            <w:tcBorders>
              <w:top w:val="nil"/>
              <w:left w:val="nil"/>
              <w:bottom w:val="single" w:color="000000" w:sz="8" w:space="0"/>
              <w:right w:val="single" w:color="000000" w:sz="8" w:space="0"/>
            </w:tcBorders>
            <w:shd w:val="clear" w:color="auto" w:fill="auto"/>
            <w:vAlign w:val="center"/>
          </w:tcPr>
          <w:p w14:paraId="6DC55B25">
            <w:pPr>
              <w:jc w:val="center"/>
              <w:rPr>
                <w:rFonts w:hint="eastAsia" w:ascii="宋体" w:hAnsi="宋体" w:eastAsia="宋体" w:cs="宋体"/>
                <w:b/>
                <w:bCs/>
                <w:i w:val="0"/>
                <w:iCs w:val="0"/>
                <w:color w:val="000000"/>
                <w:sz w:val="24"/>
                <w:szCs w:val="24"/>
                <w:u w:val="none"/>
              </w:rPr>
            </w:pPr>
          </w:p>
        </w:tc>
      </w:tr>
      <w:tr w14:paraId="598FF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491BFB00">
            <w:pPr>
              <w:rPr>
                <w:rFonts w:hint="eastAsia" w:ascii="宋体" w:hAnsi="宋体" w:eastAsia="宋体" w:cs="宋体"/>
                <w:i w:val="0"/>
                <w:iCs w:val="0"/>
                <w:color w:val="000000"/>
                <w:sz w:val="22"/>
                <w:szCs w:val="22"/>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14:paraId="58E48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服务理念</w:t>
            </w:r>
          </w:p>
        </w:tc>
        <w:tc>
          <w:tcPr>
            <w:tcW w:w="6285" w:type="dxa"/>
            <w:tcBorders>
              <w:top w:val="nil"/>
              <w:left w:val="nil"/>
              <w:bottom w:val="nil"/>
              <w:right w:val="single" w:color="000000" w:sz="8" w:space="0"/>
            </w:tcBorders>
            <w:shd w:val="clear" w:color="auto" w:fill="auto"/>
            <w:vAlign w:val="center"/>
          </w:tcPr>
          <w:p w14:paraId="01B878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投标人针对本项目特点及实际情况制定的</w:t>
            </w:r>
            <w:r>
              <w:rPr>
                <w:rStyle w:val="30"/>
                <w:lang w:val="en-US" w:eastAsia="zh-CN" w:bidi="ar"/>
              </w:rPr>
              <w:t>服务理念方案进行评分：</w:t>
            </w:r>
          </w:p>
        </w:tc>
        <w:tc>
          <w:tcPr>
            <w:tcW w:w="1080" w:type="dxa"/>
            <w:vMerge w:val="restart"/>
            <w:tcBorders>
              <w:top w:val="nil"/>
              <w:left w:val="nil"/>
              <w:bottom w:val="single" w:color="000000" w:sz="8" w:space="0"/>
              <w:right w:val="single" w:color="000000" w:sz="8" w:space="0"/>
            </w:tcBorders>
            <w:shd w:val="clear" w:color="auto" w:fill="auto"/>
            <w:vAlign w:val="center"/>
          </w:tcPr>
          <w:p w14:paraId="31230C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r>
      <w:tr w14:paraId="03A83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19491E70">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582FFA0">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7251E7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（1）服务理念方案针对性强，可实施性强的得3分；</w:t>
            </w:r>
          </w:p>
        </w:tc>
        <w:tc>
          <w:tcPr>
            <w:tcW w:w="1080" w:type="dxa"/>
            <w:vMerge w:val="continue"/>
            <w:tcBorders>
              <w:top w:val="nil"/>
              <w:left w:val="nil"/>
              <w:bottom w:val="single" w:color="000000" w:sz="8" w:space="0"/>
              <w:right w:val="single" w:color="000000" w:sz="8" w:space="0"/>
            </w:tcBorders>
            <w:shd w:val="clear" w:color="auto" w:fill="auto"/>
            <w:vAlign w:val="center"/>
          </w:tcPr>
          <w:p w14:paraId="43272237">
            <w:pPr>
              <w:jc w:val="center"/>
              <w:rPr>
                <w:rFonts w:hint="eastAsia" w:ascii="宋体" w:hAnsi="宋体" w:eastAsia="宋体" w:cs="宋体"/>
                <w:b/>
                <w:bCs/>
                <w:i w:val="0"/>
                <w:iCs w:val="0"/>
                <w:color w:val="000000"/>
                <w:sz w:val="24"/>
                <w:szCs w:val="24"/>
                <w:u w:val="none"/>
              </w:rPr>
            </w:pPr>
          </w:p>
        </w:tc>
      </w:tr>
      <w:tr w14:paraId="2E819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2F3C56AA">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0DB788C">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708051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（2）服务理念方案针对性较强，可实施性较强的得2分；</w:t>
            </w:r>
          </w:p>
        </w:tc>
        <w:tc>
          <w:tcPr>
            <w:tcW w:w="1080" w:type="dxa"/>
            <w:vMerge w:val="continue"/>
            <w:tcBorders>
              <w:top w:val="nil"/>
              <w:left w:val="nil"/>
              <w:bottom w:val="single" w:color="000000" w:sz="8" w:space="0"/>
              <w:right w:val="single" w:color="000000" w:sz="8" w:space="0"/>
            </w:tcBorders>
            <w:shd w:val="clear" w:color="auto" w:fill="auto"/>
            <w:vAlign w:val="center"/>
          </w:tcPr>
          <w:p w14:paraId="0A98E7A3">
            <w:pPr>
              <w:jc w:val="center"/>
              <w:rPr>
                <w:rFonts w:hint="eastAsia" w:ascii="宋体" w:hAnsi="宋体" w:eastAsia="宋体" w:cs="宋体"/>
                <w:b/>
                <w:bCs/>
                <w:i w:val="0"/>
                <w:iCs w:val="0"/>
                <w:color w:val="000000"/>
                <w:sz w:val="24"/>
                <w:szCs w:val="24"/>
                <w:u w:val="none"/>
              </w:rPr>
            </w:pPr>
          </w:p>
        </w:tc>
      </w:tr>
      <w:tr w14:paraId="71C63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61C688DE">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620CD29">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0F6536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Style w:val="30"/>
                <w:lang w:val="en-US" w:eastAsia="zh-CN" w:bidi="ar"/>
              </w:rPr>
              <w:t>服务理念方案满足项目基本需求得1分；</w:t>
            </w:r>
          </w:p>
        </w:tc>
        <w:tc>
          <w:tcPr>
            <w:tcW w:w="1080" w:type="dxa"/>
            <w:vMerge w:val="continue"/>
            <w:tcBorders>
              <w:top w:val="nil"/>
              <w:left w:val="nil"/>
              <w:bottom w:val="single" w:color="000000" w:sz="8" w:space="0"/>
              <w:right w:val="single" w:color="000000" w:sz="8" w:space="0"/>
            </w:tcBorders>
            <w:shd w:val="clear" w:color="auto" w:fill="auto"/>
            <w:vAlign w:val="center"/>
          </w:tcPr>
          <w:p w14:paraId="6E4F40E9">
            <w:pPr>
              <w:jc w:val="center"/>
              <w:rPr>
                <w:rFonts w:hint="eastAsia" w:ascii="宋体" w:hAnsi="宋体" w:eastAsia="宋体" w:cs="宋体"/>
                <w:b/>
                <w:bCs/>
                <w:i w:val="0"/>
                <w:iCs w:val="0"/>
                <w:color w:val="000000"/>
                <w:sz w:val="24"/>
                <w:szCs w:val="24"/>
                <w:u w:val="none"/>
              </w:rPr>
            </w:pPr>
          </w:p>
        </w:tc>
      </w:tr>
      <w:tr w14:paraId="05382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502544A9">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2714444">
            <w:pPr>
              <w:jc w:val="center"/>
              <w:rPr>
                <w:rFonts w:hint="eastAsia" w:ascii="宋体" w:hAnsi="宋体" w:eastAsia="宋体" w:cs="宋体"/>
                <w:i w:val="0"/>
                <w:iCs w:val="0"/>
                <w:color w:val="000000"/>
                <w:sz w:val="24"/>
                <w:szCs w:val="24"/>
                <w:u w:val="none"/>
              </w:rPr>
            </w:pPr>
          </w:p>
        </w:tc>
        <w:tc>
          <w:tcPr>
            <w:tcW w:w="6285" w:type="dxa"/>
            <w:tcBorders>
              <w:top w:val="nil"/>
              <w:left w:val="nil"/>
              <w:bottom w:val="single" w:color="000000" w:sz="8" w:space="0"/>
              <w:right w:val="single" w:color="000000" w:sz="8" w:space="0"/>
            </w:tcBorders>
            <w:shd w:val="clear" w:color="auto" w:fill="auto"/>
            <w:vAlign w:val="center"/>
          </w:tcPr>
          <w:p w14:paraId="38D9621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Style w:val="30"/>
                <w:lang w:val="en-US" w:eastAsia="zh-CN" w:bidi="ar"/>
              </w:rPr>
              <w:t>服务理念方案未提供不得分。</w:t>
            </w:r>
          </w:p>
        </w:tc>
        <w:tc>
          <w:tcPr>
            <w:tcW w:w="1080" w:type="dxa"/>
            <w:vMerge w:val="continue"/>
            <w:tcBorders>
              <w:top w:val="nil"/>
              <w:left w:val="nil"/>
              <w:bottom w:val="single" w:color="000000" w:sz="8" w:space="0"/>
              <w:right w:val="single" w:color="000000" w:sz="8" w:space="0"/>
            </w:tcBorders>
            <w:shd w:val="clear" w:color="auto" w:fill="auto"/>
            <w:vAlign w:val="center"/>
          </w:tcPr>
          <w:p w14:paraId="6CBB9633">
            <w:pPr>
              <w:jc w:val="center"/>
              <w:rPr>
                <w:rFonts w:hint="eastAsia" w:ascii="宋体" w:hAnsi="宋体" w:eastAsia="宋体" w:cs="宋体"/>
                <w:b/>
                <w:bCs/>
                <w:i w:val="0"/>
                <w:iCs w:val="0"/>
                <w:color w:val="000000"/>
                <w:sz w:val="24"/>
                <w:szCs w:val="24"/>
                <w:u w:val="none"/>
              </w:rPr>
            </w:pPr>
          </w:p>
        </w:tc>
      </w:tr>
      <w:tr w14:paraId="08AF3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19ED944A">
            <w:pPr>
              <w:rPr>
                <w:rFonts w:hint="eastAsia" w:ascii="宋体" w:hAnsi="宋体" w:eastAsia="宋体" w:cs="宋体"/>
                <w:i w:val="0"/>
                <w:iCs w:val="0"/>
                <w:color w:val="000000"/>
                <w:sz w:val="22"/>
                <w:szCs w:val="22"/>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14:paraId="7DB82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服务流程</w:t>
            </w:r>
          </w:p>
        </w:tc>
        <w:tc>
          <w:tcPr>
            <w:tcW w:w="6285" w:type="dxa"/>
            <w:tcBorders>
              <w:top w:val="nil"/>
              <w:left w:val="nil"/>
              <w:bottom w:val="nil"/>
              <w:right w:val="single" w:color="000000" w:sz="8" w:space="0"/>
            </w:tcBorders>
            <w:shd w:val="clear" w:color="auto" w:fill="auto"/>
            <w:vAlign w:val="center"/>
          </w:tcPr>
          <w:p w14:paraId="6DF854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投标人针对本项目特点及实际情况制定的服务流程方案进行评分：</w:t>
            </w:r>
          </w:p>
        </w:tc>
        <w:tc>
          <w:tcPr>
            <w:tcW w:w="1080" w:type="dxa"/>
            <w:vMerge w:val="restart"/>
            <w:tcBorders>
              <w:top w:val="nil"/>
              <w:left w:val="nil"/>
              <w:bottom w:val="single" w:color="000000" w:sz="8" w:space="0"/>
              <w:right w:val="single" w:color="000000" w:sz="8" w:space="0"/>
            </w:tcBorders>
            <w:shd w:val="clear" w:color="auto" w:fill="auto"/>
            <w:vAlign w:val="center"/>
          </w:tcPr>
          <w:p w14:paraId="2DABA5F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r>
      <w:tr w14:paraId="5355C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733CB64F">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017D5D6">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2AACF5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（1）服务流程方案针对性强，可实施性强的得3分；</w:t>
            </w:r>
          </w:p>
        </w:tc>
        <w:tc>
          <w:tcPr>
            <w:tcW w:w="1080" w:type="dxa"/>
            <w:vMerge w:val="continue"/>
            <w:tcBorders>
              <w:top w:val="nil"/>
              <w:left w:val="nil"/>
              <w:bottom w:val="single" w:color="000000" w:sz="8" w:space="0"/>
              <w:right w:val="single" w:color="000000" w:sz="8" w:space="0"/>
            </w:tcBorders>
            <w:shd w:val="clear" w:color="auto" w:fill="auto"/>
            <w:vAlign w:val="center"/>
          </w:tcPr>
          <w:p w14:paraId="0B6A3DC4">
            <w:pPr>
              <w:jc w:val="center"/>
              <w:rPr>
                <w:rFonts w:hint="eastAsia" w:ascii="宋体" w:hAnsi="宋体" w:eastAsia="宋体" w:cs="宋体"/>
                <w:b/>
                <w:bCs/>
                <w:i w:val="0"/>
                <w:iCs w:val="0"/>
                <w:color w:val="000000"/>
                <w:sz w:val="24"/>
                <w:szCs w:val="24"/>
                <w:u w:val="none"/>
              </w:rPr>
            </w:pPr>
          </w:p>
        </w:tc>
      </w:tr>
      <w:tr w14:paraId="15812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2997B66B">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CAFBE96">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1FD90C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（2）服务流程方案针对性较强，可实施性较强的得2分；</w:t>
            </w:r>
          </w:p>
        </w:tc>
        <w:tc>
          <w:tcPr>
            <w:tcW w:w="1080" w:type="dxa"/>
            <w:vMerge w:val="continue"/>
            <w:tcBorders>
              <w:top w:val="nil"/>
              <w:left w:val="nil"/>
              <w:bottom w:val="single" w:color="000000" w:sz="8" w:space="0"/>
              <w:right w:val="single" w:color="000000" w:sz="8" w:space="0"/>
            </w:tcBorders>
            <w:shd w:val="clear" w:color="auto" w:fill="auto"/>
            <w:vAlign w:val="center"/>
          </w:tcPr>
          <w:p w14:paraId="698B5C28">
            <w:pPr>
              <w:jc w:val="center"/>
              <w:rPr>
                <w:rFonts w:hint="eastAsia" w:ascii="宋体" w:hAnsi="宋体" w:eastAsia="宋体" w:cs="宋体"/>
                <w:b/>
                <w:bCs/>
                <w:i w:val="0"/>
                <w:iCs w:val="0"/>
                <w:color w:val="000000"/>
                <w:sz w:val="24"/>
                <w:szCs w:val="24"/>
                <w:u w:val="none"/>
              </w:rPr>
            </w:pPr>
          </w:p>
        </w:tc>
      </w:tr>
      <w:tr w14:paraId="6DCAC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357ECB5D">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1097ADE6">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699387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（3）服务流程方案满足项目基本需求得1分；</w:t>
            </w:r>
          </w:p>
        </w:tc>
        <w:tc>
          <w:tcPr>
            <w:tcW w:w="1080" w:type="dxa"/>
            <w:vMerge w:val="continue"/>
            <w:tcBorders>
              <w:top w:val="nil"/>
              <w:left w:val="nil"/>
              <w:bottom w:val="single" w:color="000000" w:sz="8" w:space="0"/>
              <w:right w:val="single" w:color="000000" w:sz="8" w:space="0"/>
            </w:tcBorders>
            <w:shd w:val="clear" w:color="auto" w:fill="auto"/>
            <w:vAlign w:val="center"/>
          </w:tcPr>
          <w:p w14:paraId="74291D52">
            <w:pPr>
              <w:jc w:val="center"/>
              <w:rPr>
                <w:rFonts w:hint="eastAsia" w:ascii="宋体" w:hAnsi="宋体" w:eastAsia="宋体" w:cs="宋体"/>
                <w:b/>
                <w:bCs/>
                <w:i w:val="0"/>
                <w:iCs w:val="0"/>
                <w:color w:val="000000"/>
                <w:sz w:val="24"/>
                <w:szCs w:val="24"/>
                <w:u w:val="none"/>
              </w:rPr>
            </w:pPr>
          </w:p>
        </w:tc>
      </w:tr>
      <w:tr w14:paraId="3839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02721CEF">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6B7D8C5">
            <w:pPr>
              <w:jc w:val="center"/>
              <w:rPr>
                <w:rFonts w:hint="eastAsia" w:ascii="宋体" w:hAnsi="宋体" w:eastAsia="宋体" w:cs="宋体"/>
                <w:i w:val="0"/>
                <w:iCs w:val="0"/>
                <w:color w:val="000000"/>
                <w:sz w:val="24"/>
                <w:szCs w:val="24"/>
                <w:u w:val="none"/>
              </w:rPr>
            </w:pPr>
          </w:p>
        </w:tc>
        <w:tc>
          <w:tcPr>
            <w:tcW w:w="6285" w:type="dxa"/>
            <w:tcBorders>
              <w:top w:val="nil"/>
              <w:left w:val="nil"/>
              <w:bottom w:val="single" w:color="000000" w:sz="8" w:space="0"/>
              <w:right w:val="single" w:color="000000" w:sz="8" w:space="0"/>
            </w:tcBorders>
            <w:shd w:val="clear" w:color="auto" w:fill="auto"/>
            <w:vAlign w:val="center"/>
          </w:tcPr>
          <w:p w14:paraId="0FEE82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（4）服务流程方案未提供不得分。</w:t>
            </w:r>
          </w:p>
        </w:tc>
        <w:tc>
          <w:tcPr>
            <w:tcW w:w="1080" w:type="dxa"/>
            <w:vMerge w:val="continue"/>
            <w:tcBorders>
              <w:top w:val="nil"/>
              <w:left w:val="nil"/>
              <w:bottom w:val="single" w:color="000000" w:sz="8" w:space="0"/>
              <w:right w:val="single" w:color="000000" w:sz="8" w:space="0"/>
            </w:tcBorders>
            <w:shd w:val="clear" w:color="auto" w:fill="auto"/>
            <w:vAlign w:val="center"/>
          </w:tcPr>
          <w:p w14:paraId="381C552F">
            <w:pPr>
              <w:jc w:val="center"/>
              <w:rPr>
                <w:rFonts w:hint="eastAsia" w:ascii="宋体" w:hAnsi="宋体" w:eastAsia="宋体" w:cs="宋体"/>
                <w:b/>
                <w:bCs/>
                <w:i w:val="0"/>
                <w:iCs w:val="0"/>
                <w:color w:val="000000"/>
                <w:sz w:val="24"/>
                <w:szCs w:val="24"/>
                <w:u w:val="none"/>
              </w:rPr>
            </w:pPr>
          </w:p>
        </w:tc>
      </w:tr>
      <w:tr w14:paraId="7B4EC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22B0DD9F">
            <w:pPr>
              <w:rPr>
                <w:rFonts w:hint="eastAsia" w:ascii="宋体" w:hAnsi="宋体" w:eastAsia="宋体" w:cs="宋体"/>
                <w:i w:val="0"/>
                <w:iCs w:val="0"/>
                <w:color w:val="000000"/>
                <w:sz w:val="22"/>
                <w:szCs w:val="22"/>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14:paraId="3FB66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服务标准</w:t>
            </w:r>
          </w:p>
        </w:tc>
        <w:tc>
          <w:tcPr>
            <w:tcW w:w="6285" w:type="dxa"/>
            <w:tcBorders>
              <w:top w:val="nil"/>
              <w:left w:val="nil"/>
              <w:bottom w:val="nil"/>
              <w:right w:val="single" w:color="000000" w:sz="8" w:space="0"/>
            </w:tcBorders>
            <w:shd w:val="clear" w:color="auto" w:fill="auto"/>
            <w:vAlign w:val="center"/>
          </w:tcPr>
          <w:p w14:paraId="5DBFC4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投标人针对本项目特点及实际情况制定的服务标准方案进行评分：</w:t>
            </w:r>
          </w:p>
        </w:tc>
        <w:tc>
          <w:tcPr>
            <w:tcW w:w="1080" w:type="dxa"/>
            <w:vMerge w:val="restart"/>
            <w:tcBorders>
              <w:top w:val="nil"/>
              <w:left w:val="nil"/>
              <w:bottom w:val="single" w:color="000000" w:sz="8" w:space="0"/>
              <w:right w:val="single" w:color="000000" w:sz="8" w:space="0"/>
            </w:tcBorders>
            <w:shd w:val="clear" w:color="auto" w:fill="auto"/>
            <w:vAlign w:val="center"/>
          </w:tcPr>
          <w:p w14:paraId="66603D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r>
      <w:tr w14:paraId="10B9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16E38112">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691B690">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1A34F0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（1）服务标准方案针对性强，可实施性强的得4分；</w:t>
            </w:r>
          </w:p>
        </w:tc>
        <w:tc>
          <w:tcPr>
            <w:tcW w:w="1080" w:type="dxa"/>
            <w:vMerge w:val="continue"/>
            <w:tcBorders>
              <w:top w:val="nil"/>
              <w:left w:val="nil"/>
              <w:bottom w:val="single" w:color="000000" w:sz="8" w:space="0"/>
              <w:right w:val="single" w:color="000000" w:sz="8" w:space="0"/>
            </w:tcBorders>
            <w:shd w:val="clear" w:color="auto" w:fill="auto"/>
            <w:vAlign w:val="center"/>
          </w:tcPr>
          <w:p w14:paraId="5C2DAEB3">
            <w:pPr>
              <w:jc w:val="center"/>
              <w:rPr>
                <w:rFonts w:hint="eastAsia" w:ascii="宋体" w:hAnsi="宋体" w:eastAsia="宋体" w:cs="宋体"/>
                <w:b/>
                <w:bCs/>
                <w:i w:val="0"/>
                <w:iCs w:val="0"/>
                <w:color w:val="000000"/>
                <w:sz w:val="24"/>
                <w:szCs w:val="24"/>
                <w:u w:val="none"/>
              </w:rPr>
            </w:pPr>
          </w:p>
        </w:tc>
      </w:tr>
      <w:tr w14:paraId="2BB8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0A987990">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75F7EC6">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35C0D9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（2）服务标准方案针对性较强，可实施性较强的得2分；</w:t>
            </w:r>
          </w:p>
        </w:tc>
        <w:tc>
          <w:tcPr>
            <w:tcW w:w="1080" w:type="dxa"/>
            <w:vMerge w:val="continue"/>
            <w:tcBorders>
              <w:top w:val="nil"/>
              <w:left w:val="nil"/>
              <w:bottom w:val="single" w:color="000000" w:sz="8" w:space="0"/>
              <w:right w:val="single" w:color="000000" w:sz="8" w:space="0"/>
            </w:tcBorders>
            <w:shd w:val="clear" w:color="auto" w:fill="auto"/>
            <w:vAlign w:val="center"/>
          </w:tcPr>
          <w:p w14:paraId="08BBD415">
            <w:pPr>
              <w:jc w:val="center"/>
              <w:rPr>
                <w:rFonts w:hint="eastAsia" w:ascii="宋体" w:hAnsi="宋体" w:eastAsia="宋体" w:cs="宋体"/>
                <w:b/>
                <w:bCs/>
                <w:i w:val="0"/>
                <w:iCs w:val="0"/>
                <w:color w:val="000000"/>
                <w:sz w:val="24"/>
                <w:szCs w:val="24"/>
                <w:u w:val="none"/>
              </w:rPr>
            </w:pPr>
          </w:p>
        </w:tc>
      </w:tr>
      <w:tr w14:paraId="13F13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44842E98">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C2F6426">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6741C8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（3）服务标准方案满足项目基本需求得1分；</w:t>
            </w:r>
          </w:p>
        </w:tc>
        <w:tc>
          <w:tcPr>
            <w:tcW w:w="1080" w:type="dxa"/>
            <w:vMerge w:val="continue"/>
            <w:tcBorders>
              <w:top w:val="nil"/>
              <w:left w:val="nil"/>
              <w:bottom w:val="single" w:color="000000" w:sz="8" w:space="0"/>
              <w:right w:val="single" w:color="000000" w:sz="8" w:space="0"/>
            </w:tcBorders>
            <w:shd w:val="clear" w:color="auto" w:fill="auto"/>
            <w:vAlign w:val="center"/>
          </w:tcPr>
          <w:p w14:paraId="3381688E">
            <w:pPr>
              <w:jc w:val="center"/>
              <w:rPr>
                <w:rFonts w:hint="eastAsia" w:ascii="宋体" w:hAnsi="宋体" w:eastAsia="宋体" w:cs="宋体"/>
                <w:b/>
                <w:bCs/>
                <w:i w:val="0"/>
                <w:iCs w:val="0"/>
                <w:color w:val="000000"/>
                <w:sz w:val="24"/>
                <w:szCs w:val="24"/>
                <w:u w:val="none"/>
              </w:rPr>
            </w:pPr>
          </w:p>
        </w:tc>
      </w:tr>
      <w:tr w14:paraId="2611C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69F1DA9B">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008C68D">
            <w:pPr>
              <w:jc w:val="center"/>
              <w:rPr>
                <w:rFonts w:hint="eastAsia" w:ascii="宋体" w:hAnsi="宋体" w:eastAsia="宋体" w:cs="宋体"/>
                <w:i w:val="0"/>
                <w:iCs w:val="0"/>
                <w:color w:val="000000"/>
                <w:sz w:val="24"/>
                <w:szCs w:val="24"/>
                <w:u w:val="none"/>
              </w:rPr>
            </w:pPr>
          </w:p>
        </w:tc>
        <w:tc>
          <w:tcPr>
            <w:tcW w:w="6285" w:type="dxa"/>
            <w:tcBorders>
              <w:top w:val="nil"/>
              <w:left w:val="nil"/>
              <w:bottom w:val="single" w:color="000000" w:sz="8" w:space="0"/>
              <w:right w:val="single" w:color="000000" w:sz="8" w:space="0"/>
            </w:tcBorders>
            <w:shd w:val="clear" w:color="auto" w:fill="auto"/>
            <w:vAlign w:val="center"/>
          </w:tcPr>
          <w:p w14:paraId="5B64C5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（4）服务标准方案未提供不得分。</w:t>
            </w:r>
          </w:p>
        </w:tc>
        <w:tc>
          <w:tcPr>
            <w:tcW w:w="1080" w:type="dxa"/>
            <w:vMerge w:val="continue"/>
            <w:tcBorders>
              <w:top w:val="nil"/>
              <w:left w:val="nil"/>
              <w:bottom w:val="single" w:color="000000" w:sz="8" w:space="0"/>
              <w:right w:val="single" w:color="000000" w:sz="8" w:space="0"/>
            </w:tcBorders>
            <w:shd w:val="clear" w:color="auto" w:fill="auto"/>
            <w:vAlign w:val="center"/>
          </w:tcPr>
          <w:p w14:paraId="5772F5D2">
            <w:pPr>
              <w:jc w:val="center"/>
              <w:rPr>
                <w:rFonts w:hint="eastAsia" w:ascii="宋体" w:hAnsi="宋体" w:eastAsia="宋体" w:cs="宋体"/>
                <w:b/>
                <w:bCs/>
                <w:i w:val="0"/>
                <w:iCs w:val="0"/>
                <w:color w:val="000000"/>
                <w:sz w:val="24"/>
                <w:szCs w:val="24"/>
                <w:u w:val="none"/>
              </w:rPr>
            </w:pPr>
          </w:p>
        </w:tc>
      </w:tr>
      <w:tr w14:paraId="6DEA4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49ADC611">
            <w:pPr>
              <w:rPr>
                <w:rFonts w:hint="eastAsia" w:ascii="宋体" w:hAnsi="宋体" w:eastAsia="宋体" w:cs="宋体"/>
                <w:i w:val="0"/>
                <w:iCs w:val="0"/>
                <w:color w:val="000000"/>
                <w:sz w:val="22"/>
                <w:szCs w:val="22"/>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14:paraId="1F8D5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组织架构</w:t>
            </w:r>
          </w:p>
        </w:tc>
        <w:tc>
          <w:tcPr>
            <w:tcW w:w="6285" w:type="dxa"/>
            <w:tcBorders>
              <w:top w:val="nil"/>
              <w:left w:val="nil"/>
              <w:bottom w:val="nil"/>
              <w:right w:val="single" w:color="000000" w:sz="8" w:space="0"/>
            </w:tcBorders>
            <w:shd w:val="clear" w:color="auto" w:fill="auto"/>
            <w:vAlign w:val="center"/>
          </w:tcPr>
          <w:p w14:paraId="336A03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投标人针对本项目特点及实际情况制定的组织架构方案进行评分：</w:t>
            </w:r>
          </w:p>
        </w:tc>
        <w:tc>
          <w:tcPr>
            <w:tcW w:w="1080" w:type="dxa"/>
            <w:vMerge w:val="restart"/>
            <w:tcBorders>
              <w:top w:val="nil"/>
              <w:left w:val="nil"/>
              <w:bottom w:val="single" w:color="000000" w:sz="8" w:space="0"/>
              <w:right w:val="single" w:color="000000" w:sz="8" w:space="0"/>
            </w:tcBorders>
            <w:shd w:val="clear" w:color="auto" w:fill="auto"/>
            <w:vAlign w:val="center"/>
          </w:tcPr>
          <w:p w14:paraId="1F0912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r>
      <w:tr w14:paraId="60B19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339AFC6F">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EF8CE11">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349121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（1）组织架构方案针对性强，可实施性强的得3分；</w:t>
            </w:r>
          </w:p>
        </w:tc>
        <w:tc>
          <w:tcPr>
            <w:tcW w:w="1080" w:type="dxa"/>
            <w:vMerge w:val="continue"/>
            <w:tcBorders>
              <w:top w:val="nil"/>
              <w:left w:val="nil"/>
              <w:bottom w:val="single" w:color="000000" w:sz="8" w:space="0"/>
              <w:right w:val="single" w:color="000000" w:sz="8" w:space="0"/>
            </w:tcBorders>
            <w:shd w:val="clear" w:color="auto" w:fill="auto"/>
            <w:vAlign w:val="center"/>
          </w:tcPr>
          <w:p w14:paraId="25414EEC">
            <w:pPr>
              <w:jc w:val="center"/>
              <w:rPr>
                <w:rFonts w:hint="eastAsia" w:ascii="宋体" w:hAnsi="宋体" w:eastAsia="宋体" w:cs="宋体"/>
                <w:b/>
                <w:bCs/>
                <w:i w:val="0"/>
                <w:iCs w:val="0"/>
                <w:color w:val="000000"/>
                <w:sz w:val="24"/>
                <w:szCs w:val="24"/>
                <w:u w:val="none"/>
              </w:rPr>
            </w:pPr>
          </w:p>
        </w:tc>
      </w:tr>
      <w:tr w14:paraId="5331C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674E9F16">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C3C91A7">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31DB3F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（2）组织架构方案针对性较强，可实施性较强的得2分；</w:t>
            </w:r>
          </w:p>
        </w:tc>
        <w:tc>
          <w:tcPr>
            <w:tcW w:w="1080" w:type="dxa"/>
            <w:vMerge w:val="continue"/>
            <w:tcBorders>
              <w:top w:val="nil"/>
              <w:left w:val="nil"/>
              <w:bottom w:val="single" w:color="000000" w:sz="8" w:space="0"/>
              <w:right w:val="single" w:color="000000" w:sz="8" w:space="0"/>
            </w:tcBorders>
            <w:shd w:val="clear" w:color="auto" w:fill="auto"/>
            <w:vAlign w:val="center"/>
          </w:tcPr>
          <w:p w14:paraId="39A8A436">
            <w:pPr>
              <w:jc w:val="center"/>
              <w:rPr>
                <w:rFonts w:hint="eastAsia" w:ascii="宋体" w:hAnsi="宋体" w:eastAsia="宋体" w:cs="宋体"/>
                <w:b/>
                <w:bCs/>
                <w:i w:val="0"/>
                <w:iCs w:val="0"/>
                <w:color w:val="000000"/>
                <w:sz w:val="24"/>
                <w:szCs w:val="24"/>
                <w:u w:val="none"/>
              </w:rPr>
            </w:pPr>
          </w:p>
        </w:tc>
      </w:tr>
      <w:tr w14:paraId="0F156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2BC51AB8">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8988B4B">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2E251C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（3）组织架构方案满足项目基本需求得1分；</w:t>
            </w:r>
          </w:p>
        </w:tc>
        <w:tc>
          <w:tcPr>
            <w:tcW w:w="1080" w:type="dxa"/>
            <w:vMerge w:val="continue"/>
            <w:tcBorders>
              <w:top w:val="nil"/>
              <w:left w:val="nil"/>
              <w:bottom w:val="single" w:color="000000" w:sz="8" w:space="0"/>
              <w:right w:val="single" w:color="000000" w:sz="8" w:space="0"/>
            </w:tcBorders>
            <w:shd w:val="clear" w:color="auto" w:fill="auto"/>
            <w:vAlign w:val="center"/>
          </w:tcPr>
          <w:p w14:paraId="05EDB7D3">
            <w:pPr>
              <w:jc w:val="center"/>
              <w:rPr>
                <w:rFonts w:hint="eastAsia" w:ascii="宋体" w:hAnsi="宋体" w:eastAsia="宋体" w:cs="宋体"/>
                <w:b/>
                <w:bCs/>
                <w:i w:val="0"/>
                <w:iCs w:val="0"/>
                <w:color w:val="000000"/>
                <w:sz w:val="24"/>
                <w:szCs w:val="24"/>
                <w:u w:val="none"/>
              </w:rPr>
            </w:pPr>
          </w:p>
        </w:tc>
      </w:tr>
      <w:tr w14:paraId="6D9D5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39749228">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864596D">
            <w:pPr>
              <w:jc w:val="center"/>
              <w:rPr>
                <w:rFonts w:hint="eastAsia" w:ascii="宋体" w:hAnsi="宋体" w:eastAsia="宋体" w:cs="宋体"/>
                <w:i w:val="0"/>
                <w:iCs w:val="0"/>
                <w:color w:val="000000"/>
                <w:sz w:val="24"/>
                <w:szCs w:val="24"/>
                <w:u w:val="none"/>
              </w:rPr>
            </w:pPr>
          </w:p>
        </w:tc>
        <w:tc>
          <w:tcPr>
            <w:tcW w:w="6285" w:type="dxa"/>
            <w:tcBorders>
              <w:top w:val="nil"/>
              <w:left w:val="nil"/>
              <w:bottom w:val="single" w:color="000000" w:sz="8" w:space="0"/>
              <w:right w:val="single" w:color="000000" w:sz="8" w:space="0"/>
            </w:tcBorders>
            <w:shd w:val="clear" w:color="auto" w:fill="auto"/>
            <w:vAlign w:val="center"/>
          </w:tcPr>
          <w:p w14:paraId="511E34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（4）组织架构方案未提供不得分。</w:t>
            </w:r>
          </w:p>
        </w:tc>
        <w:tc>
          <w:tcPr>
            <w:tcW w:w="1080" w:type="dxa"/>
            <w:vMerge w:val="continue"/>
            <w:tcBorders>
              <w:top w:val="nil"/>
              <w:left w:val="nil"/>
              <w:bottom w:val="single" w:color="000000" w:sz="8" w:space="0"/>
              <w:right w:val="single" w:color="000000" w:sz="8" w:space="0"/>
            </w:tcBorders>
            <w:shd w:val="clear" w:color="auto" w:fill="auto"/>
            <w:vAlign w:val="center"/>
          </w:tcPr>
          <w:p w14:paraId="067B221E">
            <w:pPr>
              <w:jc w:val="center"/>
              <w:rPr>
                <w:rFonts w:hint="eastAsia" w:ascii="宋体" w:hAnsi="宋体" w:eastAsia="宋体" w:cs="宋体"/>
                <w:b/>
                <w:bCs/>
                <w:i w:val="0"/>
                <w:iCs w:val="0"/>
                <w:color w:val="000000"/>
                <w:sz w:val="24"/>
                <w:szCs w:val="24"/>
                <w:u w:val="none"/>
              </w:rPr>
            </w:pPr>
          </w:p>
        </w:tc>
      </w:tr>
      <w:tr w14:paraId="08339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1511EEF7">
            <w:pPr>
              <w:rPr>
                <w:rFonts w:hint="eastAsia" w:ascii="宋体" w:hAnsi="宋体" w:eastAsia="宋体" w:cs="宋体"/>
                <w:i w:val="0"/>
                <w:iCs w:val="0"/>
                <w:color w:val="000000"/>
                <w:sz w:val="22"/>
                <w:szCs w:val="22"/>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14:paraId="60011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档案管理控制措施</w:t>
            </w:r>
          </w:p>
        </w:tc>
        <w:tc>
          <w:tcPr>
            <w:tcW w:w="6285" w:type="dxa"/>
            <w:tcBorders>
              <w:top w:val="nil"/>
              <w:left w:val="nil"/>
              <w:bottom w:val="nil"/>
              <w:right w:val="single" w:color="000000" w:sz="8" w:space="0"/>
            </w:tcBorders>
            <w:shd w:val="clear" w:color="auto" w:fill="auto"/>
            <w:vAlign w:val="center"/>
          </w:tcPr>
          <w:p w14:paraId="4F43D5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根据招标文件要求及供应商针对项目提供的档案管理控制措施，</w:t>
            </w:r>
          </w:p>
        </w:tc>
        <w:tc>
          <w:tcPr>
            <w:tcW w:w="1080" w:type="dxa"/>
            <w:vMerge w:val="restart"/>
            <w:tcBorders>
              <w:top w:val="nil"/>
              <w:left w:val="nil"/>
              <w:bottom w:val="single" w:color="000000" w:sz="8" w:space="0"/>
              <w:right w:val="single" w:color="000000" w:sz="8" w:space="0"/>
            </w:tcBorders>
            <w:shd w:val="clear" w:color="auto" w:fill="auto"/>
            <w:vAlign w:val="center"/>
          </w:tcPr>
          <w:p w14:paraId="361662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r>
      <w:tr w14:paraId="6D57B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2B9DB2CB">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5B5AD0F">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6799C7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进行综合评分：</w:t>
            </w:r>
          </w:p>
        </w:tc>
        <w:tc>
          <w:tcPr>
            <w:tcW w:w="1080" w:type="dxa"/>
            <w:vMerge w:val="continue"/>
            <w:tcBorders>
              <w:top w:val="nil"/>
              <w:left w:val="nil"/>
              <w:bottom w:val="single" w:color="000000" w:sz="8" w:space="0"/>
              <w:right w:val="single" w:color="000000" w:sz="8" w:space="0"/>
            </w:tcBorders>
            <w:shd w:val="clear" w:color="auto" w:fill="auto"/>
            <w:vAlign w:val="center"/>
          </w:tcPr>
          <w:p w14:paraId="405A10A6">
            <w:pPr>
              <w:jc w:val="center"/>
              <w:rPr>
                <w:rFonts w:hint="eastAsia" w:ascii="宋体" w:hAnsi="宋体" w:eastAsia="宋体" w:cs="宋体"/>
                <w:b/>
                <w:bCs/>
                <w:i w:val="0"/>
                <w:iCs w:val="0"/>
                <w:color w:val="000000"/>
                <w:sz w:val="24"/>
                <w:szCs w:val="24"/>
                <w:u w:val="none"/>
              </w:rPr>
            </w:pPr>
          </w:p>
        </w:tc>
      </w:tr>
      <w:tr w14:paraId="77C7F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nil"/>
              <w:left w:val="single" w:color="000000" w:sz="8" w:space="0"/>
              <w:bottom w:val="nil"/>
              <w:right w:val="single" w:color="000000" w:sz="8" w:space="0"/>
            </w:tcBorders>
            <w:shd w:val="clear" w:color="auto" w:fill="auto"/>
            <w:noWrap/>
            <w:vAlign w:val="center"/>
          </w:tcPr>
          <w:p w14:paraId="3FD9B124">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89787D3">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2D0E0E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（1）对本项目特点和难点理解准确，档案管理控制措施优于本项目采购需求，完整详细，可行性、实用性、针对性强，得 3 分；</w:t>
            </w:r>
          </w:p>
        </w:tc>
        <w:tc>
          <w:tcPr>
            <w:tcW w:w="1080" w:type="dxa"/>
            <w:vMerge w:val="continue"/>
            <w:tcBorders>
              <w:top w:val="nil"/>
              <w:left w:val="nil"/>
              <w:bottom w:val="single" w:color="000000" w:sz="8" w:space="0"/>
              <w:right w:val="single" w:color="000000" w:sz="8" w:space="0"/>
            </w:tcBorders>
            <w:shd w:val="clear" w:color="auto" w:fill="auto"/>
            <w:vAlign w:val="center"/>
          </w:tcPr>
          <w:p w14:paraId="7DDD90A9">
            <w:pPr>
              <w:jc w:val="center"/>
              <w:rPr>
                <w:rFonts w:hint="eastAsia" w:ascii="宋体" w:hAnsi="宋体" w:eastAsia="宋体" w:cs="宋体"/>
                <w:b/>
                <w:bCs/>
                <w:i w:val="0"/>
                <w:iCs w:val="0"/>
                <w:color w:val="000000"/>
                <w:sz w:val="24"/>
                <w:szCs w:val="24"/>
                <w:u w:val="none"/>
              </w:rPr>
            </w:pPr>
          </w:p>
        </w:tc>
      </w:tr>
      <w:tr w14:paraId="0675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nil"/>
              <w:left w:val="single" w:color="000000" w:sz="8" w:space="0"/>
              <w:bottom w:val="nil"/>
              <w:right w:val="single" w:color="000000" w:sz="8" w:space="0"/>
            </w:tcBorders>
            <w:shd w:val="clear" w:color="auto" w:fill="auto"/>
            <w:noWrap/>
            <w:vAlign w:val="center"/>
          </w:tcPr>
          <w:p w14:paraId="435E3698">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0332B1C">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0525BA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（2）对本项目特点和难点理解基本准确，档案管理控制措施适合本项目采购需求，完整详细，具有可行性、实用性和针对性，得2 分；</w:t>
            </w:r>
          </w:p>
        </w:tc>
        <w:tc>
          <w:tcPr>
            <w:tcW w:w="1080" w:type="dxa"/>
            <w:vMerge w:val="continue"/>
            <w:tcBorders>
              <w:top w:val="nil"/>
              <w:left w:val="nil"/>
              <w:bottom w:val="single" w:color="000000" w:sz="8" w:space="0"/>
              <w:right w:val="single" w:color="000000" w:sz="8" w:space="0"/>
            </w:tcBorders>
            <w:shd w:val="clear" w:color="auto" w:fill="auto"/>
            <w:vAlign w:val="center"/>
          </w:tcPr>
          <w:p w14:paraId="23F086C2">
            <w:pPr>
              <w:jc w:val="center"/>
              <w:rPr>
                <w:rFonts w:hint="eastAsia" w:ascii="宋体" w:hAnsi="宋体" w:eastAsia="宋体" w:cs="宋体"/>
                <w:b/>
                <w:bCs/>
                <w:i w:val="0"/>
                <w:iCs w:val="0"/>
                <w:color w:val="000000"/>
                <w:sz w:val="24"/>
                <w:szCs w:val="24"/>
                <w:u w:val="none"/>
              </w:rPr>
            </w:pPr>
          </w:p>
        </w:tc>
      </w:tr>
      <w:tr w14:paraId="16206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tcBorders>
              <w:top w:val="nil"/>
              <w:left w:val="single" w:color="000000" w:sz="8" w:space="0"/>
              <w:bottom w:val="nil"/>
              <w:right w:val="single" w:color="000000" w:sz="8" w:space="0"/>
            </w:tcBorders>
            <w:shd w:val="clear" w:color="auto" w:fill="auto"/>
            <w:noWrap/>
            <w:vAlign w:val="center"/>
          </w:tcPr>
          <w:p w14:paraId="036079C2">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2D9A3D8">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790EA9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（3）对本项目特点和难点理解有待提升，档案管理控制措施基本适合本项目采购需求，可行性、实用性、针对性有待改善，得 1 分；</w:t>
            </w:r>
          </w:p>
        </w:tc>
        <w:tc>
          <w:tcPr>
            <w:tcW w:w="1080" w:type="dxa"/>
            <w:vMerge w:val="continue"/>
            <w:tcBorders>
              <w:top w:val="nil"/>
              <w:left w:val="nil"/>
              <w:bottom w:val="single" w:color="000000" w:sz="8" w:space="0"/>
              <w:right w:val="single" w:color="000000" w:sz="8" w:space="0"/>
            </w:tcBorders>
            <w:shd w:val="clear" w:color="auto" w:fill="auto"/>
            <w:vAlign w:val="center"/>
          </w:tcPr>
          <w:p w14:paraId="535F7AD4">
            <w:pPr>
              <w:jc w:val="center"/>
              <w:rPr>
                <w:rFonts w:hint="eastAsia" w:ascii="宋体" w:hAnsi="宋体" w:eastAsia="宋体" w:cs="宋体"/>
                <w:b/>
                <w:bCs/>
                <w:i w:val="0"/>
                <w:iCs w:val="0"/>
                <w:color w:val="000000"/>
                <w:sz w:val="24"/>
                <w:szCs w:val="24"/>
                <w:u w:val="none"/>
              </w:rPr>
            </w:pPr>
          </w:p>
        </w:tc>
      </w:tr>
      <w:tr w14:paraId="187EE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013D2688">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95CDC03">
            <w:pPr>
              <w:jc w:val="center"/>
              <w:rPr>
                <w:rFonts w:hint="eastAsia" w:ascii="宋体" w:hAnsi="宋体" w:eastAsia="宋体" w:cs="宋体"/>
                <w:i w:val="0"/>
                <w:iCs w:val="0"/>
                <w:color w:val="000000"/>
                <w:sz w:val="24"/>
                <w:szCs w:val="24"/>
                <w:u w:val="none"/>
              </w:rPr>
            </w:pPr>
          </w:p>
        </w:tc>
        <w:tc>
          <w:tcPr>
            <w:tcW w:w="6285" w:type="dxa"/>
            <w:tcBorders>
              <w:top w:val="nil"/>
              <w:left w:val="nil"/>
              <w:bottom w:val="single" w:color="000000" w:sz="8" w:space="0"/>
              <w:right w:val="single" w:color="000000" w:sz="8" w:space="0"/>
            </w:tcBorders>
            <w:shd w:val="clear" w:color="auto" w:fill="auto"/>
            <w:vAlign w:val="center"/>
          </w:tcPr>
          <w:p w14:paraId="5D1534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（4）方案不可行或者未提供得0分。</w:t>
            </w:r>
          </w:p>
        </w:tc>
        <w:tc>
          <w:tcPr>
            <w:tcW w:w="1080" w:type="dxa"/>
            <w:vMerge w:val="continue"/>
            <w:tcBorders>
              <w:top w:val="nil"/>
              <w:left w:val="nil"/>
              <w:bottom w:val="single" w:color="000000" w:sz="8" w:space="0"/>
              <w:right w:val="single" w:color="000000" w:sz="8" w:space="0"/>
            </w:tcBorders>
            <w:shd w:val="clear" w:color="auto" w:fill="auto"/>
            <w:vAlign w:val="center"/>
          </w:tcPr>
          <w:p w14:paraId="41E2D124">
            <w:pPr>
              <w:jc w:val="center"/>
              <w:rPr>
                <w:rFonts w:hint="eastAsia" w:ascii="宋体" w:hAnsi="宋体" w:eastAsia="宋体" w:cs="宋体"/>
                <w:b/>
                <w:bCs/>
                <w:i w:val="0"/>
                <w:iCs w:val="0"/>
                <w:color w:val="000000"/>
                <w:sz w:val="24"/>
                <w:szCs w:val="24"/>
                <w:u w:val="none"/>
              </w:rPr>
            </w:pPr>
          </w:p>
        </w:tc>
      </w:tr>
      <w:tr w14:paraId="2D39D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3498F7FE">
            <w:pPr>
              <w:rPr>
                <w:rFonts w:hint="eastAsia" w:ascii="宋体" w:hAnsi="宋体" w:eastAsia="宋体" w:cs="宋体"/>
                <w:i w:val="0"/>
                <w:iCs w:val="0"/>
                <w:color w:val="000000"/>
                <w:sz w:val="22"/>
                <w:szCs w:val="22"/>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14:paraId="7F24DDE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项目需求分析</w:t>
            </w:r>
          </w:p>
        </w:tc>
        <w:tc>
          <w:tcPr>
            <w:tcW w:w="6285" w:type="dxa"/>
            <w:tcBorders>
              <w:top w:val="nil"/>
              <w:left w:val="nil"/>
              <w:bottom w:val="nil"/>
              <w:right w:val="single" w:color="000000" w:sz="8" w:space="0"/>
            </w:tcBorders>
            <w:shd w:val="clear" w:color="auto" w:fill="auto"/>
            <w:vAlign w:val="center"/>
          </w:tcPr>
          <w:p w14:paraId="25C792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根据招标文件要求及供应商针对项目提供的项目需求分析，进行综合评分：</w:t>
            </w:r>
          </w:p>
        </w:tc>
        <w:tc>
          <w:tcPr>
            <w:tcW w:w="1080" w:type="dxa"/>
            <w:vMerge w:val="restart"/>
            <w:tcBorders>
              <w:top w:val="nil"/>
              <w:left w:val="nil"/>
              <w:bottom w:val="single" w:color="000000" w:sz="8" w:space="0"/>
              <w:right w:val="single" w:color="000000" w:sz="8" w:space="0"/>
            </w:tcBorders>
            <w:shd w:val="clear" w:color="auto" w:fill="auto"/>
            <w:vAlign w:val="center"/>
          </w:tcPr>
          <w:p w14:paraId="202C27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r>
      <w:tr w14:paraId="6247D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22E1E703">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1A92D812">
            <w:pPr>
              <w:jc w:val="both"/>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5BE25F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（1）对本项目采购需求理解准确，内容分析完整详细，可行性、实用性、针对性强，得 3 分；</w:t>
            </w:r>
          </w:p>
        </w:tc>
        <w:tc>
          <w:tcPr>
            <w:tcW w:w="1080" w:type="dxa"/>
            <w:vMerge w:val="continue"/>
            <w:tcBorders>
              <w:top w:val="nil"/>
              <w:left w:val="nil"/>
              <w:bottom w:val="single" w:color="000000" w:sz="8" w:space="0"/>
              <w:right w:val="single" w:color="000000" w:sz="8" w:space="0"/>
            </w:tcBorders>
            <w:shd w:val="clear" w:color="auto" w:fill="auto"/>
            <w:vAlign w:val="center"/>
          </w:tcPr>
          <w:p w14:paraId="64AC7F6B">
            <w:pPr>
              <w:jc w:val="center"/>
              <w:rPr>
                <w:rFonts w:hint="eastAsia" w:ascii="宋体" w:hAnsi="宋体" w:eastAsia="宋体" w:cs="宋体"/>
                <w:b/>
                <w:bCs/>
                <w:i w:val="0"/>
                <w:iCs w:val="0"/>
                <w:color w:val="000000"/>
                <w:sz w:val="24"/>
                <w:szCs w:val="24"/>
                <w:u w:val="none"/>
              </w:rPr>
            </w:pPr>
          </w:p>
        </w:tc>
      </w:tr>
      <w:tr w14:paraId="0E650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0B8FC80C">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57E5C07">
            <w:pPr>
              <w:jc w:val="both"/>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074F73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（2）对本项目采购需求理解基本准确，内容分析详细，具有可行性、实用性、针对性，得 2 分；</w:t>
            </w:r>
          </w:p>
        </w:tc>
        <w:tc>
          <w:tcPr>
            <w:tcW w:w="1080" w:type="dxa"/>
            <w:vMerge w:val="continue"/>
            <w:tcBorders>
              <w:top w:val="nil"/>
              <w:left w:val="nil"/>
              <w:bottom w:val="single" w:color="000000" w:sz="8" w:space="0"/>
              <w:right w:val="single" w:color="000000" w:sz="8" w:space="0"/>
            </w:tcBorders>
            <w:shd w:val="clear" w:color="auto" w:fill="auto"/>
            <w:vAlign w:val="center"/>
          </w:tcPr>
          <w:p w14:paraId="0CC33B10">
            <w:pPr>
              <w:jc w:val="center"/>
              <w:rPr>
                <w:rFonts w:hint="eastAsia" w:ascii="宋体" w:hAnsi="宋体" w:eastAsia="宋体" w:cs="宋体"/>
                <w:b/>
                <w:bCs/>
                <w:i w:val="0"/>
                <w:iCs w:val="0"/>
                <w:color w:val="000000"/>
                <w:sz w:val="24"/>
                <w:szCs w:val="24"/>
                <w:u w:val="none"/>
              </w:rPr>
            </w:pPr>
          </w:p>
        </w:tc>
      </w:tr>
      <w:tr w14:paraId="1655C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3662EB2F">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07C26FB">
            <w:pPr>
              <w:jc w:val="both"/>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16E6DE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（3）对本项目采购需求理解准确有待提升，内容分析不够完善，可行性、实用性、针对性有待改善，得 1 分；</w:t>
            </w:r>
          </w:p>
        </w:tc>
        <w:tc>
          <w:tcPr>
            <w:tcW w:w="1080" w:type="dxa"/>
            <w:vMerge w:val="continue"/>
            <w:tcBorders>
              <w:top w:val="nil"/>
              <w:left w:val="nil"/>
              <w:bottom w:val="single" w:color="000000" w:sz="8" w:space="0"/>
              <w:right w:val="single" w:color="000000" w:sz="8" w:space="0"/>
            </w:tcBorders>
            <w:shd w:val="clear" w:color="auto" w:fill="auto"/>
            <w:vAlign w:val="center"/>
          </w:tcPr>
          <w:p w14:paraId="4E9B3FDB">
            <w:pPr>
              <w:jc w:val="center"/>
              <w:rPr>
                <w:rFonts w:hint="eastAsia" w:ascii="宋体" w:hAnsi="宋体" w:eastAsia="宋体" w:cs="宋体"/>
                <w:b/>
                <w:bCs/>
                <w:i w:val="0"/>
                <w:iCs w:val="0"/>
                <w:color w:val="000000"/>
                <w:sz w:val="24"/>
                <w:szCs w:val="24"/>
                <w:u w:val="none"/>
              </w:rPr>
            </w:pPr>
          </w:p>
        </w:tc>
      </w:tr>
      <w:tr w14:paraId="3F88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48D1C3D1">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AAF715B">
            <w:pPr>
              <w:jc w:val="both"/>
              <w:rPr>
                <w:rFonts w:hint="eastAsia" w:ascii="宋体" w:hAnsi="宋体" w:eastAsia="宋体" w:cs="宋体"/>
                <w:i w:val="0"/>
                <w:iCs w:val="0"/>
                <w:color w:val="000000"/>
                <w:sz w:val="24"/>
                <w:szCs w:val="24"/>
                <w:u w:val="none"/>
              </w:rPr>
            </w:pPr>
          </w:p>
        </w:tc>
        <w:tc>
          <w:tcPr>
            <w:tcW w:w="6285" w:type="dxa"/>
            <w:tcBorders>
              <w:top w:val="nil"/>
              <w:left w:val="nil"/>
              <w:bottom w:val="single" w:color="000000" w:sz="8" w:space="0"/>
              <w:right w:val="single" w:color="000000" w:sz="8" w:space="0"/>
            </w:tcBorders>
            <w:shd w:val="clear" w:color="auto" w:fill="auto"/>
            <w:vAlign w:val="center"/>
          </w:tcPr>
          <w:p w14:paraId="29A9DB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（4）方案不可行或者未提供得0分。</w:t>
            </w:r>
          </w:p>
        </w:tc>
        <w:tc>
          <w:tcPr>
            <w:tcW w:w="1080" w:type="dxa"/>
            <w:vMerge w:val="continue"/>
            <w:tcBorders>
              <w:top w:val="nil"/>
              <w:left w:val="nil"/>
              <w:bottom w:val="single" w:color="000000" w:sz="8" w:space="0"/>
              <w:right w:val="single" w:color="000000" w:sz="8" w:space="0"/>
            </w:tcBorders>
            <w:shd w:val="clear" w:color="auto" w:fill="auto"/>
            <w:vAlign w:val="center"/>
          </w:tcPr>
          <w:p w14:paraId="72D2AF50">
            <w:pPr>
              <w:jc w:val="center"/>
              <w:rPr>
                <w:rFonts w:hint="eastAsia" w:ascii="宋体" w:hAnsi="宋体" w:eastAsia="宋体" w:cs="宋体"/>
                <w:b/>
                <w:bCs/>
                <w:i w:val="0"/>
                <w:iCs w:val="0"/>
                <w:color w:val="000000"/>
                <w:sz w:val="24"/>
                <w:szCs w:val="24"/>
                <w:u w:val="none"/>
              </w:rPr>
            </w:pPr>
          </w:p>
        </w:tc>
      </w:tr>
      <w:tr w14:paraId="2E3B3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7B325F0F">
            <w:pPr>
              <w:rPr>
                <w:rFonts w:hint="eastAsia" w:ascii="宋体" w:hAnsi="宋体" w:eastAsia="宋体" w:cs="宋体"/>
                <w:i w:val="0"/>
                <w:iCs w:val="0"/>
                <w:color w:val="000000"/>
                <w:sz w:val="22"/>
                <w:szCs w:val="22"/>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14:paraId="497FCEB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技术支持方案</w:t>
            </w:r>
          </w:p>
        </w:tc>
        <w:tc>
          <w:tcPr>
            <w:tcW w:w="6285" w:type="dxa"/>
            <w:tcBorders>
              <w:top w:val="nil"/>
              <w:left w:val="nil"/>
              <w:bottom w:val="nil"/>
              <w:right w:val="single" w:color="000000" w:sz="8" w:space="0"/>
            </w:tcBorders>
            <w:shd w:val="clear" w:color="auto" w:fill="auto"/>
            <w:vAlign w:val="center"/>
          </w:tcPr>
          <w:p w14:paraId="4153CE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根据采购文件要求及供应商提供的技术支持方案，进行综合评分：</w:t>
            </w:r>
          </w:p>
        </w:tc>
        <w:tc>
          <w:tcPr>
            <w:tcW w:w="1080" w:type="dxa"/>
            <w:vMerge w:val="restart"/>
            <w:tcBorders>
              <w:top w:val="nil"/>
              <w:left w:val="nil"/>
              <w:bottom w:val="single" w:color="000000" w:sz="8" w:space="0"/>
              <w:right w:val="single" w:color="000000" w:sz="8" w:space="0"/>
            </w:tcBorders>
            <w:shd w:val="clear" w:color="auto" w:fill="auto"/>
            <w:vAlign w:val="center"/>
          </w:tcPr>
          <w:p w14:paraId="7E2745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r>
      <w:tr w14:paraId="2636E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3344CC74">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4199B2C">
            <w:pPr>
              <w:jc w:val="both"/>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7F5319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1.应结合实际情况合理编制本项目的人员配备及组织方案，人员配备及组织方案组成部分：</w:t>
            </w:r>
          </w:p>
        </w:tc>
        <w:tc>
          <w:tcPr>
            <w:tcW w:w="1080" w:type="dxa"/>
            <w:vMerge w:val="continue"/>
            <w:tcBorders>
              <w:top w:val="nil"/>
              <w:left w:val="nil"/>
              <w:bottom w:val="single" w:color="000000" w:sz="8" w:space="0"/>
              <w:right w:val="single" w:color="000000" w:sz="8" w:space="0"/>
            </w:tcBorders>
            <w:shd w:val="clear" w:color="auto" w:fill="auto"/>
            <w:vAlign w:val="center"/>
          </w:tcPr>
          <w:p w14:paraId="23040823">
            <w:pPr>
              <w:jc w:val="center"/>
              <w:rPr>
                <w:rFonts w:hint="eastAsia" w:ascii="宋体" w:hAnsi="宋体" w:eastAsia="宋体" w:cs="宋体"/>
                <w:b/>
                <w:bCs/>
                <w:i w:val="0"/>
                <w:iCs w:val="0"/>
                <w:color w:val="000000"/>
                <w:sz w:val="24"/>
                <w:szCs w:val="24"/>
                <w:u w:val="none"/>
              </w:rPr>
            </w:pPr>
          </w:p>
        </w:tc>
      </w:tr>
      <w:tr w14:paraId="292F7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1CFB6123">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4B1B4E6">
            <w:pPr>
              <w:jc w:val="both"/>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78CE0C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（1）服务方须具备提供具有高级产后康复师证的产后康复服务人员资质；</w:t>
            </w:r>
          </w:p>
        </w:tc>
        <w:tc>
          <w:tcPr>
            <w:tcW w:w="1080" w:type="dxa"/>
            <w:vMerge w:val="continue"/>
            <w:tcBorders>
              <w:top w:val="nil"/>
              <w:left w:val="nil"/>
              <w:bottom w:val="single" w:color="000000" w:sz="8" w:space="0"/>
              <w:right w:val="single" w:color="000000" w:sz="8" w:space="0"/>
            </w:tcBorders>
            <w:shd w:val="clear" w:color="auto" w:fill="auto"/>
            <w:vAlign w:val="center"/>
          </w:tcPr>
          <w:p w14:paraId="51F18ED6">
            <w:pPr>
              <w:jc w:val="center"/>
              <w:rPr>
                <w:rFonts w:hint="eastAsia" w:ascii="宋体" w:hAnsi="宋体" w:eastAsia="宋体" w:cs="宋体"/>
                <w:b/>
                <w:bCs/>
                <w:i w:val="0"/>
                <w:iCs w:val="0"/>
                <w:color w:val="000000"/>
                <w:sz w:val="24"/>
                <w:szCs w:val="24"/>
                <w:u w:val="none"/>
              </w:rPr>
            </w:pPr>
          </w:p>
        </w:tc>
      </w:tr>
      <w:tr w14:paraId="7D492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42186BC2">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3B569C5">
            <w:pPr>
              <w:jc w:val="both"/>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2D7FFD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（2）提供全套康复手法操作培训，提供全套康复服务流程培训；</w:t>
            </w:r>
          </w:p>
        </w:tc>
        <w:tc>
          <w:tcPr>
            <w:tcW w:w="1080" w:type="dxa"/>
            <w:vMerge w:val="continue"/>
            <w:tcBorders>
              <w:top w:val="nil"/>
              <w:left w:val="nil"/>
              <w:bottom w:val="single" w:color="000000" w:sz="8" w:space="0"/>
              <w:right w:val="single" w:color="000000" w:sz="8" w:space="0"/>
            </w:tcBorders>
            <w:shd w:val="clear" w:color="auto" w:fill="auto"/>
            <w:vAlign w:val="center"/>
          </w:tcPr>
          <w:p w14:paraId="5F2B6E89">
            <w:pPr>
              <w:jc w:val="center"/>
              <w:rPr>
                <w:rFonts w:hint="eastAsia" w:ascii="宋体" w:hAnsi="宋体" w:eastAsia="宋体" w:cs="宋体"/>
                <w:b/>
                <w:bCs/>
                <w:i w:val="0"/>
                <w:iCs w:val="0"/>
                <w:color w:val="000000"/>
                <w:sz w:val="24"/>
                <w:szCs w:val="24"/>
                <w:u w:val="none"/>
              </w:rPr>
            </w:pPr>
          </w:p>
        </w:tc>
      </w:tr>
      <w:tr w14:paraId="75460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7828CEC2">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0A98EEB">
            <w:pPr>
              <w:jc w:val="both"/>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64323C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（3）提供产妇和新生儿档案册管理建档；</w:t>
            </w:r>
          </w:p>
        </w:tc>
        <w:tc>
          <w:tcPr>
            <w:tcW w:w="1080" w:type="dxa"/>
            <w:vMerge w:val="continue"/>
            <w:tcBorders>
              <w:top w:val="nil"/>
              <w:left w:val="nil"/>
              <w:bottom w:val="single" w:color="000000" w:sz="8" w:space="0"/>
              <w:right w:val="single" w:color="000000" w:sz="8" w:space="0"/>
            </w:tcBorders>
            <w:shd w:val="clear" w:color="auto" w:fill="auto"/>
            <w:vAlign w:val="center"/>
          </w:tcPr>
          <w:p w14:paraId="0518E11E">
            <w:pPr>
              <w:jc w:val="center"/>
              <w:rPr>
                <w:rFonts w:hint="eastAsia" w:ascii="宋体" w:hAnsi="宋体" w:eastAsia="宋体" w:cs="宋体"/>
                <w:b/>
                <w:bCs/>
                <w:i w:val="0"/>
                <w:iCs w:val="0"/>
                <w:color w:val="000000"/>
                <w:sz w:val="24"/>
                <w:szCs w:val="24"/>
                <w:u w:val="none"/>
              </w:rPr>
            </w:pPr>
          </w:p>
        </w:tc>
      </w:tr>
      <w:tr w14:paraId="245E0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167B01B6">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12C447B">
            <w:pPr>
              <w:jc w:val="both"/>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3EA17C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（4）提供四个阶段科学营养月子餐食谱；</w:t>
            </w:r>
          </w:p>
        </w:tc>
        <w:tc>
          <w:tcPr>
            <w:tcW w:w="1080" w:type="dxa"/>
            <w:vMerge w:val="continue"/>
            <w:tcBorders>
              <w:top w:val="nil"/>
              <w:left w:val="nil"/>
              <w:bottom w:val="single" w:color="000000" w:sz="8" w:space="0"/>
              <w:right w:val="single" w:color="000000" w:sz="8" w:space="0"/>
            </w:tcBorders>
            <w:shd w:val="clear" w:color="auto" w:fill="auto"/>
            <w:vAlign w:val="center"/>
          </w:tcPr>
          <w:p w14:paraId="7BBD897C">
            <w:pPr>
              <w:jc w:val="center"/>
              <w:rPr>
                <w:rFonts w:hint="eastAsia" w:ascii="宋体" w:hAnsi="宋体" w:eastAsia="宋体" w:cs="宋体"/>
                <w:b/>
                <w:bCs/>
                <w:i w:val="0"/>
                <w:iCs w:val="0"/>
                <w:color w:val="000000"/>
                <w:sz w:val="24"/>
                <w:szCs w:val="24"/>
                <w:u w:val="none"/>
              </w:rPr>
            </w:pPr>
          </w:p>
        </w:tc>
      </w:tr>
      <w:tr w14:paraId="0AF78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5E092FC9">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F595305">
            <w:pPr>
              <w:jc w:val="both"/>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2882B2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（5）提供母婴护理师（月嫂）精细化管理方案；</w:t>
            </w:r>
          </w:p>
        </w:tc>
        <w:tc>
          <w:tcPr>
            <w:tcW w:w="1080" w:type="dxa"/>
            <w:vMerge w:val="continue"/>
            <w:tcBorders>
              <w:top w:val="nil"/>
              <w:left w:val="nil"/>
              <w:bottom w:val="single" w:color="000000" w:sz="8" w:space="0"/>
              <w:right w:val="single" w:color="000000" w:sz="8" w:space="0"/>
            </w:tcBorders>
            <w:shd w:val="clear" w:color="auto" w:fill="auto"/>
            <w:vAlign w:val="center"/>
          </w:tcPr>
          <w:p w14:paraId="66B9A0DB">
            <w:pPr>
              <w:jc w:val="center"/>
              <w:rPr>
                <w:rFonts w:hint="eastAsia" w:ascii="宋体" w:hAnsi="宋体" w:eastAsia="宋体" w:cs="宋体"/>
                <w:b/>
                <w:bCs/>
                <w:i w:val="0"/>
                <w:iCs w:val="0"/>
                <w:color w:val="000000"/>
                <w:sz w:val="24"/>
                <w:szCs w:val="24"/>
                <w:u w:val="none"/>
              </w:rPr>
            </w:pPr>
          </w:p>
        </w:tc>
      </w:tr>
      <w:tr w14:paraId="0A39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44E18AAA">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A7325B7">
            <w:pPr>
              <w:jc w:val="both"/>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7A56FC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2.每个部分评分标准：</w:t>
            </w:r>
          </w:p>
        </w:tc>
        <w:tc>
          <w:tcPr>
            <w:tcW w:w="1080" w:type="dxa"/>
            <w:vMerge w:val="continue"/>
            <w:tcBorders>
              <w:top w:val="nil"/>
              <w:left w:val="nil"/>
              <w:bottom w:val="single" w:color="000000" w:sz="8" w:space="0"/>
              <w:right w:val="single" w:color="000000" w:sz="8" w:space="0"/>
            </w:tcBorders>
            <w:shd w:val="clear" w:color="auto" w:fill="auto"/>
            <w:vAlign w:val="center"/>
          </w:tcPr>
          <w:p w14:paraId="7FF97FF8">
            <w:pPr>
              <w:jc w:val="center"/>
              <w:rPr>
                <w:rFonts w:hint="eastAsia" w:ascii="宋体" w:hAnsi="宋体" w:eastAsia="宋体" w:cs="宋体"/>
                <w:b/>
                <w:bCs/>
                <w:i w:val="0"/>
                <w:iCs w:val="0"/>
                <w:color w:val="000000"/>
                <w:sz w:val="24"/>
                <w:szCs w:val="24"/>
                <w:u w:val="none"/>
              </w:rPr>
            </w:pPr>
          </w:p>
        </w:tc>
      </w:tr>
      <w:tr w14:paraId="7DF58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422D7179">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428B6E5">
            <w:pPr>
              <w:jc w:val="both"/>
              <w:rPr>
                <w:rFonts w:hint="eastAsia" w:ascii="宋体" w:hAnsi="宋体" w:eastAsia="宋体" w:cs="宋体"/>
                <w:i w:val="0"/>
                <w:iCs w:val="0"/>
                <w:color w:val="000000"/>
                <w:sz w:val="24"/>
                <w:szCs w:val="24"/>
                <w:u w:val="none"/>
              </w:rPr>
            </w:pPr>
          </w:p>
        </w:tc>
        <w:tc>
          <w:tcPr>
            <w:tcW w:w="6285" w:type="dxa"/>
            <w:tcBorders>
              <w:top w:val="nil"/>
              <w:left w:val="nil"/>
              <w:bottom w:val="single" w:color="000000" w:sz="8" w:space="0"/>
              <w:right w:val="single" w:color="000000" w:sz="8" w:space="0"/>
            </w:tcBorders>
            <w:shd w:val="clear" w:color="auto" w:fill="auto"/>
            <w:vAlign w:val="center"/>
          </w:tcPr>
          <w:p w14:paraId="678BE3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内容完整，措施有效，满足采购文件要求的视为符合；每1项均符合的得1分，部分符合的得0.5分，不符合的不得分。</w:t>
            </w:r>
          </w:p>
        </w:tc>
        <w:tc>
          <w:tcPr>
            <w:tcW w:w="1080" w:type="dxa"/>
            <w:vMerge w:val="continue"/>
            <w:tcBorders>
              <w:top w:val="nil"/>
              <w:left w:val="nil"/>
              <w:bottom w:val="single" w:color="000000" w:sz="8" w:space="0"/>
              <w:right w:val="single" w:color="000000" w:sz="8" w:space="0"/>
            </w:tcBorders>
            <w:shd w:val="clear" w:color="auto" w:fill="auto"/>
            <w:vAlign w:val="center"/>
          </w:tcPr>
          <w:p w14:paraId="0DB1DB30">
            <w:pPr>
              <w:jc w:val="center"/>
              <w:rPr>
                <w:rFonts w:hint="eastAsia" w:ascii="宋体" w:hAnsi="宋体" w:eastAsia="宋体" w:cs="宋体"/>
                <w:b/>
                <w:bCs/>
                <w:i w:val="0"/>
                <w:iCs w:val="0"/>
                <w:color w:val="000000"/>
                <w:sz w:val="24"/>
                <w:szCs w:val="24"/>
                <w:u w:val="none"/>
              </w:rPr>
            </w:pPr>
          </w:p>
        </w:tc>
      </w:tr>
      <w:tr w14:paraId="12F0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6F2CBF51">
            <w:pPr>
              <w:rPr>
                <w:rFonts w:hint="eastAsia" w:ascii="宋体" w:hAnsi="宋体" w:eastAsia="宋体" w:cs="宋体"/>
                <w:i w:val="0"/>
                <w:iCs w:val="0"/>
                <w:color w:val="000000"/>
                <w:sz w:val="22"/>
                <w:szCs w:val="22"/>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14:paraId="0F8E8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宣传推广方案</w:t>
            </w:r>
          </w:p>
        </w:tc>
        <w:tc>
          <w:tcPr>
            <w:tcW w:w="6285" w:type="dxa"/>
            <w:tcBorders>
              <w:top w:val="nil"/>
              <w:left w:val="nil"/>
              <w:bottom w:val="nil"/>
              <w:right w:val="single" w:color="000000" w:sz="8" w:space="0"/>
            </w:tcBorders>
            <w:shd w:val="clear" w:color="auto" w:fill="auto"/>
            <w:vAlign w:val="center"/>
          </w:tcPr>
          <w:p w14:paraId="1738F7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1.由评委会根据宣传推广方案情况进行评分：</w:t>
            </w:r>
          </w:p>
        </w:tc>
        <w:tc>
          <w:tcPr>
            <w:tcW w:w="1080" w:type="dxa"/>
            <w:vMerge w:val="restart"/>
            <w:tcBorders>
              <w:top w:val="nil"/>
              <w:left w:val="nil"/>
              <w:bottom w:val="single" w:color="000000" w:sz="8" w:space="0"/>
              <w:right w:val="single" w:color="000000" w:sz="8" w:space="0"/>
            </w:tcBorders>
            <w:shd w:val="clear" w:color="auto" w:fill="auto"/>
            <w:vAlign w:val="center"/>
          </w:tcPr>
          <w:p w14:paraId="551BAA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r>
      <w:tr w14:paraId="198E2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4F1619F5">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AB71F79">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11C477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①宣传推广内容、②宣传推广形式、③宣传推广经验、④宣传效果、⑤宣传预测等；</w:t>
            </w:r>
          </w:p>
        </w:tc>
        <w:tc>
          <w:tcPr>
            <w:tcW w:w="1080" w:type="dxa"/>
            <w:vMerge w:val="continue"/>
            <w:tcBorders>
              <w:top w:val="nil"/>
              <w:left w:val="nil"/>
              <w:bottom w:val="single" w:color="000000" w:sz="8" w:space="0"/>
              <w:right w:val="single" w:color="000000" w:sz="8" w:space="0"/>
            </w:tcBorders>
            <w:shd w:val="clear" w:color="auto" w:fill="auto"/>
            <w:vAlign w:val="center"/>
          </w:tcPr>
          <w:p w14:paraId="606BF5E9">
            <w:pPr>
              <w:jc w:val="center"/>
              <w:rPr>
                <w:rFonts w:hint="eastAsia" w:ascii="宋体" w:hAnsi="宋体" w:eastAsia="宋体" w:cs="宋体"/>
                <w:b/>
                <w:bCs/>
                <w:i w:val="0"/>
                <w:iCs w:val="0"/>
                <w:color w:val="000000"/>
                <w:sz w:val="24"/>
                <w:szCs w:val="24"/>
                <w:u w:val="none"/>
              </w:rPr>
            </w:pPr>
          </w:p>
        </w:tc>
      </w:tr>
      <w:tr w14:paraId="38D8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0" w:type="auto"/>
            <w:tcBorders>
              <w:top w:val="nil"/>
              <w:left w:val="single" w:color="000000" w:sz="8" w:space="0"/>
              <w:bottom w:val="nil"/>
              <w:right w:val="single" w:color="000000" w:sz="8" w:space="0"/>
            </w:tcBorders>
            <w:shd w:val="clear" w:color="auto" w:fill="auto"/>
            <w:noWrap/>
            <w:vAlign w:val="center"/>
          </w:tcPr>
          <w:p w14:paraId="33806029">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FB394D9">
            <w:pPr>
              <w:jc w:val="center"/>
              <w:rPr>
                <w:rFonts w:hint="eastAsia" w:ascii="宋体" w:hAnsi="宋体" w:eastAsia="宋体" w:cs="宋体"/>
                <w:i w:val="0"/>
                <w:iCs w:val="0"/>
                <w:color w:val="000000"/>
                <w:sz w:val="24"/>
                <w:szCs w:val="24"/>
                <w:u w:val="none"/>
              </w:rPr>
            </w:pPr>
          </w:p>
        </w:tc>
        <w:tc>
          <w:tcPr>
            <w:tcW w:w="6285" w:type="dxa"/>
            <w:tcBorders>
              <w:top w:val="nil"/>
              <w:left w:val="nil"/>
              <w:bottom w:val="single" w:color="000000" w:sz="8" w:space="0"/>
              <w:right w:val="single" w:color="000000" w:sz="8" w:space="0"/>
            </w:tcBorders>
            <w:shd w:val="clear" w:color="auto" w:fill="auto"/>
            <w:vAlign w:val="center"/>
          </w:tcPr>
          <w:p w14:paraId="78911F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2.每个部分评分标准内容完整，思路清晰明确，方案有效，满足本项目采购文件要求的为符合。每1项均符合的得1分，部分符合的得0.5分，不符合或未提供的不得分。</w:t>
            </w:r>
          </w:p>
        </w:tc>
        <w:tc>
          <w:tcPr>
            <w:tcW w:w="1080" w:type="dxa"/>
            <w:vMerge w:val="continue"/>
            <w:tcBorders>
              <w:top w:val="nil"/>
              <w:left w:val="nil"/>
              <w:bottom w:val="single" w:color="000000" w:sz="8" w:space="0"/>
              <w:right w:val="single" w:color="000000" w:sz="8" w:space="0"/>
            </w:tcBorders>
            <w:shd w:val="clear" w:color="auto" w:fill="auto"/>
            <w:vAlign w:val="center"/>
          </w:tcPr>
          <w:p w14:paraId="2167BF66">
            <w:pPr>
              <w:jc w:val="center"/>
              <w:rPr>
                <w:rFonts w:hint="eastAsia" w:ascii="宋体" w:hAnsi="宋体" w:eastAsia="宋体" w:cs="宋体"/>
                <w:b/>
                <w:bCs/>
                <w:i w:val="0"/>
                <w:iCs w:val="0"/>
                <w:color w:val="000000"/>
                <w:sz w:val="24"/>
                <w:szCs w:val="24"/>
                <w:u w:val="none"/>
              </w:rPr>
            </w:pPr>
          </w:p>
        </w:tc>
      </w:tr>
      <w:tr w14:paraId="6D654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08D2D54A">
            <w:pPr>
              <w:rPr>
                <w:rFonts w:hint="eastAsia" w:ascii="宋体" w:hAnsi="宋体" w:eastAsia="宋体" w:cs="宋体"/>
                <w:i w:val="0"/>
                <w:iCs w:val="0"/>
                <w:color w:val="000000"/>
                <w:sz w:val="22"/>
                <w:szCs w:val="22"/>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14:paraId="298C8F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建议及整改措施</w:t>
            </w:r>
          </w:p>
        </w:tc>
        <w:tc>
          <w:tcPr>
            <w:tcW w:w="6285" w:type="dxa"/>
            <w:tcBorders>
              <w:top w:val="nil"/>
              <w:left w:val="nil"/>
              <w:bottom w:val="nil"/>
              <w:right w:val="single" w:color="000000" w:sz="8" w:space="0"/>
            </w:tcBorders>
            <w:shd w:val="clear" w:color="auto" w:fill="auto"/>
            <w:vAlign w:val="center"/>
          </w:tcPr>
          <w:p w14:paraId="243163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（1）建议及整改措施重点突出，针对性强，合理可行的得3分；</w:t>
            </w:r>
          </w:p>
        </w:tc>
        <w:tc>
          <w:tcPr>
            <w:tcW w:w="1080" w:type="dxa"/>
            <w:vMerge w:val="restart"/>
            <w:tcBorders>
              <w:top w:val="nil"/>
              <w:left w:val="nil"/>
              <w:bottom w:val="single" w:color="000000" w:sz="8" w:space="0"/>
              <w:right w:val="single" w:color="000000" w:sz="8" w:space="0"/>
            </w:tcBorders>
            <w:shd w:val="clear" w:color="auto" w:fill="auto"/>
            <w:vAlign w:val="center"/>
          </w:tcPr>
          <w:p w14:paraId="72969CE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r>
      <w:tr w14:paraId="68CDF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20CC384D">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26604AE">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062215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（2）建议及整改措施重点较突出，合理可行，但细节需完善的得2分；</w:t>
            </w:r>
          </w:p>
        </w:tc>
        <w:tc>
          <w:tcPr>
            <w:tcW w:w="1080" w:type="dxa"/>
            <w:vMerge w:val="continue"/>
            <w:tcBorders>
              <w:top w:val="nil"/>
              <w:left w:val="nil"/>
              <w:bottom w:val="single" w:color="000000" w:sz="8" w:space="0"/>
              <w:right w:val="single" w:color="000000" w:sz="8" w:space="0"/>
            </w:tcBorders>
            <w:shd w:val="clear" w:color="auto" w:fill="auto"/>
            <w:vAlign w:val="center"/>
          </w:tcPr>
          <w:p w14:paraId="2B3D7864">
            <w:pPr>
              <w:jc w:val="center"/>
              <w:rPr>
                <w:rFonts w:hint="eastAsia" w:ascii="宋体" w:hAnsi="宋体" w:eastAsia="宋体" w:cs="宋体"/>
                <w:b/>
                <w:bCs/>
                <w:i w:val="0"/>
                <w:iCs w:val="0"/>
                <w:color w:val="000000"/>
                <w:sz w:val="24"/>
                <w:szCs w:val="24"/>
                <w:u w:val="none"/>
              </w:rPr>
            </w:pPr>
          </w:p>
        </w:tc>
      </w:tr>
      <w:tr w14:paraId="13AD8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589658B9">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494C8BF">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23C664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（3）建议及整改措施有一定合理性，但重点不太突出的得1分；</w:t>
            </w:r>
          </w:p>
        </w:tc>
        <w:tc>
          <w:tcPr>
            <w:tcW w:w="1080" w:type="dxa"/>
            <w:vMerge w:val="continue"/>
            <w:tcBorders>
              <w:top w:val="nil"/>
              <w:left w:val="nil"/>
              <w:bottom w:val="single" w:color="000000" w:sz="8" w:space="0"/>
              <w:right w:val="single" w:color="000000" w:sz="8" w:space="0"/>
            </w:tcBorders>
            <w:shd w:val="clear" w:color="auto" w:fill="auto"/>
            <w:vAlign w:val="center"/>
          </w:tcPr>
          <w:p w14:paraId="62CBEC3C">
            <w:pPr>
              <w:jc w:val="center"/>
              <w:rPr>
                <w:rFonts w:hint="eastAsia" w:ascii="宋体" w:hAnsi="宋体" w:eastAsia="宋体" w:cs="宋体"/>
                <w:b/>
                <w:bCs/>
                <w:i w:val="0"/>
                <w:iCs w:val="0"/>
                <w:color w:val="000000"/>
                <w:sz w:val="24"/>
                <w:szCs w:val="24"/>
                <w:u w:val="none"/>
              </w:rPr>
            </w:pPr>
          </w:p>
        </w:tc>
      </w:tr>
      <w:tr w14:paraId="06BD2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11F084FA">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DC0DE14">
            <w:pPr>
              <w:jc w:val="center"/>
              <w:rPr>
                <w:rFonts w:hint="eastAsia" w:ascii="宋体" w:hAnsi="宋体" w:eastAsia="宋体" w:cs="宋体"/>
                <w:i w:val="0"/>
                <w:iCs w:val="0"/>
                <w:color w:val="000000"/>
                <w:sz w:val="24"/>
                <w:szCs w:val="24"/>
                <w:u w:val="none"/>
              </w:rPr>
            </w:pPr>
          </w:p>
        </w:tc>
        <w:tc>
          <w:tcPr>
            <w:tcW w:w="6285" w:type="dxa"/>
            <w:tcBorders>
              <w:top w:val="nil"/>
              <w:left w:val="nil"/>
              <w:bottom w:val="single" w:color="000000" w:sz="8" w:space="0"/>
              <w:right w:val="single" w:color="000000" w:sz="8" w:space="0"/>
            </w:tcBorders>
            <w:shd w:val="clear" w:color="auto" w:fill="auto"/>
            <w:vAlign w:val="center"/>
          </w:tcPr>
          <w:p w14:paraId="073EBA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（4）未提供建议及整改措施的得0分。</w:t>
            </w:r>
          </w:p>
        </w:tc>
        <w:tc>
          <w:tcPr>
            <w:tcW w:w="1080" w:type="dxa"/>
            <w:vMerge w:val="continue"/>
            <w:tcBorders>
              <w:top w:val="nil"/>
              <w:left w:val="nil"/>
              <w:bottom w:val="single" w:color="000000" w:sz="8" w:space="0"/>
              <w:right w:val="single" w:color="000000" w:sz="8" w:space="0"/>
            </w:tcBorders>
            <w:shd w:val="clear" w:color="auto" w:fill="auto"/>
            <w:vAlign w:val="center"/>
          </w:tcPr>
          <w:p w14:paraId="5B8B4143">
            <w:pPr>
              <w:jc w:val="center"/>
              <w:rPr>
                <w:rFonts w:hint="eastAsia" w:ascii="宋体" w:hAnsi="宋体" w:eastAsia="宋体" w:cs="宋体"/>
                <w:b/>
                <w:bCs/>
                <w:i w:val="0"/>
                <w:iCs w:val="0"/>
                <w:color w:val="000000"/>
                <w:sz w:val="24"/>
                <w:szCs w:val="24"/>
                <w:u w:val="none"/>
              </w:rPr>
            </w:pPr>
          </w:p>
        </w:tc>
      </w:tr>
      <w:tr w14:paraId="77594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4603AC8C">
            <w:pPr>
              <w:rPr>
                <w:rFonts w:hint="eastAsia" w:ascii="宋体" w:hAnsi="宋体" w:eastAsia="宋体" w:cs="宋体"/>
                <w:i w:val="0"/>
                <w:iCs w:val="0"/>
                <w:color w:val="000000"/>
                <w:sz w:val="22"/>
                <w:szCs w:val="22"/>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14:paraId="48405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服务质量保障措施</w:t>
            </w:r>
          </w:p>
        </w:tc>
        <w:tc>
          <w:tcPr>
            <w:tcW w:w="6285" w:type="dxa"/>
            <w:tcBorders>
              <w:top w:val="nil"/>
              <w:left w:val="nil"/>
              <w:bottom w:val="nil"/>
              <w:right w:val="single" w:color="000000" w:sz="8" w:space="0"/>
            </w:tcBorders>
            <w:shd w:val="clear" w:color="auto" w:fill="auto"/>
            <w:vAlign w:val="center"/>
          </w:tcPr>
          <w:p w14:paraId="2782B3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（1）内控制度、服务质量保障措施完善详尽、有效得当、切实可行，得3分；</w:t>
            </w:r>
          </w:p>
        </w:tc>
        <w:tc>
          <w:tcPr>
            <w:tcW w:w="1080" w:type="dxa"/>
            <w:vMerge w:val="restart"/>
            <w:tcBorders>
              <w:top w:val="nil"/>
              <w:left w:val="nil"/>
              <w:bottom w:val="single" w:color="000000" w:sz="8" w:space="0"/>
              <w:right w:val="single" w:color="000000" w:sz="8" w:space="0"/>
            </w:tcBorders>
            <w:shd w:val="clear" w:color="auto" w:fill="auto"/>
            <w:vAlign w:val="center"/>
          </w:tcPr>
          <w:p w14:paraId="13D32D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r>
      <w:tr w14:paraId="77A5C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24494317">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11DDEED0">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417617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（2）内控制度、服务质量保障措施能够满足项目要求、具有可行性，得2分；</w:t>
            </w:r>
          </w:p>
        </w:tc>
        <w:tc>
          <w:tcPr>
            <w:tcW w:w="1080" w:type="dxa"/>
            <w:vMerge w:val="continue"/>
            <w:tcBorders>
              <w:top w:val="nil"/>
              <w:left w:val="nil"/>
              <w:bottom w:val="single" w:color="000000" w:sz="8" w:space="0"/>
              <w:right w:val="single" w:color="000000" w:sz="8" w:space="0"/>
            </w:tcBorders>
            <w:shd w:val="clear" w:color="auto" w:fill="auto"/>
            <w:vAlign w:val="center"/>
          </w:tcPr>
          <w:p w14:paraId="7EF77D02">
            <w:pPr>
              <w:jc w:val="center"/>
              <w:rPr>
                <w:rFonts w:hint="eastAsia" w:ascii="宋体" w:hAnsi="宋体" w:eastAsia="宋体" w:cs="宋体"/>
                <w:b/>
                <w:bCs/>
                <w:i w:val="0"/>
                <w:iCs w:val="0"/>
                <w:color w:val="000000"/>
                <w:sz w:val="24"/>
                <w:szCs w:val="24"/>
                <w:u w:val="none"/>
              </w:rPr>
            </w:pPr>
          </w:p>
        </w:tc>
      </w:tr>
      <w:tr w14:paraId="67744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404C8BDE">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B88DAFB">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72E747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（3）内控制度、服务质量保障措施不严密、缺乏针对性，得1分；</w:t>
            </w:r>
          </w:p>
        </w:tc>
        <w:tc>
          <w:tcPr>
            <w:tcW w:w="1080" w:type="dxa"/>
            <w:vMerge w:val="continue"/>
            <w:tcBorders>
              <w:top w:val="nil"/>
              <w:left w:val="nil"/>
              <w:bottom w:val="single" w:color="000000" w:sz="8" w:space="0"/>
              <w:right w:val="single" w:color="000000" w:sz="8" w:space="0"/>
            </w:tcBorders>
            <w:shd w:val="clear" w:color="auto" w:fill="auto"/>
            <w:vAlign w:val="center"/>
          </w:tcPr>
          <w:p w14:paraId="06939927">
            <w:pPr>
              <w:jc w:val="center"/>
              <w:rPr>
                <w:rFonts w:hint="eastAsia" w:ascii="宋体" w:hAnsi="宋体" w:eastAsia="宋体" w:cs="宋体"/>
                <w:b/>
                <w:bCs/>
                <w:i w:val="0"/>
                <w:iCs w:val="0"/>
                <w:color w:val="000000"/>
                <w:sz w:val="24"/>
                <w:szCs w:val="24"/>
                <w:u w:val="none"/>
              </w:rPr>
            </w:pPr>
          </w:p>
        </w:tc>
      </w:tr>
      <w:tr w14:paraId="3E29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776CF2B4">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5592163">
            <w:pPr>
              <w:jc w:val="center"/>
              <w:rPr>
                <w:rFonts w:hint="eastAsia" w:ascii="宋体" w:hAnsi="宋体" w:eastAsia="宋体" w:cs="宋体"/>
                <w:i w:val="0"/>
                <w:iCs w:val="0"/>
                <w:color w:val="000000"/>
                <w:sz w:val="24"/>
                <w:szCs w:val="24"/>
                <w:u w:val="none"/>
              </w:rPr>
            </w:pPr>
          </w:p>
        </w:tc>
        <w:tc>
          <w:tcPr>
            <w:tcW w:w="6285" w:type="dxa"/>
            <w:tcBorders>
              <w:top w:val="nil"/>
              <w:left w:val="nil"/>
              <w:bottom w:val="single" w:color="000000" w:sz="8" w:space="0"/>
              <w:right w:val="single" w:color="000000" w:sz="8" w:space="0"/>
            </w:tcBorders>
            <w:shd w:val="clear" w:color="auto" w:fill="auto"/>
            <w:vAlign w:val="center"/>
          </w:tcPr>
          <w:p w14:paraId="573A5B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（4）不可行或未提供的不得分。</w:t>
            </w:r>
          </w:p>
        </w:tc>
        <w:tc>
          <w:tcPr>
            <w:tcW w:w="1080" w:type="dxa"/>
            <w:vMerge w:val="continue"/>
            <w:tcBorders>
              <w:top w:val="nil"/>
              <w:left w:val="nil"/>
              <w:bottom w:val="single" w:color="000000" w:sz="8" w:space="0"/>
              <w:right w:val="single" w:color="000000" w:sz="8" w:space="0"/>
            </w:tcBorders>
            <w:shd w:val="clear" w:color="auto" w:fill="auto"/>
            <w:vAlign w:val="center"/>
          </w:tcPr>
          <w:p w14:paraId="319D5851">
            <w:pPr>
              <w:jc w:val="center"/>
              <w:rPr>
                <w:rFonts w:hint="eastAsia" w:ascii="宋体" w:hAnsi="宋体" w:eastAsia="宋体" w:cs="宋体"/>
                <w:b/>
                <w:bCs/>
                <w:i w:val="0"/>
                <w:iCs w:val="0"/>
                <w:color w:val="000000"/>
                <w:sz w:val="24"/>
                <w:szCs w:val="24"/>
                <w:u w:val="none"/>
              </w:rPr>
            </w:pPr>
          </w:p>
        </w:tc>
      </w:tr>
      <w:tr w14:paraId="05C9C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6574F0BF">
            <w:pPr>
              <w:rPr>
                <w:rFonts w:hint="eastAsia" w:ascii="宋体" w:hAnsi="宋体" w:eastAsia="宋体" w:cs="宋体"/>
                <w:i w:val="0"/>
                <w:iCs w:val="0"/>
                <w:color w:val="000000"/>
                <w:sz w:val="22"/>
                <w:szCs w:val="22"/>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14:paraId="68123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应急措施</w:t>
            </w:r>
          </w:p>
        </w:tc>
        <w:tc>
          <w:tcPr>
            <w:tcW w:w="6285" w:type="dxa"/>
            <w:tcBorders>
              <w:top w:val="nil"/>
              <w:left w:val="nil"/>
              <w:bottom w:val="nil"/>
              <w:right w:val="single" w:color="000000" w:sz="8" w:space="0"/>
            </w:tcBorders>
            <w:shd w:val="clear" w:color="auto" w:fill="auto"/>
            <w:vAlign w:val="center"/>
          </w:tcPr>
          <w:p w14:paraId="6DB94F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投标人提供的</w:t>
            </w:r>
            <w:r>
              <w:rPr>
                <w:rStyle w:val="30"/>
                <w:lang w:val="en-US" w:eastAsia="zh-CN" w:bidi="ar"/>
              </w:rPr>
              <w:t>应急措施方案，对方案进行评分：</w:t>
            </w:r>
          </w:p>
        </w:tc>
        <w:tc>
          <w:tcPr>
            <w:tcW w:w="1080" w:type="dxa"/>
            <w:vMerge w:val="restart"/>
            <w:tcBorders>
              <w:top w:val="nil"/>
              <w:left w:val="nil"/>
              <w:bottom w:val="single" w:color="000000" w:sz="8" w:space="0"/>
              <w:right w:val="single" w:color="000000" w:sz="8" w:space="0"/>
            </w:tcBorders>
            <w:shd w:val="clear" w:color="auto" w:fill="auto"/>
            <w:vAlign w:val="center"/>
          </w:tcPr>
          <w:p w14:paraId="51E282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r>
      <w:tr w14:paraId="4C45E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4E18604E">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DF6B05F">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0034DC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（1）方案针对性强，可实施性强的得3分；</w:t>
            </w:r>
          </w:p>
        </w:tc>
        <w:tc>
          <w:tcPr>
            <w:tcW w:w="1080" w:type="dxa"/>
            <w:vMerge w:val="continue"/>
            <w:tcBorders>
              <w:top w:val="nil"/>
              <w:left w:val="nil"/>
              <w:bottom w:val="single" w:color="000000" w:sz="8" w:space="0"/>
              <w:right w:val="single" w:color="000000" w:sz="8" w:space="0"/>
            </w:tcBorders>
            <w:shd w:val="clear" w:color="auto" w:fill="auto"/>
            <w:vAlign w:val="center"/>
          </w:tcPr>
          <w:p w14:paraId="079708B9">
            <w:pPr>
              <w:jc w:val="center"/>
              <w:rPr>
                <w:rFonts w:hint="eastAsia" w:ascii="宋体" w:hAnsi="宋体" w:eastAsia="宋体" w:cs="宋体"/>
                <w:b/>
                <w:bCs/>
                <w:i w:val="0"/>
                <w:iCs w:val="0"/>
                <w:color w:val="000000"/>
                <w:sz w:val="24"/>
                <w:szCs w:val="24"/>
                <w:u w:val="none"/>
              </w:rPr>
            </w:pPr>
          </w:p>
        </w:tc>
      </w:tr>
      <w:tr w14:paraId="287D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13B17C05">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2162ECF">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046F1D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（2）方案针对性较强，可实施性较强的得2分；</w:t>
            </w:r>
          </w:p>
        </w:tc>
        <w:tc>
          <w:tcPr>
            <w:tcW w:w="1080" w:type="dxa"/>
            <w:vMerge w:val="continue"/>
            <w:tcBorders>
              <w:top w:val="nil"/>
              <w:left w:val="nil"/>
              <w:bottom w:val="single" w:color="000000" w:sz="8" w:space="0"/>
              <w:right w:val="single" w:color="000000" w:sz="8" w:space="0"/>
            </w:tcBorders>
            <w:shd w:val="clear" w:color="auto" w:fill="auto"/>
            <w:vAlign w:val="center"/>
          </w:tcPr>
          <w:p w14:paraId="3B4984A7">
            <w:pPr>
              <w:jc w:val="center"/>
              <w:rPr>
                <w:rFonts w:hint="eastAsia" w:ascii="宋体" w:hAnsi="宋体" w:eastAsia="宋体" w:cs="宋体"/>
                <w:b/>
                <w:bCs/>
                <w:i w:val="0"/>
                <w:iCs w:val="0"/>
                <w:color w:val="000000"/>
                <w:sz w:val="24"/>
                <w:szCs w:val="24"/>
                <w:u w:val="none"/>
              </w:rPr>
            </w:pPr>
          </w:p>
        </w:tc>
      </w:tr>
      <w:tr w14:paraId="7159D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nil"/>
              <w:right w:val="single" w:color="000000" w:sz="8" w:space="0"/>
            </w:tcBorders>
            <w:shd w:val="clear" w:color="auto" w:fill="auto"/>
            <w:noWrap/>
            <w:vAlign w:val="center"/>
          </w:tcPr>
          <w:p w14:paraId="1FBB759F">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45DE8CE">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30731F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（3）方案满足项目基本需求得1分；</w:t>
            </w:r>
          </w:p>
        </w:tc>
        <w:tc>
          <w:tcPr>
            <w:tcW w:w="1080" w:type="dxa"/>
            <w:vMerge w:val="continue"/>
            <w:tcBorders>
              <w:top w:val="nil"/>
              <w:left w:val="nil"/>
              <w:bottom w:val="single" w:color="000000" w:sz="8" w:space="0"/>
              <w:right w:val="single" w:color="000000" w:sz="8" w:space="0"/>
            </w:tcBorders>
            <w:shd w:val="clear" w:color="auto" w:fill="auto"/>
            <w:vAlign w:val="center"/>
          </w:tcPr>
          <w:p w14:paraId="7700148D">
            <w:pPr>
              <w:jc w:val="center"/>
              <w:rPr>
                <w:rFonts w:hint="eastAsia" w:ascii="宋体" w:hAnsi="宋体" w:eastAsia="宋体" w:cs="宋体"/>
                <w:b/>
                <w:bCs/>
                <w:i w:val="0"/>
                <w:iCs w:val="0"/>
                <w:color w:val="000000"/>
                <w:sz w:val="24"/>
                <w:szCs w:val="24"/>
                <w:u w:val="none"/>
              </w:rPr>
            </w:pPr>
          </w:p>
        </w:tc>
      </w:tr>
      <w:tr w14:paraId="2877E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nil"/>
              <w:left w:val="single" w:color="000000" w:sz="8" w:space="0"/>
              <w:bottom w:val="nil"/>
              <w:right w:val="single" w:color="000000" w:sz="8" w:space="0"/>
            </w:tcBorders>
            <w:shd w:val="clear" w:color="auto" w:fill="auto"/>
            <w:noWrap/>
            <w:vAlign w:val="center"/>
          </w:tcPr>
          <w:p w14:paraId="6829D941">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6932CD2">
            <w:pPr>
              <w:jc w:val="center"/>
              <w:rPr>
                <w:rFonts w:hint="eastAsia" w:ascii="宋体" w:hAnsi="宋体" w:eastAsia="宋体" w:cs="宋体"/>
                <w:i w:val="0"/>
                <w:iCs w:val="0"/>
                <w:color w:val="000000"/>
                <w:sz w:val="24"/>
                <w:szCs w:val="24"/>
                <w:u w:val="none"/>
              </w:rPr>
            </w:pPr>
          </w:p>
        </w:tc>
        <w:tc>
          <w:tcPr>
            <w:tcW w:w="6285" w:type="dxa"/>
            <w:tcBorders>
              <w:top w:val="nil"/>
              <w:left w:val="nil"/>
              <w:bottom w:val="single" w:color="000000" w:sz="8" w:space="0"/>
              <w:right w:val="single" w:color="000000" w:sz="8" w:space="0"/>
            </w:tcBorders>
            <w:shd w:val="clear" w:color="auto" w:fill="auto"/>
            <w:vAlign w:val="center"/>
          </w:tcPr>
          <w:p w14:paraId="12E1DD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（4）方案未提供不得分。</w:t>
            </w:r>
          </w:p>
        </w:tc>
        <w:tc>
          <w:tcPr>
            <w:tcW w:w="1080" w:type="dxa"/>
            <w:vMerge w:val="continue"/>
            <w:tcBorders>
              <w:top w:val="nil"/>
              <w:left w:val="nil"/>
              <w:bottom w:val="single" w:color="000000" w:sz="8" w:space="0"/>
              <w:right w:val="single" w:color="000000" w:sz="8" w:space="0"/>
            </w:tcBorders>
            <w:shd w:val="clear" w:color="auto" w:fill="auto"/>
            <w:vAlign w:val="center"/>
          </w:tcPr>
          <w:p w14:paraId="2DBBA65C">
            <w:pPr>
              <w:jc w:val="center"/>
              <w:rPr>
                <w:rFonts w:hint="eastAsia" w:ascii="宋体" w:hAnsi="宋体" w:eastAsia="宋体" w:cs="宋体"/>
                <w:b/>
                <w:bCs/>
                <w:i w:val="0"/>
                <w:iCs w:val="0"/>
                <w:color w:val="000000"/>
                <w:sz w:val="24"/>
                <w:szCs w:val="24"/>
                <w:u w:val="none"/>
              </w:rPr>
            </w:pPr>
          </w:p>
        </w:tc>
      </w:tr>
      <w:tr w14:paraId="4AA46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nil"/>
              <w:left w:val="single" w:color="000000" w:sz="8" w:space="0"/>
              <w:bottom w:val="nil"/>
              <w:right w:val="single" w:color="000000" w:sz="8" w:space="0"/>
            </w:tcBorders>
            <w:shd w:val="clear" w:color="auto" w:fill="auto"/>
            <w:noWrap/>
            <w:vAlign w:val="center"/>
          </w:tcPr>
          <w:p w14:paraId="0B7B4031">
            <w:pPr>
              <w:rPr>
                <w:rFonts w:hint="eastAsia" w:ascii="宋体" w:hAnsi="宋体" w:eastAsia="宋体" w:cs="宋体"/>
                <w:i w:val="0"/>
                <w:iCs w:val="0"/>
                <w:color w:val="000000"/>
                <w:sz w:val="22"/>
                <w:szCs w:val="22"/>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14:paraId="0ABA3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实施方案</w:t>
            </w:r>
          </w:p>
        </w:tc>
        <w:tc>
          <w:tcPr>
            <w:tcW w:w="6285" w:type="dxa"/>
            <w:tcBorders>
              <w:top w:val="nil"/>
              <w:left w:val="nil"/>
              <w:bottom w:val="nil"/>
              <w:right w:val="single" w:color="000000" w:sz="8" w:space="0"/>
            </w:tcBorders>
            <w:shd w:val="clear" w:color="auto" w:fill="auto"/>
            <w:vAlign w:val="center"/>
          </w:tcPr>
          <w:p w14:paraId="106BD3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投标人提供的实施方案科学合理，</w:t>
            </w:r>
            <w:r>
              <w:rPr>
                <w:rStyle w:val="30"/>
                <w:lang w:val="en-US" w:eastAsia="zh-CN" w:bidi="ar"/>
              </w:rPr>
              <w:t>对方案进行评分：</w:t>
            </w:r>
          </w:p>
        </w:tc>
        <w:tc>
          <w:tcPr>
            <w:tcW w:w="1080" w:type="dxa"/>
            <w:vMerge w:val="restart"/>
            <w:tcBorders>
              <w:top w:val="nil"/>
              <w:left w:val="nil"/>
              <w:bottom w:val="single" w:color="000000" w:sz="8" w:space="0"/>
              <w:right w:val="single" w:color="000000" w:sz="8" w:space="0"/>
            </w:tcBorders>
            <w:shd w:val="clear" w:color="auto" w:fill="auto"/>
            <w:vAlign w:val="center"/>
          </w:tcPr>
          <w:p w14:paraId="0113CCD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r>
      <w:tr w14:paraId="32378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nil"/>
              <w:left w:val="single" w:color="000000" w:sz="8" w:space="0"/>
              <w:bottom w:val="nil"/>
              <w:right w:val="single" w:color="000000" w:sz="8" w:space="0"/>
            </w:tcBorders>
            <w:shd w:val="clear" w:color="auto" w:fill="auto"/>
            <w:noWrap/>
            <w:vAlign w:val="center"/>
          </w:tcPr>
          <w:p w14:paraId="3023FF98">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B0FF3BC">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2C457E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（1）方案针对性强，可实施性强的得3分；</w:t>
            </w:r>
          </w:p>
        </w:tc>
        <w:tc>
          <w:tcPr>
            <w:tcW w:w="1080" w:type="dxa"/>
            <w:vMerge w:val="continue"/>
            <w:tcBorders>
              <w:top w:val="nil"/>
              <w:left w:val="nil"/>
              <w:bottom w:val="single" w:color="000000" w:sz="8" w:space="0"/>
              <w:right w:val="single" w:color="000000" w:sz="8" w:space="0"/>
            </w:tcBorders>
            <w:shd w:val="clear" w:color="auto" w:fill="auto"/>
            <w:vAlign w:val="center"/>
          </w:tcPr>
          <w:p w14:paraId="2CD991D8">
            <w:pPr>
              <w:jc w:val="center"/>
              <w:rPr>
                <w:rFonts w:hint="eastAsia" w:ascii="宋体" w:hAnsi="宋体" w:eastAsia="宋体" w:cs="宋体"/>
                <w:b/>
                <w:bCs/>
                <w:i w:val="0"/>
                <w:iCs w:val="0"/>
                <w:color w:val="000000"/>
                <w:sz w:val="24"/>
                <w:szCs w:val="24"/>
                <w:u w:val="none"/>
              </w:rPr>
            </w:pPr>
          </w:p>
        </w:tc>
      </w:tr>
      <w:tr w14:paraId="2CBF2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nil"/>
              <w:left w:val="single" w:color="000000" w:sz="8" w:space="0"/>
              <w:bottom w:val="nil"/>
              <w:right w:val="single" w:color="000000" w:sz="8" w:space="0"/>
            </w:tcBorders>
            <w:shd w:val="clear" w:color="auto" w:fill="auto"/>
            <w:noWrap/>
            <w:vAlign w:val="center"/>
          </w:tcPr>
          <w:p w14:paraId="1E8FF6ED">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8310EAA">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1F6D54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（2）方案针对性较强，可实施性较强的得2分；</w:t>
            </w:r>
          </w:p>
        </w:tc>
        <w:tc>
          <w:tcPr>
            <w:tcW w:w="1080" w:type="dxa"/>
            <w:vMerge w:val="continue"/>
            <w:tcBorders>
              <w:top w:val="nil"/>
              <w:left w:val="nil"/>
              <w:bottom w:val="single" w:color="000000" w:sz="8" w:space="0"/>
              <w:right w:val="single" w:color="000000" w:sz="8" w:space="0"/>
            </w:tcBorders>
            <w:shd w:val="clear" w:color="auto" w:fill="auto"/>
            <w:vAlign w:val="center"/>
          </w:tcPr>
          <w:p w14:paraId="62A4B64E">
            <w:pPr>
              <w:jc w:val="center"/>
              <w:rPr>
                <w:rFonts w:hint="eastAsia" w:ascii="宋体" w:hAnsi="宋体" w:eastAsia="宋体" w:cs="宋体"/>
                <w:b/>
                <w:bCs/>
                <w:i w:val="0"/>
                <w:iCs w:val="0"/>
                <w:color w:val="000000"/>
                <w:sz w:val="24"/>
                <w:szCs w:val="24"/>
                <w:u w:val="none"/>
              </w:rPr>
            </w:pPr>
          </w:p>
        </w:tc>
      </w:tr>
      <w:tr w14:paraId="084A7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nil"/>
              <w:left w:val="single" w:color="000000" w:sz="8" w:space="0"/>
              <w:bottom w:val="nil"/>
              <w:right w:val="single" w:color="000000" w:sz="8" w:space="0"/>
            </w:tcBorders>
            <w:shd w:val="clear" w:color="auto" w:fill="auto"/>
            <w:noWrap/>
            <w:vAlign w:val="center"/>
          </w:tcPr>
          <w:p w14:paraId="4E0EBC29">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1775B5AE">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17894C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（3）方案满足项目基本需求得1分；</w:t>
            </w:r>
          </w:p>
        </w:tc>
        <w:tc>
          <w:tcPr>
            <w:tcW w:w="1080" w:type="dxa"/>
            <w:vMerge w:val="continue"/>
            <w:tcBorders>
              <w:top w:val="nil"/>
              <w:left w:val="nil"/>
              <w:bottom w:val="single" w:color="000000" w:sz="8" w:space="0"/>
              <w:right w:val="single" w:color="000000" w:sz="8" w:space="0"/>
            </w:tcBorders>
            <w:shd w:val="clear" w:color="auto" w:fill="auto"/>
            <w:vAlign w:val="center"/>
          </w:tcPr>
          <w:p w14:paraId="3D5FB3A7">
            <w:pPr>
              <w:jc w:val="center"/>
              <w:rPr>
                <w:rFonts w:hint="eastAsia" w:ascii="宋体" w:hAnsi="宋体" w:eastAsia="宋体" w:cs="宋体"/>
                <w:b/>
                <w:bCs/>
                <w:i w:val="0"/>
                <w:iCs w:val="0"/>
                <w:color w:val="000000"/>
                <w:sz w:val="24"/>
                <w:szCs w:val="24"/>
                <w:u w:val="none"/>
              </w:rPr>
            </w:pPr>
          </w:p>
        </w:tc>
      </w:tr>
      <w:tr w14:paraId="10C60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nil"/>
              <w:left w:val="single" w:color="000000" w:sz="8" w:space="0"/>
              <w:bottom w:val="nil"/>
              <w:right w:val="single" w:color="000000" w:sz="8" w:space="0"/>
            </w:tcBorders>
            <w:shd w:val="clear" w:color="auto" w:fill="auto"/>
            <w:noWrap/>
            <w:vAlign w:val="center"/>
          </w:tcPr>
          <w:p w14:paraId="72647852">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3217058">
            <w:pPr>
              <w:jc w:val="center"/>
              <w:rPr>
                <w:rFonts w:hint="eastAsia" w:ascii="宋体" w:hAnsi="宋体" w:eastAsia="宋体" w:cs="宋体"/>
                <w:i w:val="0"/>
                <w:iCs w:val="0"/>
                <w:color w:val="000000"/>
                <w:sz w:val="24"/>
                <w:szCs w:val="24"/>
                <w:u w:val="none"/>
              </w:rPr>
            </w:pPr>
          </w:p>
        </w:tc>
        <w:tc>
          <w:tcPr>
            <w:tcW w:w="6285" w:type="dxa"/>
            <w:tcBorders>
              <w:top w:val="nil"/>
              <w:left w:val="nil"/>
              <w:bottom w:val="single" w:color="000000" w:sz="8" w:space="0"/>
              <w:right w:val="single" w:color="000000" w:sz="8" w:space="0"/>
            </w:tcBorders>
            <w:shd w:val="clear" w:color="auto" w:fill="auto"/>
            <w:vAlign w:val="center"/>
          </w:tcPr>
          <w:p w14:paraId="415FD1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（4）方案未提供不得分。</w:t>
            </w:r>
          </w:p>
        </w:tc>
        <w:tc>
          <w:tcPr>
            <w:tcW w:w="1080" w:type="dxa"/>
            <w:vMerge w:val="continue"/>
            <w:tcBorders>
              <w:top w:val="nil"/>
              <w:left w:val="nil"/>
              <w:bottom w:val="single" w:color="000000" w:sz="8" w:space="0"/>
              <w:right w:val="single" w:color="000000" w:sz="8" w:space="0"/>
            </w:tcBorders>
            <w:shd w:val="clear" w:color="auto" w:fill="auto"/>
            <w:vAlign w:val="center"/>
          </w:tcPr>
          <w:p w14:paraId="563259C0">
            <w:pPr>
              <w:jc w:val="center"/>
              <w:rPr>
                <w:rFonts w:hint="eastAsia" w:ascii="宋体" w:hAnsi="宋体" w:eastAsia="宋体" w:cs="宋体"/>
                <w:b/>
                <w:bCs/>
                <w:i w:val="0"/>
                <w:iCs w:val="0"/>
                <w:color w:val="000000"/>
                <w:sz w:val="24"/>
                <w:szCs w:val="24"/>
                <w:u w:val="none"/>
              </w:rPr>
            </w:pPr>
          </w:p>
        </w:tc>
      </w:tr>
      <w:tr w14:paraId="4EB04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nil"/>
              <w:left w:val="single" w:color="000000" w:sz="8" w:space="0"/>
              <w:bottom w:val="nil"/>
              <w:right w:val="single" w:color="000000" w:sz="8" w:space="0"/>
            </w:tcBorders>
            <w:shd w:val="clear" w:color="auto" w:fill="auto"/>
            <w:noWrap/>
            <w:vAlign w:val="center"/>
          </w:tcPr>
          <w:p w14:paraId="3FE4EC3E">
            <w:pPr>
              <w:rPr>
                <w:rFonts w:hint="eastAsia" w:ascii="宋体" w:hAnsi="宋体" w:eastAsia="宋体" w:cs="宋体"/>
                <w:i w:val="0"/>
                <w:iCs w:val="0"/>
                <w:color w:val="000000"/>
                <w:sz w:val="22"/>
                <w:szCs w:val="22"/>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14:paraId="47EE6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服务保障方案</w:t>
            </w:r>
          </w:p>
        </w:tc>
        <w:tc>
          <w:tcPr>
            <w:tcW w:w="6285" w:type="dxa"/>
            <w:tcBorders>
              <w:top w:val="nil"/>
              <w:left w:val="nil"/>
              <w:bottom w:val="nil"/>
              <w:right w:val="single" w:color="000000" w:sz="8" w:space="0"/>
            </w:tcBorders>
            <w:shd w:val="clear" w:color="auto" w:fill="auto"/>
            <w:vAlign w:val="center"/>
          </w:tcPr>
          <w:p w14:paraId="2BA7AC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投标人针对本项目特点及实际情况制定的服务保障方案：</w:t>
            </w:r>
          </w:p>
        </w:tc>
        <w:tc>
          <w:tcPr>
            <w:tcW w:w="1080" w:type="dxa"/>
            <w:vMerge w:val="restart"/>
            <w:tcBorders>
              <w:top w:val="nil"/>
              <w:left w:val="nil"/>
              <w:bottom w:val="single" w:color="000000" w:sz="8" w:space="0"/>
              <w:right w:val="single" w:color="000000" w:sz="8" w:space="0"/>
            </w:tcBorders>
            <w:shd w:val="clear" w:color="auto" w:fill="auto"/>
            <w:vAlign w:val="center"/>
          </w:tcPr>
          <w:p w14:paraId="139171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r>
      <w:tr w14:paraId="2CD5E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nil"/>
              <w:left w:val="single" w:color="000000" w:sz="8" w:space="0"/>
              <w:bottom w:val="nil"/>
              <w:right w:val="single" w:color="000000" w:sz="8" w:space="0"/>
            </w:tcBorders>
            <w:shd w:val="clear" w:color="auto" w:fill="auto"/>
            <w:noWrap/>
            <w:vAlign w:val="center"/>
          </w:tcPr>
          <w:p w14:paraId="0F88B9B9">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8285A73">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054D18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（1）服务保障方案针对性强，可实施性强的得3分；</w:t>
            </w:r>
          </w:p>
        </w:tc>
        <w:tc>
          <w:tcPr>
            <w:tcW w:w="1080" w:type="dxa"/>
            <w:vMerge w:val="continue"/>
            <w:tcBorders>
              <w:top w:val="nil"/>
              <w:left w:val="nil"/>
              <w:bottom w:val="single" w:color="000000" w:sz="8" w:space="0"/>
              <w:right w:val="single" w:color="000000" w:sz="8" w:space="0"/>
            </w:tcBorders>
            <w:shd w:val="clear" w:color="auto" w:fill="auto"/>
            <w:vAlign w:val="center"/>
          </w:tcPr>
          <w:p w14:paraId="4880A15D">
            <w:pPr>
              <w:jc w:val="center"/>
              <w:rPr>
                <w:rFonts w:hint="eastAsia" w:ascii="宋体" w:hAnsi="宋体" w:eastAsia="宋体" w:cs="宋体"/>
                <w:b/>
                <w:bCs/>
                <w:i w:val="0"/>
                <w:iCs w:val="0"/>
                <w:color w:val="000000"/>
                <w:sz w:val="24"/>
                <w:szCs w:val="24"/>
                <w:u w:val="none"/>
              </w:rPr>
            </w:pPr>
          </w:p>
        </w:tc>
      </w:tr>
      <w:tr w14:paraId="2DF6A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nil"/>
              <w:left w:val="single" w:color="000000" w:sz="8" w:space="0"/>
              <w:bottom w:val="nil"/>
              <w:right w:val="single" w:color="000000" w:sz="8" w:space="0"/>
            </w:tcBorders>
            <w:shd w:val="clear" w:color="auto" w:fill="auto"/>
            <w:noWrap/>
            <w:vAlign w:val="center"/>
          </w:tcPr>
          <w:p w14:paraId="61EE9A84">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E91E930">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2ABFE8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（2）服务保障方案针对性较强，可实施性较强的得2分；</w:t>
            </w:r>
          </w:p>
        </w:tc>
        <w:tc>
          <w:tcPr>
            <w:tcW w:w="1080" w:type="dxa"/>
            <w:vMerge w:val="continue"/>
            <w:tcBorders>
              <w:top w:val="nil"/>
              <w:left w:val="nil"/>
              <w:bottom w:val="single" w:color="000000" w:sz="8" w:space="0"/>
              <w:right w:val="single" w:color="000000" w:sz="8" w:space="0"/>
            </w:tcBorders>
            <w:shd w:val="clear" w:color="auto" w:fill="auto"/>
            <w:vAlign w:val="center"/>
          </w:tcPr>
          <w:p w14:paraId="5A06E028">
            <w:pPr>
              <w:jc w:val="center"/>
              <w:rPr>
                <w:rFonts w:hint="eastAsia" w:ascii="宋体" w:hAnsi="宋体" w:eastAsia="宋体" w:cs="宋体"/>
                <w:b/>
                <w:bCs/>
                <w:i w:val="0"/>
                <w:iCs w:val="0"/>
                <w:color w:val="000000"/>
                <w:sz w:val="24"/>
                <w:szCs w:val="24"/>
                <w:u w:val="none"/>
              </w:rPr>
            </w:pPr>
          </w:p>
        </w:tc>
      </w:tr>
      <w:tr w14:paraId="43EF7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nil"/>
              <w:left w:val="single" w:color="000000" w:sz="8" w:space="0"/>
              <w:bottom w:val="nil"/>
              <w:right w:val="single" w:color="000000" w:sz="8" w:space="0"/>
            </w:tcBorders>
            <w:shd w:val="clear" w:color="auto" w:fill="auto"/>
            <w:noWrap/>
            <w:vAlign w:val="center"/>
          </w:tcPr>
          <w:p w14:paraId="2D2152C1">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6D18C01">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7A5317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（3）服务保障方案满足项目基本需求得1分；</w:t>
            </w:r>
          </w:p>
        </w:tc>
        <w:tc>
          <w:tcPr>
            <w:tcW w:w="1080" w:type="dxa"/>
            <w:vMerge w:val="continue"/>
            <w:tcBorders>
              <w:top w:val="nil"/>
              <w:left w:val="nil"/>
              <w:bottom w:val="single" w:color="000000" w:sz="8" w:space="0"/>
              <w:right w:val="single" w:color="000000" w:sz="8" w:space="0"/>
            </w:tcBorders>
            <w:shd w:val="clear" w:color="auto" w:fill="auto"/>
            <w:vAlign w:val="center"/>
          </w:tcPr>
          <w:p w14:paraId="696461A2">
            <w:pPr>
              <w:jc w:val="center"/>
              <w:rPr>
                <w:rFonts w:hint="eastAsia" w:ascii="宋体" w:hAnsi="宋体" w:eastAsia="宋体" w:cs="宋体"/>
                <w:b/>
                <w:bCs/>
                <w:i w:val="0"/>
                <w:iCs w:val="0"/>
                <w:color w:val="000000"/>
                <w:sz w:val="24"/>
                <w:szCs w:val="24"/>
                <w:u w:val="none"/>
              </w:rPr>
            </w:pPr>
          </w:p>
        </w:tc>
      </w:tr>
      <w:tr w14:paraId="6E25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nil"/>
              <w:left w:val="single" w:color="000000" w:sz="8" w:space="0"/>
              <w:bottom w:val="nil"/>
              <w:right w:val="single" w:color="000000" w:sz="8" w:space="0"/>
            </w:tcBorders>
            <w:shd w:val="clear" w:color="auto" w:fill="auto"/>
            <w:noWrap/>
            <w:vAlign w:val="center"/>
          </w:tcPr>
          <w:p w14:paraId="09D4C074">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1A382043">
            <w:pPr>
              <w:jc w:val="center"/>
              <w:rPr>
                <w:rFonts w:hint="eastAsia" w:ascii="宋体" w:hAnsi="宋体" w:eastAsia="宋体" w:cs="宋体"/>
                <w:i w:val="0"/>
                <w:iCs w:val="0"/>
                <w:color w:val="000000"/>
                <w:sz w:val="24"/>
                <w:szCs w:val="24"/>
                <w:u w:val="none"/>
              </w:rPr>
            </w:pPr>
          </w:p>
        </w:tc>
        <w:tc>
          <w:tcPr>
            <w:tcW w:w="6285" w:type="dxa"/>
            <w:tcBorders>
              <w:top w:val="nil"/>
              <w:left w:val="nil"/>
              <w:bottom w:val="single" w:color="000000" w:sz="8" w:space="0"/>
              <w:right w:val="single" w:color="000000" w:sz="8" w:space="0"/>
            </w:tcBorders>
            <w:shd w:val="clear" w:color="auto" w:fill="auto"/>
            <w:vAlign w:val="center"/>
          </w:tcPr>
          <w:p w14:paraId="788158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（4）服务保障方案未提供不得分。</w:t>
            </w:r>
          </w:p>
        </w:tc>
        <w:tc>
          <w:tcPr>
            <w:tcW w:w="1080" w:type="dxa"/>
            <w:vMerge w:val="continue"/>
            <w:tcBorders>
              <w:top w:val="nil"/>
              <w:left w:val="nil"/>
              <w:bottom w:val="single" w:color="000000" w:sz="8" w:space="0"/>
              <w:right w:val="single" w:color="000000" w:sz="8" w:space="0"/>
            </w:tcBorders>
            <w:shd w:val="clear" w:color="auto" w:fill="auto"/>
            <w:vAlign w:val="center"/>
          </w:tcPr>
          <w:p w14:paraId="48529275">
            <w:pPr>
              <w:jc w:val="center"/>
              <w:rPr>
                <w:rFonts w:hint="eastAsia" w:ascii="宋体" w:hAnsi="宋体" w:eastAsia="宋体" w:cs="宋体"/>
                <w:b/>
                <w:bCs/>
                <w:i w:val="0"/>
                <w:iCs w:val="0"/>
                <w:color w:val="000000"/>
                <w:sz w:val="24"/>
                <w:szCs w:val="24"/>
                <w:u w:val="none"/>
              </w:rPr>
            </w:pPr>
          </w:p>
        </w:tc>
      </w:tr>
      <w:tr w14:paraId="644FB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nil"/>
              <w:left w:val="single" w:color="000000" w:sz="8" w:space="0"/>
              <w:bottom w:val="nil"/>
              <w:right w:val="single" w:color="000000" w:sz="8" w:space="0"/>
            </w:tcBorders>
            <w:shd w:val="clear" w:color="auto" w:fill="auto"/>
            <w:noWrap/>
            <w:vAlign w:val="center"/>
          </w:tcPr>
          <w:p w14:paraId="596E8BDA">
            <w:pPr>
              <w:rPr>
                <w:rFonts w:hint="eastAsia" w:ascii="宋体" w:hAnsi="宋体" w:eastAsia="宋体" w:cs="宋体"/>
                <w:i w:val="0"/>
                <w:iCs w:val="0"/>
                <w:color w:val="000000"/>
                <w:sz w:val="22"/>
                <w:szCs w:val="22"/>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14:paraId="4DF24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培训方案</w:t>
            </w:r>
          </w:p>
        </w:tc>
        <w:tc>
          <w:tcPr>
            <w:tcW w:w="6285" w:type="dxa"/>
            <w:tcBorders>
              <w:top w:val="nil"/>
              <w:left w:val="nil"/>
              <w:bottom w:val="nil"/>
              <w:right w:val="single" w:color="000000" w:sz="8" w:space="0"/>
            </w:tcBorders>
            <w:shd w:val="clear" w:color="auto" w:fill="auto"/>
            <w:vAlign w:val="center"/>
          </w:tcPr>
          <w:p w14:paraId="057A64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投标人提供人员培训方案，对方案进行评分。</w:t>
            </w:r>
          </w:p>
        </w:tc>
        <w:tc>
          <w:tcPr>
            <w:tcW w:w="1080" w:type="dxa"/>
            <w:vMerge w:val="restart"/>
            <w:tcBorders>
              <w:top w:val="nil"/>
              <w:left w:val="nil"/>
              <w:bottom w:val="single" w:color="000000" w:sz="8" w:space="0"/>
              <w:right w:val="single" w:color="000000" w:sz="8" w:space="0"/>
            </w:tcBorders>
            <w:shd w:val="clear" w:color="auto" w:fill="auto"/>
            <w:vAlign w:val="center"/>
          </w:tcPr>
          <w:p w14:paraId="0E8781E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r>
      <w:tr w14:paraId="2932C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nil"/>
              <w:left w:val="single" w:color="000000" w:sz="8" w:space="0"/>
              <w:bottom w:val="nil"/>
              <w:right w:val="single" w:color="000000" w:sz="8" w:space="0"/>
            </w:tcBorders>
            <w:shd w:val="clear" w:color="auto" w:fill="auto"/>
            <w:noWrap/>
            <w:vAlign w:val="center"/>
          </w:tcPr>
          <w:p w14:paraId="54F0E24A">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4AAC4B3">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6073D0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1.方案针对性强，可实施性强的得3分；</w:t>
            </w:r>
          </w:p>
        </w:tc>
        <w:tc>
          <w:tcPr>
            <w:tcW w:w="1080" w:type="dxa"/>
            <w:vMerge w:val="continue"/>
            <w:tcBorders>
              <w:top w:val="nil"/>
              <w:left w:val="nil"/>
              <w:bottom w:val="single" w:color="000000" w:sz="8" w:space="0"/>
              <w:right w:val="single" w:color="000000" w:sz="8" w:space="0"/>
            </w:tcBorders>
            <w:shd w:val="clear" w:color="auto" w:fill="auto"/>
            <w:vAlign w:val="center"/>
          </w:tcPr>
          <w:p w14:paraId="5FE3B8FB">
            <w:pPr>
              <w:jc w:val="center"/>
              <w:rPr>
                <w:rFonts w:hint="eastAsia" w:ascii="宋体" w:hAnsi="宋体" w:eastAsia="宋体" w:cs="宋体"/>
                <w:b/>
                <w:bCs/>
                <w:i w:val="0"/>
                <w:iCs w:val="0"/>
                <w:color w:val="000000"/>
                <w:sz w:val="24"/>
                <w:szCs w:val="24"/>
                <w:u w:val="none"/>
              </w:rPr>
            </w:pPr>
          </w:p>
        </w:tc>
      </w:tr>
      <w:tr w14:paraId="3927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nil"/>
              <w:left w:val="single" w:color="000000" w:sz="8" w:space="0"/>
              <w:bottom w:val="nil"/>
              <w:right w:val="single" w:color="000000" w:sz="8" w:space="0"/>
            </w:tcBorders>
            <w:shd w:val="clear" w:color="auto" w:fill="auto"/>
            <w:noWrap/>
            <w:vAlign w:val="center"/>
          </w:tcPr>
          <w:p w14:paraId="403DAA33">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D8D390F">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41EF6A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2.方案针对性较强，可实施性较强的得2分；</w:t>
            </w:r>
          </w:p>
        </w:tc>
        <w:tc>
          <w:tcPr>
            <w:tcW w:w="1080" w:type="dxa"/>
            <w:vMerge w:val="continue"/>
            <w:tcBorders>
              <w:top w:val="nil"/>
              <w:left w:val="nil"/>
              <w:bottom w:val="single" w:color="000000" w:sz="8" w:space="0"/>
              <w:right w:val="single" w:color="000000" w:sz="8" w:space="0"/>
            </w:tcBorders>
            <w:shd w:val="clear" w:color="auto" w:fill="auto"/>
            <w:vAlign w:val="center"/>
          </w:tcPr>
          <w:p w14:paraId="01591323">
            <w:pPr>
              <w:jc w:val="center"/>
              <w:rPr>
                <w:rFonts w:hint="eastAsia" w:ascii="宋体" w:hAnsi="宋体" w:eastAsia="宋体" w:cs="宋体"/>
                <w:b/>
                <w:bCs/>
                <w:i w:val="0"/>
                <w:iCs w:val="0"/>
                <w:color w:val="000000"/>
                <w:sz w:val="24"/>
                <w:szCs w:val="24"/>
                <w:u w:val="none"/>
              </w:rPr>
            </w:pPr>
          </w:p>
        </w:tc>
      </w:tr>
      <w:tr w14:paraId="56362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nil"/>
              <w:left w:val="single" w:color="000000" w:sz="8" w:space="0"/>
              <w:bottom w:val="nil"/>
              <w:right w:val="single" w:color="000000" w:sz="8" w:space="0"/>
            </w:tcBorders>
            <w:shd w:val="clear" w:color="auto" w:fill="auto"/>
            <w:noWrap/>
            <w:vAlign w:val="center"/>
          </w:tcPr>
          <w:p w14:paraId="4001F052">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C3E0491">
            <w:pPr>
              <w:jc w:val="center"/>
              <w:rPr>
                <w:rFonts w:hint="eastAsia" w:ascii="宋体" w:hAnsi="宋体" w:eastAsia="宋体" w:cs="宋体"/>
                <w:i w:val="0"/>
                <w:iCs w:val="0"/>
                <w:color w:val="000000"/>
                <w:sz w:val="24"/>
                <w:szCs w:val="24"/>
                <w:u w:val="none"/>
              </w:rPr>
            </w:pPr>
          </w:p>
        </w:tc>
        <w:tc>
          <w:tcPr>
            <w:tcW w:w="6285" w:type="dxa"/>
            <w:tcBorders>
              <w:top w:val="nil"/>
              <w:left w:val="nil"/>
              <w:bottom w:val="nil"/>
              <w:right w:val="single" w:color="000000" w:sz="8" w:space="0"/>
            </w:tcBorders>
            <w:shd w:val="clear" w:color="auto" w:fill="auto"/>
            <w:vAlign w:val="center"/>
          </w:tcPr>
          <w:p w14:paraId="6A70E0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3.方案满足项目基本需求得1分；</w:t>
            </w:r>
          </w:p>
        </w:tc>
        <w:tc>
          <w:tcPr>
            <w:tcW w:w="1080" w:type="dxa"/>
            <w:vMerge w:val="continue"/>
            <w:tcBorders>
              <w:top w:val="nil"/>
              <w:left w:val="nil"/>
              <w:bottom w:val="single" w:color="000000" w:sz="8" w:space="0"/>
              <w:right w:val="single" w:color="000000" w:sz="8" w:space="0"/>
            </w:tcBorders>
            <w:shd w:val="clear" w:color="auto" w:fill="auto"/>
            <w:vAlign w:val="center"/>
          </w:tcPr>
          <w:p w14:paraId="03026FB1">
            <w:pPr>
              <w:jc w:val="center"/>
              <w:rPr>
                <w:rFonts w:hint="eastAsia" w:ascii="宋体" w:hAnsi="宋体" w:eastAsia="宋体" w:cs="宋体"/>
                <w:b/>
                <w:bCs/>
                <w:i w:val="0"/>
                <w:iCs w:val="0"/>
                <w:color w:val="000000"/>
                <w:sz w:val="24"/>
                <w:szCs w:val="24"/>
                <w:u w:val="none"/>
              </w:rPr>
            </w:pPr>
          </w:p>
        </w:tc>
      </w:tr>
      <w:tr w14:paraId="53E1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nil"/>
              <w:left w:val="single" w:color="000000" w:sz="8" w:space="0"/>
              <w:bottom w:val="nil"/>
              <w:right w:val="single" w:color="000000" w:sz="8" w:space="0"/>
            </w:tcBorders>
            <w:shd w:val="clear" w:color="auto" w:fill="auto"/>
            <w:noWrap/>
            <w:vAlign w:val="center"/>
          </w:tcPr>
          <w:p w14:paraId="39EB19E5">
            <w:pP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1CFD207D">
            <w:pPr>
              <w:jc w:val="center"/>
              <w:rPr>
                <w:rFonts w:hint="eastAsia" w:ascii="宋体" w:hAnsi="宋体" w:eastAsia="宋体" w:cs="宋体"/>
                <w:i w:val="0"/>
                <w:iCs w:val="0"/>
                <w:color w:val="000000"/>
                <w:sz w:val="24"/>
                <w:szCs w:val="24"/>
                <w:u w:val="none"/>
              </w:rPr>
            </w:pPr>
          </w:p>
        </w:tc>
        <w:tc>
          <w:tcPr>
            <w:tcW w:w="6285" w:type="dxa"/>
            <w:tcBorders>
              <w:top w:val="nil"/>
              <w:left w:val="nil"/>
              <w:bottom w:val="single" w:color="000000" w:sz="8" w:space="0"/>
              <w:right w:val="single" w:color="000000" w:sz="8" w:space="0"/>
            </w:tcBorders>
            <w:shd w:val="clear" w:color="auto" w:fill="auto"/>
            <w:vAlign w:val="center"/>
          </w:tcPr>
          <w:p w14:paraId="305232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4.方案未提供不得分。</w:t>
            </w:r>
          </w:p>
        </w:tc>
        <w:tc>
          <w:tcPr>
            <w:tcW w:w="1080" w:type="dxa"/>
            <w:vMerge w:val="continue"/>
            <w:tcBorders>
              <w:top w:val="nil"/>
              <w:left w:val="nil"/>
              <w:bottom w:val="single" w:color="000000" w:sz="8" w:space="0"/>
              <w:right w:val="single" w:color="000000" w:sz="8" w:space="0"/>
            </w:tcBorders>
            <w:shd w:val="clear" w:color="auto" w:fill="auto"/>
            <w:vAlign w:val="center"/>
          </w:tcPr>
          <w:p w14:paraId="3CA50022">
            <w:pPr>
              <w:jc w:val="center"/>
              <w:rPr>
                <w:rFonts w:hint="eastAsia" w:ascii="宋体" w:hAnsi="宋体" w:eastAsia="宋体" w:cs="宋体"/>
                <w:b/>
                <w:bCs/>
                <w:i w:val="0"/>
                <w:iCs w:val="0"/>
                <w:color w:val="000000"/>
                <w:sz w:val="24"/>
                <w:szCs w:val="24"/>
                <w:u w:val="none"/>
              </w:rPr>
            </w:pPr>
          </w:p>
        </w:tc>
      </w:tr>
    </w:tbl>
    <w:p w14:paraId="4575FA63">
      <w:pPr>
        <w:ind w:firstLine="3654" w:firstLineChars="1300"/>
        <w:rPr>
          <w:b/>
          <w:sz w:val="28"/>
          <w:szCs w:val="28"/>
        </w:rPr>
      </w:pPr>
    </w:p>
    <w:p w14:paraId="7468FAE6">
      <w:pPr>
        <w:ind w:firstLine="3654" w:firstLineChars="1300"/>
        <w:rPr>
          <w:b/>
          <w:sz w:val="28"/>
          <w:szCs w:val="28"/>
        </w:rPr>
      </w:pPr>
      <w:r>
        <w:rPr>
          <w:rFonts w:hint="eastAsia"/>
          <w:b/>
          <w:sz w:val="28"/>
          <w:szCs w:val="28"/>
        </w:rPr>
        <w:t>综合标评标办法</w:t>
      </w:r>
    </w:p>
    <w:tbl>
      <w:tblPr>
        <w:tblStyle w:val="1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414"/>
        <w:gridCol w:w="7255"/>
      </w:tblGrid>
      <w:tr w14:paraId="4C8A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2" w:type="dxa"/>
            <w:vMerge w:val="restart"/>
            <w:vAlign w:val="center"/>
          </w:tcPr>
          <w:p w14:paraId="7E65FAB1">
            <w:pPr>
              <w:adjustRightInd w:val="0"/>
              <w:snapToGrid w:val="0"/>
              <w:spacing w:line="360" w:lineRule="auto"/>
              <w:jc w:val="center"/>
              <w:rPr>
                <w:rFonts w:ascii="宋体" w:hAnsi="宋体" w:cs="宋体"/>
                <w:b/>
                <w:sz w:val="24"/>
                <w:szCs w:val="24"/>
                <w:highlight w:val="yellow"/>
              </w:rPr>
            </w:pPr>
            <w:r>
              <w:rPr>
                <w:rFonts w:hint="eastAsia" w:ascii="宋体" w:hAnsi="宋体" w:cs="宋体"/>
                <w:b/>
                <w:sz w:val="24"/>
                <w:szCs w:val="24"/>
              </w:rPr>
              <w:t>综合标（</w:t>
            </w:r>
            <w:r>
              <w:rPr>
                <w:rFonts w:hint="eastAsia" w:ascii="宋体" w:hAnsi="宋体" w:cs="宋体"/>
                <w:b/>
                <w:sz w:val="24"/>
                <w:szCs w:val="24"/>
                <w:lang w:val="en-US" w:eastAsia="zh-CN"/>
              </w:rPr>
              <w:t>20</w:t>
            </w:r>
            <w:r>
              <w:rPr>
                <w:rFonts w:hint="eastAsia" w:ascii="宋体" w:hAnsi="宋体" w:cs="宋体"/>
                <w:b/>
                <w:sz w:val="24"/>
                <w:szCs w:val="24"/>
              </w:rPr>
              <w:t>分）</w:t>
            </w:r>
          </w:p>
        </w:tc>
        <w:tc>
          <w:tcPr>
            <w:tcW w:w="1414" w:type="dxa"/>
            <w:vAlign w:val="center"/>
          </w:tcPr>
          <w:p w14:paraId="14B19A63">
            <w:pPr>
              <w:pageBreakBefore w:val="0"/>
              <w:widowControl/>
              <w:kinsoku/>
              <w:overflowPunct/>
              <w:bidi w:val="0"/>
              <w:spacing w:line="360" w:lineRule="auto"/>
              <w:jc w:val="both"/>
              <w:rPr>
                <w:rFonts w:hint="eastAsia" w:ascii="宋体" w:hAnsi="宋体" w:eastAsia="宋体" w:cs="宋体"/>
                <w:b w:val="0"/>
                <w:bCs w:val="0"/>
                <w:color w:val="auto"/>
                <w:kern w:val="0"/>
                <w:szCs w:val="21"/>
                <w:highlight w:val="none"/>
                <w:lang w:eastAsia="zh-CN"/>
              </w:rPr>
            </w:pPr>
            <w:r>
              <w:rPr>
                <w:rFonts w:hint="eastAsia" w:ascii="宋体" w:hAnsi="宋体" w:eastAsia="宋体" w:cs="宋体"/>
                <w:b w:val="0"/>
                <w:bCs w:val="0"/>
                <w:color w:val="auto"/>
                <w:kern w:val="0"/>
                <w:szCs w:val="21"/>
                <w:highlight w:val="none"/>
                <w:lang w:eastAsia="zh-CN"/>
              </w:rPr>
              <w:t>类似</w:t>
            </w:r>
            <w:r>
              <w:rPr>
                <w:rFonts w:hint="eastAsia" w:ascii="宋体" w:hAnsi="宋体" w:eastAsia="宋体" w:cs="宋体"/>
                <w:b w:val="0"/>
                <w:bCs w:val="0"/>
                <w:color w:val="auto"/>
                <w:kern w:val="0"/>
                <w:szCs w:val="21"/>
                <w:highlight w:val="none"/>
              </w:rPr>
              <w:t>业绩</w:t>
            </w:r>
            <w:r>
              <w:rPr>
                <w:rFonts w:hint="eastAsia" w:ascii="宋体" w:hAnsi="宋体" w:cs="宋体"/>
                <w:b w:val="0"/>
                <w:bCs w:val="0"/>
                <w:color w:val="auto"/>
                <w:kern w:val="0"/>
                <w:szCs w:val="21"/>
                <w:highlight w:val="none"/>
                <w:lang w:eastAsia="zh-CN"/>
              </w:rPr>
              <w:t>（</w:t>
            </w:r>
            <w:r>
              <w:rPr>
                <w:rFonts w:hint="eastAsia" w:cs="宋体"/>
                <w:b w:val="0"/>
                <w:bCs w:val="0"/>
                <w:color w:val="auto"/>
                <w:kern w:val="0"/>
                <w:szCs w:val="21"/>
                <w:highlight w:val="none"/>
                <w:lang w:val="en-US" w:eastAsia="zh-CN"/>
              </w:rPr>
              <w:t>10</w:t>
            </w:r>
            <w:r>
              <w:rPr>
                <w:rFonts w:hint="eastAsia" w:ascii="宋体" w:hAnsi="宋体" w:eastAsia="宋体" w:cs="宋体"/>
                <w:b w:val="0"/>
                <w:bCs w:val="0"/>
                <w:color w:val="auto"/>
                <w:kern w:val="0"/>
                <w:szCs w:val="21"/>
                <w:highlight w:val="none"/>
              </w:rPr>
              <w:t>分</w:t>
            </w:r>
            <w:r>
              <w:rPr>
                <w:rFonts w:hint="eastAsia" w:ascii="宋体" w:hAnsi="宋体" w:cs="宋体"/>
                <w:b w:val="0"/>
                <w:bCs w:val="0"/>
                <w:color w:val="auto"/>
                <w:kern w:val="0"/>
                <w:szCs w:val="21"/>
                <w:highlight w:val="none"/>
                <w:lang w:eastAsia="zh-CN"/>
              </w:rPr>
              <w:t>）</w:t>
            </w:r>
          </w:p>
          <w:p w14:paraId="549B5B1F">
            <w:pPr>
              <w:pageBreakBefore w:val="0"/>
              <w:widowControl/>
              <w:kinsoku/>
              <w:overflowPunct/>
              <w:bidi w:val="0"/>
              <w:spacing w:line="360" w:lineRule="auto"/>
              <w:jc w:val="center"/>
              <w:rPr>
                <w:rFonts w:hint="eastAsia" w:ascii="宋体" w:hAnsi="宋体" w:cs="宋体"/>
                <w:b w:val="0"/>
                <w:bCs w:val="0"/>
                <w:szCs w:val="21"/>
              </w:rPr>
            </w:pPr>
          </w:p>
        </w:tc>
        <w:tc>
          <w:tcPr>
            <w:tcW w:w="7255" w:type="dxa"/>
            <w:vAlign w:val="center"/>
          </w:tcPr>
          <w:p w14:paraId="49CF8CC2">
            <w:pPr>
              <w:pStyle w:val="11"/>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提供20</w:t>
            </w:r>
            <w:r>
              <w:rPr>
                <w:rFonts w:hint="eastAsia"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年</w:t>
            </w:r>
            <w:r>
              <w:rPr>
                <w:rFonts w:hint="eastAsia" w:hAnsi="宋体" w:cs="宋体"/>
                <w:color w:val="auto"/>
                <w:kern w:val="0"/>
                <w:szCs w:val="21"/>
                <w:highlight w:val="none"/>
                <w:lang w:val="en-US" w:eastAsia="zh-CN"/>
              </w:rPr>
              <w:t>1月</w:t>
            </w:r>
            <w:r>
              <w:rPr>
                <w:rFonts w:hint="eastAsia" w:ascii="宋体" w:hAnsi="宋体" w:eastAsia="宋体" w:cs="宋体"/>
                <w:color w:val="auto"/>
                <w:kern w:val="0"/>
                <w:szCs w:val="21"/>
                <w:highlight w:val="none"/>
              </w:rPr>
              <w:t>以来已完成的</w:t>
            </w:r>
            <w:r>
              <w:rPr>
                <w:rFonts w:hint="eastAsia" w:hAnsi="宋体" w:cs="宋体"/>
                <w:color w:val="auto"/>
                <w:kern w:val="0"/>
                <w:szCs w:val="21"/>
                <w:highlight w:val="none"/>
                <w:lang w:eastAsia="zh-CN"/>
              </w:rPr>
              <w:t>或正在进行的</w:t>
            </w:r>
            <w:r>
              <w:rPr>
                <w:rFonts w:hint="eastAsia" w:ascii="宋体" w:hAnsi="宋体" w:eastAsia="宋体" w:cs="宋体"/>
                <w:color w:val="auto"/>
                <w:kern w:val="0"/>
                <w:szCs w:val="21"/>
                <w:highlight w:val="none"/>
              </w:rPr>
              <w:t>类似项目业绩合同，每提供1份得</w:t>
            </w:r>
            <w:r>
              <w:rPr>
                <w:rFonts w:hint="eastAsia" w:hAnsi="宋体" w:cs="宋体"/>
                <w:color w:val="auto"/>
                <w:kern w:val="0"/>
                <w:szCs w:val="21"/>
                <w:highlight w:val="none"/>
                <w:lang w:val="en-US" w:eastAsia="zh-CN"/>
              </w:rPr>
              <w:t>5</w:t>
            </w:r>
            <w:r>
              <w:rPr>
                <w:rFonts w:hint="eastAsia" w:ascii="宋体" w:hAnsi="宋体" w:eastAsia="宋体" w:cs="宋体"/>
                <w:color w:val="auto"/>
                <w:kern w:val="0"/>
                <w:szCs w:val="21"/>
                <w:highlight w:val="none"/>
              </w:rPr>
              <w:t>分，最高得</w:t>
            </w:r>
            <w:r>
              <w:rPr>
                <w:rFonts w:hint="eastAsia" w:hAnsi="宋体" w:cs="宋体"/>
                <w:color w:val="auto"/>
                <w:kern w:val="0"/>
                <w:szCs w:val="21"/>
                <w:highlight w:val="none"/>
                <w:lang w:val="en-US" w:eastAsia="zh-CN"/>
              </w:rPr>
              <w:t>10</w:t>
            </w:r>
            <w:r>
              <w:rPr>
                <w:rFonts w:hint="eastAsia" w:ascii="宋体" w:hAnsi="宋体" w:eastAsia="宋体" w:cs="宋体"/>
                <w:color w:val="auto"/>
                <w:kern w:val="0"/>
                <w:szCs w:val="21"/>
                <w:highlight w:val="none"/>
              </w:rPr>
              <w:t>分，没有不得分。</w:t>
            </w:r>
          </w:p>
          <w:p w14:paraId="5CDC6F51">
            <w:pPr>
              <w:pStyle w:val="11"/>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cs="宋体"/>
                <w:szCs w:val="21"/>
              </w:rPr>
            </w:pPr>
            <w:r>
              <w:rPr>
                <w:rFonts w:hint="eastAsia" w:hAnsi="宋体"/>
                <w:color w:val="000000"/>
                <w:szCs w:val="21"/>
              </w:rPr>
              <w:t>（需提供合同，时间以合同签订日期为准，投标文件中附原件扫描件。）</w:t>
            </w:r>
          </w:p>
        </w:tc>
      </w:tr>
      <w:tr w14:paraId="3942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2" w:type="dxa"/>
            <w:vMerge w:val="continue"/>
            <w:vAlign w:val="center"/>
          </w:tcPr>
          <w:p w14:paraId="3E0129DB">
            <w:pPr>
              <w:adjustRightInd w:val="0"/>
              <w:snapToGrid w:val="0"/>
              <w:spacing w:line="360" w:lineRule="auto"/>
              <w:jc w:val="center"/>
              <w:rPr>
                <w:rFonts w:ascii="宋体" w:hAnsi="宋体" w:cs="宋体"/>
                <w:b/>
                <w:sz w:val="24"/>
                <w:szCs w:val="24"/>
                <w:highlight w:val="yellow"/>
              </w:rPr>
            </w:pPr>
          </w:p>
        </w:tc>
        <w:tc>
          <w:tcPr>
            <w:tcW w:w="1414" w:type="dxa"/>
            <w:vAlign w:val="center"/>
          </w:tcPr>
          <w:p w14:paraId="782080DE">
            <w:pPr>
              <w:snapToGrid w:val="0"/>
              <w:spacing w:line="360" w:lineRule="exact"/>
              <w:rPr>
                <w:rFonts w:hint="default" w:ascii="宋体" w:hAnsi="宋体" w:cs="宋体"/>
                <w:b w:val="0"/>
                <w:bCs w:val="0"/>
                <w:szCs w:val="21"/>
                <w:lang w:val="en-US"/>
              </w:rPr>
            </w:pPr>
            <w:r>
              <w:rPr>
                <w:rFonts w:hint="eastAsia" w:cs="宋体"/>
                <w:b w:val="0"/>
                <w:bCs w:val="0"/>
                <w:color w:val="auto"/>
                <w:kern w:val="0"/>
                <w:szCs w:val="21"/>
                <w:highlight w:val="none"/>
                <w:lang w:eastAsia="zh-CN"/>
              </w:rPr>
              <w:t>人员要求承诺（</w:t>
            </w:r>
            <w:r>
              <w:rPr>
                <w:rFonts w:hint="eastAsia" w:cs="宋体"/>
                <w:b w:val="0"/>
                <w:bCs w:val="0"/>
                <w:color w:val="auto"/>
                <w:kern w:val="0"/>
                <w:szCs w:val="21"/>
                <w:highlight w:val="none"/>
                <w:lang w:val="en-US" w:eastAsia="zh-CN"/>
              </w:rPr>
              <w:t>10分）</w:t>
            </w:r>
          </w:p>
        </w:tc>
        <w:tc>
          <w:tcPr>
            <w:tcW w:w="7255" w:type="dxa"/>
            <w:vAlign w:val="center"/>
          </w:tcPr>
          <w:p w14:paraId="210E2A72">
            <w:pPr>
              <w:snapToGrid w:val="0"/>
              <w:spacing w:line="360" w:lineRule="exact"/>
              <w:rPr>
                <w:rFonts w:hint="eastAsia" w:ascii="宋体" w:hAnsi="宋体" w:eastAsia="宋体" w:cs="Courier New"/>
                <w:color w:val="000000"/>
                <w:kern w:val="2"/>
                <w:sz w:val="21"/>
                <w:szCs w:val="21"/>
                <w:lang w:val="en-US" w:eastAsia="zh-CN" w:bidi="ar-SA"/>
              </w:rPr>
            </w:pPr>
            <w:r>
              <w:rPr>
                <w:rFonts w:hint="eastAsia" w:ascii="宋体" w:hAnsi="宋体" w:eastAsia="宋体" w:cs="Courier New"/>
                <w:color w:val="000000"/>
                <w:kern w:val="2"/>
                <w:sz w:val="21"/>
                <w:szCs w:val="21"/>
                <w:lang w:val="en-US" w:eastAsia="zh-CN" w:bidi="ar-SA"/>
              </w:rPr>
              <w:t>根据采购文件要求及供应商提供的人员配备及组织情况：</w:t>
            </w:r>
          </w:p>
          <w:p w14:paraId="62BF045E">
            <w:pPr>
              <w:snapToGrid w:val="0"/>
              <w:spacing w:line="360" w:lineRule="exact"/>
              <w:rPr>
                <w:rFonts w:hint="eastAsia" w:ascii="宋体" w:hAnsi="宋体" w:eastAsia="宋体" w:cs="Courier New"/>
                <w:color w:val="000000"/>
                <w:kern w:val="2"/>
                <w:sz w:val="21"/>
                <w:szCs w:val="21"/>
                <w:lang w:val="en-US" w:eastAsia="zh-CN" w:bidi="ar-SA"/>
              </w:rPr>
            </w:pPr>
            <w:r>
              <w:rPr>
                <w:rFonts w:hint="eastAsia" w:ascii="宋体" w:hAnsi="宋体" w:eastAsia="宋体" w:cs="Courier New"/>
                <w:color w:val="000000"/>
                <w:kern w:val="2"/>
                <w:sz w:val="21"/>
                <w:szCs w:val="21"/>
                <w:lang w:val="en-US" w:eastAsia="zh-CN" w:bidi="ar-SA"/>
              </w:rPr>
              <w:t>1、承诺如中标后，提供不少于2名具有厨师资格证书人员得5分；</w:t>
            </w:r>
          </w:p>
          <w:p w14:paraId="25BD80CD">
            <w:pPr>
              <w:snapToGrid w:val="0"/>
              <w:spacing w:line="360" w:lineRule="exact"/>
              <w:rPr>
                <w:rFonts w:hint="eastAsia" w:ascii="宋体" w:hAnsi="宋体" w:eastAsia="宋体" w:cs="Courier New"/>
                <w:color w:val="000000"/>
                <w:kern w:val="2"/>
                <w:sz w:val="21"/>
                <w:szCs w:val="21"/>
                <w:lang w:val="en-US" w:eastAsia="zh-CN" w:bidi="ar-SA"/>
              </w:rPr>
            </w:pPr>
            <w:r>
              <w:rPr>
                <w:rFonts w:hint="eastAsia" w:ascii="宋体" w:hAnsi="宋体" w:eastAsia="宋体" w:cs="Courier New"/>
                <w:color w:val="000000"/>
                <w:kern w:val="2"/>
                <w:sz w:val="21"/>
                <w:szCs w:val="21"/>
                <w:lang w:val="en-US" w:eastAsia="zh-CN" w:bidi="ar-SA"/>
              </w:rPr>
              <w:t>2、承诺如中标后，提供不少于20名具有母婴养护师资格证书的月嫂得5分；</w:t>
            </w:r>
          </w:p>
          <w:p w14:paraId="2ED2EF47">
            <w:pPr>
              <w:pStyle w:val="22"/>
              <w:rPr>
                <w:rFonts w:hint="eastAsia"/>
              </w:rPr>
            </w:pPr>
            <w:r>
              <w:rPr>
                <w:rFonts w:hint="eastAsia" w:ascii="宋体" w:hAnsi="宋体" w:eastAsia="宋体" w:cs="Courier New"/>
                <w:color w:val="000000"/>
                <w:kern w:val="2"/>
                <w:sz w:val="21"/>
                <w:szCs w:val="21"/>
                <w:lang w:val="en-US" w:eastAsia="zh-CN" w:bidi="ar-SA"/>
              </w:rPr>
              <w:t>未承诺不得分。</w:t>
            </w:r>
          </w:p>
        </w:tc>
      </w:tr>
      <w:tr w14:paraId="55E5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851" w:type="dxa"/>
            <w:gridSpan w:val="3"/>
            <w:vAlign w:val="center"/>
          </w:tcPr>
          <w:p w14:paraId="58C7F835">
            <w:pPr>
              <w:spacing w:line="360" w:lineRule="auto"/>
              <w:rPr>
                <w:szCs w:val="21"/>
              </w:rPr>
            </w:pPr>
            <w:r>
              <w:rPr>
                <w:rFonts w:hint="eastAsia"/>
                <w:szCs w:val="21"/>
              </w:rPr>
              <w:t>以上各项，缺项得0分。</w:t>
            </w:r>
          </w:p>
        </w:tc>
      </w:tr>
    </w:tbl>
    <w:p w14:paraId="064DE64F">
      <w:pPr>
        <w:spacing w:line="360" w:lineRule="auto"/>
        <w:ind w:firstLine="422" w:firstLineChars="200"/>
        <w:rPr>
          <w:b/>
        </w:rPr>
      </w:pPr>
    </w:p>
    <w:p w14:paraId="385BB535">
      <w:pPr>
        <w:spacing w:line="360" w:lineRule="auto"/>
        <w:ind w:firstLine="422" w:firstLineChars="200"/>
        <w:rPr>
          <w:b/>
        </w:rPr>
      </w:pPr>
      <w:r>
        <w:rPr>
          <w:rFonts w:hint="eastAsia"/>
          <w:b/>
        </w:rPr>
        <w:t>注：1、本评标办法中与本招标文件其他处内容不一致时，以本评标办法为准，若本评标办法前附表与评标办法正文、附件不一致时以评标前附表为准，本评标办法总分值与分项分值不一致时，以分项分值为准（明显有误除外）</w:t>
      </w:r>
    </w:p>
    <w:p w14:paraId="0504B23B">
      <w:pPr>
        <w:spacing w:line="360" w:lineRule="auto"/>
        <w:ind w:firstLine="632" w:firstLineChars="300"/>
        <w:rPr>
          <w:rFonts w:ascii="宋体" w:hAnsi="宋体"/>
        </w:rPr>
        <w:sectPr>
          <w:footerReference r:id="rId3" w:type="default"/>
          <w:pgSz w:w="11906" w:h="16838"/>
          <w:pgMar w:top="1418" w:right="1134" w:bottom="1418" w:left="1134" w:header="851" w:footer="992" w:gutter="0"/>
          <w:pgNumType w:fmt="decimal" w:start="1"/>
          <w:cols w:space="720" w:num="1"/>
          <w:docGrid w:type="lines" w:linePitch="312" w:charSpace="0"/>
        </w:sectPr>
      </w:pPr>
      <w:r>
        <w:rPr>
          <w:rFonts w:hint="eastAsia"/>
          <w:b/>
        </w:rPr>
        <w:t>2、本评标办法中涉及的证件均以扫描件为准，未提供扫描件的或扫描件模糊无法辨别的不得分。</w:t>
      </w:r>
    </w:p>
    <w:p w14:paraId="6E38BC7E">
      <w:pPr>
        <w:pStyle w:val="3"/>
        <w:rPr>
          <w:rFonts w:ascii="宋体" w:hAnsi="宋体" w:eastAsia="宋体"/>
        </w:rPr>
      </w:pPr>
      <w:bookmarkStart w:id="232" w:name="_Toc184635093"/>
      <w:bookmarkStart w:id="233" w:name="_Toc25139"/>
      <w:bookmarkStart w:id="234" w:name="_Toc512597559"/>
      <w:r>
        <w:rPr>
          <w:rFonts w:hint="eastAsia" w:ascii="宋体" w:hAnsi="宋体" w:eastAsia="宋体"/>
        </w:rPr>
        <w:t>1、评标方法</w:t>
      </w:r>
      <w:bookmarkEnd w:id="232"/>
      <w:bookmarkEnd w:id="233"/>
      <w:bookmarkEnd w:id="234"/>
    </w:p>
    <w:p w14:paraId="72AB4396">
      <w:pPr>
        <w:spacing w:line="400" w:lineRule="exact"/>
        <w:ind w:firstLine="420" w:firstLineChars="200"/>
        <w:rPr>
          <w:rFonts w:ascii="宋体" w:hAnsi="宋体"/>
        </w:rPr>
      </w:pPr>
      <w:r>
        <w:rPr>
          <w:rFonts w:hint="eastAsia" w:ascii="宋体" w:hAnsi="宋体"/>
        </w:rPr>
        <w:t>本次评标采用综合评分法。评标委员会对满足招标文件实质性要求的投标文件，按照本章规定的评分标准进行打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2F59A9A">
      <w:pPr>
        <w:pStyle w:val="3"/>
        <w:rPr>
          <w:rFonts w:ascii="宋体" w:hAnsi="宋体" w:eastAsia="宋体"/>
        </w:rPr>
      </w:pPr>
      <w:bookmarkStart w:id="235" w:name="_Toc184635094"/>
      <w:bookmarkStart w:id="236" w:name="_Toc12755"/>
      <w:bookmarkStart w:id="237" w:name="_Toc512597560"/>
      <w:r>
        <w:rPr>
          <w:rFonts w:hint="eastAsia" w:ascii="宋体" w:hAnsi="宋体" w:eastAsia="宋体"/>
        </w:rPr>
        <w:t>2、评审标准</w:t>
      </w:r>
      <w:bookmarkEnd w:id="235"/>
      <w:bookmarkEnd w:id="236"/>
      <w:bookmarkEnd w:id="237"/>
    </w:p>
    <w:p w14:paraId="47B515C0">
      <w:pPr>
        <w:pStyle w:val="4"/>
        <w:rPr>
          <w:rFonts w:ascii="宋体" w:hAnsi="宋体"/>
        </w:rPr>
      </w:pPr>
      <w:bookmarkStart w:id="238" w:name="_Toc512597561"/>
      <w:bookmarkStart w:id="239" w:name="_Toc6170"/>
      <w:bookmarkStart w:id="240" w:name="_Toc23628"/>
      <w:r>
        <w:rPr>
          <w:rFonts w:hint="eastAsia" w:ascii="宋体" w:hAnsi="宋体"/>
        </w:rPr>
        <w:t>2.1 初步评审标准</w:t>
      </w:r>
      <w:bookmarkEnd w:id="238"/>
      <w:bookmarkEnd w:id="239"/>
      <w:bookmarkEnd w:id="240"/>
    </w:p>
    <w:p w14:paraId="27917910">
      <w:pPr>
        <w:spacing w:line="360" w:lineRule="auto"/>
        <w:ind w:firstLine="420" w:firstLineChars="200"/>
        <w:rPr>
          <w:rFonts w:ascii="宋体" w:hAnsi="宋体"/>
        </w:rPr>
      </w:pPr>
      <w:r>
        <w:rPr>
          <w:rFonts w:hint="eastAsia" w:ascii="宋体" w:hAnsi="宋体"/>
        </w:rPr>
        <w:t>2.1.1 资格评审标准：见评标办法前附表（资格评审由采购人或代理进行评审）。</w:t>
      </w:r>
    </w:p>
    <w:p w14:paraId="1FC22269">
      <w:pPr>
        <w:spacing w:line="360" w:lineRule="auto"/>
        <w:ind w:firstLine="420" w:firstLineChars="200"/>
        <w:rPr>
          <w:rFonts w:ascii="宋体" w:hAnsi="宋体"/>
        </w:rPr>
      </w:pPr>
      <w:r>
        <w:rPr>
          <w:rFonts w:hint="eastAsia" w:ascii="宋体" w:hAnsi="宋体"/>
        </w:rPr>
        <w:t>2.1.2 初步评审标准：见评标办法前附表。</w:t>
      </w:r>
    </w:p>
    <w:p w14:paraId="44D74582">
      <w:pPr>
        <w:pStyle w:val="4"/>
        <w:rPr>
          <w:rFonts w:ascii="宋体" w:hAnsi="宋体"/>
        </w:rPr>
      </w:pPr>
      <w:bookmarkStart w:id="241" w:name="_Toc26984"/>
      <w:bookmarkStart w:id="242" w:name="_Toc512597562"/>
      <w:bookmarkStart w:id="243" w:name="_Toc2823"/>
      <w:r>
        <w:rPr>
          <w:rFonts w:hint="eastAsia" w:ascii="宋体" w:hAnsi="宋体"/>
        </w:rPr>
        <w:t>2.2 分值构成与评分标准</w:t>
      </w:r>
      <w:bookmarkEnd w:id="241"/>
      <w:bookmarkEnd w:id="242"/>
      <w:bookmarkEnd w:id="243"/>
    </w:p>
    <w:p w14:paraId="09B1941E">
      <w:pPr>
        <w:spacing w:line="360" w:lineRule="auto"/>
        <w:ind w:firstLine="420" w:firstLineChars="200"/>
        <w:rPr>
          <w:rFonts w:ascii="宋体" w:hAnsi="宋体"/>
        </w:rPr>
      </w:pPr>
      <w:r>
        <w:rPr>
          <w:rFonts w:hint="eastAsia" w:ascii="宋体" w:hAnsi="宋体"/>
        </w:rPr>
        <w:t>2.2.1 分值构成</w:t>
      </w:r>
    </w:p>
    <w:p w14:paraId="5D379D75">
      <w:pPr>
        <w:spacing w:line="360" w:lineRule="auto"/>
        <w:ind w:firstLine="420" w:firstLineChars="200"/>
        <w:rPr>
          <w:rFonts w:ascii="宋体" w:hAnsi="宋体"/>
        </w:rPr>
      </w:pPr>
      <w:r>
        <w:rPr>
          <w:rFonts w:hint="eastAsia" w:ascii="宋体" w:hAnsi="宋体"/>
        </w:rPr>
        <w:t>(l）报价部分：见评标办法前附表；</w:t>
      </w:r>
    </w:p>
    <w:p w14:paraId="5612EBDD">
      <w:pPr>
        <w:numPr>
          <w:ilvl w:val="0"/>
          <w:numId w:val="1"/>
        </w:numPr>
        <w:spacing w:line="360" w:lineRule="auto"/>
        <w:ind w:firstLine="420" w:firstLineChars="200"/>
        <w:rPr>
          <w:rFonts w:ascii="宋体" w:hAnsi="宋体"/>
        </w:rPr>
      </w:pPr>
      <w:r>
        <w:rPr>
          <w:rFonts w:hint="eastAsia" w:ascii="宋体" w:hAnsi="宋体"/>
        </w:rPr>
        <w:t>技术部分：见评标办法前附表；</w:t>
      </w:r>
    </w:p>
    <w:p w14:paraId="79D08F1A">
      <w:pPr>
        <w:spacing w:line="360" w:lineRule="auto"/>
        <w:ind w:firstLine="420" w:firstLineChars="200"/>
        <w:rPr>
          <w:rFonts w:ascii="宋体" w:hAnsi="宋体"/>
        </w:rPr>
      </w:pPr>
      <w:r>
        <w:rPr>
          <w:rFonts w:hint="eastAsia" w:ascii="宋体" w:hAnsi="宋体"/>
        </w:rPr>
        <w:t>(3）综合部分：见评标办法前附表；</w:t>
      </w:r>
    </w:p>
    <w:p w14:paraId="3F9BB94E">
      <w:pPr>
        <w:spacing w:line="360" w:lineRule="auto"/>
        <w:ind w:firstLine="420" w:firstLineChars="200"/>
        <w:rPr>
          <w:rFonts w:ascii="宋体" w:hAnsi="宋体"/>
        </w:rPr>
      </w:pPr>
      <w:r>
        <w:rPr>
          <w:rFonts w:hint="eastAsia" w:ascii="宋体" w:hAnsi="宋体"/>
        </w:rPr>
        <w:t>2.2.2 评标基准价计算</w:t>
      </w:r>
    </w:p>
    <w:p w14:paraId="345C4EF0">
      <w:pPr>
        <w:spacing w:line="360" w:lineRule="auto"/>
        <w:ind w:firstLine="420" w:firstLineChars="200"/>
        <w:rPr>
          <w:rFonts w:ascii="宋体" w:hAnsi="宋体"/>
        </w:rPr>
      </w:pPr>
      <w:r>
        <w:rPr>
          <w:rFonts w:hint="eastAsia" w:ascii="宋体" w:hAnsi="宋体"/>
        </w:rPr>
        <w:t>评标基准价计算方法：见评标办法前附表。</w:t>
      </w:r>
    </w:p>
    <w:p w14:paraId="32BBE9E8">
      <w:pPr>
        <w:spacing w:line="360" w:lineRule="auto"/>
        <w:ind w:firstLine="420" w:firstLineChars="200"/>
        <w:rPr>
          <w:rFonts w:ascii="宋体" w:hAnsi="宋体"/>
        </w:rPr>
      </w:pPr>
      <w:r>
        <w:rPr>
          <w:rFonts w:hint="eastAsia" w:ascii="宋体" w:hAnsi="宋体"/>
        </w:rPr>
        <w:t>2.2.3 评分标准</w:t>
      </w:r>
      <w:bookmarkStart w:id="244" w:name="_Toc184635095"/>
      <w:r>
        <w:rPr>
          <w:rFonts w:hint="eastAsia" w:ascii="宋体" w:hAnsi="宋体"/>
        </w:rPr>
        <w:t>:见评标办法前附表；</w:t>
      </w:r>
    </w:p>
    <w:p w14:paraId="2BB8CE3A">
      <w:pPr>
        <w:pStyle w:val="3"/>
        <w:rPr>
          <w:rFonts w:ascii="宋体" w:hAnsi="宋体" w:eastAsia="宋体"/>
        </w:rPr>
      </w:pPr>
      <w:bookmarkStart w:id="245" w:name="_Toc17876"/>
      <w:bookmarkStart w:id="246" w:name="_Toc512597563"/>
      <w:r>
        <w:rPr>
          <w:rFonts w:hint="eastAsia" w:ascii="宋体" w:hAnsi="宋体" w:eastAsia="宋体"/>
        </w:rPr>
        <w:t>3、评标程序</w:t>
      </w:r>
      <w:bookmarkEnd w:id="244"/>
      <w:bookmarkEnd w:id="245"/>
      <w:bookmarkEnd w:id="246"/>
    </w:p>
    <w:p w14:paraId="37107F7D">
      <w:pPr>
        <w:pStyle w:val="4"/>
        <w:rPr>
          <w:rFonts w:ascii="宋体" w:hAnsi="宋体"/>
        </w:rPr>
      </w:pPr>
      <w:bookmarkStart w:id="247" w:name="_Toc26030"/>
      <w:bookmarkStart w:id="248" w:name="_Toc512597564"/>
      <w:bookmarkStart w:id="249" w:name="_Toc3104"/>
      <w:r>
        <w:rPr>
          <w:rFonts w:hint="eastAsia" w:ascii="宋体" w:hAnsi="宋体"/>
        </w:rPr>
        <w:t>3.1 资格评审</w:t>
      </w:r>
      <w:bookmarkEnd w:id="247"/>
      <w:bookmarkEnd w:id="248"/>
      <w:bookmarkEnd w:id="249"/>
    </w:p>
    <w:p w14:paraId="20D908B8">
      <w:pPr>
        <w:spacing w:line="360" w:lineRule="auto"/>
        <w:ind w:firstLine="420" w:firstLineChars="200"/>
        <w:rPr>
          <w:rFonts w:ascii="宋体" w:hAnsi="宋体"/>
        </w:rPr>
      </w:pPr>
      <w:r>
        <w:rPr>
          <w:rFonts w:hint="eastAsia" w:ascii="宋体" w:hAnsi="宋体"/>
        </w:rPr>
        <w:t>3.1.1 采购人或者采购代理机构依据评标办法前附表1.1对投标人的资格进行审查。有一项不符合评审标准的，资格评审不通过。</w:t>
      </w:r>
    </w:p>
    <w:p w14:paraId="45410ED4">
      <w:pPr>
        <w:spacing w:line="360" w:lineRule="auto"/>
        <w:rPr>
          <w:rFonts w:ascii="宋体" w:hAnsi="宋体"/>
          <w:b/>
          <w:sz w:val="24"/>
          <w:szCs w:val="22"/>
        </w:rPr>
      </w:pPr>
      <w:r>
        <w:rPr>
          <w:rFonts w:hint="eastAsia" w:ascii="宋体" w:hAnsi="宋体"/>
          <w:b/>
          <w:sz w:val="24"/>
          <w:szCs w:val="22"/>
        </w:rPr>
        <w:t>3.2 初步评审</w:t>
      </w:r>
    </w:p>
    <w:p w14:paraId="69963EA4">
      <w:pPr>
        <w:spacing w:line="360" w:lineRule="auto"/>
        <w:ind w:firstLine="482" w:firstLineChars="200"/>
      </w:pPr>
      <w:r>
        <w:rPr>
          <w:rFonts w:hint="eastAsia" w:ascii="宋体" w:hAnsi="宋体"/>
          <w:b/>
          <w:sz w:val="24"/>
          <w:szCs w:val="22"/>
        </w:rPr>
        <w:t>3.2.1</w:t>
      </w:r>
      <w:r>
        <w:rPr>
          <w:rFonts w:hint="eastAsia" w:ascii="宋体" w:hAnsi="宋体"/>
        </w:rPr>
        <w:t>评标委员会依据评标办法前附表1.2对投标人进行初步评审。有一项不符合评审标准的，初步评审不通过。</w:t>
      </w:r>
    </w:p>
    <w:p w14:paraId="237D4D8B">
      <w:pPr>
        <w:spacing w:line="360" w:lineRule="auto"/>
        <w:ind w:firstLine="422" w:firstLineChars="200"/>
        <w:rPr>
          <w:rFonts w:ascii="宋体" w:hAnsi="宋体"/>
          <w:b/>
          <w:bCs/>
        </w:rPr>
      </w:pPr>
      <w:r>
        <w:rPr>
          <w:rFonts w:hint="eastAsia" w:ascii="宋体" w:hAnsi="宋体"/>
          <w:b/>
          <w:bCs/>
        </w:rPr>
        <w:t>3.2.2 投标人有以下情形之一的，其投标将被否决：</w:t>
      </w:r>
    </w:p>
    <w:p w14:paraId="03513D16">
      <w:pPr>
        <w:spacing w:line="360" w:lineRule="auto"/>
        <w:ind w:firstLine="422" w:firstLineChars="200"/>
        <w:rPr>
          <w:rFonts w:ascii="宋体" w:hAnsi="宋体"/>
          <w:b/>
          <w:bCs/>
        </w:rPr>
      </w:pPr>
      <w:r>
        <w:rPr>
          <w:rFonts w:hint="eastAsia" w:ascii="宋体" w:hAnsi="宋体"/>
          <w:b/>
          <w:bCs/>
        </w:rPr>
        <w:t>(l）串通投标或弄虚作假或有其他违法行为的；</w:t>
      </w:r>
    </w:p>
    <w:p w14:paraId="74E40788">
      <w:pPr>
        <w:spacing w:line="360" w:lineRule="auto"/>
        <w:ind w:firstLine="422" w:firstLineChars="200"/>
        <w:rPr>
          <w:rFonts w:ascii="宋体" w:hAnsi="宋体"/>
          <w:b/>
          <w:bCs/>
        </w:rPr>
      </w:pPr>
      <w:r>
        <w:rPr>
          <w:rFonts w:hint="eastAsia" w:ascii="宋体" w:hAnsi="宋体"/>
          <w:b/>
          <w:bCs/>
        </w:rPr>
        <w:t>(2）不按评标委员会要求澄清、说明或补正的。</w:t>
      </w:r>
    </w:p>
    <w:p w14:paraId="37C1D54D">
      <w:pPr>
        <w:autoSpaceDE w:val="0"/>
        <w:autoSpaceDN w:val="0"/>
        <w:adjustRightInd w:val="0"/>
        <w:snapToGrid w:val="0"/>
        <w:spacing w:before="156" w:beforeLines="50" w:line="360" w:lineRule="auto"/>
        <w:ind w:firstLine="1058" w:firstLineChars="504"/>
        <w:jc w:val="left"/>
        <w:rPr>
          <w:rFonts w:ascii="宋体" w:hAnsi="宋体"/>
          <w:kern w:val="0"/>
        </w:rPr>
      </w:pPr>
      <w:r>
        <w:rPr>
          <w:rFonts w:hint="eastAsia" w:ascii="宋体" w:hAnsi="宋体"/>
          <w:kern w:val="0"/>
        </w:rPr>
        <w:t>3.2.2.1有下列情形之一的，视为投标人相互串通投标：</w:t>
      </w:r>
    </w:p>
    <w:p w14:paraId="1B671D32">
      <w:pPr>
        <w:autoSpaceDE w:val="0"/>
        <w:autoSpaceDN w:val="0"/>
        <w:adjustRightInd w:val="0"/>
        <w:snapToGrid w:val="0"/>
        <w:spacing w:before="156" w:beforeLines="50" w:line="360" w:lineRule="auto"/>
        <w:ind w:firstLine="1058" w:firstLineChars="504"/>
        <w:jc w:val="left"/>
        <w:rPr>
          <w:rFonts w:ascii="宋体" w:hAnsi="宋体"/>
          <w:kern w:val="0"/>
        </w:rPr>
      </w:pPr>
      <w:r>
        <w:rPr>
          <w:rFonts w:hint="eastAsia" w:ascii="宋体" w:hAnsi="宋体"/>
          <w:kern w:val="0"/>
        </w:rPr>
        <w:t xml:space="preserve"> （1）不同投标人的投标文件由同一单位或者个人编制；</w:t>
      </w:r>
    </w:p>
    <w:p w14:paraId="17F9F569">
      <w:pPr>
        <w:autoSpaceDE w:val="0"/>
        <w:autoSpaceDN w:val="0"/>
        <w:adjustRightInd w:val="0"/>
        <w:snapToGrid w:val="0"/>
        <w:spacing w:before="156" w:beforeLines="50" w:line="360" w:lineRule="auto"/>
        <w:ind w:firstLine="1058" w:firstLineChars="504"/>
        <w:jc w:val="left"/>
        <w:rPr>
          <w:rFonts w:ascii="宋体" w:hAnsi="宋体"/>
          <w:kern w:val="0"/>
        </w:rPr>
      </w:pPr>
      <w:r>
        <w:rPr>
          <w:rFonts w:hint="eastAsia" w:ascii="宋体" w:hAnsi="宋体"/>
          <w:kern w:val="0"/>
        </w:rPr>
        <w:t>（2）不同投标人委托同一单位或者个人办理投标事宜；</w:t>
      </w:r>
    </w:p>
    <w:p w14:paraId="5110A020">
      <w:pPr>
        <w:autoSpaceDE w:val="0"/>
        <w:autoSpaceDN w:val="0"/>
        <w:adjustRightInd w:val="0"/>
        <w:snapToGrid w:val="0"/>
        <w:spacing w:before="156" w:beforeLines="50" w:line="360" w:lineRule="auto"/>
        <w:ind w:firstLine="1058" w:firstLineChars="504"/>
        <w:jc w:val="left"/>
        <w:rPr>
          <w:rFonts w:ascii="宋体" w:hAnsi="宋体"/>
          <w:kern w:val="0"/>
        </w:rPr>
      </w:pPr>
      <w:r>
        <w:rPr>
          <w:rFonts w:hint="eastAsia" w:ascii="宋体" w:hAnsi="宋体"/>
          <w:kern w:val="0"/>
        </w:rPr>
        <w:t>（3）不同投标人的投标文件载明的项目管理成员为同一人；</w:t>
      </w:r>
    </w:p>
    <w:p w14:paraId="3EB8EC5B">
      <w:pPr>
        <w:autoSpaceDE w:val="0"/>
        <w:autoSpaceDN w:val="0"/>
        <w:adjustRightInd w:val="0"/>
        <w:snapToGrid w:val="0"/>
        <w:spacing w:before="156" w:beforeLines="50" w:line="360" w:lineRule="auto"/>
        <w:ind w:firstLine="1058" w:firstLineChars="504"/>
        <w:jc w:val="left"/>
        <w:rPr>
          <w:rFonts w:ascii="宋体" w:hAnsi="宋体"/>
          <w:kern w:val="0"/>
        </w:rPr>
      </w:pPr>
      <w:r>
        <w:rPr>
          <w:rFonts w:hint="eastAsia" w:ascii="宋体" w:hAnsi="宋体"/>
          <w:kern w:val="0"/>
        </w:rPr>
        <w:t xml:space="preserve"> （4）不同投标人的投标文件异常一致或者投标报价呈规律性差异；</w:t>
      </w:r>
    </w:p>
    <w:p w14:paraId="47793EE5">
      <w:pPr>
        <w:autoSpaceDE w:val="0"/>
        <w:autoSpaceDN w:val="0"/>
        <w:adjustRightInd w:val="0"/>
        <w:snapToGrid w:val="0"/>
        <w:spacing w:before="156" w:beforeLines="50" w:line="360" w:lineRule="auto"/>
        <w:ind w:firstLine="1058" w:firstLineChars="504"/>
        <w:jc w:val="left"/>
        <w:rPr>
          <w:rFonts w:ascii="宋体" w:hAnsi="宋体"/>
          <w:kern w:val="0"/>
        </w:rPr>
      </w:pPr>
      <w:r>
        <w:rPr>
          <w:rFonts w:hint="eastAsia" w:ascii="宋体" w:hAnsi="宋体"/>
          <w:kern w:val="0"/>
        </w:rPr>
        <w:t xml:space="preserve"> （5）不同投标人的投标文件相互混装；</w:t>
      </w:r>
    </w:p>
    <w:p w14:paraId="03BA1A27">
      <w:pPr>
        <w:autoSpaceDE w:val="0"/>
        <w:autoSpaceDN w:val="0"/>
        <w:adjustRightInd w:val="0"/>
        <w:snapToGrid w:val="0"/>
        <w:spacing w:before="156" w:beforeLines="50" w:line="360" w:lineRule="auto"/>
        <w:ind w:firstLine="1058" w:firstLineChars="504"/>
        <w:jc w:val="left"/>
        <w:rPr>
          <w:rFonts w:ascii="宋体" w:hAnsi="宋体"/>
        </w:rPr>
      </w:pPr>
      <w:r>
        <w:rPr>
          <w:rFonts w:hint="eastAsia" w:ascii="宋体" w:hAnsi="宋体"/>
          <w:kern w:val="0"/>
        </w:rPr>
        <w:t xml:space="preserve"> （6）不同投标人的投标保证金从同一单位或者个人的账户转出。</w:t>
      </w:r>
    </w:p>
    <w:p w14:paraId="7871F913">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3.2.2.2参与同一个标段（包）的供应商存在下列情形之一的，其投标（响应）文件无效：</w:t>
      </w:r>
    </w:p>
    <w:p w14:paraId="448C45B3">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（一）不同供应商的电子投标（响应）文件上传计算机的网卡MAC地址、CPU序列号和硬盘序列号等硬件信息相同的；</w:t>
      </w:r>
    </w:p>
    <w:p w14:paraId="0E330359">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（二）不同供应商的投标（响应）文件由同一电子设备编制、打印加密或者上传；</w:t>
      </w:r>
    </w:p>
    <w:p w14:paraId="1E5D6D9C">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（三）不同供应商的投标（响应）文件由同一电子设备打印、复印；</w:t>
      </w:r>
    </w:p>
    <w:p w14:paraId="3613A565">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（四）不同供应商的投标（响应）文件由同一人送达或者分发，或者不同供应商联系人为同一人或不同联系人的联系电话一致的；</w:t>
      </w:r>
    </w:p>
    <w:p w14:paraId="4FA32143">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（五）不同供应商的投标（响应）文件的内容存在两处以上细节错误一致；</w:t>
      </w:r>
    </w:p>
    <w:p w14:paraId="4BA5A858">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（六）不同供应商的法定代表人、委托代理人、项目经理、项目负责人等由同一个单位缴纳社会保险或者领取报酬的；</w:t>
      </w:r>
    </w:p>
    <w:p w14:paraId="3A934ECA">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（七）不同供应商投标（响应）文件中法定代表人或者负责人签字出自同一人之手；</w:t>
      </w:r>
    </w:p>
    <w:p w14:paraId="6C5786F9">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（八）其它涉嫌串通的情形。</w:t>
      </w:r>
    </w:p>
    <w:p w14:paraId="3D065D59">
      <w:pPr>
        <w:spacing w:line="360" w:lineRule="auto"/>
        <w:ind w:firstLine="420"/>
        <w:rPr>
          <w:rFonts w:ascii="宋体" w:hAnsi="宋体"/>
        </w:rPr>
      </w:pPr>
      <w:r>
        <w:rPr>
          <w:rFonts w:hint="eastAsia" w:ascii="宋体" w:hAnsi="宋体"/>
          <w:b/>
          <w:sz w:val="24"/>
          <w:szCs w:val="22"/>
        </w:rPr>
        <w:t xml:space="preserve">3.2.3 </w:t>
      </w:r>
      <w:r>
        <w:rPr>
          <w:rFonts w:hint="eastAsia" w:ascii="宋体" w:hAnsi="宋体"/>
          <w:szCs w:val="22"/>
        </w:rPr>
        <w:t>投标</w:t>
      </w:r>
      <w:r>
        <w:rPr>
          <w:rFonts w:hint="eastAsia" w:ascii="宋体" w:hAnsi="宋体"/>
        </w:rPr>
        <w:t>报价有算术错误的，评标委员会按以下原则对投标报价进行修正，修正的价格经投标人确认后具有约束力。投标人不接受修正价格的，其投标将被否决。</w:t>
      </w:r>
      <w:bookmarkStart w:id="250" w:name="_Toc512597565"/>
      <w:bookmarkStart w:id="251" w:name="_Toc28054"/>
    </w:p>
    <w:p w14:paraId="0B7A3A3C">
      <w:pPr>
        <w:spacing w:line="360" w:lineRule="auto"/>
        <w:ind w:firstLine="420"/>
        <w:rPr>
          <w:rFonts w:ascii="宋体" w:hAnsi="宋体"/>
          <w:szCs w:val="22"/>
        </w:rPr>
      </w:pPr>
      <w:r>
        <w:rPr>
          <w:rFonts w:hint="eastAsia" w:ascii="宋体" w:hAnsi="宋体"/>
          <w:szCs w:val="22"/>
        </w:rPr>
        <w:t>（一）投标文件中开标一览表（报价表）内容与投标文件中相应内容不一致的，以开标一览表（报价表）为准；</w:t>
      </w:r>
    </w:p>
    <w:p w14:paraId="2323EF4A">
      <w:pPr>
        <w:spacing w:line="360" w:lineRule="auto"/>
        <w:ind w:firstLine="420"/>
        <w:rPr>
          <w:rFonts w:ascii="宋体" w:hAnsi="宋体"/>
          <w:szCs w:val="22"/>
        </w:rPr>
      </w:pPr>
      <w:r>
        <w:rPr>
          <w:rFonts w:hint="eastAsia" w:ascii="宋体" w:hAnsi="宋体"/>
          <w:szCs w:val="22"/>
        </w:rPr>
        <w:t>（二）大写金额和小写金额不一致的，以大写金额为准；</w:t>
      </w:r>
    </w:p>
    <w:p w14:paraId="3980F0F0">
      <w:pPr>
        <w:spacing w:line="360" w:lineRule="auto"/>
        <w:ind w:firstLine="420"/>
        <w:rPr>
          <w:rFonts w:ascii="宋体" w:hAnsi="宋体"/>
          <w:szCs w:val="22"/>
        </w:rPr>
      </w:pPr>
      <w:r>
        <w:rPr>
          <w:rFonts w:hint="eastAsia" w:ascii="宋体" w:hAnsi="宋体"/>
          <w:szCs w:val="22"/>
        </w:rPr>
        <w:t>（三）单价金额小数点或者百分比有明显错位的，以开标一览表的总价为准，并修改单价；</w:t>
      </w:r>
    </w:p>
    <w:p w14:paraId="5A2489FC">
      <w:pPr>
        <w:spacing w:line="360" w:lineRule="auto"/>
        <w:ind w:firstLine="420"/>
        <w:rPr>
          <w:rFonts w:ascii="宋体" w:hAnsi="宋体"/>
          <w:szCs w:val="22"/>
        </w:rPr>
      </w:pPr>
      <w:r>
        <w:rPr>
          <w:rFonts w:hint="eastAsia" w:ascii="宋体" w:hAnsi="宋体"/>
          <w:szCs w:val="22"/>
        </w:rPr>
        <w:t>（四）总价金额与按单价汇总金额不一致的，以单价金额计算结果为准。</w:t>
      </w:r>
    </w:p>
    <w:p w14:paraId="08DF5B0B">
      <w:pPr>
        <w:spacing w:line="360" w:lineRule="auto"/>
        <w:ind w:firstLine="420"/>
        <w:rPr>
          <w:rFonts w:ascii="宋体" w:hAnsi="宋体"/>
          <w:szCs w:val="22"/>
        </w:rPr>
      </w:pPr>
      <w:r>
        <w:rPr>
          <w:rFonts w:hint="eastAsia" w:ascii="宋体" w:hAnsi="宋体"/>
          <w:szCs w:val="22"/>
        </w:rPr>
        <w:t>同时出现两种以上不一致的，按照前款规定的顺序修正。修正后的报价经投标人确认后产生约束力，投标人不确认的，其投标无效</w:t>
      </w:r>
    </w:p>
    <w:p w14:paraId="66F20B3D">
      <w:pPr>
        <w:pStyle w:val="4"/>
        <w:ind w:firstLine="420"/>
        <w:rPr>
          <w:rFonts w:ascii="宋体" w:hAnsi="宋体"/>
        </w:rPr>
      </w:pPr>
      <w:bookmarkStart w:id="252" w:name="_Toc12820"/>
      <w:r>
        <w:rPr>
          <w:rFonts w:hint="eastAsia" w:ascii="宋体" w:hAnsi="宋体"/>
        </w:rPr>
        <w:t>3.2 详细评审</w:t>
      </w:r>
      <w:bookmarkEnd w:id="250"/>
      <w:bookmarkEnd w:id="251"/>
      <w:bookmarkEnd w:id="252"/>
    </w:p>
    <w:p w14:paraId="13B21E52">
      <w:pPr>
        <w:spacing w:line="360" w:lineRule="auto"/>
        <w:ind w:firstLine="420" w:firstLineChars="200"/>
        <w:rPr>
          <w:rFonts w:ascii="宋体" w:hAnsi="宋体"/>
        </w:rPr>
      </w:pPr>
      <w:r>
        <w:rPr>
          <w:rFonts w:hint="eastAsia" w:ascii="宋体" w:hAnsi="宋体"/>
        </w:rPr>
        <w:t>3.2.1 评标委员会按本章规定的量化因素和分值进行打分，并计算出综合评估得分。</w:t>
      </w:r>
    </w:p>
    <w:p w14:paraId="6C810317">
      <w:pPr>
        <w:spacing w:line="360" w:lineRule="auto"/>
        <w:ind w:firstLine="420" w:firstLineChars="200"/>
        <w:rPr>
          <w:rFonts w:ascii="宋体" w:hAnsi="宋体"/>
        </w:rPr>
      </w:pPr>
      <w:r>
        <w:rPr>
          <w:rFonts w:hint="eastAsia" w:ascii="宋体" w:hAnsi="宋体"/>
        </w:rPr>
        <w:t>3.2.2 评分分值计算保留小数点后两位，小数点后第三位“四舍五入”。</w:t>
      </w:r>
    </w:p>
    <w:p w14:paraId="6E3BE712">
      <w:pPr>
        <w:spacing w:line="360" w:lineRule="auto"/>
        <w:ind w:firstLine="420" w:firstLineChars="200"/>
        <w:rPr>
          <w:rFonts w:ascii="宋体" w:hAnsi="宋体"/>
        </w:rPr>
      </w:pPr>
      <w:r>
        <w:rPr>
          <w:rFonts w:hint="eastAsia" w:ascii="宋体" w:hAnsi="宋体"/>
        </w:rPr>
        <w:t>3.2.3 最终得分为各个评委计分的算术平均值。</w:t>
      </w:r>
    </w:p>
    <w:p w14:paraId="471A64D9">
      <w:pPr>
        <w:pStyle w:val="4"/>
        <w:rPr>
          <w:rFonts w:ascii="宋体" w:hAnsi="宋体"/>
        </w:rPr>
      </w:pPr>
      <w:bookmarkStart w:id="253" w:name="_Toc19217"/>
      <w:bookmarkStart w:id="254" w:name="_Toc32480"/>
      <w:bookmarkStart w:id="255" w:name="_Toc512597566"/>
      <w:r>
        <w:rPr>
          <w:rFonts w:hint="eastAsia" w:ascii="宋体" w:hAnsi="宋体"/>
        </w:rPr>
        <w:t>3.3 投标文件的澄清和补正</w:t>
      </w:r>
      <w:bookmarkEnd w:id="253"/>
      <w:bookmarkEnd w:id="254"/>
      <w:bookmarkEnd w:id="255"/>
    </w:p>
    <w:p w14:paraId="526CA1AE">
      <w:pPr>
        <w:spacing w:line="360" w:lineRule="auto"/>
        <w:ind w:firstLine="420" w:firstLineChars="200"/>
        <w:rPr>
          <w:rFonts w:ascii="宋体" w:hAnsi="宋体"/>
        </w:rPr>
      </w:pPr>
      <w:r>
        <w:rPr>
          <w:rFonts w:hint="eastAsia" w:ascii="宋体" w:hAnsi="宋体"/>
        </w:rPr>
        <w:t>3.3.1 在评标过程中，评标委员会可以交易系通中发起投标人对所提交投标文件中不明确的内容进行澄清或说明，或者对细微偏差进行补正。评标委员会不接受投标人主动提出的澄清、说明或补正。</w:t>
      </w:r>
    </w:p>
    <w:p w14:paraId="4075CD40">
      <w:pPr>
        <w:spacing w:line="360" w:lineRule="auto"/>
        <w:ind w:firstLine="420" w:firstLineChars="200"/>
        <w:rPr>
          <w:rFonts w:ascii="宋体" w:hAnsi="宋体"/>
        </w:rPr>
      </w:pPr>
      <w:r>
        <w:rPr>
          <w:rFonts w:hint="eastAsia" w:ascii="宋体" w:hAnsi="宋体"/>
        </w:rPr>
        <w:t>3.3.2 澄清、说明和补正不得改变投标文件的实质性内容（算术性错误修正的除外）。投标人的澄清、说明和补正属于投标文件的组成部分。</w:t>
      </w:r>
    </w:p>
    <w:p w14:paraId="19231B82">
      <w:pPr>
        <w:spacing w:line="360" w:lineRule="auto"/>
        <w:ind w:firstLine="420" w:firstLineChars="200"/>
        <w:rPr>
          <w:rFonts w:ascii="宋体" w:hAnsi="宋体"/>
        </w:rPr>
      </w:pPr>
      <w:r>
        <w:rPr>
          <w:rFonts w:hint="eastAsia" w:ascii="宋体" w:hAnsi="宋体"/>
        </w:rPr>
        <w:t>3.3.3 评标委员会对投标人提交的澄清、说明或补正有疑问的，可以要求投标人进一步澄清、说明或补正，直至满足评标委员会的要求。</w:t>
      </w:r>
    </w:p>
    <w:p w14:paraId="79C8CF83">
      <w:pPr>
        <w:pStyle w:val="4"/>
        <w:rPr>
          <w:rFonts w:ascii="宋体" w:hAnsi="宋体"/>
        </w:rPr>
      </w:pPr>
      <w:bookmarkStart w:id="256" w:name="_Toc14967"/>
      <w:bookmarkStart w:id="257" w:name="_Toc8440"/>
      <w:bookmarkStart w:id="258" w:name="_Toc512597567"/>
      <w:r>
        <w:rPr>
          <w:rFonts w:hint="eastAsia" w:ascii="宋体" w:hAnsi="宋体"/>
        </w:rPr>
        <w:t>3.4 评标结果</w:t>
      </w:r>
      <w:bookmarkEnd w:id="256"/>
      <w:bookmarkEnd w:id="257"/>
      <w:bookmarkEnd w:id="258"/>
    </w:p>
    <w:p w14:paraId="38300B60">
      <w:pPr>
        <w:spacing w:line="360" w:lineRule="auto"/>
        <w:ind w:firstLine="420" w:firstLineChars="200"/>
        <w:rPr>
          <w:rFonts w:ascii="宋体" w:hAnsi="宋体"/>
        </w:rPr>
      </w:pPr>
      <w:r>
        <w:rPr>
          <w:rFonts w:hint="eastAsia" w:ascii="宋体" w:hAnsi="宋体"/>
        </w:rPr>
        <w:t>3.4.1 评标委员会按照得分由高到低的顺序推荐</w:t>
      </w:r>
      <w:r>
        <w:rPr>
          <w:rFonts w:hint="eastAsia" w:ascii="宋体" w:hAnsi="宋体"/>
          <w:lang w:val="en-US" w:eastAsia="zh-CN"/>
        </w:rPr>
        <w:t>1-</w:t>
      </w:r>
      <w:r>
        <w:rPr>
          <w:rFonts w:hint="eastAsia" w:ascii="宋体" w:hAnsi="宋体"/>
        </w:rPr>
        <w:t>3名中标候选人。</w:t>
      </w:r>
    </w:p>
    <w:p w14:paraId="596D6FB0">
      <w:pPr>
        <w:spacing w:line="360" w:lineRule="auto"/>
        <w:ind w:firstLine="420" w:firstLineChars="200"/>
        <w:rPr>
          <w:rFonts w:ascii="宋体" w:hAnsi="宋体"/>
        </w:rPr>
      </w:pPr>
      <w:r>
        <w:rPr>
          <w:rFonts w:hint="eastAsia" w:ascii="宋体" w:hAnsi="宋体"/>
        </w:rPr>
        <w:t>3.4.2 评标委员会完成评标后，应当向采购人提交评标报告。</w:t>
      </w:r>
    </w:p>
    <w:p w14:paraId="2D002839">
      <w:pPr>
        <w:pStyle w:val="2"/>
        <w:jc w:val="center"/>
        <w:rPr>
          <w:rFonts w:ascii="宋体" w:hAnsi="宋体"/>
          <w:sz w:val="36"/>
          <w:szCs w:val="36"/>
        </w:rPr>
        <w:sectPr>
          <w:footerReference r:id="rId4" w:type="default"/>
          <w:pgSz w:w="11906" w:h="16838"/>
          <w:pgMar w:top="1418" w:right="1134" w:bottom="1418" w:left="1134" w:header="851" w:footer="992" w:gutter="0"/>
          <w:pgNumType w:fmt="decimal"/>
          <w:cols w:space="720" w:num="1"/>
          <w:docGrid w:type="lines" w:linePitch="312" w:charSpace="0"/>
        </w:sectPr>
      </w:pPr>
      <w:bookmarkStart w:id="259" w:name="_Toc14416_WPSOffice_Level1"/>
      <w:bookmarkStart w:id="260" w:name="_Toc5097"/>
      <w:bookmarkStart w:id="261" w:name="_Toc29670"/>
      <w:bookmarkStart w:id="262" w:name="_Toc512597568"/>
    </w:p>
    <w:p w14:paraId="77B6BC23">
      <w:pPr>
        <w:pStyle w:val="2"/>
        <w:jc w:val="center"/>
        <w:rPr>
          <w:rFonts w:ascii="宋体" w:hAnsi="宋体"/>
          <w:sz w:val="36"/>
          <w:szCs w:val="36"/>
        </w:rPr>
      </w:pPr>
      <w:r>
        <w:rPr>
          <w:rFonts w:hint="eastAsia" w:ascii="宋体" w:hAnsi="宋体"/>
          <w:sz w:val="36"/>
          <w:szCs w:val="36"/>
        </w:rPr>
        <w:t>第四章 合同条款及格式</w:t>
      </w:r>
      <w:bookmarkEnd w:id="259"/>
      <w:bookmarkEnd w:id="260"/>
      <w:bookmarkEnd w:id="261"/>
      <w:bookmarkEnd w:id="262"/>
    </w:p>
    <w:p w14:paraId="390BC9BA">
      <w:pPr>
        <w:rPr>
          <w:rFonts w:ascii="宋体" w:hAnsi="宋体"/>
          <w:sz w:val="36"/>
          <w:szCs w:val="36"/>
        </w:rPr>
      </w:pPr>
      <w:r>
        <w:rPr>
          <w:rFonts w:ascii="宋体" w:hAnsi="宋体"/>
          <w:sz w:val="36"/>
          <w:szCs w:val="36"/>
        </w:rPr>
        <w:br w:type="page"/>
      </w:r>
      <w:r>
        <w:rPr>
          <w:rFonts w:ascii="宋体" w:hAnsi="宋体"/>
          <w:sz w:val="36"/>
          <w:szCs w:val="36"/>
        </w:rPr>
        <w:br w:type="page"/>
      </w:r>
    </w:p>
    <w:p w14:paraId="7505EFC6">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平顶山市妇幼保健院</w:t>
      </w:r>
    </w:p>
    <w:p w14:paraId="14F1DA1B">
      <w:pPr>
        <w:jc w:val="center"/>
        <w:rPr>
          <w:rFonts w:hint="eastAsia" w:ascii="黑体" w:hAnsi="黑体" w:eastAsia="黑体" w:cs="黑体"/>
          <w:sz w:val="44"/>
          <w:szCs w:val="44"/>
          <w:lang w:val="en-US" w:eastAsia="zh-CN"/>
        </w:rPr>
      </w:pPr>
      <w:r>
        <w:rPr>
          <w:rFonts w:hint="eastAsia" w:ascii="黑体" w:hAnsi="黑体" w:eastAsia="黑体" w:cs="黑体"/>
          <w:b/>
          <w:bCs/>
          <w:sz w:val="44"/>
          <w:szCs w:val="44"/>
          <w:lang w:val="en-US" w:eastAsia="zh-CN"/>
        </w:rPr>
        <w:t>母婴中心服务协议</w:t>
      </w:r>
    </w:p>
    <w:p w14:paraId="23AD8235">
      <w:pPr>
        <w:jc w:val="center"/>
        <w:rPr>
          <w:rFonts w:hint="eastAsia" w:ascii="仿宋" w:hAnsi="仿宋" w:eastAsia="仿宋" w:cs="仿宋"/>
          <w:sz w:val="21"/>
          <w:szCs w:val="21"/>
          <w:lang w:val="en-US" w:eastAsia="zh-CN"/>
        </w:rPr>
      </w:pPr>
    </w:p>
    <w:p w14:paraId="00644411">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甲方：</w:t>
      </w:r>
      <w:r>
        <w:rPr>
          <w:rFonts w:hint="eastAsia" w:ascii="仿宋" w:hAnsi="仿宋" w:eastAsia="仿宋" w:cs="仿宋"/>
          <w:i w:val="0"/>
          <w:iCs w:val="0"/>
          <w:caps w:val="0"/>
          <w:color w:val="000000"/>
          <w:spacing w:val="0"/>
          <w:sz w:val="32"/>
          <w:szCs w:val="32"/>
          <w:shd w:val="clear" w:fill="FFFFFF"/>
          <w:lang w:eastAsia="zh-CN"/>
        </w:rPr>
        <w:t>平顶山市妇幼保健院</w:t>
      </w:r>
    </w:p>
    <w:p w14:paraId="1304A09D">
      <w:pPr>
        <w:rPr>
          <w:rFonts w:hint="eastAsia" w:ascii="仿宋" w:hAnsi="仿宋" w:eastAsia="仿宋" w:cs="仿宋"/>
          <w:b w:val="0"/>
          <w:bCs w:val="0"/>
          <w:color w:val="333333"/>
          <w:sz w:val="32"/>
          <w:szCs w:val="32"/>
          <w:shd w:val="clear" w:color="auto" w:fill="FFFFFF"/>
          <w:lang w:val="en-US" w:eastAsia="zh-CN"/>
        </w:rPr>
      </w:pPr>
      <w:r>
        <w:rPr>
          <w:rFonts w:hint="eastAsia" w:ascii="仿宋" w:hAnsi="仿宋" w:eastAsia="仿宋" w:cs="仿宋"/>
          <w:b w:val="0"/>
          <w:bCs w:val="0"/>
          <w:sz w:val="32"/>
          <w:szCs w:val="32"/>
        </w:rPr>
        <w:t>地址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平顶山市湛河区开源路南段28号院</w:t>
      </w:r>
    </w:p>
    <w:p w14:paraId="3B8CDADB">
      <w:pPr>
        <w:rPr>
          <w:rFonts w:hint="eastAsia" w:ascii="仿宋" w:hAnsi="仿宋" w:eastAsia="仿宋" w:cs="仿宋"/>
          <w:b w:val="0"/>
          <w:bCs w:val="0"/>
          <w:sz w:val="32"/>
          <w:szCs w:val="32"/>
        </w:rPr>
      </w:pPr>
      <w:r>
        <w:rPr>
          <w:rFonts w:hint="eastAsia" w:ascii="仿宋" w:hAnsi="仿宋" w:eastAsia="仿宋" w:cs="仿宋"/>
          <w:b w:val="0"/>
          <w:bCs w:val="0"/>
          <w:sz w:val="32"/>
          <w:szCs w:val="32"/>
        </w:rPr>
        <w:t>电话：</w:t>
      </w:r>
    </w:p>
    <w:p w14:paraId="7C29884A">
      <w:pPr>
        <w:rPr>
          <w:rFonts w:hint="eastAsia" w:ascii="仿宋" w:hAnsi="仿宋" w:eastAsia="仿宋" w:cs="仿宋"/>
          <w:b w:val="0"/>
          <w:bCs w:val="0"/>
          <w:sz w:val="32"/>
          <w:szCs w:val="32"/>
        </w:rPr>
      </w:pPr>
    </w:p>
    <w:p w14:paraId="118EFDF2">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乙方：</w:t>
      </w:r>
    </w:p>
    <w:p w14:paraId="3D2B1060">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地址：</w:t>
      </w:r>
    </w:p>
    <w:p w14:paraId="4B526DAB">
      <w:pPr>
        <w:rPr>
          <w:rFonts w:hint="eastAsia" w:ascii="仿宋" w:hAnsi="仿宋" w:eastAsia="仿宋" w:cs="仿宋"/>
          <w:b w:val="0"/>
          <w:bCs w:val="0"/>
          <w:sz w:val="32"/>
          <w:szCs w:val="32"/>
        </w:rPr>
      </w:pPr>
      <w:r>
        <w:rPr>
          <w:rFonts w:hint="eastAsia" w:ascii="仿宋" w:hAnsi="仿宋" w:eastAsia="仿宋" w:cs="仿宋"/>
          <w:b w:val="0"/>
          <w:bCs w:val="0"/>
          <w:sz w:val="32"/>
          <w:szCs w:val="32"/>
        </w:rPr>
        <w:t>电话：</w:t>
      </w:r>
    </w:p>
    <w:p w14:paraId="6C031966">
      <w:pPr>
        <w:rPr>
          <w:rFonts w:hint="eastAsia" w:ascii="仿宋" w:hAnsi="仿宋" w:eastAsia="仿宋" w:cs="仿宋"/>
          <w:b w:val="0"/>
          <w:bCs w:val="0"/>
          <w:sz w:val="32"/>
          <w:szCs w:val="32"/>
        </w:rPr>
      </w:pPr>
      <w:r>
        <w:rPr>
          <w:rFonts w:hint="eastAsia" w:ascii="仿宋" w:hAnsi="仿宋" w:eastAsia="仿宋" w:cs="仿宋"/>
          <w:b w:val="0"/>
          <w:bCs w:val="0"/>
          <w:sz w:val="32"/>
          <w:szCs w:val="32"/>
        </w:rPr>
        <w:t>鉴于：</w:t>
      </w:r>
    </w:p>
    <w:p w14:paraId="094280A3">
      <w:p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rPr>
        <w:t>甲乙双方本着真诚合作、互惠双赢、平等协商、资源共享的原则，促进双方的共同发展，在遵守国家法律法规的前提下，经过友好协商，达成如下协议：</w:t>
      </w:r>
    </w:p>
    <w:p w14:paraId="5FB603A5">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、合作宗旨</w:t>
      </w:r>
    </w:p>
    <w:p w14:paraId="11639DF6">
      <w:pPr>
        <w:ind w:firstLine="640" w:firstLineChars="200"/>
        <w:rPr>
          <w:rFonts w:hint="eastAsia" w:ascii="仿宋" w:hAnsi="仿宋" w:eastAsia="仿宋" w:cs="仿宋"/>
          <w:sz w:val="32"/>
          <w:szCs w:val="32"/>
        </w:rPr>
      </w:pPr>
      <w:r>
        <w:rPr>
          <w:rFonts w:hint="eastAsia" w:ascii="仿宋" w:hAnsi="仿宋" w:eastAsia="仿宋" w:cs="仿宋"/>
          <w:sz w:val="32"/>
          <w:szCs w:val="32"/>
        </w:rPr>
        <w:t>甲乙双方共同致力于满足广大育龄女性的需要，</w:t>
      </w:r>
      <w:r>
        <w:rPr>
          <w:rFonts w:hint="eastAsia" w:ascii="仿宋" w:hAnsi="仿宋" w:eastAsia="仿宋" w:cs="仿宋"/>
          <w:sz w:val="32"/>
          <w:szCs w:val="32"/>
          <w:lang w:val="en-US" w:eastAsia="zh-CN"/>
        </w:rPr>
        <w:t>不以盈利为目的性，</w:t>
      </w:r>
      <w:r>
        <w:rPr>
          <w:rFonts w:hint="eastAsia" w:ascii="仿宋" w:hAnsi="仿宋" w:eastAsia="仿宋" w:cs="仿宋"/>
          <w:sz w:val="32"/>
          <w:szCs w:val="32"/>
        </w:rPr>
        <w:t>更好地为</w:t>
      </w:r>
      <w:r>
        <w:rPr>
          <w:rFonts w:hint="eastAsia" w:ascii="仿宋" w:hAnsi="仿宋" w:eastAsia="仿宋" w:cs="仿宋"/>
          <w:sz w:val="32"/>
          <w:szCs w:val="32"/>
          <w:lang w:val="en-US" w:eastAsia="zh-CN"/>
        </w:rPr>
        <w:t>母婴</w:t>
      </w:r>
      <w:r>
        <w:rPr>
          <w:rFonts w:hint="eastAsia" w:ascii="仿宋" w:hAnsi="仿宋" w:eastAsia="仿宋" w:cs="仿宋"/>
          <w:sz w:val="32"/>
          <w:szCs w:val="32"/>
        </w:rPr>
        <w:t>健康提供服务。甲乙双方保证合作期间全面履行此项协议，并不得从事、参与有碍于此项协议执行的任何活动。</w:t>
      </w:r>
    </w:p>
    <w:p w14:paraId="3F130E36">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、合作项目</w:t>
      </w:r>
    </w:p>
    <w:p w14:paraId="0F4C48F9">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1、合作项目名称：</w:t>
      </w:r>
      <w:r>
        <w:rPr>
          <w:rFonts w:hint="eastAsia" w:ascii="仿宋" w:hAnsi="仿宋" w:eastAsia="仿宋" w:cs="仿宋"/>
          <w:sz w:val="32"/>
          <w:szCs w:val="32"/>
          <w:lang w:val="en-US" w:eastAsia="zh-CN"/>
        </w:rPr>
        <w:t>平顶山市妇幼保健院母婴中心</w:t>
      </w:r>
    </w:p>
    <w:p w14:paraId="77F9E6E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2、合作项目场所：</w:t>
      </w:r>
      <w:r>
        <w:rPr>
          <w:rFonts w:hint="eastAsia" w:ascii="仿宋" w:hAnsi="仿宋" w:eastAsia="仿宋" w:cs="仿宋"/>
          <w:sz w:val="32"/>
          <w:szCs w:val="32"/>
          <w:lang w:val="en-US" w:eastAsia="zh-CN"/>
        </w:rPr>
        <w:t>平顶山市妇幼保健院</w:t>
      </w:r>
    </w:p>
    <w:p w14:paraId="39427116">
      <w:p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rPr>
        <w:t>3、</w:t>
      </w:r>
      <w:r>
        <w:rPr>
          <w:rFonts w:hint="eastAsia" w:ascii="仿宋" w:hAnsi="仿宋" w:eastAsia="仿宋" w:cs="仿宋"/>
          <w:sz w:val="32"/>
          <w:szCs w:val="32"/>
          <w:lang w:val="en-US" w:eastAsia="zh-CN"/>
        </w:rPr>
        <w:t>项目场所</w:t>
      </w:r>
      <w:r>
        <w:rPr>
          <w:rFonts w:hint="eastAsia" w:ascii="仿宋" w:hAnsi="仿宋" w:eastAsia="仿宋" w:cs="仿宋"/>
          <w:sz w:val="32"/>
          <w:szCs w:val="32"/>
        </w:rPr>
        <w:t>由甲方</w:t>
      </w:r>
      <w:r>
        <w:rPr>
          <w:rFonts w:hint="eastAsia" w:ascii="仿宋" w:hAnsi="仿宋" w:eastAsia="仿宋" w:cs="仿宋"/>
          <w:sz w:val="32"/>
          <w:szCs w:val="32"/>
          <w:lang w:val="en-US" w:eastAsia="zh-CN"/>
        </w:rPr>
        <w:t>提供。</w:t>
      </w:r>
    </w:p>
    <w:p w14:paraId="73DDC7E1">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平顶山市妇幼保健院</w:t>
      </w:r>
      <w:r>
        <w:rPr>
          <w:rFonts w:hint="eastAsia" w:ascii="仿宋" w:hAnsi="仿宋" w:eastAsia="仿宋" w:cs="仿宋"/>
          <w:b w:val="0"/>
          <w:bCs w:val="0"/>
          <w:color w:val="auto"/>
          <w:sz w:val="32"/>
          <w:szCs w:val="32"/>
          <w:vertAlign w:val="baseline"/>
        </w:rPr>
        <w:t>母婴中心所有服务均为</w:t>
      </w:r>
      <w:r>
        <w:rPr>
          <w:rStyle w:val="21"/>
          <w:rFonts w:hint="eastAsia" w:ascii="仿宋" w:hAnsi="仿宋" w:eastAsia="仿宋" w:cs="仿宋"/>
          <w:b w:val="0"/>
          <w:bCs w:val="0"/>
          <w:color w:val="auto"/>
          <w:sz w:val="32"/>
          <w:szCs w:val="32"/>
          <w:vertAlign w:val="baseline"/>
        </w:rPr>
        <w:t>非治疗性、非医疗技术类服务</w:t>
      </w:r>
      <w:r>
        <w:rPr>
          <w:rFonts w:hint="eastAsia" w:ascii="仿宋" w:hAnsi="仿宋" w:eastAsia="仿宋" w:cs="仿宋"/>
          <w:b w:val="0"/>
          <w:bCs w:val="0"/>
          <w:color w:val="auto"/>
          <w:sz w:val="32"/>
          <w:szCs w:val="32"/>
          <w:vertAlign w:val="baseline"/>
        </w:rPr>
        <w:t>（仅限生活护理、健康管理、康复辅助活动），与甲方医疗服务实行</w:t>
      </w:r>
      <w:r>
        <w:rPr>
          <w:rStyle w:val="21"/>
          <w:rFonts w:hint="eastAsia" w:ascii="仿宋" w:hAnsi="仿宋" w:eastAsia="仿宋" w:cs="仿宋"/>
          <w:b w:val="0"/>
          <w:bCs w:val="0"/>
          <w:color w:val="auto"/>
          <w:sz w:val="32"/>
          <w:szCs w:val="32"/>
          <w:vertAlign w:val="baseline"/>
        </w:rPr>
        <w:t>物理隔离、独立管理</w:t>
      </w:r>
      <w:r>
        <w:rPr>
          <w:rFonts w:hint="eastAsia" w:ascii="仿宋" w:hAnsi="仿宋" w:eastAsia="仿宋" w:cs="仿宋"/>
          <w:b w:val="0"/>
          <w:bCs w:val="0"/>
          <w:color w:val="auto"/>
          <w:sz w:val="32"/>
          <w:szCs w:val="32"/>
          <w:vertAlign w:val="baseline"/>
        </w:rPr>
        <w:t>。乙方不得使用甲方医疗资质开展活动。</w:t>
      </w:r>
    </w:p>
    <w:p w14:paraId="53D08FB6">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、双方的权利义务</w:t>
      </w:r>
    </w:p>
    <w:p w14:paraId="0267A07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（一）乙方权利与义务</w:t>
      </w:r>
    </w:p>
    <w:p w14:paraId="51FD1B2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1、运营管理责任：</w:t>
      </w:r>
    </w:p>
    <w:p w14:paraId="1B829D4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方需派驻符合岗位要求的工作人员至甲方，负责母婴中心日常运营管理（含流程优化、服务标准落地）、活动组织策划（含方案制定、执行及效果复盘）、图文宣传制作（需符合广告法及医疗宣传相关规定，不含虚假宣传内容）、管家群社群日常维护（含信息及时响应、合规内容推送）等工作，确保运营行为合法合规，保障母婴中心正常运转及良性发展。</w:t>
      </w:r>
    </w:p>
    <w:p w14:paraId="3CBD69A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2、人员管理义务：</w:t>
      </w:r>
    </w:p>
    <w:p w14:paraId="42BACD0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方派驻至甲方的工作人员，劳动关系归属乙方。乙方需依法与派驻人员签订书面劳动合同，明确劳动报酬、工作内容、社会保险等权利义务，按时足额发放工资、缴纳社会保险（养老保险、医疗保险、失业保险、工伤保险、生育保险）等，落实各项法定福利待遇，承担与劳动关系相关的全部义务（如工伤处理、劳动争议解决等）。</w:t>
      </w:r>
    </w:p>
    <w:p w14:paraId="6142EE2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乙方需确保派驻人员具备相应岗位资质（如需持证上岗的岗位，需提供有效资格证书），并对其进行岗前培训及定期业务培训，培训内容需涵盖服务规范、甲方规章制度、母婴护理相关专业知识及应急处理流程。</w:t>
      </w:r>
    </w:p>
    <w:p w14:paraId="1DF12CD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方派驻人员需严格遵守甲方医院制定的各项规章制度（如医疗安全管理、隐私保护规定等），服从甲方基于工作需要的统一管理安排；工作中需严格遵循服务标准操作规范，若因自身不当行为（如违规操作、服务态度恶劣等）引发纠纷，乙方需承担相应责任。</w:t>
      </w:r>
    </w:p>
    <w:p w14:paraId="242ACCE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活动报备义务：乙方在运营管理中开展的所有营销策划活动、制作的宣传文案（含文字、图片、视频等形式），需提前向甲方提交书面报备材料（含活动方案、宣传内容、合规说明等），确保内容不违反法律法规及行业规范。</w:t>
      </w:r>
    </w:p>
    <w:p w14:paraId="11E3F07F">
      <w:pPr>
        <w:ind w:firstLine="640" w:firstLineChars="200"/>
        <w:rPr>
          <w:rFonts w:hint="eastAsia" w:ascii="仿宋" w:hAnsi="仿宋" w:eastAsia="仿宋" w:cs="仿宋"/>
          <w:b w:val="0"/>
          <w:bCs w:val="0"/>
          <w:color w:val="auto"/>
          <w:sz w:val="32"/>
          <w:szCs w:val="32"/>
          <w:vertAlign w:val="baseline"/>
        </w:rPr>
      </w:pPr>
      <w:r>
        <w:rPr>
          <w:rFonts w:hint="eastAsia" w:ascii="仿宋" w:hAnsi="仿宋" w:eastAsia="仿宋" w:cs="仿宋"/>
          <w:sz w:val="32"/>
          <w:szCs w:val="32"/>
          <w:lang w:val="en-US" w:eastAsia="zh-CN"/>
        </w:rPr>
        <w:t>4、纠纷处理责任：若因乙方工作人员在服务过程中未遵循服务标准操作规范、存在不当行为引发医疗纠纷或其他民事纠纷，相关赔偿责任、处理义务全部由乙方承担；</w:t>
      </w:r>
      <w:r>
        <w:rPr>
          <w:rFonts w:hint="eastAsia" w:ascii="仿宋" w:hAnsi="仿宋" w:eastAsia="仿宋" w:cs="仿宋"/>
          <w:b w:val="0"/>
          <w:bCs w:val="0"/>
          <w:color w:val="auto"/>
          <w:sz w:val="32"/>
          <w:szCs w:val="32"/>
          <w:vertAlign w:val="baseline"/>
        </w:rPr>
        <w:t>乙方仅对</w:t>
      </w:r>
      <w:r>
        <w:rPr>
          <w:rStyle w:val="21"/>
          <w:rFonts w:hint="eastAsia" w:ascii="仿宋" w:hAnsi="仿宋" w:eastAsia="仿宋" w:cs="仿宋"/>
          <w:b w:val="0"/>
          <w:bCs w:val="0"/>
          <w:color w:val="auto"/>
          <w:sz w:val="32"/>
          <w:szCs w:val="32"/>
          <w:vertAlign w:val="baseline"/>
        </w:rPr>
        <w:t>非医疗服务过程</w:t>
      </w:r>
      <w:r>
        <w:rPr>
          <w:rFonts w:hint="eastAsia" w:ascii="仿宋" w:hAnsi="仿宋" w:eastAsia="仿宋" w:cs="仿宋"/>
          <w:b w:val="0"/>
          <w:bCs w:val="0"/>
          <w:color w:val="auto"/>
          <w:sz w:val="32"/>
          <w:szCs w:val="32"/>
          <w:vertAlign w:val="baseline"/>
        </w:rPr>
        <w:t>（如护理操作）导致的纠纷承担责任；涉及甲方场地、设施或医护人员行为导致的纠纷由甲方承担。</w:t>
      </w:r>
      <w:r>
        <w:rPr>
          <w:rStyle w:val="21"/>
          <w:rFonts w:hint="eastAsia" w:ascii="仿宋" w:hAnsi="仿宋" w:eastAsia="仿宋" w:cs="仿宋"/>
          <w:b w:val="0"/>
          <w:bCs w:val="0"/>
          <w:color w:val="auto"/>
          <w:sz w:val="32"/>
          <w:szCs w:val="32"/>
          <w:vertAlign w:val="baseline"/>
        </w:rPr>
        <w:t>乙方服务争议不适用医疗纠纷处理程序</w:t>
      </w:r>
      <w:r>
        <w:rPr>
          <w:rStyle w:val="21"/>
          <w:rFonts w:hint="eastAsia" w:ascii="仿宋" w:hAnsi="仿宋" w:eastAsia="仿宋" w:cs="仿宋"/>
          <w:b w:val="0"/>
          <w:bCs w:val="0"/>
          <w:color w:val="auto"/>
          <w:sz w:val="32"/>
          <w:szCs w:val="32"/>
          <w:vertAlign w:val="baseline"/>
          <w:lang w:eastAsia="zh-CN"/>
        </w:rPr>
        <w:t>。</w:t>
      </w:r>
    </w:p>
    <w:p w14:paraId="666386DC">
      <w:pPr>
        <w:numPr>
          <w:ilvl w:val="0"/>
          <w:numId w:val="0"/>
        </w:numPr>
        <w:ind w:firstLine="640" w:firstLineChars="200"/>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5、乙方需严格执行平顶山市妇幼保健院母婴中心考评细则。</w:t>
      </w:r>
    </w:p>
    <w:p w14:paraId="7E4BB95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（二）甲方权利与义务</w:t>
      </w:r>
    </w:p>
    <w:p w14:paraId="100B699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1、场地与配合义务：甲方需为乙方履行本合同提供符合安全标准、满足母婴中心运营需求的必要场所（如办公区域、服务场地等），并提供必要的基础配套支持（如水电供应、场地安全保障等）。</w:t>
      </w:r>
    </w:p>
    <w:p w14:paraId="03842339">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审核与反馈权利：甲方在收到乙方报备的宣传文案、营销策划活动材料后，应于7个工作日内作出同意与否的书面答复；若不同意，需出具书面文件说明具体理由（如内容违反医疗宣传规定、存在安全隐患等），逾期未答复视为同意（双方另有约定的除外）。</w:t>
      </w:r>
    </w:p>
    <w:p w14:paraId="4965614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3、日常管理与指导权利：</w:t>
      </w:r>
    </w:p>
    <w:p w14:paraId="0C3B9CA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甲方负责母婴中心日常查房工作，重点核查服务规范落实、场地安全、母婴健康状况等情况，对发现的问题可及时向乙方反馈。</w:t>
      </w:r>
    </w:p>
    <w:p w14:paraId="25CC3E4C">
      <w:pPr>
        <w:ind w:firstLine="640" w:firstLineChars="200"/>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甲方有权依据本合同的相关约定，对乙方派驻人员开展工作安排、业务指导以及日常管理工作，其中日常管理涵盖考勤管理、工作任务分配等方面。乙方需在每月初</w:t>
      </w:r>
      <w:r>
        <w:rPr>
          <w:rFonts w:hint="eastAsia" w:ascii="仿宋" w:hAnsi="仿宋" w:eastAsia="仿宋" w:cs="仿宋"/>
          <w:color w:val="auto"/>
          <w:sz w:val="32"/>
          <w:szCs w:val="32"/>
          <w:lang w:val="en-US" w:eastAsia="zh-CN"/>
        </w:rPr>
        <w:t>5号之前</w:t>
      </w:r>
      <w:r>
        <w:rPr>
          <w:rFonts w:hint="default" w:ascii="仿宋" w:hAnsi="仿宋" w:eastAsia="仿宋" w:cs="仿宋"/>
          <w:color w:val="auto"/>
          <w:sz w:val="32"/>
          <w:szCs w:val="32"/>
          <w:lang w:val="en-US" w:eastAsia="zh-CN"/>
        </w:rPr>
        <w:t>，依据入住率向甲方提供月嫂工作量清单，以便甲方进行工作核查与管理。关于月嫂</w:t>
      </w:r>
      <w:r>
        <w:rPr>
          <w:rFonts w:hint="eastAsia" w:ascii="仿宋" w:hAnsi="仿宋" w:eastAsia="仿宋" w:cs="仿宋"/>
          <w:color w:val="auto"/>
          <w:sz w:val="32"/>
          <w:szCs w:val="32"/>
          <w:lang w:val="en-US" w:eastAsia="zh-CN"/>
        </w:rPr>
        <w:t>相关问题</w:t>
      </w:r>
      <w:r>
        <w:rPr>
          <w:rFonts w:hint="default" w:ascii="仿宋" w:hAnsi="仿宋" w:eastAsia="仿宋" w:cs="仿宋"/>
          <w:color w:val="auto"/>
          <w:sz w:val="32"/>
          <w:szCs w:val="32"/>
          <w:lang w:val="en-US" w:eastAsia="zh-CN"/>
        </w:rPr>
        <w:t>，若涉及新增内容、履</w:t>
      </w:r>
      <w:r>
        <w:rPr>
          <w:rFonts w:hint="eastAsia" w:ascii="仿宋" w:hAnsi="仿宋" w:eastAsia="仿宋" w:cs="仿宋"/>
          <w:color w:val="auto"/>
          <w:sz w:val="32"/>
          <w:szCs w:val="32"/>
          <w:lang w:val="en-US" w:eastAsia="zh-CN"/>
        </w:rPr>
        <w:t>行期限</w:t>
      </w:r>
      <w:r>
        <w:rPr>
          <w:rFonts w:hint="default" w:ascii="仿宋" w:hAnsi="仿宋" w:eastAsia="仿宋" w:cs="仿宋"/>
          <w:color w:val="auto"/>
          <w:sz w:val="32"/>
          <w:szCs w:val="32"/>
          <w:lang w:val="en-US" w:eastAsia="zh-CN"/>
        </w:rPr>
        <w:t>变更等情形，双方应另行签订补充协议。</w:t>
      </w:r>
      <w:r>
        <w:rPr>
          <w:rFonts w:hint="eastAsia" w:ascii="仿宋" w:hAnsi="仿宋" w:eastAsia="仿宋" w:cs="仿宋"/>
          <w:color w:val="auto"/>
          <w:sz w:val="32"/>
          <w:szCs w:val="32"/>
          <w:lang w:val="en-US" w:eastAsia="zh-CN"/>
        </w:rPr>
        <w:t>待</w:t>
      </w:r>
      <w:r>
        <w:rPr>
          <w:rFonts w:hint="default" w:ascii="仿宋" w:hAnsi="仿宋" w:eastAsia="仿宋" w:cs="仿宋"/>
          <w:color w:val="auto"/>
          <w:sz w:val="32"/>
          <w:szCs w:val="32"/>
          <w:lang w:val="en-US" w:eastAsia="zh-CN"/>
        </w:rPr>
        <w:t>补充协议在双方签字盖章生效后，自动纳入本合同的履行范畴，与本合同具有同等法律效力。</w:t>
      </w:r>
    </w:p>
    <w:p w14:paraId="36BC2CD2">
      <w:pPr>
        <w:numPr>
          <w:ilvl w:val="0"/>
          <w:numId w:val="0"/>
        </w:num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color w:val="auto"/>
          <w:kern w:val="2"/>
          <w:sz w:val="32"/>
          <w:szCs w:val="32"/>
          <w:lang w:val="en-US" w:eastAsia="zh-CN" w:bidi="ar-SA"/>
        </w:rPr>
        <w:t>4、</w:t>
      </w:r>
      <w:r>
        <w:rPr>
          <w:rFonts w:hint="eastAsia" w:ascii="仿宋" w:hAnsi="仿宋" w:eastAsia="仿宋" w:cs="仿宋"/>
          <w:b w:val="0"/>
          <w:bCs w:val="0"/>
          <w:color w:val="auto"/>
          <w:sz w:val="32"/>
          <w:szCs w:val="32"/>
          <w:vertAlign w:val="baseline"/>
        </w:rPr>
        <w:t>甲方不介入乙方人员招聘及劳动关系管理。</w:t>
      </w:r>
    </w:p>
    <w:p w14:paraId="42246A1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建议与整改权利：甲方有权对乙方的服务过程提出合理建议及异议，若发现乙方服务不符合合同约定（如服务流程违规、人员资质不达标等），可向乙方出具书面整改通知，要求乙方在合理期限内整改，乙方需配合并反馈整改结果。</w:t>
      </w:r>
    </w:p>
    <w:p w14:paraId="210E047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违约处理权利：若乙方存在违约行为（如服务严重不达标且经整改仍未改善、因乙方责任造成人身伤害或财产损失等），甲方有权依据合同约定要求乙方承担赔偿责任，或依法解除服务协议，解除时需书面通知乙方并说明理由。</w:t>
      </w:r>
    </w:p>
    <w:p w14:paraId="41799BA9">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7、纠纷配合义务：甲乙双方与产妇发生纠纷时，甲方需牵头组织协调，乙方需配合提供相关材料及信息。</w:t>
      </w:r>
    </w:p>
    <w:p w14:paraId="24E1C41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（三）其他约定</w:t>
      </w:r>
    </w:p>
    <w:p w14:paraId="2481ACD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甲乙双方均应履行本条款约定的义务，确保母婴中心服务合法合规，保障母婴及相关人员的人身、财产安全。</w:t>
      </w:r>
    </w:p>
    <w:p w14:paraId="4F0FB90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本条款约定的“责任方”需结合纠纷具体原因、双方过错程度，依据法律法规及合同约定综合认定；若涉及第三方责任，甲乙双方可共同向第三方追偿。</w:t>
      </w:r>
    </w:p>
    <w:p w14:paraId="2365B07B">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结算管理</w:t>
      </w:r>
      <w:r>
        <w:rPr>
          <w:rFonts w:hint="eastAsia" w:ascii="楷体" w:hAnsi="楷体" w:eastAsia="楷体" w:cs="楷体"/>
          <w:b/>
          <w:bCs/>
          <w:sz w:val="32"/>
          <w:szCs w:val="32"/>
        </w:rPr>
        <w:t>：</w:t>
      </w:r>
    </w:p>
    <w:p w14:paraId="75A1DD8F">
      <w:pPr>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收费方式：</w:t>
      </w:r>
      <w:r>
        <w:rPr>
          <w:rFonts w:hint="eastAsia" w:ascii="仿宋" w:hAnsi="仿宋" w:eastAsia="仿宋" w:cs="仿宋"/>
          <w:sz w:val="32"/>
          <w:szCs w:val="32"/>
          <w:highlight w:val="none"/>
        </w:rPr>
        <w:t>所有</w:t>
      </w:r>
      <w:r>
        <w:rPr>
          <w:rFonts w:hint="eastAsia" w:ascii="仿宋" w:hAnsi="仿宋" w:eastAsia="仿宋" w:cs="仿宋"/>
          <w:color w:val="000000"/>
          <w:sz w:val="32"/>
          <w:szCs w:val="32"/>
          <w:highlight w:val="none"/>
          <w:lang w:val="en-US" w:eastAsia="zh-CN"/>
        </w:rPr>
        <w:t>母婴中心</w:t>
      </w:r>
      <w:r>
        <w:rPr>
          <w:rFonts w:hint="eastAsia" w:ascii="仿宋" w:hAnsi="仿宋" w:eastAsia="仿宋" w:cs="仿宋"/>
          <w:color w:val="000000"/>
          <w:sz w:val="32"/>
          <w:szCs w:val="32"/>
          <w:highlight w:val="none"/>
        </w:rPr>
        <w:t>的</w:t>
      </w:r>
      <w:r>
        <w:rPr>
          <w:rFonts w:hint="eastAsia" w:ascii="仿宋" w:hAnsi="仿宋" w:eastAsia="仿宋" w:cs="仿宋"/>
          <w:color w:val="000000"/>
          <w:sz w:val="32"/>
          <w:szCs w:val="32"/>
          <w:highlight w:val="none"/>
          <w:lang w:val="en-US" w:eastAsia="zh-CN"/>
        </w:rPr>
        <w:t>缴费由</w:t>
      </w:r>
      <w:r>
        <w:rPr>
          <w:rFonts w:hint="eastAsia" w:ascii="仿宋" w:hAnsi="仿宋" w:eastAsia="仿宋" w:cs="仿宋"/>
          <w:color w:val="000000"/>
          <w:sz w:val="32"/>
          <w:szCs w:val="32"/>
          <w:highlight w:val="none"/>
        </w:rPr>
        <w:t>甲方</w:t>
      </w:r>
      <w:r>
        <w:rPr>
          <w:rFonts w:hint="eastAsia" w:ascii="仿宋" w:hAnsi="仿宋" w:eastAsia="仿宋" w:cs="仿宋"/>
          <w:color w:val="000000"/>
          <w:sz w:val="32"/>
          <w:szCs w:val="32"/>
          <w:highlight w:val="none"/>
          <w:lang w:val="en-US" w:eastAsia="zh-CN"/>
        </w:rPr>
        <w:t>收取。</w:t>
      </w:r>
    </w:p>
    <w:p w14:paraId="29B7C2AA">
      <w:p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自</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2025</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日至</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2028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共 </w:t>
      </w:r>
      <w:r>
        <w:rPr>
          <w:rFonts w:hint="eastAsia" w:ascii="仿宋" w:hAnsi="仿宋" w:eastAsia="仿宋" w:cs="仿宋"/>
          <w:sz w:val="32"/>
          <w:szCs w:val="32"/>
          <w:u w:val="single"/>
          <w:lang w:val="en-US" w:eastAsia="zh-CN"/>
        </w:rPr>
        <w:t xml:space="preserve"> 叁   </w:t>
      </w:r>
      <w:r>
        <w:rPr>
          <w:rFonts w:hint="eastAsia" w:ascii="仿宋" w:hAnsi="仿宋" w:eastAsia="仿宋" w:cs="仿宋"/>
          <w:sz w:val="32"/>
          <w:szCs w:val="32"/>
          <w:u w:val="none"/>
          <w:lang w:val="en-US" w:eastAsia="zh-CN"/>
        </w:rPr>
        <w:t>年。</w:t>
      </w:r>
    </w:p>
    <w:p w14:paraId="70567F41">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、结算方式：在</w:t>
      </w:r>
      <w:r>
        <w:rPr>
          <w:rFonts w:hint="eastAsia" w:ascii="仿宋" w:hAnsi="仿宋" w:eastAsia="仿宋" w:cs="仿宋"/>
          <w:sz w:val="32"/>
          <w:szCs w:val="32"/>
          <w:lang w:val="en-US" w:eastAsia="zh-CN"/>
        </w:rPr>
        <w:t>运营服务</w:t>
      </w:r>
      <w:r>
        <w:rPr>
          <w:rFonts w:hint="eastAsia" w:ascii="仿宋" w:hAnsi="仿宋" w:eastAsia="仿宋" w:cs="仿宋"/>
          <w:sz w:val="32"/>
          <w:szCs w:val="32"/>
        </w:rPr>
        <w:t>期限内，</w:t>
      </w:r>
      <w:r>
        <w:rPr>
          <w:rFonts w:hint="eastAsia" w:ascii="仿宋" w:hAnsi="仿宋" w:eastAsia="仿宋" w:cs="仿宋"/>
          <w:sz w:val="32"/>
          <w:szCs w:val="32"/>
          <w:lang w:val="en-US" w:eastAsia="zh-CN"/>
        </w:rPr>
        <w:t>服务</w:t>
      </w:r>
      <w:r>
        <w:rPr>
          <w:rFonts w:hint="eastAsia" w:ascii="仿宋" w:hAnsi="仿宋" w:eastAsia="仿宋" w:cs="仿宋"/>
          <w:sz w:val="32"/>
          <w:szCs w:val="32"/>
        </w:rPr>
        <w:t>结算周期为一个</w:t>
      </w:r>
      <w:r>
        <w:rPr>
          <w:rFonts w:hint="eastAsia" w:ascii="仿宋" w:hAnsi="仿宋" w:eastAsia="仿宋" w:cs="仿宋"/>
          <w:sz w:val="32"/>
          <w:szCs w:val="32"/>
          <w:lang w:eastAsia="zh-CN"/>
        </w:rPr>
        <w:t>季度</w:t>
      </w:r>
      <w:r>
        <w:rPr>
          <w:rFonts w:hint="eastAsia" w:ascii="仿宋" w:hAnsi="仿宋" w:eastAsia="仿宋" w:cs="仿宋"/>
          <w:sz w:val="32"/>
          <w:szCs w:val="32"/>
        </w:rPr>
        <w:t>，</w:t>
      </w:r>
      <w:r>
        <w:rPr>
          <w:rFonts w:hint="eastAsia" w:ascii="仿宋" w:hAnsi="仿宋" w:eastAsia="仿宋" w:cs="仿宋"/>
          <w:sz w:val="32"/>
          <w:szCs w:val="32"/>
          <w:lang w:val="en-US" w:eastAsia="zh-CN"/>
        </w:rPr>
        <w:t>甲方</w:t>
      </w:r>
      <w:r>
        <w:rPr>
          <w:rFonts w:hint="eastAsia" w:ascii="仿宋" w:hAnsi="仿宋" w:eastAsia="仿宋" w:cs="仿宋"/>
          <w:color w:val="auto"/>
          <w:sz w:val="32"/>
          <w:szCs w:val="32"/>
        </w:rPr>
        <w:t>每</w:t>
      </w:r>
      <w:r>
        <w:rPr>
          <w:rFonts w:hint="eastAsia" w:ascii="仿宋" w:hAnsi="仿宋" w:eastAsia="仿宋" w:cs="仿宋"/>
          <w:color w:val="auto"/>
          <w:sz w:val="32"/>
          <w:szCs w:val="32"/>
          <w:lang w:val="en-US" w:eastAsia="zh-CN"/>
        </w:rPr>
        <w:t>季度</w:t>
      </w:r>
      <w:r>
        <w:rPr>
          <w:rFonts w:hint="eastAsia" w:ascii="仿宋" w:hAnsi="仿宋" w:eastAsia="仿宋" w:cs="仿宋"/>
          <w:sz w:val="32"/>
          <w:szCs w:val="32"/>
          <w:lang w:val="en-US" w:eastAsia="zh-CN"/>
        </w:rPr>
        <w:t>支付</w:t>
      </w:r>
      <w:r>
        <w:rPr>
          <w:rFonts w:hint="eastAsia" w:ascii="仿宋" w:hAnsi="仿宋" w:eastAsia="仿宋" w:cs="仿宋"/>
          <w:sz w:val="32"/>
          <w:szCs w:val="32"/>
        </w:rPr>
        <w:t>乙方</w:t>
      </w:r>
      <w:r>
        <w:rPr>
          <w:rFonts w:hint="eastAsia" w:ascii="仿宋" w:hAnsi="仿宋" w:eastAsia="仿宋" w:cs="仿宋"/>
          <w:sz w:val="32"/>
          <w:szCs w:val="32"/>
          <w:lang w:val="en-US" w:eastAsia="zh-CN"/>
        </w:rPr>
        <w:t>____</w:t>
      </w:r>
      <w:r>
        <w:rPr>
          <w:rFonts w:hint="eastAsia" w:ascii="仿宋" w:hAnsi="仿宋" w:eastAsia="仿宋" w:cs="仿宋"/>
          <w:color w:val="auto"/>
          <w:sz w:val="32"/>
          <w:szCs w:val="32"/>
          <w:lang w:val="en-US" w:eastAsia="zh-CN"/>
        </w:rPr>
        <w:t>万元（每月____万元）</w:t>
      </w:r>
      <w:r>
        <w:rPr>
          <w:rFonts w:hint="eastAsia" w:ascii="仿宋" w:hAnsi="仿宋" w:eastAsia="仿宋" w:cs="仿宋"/>
          <w:sz w:val="32"/>
          <w:szCs w:val="32"/>
          <w:lang w:val="en-US" w:eastAsia="zh-CN"/>
        </w:rPr>
        <w:t>作为运营服务费用，</w:t>
      </w:r>
      <w:r>
        <w:rPr>
          <w:rFonts w:hint="eastAsia" w:ascii="仿宋" w:hAnsi="仿宋" w:eastAsia="仿宋" w:cs="仿宋"/>
          <w:sz w:val="32"/>
          <w:szCs w:val="32"/>
        </w:rPr>
        <w:t>乙方向甲方出具</w:t>
      </w:r>
      <w:r>
        <w:rPr>
          <w:rFonts w:hint="eastAsia" w:ascii="仿宋" w:hAnsi="仿宋" w:eastAsia="仿宋" w:cs="仿宋"/>
          <w:color w:val="000000"/>
          <w:sz w:val="32"/>
          <w:szCs w:val="32"/>
        </w:rPr>
        <w:t>服务</w:t>
      </w:r>
      <w:r>
        <w:rPr>
          <w:rFonts w:hint="eastAsia" w:ascii="仿宋" w:hAnsi="仿宋" w:eastAsia="仿宋" w:cs="仿宋"/>
          <w:sz w:val="32"/>
          <w:szCs w:val="32"/>
        </w:rPr>
        <w:t>发票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甲方收到乙方出具的服务发票后7个工作日内与乙方结算</w:t>
      </w:r>
      <w:r>
        <w:rPr>
          <w:rFonts w:hint="eastAsia" w:ascii="仿宋" w:hAnsi="仿宋" w:eastAsia="仿宋" w:cs="仿宋"/>
          <w:sz w:val="32"/>
          <w:szCs w:val="32"/>
          <w:lang w:eastAsia="zh-CN"/>
        </w:rPr>
        <w:t>）</w:t>
      </w:r>
      <w:r>
        <w:rPr>
          <w:rFonts w:hint="eastAsia" w:ascii="仿宋" w:hAnsi="仿宋" w:eastAsia="仿宋" w:cs="仿宋"/>
          <w:sz w:val="32"/>
          <w:szCs w:val="32"/>
        </w:rPr>
        <w:t>。</w:t>
      </w:r>
    </w:p>
    <w:p w14:paraId="0F220EAD">
      <w:pPr>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、支付方式：</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银行转账  </w:t>
      </w: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乙方用户名：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，开户银行：</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，银行账号：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14:paraId="4B924D22">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val="en-US" w:eastAsia="zh-CN"/>
        </w:rPr>
        <w:t>五</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服务协议</w:t>
      </w:r>
      <w:r>
        <w:rPr>
          <w:rFonts w:hint="eastAsia" w:ascii="楷体" w:hAnsi="楷体" w:eastAsia="楷体" w:cs="楷体"/>
          <w:b/>
          <w:bCs/>
          <w:sz w:val="32"/>
          <w:szCs w:val="32"/>
        </w:rPr>
        <w:t>的解除</w:t>
      </w:r>
    </w:p>
    <w:p w14:paraId="4DA96F65">
      <w:pPr>
        <w:ind w:firstLine="640" w:firstLineChars="200"/>
        <w:rPr>
          <w:rFonts w:hint="eastAsia" w:ascii="仿宋" w:hAnsi="仿宋" w:eastAsia="仿宋" w:cs="仿宋"/>
          <w:sz w:val="32"/>
          <w:szCs w:val="32"/>
        </w:rPr>
      </w:pPr>
      <w:r>
        <w:rPr>
          <w:rFonts w:hint="eastAsia" w:ascii="仿宋" w:hAnsi="仿宋" w:eastAsia="仿宋" w:cs="仿宋"/>
          <w:sz w:val="32"/>
          <w:szCs w:val="32"/>
        </w:rPr>
        <w:t>协议经甲乙双方协商一致予以解除。一方如做出严重影响或危害</w:t>
      </w:r>
      <w:r>
        <w:rPr>
          <w:rFonts w:hint="eastAsia" w:ascii="仿宋" w:hAnsi="仿宋" w:eastAsia="仿宋" w:cs="仿宋"/>
          <w:sz w:val="32"/>
          <w:szCs w:val="32"/>
          <w:lang w:val="en-US" w:eastAsia="zh-CN"/>
        </w:rPr>
        <w:t>服务</w:t>
      </w:r>
      <w:r>
        <w:rPr>
          <w:rFonts w:hint="eastAsia" w:ascii="仿宋" w:hAnsi="仿宋" w:eastAsia="仿宋" w:cs="仿宋"/>
          <w:sz w:val="32"/>
          <w:szCs w:val="32"/>
        </w:rPr>
        <w:t>事项的行为或严重侵害对方</w:t>
      </w:r>
      <w:r>
        <w:rPr>
          <w:rFonts w:hint="eastAsia" w:ascii="仿宋" w:hAnsi="仿宋" w:eastAsia="仿宋" w:cs="仿宋"/>
          <w:sz w:val="32"/>
          <w:szCs w:val="32"/>
          <w:lang w:val="en-US" w:eastAsia="zh-CN"/>
        </w:rPr>
        <w:t>权益</w:t>
      </w:r>
      <w:r>
        <w:rPr>
          <w:rFonts w:hint="eastAsia" w:ascii="仿宋" w:hAnsi="仿宋" w:eastAsia="仿宋" w:cs="仿宋"/>
          <w:sz w:val="32"/>
          <w:szCs w:val="32"/>
        </w:rPr>
        <w:t>行为时，双方亦应本着友好</w:t>
      </w:r>
      <w:r>
        <w:rPr>
          <w:rFonts w:hint="eastAsia" w:ascii="仿宋" w:hAnsi="仿宋" w:eastAsia="仿宋" w:cs="仿宋"/>
          <w:sz w:val="32"/>
          <w:szCs w:val="32"/>
          <w:lang w:val="en-US" w:eastAsia="zh-CN"/>
        </w:rPr>
        <w:t>服务</w:t>
      </w:r>
      <w:r>
        <w:rPr>
          <w:rFonts w:hint="eastAsia" w:ascii="仿宋" w:hAnsi="仿宋" w:eastAsia="仿宋" w:cs="仿宋"/>
          <w:sz w:val="32"/>
          <w:szCs w:val="32"/>
        </w:rPr>
        <w:t>的态度先行协商，协商不成的，对方有权解除</w:t>
      </w:r>
      <w:r>
        <w:rPr>
          <w:rFonts w:hint="eastAsia" w:ascii="仿宋" w:hAnsi="仿宋" w:eastAsia="仿宋" w:cs="仿宋"/>
          <w:sz w:val="32"/>
          <w:szCs w:val="32"/>
          <w:lang w:val="en-US" w:eastAsia="zh-CN"/>
        </w:rPr>
        <w:t>协议</w:t>
      </w:r>
      <w:r>
        <w:rPr>
          <w:rFonts w:hint="eastAsia" w:ascii="仿宋" w:hAnsi="仿宋" w:eastAsia="仿宋" w:cs="仿宋"/>
          <w:sz w:val="32"/>
          <w:szCs w:val="32"/>
        </w:rPr>
        <w:t>，包括但不限于以下情形，一方有权随时通知对方解除本</w:t>
      </w:r>
      <w:r>
        <w:rPr>
          <w:rFonts w:hint="eastAsia" w:ascii="仿宋" w:hAnsi="仿宋" w:eastAsia="仿宋" w:cs="仿宋"/>
          <w:sz w:val="32"/>
          <w:szCs w:val="32"/>
          <w:lang w:val="en-US" w:eastAsia="zh-CN"/>
        </w:rPr>
        <w:t>服务协议</w:t>
      </w:r>
      <w:r>
        <w:rPr>
          <w:rFonts w:hint="eastAsia" w:ascii="仿宋" w:hAnsi="仿宋" w:eastAsia="仿宋" w:cs="仿宋"/>
          <w:sz w:val="32"/>
          <w:szCs w:val="32"/>
        </w:rPr>
        <w:t>。</w:t>
      </w:r>
    </w:p>
    <w:p w14:paraId="02E97BF3">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1、甲方未按约定时间或约定</w:t>
      </w:r>
      <w:r>
        <w:rPr>
          <w:rFonts w:hint="eastAsia" w:ascii="仿宋" w:hAnsi="仿宋" w:eastAsia="仿宋" w:cs="仿宋"/>
          <w:sz w:val="32"/>
          <w:szCs w:val="32"/>
          <w:lang w:val="en-US" w:eastAsia="zh-CN"/>
        </w:rPr>
        <w:t>结算方式</w:t>
      </w:r>
      <w:r>
        <w:rPr>
          <w:rFonts w:hint="eastAsia" w:ascii="仿宋" w:hAnsi="仿宋" w:eastAsia="仿宋" w:cs="仿宋"/>
          <w:sz w:val="32"/>
          <w:szCs w:val="32"/>
        </w:rPr>
        <w:t>将</w:t>
      </w:r>
      <w:r>
        <w:rPr>
          <w:rFonts w:hint="eastAsia" w:ascii="仿宋" w:hAnsi="仿宋" w:eastAsia="仿宋" w:cs="仿宋"/>
          <w:sz w:val="32"/>
          <w:szCs w:val="32"/>
          <w:lang w:val="en-US" w:eastAsia="zh-CN"/>
        </w:rPr>
        <w:t>运营</w:t>
      </w:r>
      <w:r>
        <w:rPr>
          <w:rFonts w:hint="eastAsia" w:ascii="仿宋" w:hAnsi="仿宋" w:eastAsia="仿宋" w:cs="仿宋"/>
          <w:sz w:val="32"/>
          <w:szCs w:val="32"/>
        </w:rPr>
        <w:t>服务费用支付给乙方</w:t>
      </w:r>
      <w:r>
        <w:rPr>
          <w:rFonts w:hint="eastAsia" w:ascii="仿宋" w:hAnsi="仿宋" w:eastAsia="仿宋" w:cs="仿宋"/>
          <w:sz w:val="32"/>
          <w:szCs w:val="32"/>
          <w:lang w:eastAsia="zh-CN"/>
        </w:rPr>
        <w:t>。</w:t>
      </w:r>
    </w:p>
    <w:p w14:paraId="68027DBC">
      <w:pPr>
        <w:ind w:firstLine="640" w:firstLineChars="200"/>
        <w:rPr>
          <w:rFonts w:hint="eastAsia" w:ascii="仿宋" w:hAnsi="仿宋" w:eastAsia="仿宋" w:cs="仿宋"/>
          <w:sz w:val="32"/>
          <w:szCs w:val="32"/>
        </w:rPr>
      </w:pPr>
      <w:r>
        <w:rPr>
          <w:rFonts w:hint="eastAsia" w:ascii="仿宋" w:hAnsi="仿宋" w:eastAsia="仿宋" w:cs="仿宋"/>
          <w:sz w:val="32"/>
          <w:szCs w:val="32"/>
        </w:rPr>
        <w:t>2、乙方擅自以甲方或</w:t>
      </w:r>
      <w:r>
        <w:rPr>
          <w:rFonts w:hint="eastAsia" w:ascii="仿宋" w:hAnsi="仿宋" w:eastAsia="仿宋" w:cs="仿宋"/>
          <w:sz w:val="32"/>
          <w:szCs w:val="32"/>
          <w:lang w:val="en-US" w:eastAsia="zh-CN"/>
        </w:rPr>
        <w:t>母婴中心</w:t>
      </w:r>
      <w:r>
        <w:rPr>
          <w:rFonts w:hint="eastAsia" w:ascii="仿宋" w:hAnsi="仿宋" w:eastAsia="仿宋" w:cs="仿宋"/>
          <w:sz w:val="32"/>
          <w:szCs w:val="32"/>
        </w:rPr>
        <w:t>的名义与第三方签订协议，或作出不利于甲方的承诺，严重损害甲方正常工作秩序或</w:t>
      </w:r>
      <w:r>
        <w:rPr>
          <w:rFonts w:hint="eastAsia" w:ascii="仿宋" w:hAnsi="仿宋" w:eastAsia="仿宋" w:cs="仿宋"/>
          <w:sz w:val="32"/>
          <w:szCs w:val="32"/>
          <w:lang w:val="en-US" w:eastAsia="zh-CN"/>
        </w:rPr>
        <w:t>权益</w:t>
      </w:r>
      <w:r>
        <w:rPr>
          <w:rFonts w:hint="eastAsia" w:ascii="仿宋" w:hAnsi="仿宋" w:eastAsia="仿宋" w:cs="仿宋"/>
          <w:sz w:val="32"/>
          <w:szCs w:val="32"/>
        </w:rPr>
        <w:t>。</w:t>
      </w:r>
    </w:p>
    <w:p w14:paraId="76970321">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val="en-US" w:eastAsia="zh-CN"/>
        </w:rPr>
        <w:t>六</w:t>
      </w:r>
      <w:r>
        <w:rPr>
          <w:rFonts w:hint="eastAsia" w:ascii="楷体" w:hAnsi="楷体" w:eastAsia="楷体" w:cs="楷体"/>
          <w:b/>
          <w:bCs/>
          <w:sz w:val="32"/>
          <w:szCs w:val="32"/>
        </w:rPr>
        <w:t>、违约责任</w:t>
      </w:r>
    </w:p>
    <w:p w14:paraId="556A083F">
      <w:pPr>
        <w:ind w:firstLine="640" w:firstLineChars="200"/>
        <w:rPr>
          <w:rFonts w:hint="eastAsia" w:ascii="仿宋" w:hAnsi="仿宋" w:eastAsia="仿宋" w:cs="仿宋"/>
          <w:sz w:val="32"/>
          <w:szCs w:val="32"/>
        </w:rPr>
      </w:pPr>
      <w:r>
        <w:rPr>
          <w:rFonts w:hint="eastAsia" w:ascii="仿宋" w:hAnsi="仿宋" w:eastAsia="仿宋" w:cs="仿宋"/>
          <w:sz w:val="32"/>
          <w:szCs w:val="32"/>
        </w:rPr>
        <w:t>本协议生效后，甲、乙双方应严格遵守本协议。如因任何一方的违约行为给对方造成损失的，双方应于五个工作日内协商解决。若双方协商未果，则按国家法律法规追究违约方的相关责任。</w:t>
      </w:r>
    </w:p>
    <w:p w14:paraId="1EFE2FA2">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、因一方违背本</w:t>
      </w:r>
      <w:r>
        <w:rPr>
          <w:rFonts w:hint="eastAsia" w:ascii="仿宋" w:hAnsi="仿宋" w:eastAsia="仿宋" w:cs="仿宋"/>
          <w:sz w:val="32"/>
          <w:szCs w:val="32"/>
          <w:lang w:val="en-US" w:eastAsia="zh-CN"/>
        </w:rPr>
        <w:t>服务协议</w:t>
      </w:r>
      <w:r>
        <w:rPr>
          <w:rFonts w:hint="eastAsia" w:ascii="仿宋" w:hAnsi="仿宋" w:eastAsia="仿宋" w:cs="仿宋"/>
          <w:sz w:val="32"/>
          <w:szCs w:val="32"/>
        </w:rPr>
        <w:t>的约定或</w:t>
      </w:r>
      <w:r>
        <w:rPr>
          <w:rFonts w:hint="eastAsia" w:ascii="仿宋" w:hAnsi="仿宋" w:eastAsia="仿宋" w:cs="仿宋"/>
          <w:sz w:val="32"/>
          <w:szCs w:val="32"/>
          <w:lang w:val="en-US" w:eastAsia="zh-CN"/>
        </w:rPr>
        <w:t>服务协议</w:t>
      </w:r>
      <w:r>
        <w:rPr>
          <w:rFonts w:hint="eastAsia" w:ascii="仿宋" w:hAnsi="仿宋" w:eastAsia="仿宋" w:cs="仿宋"/>
          <w:sz w:val="32"/>
          <w:szCs w:val="32"/>
        </w:rPr>
        <w:t>签订的宗旨造成</w:t>
      </w:r>
      <w:r>
        <w:rPr>
          <w:rFonts w:hint="eastAsia" w:ascii="仿宋" w:hAnsi="仿宋" w:eastAsia="仿宋" w:cs="仿宋"/>
          <w:sz w:val="32"/>
          <w:szCs w:val="32"/>
          <w:lang w:eastAsia="zh-CN"/>
        </w:rPr>
        <w:t>母婴中心</w:t>
      </w:r>
      <w:r>
        <w:rPr>
          <w:rFonts w:hint="eastAsia" w:ascii="仿宋" w:hAnsi="仿宋" w:eastAsia="仿宋" w:cs="仿宋"/>
          <w:sz w:val="32"/>
          <w:szCs w:val="32"/>
        </w:rPr>
        <w:t>营业收入减损或无法开展服务，违约方需向守约方支付直接损失（含人员裁减、市场投入等）及间接损失（含为维权而产生的律师费、差旅费和可得利益损失，该可得利益损失赔付标准为中心前三个月收入平均值，计算至</w:t>
      </w:r>
      <w:r>
        <w:rPr>
          <w:rFonts w:hint="eastAsia" w:ascii="仿宋" w:hAnsi="仿宋" w:eastAsia="仿宋" w:cs="仿宋"/>
          <w:sz w:val="32"/>
          <w:szCs w:val="32"/>
          <w:lang w:val="en-US" w:eastAsia="zh-CN"/>
        </w:rPr>
        <w:t>服务协议</w:t>
      </w:r>
      <w:r>
        <w:rPr>
          <w:rFonts w:hint="eastAsia" w:ascii="仿宋" w:hAnsi="仿宋" w:eastAsia="仿宋" w:cs="仿宋"/>
          <w:sz w:val="32"/>
          <w:szCs w:val="32"/>
        </w:rPr>
        <w:t>约定的履行期满之日</w:t>
      </w:r>
      <w:r>
        <w:rPr>
          <w:rFonts w:hint="eastAsia" w:ascii="仿宋" w:hAnsi="仿宋" w:eastAsia="仿宋" w:cs="仿宋"/>
          <w:sz w:val="32"/>
          <w:szCs w:val="32"/>
          <w:lang w:eastAsia="zh-CN"/>
        </w:rPr>
        <w:t>）</w:t>
      </w:r>
      <w:r>
        <w:rPr>
          <w:rFonts w:hint="eastAsia" w:ascii="仿宋" w:hAnsi="仿宋" w:eastAsia="仿宋" w:cs="仿宋"/>
          <w:sz w:val="32"/>
          <w:szCs w:val="32"/>
        </w:rPr>
        <w:t>。</w:t>
      </w:r>
    </w:p>
    <w:p w14:paraId="1E86BA3F">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乙方所派遣的工作人员必须严格遵守甲方医院制定的各项规章制度，服从甲方的统一管理安排。若因乙方工作人员在运营服务过程中存在不当行为，未遵循标准操作规范进行，进而引发医疗纠纷的，相应责任全部由乙方承担。</w:t>
      </w:r>
    </w:p>
    <w:p w14:paraId="1AE723A5">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val="en-US" w:eastAsia="zh-CN"/>
        </w:rPr>
        <w:t>七</w:t>
      </w:r>
      <w:r>
        <w:rPr>
          <w:rFonts w:hint="eastAsia" w:ascii="楷体" w:hAnsi="楷体" w:eastAsia="楷体" w:cs="楷体"/>
          <w:b/>
          <w:bCs/>
          <w:sz w:val="32"/>
          <w:szCs w:val="32"/>
        </w:rPr>
        <w:t>、其他条款</w:t>
      </w:r>
    </w:p>
    <w:p w14:paraId="78CA24B4">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服务协议</w:t>
      </w:r>
      <w:r>
        <w:rPr>
          <w:rFonts w:hint="eastAsia" w:ascii="仿宋" w:hAnsi="仿宋" w:eastAsia="仿宋" w:cs="仿宋"/>
          <w:sz w:val="32"/>
          <w:szCs w:val="32"/>
        </w:rPr>
        <w:t>履行期间乙方应当全力配合甲方开展工作。</w:t>
      </w:r>
    </w:p>
    <w:p w14:paraId="29B8B42C">
      <w:pPr>
        <w:ind w:firstLine="640" w:firstLineChars="200"/>
        <w:rPr>
          <w:rFonts w:hint="eastAsia" w:ascii="仿宋" w:hAnsi="仿宋" w:eastAsia="仿宋" w:cs="仿宋"/>
          <w:sz w:val="32"/>
          <w:szCs w:val="32"/>
        </w:rPr>
      </w:pPr>
      <w:r>
        <w:rPr>
          <w:rFonts w:hint="eastAsia" w:ascii="仿宋" w:hAnsi="仿宋" w:eastAsia="仿宋" w:cs="仿宋"/>
          <w:sz w:val="32"/>
          <w:szCs w:val="32"/>
        </w:rPr>
        <w:t>2、由于不可抗拒力因素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地震、火灾、洪水等自然灾害</w:t>
      </w:r>
      <w:r>
        <w:rPr>
          <w:rFonts w:hint="eastAsia" w:ascii="仿宋" w:hAnsi="仿宋" w:eastAsia="仿宋" w:cs="仿宋"/>
          <w:sz w:val="32"/>
          <w:szCs w:val="32"/>
          <w:lang w:eastAsia="zh-CN"/>
        </w:rPr>
        <w:t>）</w:t>
      </w:r>
      <w:r>
        <w:rPr>
          <w:rFonts w:hint="eastAsia" w:ascii="仿宋" w:hAnsi="仿宋" w:eastAsia="仿宋" w:cs="仿宋"/>
          <w:sz w:val="32"/>
          <w:szCs w:val="32"/>
        </w:rPr>
        <w:t>导致本</w:t>
      </w:r>
      <w:r>
        <w:rPr>
          <w:rFonts w:hint="eastAsia" w:ascii="仿宋" w:hAnsi="仿宋" w:eastAsia="仿宋" w:cs="仿宋"/>
          <w:sz w:val="32"/>
          <w:szCs w:val="32"/>
          <w:lang w:val="en-US" w:eastAsia="zh-CN"/>
        </w:rPr>
        <w:t>服务</w:t>
      </w:r>
      <w:r>
        <w:rPr>
          <w:rFonts w:hint="eastAsia" w:ascii="仿宋" w:hAnsi="仿宋" w:eastAsia="仿宋" w:cs="仿宋"/>
          <w:sz w:val="32"/>
          <w:szCs w:val="32"/>
        </w:rPr>
        <w:t>协议不能履行，双方均不承担违约责任，双方应共同协商变更或者解除本协议。</w:t>
      </w:r>
    </w:p>
    <w:p w14:paraId="3D34F56E">
      <w:pPr>
        <w:ind w:firstLine="640" w:firstLineChars="200"/>
        <w:rPr>
          <w:rFonts w:hint="eastAsia" w:ascii="仿宋" w:hAnsi="仿宋" w:eastAsia="仿宋" w:cs="仿宋"/>
          <w:sz w:val="32"/>
          <w:szCs w:val="32"/>
        </w:rPr>
      </w:pPr>
      <w:r>
        <w:rPr>
          <w:rFonts w:hint="eastAsia" w:ascii="仿宋" w:hAnsi="仿宋" w:eastAsia="仿宋" w:cs="仿宋"/>
          <w:sz w:val="32"/>
          <w:szCs w:val="32"/>
        </w:rPr>
        <w:t>3、本</w:t>
      </w:r>
      <w:r>
        <w:rPr>
          <w:rFonts w:hint="eastAsia" w:ascii="仿宋" w:hAnsi="仿宋" w:eastAsia="仿宋" w:cs="仿宋"/>
          <w:sz w:val="32"/>
          <w:szCs w:val="32"/>
          <w:lang w:val="en-US" w:eastAsia="zh-CN"/>
        </w:rPr>
        <w:t>服务</w:t>
      </w:r>
      <w:r>
        <w:rPr>
          <w:rFonts w:hint="eastAsia" w:ascii="仿宋" w:hAnsi="仿宋" w:eastAsia="仿宋" w:cs="仿宋"/>
          <w:sz w:val="32"/>
          <w:szCs w:val="32"/>
        </w:rPr>
        <w:t>协议未尽事宜，双方应本着互惠互利、友好协商的原则另行约定，并以备忘录或附件的形式体现。本协议的备忘录或者附件与本协议拥有同等的法律效力。</w:t>
      </w:r>
    </w:p>
    <w:p w14:paraId="04D64382">
      <w:pPr>
        <w:ind w:firstLine="640" w:firstLineChars="200"/>
        <w:rPr>
          <w:rFonts w:hint="eastAsia" w:ascii="仿宋" w:hAnsi="仿宋" w:eastAsia="仿宋" w:cs="仿宋"/>
          <w:sz w:val="32"/>
          <w:szCs w:val="32"/>
        </w:rPr>
      </w:pPr>
      <w:r>
        <w:rPr>
          <w:rFonts w:hint="eastAsia" w:ascii="仿宋" w:hAnsi="仿宋" w:eastAsia="仿宋" w:cs="仿宋"/>
          <w:sz w:val="32"/>
          <w:szCs w:val="32"/>
        </w:rPr>
        <w:t>4、本</w:t>
      </w:r>
      <w:r>
        <w:rPr>
          <w:rFonts w:hint="eastAsia" w:ascii="仿宋" w:hAnsi="仿宋" w:eastAsia="仿宋" w:cs="仿宋"/>
          <w:sz w:val="32"/>
          <w:szCs w:val="32"/>
          <w:lang w:val="en-US" w:eastAsia="zh-CN"/>
        </w:rPr>
        <w:t>服务协议</w:t>
      </w:r>
      <w:r>
        <w:rPr>
          <w:rFonts w:hint="eastAsia" w:ascii="仿宋" w:hAnsi="仿宋" w:eastAsia="仿宋" w:cs="仿宋"/>
          <w:sz w:val="32"/>
          <w:szCs w:val="32"/>
        </w:rPr>
        <w:t>履行到期后，乙方在同等条件下有优先合作权利。</w:t>
      </w:r>
    </w:p>
    <w:p w14:paraId="4E6AD3C2">
      <w:pPr>
        <w:ind w:firstLine="640" w:firstLineChars="200"/>
        <w:rPr>
          <w:rFonts w:hint="eastAsia" w:ascii="仿宋" w:hAnsi="仿宋" w:eastAsia="仿宋" w:cs="仿宋"/>
          <w:sz w:val="32"/>
          <w:szCs w:val="32"/>
        </w:rPr>
      </w:pPr>
      <w:r>
        <w:rPr>
          <w:rFonts w:hint="eastAsia" w:ascii="仿宋" w:hAnsi="仿宋" w:eastAsia="仿宋" w:cs="仿宋"/>
          <w:sz w:val="32"/>
          <w:szCs w:val="32"/>
        </w:rPr>
        <w:t>5、未经对方许可，甲乙双方都不得将本协议内容透露给第三方。</w:t>
      </w:r>
    </w:p>
    <w:p w14:paraId="7A168905">
      <w:pPr>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vertAlign w:val="baseline"/>
          <w:lang w:val="en-US" w:eastAsia="zh-CN"/>
        </w:rPr>
        <w:t>6、</w:t>
      </w:r>
      <w:r>
        <w:rPr>
          <w:rFonts w:hint="eastAsia" w:ascii="仿宋" w:hAnsi="仿宋" w:eastAsia="仿宋" w:cs="仿宋"/>
          <w:b w:val="0"/>
          <w:bCs w:val="0"/>
          <w:color w:val="auto"/>
          <w:sz w:val="32"/>
          <w:szCs w:val="32"/>
          <w:vertAlign w:val="baseline"/>
        </w:rPr>
        <w:t>乙方</w:t>
      </w:r>
      <w:r>
        <w:rPr>
          <w:rStyle w:val="21"/>
          <w:rFonts w:hint="eastAsia" w:ascii="仿宋" w:hAnsi="仿宋" w:eastAsia="仿宋" w:cs="仿宋"/>
          <w:b w:val="0"/>
          <w:bCs w:val="0"/>
          <w:color w:val="auto"/>
          <w:sz w:val="32"/>
          <w:szCs w:val="32"/>
          <w:vertAlign w:val="baseline"/>
        </w:rPr>
        <w:t>严禁收集产妇及新生儿健康信息</w:t>
      </w:r>
      <w:r>
        <w:rPr>
          <w:rFonts w:hint="eastAsia" w:ascii="仿宋" w:hAnsi="仿宋" w:eastAsia="仿宋" w:cs="仿宋"/>
          <w:b w:val="0"/>
          <w:bCs w:val="0"/>
          <w:color w:val="auto"/>
          <w:sz w:val="32"/>
          <w:szCs w:val="32"/>
          <w:vertAlign w:val="baseline"/>
        </w:rPr>
        <w:t>（如病历、检查数据）。如需使用甲方客户信息，须单独签署《健康数据使用授权书》。</w:t>
      </w:r>
    </w:p>
    <w:p w14:paraId="34A6DAAB">
      <w:pPr>
        <w:ind w:firstLine="643" w:firstLineChars="200"/>
        <w:rPr>
          <w:rFonts w:hint="eastAsia" w:ascii="楷体" w:hAnsi="楷体" w:eastAsia="楷体" w:cs="楷体"/>
          <w:b/>
          <w:sz w:val="32"/>
          <w:szCs w:val="32"/>
        </w:rPr>
      </w:pPr>
      <w:r>
        <w:rPr>
          <w:rFonts w:hint="eastAsia" w:ascii="楷体" w:hAnsi="楷体" w:eastAsia="楷体" w:cs="楷体"/>
          <w:b/>
          <w:sz w:val="32"/>
          <w:szCs w:val="32"/>
          <w:lang w:val="en-US" w:eastAsia="zh-CN"/>
        </w:rPr>
        <w:t>八</w:t>
      </w:r>
      <w:r>
        <w:rPr>
          <w:rFonts w:hint="eastAsia" w:ascii="楷体" w:hAnsi="楷体" w:eastAsia="楷体" w:cs="楷体"/>
          <w:b/>
          <w:sz w:val="32"/>
          <w:szCs w:val="32"/>
        </w:rPr>
        <w:t>、争议的解决</w:t>
      </w:r>
    </w:p>
    <w:p w14:paraId="082BFC80">
      <w:pPr>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val="en-US" w:eastAsia="zh-CN"/>
        </w:rPr>
        <w:t>服务协议</w:t>
      </w:r>
      <w:r>
        <w:rPr>
          <w:rFonts w:hint="eastAsia" w:ascii="仿宋" w:hAnsi="仿宋" w:eastAsia="仿宋" w:cs="仿宋"/>
          <w:sz w:val="32"/>
          <w:szCs w:val="32"/>
        </w:rPr>
        <w:t>适用中华人民共和国法律。</w:t>
      </w:r>
    </w:p>
    <w:p w14:paraId="33F2AE7A">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甲乙双方如果发生争议，应当友好协商解决。如协商不成，</w:t>
      </w:r>
      <w:r>
        <w:rPr>
          <w:rFonts w:hint="eastAsia" w:ascii="仿宋" w:hAnsi="仿宋" w:eastAsia="仿宋" w:cs="仿宋"/>
          <w:color w:val="auto"/>
          <w:sz w:val="32"/>
          <w:szCs w:val="32"/>
        </w:rPr>
        <w:t>任何一方均有权向</w:t>
      </w:r>
      <w:r>
        <w:rPr>
          <w:rFonts w:hint="eastAsia" w:ascii="仿宋" w:hAnsi="仿宋" w:eastAsia="仿宋" w:cs="仿宋"/>
          <w:color w:val="auto"/>
          <w:sz w:val="32"/>
          <w:szCs w:val="32"/>
          <w:lang w:eastAsia="zh-CN"/>
        </w:rPr>
        <w:t>甲方所在地</w:t>
      </w:r>
      <w:r>
        <w:rPr>
          <w:rFonts w:hint="eastAsia" w:ascii="仿宋" w:hAnsi="仿宋" w:eastAsia="仿宋" w:cs="仿宋"/>
          <w:color w:val="auto"/>
          <w:sz w:val="32"/>
          <w:szCs w:val="32"/>
        </w:rPr>
        <w:t>人民法院提起诉讼</w:t>
      </w:r>
      <w:r>
        <w:rPr>
          <w:rFonts w:hint="eastAsia" w:ascii="仿宋" w:hAnsi="仿宋" w:eastAsia="仿宋" w:cs="仿宋"/>
          <w:sz w:val="32"/>
          <w:szCs w:val="32"/>
        </w:rPr>
        <w:t>。</w:t>
      </w:r>
    </w:p>
    <w:p w14:paraId="3C780509">
      <w:pPr>
        <w:ind w:firstLine="643" w:firstLineChars="200"/>
        <w:rPr>
          <w:rFonts w:hint="eastAsia" w:ascii="楷体" w:hAnsi="楷体" w:eastAsia="楷体" w:cs="楷体"/>
          <w:sz w:val="32"/>
          <w:szCs w:val="32"/>
        </w:rPr>
      </w:pPr>
      <w:r>
        <w:rPr>
          <w:rFonts w:hint="eastAsia" w:ascii="楷体" w:hAnsi="楷体" w:eastAsia="楷体" w:cs="楷体"/>
          <w:b/>
          <w:sz w:val="32"/>
          <w:szCs w:val="32"/>
          <w:lang w:val="en-US" w:eastAsia="zh-CN"/>
        </w:rPr>
        <w:t>九</w:t>
      </w:r>
      <w:r>
        <w:rPr>
          <w:rFonts w:hint="eastAsia" w:ascii="楷体" w:hAnsi="楷体" w:eastAsia="楷体" w:cs="楷体"/>
          <w:b/>
          <w:sz w:val="32"/>
          <w:szCs w:val="32"/>
        </w:rPr>
        <w:t>、</w:t>
      </w:r>
      <w:r>
        <w:rPr>
          <w:rFonts w:hint="eastAsia" w:ascii="楷体" w:hAnsi="楷体" w:eastAsia="楷体" w:cs="楷体"/>
          <w:b/>
          <w:sz w:val="32"/>
          <w:szCs w:val="32"/>
          <w:lang w:val="en-US" w:eastAsia="zh-CN"/>
        </w:rPr>
        <w:t>服务协议</w:t>
      </w:r>
      <w:r>
        <w:rPr>
          <w:rFonts w:hint="eastAsia" w:ascii="楷体" w:hAnsi="楷体" w:eastAsia="楷体" w:cs="楷体"/>
          <w:b/>
          <w:sz w:val="32"/>
          <w:szCs w:val="32"/>
        </w:rPr>
        <w:t>的生效</w:t>
      </w:r>
    </w:p>
    <w:p w14:paraId="187C98BF">
      <w:pPr>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val="en-US" w:eastAsia="zh-CN"/>
        </w:rPr>
        <w:t>服务协议</w:t>
      </w:r>
      <w:r>
        <w:rPr>
          <w:rFonts w:hint="eastAsia" w:ascii="仿宋" w:hAnsi="仿宋" w:eastAsia="仿宋" w:cs="仿宋"/>
          <w:sz w:val="32"/>
          <w:szCs w:val="32"/>
        </w:rPr>
        <w:t>正本壹式</w:t>
      </w:r>
      <w:r>
        <w:rPr>
          <w:rFonts w:hint="eastAsia" w:ascii="仿宋" w:hAnsi="仿宋" w:eastAsia="仿宋" w:cs="仿宋"/>
          <w:sz w:val="32"/>
          <w:szCs w:val="32"/>
          <w:lang w:eastAsia="zh-CN"/>
        </w:rPr>
        <w:t>肆</w:t>
      </w:r>
      <w:r>
        <w:rPr>
          <w:rFonts w:hint="eastAsia" w:ascii="仿宋" w:hAnsi="仿宋" w:eastAsia="仿宋" w:cs="仿宋"/>
          <w:sz w:val="32"/>
          <w:szCs w:val="32"/>
        </w:rPr>
        <w:t>份，甲执</w:t>
      </w:r>
      <w:r>
        <w:rPr>
          <w:rFonts w:hint="eastAsia" w:ascii="仿宋" w:hAnsi="仿宋" w:eastAsia="仿宋" w:cs="仿宋"/>
          <w:sz w:val="32"/>
          <w:szCs w:val="32"/>
          <w:lang w:val="en-US" w:eastAsia="zh-CN"/>
        </w:rPr>
        <w:t>叁</w:t>
      </w:r>
      <w:r>
        <w:rPr>
          <w:rFonts w:hint="eastAsia" w:ascii="仿宋" w:hAnsi="仿宋" w:eastAsia="仿宋" w:cs="仿宋"/>
          <w:sz w:val="32"/>
          <w:szCs w:val="32"/>
        </w:rPr>
        <w:t>份</w:t>
      </w:r>
      <w:r>
        <w:rPr>
          <w:rFonts w:hint="eastAsia" w:ascii="仿宋" w:hAnsi="仿宋" w:eastAsia="仿宋" w:cs="仿宋"/>
          <w:sz w:val="32"/>
          <w:szCs w:val="32"/>
          <w:lang w:eastAsia="zh-CN"/>
        </w:rPr>
        <w:t>，</w:t>
      </w:r>
      <w:r>
        <w:rPr>
          <w:rFonts w:hint="eastAsia" w:ascii="仿宋" w:hAnsi="仿宋" w:eastAsia="仿宋" w:cs="仿宋"/>
          <w:sz w:val="32"/>
          <w:szCs w:val="32"/>
        </w:rPr>
        <w:t>乙方执</w:t>
      </w:r>
      <w:r>
        <w:rPr>
          <w:rFonts w:hint="eastAsia" w:ascii="仿宋" w:hAnsi="仿宋" w:eastAsia="仿宋" w:cs="仿宋"/>
          <w:sz w:val="32"/>
          <w:szCs w:val="32"/>
          <w:lang w:val="en-US" w:eastAsia="zh-CN"/>
        </w:rPr>
        <w:t>壹</w:t>
      </w:r>
      <w:r>
        <w:rPr>
          <w:rFonts w:hint="eastAsia" w:ascii="仿宋" w:hAnsi="仿宋" w:eastAsia="仿宋" w:cs="仿宋"/>
          <w:sz w:val="32"/>
          <w:szCs w:val="32"/>
        </w:rPr>
        <w:t>份，由甲乙双方代表签字并加盖公章，自签字盖章之日起生效，至本协议到期日为止。</w:t>
      </w:r>
    </w:p>
    <w:p w14:paraId="51CEF7D0">
      <w:pPr>
        <w:rPr>
          <w:rFonts w:hint="eastAsia" w:ascii="仿宋" w:hAnsi="仿宋" w:eastAsia="仿宋" w:cs="仿宋"/>
          <w:sz w:val="32"/>
          <w:szCs w:val="32"/>
        </w:rPr>
      </w:pPr>
    </w:p>
    <w:p w14:paraId="56FDC88F">
      <w:pPr>
        <w:rPr>
          <w:rFonts w:hint="eastAsia" w:ascii="仿宋" w:hAnsi="仿宋" w:eastAsia="仿宋" w:cs="仿宋"/>
          <w:sz w:val="32"/>
          <w:szCs w:val="32"/>
        </w:rPr>
      </w:pPr>
    </w:p>
    <w:p w14:paraId="32608418">
      <w:pPr>
        <w:rPr>
          <w:rFonts w:hint="eastAsia" w:ascii="仿宋" w:hAnsi="仿宋" w:eastAsia="仿宋" w:cs="仿宋"/>
          <w:sz w:val="32"/>
          <w:szCs w:val="32"/>
        </w:rPr>
      </w:pPr>
    </w:p>
    <w:p w14:paraId="12FE7D99">
      <w:pPr>
        <w:rPr>
          <w:rFonts w:hint="eastAsia" w:ascii="仿宋" w:hAnsi="仿宋" w:eastAsia="仿宋" w:cs="仿宋"/>
          <w:sz w:val="32"/>
          <w:szCs w:val="32"/>
        </w:rPr>
      </w:pPr>
    </w:p>
    <w:p w14:paraId="32103048">
      <w:pPr>
        <w:rPr>
          <w:rFonts w:hint="eastAsia" w:ascii="仿宋" w:hAnsi="仿宋" w:eastAsia="仿宋" w:cs="仿宋"/>
          <w:b/>
          <w:bCs/>
          <w:sz w:val="32"/>
          <w:szCs w:val="32"/>
        </w:rPr>
      </w:pPr>
      <w:r>
        <w:rPr>
          <w:rFonts w:hint="eastAsia" w:ascii="仿宋" w:hAnsi="仿宋" w:eastAsia="仿宋" w:cs="仿宋"/>
          <w:b/>
          <w:bCs/>
          <w:sz w:val="32"/>
          <w:szCs w:val="32"/>
        </w:rPr>
        <w:t>甲方：</w:t>
      </w:r>
      <w:r>
        <w:rPr>
          <w:rFonts w:hint="eastAsia" w:ascii="仿宋" w:hAnsi="仿宋" w:eastAsia="仿宋" w:cs="仿宋"/>
          <w:b/>
          <w:bCs/>
          <w:sz w:val="32"/>
          <w:szCs w:val="32"/>
          <w:lang w:val="en-US" w:eastAsia="zh-CN"/>
        </w:rPr>
        <w:t xml:space="preserve">平顶山市妇幼保健院           </w:t>
      </w:r>
      <w:r>
        <w:rPr>
          <w:rFonts w:hint="eastAsia" w:ascii="仿宋" w:hAnsi="仿宋" w:eastAsia="仿宋" w:cs="仿宋"/>
          <w:b/>
          <w:bCs/>
          <w:sz w:val="32"/>
          <w:szCs w:val="32"/>
        </w:rPr>
        <w:t>乙方：</w:t>
      </w:r>
    </w:p>
    <w:p w14:paraId="5DCB9DC4">
      <w:pPr>
        <w:rPr>
          <w:rFonts w:hint="eastAsia" w:ascii="仿宋" w:hAnsi="仿宋" w:eastAsia="仿宋" w:cs="仿宋"/>
          <w:b/>
          <w:bCs/>
          <w:sz w:val="32"/>
          <w:szCs w:val="32"/>
        </w:rPr>
      </w:pPr>
      <w:r>
        <w:rPr>
          <w:rFonts w:hint="eastAsia" w:ascii="仿宋" w:hAnsi="仿宋" w:eastAsia="仿宋" w:cs="仿宋"/>
          <w:b/>
          <w:bCs/>
          <w:sz w:val="32"/>
          <w:szCs w:val="32"/>
        </w:rPr>
        <w:t xml:space="preserve">授权代表：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授权代表：</w:t>
      </w:r>
    </w:p>
    <w:p w14:paraId="76B09759">
      <w:pPr>
        <w:rPr>
          <w:rFonts w:hint="eastAsia" w:ascii="仿宋" w:hAnsi="仿宋" w:eastAsia="仿宋" w:cs="仿宋"/>
          <w:b/>
          <w:bCs/>
          <w:sz w:val="32"/>
          <w:szCs w:val="32"/>
        </w:rPr>
      </w:pPr>
      <w:r>
        <w:rPr>
          <w:rFonts w:hint="eastAsia" w:ascii="仿宋" w:hAnsi="仿宋" w:eastAsia="仿宋" w:cs="仿宋"/>
          <w:b/>
          <w:bCs/>
          <w:sz w:val="32"/>
          <w:szCs w:val="32"/>
        </w:rPr>
        <w:t xml:space="preserve">日期：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日期：</w:t>
      </w:r>
    </w:p>
    <w:p w14:paraId="43D5683F">
      <w:pPr>
        <w:rPr>
          <w:rFonts w:hint="eastAsia" w:ascii="仿宋" w:hAnsi="仿宋" w:eastAsia="仿宋" w:cs="仿宋"/>
          <w:sz w:val="32"/>
          <w:szCs w:val="32"/>
          <w:lang w:val="en-US" w:eastAsia="zh-CN"/>
        </w:rPr>
      </w:pPr>
      <w:r>
        <w:rPr>
          <w:rFonts w:hint="eastAsia" w:ascii="仿宋" w:hAnsi="仿宋" w:eastAsia="仿宋" w:cs="仿宋"/>
          <w:b/>
          <w:bCs/>
          <w:sz w:val="32"/>
          <w:szCs w:val="32"/>
        </w:rPr>
        <w:t xml:space="preserve">电话：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电话：</w:t>
      </w:r>
    </w:p>
    <w:p w14:paraId="19117417">
      <w:pPr>
        <w:rPr>
          <w:rFonts w:hint="eastAsia" w:ascii="宋体" w:hAnsi="宋体"/>
          <w:sz w:val="36"/>
          <w:szCs w:val="36"/>
          <w:lang w:val="en-US" w:eastAsia="zh-CN"/>
        </w:rPr>
      </w:pPr>
    </w:p>
    <w:p w14:paraId="4D4B1945">
      <w:pPr>
        <w:rPr>
          <w:rFonts w:hint="eastAsia" w:ascii="仿宋" w:hAnsi="仿宋" w:eastAsia="仿宋" w:cs="仿宋"/>
          <w:sz w:val="32"/>
          <w:szCs w:val="32"/>
          <w:lang w:val="en-US" w:eastAsia="zh-CN"/>
        </w:rPr>
      </w:pPr>
    </w:p>
    <w:p w14:paraId="2C6FBA7D">
      <w:pPr>
        <w:spacing w:line="360" w:lineRule="auto"/>
        <w:ind w:firstLine="1430" w:firstLineChars="650"/>
        <w:jc w:val="center"/>
        <w:rPr>
          <w:rFonts w:ascii="宋体" w:hAnsi="宋体"/>
          <w:sz w:val="22"/>
          <w:szCs w:val="22"/>
        </w:rPr>
      </w:pPr>
    </w:p>
    <w:p w14:paraId="06FD0D30">
      <w:pPr>
        <w:spacing w:line="360" w:lineRule="auto"/>
        <w:ind w:right="105"/>
        <w:rPr>
          <w:rFonts w:ascii="宋体" w:hAnsi="宋体"/>
          <w:sz w:val="24"/>
          <w:szCs w:val="24"/>
        </w:rPr>
      </w:pPr>
      <w:r>
        <w:rPr>
          <w:rFonts w:hint="eastAsia" w:ascii="宋体" w:hAnsi="宋体"/>
          <w:b/>
          <w:bCs/>
          <w:sz w:val="22"/>
          <w:szCs w:val="22"/>
        </w:rPr>
        <w:t>注：本合同条款仅供参考（以采购人最终认定的合同格式为准）</w:t>
      </w:r>
    </w:p>
    <w:p w14:paraId="502A0B1A">
      <w:pPr>
        <w:snapToGrid w:val="0"/>
        <w:spacing w:line="360" w:lineRule="auto"/>
        <w:rPr>
          <w:rFonts w:ascii="宋体" w:hAnsi="宋体"/>
        </w:rPr>
      </w:pPr>
    </w:p>
    <w:p w14:paraId="01F21DCE">
      <w:pPr>
        <w:pStyle w:val="2"/>
        <w:jc w:val="center"/>
        <w:rPr>
          <w:rFonts w:ascii="宋体" w:hAnsi="宋体"/>
          <w:szCs w:val="22"/>
        </w:rPr>
      </w:pPr>
      <w:bookmarkStart w:id="263" w:name="_Toc104"/>
      <w:bookmarkStart w:id="264" w:name="_Toc512597572"/>
      <w:bookmarkStart w:id="265" w:name="_Toc6773"/>
      <w:r>
        <w:rPr>
          <w:rFonts w:hint="eastAsia" w:ascii="宋体" w:hAnsi="宋体"/>
          <w:szCs w:val="22"/>
        </w:rPr>
        <w:t>第五章 采购需求</w:t>
      </w:r>
    </w:p>
    <w:p w14:paraId="66DF705E">
      <w:pPr>
        <w:spacing w:line="360" w:lineRule="auto"/>
        <w:rPr>
          <w:rFonts w:ascii="宋体" w:hAnsi="宋体"/>
          <w:sz w:val="36"/>
          <w:szCs w:val="36"/>
        </w:rPr>
      </w:pPr>
    </w:p>
    <w:p w14:paraId="5F341308">
      <w:pPr>
        <w:rPr>
          <w:rFonts w:ascii="宋体" w:hAnsi="宋体"/>
          <w:sz w:val="36"/>
          <w:szCs w:val="36"/>
        </w:rPr>
      </w:pPr>
      <w:r>
        <w:rPr>
          <w:rFonts w:hint="eastAsia" w:ascii="宋体" w:hAnsi="宋体"/>
          <w:sz w:val="36"/>
          <w:szCs w:val="36"/>
        </w:rPr>
        <w:br w:type="page"/>
      </w:r>
    </w:p>
    <w:p w14:paraId="4000C01C">
      <w:pPr>
        <w:pStyle w:val="28"/>
        <w:sectPr>
          <w:headerReference r:id="rId5" w:type="default"/>
          <w:footerReference r:id="rId6" w:type="default"/>
          <w:pgSz w:w="11906" w:h="16838"/>
          <w:pgMar w:top="1418" w:right="1134" w:bottom="1418" w:left="1134" w:header="851" w:footer="992" w:gutter="0"/>
          <w:pgNumType w:fmt="decimal"/>
          <w:cols w:space="720" w:num="1"/>
          <w:docGrid w:type="lines" w:linePitch="312" w:charSpace="0"/>
        </w:sectPr>
      </w:pPr>
    </w:p>
    <w:p w14:paraId="6DD2CAD8">
      <w:pPr>
        <w:numPr>
          <w:ilvl w:val="0"/>
          <w:numId w:val="0"/>
        </w:numPr>
        <w:jc w:val="both"/>
        <w:rPr>
          <w:rFonts w:hint="eastAsia"/>
          <w:b/>
          <w:bCs/>
          <w:sz w:val="28"/>
          <w:szCs w:val="24"/>
          <w:lang w:eastAsia="zh-CN"/>
        </w:rPr>
      </w:pPr>
      <w:r>
        <w:rPr>
          <w:rFonts w:hint="eastAsia"/>
          <w:b/>
          <w:bCs/>
          <w:sz w:val="28"/>
          <w:szCs w:val="24"/>
          <w:lang w:eastAsia="zh-CN"/>
        </w:rPr>
        <w:t>一、商务需求</w:t>
      </w:r>
    </w:p>
    <w:p w14:paraId="5E939348">
      <w:pPr>
        <w:spacing w:line="360" w:lineRule="auto"/>
        <w:rPr>
          <w:rFonts w:hint="default" w:ascii="宋体" w:hAnsi="宋体" w:eastAsia="宋体" w:cs="宋体"/>
          <w:highlight w:val="none"/>
          <w:lang w:val="en-US" w:eastAsia="zh-CN"/>
        </w:rPr>
      </w:pPr>
      <w:r>
        <w:rPr>
          <w:rFonts w:hint="eastAsia" w:ascii="宋体" w:hAnsi="宋体" w:cs="宋体"/>
        </w:rPr>
        <w:t>1、</w:t>
      </w:r>
      <w:r>
        <w:rPr>
          <w:rFonts w:hint="eastAsia" w:hAnsi="宋体" w:cs="宋体"/>
        </w:rPr>
        <w:t>项目编</w:t>
      </w:r>
      <w:r>
        <w:rPr>
          <w:rFonts w:hint="eastAsia" w:hAnsi="宋体" w:cs="宋体"/>
          <w:highlight w:val="none"/>
        </w:rPr>
        <w:t>号</w:t>
      </w:r>
      <w:r>
        <w:rPr>
          <w:rFonts w:hint="eastAsia" w:ascii="宋体" w:hAnsi="宋体" w:cs="宋体"/>
          <w:highlight w:val="none"/>
        </w:rPr>
        <w:t>：</w:t>
      </w:r>
      <w:r>
        <w:rPr>
          <w:rFonts w:hint="eastAsia" w:ascii="宋体" w:hAnsi="宋体" w:cs="宋体"/>
          <w:highlight w:val="none"/>
          <w:lang w:eastAsia="zh-CN"/>
        </w:rPr>
        <w:t>平采招标-202</w:t>
      </w:r>
      <w:r>
        <w:rPr>
          <w:rFonts w:hint="eastAsia" w:ascii="宋体" w:hAnsi="宋体" w:cs="宋体"/>
          <w:highlight w:val="none"/>
          <w:lang w:val="en-US" w:eastAsia="zh-CN"/>
        </w:rPr>
        <w:t>5</w:t>
      </w:r>
      <w:r>
        <w:rPr>
          <w:rFonts w:hint="eastAsia" w:ascii="宋体" w:hAnsi="宋体" w:cs="宋体"/>
          <w:highlight w:val="none"/>
          <w:lang w:eastAsia="zh-CN"/>
        </w:rPr>
        <w:t>-</w:t>
      </w:r>
      <w:r>
        <w:rPr>
          <w:rFonts w:hint="eastAsia" w:ascii="宋体" w:hAnsi="宋体" w:cs="宋体"/>
          <w:highlight w:val="none"/>
          <w:lang w:val="en-US" w:eastAsia="zh-CN"/>
        </w:rPr>
        <w:t xml:space="preserve">  </w:t>
      </w:r>
    </w:p>
    <w:p w14:paraId="38B62CDA">
      <w:pPr>
        <w:spacing w:line="360" w:lineRule="auto"/>
        <w:rPr>
          <w:rFonts w:hint="eastAsia" w:ascii="宋体" w:hAnsi="宋体" w:eastAsia="宋体" w:cs="宋体"/>
          <w:highlight w:val="none"/>
          <w:lang w:eastAsia="zh-CN"/>
        </w:rPr>
      </w:pPr>
      <w:r>
        <w:rPr>
          <w:rFonts w:hint="eastAsia" w:ascii="宋体" w:hAnsi="宋体" w:cs="宋体"/>
          <w:highlight w:val="none"/>
        </w:rPr>
        <w:t>2、项目名称：</w:t>
      </w:r>
      <w:r>
        <w:rPr>
          <w:rFonts w:hint="eastAsia" w:hAnsi="宋体" w:cs="宋体"/>
          <w:highlight w:val="none"/>
          <w:lang w:eastAsia="zh-CN"/>
        </w:rPr>
        <w:t>平顶山市妇幼保健院母婴中心服务项目</w:t>
      </w:r>
    </w:p>
    <w:p w14:paraId="4B63347D">
      <w:pPr>
        <w:spacing w:line="360" w:lineRule="auto"/>
        <w:rPr>
          <w:rFonts w:ascii="宋体" w:hAnsi="宋体" w:cs="宋体"/>
          <w:highlight w:val="none"/>
        </w:rPr>
      </w:pPr>
      <w:r>
        <w:rPr>
          <w:rFonts w:hint="eastAsia" w:ascii="宋体" w:hAnsi="宋体" w:cs="宋体"/>
          <w:highlight w:val="none"/>
        </w:rPr>
        <w:t>3、采购方式</w:t>
      </w:r>
      <w:r>
        <w:rPr>
          <w:rFonts w:hint="eastAsia" w:hAnsi="宋体" w:cs="宋体"/>
          <w:highlight w:val="none"/>
        </w:rPr>
        <w:t>：公开招标</w:t>
      </w:r>
    </w:p>
    <w:p w14:paraId="43F06ED6">
      <w:pPr>
        <w:spacing w:line="360" w:lineRule="auto"/>
        <w:rPr>
          <w:rFonts w:ascii="宋体" w:hAnsi="宋体" w:cs="宋体"/>
          <w:highlight w:val="none"/>
        </w:rPr>
      </w:pPr>
      <w:r>
        <w:rPr>
          <w:rFonts w:hint="eastAsia" w:ascii="宋体" w:hAnsi="宋体" w:cs="宋体"/>
          <w:highlight w:val="none"/>
        </w:rPr>
        <w:t>4、预算金额：</w:t>
      </w:r>
      <w:r>
        <w:rPr>
          <w:rFonts w:hint="eastAsia" w:hAnsi="宋体" w:cs="宋体"/>
          <w:highlight w:val="none"/>
          <w:lang w:eastAsia="zh-CN"/>
        </w:rPr>
        <w:t>1800000.00</w:t>
      </w:r>
      <w:r>
        <w:rPr>
          <w:rFonts w:hint="eastAsia" w:ascii="宋体" w:hAnsi="宋体" w:cs="宋体"/>
          <w:highlight w:val="none"/>
        </w:rPr>
        <w:t>元</w:t>
      </w:r>
    </w:p>
    <w:p w14:paraId="29BAF5D2">
      <w:pPr>
        <w:spacing w:line="360" w:lineRule="auto"/>
        <w:rPr>
          <w:rFonts w:ascii="宋体" w:hAnsi="宋体" w:cs="宋体"/>
          <w:highlight w:val="none"/>
        </w:rPr>
      </w:pPr>
      <w:r>
        <w:rPr>
          <w:rFonts w:hint="eastAsia" w:ascii="宋体" w:hAnsi="宋体" w:cs="宋体"/>
          <w:highlight w:val="none"/>
        </w:rPr>
        <w:t>最高限价：</w:t>
      </w:r>
      <w:r>
        <w:rPr>
          <w:rFonts w:hint="eastAsia" w:hAnsi="宋体" w:cs="宋体"/>
          <w:highlight w:val="none"/>
          <w:lang w:eastAsia="zh-CN"/>
        </w:rPr>
        <w:t>1800000.00</w:t>
      </w:r>
      <w:r>
        <w:rPr>
          <w:rFonts w:hint="eastAsia" w:ascii="宋体" w:hAnsi="宋体" w:cs="宋体"/>
          <w:highlight w:val="none"/>
        </w:rPr>
        <w:t>元</w:t>
      </w:r>
    </w:p>
    <w:tbl>
      <w:tblPr>
        <w:tblStyle w:val="18"/>
        <w:tblW w:w="9400" w:type="dxa"/>
        <w:jc w:val="center"/>
        <w:tblLayout w:type="fixed"/>
        <w:tblCellMar>
          <w:top w:w="0" w:type="dxa"/>
          <w:left w:w="0" w:type="dxa"/>
          <w:bottom w:w="0" w:type="dxa"/>
          <w:right w:w="0" w:type="dxa"/>
        </w:tblCellMar>
      </w:tblPr>
      <w:tblGrid>
        <w:gridCol w:w="433"/>
        <w:gridCol w:w="2370"/>
        <w:gridCol w:w="2676"/>
        <w:gridCol w:w="1505"/>
        <w:gridCol w:w="2416"/>
      </w:tblGrid>
      <w:tr w14:paraId="346AF962">
        <w:tblPrEx>
          <w:tblCellMar>
            <w:top w:w="0" w:type="dxa"/>
            <w:left w:w="0" w:type="dxa"/>
            <w:bottom w:w="0" w:type="dxa"/>
            <w:right w:w="0" w:type="dxa"/>
          </w:tblCellMar>
        </w:tblPrEx>
        <w:trPr>
          <w:trHeight w:val="305" w:hRule="atLeast"/>
          <w:jc w:val="center"/>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7C75A">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序号</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B6079">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包号</w:t>
            </w: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42CAF">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包名称</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FB1DF">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包预算（元）</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01695">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包最高限价（元）</w:t>
            </w:r>
          </w:p>
        </w:tc>
      </w:tr>
      <w:tr w14:paraId="64FABA2F">
        <w:tblPrEx>
          <w:tblCellMar>
            <w:top w:w="0" w:type="dxa"/>
            <w:left w:w="0" w:type="dxa"/>
            <w:bottom w:w="0" w:type="dxa"/>
            <w:right w:w="0" w:type="dxa"/>
          </w:tblCellMar>
        </w:tblPrEx>
        <w:trPr>
          <w:trHeight w:val="848" w:hRule="atLeast"/>
          <w:jc w:val="center"/>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AAA74">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1</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000A6">
            <w:pPr>
              <w:widowControl/>
              <w:spacing w:line="360" w:lineRule="auto"/>
              <w:jc w:val="center"/>
              <w:textAlignment w:val="center"/>
              <w:rPr>
                <w:rFonts w:ascii="宋体" w:hAnsi="宋体" w:cs="宋体"/>
                <w:highlight w:val="none"/>
              </w:rPr>
            </w:pPr>
            <w:r>
              <w:rPr>
                <w:rFonts w:hint="eastAsia" w:hAnsi="宋体" w:cs="宋体"/>
                <w:szCs w:val="22"/>
                <w:highlight w:val="none"/>
                <w:lang w:eastAsia="zh-CN"/>
              </w:rPr>
              <w:t>平公资采2025881号</w:t>
            </w:r>
            <w:r>
              <w:rPr>
                <w:rFonts w:hint="eastAsia" w:hAnsi="宋体" w:cs="宋体"/>
                <w:szCs w:val="22"/>
                <w:highlight w:val="none"/>
              </w:rPr>
              <w:t>-1</w:t>
            </w: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3E67B">
            <w:pPr>
              <w:widowControl/>
              <w:spacing w:line="360" w:lineRule="auto"/>
              <w:jc w:val="center"/>
              <w:textAlignment w:val="center"/>
              <w:rPr>
                <w:rFonts w:hint="eastAsia" w:ascii="宋体" w:hAnsi="宋体" w:eastAsia="宋体" w:cs="宋体"/>
                <w:highlight w:val="none"/>
                <w:lang w:eastAsia="zh-CN"/>
              </w:rPr>
            </w:pPr>
            <w:r>
              <w:rPr>
                <w:rFonts w:hint="eastAsia" w:ascii="宋体" w:hAnsi="宋体" w:cs="宋体"/>
                <w:kern w:val="0"/>
                <w:highlight w:val="none"/>
                <w:lang w:val="en-US" w:eastAsia="zh-CN" w:bidi="ar"/>
              </w:rPr>
              <w:t>第一标段</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D1B54">
            <w:pPr>
              <w:widowControl/>
              <w:spacing w:line="360" w:lineRule="auto"/>
              <w:jc w:val="center"/>
              <w:textAlignment w:val="center"/>
              <w:rPr>
                <w:rFonts w:hint="eastAsia" w:ascii="宋体" w:hAnsi="宋体" w:eastAsia="宋体" w:cs="宋体"/>
                <w:highlight w:val="none"/>
                <w:lang w:eastAsia="zh-CN"/>
              </w:rPr>
            </w:pPr>
            <w:r>
              <w:rPr>
                <w:rFonts w:hint="eastAsia" w:hAnsi="宋体" w:cs="宋体"/>
                <w:highlight w:val="none"/>
                <w:lang w:val="en-US" w:eastAsia="zh-CN"/>
              </w:rPr>
              <w:t>1800000.00</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9A18A">
            <w:pPr>
              <w:widowControl/>
              <w:spacing w:line="360" w:lineRule="auto"/>
              <w:jc w:val="center"/>
              <w:textAlignment w:val="center"/>
              <w:rPr>
                <w:rFonts w:hint="eastAsia" w:ascii="宋体" w:hAnsi="宋体" w:eastAsia="宋体" w:cs="宋体"/>
                <w:highlight w:val="none"/>
                <w:lang w:eastAsia="zh-CN"/>
              </w:rPr>
            </w:pPr>
            <w:r>
              <w:rPr>
                <w:rFonts w:hint="eastAsia" w:hAnsi="宋体" w:cs="宋体"/>
                <w:highlight w:val="none"/>
                <w:lang w:val="en-US" w:eastAsia="zh-CN"/>
              </w:rPr>
              <w:t>1800000.00</w:t>
            </w:r>
          </w:p>
        </w:tc>
      </w:tr>
    </w:tbl>
    <w:p w14:paraId="5B0E712D">
      <w:pPr>
        <w:spacing w:line="360" w:lineRule="auto"/>
      </w:pPr>
      <w:r>
        <w:rPr>
          <w:rFonts w:hint="eastAsia"/>
        </w:rPr>
        <w:t>5、采购需求（包括但不限于标的的名称、数量、简要技术需求或服务要求等）</w:t>
      </w:r>
    </w:p>
    <w:p w14:paraId="66B1A135">
      <w:pPr>
        <w:spacing w:line="360" w:lineRule="auto"/>
        <w:ind w:firstLine="420" w:firstLineChars="200"/>
        <w:rPr>
          <w:rFonts w:ascii="宋体" w:hAnsi="宋体" w:cs="宋体"/>
        </w:rPr>
      </w:pPr>
      <w:r>
        <w:rPr>
          <w:rFonts w:hint="eastAsia" w:ascii="宋体" w:hAnsi="宋体" w:cs="宋体"/>
        </w:rPr>
        <w:t>5.1采购范围：</w:t>
      </w:r>
      <w:r>
        <w:rPr>
          <w:rFonts w:hint="eastAsia" w:hAnsi="宋体" w:cs="宋体"/>
          <w:lang w:eastAsia="zh-CN"/>
        </w:rPr>
        <w:t>平顶山市妇幼保健院母婴中心服务项目</w:t>
      </w:r>
      <w:r>
        <w:rPr>
          <w:rFonts w:hint="eastAsia" w:hAnsi="宋体" w:cs="宋体"/>
        </w:rPr>
        <w:t>，</w:t>
      </w:r>
      <w:r>
        <w:rPr>
          <w:rFonts w:hint="eastAsia" w:hAnsi="宋体" w:cs="宋体"/>
          <w:lang w:eastAsia="zh-CN"/>
        </w:rPr>
        <w:t>服务范围包含养生保健服务（非医疗）、母婴生活护理（不含医疗服务）、餐饮管理、中心配套活动服务（活动围绕增强产妇身心快速恢复，包括不限于：产后瑜伽、手工课程、保健知识及母婴健康知识培训讲座）</w:t>
      </w:r>
      <w:r>
        <w:rPr>
          <w:rFonts w:hint="eastAsia"/>
          <w:lang w:val="en-US" w:eastAsia="zh-CN"/>
        </w:rPr>
        <w:t>。</w:t>
      </w:r>
    </w:p>
    <w:p w14:paraId="36E94636">
      <w:pPr>
        <w:spacing w:line="360" w:lineRule="auto"/>
        <w:ind w:firstLine="420" w:firstLineChars="200"/>
      </w:pPr>
      <w:r>
        <w:rPr>
          <w:rFonts w:hint="eastAsia" w:ascii="宋体" w:hAnsi="宋体" w:cs="宋体"/>
        </w:rPr>
        <w:t>5.2资金来源：</w:t>
      </w:r>
      <w:r>
        <w:rPr>
          <w:rFonts w:hint="eastAsia" w:ascii="宋体" w:hAnsi="宋体" w:cs="宋体"/>
          <w:lang w:eastAsia="zh-CN"/>
        </w:rPr>
        <w:t>单位自筹</w:t>
      </w:r>
      <w:r>
        <w:rPr>
          <w:rFonts w:hint="eastAsia" w:ascii="宋体" w:hAnsi="宋体" w:cs="宋体"/>
        </w:rPr>
        <w:t>，已落实</w:t>
      </w:r>
    </w:p>
    <w:p w14:paraId="272E4180">
      <w:pPr>
        <w:spacing w:line="360" w:lineRule="auto"/>
        <w:ind w:firstLine="420" w:firstLineChars="200"/>
        <w:rPr>
          <w:rFonts w:ascii="宋体" w:hAnsi="宋体" w:cs="宋体"/>
        </w:rPr>
      </w:pPr>
      <w:r>
        <w:rPr>
          <w:rFonts w:hint="eastAsia" w:ascii="宋体" w:hAnsi="宋体" w:cs="宋体"/>
        </w:rPr>
        <w:t>5.3</w:t>
      </w:r>
      <w:r>
        <w:rPr>
          <w:rFonts w:hint="eastAsia" w:ascii="宋体" w:hAnsi="宋体" w:cs="宋体"/>
          <w:lang w:eastAsia="zh-CN"/>
        </w:rPr>
        <w:t>服务地点</w:t>
      </w:r>
      <w:r>
        <w:rPr>
          <w:rFonts w:hint="eastAsia" w:ascii="宋体" w:hAnsi="宋体" w:cs="宋体"/>
        </w:rPr>
        <w:t>：采购人指定地点</w:t>
      </w:r>
    </w:p>
    <w:p w14:paraId="651E40DA">
      <w:pPr>
        <w:spacing w:line="360" w:lineRule="auto"/>
        <w:ind w:firstLine="420" w:firstLineChars="200"/>
        <w:rPr>
          <w:rFonts w:ascii="宋体" w:hAnsi="宋体" w:cs="宋体"/>
          <w:highlight w:val="none"/>
        </w:rPr>
      </w:pPr>
      <w:r>
        <w:rPr>
          <w:rFonts w:hint="eastAsia" w:ascii="宋体" w:hAnsi="宋体" w:cs="宋体"/>
        </w:rPr>
        <w:t>5.4</w:t>
      </w:r>
      <w:r>
        <w:rPr>
          <w:rFonts w:hint="eastAsia" w:ascii="宋体" w:hAnsi="宋体" w:cs="宋体"/>
          <w:lang w:eastAsia="zh-CN"/>
        </w:rPr>
        <w:t>服务期限</w:t>
      </w:r>
      <w:r>
        <w:rPr>
          <w:rFonts w:hint="eastAsia" w:ascii="宋体" w:hAnsi="宋体" w:cs="宋体"/>
          <w:highlight w:val="none"/>
        </w:rPr>
        <w:t>：</w:t>
      </w:r>
      <w:r>
        <w:rPr>
          <w:rFonts w:hint="eastAsia" w:ascii="宋体" w:hAnsi="宋体" w:cs="宋体"/>
          <w:highlight w:val="none"/>
          <w:lang w:eastAsia="zh-CN"/>
        </w:rPr>
        <w:t>3年</w:t>
      </w:r>
    </w:p>
    <w:p w14:paraId="02A2F566">
      <w:pPr>
        <w:spacing w:line="360" w:lineRule="auto"/>
        <w:ind w:firstLine="420" w:firstLineChars="200"/>
        <w:rPr>
          <w:rFonts w:hint="eastAsia" w:ascii="宋体" w:hAnsi="宋体" w:eastAsia="宋体" w:cs="宋体"/>
          <w:szCs w:val="22"/>
          <w:lang w:eastAsia="zh-CN"/>
        </w:rPr>
      </w:pPr>
      <w:r>
        <w:rPr>
          <w:rFonts w:hint="eastAsia" w:ascii="宋体" w:hAnsi="宋体" w:cs="宋体"/>
          <w:szCs w:val="22"/>
        </w:rPr>
        <w:t>5.6</w:t>
      </w:r>
      <w:r>
        <w:rPr>
          <w:rFonts w:hint="eastAsia" w:ascii="宋体" w:hAnsi="宋体" w:cs="宋体"/>
          <w:szCs w:val="22"/>
          <w:lang w:eastAsia="zh-CN"/>
        </w:rPr>
        <w:t>服务质量</w:t>
      </w:r>
      <w:r>
        <w:rPr>
          <w:rFonts w:hint="eastAsia" w:ascii="宋体" w:hAnsi="宋体" w:cs="宋体"/>
          <w:szCs w:val="22"/>
        </w:rPr>
        <w:t>：</w:t>
      </w:r>
      <w:r>
        <w:rPr>
          <w:rFonts w:hint="eastAsia" w:ascii="宋体" w:hAnsi="宋体" w:cs="宋体"/>
          <w:szCs w:val="22"/>
          <w:lang w:eastAsia="zh-CN"/>
        </w:rPr>
        <w:t>符合采购人需求标准</w:t>
      </w:r>
    </w:p>
    <w:p w14:paraId="62C99418">
      <w:pPr>
        <w:spacing w:line="360" w:lineRule="auto"/>
        <w:ind w:firstLine="420" w:firstLineChars="200"/>
        <w:rPr>
          <w:rFonts w:hint="default" w:ascii="宋体" w:hAnsi="宋体" w:eastAsia="宋体" w:cs="宋体"/>
          <w:szCs w:val="22"/>
          <w:lang w:val="en-US" w:eastAsia="zh-CN"/>
        </w:rPr>
      </w:pPr>
      <w:r>
        <w:rPr>
          <w:rFonts w:hint="eastAsia" w:ascii="宋体" w:hAnsi="宋体" w:cs="宋体"/>
          <w:szCs w:val="22"/>
        </w:rPr>
        <w:t>5.7标包划分：</w:t>
      </w:r>
      <w:r>
        <w:rPr>
          <w:rFonts w:hint="eastAsia" w:ascii="宋体" w:hAnsi="宋体" w:cs="宋体"/>
          <w:szCs w:val="22"/>
          <w:lang w:eastAsia="zh-CN"/>
        </w:rPr>
        <w:t>本项目划分为</w:t>
      </w:r>
      <w:r>
        <w:rPr>
          <w:rFonts w:hint="eastAsia" w:ascii="宋体" w:hAnsi="宋体" w:cs="宋体"/>
          <w:szCs w:val="22"/>
          <w:lang w:val="en-US" w:eastAsia="zh-CN"/>
        </w:rPr>
        <w:t>1</w:t>
      </w:r>
      <w:r>
        <w:rPr>
          <w:rFonts w:hint="eastAsia" w:ascii="宋体" w:hAnsi="宋体" w:cs="宋体"/>
          <w:szCs w:val="22"/>
          <w:lang w:eastAsia="zh-CN"/>
        </w:rPr>
        <w:t>个标包</w:t>
      </w:r>
    </w:p>
    <w:p w14:paraId="6E79E640">
      <w:pPr>
        <w:spacing w:line="360" w:lineRule="auto"/>
        <w:rPr>
          <w:rFonts w:hint="eastAsia" w:ascii="宋体" w:hAnsi="宋体" w:eastAsia="宋体" w:cs="宋体"/>
          <w:szCs w:val="22"/>
          <w:lang w:eastAsia="zh-CN"/>
        </w:rPr>
      </w:pPr>
      <w:r>
        <w:rPr>
          <w:rFonts w:hint="eastAsia" w:ascii="宋体" w:hAnsi="宋体" w:cs="宋体"/>
          <w:szCs w:val="22"/>
        </w:rPr>
        <w:t>6、合同履行期限：</w:t>
      </w:r>
      <w:r>
        <w:rPr>
          <w:rFonts w:hint="eastAsia" w:ascii="宋体" w:hAnsi="宋体" w:cs="宋体"/>
          <w:szCs w:val="22"/>
          <w:lang w:eastAsia="zh-CN"/>
        </w:rPr>
        <w:t>同服务期限</w:t>
      </w:r>
    </w:p>
    <w:p w14:paraId="48698AB4">
      <w:pPr>
        <w:spacing w:line="360" w:lineRule="auto"/>
        <w:rPr>
          <w:rFonts w:ascii="宋体" w:hAnsi="宋体" w:cs="宋体"/>
          <w:szCs w:val="22"/>
        </w:rPr>
      </w:pPr>
      <w:r>
        <w:rPr>
          <w:rFonts w:hint="eastAsia" w:ascii="宋体" w:hAnsi="宋体" w:cs="宋体"/>
          <w:szCs w:val="22"/>
        </w:rPr>
        <w:t>7、本项目是否接受联合体投标：否</w:t>
      </w:r>
    </w:p>
    <w:p w14:paraId="3C0C65FB">
      <w:pPr>
        <w:spacing w:line="360" w:lineRule="auto"/>
        <w:rPr>
          <w:rFonts w:hint="eastAsia" w:ascii="宋体" w:hAnsi="宋体" w:eastAsia="宋体" w:cs="宋体"/>
          <w:szCs w:val="22"/>
          <w:lang w:eastAsia="zh-CN"/>
        </w:rPr>
      </w:pPr>
      <w:r>
        <w:rPr>
          <w:rFonts w:hint="eastAsia" w:ascii="宋体" w:hAnsi="宋体" w:cs="宋体"/>
          <w:szCs w:val="22"/>
        </w:rPr>
        <w:t>8、是否接受进口产品：</w:t>
      </w:r>
      <w:r>
        <w:rPr>
          <w:rFonts w:hint="eastAsia" w:ascii="宋体" w:hAnsi="宋体" w:cs="宋体"/>
          <w:szCs w:val="22"/>
          <w:lang w:eastAsia="zh-CN"/>
        </w:rPr>
        <w:t>否</w:t>
      </w:r>
    </w:p>
    <w:p w14:paraId="544B7BAC">
      <w:pPr>
        <w:spacing w:line="360" w:lineRule="auto"/>
        <w:rPr>
          <w:rFonts w:hint="eastAsia" w:ascii="宋体" w:hAnsi="宋体" w:eastAsia="宋体" w:cs="宋体"/>
          <w:szCs w:val="22"/>
          <w:lang w:eastAsia="zh-CN"/>
        </w:rPr>
      </w:pPr>
      <w:r>
        <w:rPr>
          <w:rFonts w:hint="eastAsia" w:ascii="宋体" w:hAnsi="宋体" w:cs="宋体"/>
          <w:szCs w:val="22"/>
        </w:rPr>
        <w:t>9、是否专门面向中小企业：</w:t>
      </w:r>
      <w:r>
        <w:rPr>
          <w:rFonts w:hint="eastAsia" w:ascii="宋体" w:hAnsi="宋体" w:cs="宋体"/>
          <w:szCs w:val="22"/>
          <w:lang w:eastAsia="zh-CN"/>
        </w:rPr>
        <w:t>是</w:t>
      </w:r>
    </w:p>
    <w:p w14:paraId="535F0C47">
      <w:pPr>
        <w:spacing w:line="360" w:lineRule="auto"/>
        <w:rPr>
          <w:rFonts w:hint="eastAsia" w:ascii="宋体" w:hAnsi="宋体" w:cs="宋体"/>
          <w:szCs w:val="22"/>
          <w:lang w:eastAsia="zh-CN"/>
        </w:rPr>
      </w:pPr>
      <w:r>
        <w:rPr>
          <w:rFonts w:hint="eastAsia" w:ascii="宋体" w:hAnsi="宋体" w:cs="宋体"/>
          <w:szCs w:val="22"/>
          <w:highlight w:val="none"/>
          <w:lang w:val="en-US" w:eastAsia="zh-CN"/>
        </w:rPr>
        <w:t>10、</w:t>
      </w:r>
      <w:r>
        <w:rPr>
          <w:rFonts w:hint="eastAsia" w:ascii="宋体" w:hAnsi="宋体" w:cs="宋体"/>
          <w:szCs w:val="22"/>
          <w:highlight w:val="none"/>
        </w:rPr>
        <w:t>付款方式</w:t>
      </w:r>
      <w:r>
        <w:rPr>
          <w:rFonts w:hint="eastAsia" w:ascii="宋体" w:hAnsi="宋体" w:cs="宋体"/>
          <w:szCs w:val="22"/>
          <w:highlight w:val="none"/>
          <w:lang w:eastAsia="zh-CN"/>
        </w:rPr>
        <w:t>：在运营服</w:t>
      </w:r>
      <w:r>
        <w:rPr>
          <w:rFonts w:hint="eastAsia" w:ascii="宋体" w:hAnsi="宋体" w:cs="宋体"/>
          <w:szCs w:val="22"/>
          <w:lang w:eastAsia="zh-CN"/>
        </w:rPr>
        <w:t>务期限内，服务结算周期为一个季度，甲方每季度支付乙方运营服务费用，乙方向甲方出具服务发票（甲方收到乙方出具的服务发票后7个工作日内与乙方结算）。</w:t>
      </w:r>
    </w:p>
    <w:p w14:paraId="797D6B1C">
      <w:pPr>
        <w:spacing w:line="360" w:lineRule="auto"/>
        <w:rPr>
          <w:rFonts w:hint="eastAsia" w:ascii="宋体" w:hAnsi="宋体" w:cs="宋体"/>
          <w:szCs w:val="22"/>
        </w:rPr>
      </w:pPr>
      <w:r>
        <w:rPr>
          <w:rFonts w:hint="eastAsia" w:ascii="宋体" w:hAnsi="宋体" w:cs="宋体"/>
          <w:szCs w:val="22"/>
          <w:lang w:val="en-US" w:eastAsia="zh-CN"/>
        </w:rPr>
        <w:t>11、</w:t>
      </w:r>
      <w:r>
        <w:rPr>
          <w:rFonts w:hint="eastAsia" w:ascii="宋体" w:hAnsi="宋体" w:cs="宋体"/>
          <w:szCs w:val="22"/>
        </w:rPr>
        <w:t>投标有效期</w:t>
      </w:r>
      <w:r>
        <w:rPr>
          <w:rFonts w:hint="eastAsia" w:ascii="宋体" w:hAnsi="宋体" w:cs="宋体"/>
          <w:szCs w:val="22"/>
          <w:lang w:eastAsia="zh-CN"/>
        </w:rPr>
        <w:t>：</w:t>
      </w:r>
      <w:r>
        <w:rPr>
          <w:rFonts w:hint="eastAsia" w:ascii="宋体" w:hAnsi="宋体" w:cs="宋体"/>
          <w:szCs w:val="22"/>
        </w:rPr>
        <w:t>投标截止之日起60个日历天</w:t>
      </w:r>
    </w:p>
    <w:p w14:paraId="4C9C74FF">
      <w:pPr>
        <w:ind w:firstLine="420" w:firstLineChars="200"/>
        <w:rPr>
          <w:rFonts w:hint="default" w:eastAsia="宋体"/>
          <w:b/>
          <w:sz w:val="28"/>
          <w:szCs w:val="28"/>
          <w:lang w:val="en-US" w:eastAsia="zh-CN"/>
        </w:rPr>
      </w:pPr>
      <w:r>
        <w:br w:type="page"/>
      </w:r>
    </w:p>
    <w:p w14:paraId="21D35A71">
      <w:pPr>
        <w:jc w:val="center"/>
      </w:pPr>
    </w:p>
    <w:p w14:paraId="128E648C">
      <w:pPr>
        <w:numPr>
          <w:ilvl w:val="0"/>
          <w:numId w:val="2"/>
        </w:numPr>
        <w:bidi w:val="0"/>
        <w:rPr>
          <w:rFonts w:hint="eastAsia"/>
          <w:b/>
          <w:bCs/>
          <w:sz w:val="32"/>
          <w:szCs w:val="28"/>
          <w:lang w:eastAsia="zh-CN"/>
        </w:rPr>
      </w:pPr>
      <w:r>
        <w:rPr>
          <w:rFonts w:hint="eastAsia"/>
          <w:b/>
          <w:bCs/>
          <w:sz w:val="32"/>
          <w:szCs w:val="28"/>
          <w:lang w:eastAsia="zh-CN"/>
        </w:rPr>
        <w:t>技术需求</w:t>
      </w:r>
    </w:p>
    <w:p w14:paraId="7F94B200">
      <w:pPr>
        <w:pStyle w:val="3"/>
        <w:bidi w:val="0"/>
        <w:rPr>
          <w:rFonts w:hint="eastAsia"/>
          <w:lang w:val="en-US" w:eastAsia="zh-CN"/>
        </w:rPr>
      </w:pPr>
      <w:bookmarkStart w:id="266" w:name="_Toc10489_WPSOffice_Level1"/>
      <w:r>
        <w:rPr>
          <w:rFonts w:hint="eastAsia"/>
          <w:lang w:val="en-US" w:eastAsia="zh-CN"/>
        </w:rPr>
        <w:t>1.项目概况</w:t>
      </w:r>
    </w:p>
    <w:p w14:paraId="6FDB2C87">
      <w:pPr>
        <w:pStyle w:val="4"/>
        <w:bidi w:val="0"/>
        <w:rPr>
          <w:rFonts w:hint="eastAsia"/>
          <w:lang w:val="en-US" w:eastAsia="zh-CN"/>
        </w:rPr>
      </w:pPr>
      <w:r>
        <w:rPr>
          <w:rFonts w:hint="eastAsia"/>
          <w:lang w:val="en-US" w:eastAsia="zh-CN"/>
        </w:rPr>
        <w:t>1.1项目目标</w:t>
      </w:r>
    </w:p>
    <w:p w14:paraId="46E68C7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i w:val="0"/>
          <w:iCs w:val="0"/>
          <w:caps w:val="0"/>
          <w:color w:val="000000" w:themeColor="text1"/>
          <w:spacing w:val="0"/>
          <w:kern w:val="0"/>
          <w:sz w:val="28"/>
          <w:szCs w:val="28"/>
          <w:u w:val="none"/>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u w:val="none"/>
          <w:lang w:val="en-US" w:eastAsia="zh-CN" w:bidi="ar"/>
          <w14:textFill>
            <w14:solidFill>
              <w14:schemeClr w14:val="tx1"/>
            </w14:solidFill>
          </w14:textFill>
        </w:rPr>
        <w:t>本次运营服务要求运营团队需对医院及周边环境全面了解的情况下编制科学合理、切实可行地组织实施母婴中心运营、母婴生活护理等业务，以及具体的保障措施、工作等程序。依照医疗照护等相关制度，以合理的服务流程和服务人数、优良的服务质量、科学的运营项目管理服务、稳定的服务队伍、特色项目来制定详细的服务方案，充分体现自身的实力，发挥自身优势，用专业化的贴心服务，为运营项目社会化提供全方位、一体化的专业服务保障。保证运营项目工作正常进行，各项重大活动顺利完成，并保证运营项目服务质量。</w:t>
      </w:r>
    </w:p>
    <w:p w14:paraId="15928498">
      <w:pPr>
        <w:pStyle w:val="4"/>
        <w:bidi w:val="0"/>
        <w:rPr>
          <w:rFonts w:hint="eastAsia"/>
          <w:lang w:val="en-US" w:eastAsia="zh-CN"/>
        </w:rPr>
      </w:pPr>
      <w:r>
        <w:rPr>
          <w:rFonts w:hint="eastAsia"/>
          <w:lang w:val="en-US" w:eastAsia="zh-CN"/>
        </w:rPr>
        <w:t>1.2项目定位</w:t>
      </w:r>
    </w:p>
    <w:p w14:paraId="21F5577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i w:val="0"/>
          <w:iCs w:val="0"/>
          <w:caps w:val="0"/>
          <w:color w:val="000000" w:themeColor="text1"/>
          <w:spacing w:val="0"/>
          <w:kern w:val="0"/>
          <w:sz w:val="28"/>
          <w:szCs w:val="28"/>
          <w:u w:val="none"/>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u w:val="none"/>
          <w:lang w:val="en-US" w:eastAsia="zh-CN" w:bidi="ar"/>
          <w14:textFill>
            <w14:solidFill>
              <w14:schemeClr w14:val="tx1"/>
            </w14:solidFill>
          </w14:textFill>
        </w:rPr>
        <w:t>打造集医疗护理、产后康复、母婴护理为一体的母婴中心，面向产妇及新生儿，提供专业化、标准化服务。</w:t>
      </w:r>
    </w:p>
    <w:p w14:paraId="789C6A04">
      <w:pPr>
        <w:pStyle w:val="4"/>
        <w:bidi w:val="0"/>
        <w:rPr>
          <w:rFonts w:hint="eastAsia"/>
          <w:lang w:val="en-US" w:eastAsia="zh-CN"/>
        </w:rPr>
      </w:pPr>
      <w:r>
        <w:rPr>
          <w:rFonts w:hint="eastAsia"/>
          <w:lang w:val="en-US" w:eastAsia="zh-CN"/>
        </w:rPr>
        <w:t>1.3服务范围</w:t>
      </w:r>
    </w:p>
    <w:p w14:paraId="3028E80B">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562" w:firstLineChars="200"/>
        <w:textAlignment w:val="auto"/>
        <w:rPr>
          <w:rFonts w:hint="eastAsia" w:ascii="仿宋" w:hAnsi="仿宋" w:eastAsia="仿宋" w:cs="仿宋"/>
          <w:color w:val="000000" w:themeColor="text1"/>
          <w:sz w:val="28"/>
          <w:szCs w:val="28"/>
          <w14:textFill>
            <w14:solidFill>
              <w14:schemeClr w14:val="tx1"/>
            </w14:solidFill>
          </w14:textFill>
        </w:rPr>
      </w:pPr>
      <w:r>
        <w:rPr>
          <w:rStyle w:val="21"/>
          <w:rFonts w:hint="eastAsia" w:ascii="仿宋" w:hAnsi="仿宋" w:eastAsia="仿宋" w:cs="仿宋"/>
          <w:i w:val="0"/>
          <w:iCs w:val="0"/>
          <w:caps w:val="0"/>
          <w:color w:val="000000" w:themeColor="text1"/>
          <w:spacing w:val="0"/>
          <w:sz w:val="28"/>
          <w:szCs w:val="28"/>
          <w:u w:val="none"/>
          <w14:textFill>
            <w14:solidFill>
              <w14:schemeClr w14:val="tx1"/>
            </w14:solidFill>
          </w14:textFill>
        </w:rPr>
        <w:t>目标人群</w:t>
      </w:r>
      <w:r>
        <w:rPr>
          <w:rFonts w:hint="eastAsia" w:ascii="仿宋" w:hAnsi="仿宋" w:eastAsia="仿宋" w:cs="仿宋"/>
          <w:i w:val="0"/>
          <w:iCs w:val="0"/>
          <w:caps w:val="0"/>
          <w:color w:val="000000" w:themeColor="text1"/>
          <w:spacing w:val="0"/>
          <w:sz w:val="28"/>
          <w:szCs w:val="28"/>
          <w:u w:val="none"/>
          <w14:textFill>
            <w14:solidFill>
              <w14:schemeClr w14:val="tx1"/>
            </w14:solidFill>
          </w14:textFill>
        </w:rPr>
        <w:t>：产妇及新生儿</w:t>
      </w:r>
    </w:p>
    <w:p w14:paraId="09EFEBBB">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562" w:firstLineChars="200"/>
        <w:textAlignment w:val="auto"/>
        <w:rPr>
          <w:rFonts w:hint="eastAsia" w:ascii="仿宋" w:hAnsi="仿宋" w:eastAsia="仿宋" w:cs="仿宋"/>
          <w:color w:val="000000" w:themeColor="text1"/>
          <w:sz w:val="28"/>
          <w:szCs w:val="28"/>
          <w14:textFill>
            <w14:solidFill>
              <w14:schemeClr w14:val="tx1"/>
            </w14:solidFill>
          </w14:textFill>
        </w:rPr>
      </w:pPr>
      <w:r>
        <w:rPr>
          <w:rStyle w:val="21"/>
          <w:rFonts w:hint="eastAsia" w:ascii="仿宋" w:hAnsi="仿宋" w:eastAsia="仿宋" w:cs="仿宋"/>
          <w:i w:val="0"/>
          <w:iCs w:val="0"/>
          <w:caps w:val="0"/>
          <w:color w:val="000000" w:themeColor="text1"/>
          <w:spacing w:val="0"/>
          <w:sz w:val="28"/>
          <w:szCs w:val="28"/>
          <w:u w:val="none"/>
          <w14:textFill>
            <w14:solidFill>
              <w14:schemeClr w14:val="tx1"/>
            </w14:solidFill>
          </w14:textFill>
        </w:rPr>
        <w:t>服务周期</w:t>
      </w:r>
      <w:r>
        <w:rPr>
          <w:rFonts w:hint="eastAsia" w:ascii="仿宋" w:hAnsi="仿宋" w:eastAsia="仿宋" w:cs="仿宋"/>
          <w:i w:val="0"/>
          <w:iCs w:val="0"/>
          <w:caps w:val="0"/>
          <w:color w:val="000000" w:themeColor="text1"/>
          <w:spacing w:val="0"/>
          <w:sz w:val="28"/>
          <w:szCs w:val="28"/>
          <w:u w:val="none"/>
          <w14:textFill>
            <w14:solidFill>
              <w14:schemeClr w14:val="tx1"/>
            </w14:solidFill>
          </w14:textFill>
        </w:rPr>
        <w:t>：短期（</w:t>
      </w:r>
      <w:r>
        <w:rPr>
          <w:rFonts w:hint="eastAsia" w:ascii="仿宋" w:hAnsi="仿宋" w:eastAsia="仿宋" w:cs="仿宋"/>
          <w:i w:val="0"/>
          <w:iCs w:val="0"/>
          <w:caps w:val="0"/>
          <w:color w:val="000000" w:themeColor="text1"/>
          <w:spacing w:val="0"/>
          <w:sz w:val="28"/>
          <w:szCs w:val="28"/>
          <w:u w:val="none"/>
          <w:lang w:val="en-US" w:eastAsia="zh-CN"/>
          <w14:textFill>
            <w14:solidFill>
              <w14:schemeClr w14:val="tx1"/>
            </w14:solidFill>
          </w14:textFill>
        </w:rPr>
        <w:t>28</w:t>
      </w:r>
      <w:r>
        <w:rPr>
          <w:rFonts w:hint="eastAsia" w:ascii="仿宋" w:hAnsi="仿宋" w:eastAsia="仿宋" w:cs="仿宋"/>
          <w:i w:val="0"/>
          <w:iCs w:val="0"/>
          <w:caps w:val="0"/>
          <w:color w:val="000000" w:themeColor="text1"/>
          <w:spacing w:val="0"/>
          <w:sz w:val="28"/>
          <w:szCs w:val="28"/>
          <w:u w:val="none"/>
          <w14:textFill>
            <w14:solidFill>
              <w14:schemeClr w14:val="tx1"/>
            </w14:solidFill>
          </w14:textFill>
        </w:rPr>
        <w:t>天）及中长期（</w:t>
      </w:r>
      <w:r>
        <w:rPr>
          <w:rFonts w:hint="eastAsia" w:ascii="仿宋" w:hAnsi="仿宋" w:eastAsia="仿宋" w:cs="仿宋"/>
          <w:i w:val="0"/>
          <w:iCs w:val="0"/>
          <w:caps w:val="0"/>
          <w:color w:val="000000" w:themeColor="text1"/>
          <w:spacing w:val="0"/>
          <w:sz w:val="28"/>
          <w:szCs w:val="28"/>
          <w:u w:val="none"/>
          <w:lang w:val="en-US" w:eastAsia="zh-CN"/>
          <w14:textFill>
            <w14:solidFill>
              <w14:schemeClr w14:val="tx1"/>
            </w14:solidFill>
          </w14:textFill>
        </w:rPr>
        <w:t>42天—</w:t>
      </w:r>
      <w:r>
        <w:rPr>
          <w:rFonts w:hint="eastAsia" w:ascii="仿宋" w:hAnsi="仿宋" w:eastAsia="仿宋" w:cs="仿宋"/>
          <w:i w:val="0"/>
          <w:iCs w:val="0"/>
          <w:caps w:val="0"/>
          <w:color w:val="000000" w:themeColor="text1"/>
          <w:spacing w:val="0"/>
          <w:sz w:val="28"/>
          <w:szCs w:val="28"/>
          <w:u w:val="none"/>
          <w14:textFill>
            <w14:solidFill>
              <w14:schemeClr w14:val="tx1"/>
            </w14:solidFill>
          </w14:textFill>
        </w:rPr>
        <w:t>3个月）</w:t>
      </w:r>
    </w:p>
    <w:p w14:paraId="5C28C6F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i w:val="0"/>
          <w:iCs w:val="0"/>
          <w:caps w:val="0"/>
          <w:color w:val="000000" w:themeColor="text1"/>
          <w:spacing w:val="0"/>
          <w:kern w:val="0"/>
          <w:sz w:val="28"/>
          <w:szCs w:val="28"/>
          <w:u w:val="none"/>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u w:val="none"/>
          <w:lang w:val="en-US" w:eastAsia="zh-CN" w:bidi="ar"/>
          <w14:textFill>
            <w14:solidFill>
              <w14:schemeClr w14:val="tx1"/>
            </w14:solidFill>
          </w14:textFill>
        </w:rPr>
        <w:t>服务范围：养生保健服务（非医疗）；母婴生活护理（不含医疗服务）；餐饮管理；中心配套活动服务（活动围绕增强产妇身心快速恢复，包括不限于：产后瑜伽、手工课程、保健知识及母婴健康知识培训讲座）</w:t>
      </w:r>
    </w:p>
    <w:p w14:paraId="42FA2680">
      <w:pPr>
        <w:pStyle w:val="3"/>
        <w:bidi w:val="0"/>
        <w:rPr>
          <w:rFonts w:hint="eastAsia"/>
          <w:lang w:val="en-US" w:eastAsia="zh-CN"/>
        </w:rPr>
      </w:pPr>
      <w:r>
        <w:rPr>
          <w:rFonts w:hint="eastAsia"/>
          <w:lang w:val="en-US" w:eastAsia="zh-CN"/>
        </w:rPr>
        <w:t>2.服务项目要求</w:t>
      </w:r>
    </w:p>
    <w:p w14:paraId="18A5B96B">
      <w:pPr>
        <w:pStyle w:val="4"/>
        <w:bidi w:val="0"/>
        <w:rPr>
          <w:rFonts w:hint="eastAsia"/>
          <w:lang w:val="en-US" w:eastAsia="zh-CN"/>
        </w:rPr>
      </w:pPr>
      <w:r>
        <w:rPr>
          <w:rFonts w:hint="eastAsia"/>
          <w:lang w:val="en-US" w:eastAsia="zh-CN"/>
        </w:rPr>
        <w:t>2.1管理要求</w:t>
      </w:r>
    </w:p>
    <w:p w14:paraId="7E027E9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2.1.1</w:t>
      </w:r>
      <w:r>
        <w:rPr>
          <w:rFonts w:hint="eastAsia" w:ascii="仿宋" w:hAnsi="仿宋" w:eastAsia="仿宋" w:cs="仿宋"/>
          <w:color w:val="000000" w:themeColor="text1"/>
          <w:sz w:val="28"/>
          <w:szCs w:val="28"/>
          <w14:textFill>
            <w14:solidFill>
              <w14:schemeClr w14:val="tx1"/>
            </w14:solidFill>
          </w14:textFill>
        </w:rPr>
        <w:t>项目管理需设立项目负责人（项目经理）1名，要求负责人（项目经理）须具备相同项目管理经验</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护理及</w:t>
      </w:r>
      <w:r>
        <w:rPr>
          <w:rFonts w:hint="eastAsia" w:ascii="仿宋" w:hAnsi="仿宋" w:eastAsia="仿宋" w:cs="仿宋"/>
          <w:color w:val="000000" w:themeColor="text1"/>
          <w:sz w:val="28"/>
          <w:szCs w:val="28"/>
          <w:lang w:eastAsia="zh-CN"/>
          <w14:textFill>
            <w14:solidFill>
              <w14:schemeClr w14:val="tx1"/>
            </w14:solidFill>
          </w14:textFill>
        </w:rPr>
        <w:t>母婴护理师</w:t>
      </w:r>
      <w:r>
        <w:rPr>
          <w:rFonts w:hint="eastAsia" w:ascii="仿宋" w:hAnsi="仿宋" w:eastAsia="仿宋" w:cs="仿宋"/>
          <w:color w:val="000000" w:themeColor="text1"/>
          <w:sz w:val="28"/>
          <w:szCs w:val="28"/>
          <w:lang w:val="en-US" w:eastAsia="zh-CN"/>
          <w14:textFill>
            <w14:solidFill>
              <w14:schemeClr w14:val="tx1"/>
            </w14:solidFill>
          </w14:textFill>
        </w:rPr>
        <w:t>根据入住产妇进行配比，</w:t>
      </w:r>
      <w:r>
        <w:rPr>
          <w:rFonts w:hint="eastAsia" w:ascii="仿宋" w:hAnsi="仿宋" w:eastAsia="仿宋" w:cs="仿宋"/>
          <w:color w:val="000000" w:themeColor="text1"/>
          <w:sz w:val="28"/>
          <w:szCs w:val="28"/>
          <w:lang w:eastAsia="zh-CN"/>
          <w14:textFill>
            <w14:solidFill>
              <w14:schemeClr w14:val="tx1"/>
            </w14:solidFill>
          </w14:textFill>
        </w:rPr>
        <w:t>母婴护理师</w:t>
      </w:r>
      <w:r>
        <w:rPr>
          <w:rFonts w:hint="eastAsia" w:ascii="仿宋" w:hAnsi="仿宋" w:eastAsia="仿宋" w:cs="仿宋"/>
          <w:color w:val="000000" w:themeColor="text1"/>
          <w:sz w:val="28"/>
          <w:szCs w:val="28"/>
          <w:lang w:val="en-US" w:eastAsia="zh-CN"/>
          <w14:textFill>
            <w14:solidFill>
              <w14:schemeClr w14:val="tx1"/>
            </w14:solidFill>
          </w14:textFill>
        </w:rPr>
        <w:t>需要符合中国母婴照料协会标准设定，提供一对一及一对多照料方案。</w:t>
      </w:r>
    </w:p>
    <w:p w14:paraId="121C1E29">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Style w:val="31"/>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2.1.2</w:t>
      </w:r>
      <w:r>
        <w:rPr>
          <w:rFonts w:hint="eastAsia" w:ascii="仿宋" w:hAnsi="仿宋" w:eastAsia="仿宋" w:cs="仿宋"/>
          <w:color w:val="000000" w:themeColor="text1"/>
          <w:sz w:val="28"/>
          <w:szCs w:val="28"/>
          <w:lang w:eastAsia="zh-CN"/>
          <w14:textFill>
            <w14:solidFill>
              <w14:schemeClr w14:val="tx1"/>
            </w14:solidFill>
          </w14:textFill>
        </w:rPr>
        <w:t>项目管理根据业务需求可设立</w:t>
      </w:r>
      <w:r>
        <w:rPr>
          <w:rFonts w:hint="eastAsia" w:ascii="仿宋" w:hAnsi="仿宋" w:eastAsia="仿宋" w:cs="仿宋"/>
          <w:color w:val="000000" w:themeColor="text1"/>
          <w:sz w:val="28"/>
          <w:szCs w:val="28"/>
          <w:lang w:val="en-US" w:eastAsia="zh-CN"/>
          <w14:textFill>
            <w14:solidFill>
              <w14:schemeClr w14:val="tx1"/>
            </w14:solidFill>
          </w14:textFill>
        </w:rPr>
        <w:t>管理</w:t>
      </w:r>
      <w:r>
        <w:rPr>
          <w:rFonts w:hint="eastAsia" w:ascii="仿宋" w:hAnsi="仿宋" w:eastAsia="仿宋" w:cs="仿宋"/>
          <w:color w:val="000000" w:themeColor="text1"/>
          <w:sz w:val="28"/>
          <w:szCs w:val="28"/>
          <w:lang w:eastAsia="zh-CN"/>
          <w14:textFill>
            <w14:solidFill>
              <w14:schemeClr w14:val="tx1"/>
            </w14:solidFill>
          </w14:textFill>
        </w:rPr>
        <w:t>及护理等技术人员，指导和协助产妇进行母婴护理技能、产后恢复</w:t>
      </w:r>
      <w:r>
        <w:rPr>
          <w:rFonts w:hint="eastAsia" w:ascii="仿宋" w:hAnsi="仿宋" w:eastAsia="仿宋" w:cs="仿宋"/>
          <w:color w:val="000000" w:themeColor="text1"/>
          <w:sz w:val="28"/>
          <w:szCs w:val="28"/>
          <w:lang w:val="en-US" w:eastAsia="zh-CN"/>
          <w14:textFill>
            <w14:solidFill>
              <w14:schemeClr w14:val="tx1"/>
            </w14:solidFill>
          </w14:textFill>
        </w:rPr>
        <w:t>等工作开展，</w:t>
      </w:r>
      <w:r>
        <w:rPr>
          <w:rStyle w:val="31"/>
          <w:rFonts w:hint="eastAsia" w:ascii="仿宋" w:hAnsi="仿宋" w:eastAsia="仿宋" w:cs="仿宋"/>
          <w:b w:val="0"/>
          <w:bCs w:val="0"/>
          <w:color w:val="000000" w:themeColor="text1"/>
          <w:sz w:val="28"/>
          <w:szCs w:val="28"/>
          <w:lang w:val="en-US" w:eastAsia="zh-CN"/>
          <w14:textFill>
            <w14:solidFill>
              <w14:schemeClr w14:val="tx1"/>
            </w14:solidFill>
          </w14:textFill>
        </w:rPr>
        <w:t>根据产妇和新生儿的健康状况，制定个性化的护理和营养计划。产妇护理：提供产后42天内康复项目，如瑜伽、按摩、理疗等，帮助产妇恢复。新生儿护理：提供新生儿护理、早教、游泳等服务，促进宝宝健康成长。</w:t>
      </w:r>
    </w:p>
    <w:p w14:paraId="282B356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color w:val="000000" w:themeColor="text1"/>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2.1.3</w:t>
      </w:r>
      <w:r>
        <w:rPr>
          <w:rFonts w:hint="eastAsia" w:ascii="仿宋" w:hAnsi="仿宋" w:eastAsia="仿宋" w:cs="仿宋"/>
          <w:color w:val="000000" w:themeColor="text1"/>
          <w:sz w:val="28"/>
          <w:szCs w:val="28"/>
          <w:lang w:eastAsia="zh-CN"/>
          <w14:textFill>
            <w14:solidFill>
              <w14:schemeClr w14:val="tx1"/>
            </w14:solidFill>
          </w14:textFill>
        </w:rPr>
        <w:t>项目管理根据业务实际开展需求，可按需设计母婴护理师（月嫂）进行24小时服务，负责产妇产后护理和宝宝的护理管理和喂养以及母婴用品和相关区域卫生清洁等。</w:t>
      </w:r>
    </w:p>
    <w:p w14:paraId="750D5EE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2.1.4项目需制订详细的培训计划，对项目员工进行岗前培训、日常培训和礼仪礼貌培训，确保每个员工培训合格后上岗。</w:t>
      </w:r>
    </w:p>
    <w:p w14:paraId="6503828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2.1.5员工的构成要求：体现专业化、具有与工作相适应的文化、身体健康、适合公共场所的服务要求。</w:t>
      </w:r>
    </w:p>
    <w:p w14:paraId="40484F8A">
      <w:pPr>
        <w:pStyle w:val="4"/>
        <w:bidi w:val="0"/>
        <w:rPr>
          <w:rFonts w:hint="eastAsia"/>
          <w:lang w:val="en-US" w:eastAsia="zh-CN"/>
        </w:rPr>
      </w:pPr>
      <w:r>
        <w:rPr>
          <w:rFonts w:hint="eastAsia"/>
          <w:lang w:val="en-US" w:eastAsia="zh-CN"/>
        </w:rPr>
        <w:t>2.2项目膳食管理服务要求</w:t>
      </w:r>
    </w:p>
    <w:p w14:paraId="712C4628">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2.2.1膳食管理服务中所涉餐饮供应（含食品加工）应确保食品安全、健康，并依据《食品卫生法》及河南省相关法律法规要求严格执行；</w:t>
      </w:r>
    </w:p>
    <w:p w14:paraId="5980518A">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2.2.2膳食管理服务中餐饮供应的物料采购须符合健康安全的要求，采购渠道正规；</w:t>
      </w:r>
    </w:p>
    <w:p w14:paraId="692062BA">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2.2.3膳食管理服务中餐饮供应价格合理、品种、口味应适合妇、产等消费人群；</w:t>
      </w:r>
    </w:p>
    <w:p w14:paraId="370EC01C">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2.2.4膳食从业人员按食品餐饮人员要求，需持证上岗（包括并不限于：操作证、健康证等证件），要求从业人员配置合理，人员配置数满足运营服务；</w:t>
      </w:r>
    </w:p>
    <w:p w14:paraId="079C4021">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2.2.5月子餐配餐服务需在临床营养科的指导和监督下开展工作。</w:t>
      </w:r>
    </w:p>
    <w:p w14:paraId="057AF1DF">
      <w:pPr>
        <w:pStyle w:val="4"/>
        <w:bidi w:val="0"/>
        <w:rPr>
          <w:rFonts w:hint="default"/>
          <w:lang w:val="en-US" w:eastAsia="zh-CN"/>
        </w:rPr>
      </w:pPr>
      <w:r>
        <w:rPr>
          <w:rFonts w:hint="eastAsia"/>
          <w:lang w:val="en-US"/>
        </w:rPr>
        <w:t>2.</w:t>
      </w:r>
      <w:r>
        <w:rPr>
          <w:rFonts w:hint="eastAsia"/>
          <w:lang w:val="en-US" w:eastAsia="zh-CN"/>
        </w:rPr>
        <w:t>3服务板块要求</w:t>
      </w:r>
    </w:p>
    <w:p w14:paraId="2A63DAA1">
      <w:pPr>
        <w:pStyle w:val="5"/>
        <w:bidi w:val="0"/>
        <w:rPr>
          <w:rFonts w:hint="eastAsia"/>
          <w:lang w:val="en-US" w:eastAsia="zh-CN"/>
        </w:rPr>
      </w:pPr>
      <w:r>
        <w:rPr>
          <w:rFonts w:hint="eastAsia"/>
          <w:lang w:val="en-US"/>
        </w:rPr>
        <w:t>2.</w:t>
      </w:r>
      <w:r>
        <w:rPr>
          <w:rFonts w:hint="eastAsia"/>
          <w:lang w:val="en-US" w:eastAsia="zh-CN"/>
        </w:rPr>
        <w:t>3</w:t>
      </w:r>
      <w:r>
        <w:rPr>
          <w:rFonts w:hint="eastAsia"/>
          <w:lang w:val="en-US"/>
        </w:rPr>
        <w:t>.</w:t>
      </w:r>
      <w:r>
        <w:rPr>
          <w:rFonts w:hint="eastAsia"/>
          <w:lang w:val="en-US" w:eastAsia="zh-CN"/>
        </w:rPr>
        <w:t>1房型服务套餐设计</w:t>
      </w:r>
    </w:p>
    <w:p w14:paraId="66FD0266">
      <w:pPr>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根据医院及周边情况科学合理地制定好不同入住房型类型及内涵，</w:t>
      </w:r>
      <w:r>
        <w:rPr>
          <w:rStyle w:val="31"/>
          <w:rFonts w:hint="eastAsia" w:ascii="仿宋" w:hAnsi="仿宋" w:eastAsia="仿宋" w:cs="仿宋"/>
          <w:b w:val="0"/>
          <w:bCs w:val="0"/>
          <w:sz w:val="28"/>
          <w:szCs w:val="28"/>
          <w:lang w:val="en-US" w:eastAsia="zh-CN"/>
        </w:rPr>
        <w:t>提供安静、整洁、温馨的居住环境，确保产妇和新生儿的舒适。</w:t>
      </w:r>
      <w:r>
        <w:rPr>
          <w:rFonts w:hint="eastAsia" w:ascii="仿宋" w:hAnsi="仿宋" w:eastAsia="仿宋" w:cs="仿宋"/>
          <w:sz w:val="28"/>
          <w:szCs w:val="28"/>
          <w:lang w:val="en-US" w:eastAsia="zh-CN"/>
        </w:rPr>
        <w:t>需要设置布草间（存放入住房间涉及的日常用品）、值班室、换洗衣物区、晾晒区、休息及办公场所。</w:t>
      </w:r>
    </w:p>
    <w:p w14:paraId="604E23BD">
      <w:pPr>
        <w:pStyle w:val="5"/>
        <w:bidi w:val="0"/>
        <w:rPr>
          <w:rFonts w:hint="eastAsia"/>
          <w:lang w:val="en-US" w:eastAsia="zh-CN"/>
        </w:rPr>
      </w:pPr>
      <w:r>
        <w:rPr>
          <w:rFonts w:hint="eastAsia"/>
          <w:lang w:val="en-US"/>
        </w:rPr>
        <w:t>2.</w:t>
      </w:r>
      <w:r>
        <w:rPr>
          <w:rFonts w:hint="eastAsia"/>
          <w:lang w:val="en-US" w:eastAsia="zh-CN"/>
        </w:rPr>
        <w:t>3</w:t>
      </w:r>
      <w:r>
        <w:rPr>
          <w:rFonts w:hint="eastAsia"/>
          <w:lang w:val="en-US"/>
        </w:rPr>
        <w:t>.</w:t>
      </w:r>
      <w:r>
        <w:rPr>
          <w:rFonts w:hint="eastAsia"/>
          <w:lang w:val="en-US" w:eastAsia="zh-CN"/>
        </w:rPr>
        <w:t>2服务理念</w:t>
      </w:r>
    </w:p>
    <w:p w14:paraId="2CB8D76D">
      <w:pPr>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贯彻执行专业化、医疗级照护母婴理念。</w:t>
      </w:r>
    </w:p>
    <w:p w14:paraId="7DF3EDCC">
      <w:pPr>
        <w:pStyle w:val="5"/>
        <w:bidi w:val="0"/>
        <w:rPr>
          <w:rFonts w:hint="eastAsia"/>
          <w:lang w:val="en-US" w:eastAsia="zh-CN"/>
        </w:rPr>
      </w:pPr>
      <w:r>
        <w:rPr>
          <w:rFonts w:hint="eastAsia"/>
          <w:lang w:val="en-US"/>
        </w:rPr>
        <w:t>2.</w:t>
      </w:r>
      <w:r>
        <w:rPr>
          <w:rFonts w:hint="eastAsia"/>
          <w:lang w:val="en-US" w:eastAsia="zh-CN"/>
        </w:rPr>
        <w:t>3</w:t>
      </w:r>
      <w:r>
        <w:rPr>
          <w:rFonts w:hint="eastAsia"/>
          <w:lang w:val="en-US"/>
        </w:rPr>
        <w:t>.</w:t>
      </w:r>
      <w:r>
        <w:rPr>
          <w:rFonts w:hint="eastAsia"/>
          <w:lang w:val="en-US" w:eastAsia="zh-CN"/>
        </w:rPr>
        <w:t>3服务流程</w:t>
      </w:r>
    </w:p>
    <w:p w14:paraId="40265DE4">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严格遵守中国母婴照料协会标准，从产妇婴儿入住全周期规范化执行服务项目。</w:t>
      </w:r>
    </w:p>
    <w:p w14:paraId="27FD71C7">
      <w:pPr>
        <w:pStyle w:val="4"/>
        <w:bidi w:val="0"/>
        <w:rPr>
          <w:rFonts w:hint="eastAsia"/>
          <w:lang w:val="en-US" w:eastAsia="zh-CN"/>
        </w:rPr>
      </w:pPr>
      <w:r>
        <w:rPr>
          <w:rFonts w:hint="eastAsia"/>
          <w:lang w:val="en-US" w:eastAsia="zh-CN"/>
        </w:rPr>
        <w:t>2.4其他要求及说明</w:t>
      </w:r>
    </w:p>
    <w:p w14:paraId="23B7A528">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1、运营项目员工需求。</w:t>
      </w:r>
    </w:p>
    <w:p w14:paraId="7384719A">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（1）运营项目需设置专人24小时值守，并负责值守期的相关事务处理。</w:t>
      </w:r>
    </w:p>
    <w:p w14:paraId="41DD0E41">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（2）项目运营员工服装应统一、整洁、挂牌上岗、便于管理。</w:t>
      </w:r>
    </w:p>
    <w:p w14:paraId="29BA6428">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（3）运营项目员工应做好自身防护工作。</w:t>
      </w:r>
    </w:p>
    <w:p w14:paraId="66F744E5">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（4）运营服务外包团队不得以任何形式转租、转让、抵押服务区域，在服务区域只从事医院注册范围内认可的项目服务管理工作。</w:t>
      </w:r>
    </w:p>
    <w:p w14:paraId="07349073">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（5）运营服务项目的各项工作开展，服务时间必须符合及满足医院的要求，包括并不限于周末、法定节假日。</w:t>
      </w:r>
    </w:p>
    <w:p w14:paraId="27D3F53F">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（6）对于额外的零星工作，如上级检查等临时任务的，必须无条件配合实施，不得无故推诿。</w:t>
      </w:r>
    </w:p>
    <w:p w14:paraId="798A9759">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（7）运营项目垃圾袋装收集，存放在指定地点。清卫、保洁及生活服务的工作质量按国家卫生城市和医院管理的有关标准严格验收。</w:t>
      </w:r>
    </w:p>
    <w:p w14:paraId="71619094">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（8）运营服务团队根据服务相关需求按照医院总体要求进行人员数量配置、结算人员工资，并根据销售额核算管理费用。</w:t>
      </w:r>
    </w:p>
    <w:p w14:paraId="1709D8DE">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（9）安全保障：严格的安全管理制度，确保产妇和新生儿的安全。</w:t>
      </w:r>
    </w:p>
    <w:p w14:paraId="2AE75694">
      <w:pPr>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kern w:val="0"/>
          <w:sz w:val="28"/>
          <w:szCs w:val="28"/>
          <w:u w:val="none"/>
          <w:lang w:val="en-US" w:eastAsia="zh-CN" w:bidi="ar"/>
          <w14:textFill>
            <w14:solidFill>
              <w14:schemeClr w14:val="tx1"/>
            </w14:solidFill>
          </w14:textFill>
        </w:rPr>
        <w:t>母婴中心</w:t>
      </w:r>
      <w:r>
        <w:rPr>
          <w:rFonts w:hint="eastAsia" w:ascii="仿宋" w:hAnsi="仿宋" w:eastAsia="仿宋" w:cs="仿宋"/>
          <w:color w:val="000000" w:themeColor="text1"/>
          <w:sz w:val="28"/>
          <w:szCs w:val="28"/>
          <w:lang w:val="en-US" w:eastAsia="zh-CN"/>
          <w14:textFill>
            <w14:solidFill>
              <w14:schemeClr w14:val="tx1"/>
            </w14:solidFill>
          </w14:textFill>
        </w:rPr>
        <w:t>的配备设施、电器等固定资产归医院所有，并由甲方负责对相关资产进行管理和维修</w:t>
      </w:r>
    </w:p>
    <w:p w14:paraId="0F652553">
      <w:pPr>
        <w:pStyle w:val="2"/>
        <w:pageBreakBefore w:val="0"/>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3.服务方</w:t>
      </w:r>
      <w:r>
        <w:rPr>
          <w:rFonts w:hint="eastAsia" w:ascii="仿宋" w:hAnsi="仿宋" w:eastAsia="仿宋" w:cs="仿宋"/>
          <w:color w:val="000000" w:themeColor="text1"/>
          <w:sz w:val="28"/>
          <w:szCs w:val="28"/>
          <w14:textFill>
            <w14:solidFill>
              <w14:schemeClr w14:val="tx1"/>
            </w14:solidFill>
          </w14:textFill>
        </w:rPr>
        <w:t>资质要求</w:t>
      </w:r>
    </w:p>
    <w:p w14:paraId="1DEF7BA6">
      <w:pPr>
        <w:pStyle w:val="3"/>
        <w:pageBreakBefore w:val="0"/>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3.1</w:t>
      </w:r>
      <w:r>
        <w:rPr>
          <w:rFonts w:hint="eastAsia" w:ascii="仿宋" w:hAnsi="仿宋" w:eastAsia="仿宋" w:cs="仿宋"/>
          <w:color w:val="000000" w:themeColor="text1"/>
          <w:sz w:val="28"/>
          <w:szCs w:val="28"/>
          <w14:textFill>
            <w14:solidFill>
              <w14:schemeClr w14:val="tx1"/>
            </w14:solidFill>
          </w14:textFill>
        </w:rPr>
        <w:t>基础资质</w:t>
      </w:r>
    </w:p>
    <w:p w14:paraId="4106471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32"/>
          <w:rFonts w:hint="eastAsia" w:ascii="仿宋" w:hAnsi="仿宋" w:eastAsia="仿宋" w:cs="仿宋"/>
          <w:b w:val="0"/>
          <w:bCs/>
          <w:color w:val="000000" w:themeColor="text1"/>
          <w:sz w:val="28"/>
          <w:szCs w:val="28"/>
          <w:lang w:val="en-US" w:eastAsia="zh-CN"/>
          <w14:textFill>
            <w14:solidFill>
              <w14:schemeClr w14:val="tx1"/>
            </w14:solidFill>
          </w14:textFill>
        </w:rPr>
        <w:t>3.1.1</w:t>
      </w:r>
      <w:r>
        <w:rPr>
          <w:rFonts w:hint="eastAsia" w:ascii="仿宋" w:hAnsi="仿宋" w:eastAsia="仿宋" w:cs="仿宋"/>
          <w:b w:val="0"/>
          <w:bCs/>
          <w:color w:val="auto"/>
          <w:sz w:val="28"/>
          <w:szCs w:val="28"/>
          <w:lang w:val="en-US" w:eastAsia="zh-CN"/>
        </w:rPr>
        <w:t>服务</w:t>
      </w:r>
      <w:r>
        <w:rPr>
          <w:rFonts w:hint="eastAsia" w:ascii="仿宋" w:hAnsi="仿宋" w:eastAsia="仿宋" w:cs="仿宋"/>
          <w:b w:val="0"/>
          <w:bCs/>
          <w:color w:val="auto"/>
          <w:sz w:val="28"/>
          <w:szCs w:val="28"/>
        </w:rPr>
        <w:t>方必须</w:t>
      </w:r>
      <w:r>
        <w:rPr>
          <w:rFonts w:hint="eastAsia" w:ascii="仿宋" w:hAnsi="仿宋" w:eastAsia="仿宋" w:cs="仿宋"/>
          <w:b w:val="0"/>
          <w:bCs/>
          <w:color w:val="auto"/>
          <w:sz w:val="28"/>
          <w:szCs w:val="28"/>
          <w:lang w:val="en-US" w:eastAsia="zh-CN"/>
        </w:rPr>
        <w:t>提供具有相关技能证明的母婴护理师（月嫂）人员资质</w:t>
      </w:r>
      <w:r>
        <w:rPr>
          <w:rFonts w:hint="eastAsia" w:ascii="仿宋" w:hAnsi="仿宋" w:eastAsia="仿宋" w:cs="仿宋"/>
          <w:b w:val="0"/>
          <w:bCs/>
          <w:color w:val="000000" w:themeColor="text1"/>
          <w:sz w:val="28"/>
          <w:szCs w:val="28"/>
          <w:lang w:val="en-US" w:eastAsia="zh-CN"/>
          <w14:textFill>
            <w14:solidFill>
              <w14:schemeClr w14:val="tx1"/>
            </w14:solidFill>
          </w14:textFill>
        </w:rPr>
        <w:t>；</w:t>
      </w:r>
    </w:p>
    <w:p w14:paraId="06D0934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lang w:val="en-US" w:eastAsia="zh-CN"/>
        </w:rPr>
      </w:pPr>
      <w:r>
        <w:rPr>
          <w:rStyle w:val="32"/>
          <w:rFonts w:hint="eastAsia" w:ascii="仿宋" w:hAnsi="仿宋" w:eastAsia="仿宋" w:cs="仿宋"/>
          <w:b w:val="0"/>
          <w:bCs/>
          <w:color w:val="000000" w:themeColor="text1"/>
          <w:sz w:val="28"/>
          <w:szCs w:val="28"/>
          <w:lang w:val="en-US" w:eastAsia="zh-CN"/>
          <w14:textFill>
            <w14:solidFill>
              <w14:schemeClr w14:val="tx1"/>
            </w14:solidFill>
          </w14:textFill>
        </w:rPr>
        <w:t>3.1.2服务方需提供积极</w:t>
      </w:r>
      <w:r>
        <w:rPr>
          <w:rFonts w:hint="eastAsia" w:ascii="仿宋" w:hAnsi="仿宋" w:eastAsia="仿宋" w:cs="仿宋"/>
          <w:b w:val="0"/>
          <w:bCs/>
          <w:color w:val="000000" w:themeColor="text1"/>
          <w:sz w:val="28"/>
          <w:szCs w:val="28"/>
          <w:lang w:val="en-US" w:eastAsia="zh-CN"/>
          <w14:textFill>
            <w14:solidFill>
              <w14:schemeClr w14:val="tx1"/>
            </w14:solidFill>
          </w14:textFill>
        </w:rPr>
        <w:t>高效的组织架构，明确各级人员职责和绩效。</w:t>
      </w:r>
    </w:p>
    <w:tbl>
      <w:tblPr>
        <w:tblStyle w:val="18"/>
        <w:tblW w:w="8079" w:type="dxa"/>
        <w:tblInd w:w="0" w:type="dxa"/>
        <w:tblLayout w:type="fixed"/>
        <w:tblCellMar>
          <w:top w:w="0" w:type="dxa"/>
          <w:left w:w="0" w:type="dxa"/>
          <w:bottom w:w="0" w:type="dxa"/>
          <w:right w:w="0" w:type="dxa"/>
        </w:tblCellMar>
      </w:tblPr>
      <w:tblGrid>
        <w:gridCol w:w="1290"/>
        <w:gridCol w:w="1500"/>
        <w:gridCol w:w="5289"/>
      </w:tblGrid>
      <w:tr w14:paraId="30A269BC">
        <w:tblPrEx>
          <w:tblCellMar>
            <w:top w:w="0" w:type="dxa"/>
            <w:left w:w="0" w:type="dxa"/>
            <w:bottom w:w="0" w:type="dxa"/>
            <w:right w:w="0" w:type="dxa"/>
          </w:tblCellMar>
        </w:tblPrEx>
        <w:trPr>
          <w:trHeight w:val="520" w:hRule="atLeast"/>
        </w:trPr>
        <w:tc>
          <w:tcPr>
            <w:tcW w:w="12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67E77E4">
            <w:pPr>
              <w:widowControl/>
              <w:spacing w:line="360" w:lineRule="auto"/>
              <w:jc w:val="center"/>
              <w:textAlignment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部门</w:t>
            </w:r>
          </w:p>
        </w:tc>
        <w:tc>
          <w:tcPr>
            <w:tcW w:w="15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2FAAE58">
            <w:pPr>
              <w:widowControl/>
              <w:spacing w:line="360" w:lineRule="auto"/>
              <w:jc w:val="center"/>
              <w:textAlignment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岗位</w:t>
            </w:r>
          </w:p>
        </w:tc>
        <w:tc>
          <w:tcPr>
            <w:tcW w:w="528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4A02791">
            <w:pPr>
              <w:widowControl/>
              <w:spacing w:line="360" w:lineRule="auto"/>
              <w:jc w:val="center"/>
              <w:textAlignment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服务内容</w:t>
            </w:r>
          </w:p>
        </w:tc>
      </w:tr>
      <w:tr w14:paraId="70BA6C26">
        <w:tblPrEx>
          <w:tblCellMar>
            <w:top w:w="0" w:type="dxa"/>
            <w:left w:w="0" w:type="dxa"/>
            <w:bottom w:w="0" w:type="dxa"/>
            <w:right w:w="0" w:type="dxa"/>
          </w:tblCellMar>
        </w:tblPrEx>
        <w:trPr>
          <w:trHeight w:val="320" w:hRule="atLeast"/>
        </w:trPr>
        <w:tc>
          <w:tcPr>
            <w:tcW w:w="1290" w:type="dxa"/>
            <w:vMerge w:val="restart"/>
            <w:tcBorders>
              <w:top w:val="single" w:color="auto" w:sz="4" w:space="0"/>
              <w:left w:val="single" w:color="auto" w:sz="4" w:space="0"/>
              <w:right w:val="single" w:color="000000" w:sz="4" w:space="0"/>
            </w:tcBorders>
            <w:shd w:val="clear" w:color="auto" w:fill="auto"/>
            <w:noWrap w:val="0"/>
            <w:tcMar>
              <w:top w:w="15" w:type="dxa"/>
              <w:left w:w="15" w:type="dxa"/>
              <w:right w:w="15" w:type="dxa"/>
            </w:tcMar>
            <w:vAlign w:val="center"/>
          </w:tcPr>
          <w:p w14:paraId="372393D2">
            <w:pPr>
              <w:spacing w:line="360" w:lineRule="auto"/>
              <w:jc w:val="center"/>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营销部</w:t>
            </w:r>
          </w:p>
        </w:tc>
        <w:tc>
          <w:tcPr>
            <w:tcW w:w="1500"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0ED468DC">
            <w:pPr>
              <w:widowControl/>
              <w:spacing w:line="360" w:lineRule="auto"/>
              <w:textAlignment w:val="center"/>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市场</w:t>
            </w:r>
            <w:r>
              <w:rPr>
                <w:rFonts w:hint="eastAsia" w:ascii="仿宋" w:hAnsi="仿宋" w:eastAsia="仿宋" w:cs="仿宋"/>
                <w:color w:val="000000" w:themeColor="text1"/>
                <w:sz w:val="28"/>
                <w:szCs w:val="28"/>
                <w:lang w:val="en-US" w:eastAsia="zh-CN"/>
                <w14:textFill>
                  <w14:solidFill>
                    <w14:schemeClr w14:val="tx1"/>
                  </w14:solidFill>
                </w14:textFill>
              </w:rPr>
              <w:t>人员</w:t>
            </w:r>
          </w:p>
        </w:tc>
        <w:tc>
          <w:tcPr>
            <w:tcW w:w="5289"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578E93AE">
            <w:pPr>
              <w:widowControl/>
              <w:spacing w:line="360" w:lineRule="auto"/>
              <w:jc w:val="center"/>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负责市场调研、渠道开发、评估筛选</w:t>
            </w:r>
            <w:r>
              <w:rPr>
                <w:rFonts w:hint="eastAsia" w:ascii="仿宋" w:hAnsi="仿宋" w:eastAsia="仿宋" w:cs="仿宋"/>
                <w:color w:val="000000" w:themeColor="text1"/>
                <w:kern w:val="0"/>
                <w:sz w:val="28"/>
                <w:szCs w:val="28"/>
                <w:lang w:eastAsia="zh-CN" w:bidi="ar"/>
                <w14:textFill>
                  <w14:solidFill>
                    <w14:schemeClr w14:val="tx1"/>
                  </w14:solidFill>
                </w14:textFill>
              </w:rPr>
              <w:t>合作</w:t>
            </w:r>
            <w:r>
              <w:rPr>
                <w:rFonts w:hint="eastAsia" w:ascii="仿宋" w:hAnsi="仿宋" w:eastAsia="仿宋" w:cs="仿宋"/>
                <w:color w:val="000000" w:themeColor="text1"/>
                <w:kern w:val="0"/>
                <w:sz w:val="28"/>
                <w:szCs w:val="28"/>
                <w:lang w:bidi="ar"/>
                <w14:textFill>
                  <w14:solidFill>
                    <w14:schemeClr w14:val="tx1"/>
                  </w14:solidFill>
                </w14:textFill>
              </w:rPr>
              <w:t>商户活动，提高品牌知名度</w:t>
            </w:r>
          </w:p>
        </w:tc>
      </w:tr>
      <w:tr w14:paraId="5E22F283">
        <w:tblPrEx>
          <w:tblCellMar>
            <w:top w:w="0" w:type="dxa"/>
            <w:left w:w="0" w:type="dxa"/>
            <w:bottom w:w="0" w:type="dxa"/>
            <w:right w:w="0" w:type="dxa"/>
          </w:tblCellMar>
        </w:tblPrEx>
        <w:trPr>
          <w:trHeight w:val="1258" w:hRule="atLeast"/>
        </w:trPr>
        <w:tc>
          <w:tcPr>
            <w:tcW w:w="1290"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14:paraId="35433D5D">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p>
        </w:tc>
        <w:tc>
          <w:tcPr>
            <w:tcW w:w="150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2EA4716">
            <w:pPr>
              <w:widowControl/>
              <w:spacing w:line="360" w:lineRule="auto"/>
              <w:ind w:firstLine="560" w:firstLineChars="200"/>
              <w:textAlignment w:val="center"/>
              <w:rPr>
                <w:rFonts w:hint="eastAsia" w:ascii="仿宋" w:hAnsi="仿宋" w:eastAsia="仿宋" w:cs="仿宋"/>
                <w:color w:val="000000" w:themeColor="text1"/>
                <w:sz w:val="28"/>
                <w:szCs w:val="28"/>
                <w14:textFill>
                  <w14:solidFill>
                    <w14:schemeClr w14:val="tx1"/>
                  </w14:solidFill>
                </w14:textFill>
              </w:rPr>
            </w:pPr>
          </w:p>
        </w:tc>
        <w:tc>
          <w:tcPr>
            <w:tcW w:w="528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022DE3C">
            <w:pPr>
              <w:widowControl/>
              <w:spacing w:line="360" w:lineRule="auto"/>
              <w:jc w:val="center"/>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孕期社区、孕期课堂、孕期活动、吸粉、跟进孕期服务</w:t>
            </w:r>
          </w:p>
        </w:tc>
      </w:tr>
      <w:tr w14:paraId="3EDB0DD2">
        <w:tblPrEx>
          <w:tblCellMar>
            <w:top w:w="0" w:type="dxa"/>
            <w:left w:w="0" w:type="dxa"/>
            <w:bottom w:w="0" w:type="dxa"/>
            <w:right w:w="0" w:type="dxa"/>
          </w:tblCellMar>
        </w:tblPrEx>
        <w:trPr>
          <w:trHeight w:val="1913" w:hRule="atLeast"/>
        </w:trPr>
        <w:tc>
          <w:tcPr>
            <w:tcW w:w="12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8AFF97">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护理部</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23F8D2">
            <w:pPr>
              <w:widowControl/>
              <w:spacing w:line="360" w:lineRule="auto"/>
              <w:ind w:firstLine="560" w:firstLineChars="200"/>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护士</w:t>
            </w:r>
          </w:p>
        </w:tc>
        <w:tc>
          <w:tcPr>
            <w:tcW w:w="52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FEFDA2">
            <w:pPr>
              <w:widowControl/>
              <w:spacing w:line="360" w:lineRule="auto"/>
              <w:jc w:val="center"/>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对产妇进行母婴护理技能、产后恢复操的教授，对宝妈宝宝健康的观察和记录对宝宝早期智力开发训练。</w:t>
            </w:r>
          </w:p>
        </w:tc>
      </w:tr>
      <w:tr w14:paraId="1628B6E2">
        <w:tblPrEx>
          <w:tblCellMar>
            <w:top w:w="0" w:type="dxa"/>
            <w:left w:w="0" w:type="dxa"/>
            <w:bottom w:w="0" w:type="dxa"/>
            <w:right w:w="0" w:type="dxa"/>
          </w:tblCellMar>
        </w:tblPrEx>
        <w:trPr>
          <w:trHeight w:val="790" w:hRule="atLeast"/>
        </w:trPr>
        <w:tc>
          <w:tcPr>
            <w:tcW w:w="1290"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69BC0AF">
            <w:pPr>
              <w:spacing w:line="36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服务人员</w:t>
            </w:r>
          </w:p>
        </w:tc>
        <w:tc>
          <w:tcPr>
            <w:tcW w:w="1500" w:type="dxa"/>
            <w:tcBorders>
              <w:top w:val="single" w:color="auto" w:sz="4" w:space="0"/>
              <w:left w:val="single" w:color="000000" w:sz="4" w:space="0"/>
              <w:right w:val="single" w:color="000000" w:sz="4" w:space="0"/>
            </w:tcBorders>
            <w:noWrap w:val="0"/>
            <w:tcMar>
              <w:top w:w="15" w:type="dxa"/>
              <w:left w:w="15" w:type="dxa"/>
              <w:right w:w="15" w:type="dxa"/>
            </w:tcMar>
            <w:vAlign w:val="center"/>
          </w:tcPr>
          <w:p w14:paraId="2708F99E">
            <w:pPr>
              <w:widowControl/>
              <w:spacing w:line="36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母婴护理师</w:t>
            </w:r>
          </w:p>
        </w:tc>
        <w:tc>
          <w:tcPr>
            <w:tcW w:w="528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4C63F">
            <w:pPr>
              <w:spacing w:line="360" w:lineRule="exact"/>
              <w:jc w:val="center"/>
              <w:outlineLvl w:val="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负责产妇和宝宝的护理和喂养以及母婴用品和相关区域卫生清洁，24小时服务</w:t>
            </w:r>
          </w:p>
        </w:tc>
      </w:tr>
      <w:tr w14:paraId="006283F3">
        <w:tblPrEx>
          <w:tblCellMar>
            <w:top w:w="0" w:type="dxa"/>
            <w:left w:w="0" w:type="dxa"/>
            <w:bottom w:w="0" w:type="dxa"/>
            <w:right w:w="0" w:type="dxa"/>
          </w:tblCellMar>
        </w:tblPrEx>
        <w:trPr>
          <w:trHeight w:val="299" w:hRule="atLeast"/>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7F9FC">
            <w:pPr>
              <w:widowControl/>
              <w:spacing w:line="360" w:lineRule="auto"/>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客服部</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4D149">
            <w:pPr>
              <w:widowControl/>
              <w:spacing w:line="360" w:lineRule="auto"/>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护士（客服）</w:t>
            </w:r>
          </w:p>
        </w:tc>
        <w:tc>
          <w:tcPr>
            <w:tcW w:w="5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A78F9">
            <w:pPr>
              <w:widowControl/>
              <w:spacing w:line="36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负责客户投诉和突发事情处理，服务孕前、孕中、产后客户，建立完善客户档案、优化问题、培养客户、转化客户</w:t>
            </w:r>
          </w:p>
        </w:tc>
      </w:tr>
      <w:tr w14:paraId="2C3E118F">
        <w:tblPrEx>
          <w:tblCellMar>
            <w:top w:w="0" w:type="dxa"/>
            <w:left w:w="0" w:type="dxa"/>
            <w:bottom w:w="0" w:type="dxa"/>
            <w:right w:w="0" w:type="dxa"/>
          </w:tblCellMar>
        </w:tblPrEx>
        <w:trPr>
          <w:trHeight w:val="660" w:hRule="atLeast"/>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50290">
            <w:pPr>
              <w:widowControl/>
              <w:spacing w:line="360" w:lineRule="auto"/>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项目主管</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3AC1A">
            <w:pPr>
              <w:widowControl/>
              <w:spacing w:line="360" w:lineRule="auto"/>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主管兼培训</w:t>
            </w:r>
          </w:p>
        </w:tc>
        <w:tc>
          <w:tcPr>
            <w:tcW w:w="5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EFDE4">
            <w:pPr>
              <w:widowControl/>
              <w:spacing w:line="36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负责项目的经营与管理，制定目标，任务分解，检查监督管理，培训员工</w:t>
            </w:r>
          </w:p>
        </w:tc>
      </w:tr>
    </w:tbl>
    <w:p w14:paraId="3945A07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3.1.3提供制定宣教计划、宣传方案；</w:t>
      </w:r>
    </w:p>
    <w:p w14:paraId="2CEAD1B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3.1.4提供全套康复手法操作培训；提供全套康复服务流程培训；</w:t>
      </w:r>
    </w:p>
    <w:p w14:paraId="6107AD7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3.1.5提供全套管理表格；提供全套激励制度参考；</w:t>
      </w:r>
    </w:p>
    <w:p w14:paraId="5178E3A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3.1.6提供产妇和新生儿档案册管理建档；</w:t>
      </w:r>
    </w:p>
    <w:p w14:paraId="2BB584F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ascii="仿宋" w:hAnsi="仿宋" w:eastAsia="仿宋" w:cs="仿宋"/>
          <w:b w:val="0"/>
          <w:bCs/>
          <w:color w:val="000000" w:themeColor="text1"/>
          <w:sz w:val="28"/>
          <w:szCs w:val="28"/>
          <w:highlight w:val="green"/>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3.1.7提供孕产全周期性康复项目；</w:t>
      </w:r>
    </w:p>
    <w:p w14:paraId="7A50DB6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3.1.8</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提供的月嫂具有母婴养护师资格证书；（根据项目进度安排人员）</w:t>
      </w:r>
    </w:p>
    <w:p w14:paraId="582FCEB6">
      <w:pPr>
        <w:keepNext w:val="0"/>
        <w:keepLines w:val="0"/>
        <w:pageBreakBefore w:val="0"/>
        <w:kinsoku/>
        <w:wordWrap/>
        <w:overflowPunct/>
        <w:topLinePunct w:val="0"/>
        <w:autoSpaceDE w:val="0"/>
        <w:autoSpaceDN w:val="0"/>
        <w:bidi w:val="0"/>
        <w:adjustRightInd/>
        <w:snapToGrid/>
        <w:spacing w:afterAutospacing="0" w:line="360" w:lineRule="auto"/>
        <w:ind w:firstLine="562" w:firstLineChars="200"/>
        <w:textAlignment w:val="auto"/>
        <w:rPr>
          <w:rFonts w:hint="eastAsia" w:ascii="仿宋" w:hAnsi="仿宋" w:eastAsia="仿宋" w:cs="仿宋"/>
          <w:b/>
          <w:bCs w:val="0"/>
          <w:sz w:val="28"/>
          <w:szCs w:val="28"/>
        </w:rPr>
      </w:pPr>
      <w:r>
        <w:rPr>
          <w:rFonts w:hint="eastAsia" w:ascii="仿宋" w:hAnsi="仿宋" w:eastAsia="仿宋" w:cs="仿宋"/>
          <w:b/>
          <w:bCs w:val="0"/>
          <w:sz w:val="28"/>
          <w:szCs w:val="28"/>
        </w:rPr>
        <w:t>母婴护理师人员的日常工作要求</w:t>
      </w:r>
      <w:r>
        <w:rPr>
          <w:rFonts w:hint="eastAsia" w:ascii="仿宋" w:hAnsi="仿宋" w:eastAsia="仿宋" w:cs="仿宋"/>
          <w:b/>
          <w:bCs w:val="0"/>
          <w:sz w:val="28"/>
          <w:szCs w:val="28"/>
          <w:lang w:eastAsia="zh-CN"/>
        </w:rPr>
        <w:t>：</w:t>
      </w:r>
    </w:p>
    <w:p w14:paraId="685D307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3</w:t>
      </w:r>
      <w:r>
        <w:rPr>
          <w:rFonts w:hint="eastAsia" w:ascii="仿宋" w:hAnsi="仿宋" w:eastAsia="仿宋" w:cs="仿宋"/>
          <w:b w:val="0"/>
          <w:bCs/>
          <w:color w:val="000000" w:themeColor="text1"/>
          <w:sz w:val="28"/>
          <w:szCs w:val="28"/>
          <w:lang w:val="en-US" w:eastAsia="zh-CN"/>
          <w14:textFill>
            <w14:solidFill>
              <w14:schemeClr w14:val="tx1"/>
            </w14:solidFill>
          </w14:textFill>
        </w:rPr>
        <w:t>.1.9.1母婴护理师上班必须穿着统一工作服，佩戴上岗证，不得穿拖鞋。</w:t>
      </w:r>
    </w:p>
    <w:p w14:paraId="06D37F3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3.1.9.2服从分配，不准私自接工作或接受他人工作。</w:t>
      </w:r>
    </w:p>
    <w:p w14:paraId="0946B77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3.1.9.3不得将婴儿带出</w:t>
      </w:r>
      <w:r>
        <w:rPr>
          <w:rFonts w:hint="eastAsia" w:ascii="仿宋" w:hAnsi="仿宋" w:eastAsia="仿宋" w:cs="仿宋"/>
          <w:i w:val="0"/>
          <w:iCs w:val="0"/>
          <w:caps w:val="0"/>
          <w:color w:val="000000" w:themeColor="text1"/>
          <w:spacing w:val="0"/>
          <w:kern w:val="0"/>
          <w:sz w:val="28"/>
          <w:szCs w:val="28"/>
          <w:u w:val="none"/>
          <w:lang w:val="en-US" w:eastAsia="zh-CN" w:bidi="ar"/>
          <w14:textFill>
            <w14:solidFill>
              <w14:schemeClr w14:val="tx1"/>
            </w14:solidFill>
          </w14:textFill>
        </w:rPr>
        <w:t>母婴中心</w:t>
      </w:r>
      <w:r>
        <w:rPr>
          <w:rFonts w:hint="eastAsia" w:ascii="仿宋" w:hAnsi="仿宋" w:eastAsia="仿宋" w:cs="仿宋"/>
          <w:b w:val="0"/>
          <w:bCs/>
          <w:color w:val="000000" w:themeColor="text1"/>
          <w:sz w:val="28"/>
          <w:szCs w:val="28"/>
          <w:lang w:val="en-US" w:eastAsia="zh-CN"/>
          <w14:textFill>
            <w14:solidFill>
              <w14:schemeClr w14:val="tx1"/>
            </w14:solidFill>
          </w14:textFill>
        </w:rPr>
        <w:t>以外的区域。</w:t>
      </w:r>
    </w:p>
    <w:p w14:paraId="72C21A1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3.1.9.4不得在白天上班时间干私活、睡觉，不得在</w:t>
      </w:r>
      <w:r>
        <w:rPr>
          <w:rFonts w:hint="eastAsia" w:ascii="仿宋" w:hAnsi="仿宋" w:eastAsia="仿宋" w:cs="仿宋"/>
          <w:i w:val="0"/>
          <w:iCs w:val="0"/>
          <w:caps w:val="0"/>
          <w:color w:val="000000" w:themeColor="text1"/>
          <w:spacing w:val="0"/>
          <w:kern w:val="0"/>
          <w:sz w:val="28"/>
          <w:szCs w:val="28"/>
          <w:u w:val="none"/>
          <w:lang w:val="en-US" w:eastAsia="zh-CN" w:bidi="ar"/>
          <w14:textFill>
            <w14:solidFill>
              <w14:schemeClr w14:val="tx1"/>
            </w14:solidFill>
          </w14:textFill>
        </w:rPr>
        <w:t>母婴中心</w:t>
      </w:r>
      <w:r>
        <w:rPr>
          <w:rFonts w:hint="eastAsia" w:ascii="仿宋" w:hAnsi="仿宋" w:eastAsia="仿宋" w:cs="仿宋"/>
          <w:b w:val="0"/>
          <w:bCs/>
          <w:color w:val="000000" w:themeColor="text1"/>
          <w:sz w:val="28"/>
          <w:szCs w:val="28"/>
          <w:lang w:val="en-US" w:eastAsia="zh-CN"/>
          <w14:textFill>
            <w14:solidFill>
              <w14:schemeClr w14:val="tx1"/>
            </w14:solidFill>
          </w14:textFill>
        </w:rPr>
        <w:t>抽烟、饮酒、下棋、打牌，不得坐、卧在</w:t>
      </w:r>
      <w:r>
        <w:rPr>
          <w:rFonts w:hint="eastAsia" w:ascii="仿宋" w:hAnsi="仿宋" w:eastAsia="仿宋" w:cs="仿宋"/>
          <w:i w:val="0"/>
          <w:iCs w:val="0"/>
          <w:caps w:val="0"/>
          <w:color w:val="000000" w:themeColor="text1"/>
          <w:spacing w:val="0"/>
          <w:kern w:val="0"/>
          <w:sz w:val="28"/>
          <w:szCs w:val="28"/>
          <w:u w:val="none"/>
          <w:lang w:val="en-US" w:eastAsia="zh-CN" w:bidi="ar"/>
          <w14:textFill>
            <w14:solidFill>
              <w14:schemeClr w14:val="tx1"/>
            </w14:solidFill>
          </w14:textFill>
        </w:rPr>
        <w:t>母婴中心</w:t>
      </w:r>
      <w:r>
        <w:rPr>
          <w:rFonts w:hint="eastAsia" w:ascii="仿宋" w:hAnsi="仿宋" w:eastAsia="仿宋" w:cs="仿宋"/>
          <w:b w:val="0"/>
          <w:bCs/>
          <w:color w:val="000000" w:themeColor="text1"/>
          <w:sz w:val="28"/>
          <w:szCs w:val="28"/>
          <w:lang w:val="en-US" w:eastAsia="zh-CN"/>
          <w14:textFill>
            <w14:solidFill>
              <w14:schemeClr w14:val="tx1"/>
            </w14:solidFill>
          </w14:textFill>
        </w:rPr>
        <w:t>房间床上，不得大声喧哗，影响产妇及新生儿休息。</w:t>
      </w:r>
    </w:p>
    <w:p w14:paraId="4EA4CC8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3.1.9.5不得在</w:t>
      </w:r>
      <w:r>
        <w:rPr>
          <w:rFonts w:hint="eastAsia" w:ascii="仿宋" w:hAnsi="仿宋" w:eastAsia="仿宋" w:cs="仿宋"/>
          <w:i w:val="0"/>
          <w:iCs w:val="0"/>
          <w:caps w:val="0"/>
          <w:color w:val="000000" w:themeColor="text1"/>
          <w:spacing w:val="0"/>
          <w:kern w:val="0"/>
          <w:sz w:val="28"/>
          <w:szCs w:val="28"/>
          <w:u w:val="none"/>
          <w:lang w:val="en-US" w:eastAsia="zh-CN" w:bidi="ar"/>
          <w14:textFill>
            <w14:solidFill>
              <w14:schemeClr w14:val="tx1"/>
            </w14:solidFill>
          </w14:textFill>
        </w:rPr>
        <w:t>母婴中心</w:t>
      </w:r>
      <w:r>
        <w:rPr>
          <w:rFonts w:hint="eastAsia" w:ascii="仿宋" w:hAnsi="仿宋" w:eastAsia="仿宋" w:cs="仿宋"/>
          <w:b w:val="0"/>
          <w:bCs/>
          <w:color w:val="000000" w:themeColor="text1"/>
          <w:sz w:val="28"/>
          <w:szCs w:val="28"/>
          <w:lang w:val="en-US" w:eastAsia="zh-CN"/>
          <w14:textFill>
            <w14:solidFill>
              <w14:schemeClr w14:val="tx1"/>
            </w14:solidFill>
          </w14:textFill>
        </w:rPr>
        <w:t>接待自己的客人、串门、煮食，不得随便吃、拿产妇的食物和使用产妇的用品，不准在产妇的床上睡觉。</w:t>
      </w:r>
    </w:p>
    <w:p w14:paraId="5F83F6E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 xml:space="preserve">3.1.9.6坚守岗位，工作期间不得擅离职守，如遇特殊情况，需经中标人管理人员同意。 </w:t>
      </w:r>
    </w:p>
    <w:p w14:paraId="6BC74B2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3.1.9.7不准向产妇或家属收取小费、食物或其他物品，不得私自同产妇或家属讲价钱，提要求。</w:t>
      </w:r>
    </w:p>
    <w:p w14:paraId="35C86B9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3.1.9.8爱护公物，节约水电，损坏公物要赔偿。</w:t>
      </w:r>
    </w:p>
    <w:p w14:paraId="17FF13E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3.1.9.9不得擅自取他人财物和劳务公司用品。</w:t>
      </w:r>
    </w:p>
    <w:p w14:paraId="78F24C0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3.1.9.10对产妇和新生儿要有爱心、耐心、细心的工作态度，提高服务质量。</w:t>
      </w:r>
    </w:p>
    <w:p w14:paraId="2D7B274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3.1.9.11母婴护理师三餐就餐时间，不得超过半小时每餐。</w:t>
      </w:r>
    </w:p>
    <w:p w14:paraId="3A895CC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3.1.9.12母婴护理师自带行李衣物等必须符合中心要求摆放，不得随意晾晒衣物。</w:t>
      </w:r>
    </w:p>
    <w:p w14:paraId="43E01DF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3.1.9.13母婴护理师在工作中应虚心接受采购人管理人员的技术指导和质量监督。</w:t>
      </w:r>
    </w:p>
    <w:p w14:paraId="4B9B7A2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3.1.10提供母婴护理师（月嫂）精细化管理方案；</w:t>
      </w:r>
    </w:p>
    <w:p w14:paraId="46C9B31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outlineLvl w:val="2"/>
        <w:rPr>
          <w:rFonts w:hint="eastAsia" w:ascii="仿宋" w:hAnsi="仿宋" w:eastAsia="仿宋" w:cs="仿宋"/>
          <w:b w:val="0"/>
          <w:bCs/>
          <w:color w:val="000000" w:themeColor="text1"/>
          <w:sz w:val="28"/>
          <w:szCs w:val="28"/>
          <w:highlight w:val="green"/>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3.1.1</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1提供的厨师具有厨师资格证书；</w:t>
      </w:r>
    </w:p>
    <w:p w14:paraId="450A08E1">
      <w:pPr>
        <w:bidi w:val="0"/>
        <w:jc w:val="center"/>
        <w:rPr>
          <w:rFonts w:hint="default"/>
          <w:sz w:val="24"/>
          <w:szCs w:val="22"/>
          <w:lang w:val="en-US" w:eastAsia="zh-CN"/>
        </w:rPr>
      </w:pPr>
      <w:r>
        <w:rPr>
          <w:rFonts w:hint="eastAsia"/>
          <w:sz w:val="24"/>
          <w:szCs w:val="22"/>
          <w:lang w:val="en-US" w:eastAsia="zh-CN"/>
        </w:rPr>
        <w:t>月子餐要求</w:t>
      </w:r>
    </w:p>
    <w:tbl>
      <w:tblPr>
        <w:tblStyle w:val="18"/>
        <w:tblpPr w:leftFromText="180" w:rightFromText="180" w:vertAnchor="text" w:horzAnchor="page" w:tblpX="1666" w:tblpY="45"/>
        <w:tblOverlap w:val="never"/>
        <w:tblW w:w="0" w:type="auto"/>
        <w:tblInd w:w="0" w:type="dxa"/>
        <w:tblLayout w:type="fixed"/>
        <w:tblCellMar>
          <w:top w:w="0" w:type="dxa"/>
          <w:left w:w="108" w:type="dxa"/>
          <w:bottom w:w="0" w:type="dxa"/>
          <w:right w:w="108" w:type="dxa"/>
        </w:tblCellMar>
      </w:tblPr>
      <w:tblGrid>
        <w:gridCol w:w="1809"/>
        <w:gridCol w:w="7088"/>
      </w:tblGrid>
      <w:tr w14:paraId="5ECB1F93">
        <w:tblPrEx>
          <w:tblCellMar>
            <w:top w:w="0" w:type="dxa"/>
            <w:left w:w="108" w:type="dxa"/>
            <w:bottom w:w="0" w:type="dxa"/>
            <w:right w:w="108" w:type="dxa"/>
          </w:tblCellMar>
        </w:tblPrEx>
        <w:trPr>
          <w:trHeight w:val="1823" w:hRule="exact"/>
        </w:trPr>
        <w:tc>
          <w:tcPr>
            <w:tcW w:w="1809" w:type="dxa"/>
            <w:tcBorders>
              <w:top w:val="single" w:color="000000" w:sz="6" w:space="0"/>
              <w:left w:val="single" w:color="000000" w:sz="12" w:space="0"/>
              <w:bottom w:val="single" w:color="000000" w:sz="6" w:space="0"/>
              <w:right w:val="single" w:color="000000" w:sz="6" w:space="0"/>
            </w:tcBorders>
            <w:noWrap w:val="0"/>
            <w:vAlign w:val="center"/>
          </w:tcPr>
          <w:p w14:paraId="301E799D">
            <w:pPr>
              <w:kinsoku w:val="0"/>
              <w:overflowPunct w:val="0"/>
              <w:autoSpaceDE w:val="0"/>
              <w:autoSpaceDN w:val="0"/>
              <w:spacing w:line="340" w:lineRule="exact"/>
              <w:ind w:left="92"/>
              <w:jc w:val="center"/>
              <w:rPr>
                <w:rFonts w:hint="eastAsia" w:ascii="仿宋" w:hAnsi="仿宋" w:eastAsia="仿宋" w:cs="仿宋"/>
                <w:kern w:val="0"/>
              </w:rPr>
            </w:pPr>
            <w:r>
              <w:rPr>
                <w:rFonts w:hint="eastAsia" w:ascii="仿宋" w:hAnsi="仿宋" w:eastAsia="仿宋" w:cs="仿宋"/>
                <w:kern w:val="0"/>
                <w:sz w:val="24"/>
                <w:szCs w:val="24"/>
              </w:rPr>
              <w:t>环境管理</w:t>
            </w:r>
          </w:p>
        </w:tc>
        <w:tc>
          <w:tcPr>
            <w:tcW w:w="7088" w:type="dxa"/>
            <w:tcBorders>
              <w:top w:val="single" w:color="000000" w:sz="6" w:space="0"/>
              <w:left w:val="single" w:color="000000" w:sz="6" w:space="0"/>
              <w:bottom w:val="single" w:color="000000" w:sz="6" w:space="0"/>
              <w:right w:val="single" w:color="000000" w:sz="12" w:space="0"/>
            </w:tcBorders>
            <w:noWrap w:val="0"/>
            <w:vAlign w:val="top"/>
          </w:tcPr>
          <w:p w14:paraId="21D814ED">
            <w:pPr>
              <w:kinsoku w:val="0"/>
              <w:overflowPunct w:val="0"/>
              <w:autoSpaceDE w:val="0"/>
              <w:autoSpaceDN w:val="0"/>
              <w:spacing w:line="3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1、卫生保洁、消毒</w:t>
            </w:r>
          </w:p>
          <w:p w14:paraId="7DA3BDE5">
            <w:pPr>
              <w:kinsoku w:val="0"/>
              <w:overflowPunct w:val="0"/>
              <w:autoSpaceDE w:val="0"/>
              <w:autoSpaceDN w:val="0"/>
              <w:spacing w:line="3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2、地面清洁、干净、没有死角</w:t>
            </w:r>
          </w:p>
          <w:p w14:paraId="6C0FA071">
            <w:pPr>
              <w:kinsoku w:val="0"/>
              <w:overflowPunct w:val="0"/>
              <w:autoSpaceDE w:val="0"/>
              <w:autoSpaceDN w:val="0"/>
              <w:spacing w:line="3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3、厨灶餐饮用具用后清洁、定位放置</w:t>
            </w:r>
          </w:p>
          <w:p w14:paraId="323D54B9">
            <w:pPr>
              <w:kinsoku w:val="0"/>
              <w:overflowPunct w:val="0"/>
              <w:autoSpaceDE w:val="0"/>
              <w:autoSpaceDN w:val="0"/>
              <w:spacing w:line="3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4、每日清洁、每周大清洁</w:t>
            </w:r>
          </w:p>
          <w:p w14:paraId="6C1B1E6A">
            <w:pPr>
              <w:kinsoku w:val="0"/>
              <w:overflowPunct w:val="0"/>
              <w:autoSpaceDE w:val="0"/>
              <w:autoSpaceDN w:val="0"/>
              <w:spacing w:line="340" w:lineRule="exact"/>
              <w:jc w:val="left"/>
              <w:rPr>
                <w:rFonts w:hint="eastAsia" w:ascii="宋体" w:hAnsi="宋体" w:cs="宋体"/>
                <w:kern w:val="0"/>
              </w:rPr>
            </w:pPr>
            <w:r>
              <w:rPr>
                <w:rFonts w:hint="eastAsia" w:ascii="仿宋" w:hAnsi="仿宋" w:eastAsia="仿宋" w:cs="仿宋"/>
                <w:kern w:val="0"/>
                <w:sz w:val="24"/>
                <w:szCs w:val="24"/>
              </w:rPr>
              <w:t>5、符合市场监督管理局要求</w:t>
            </w:r>
          </w:p>
        </w:tc>
      </w:tr>
      <w:tr w14:paraId="399E9093">
        <w:tblPrEx>
          <w:tblCellMar>
            <w:top w:w="0" w:type="dxa"/>
            <w:left w:w="108" w:type="dxa"/>
            <w:bottom w:w="0" w:type="dxa"/>
            <w:right w:w="108" w:type="dxa"/>
          </w:tblCellMar>
        </w:tblPrEx>
        <w:trPr>
          <w:trHeight w:val="1457" w:hRule="exact"/>
        </w:trPr>
        <w:tc>
          <w:tcPr>
            <w:tcW w:w="1809" w:type="dxa"/>
            <w:tcBorders>
              <w:top w:val="single" w:color="000000" w:sz="6" w:space="0"/>
              <w:left w:val="single" w:color="000000" w:sz="12" w:space="0"/>
              <w:bottom w:val="single" w:color="000000" w:sz="6" w:space="0"/>
              <w:right w:val="single" w:color="000000" w:sz="6" w:space="0"/>
            </w:tcBorders>
            <w:noWrap w:val="0"/>
            <w:vAlign w:val="center"/>
          </w:tcPr>
          <w:p w14:paraId="71932C41">
            <w:pPr>
              <w:kinsoku w:val="0"/>
              <w:overflowPunct w:val="0"/>
              <w:autoSpaceDE w:val="0"/>
              <w:autoSpaceDN w:val="0"/>
              <w:spacing w:line="3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食品安全管理</w:t>
            </w:r>
          </w:p>
        </w:tc>
        <w:tc>
          <w:tcPr>
            <w:tcW w:w="7088" w:type="dxa"/>
            <w:tcBorders>
              <w:top w:val="single" w:color="000000" w:sz="6" w:space="0"/>
              <w:left w:val="single" w:color="000000" w:sz="6" w:space="0"/>
              <w:bottom w:val="single" w:color="000000" w:sz="6" w:space="0"/>
              <w:right w:val="single" w:color="000000" w:sz="12" w:space="0"/>
            </w:tcBorders>
            <w:noWrap w:val="0"/>
            <w:vAlign w:val="top"/>
          </w:tcPr>
          <w:p w14:paraId="5ADACC52">
            <w:pPr>
              <w:kinsoku w:val="0"/>
              <w:overflowPunct w:val="0"/>
              <w:autoSpaceDE w:val="0"/>
              <w:autoSpaceDN w:val="0"/>
              <w:spacing w:line="3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spacing w:val="-60"/>
                <w:kern w:val="0"/>
                <w:sz w:val="24"/>
                <w:szCs w:val="24"/>
              </w:rPr>
              <w:t xml:space="preserve"> </w:t>
            </w:r>
            <w:r>
              <w:rPr>
                <w:rFonts w:hint="eastAsia" w:ascii="仿宋" w:hAnsi="仿宋" w:eastAsia="仿宋" w:cs="仿宋"/>
                <w:kern w:val="0"/>
                <w:sz w:val="24"/>
                <w:szCs w:val="24"/>
              </w:rPr>
              <w:t>无食品安全隐患</w:t>
            </w:r>
          </w:p>
          <w:p w14:paraId="59A23D9C">
            <w:pPr>
              <w:kinsoku w:val="0"/>
              <w:overflowPunct w:val="0"/>
              <w:autoSpaceDE w:val="0"/>
              <w:autoSpaceDN w:val="0"/>
              <w:spacing w:line="3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pacing w:val="-60"/>
                <w:kern w:val="0"/>
                <w:sz w:val="24"/>
                <w:szCs w:val="24"/>
              </w:rPr>
              <w:t xml:space="preserve"> </w:t>
            </w:r>
            <w:r>
              <w:rPr>
                <w:rFonts w:hint="eastAsia" w:ascii="仿宋" w:hAnsi="仿宋" w:eastAsia="仿宋" w:cs="仿宋"/>
                <w:kern w:val="0"/>
                <w:sz w:val="24"/>
                <w:szCs w:val="24"/>
              </w:rPr>
              <w:t>留样柜管理：按规</w:t>
            </w:r>
            <w:r>
              <w:rPr>
                <w:rFonts w:hint="eastAsia" w:ascii="仿宋" w:hAnsi="仿宋" w:eastAsia="仿宋" w:cs="仿宋"/>
                <w:kern w:val="0"/>
                <w:sz w:val="24"/>
                <w:szCs w:val="24"/>
                <w:lang w:eastAsia="zh-CN"/>
              </w:rPr>
              <w:t>定制度</w:t>
            </w:r>
            <w:r>
              <w:rPr>
                <w:rFonts w:hint="eastAsia" w:ascii="仿宋" w:hAnsi="仿宋" w:eastAsia="仿宋" w:cs="仿宋"/>
                <w:kern w:val="0"/>
                <w:sz w:val="24"/>
                <w:szCs w:val="24"/>
              </w:rPr>
              <w:t>执行</w:t>
            </w:r>
          </w:p>
          <w:p w14:paraId="296DD869">
            <w:pPr>
              <w:kinsoku w:val="0"/>
              <w:overflowPunct w:val="0"/>
              <w:autoSpaceDE w:val="0"/>
              <w:autoSpaceDN w:val="0"/>
              <w:spacing w:line="3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spacing w:val="-60"/>
                <w:kern w:val="0"/>
                <w:sz w:val="24"/>
                <w:szCs w:val="24"/>
              </w:rPr>
              <w:t xml:space="preserve"> </w:t>
            </w:r>
            <w:r>
              <w:rPr>
                <w:rFonts w:hint="eastAsia" w:ascii="仿宋" w:hAnsi="仿宋" w:eastAsia="仿宋" w:cs="仿宋"/>
                <w:kern w:val="0"/>
                <w:sz w:val="24"/>
                <w:szCs w:val="24"/>
              </w:rPr>
              <w:t>、安全用水，污水排放符合国家标准</w:t>
            </w:r>
          </w:p>
          <w:p w14:paraId="08EE7D7C">
            <w:pPr>
              <w:kinsoku w:val="0"/>
              <w:overflowPunct w:val="0"/>
              <w:autoSpaceDE w:val="0"/>
              <w:autoSpaceDN w:val="0"/>
              <w:spacing w:line="340" w:lineRule="exact"/>
              <w:jc w:val="left"/>
              <w:rPr>
                <w:rFonts w:hint="eastAsia" w:ascii="宋体" w:hAnsi="宋体" w:cs="宋体"/>
                <w:kern w:val="0"/>
              </w:rPr>
            </w:pPr>
            <w:r>
              <w:rPr>
                <w:rFonts w:hint="eastAsia" w:ascii="仿宋" w:hAnsi="仿宋" w:eastAsia="仿宋" w:cs="仿宋"/>
                <w:kern w:val="0"/>
                <w:sz w:val="24"/>
                <w:szCs w:val="24"/>
              </w:rPr>
              <w:t>4、符合市场监督管理局要求</w:t>
            </w:r>
          </w:p>
        </w:tc>
      </w:tr>
      <w:tr w14:paraId="2DAF5023">
        <w:tblPrEx>
          <w:tblCellMar>
            <w:top w:w="0" w:type="dxa"/>
            <w:left w:w="108" w:type="dxa"/>
            <w:bottom w:w="0" w:type="dxa"/>
            <w:right w:w="108" w:type="dxa"/>
          </w:tblCellMar>
        </w:tblPrEx>
        <w:trPr>
          <w:trHeight w:val="449" w:hRule="exact"/>
        </w:trPr>
        <w:tc>
          <w:tcPr>
            <w:tcW w:w="1809" w:type="dxa"/>
            <w:tcBorders>
              <w:top w:val="single" w:color="000000" w:sz="6" w:space="0"/>
              <w:left w:val="single" w:color="000000" w:sz="12" w:space="0"/>
              <w:bottom w:val="single" w:color="000000" w:sz="6" w:space="0"/>
              <w:right w:val="single" w:color="000000" w:sz="6" w:space="0"/>
            </w:tcBorders>
            <w:noWrap w:val="0"/>
            <w:vAlign w:val="top"/>
          </w:tcPr>
          <w:p w14:paraId="78CF5A43">
            <w:pPr>
              <w:kinsoku w:val="0"/>
              <w:overflowPunct w:val="0"/>
              <w:autoSpaceDE w:val="0"/>
              <w:autoSpaceDN w:val="0"/>
              <w:spacing w:line="340" w:lineRule="exact"/>
              <w:ind w:left="92"/>
              <w:jc w:val="left"/>
              <w:rPr>
                <w:rFonts w:hint="eastAsia" w:ascii="宋体" w:hAnsi="宋体" w:cs="宋体"/>
                <w:kern w:val="0"/>
              </w:rPr>
            </w:pPr>
            <w:r>
              <w:rPr>
                <w:rFonts w:hint="eastAsia" w:ascii="仿宋" w:hAnsi="仿宋" w:eastAsia="仿宋" w:cs="仿宋"/>
                <w:kern w:val="0"/>
                <w:sz w:val="24"/>
                <w:szCs w:val="24"/>
              </w:rPr>
              <w:t>虫媒防护管理</w:t>
            </w:r>
          </w:p>
        </w:tc>
        <w:tc>
          <w:tcPr>
            <w:tcW w:w="7088" w:type="dxa"/>
            <w:tcBorders>
              <w:top w:val="single" w:color="000000" w:sz="6" w:space="0"/>
              <w:left w:val="single" w:color="000000" w:sz="6" w:space="0"/>
              <w:bottom w:val="single" w:color="000000" w:sz="6" w:space="0"/>
              <w:right w:val="single" w:color="000000" w:sz="12" w:space="0"/>
            </w:tcBorders>
            <w:noWrap w:val="0"/>
            <w:vAlign w:val="top"/>
          </w:tcPr>
          <w:p w14:paraId="3B376AE4">
            <w:pPr>
              <w:kinsoku w:val="0"/>
              <w:overflowPunct w:val="0"/>
              <w:autoSpaceDE w:val="0"/>
              <w:autoSpaceDN w:val="0"/>
              <w:spacing w:line="340" w:lineRule="exact"/>
              <w:ind w:left="99"/>
              <w:jc w:val="left"/>
              <w:rPr>
                <w:rFonts w:hint="eastAsia" w:ascii="宋体" w:hAnsi="宋体" w:cs="宋体"/>
                <w:kern w:val="0"/>
              </w:rPr>
            </w:pPr>
            <w:r>
              <w:rPr>
                <w:rFonts w:hint="eastAsia" w:ascii="仿宋" w:hAnsi="仿宋" w:eastAsia="仿宋" w:cs="仿宋"/>
                <w:kern w:val="0"/>
                <w:sz w:val="24"/>
                <w:szCs w:val="24"/>
              </w:rPr>
              <w:t>防治设施、防治计划书、防治措施、落实整改内容</w:t>
            </w:r>
          </w:p>
        </w:tc>
      </w:tr>
      <w:tr w14:paraId="10A8D7E6">
        <w:tblPrEx>
          <w:tblCellMar>
            <w:top w:w="0" w:type="dxa"/>
            <w:left w:w="108" w:type="dxa"/>
            <w:bottom w:w="0" w:type="dxa"/>
            <w:right w:w="108" w:type="dxa"/>
          </w:tblCellMar>
        </w:tblPrEx>
        <w:trPr>
          <w:trHeight w:val="5563" w:hRule="exact"/>
        </w:trPr>
        <w:tc>
          <w:tcPr>
            <w:tcW w:w="1809" w:type="dxa"/>
            <w:tcBorders>
              <w:top w:val="single" w:color="000000" w:sz="6" w:space="0"/>
              <w:left w:val="single" w:color="000000" w:sz="12" w:space="0"/>
              <w:bottom w:val="single" w:color="000000" w:sz="6" w:space="0"/>
              <w:right w:val="single" w:color="000000" w:sz="6" w:space="0"/>
            </w:tcBorders>
            <w:noWrap w:val="0"/>
            <w:vAlign w:val="center"/>
          </w:tcPr>
          <w:p w14:paraId="46EA9D53">
            <w:pPr>
              <w:kinsoku w:val="0"/>
              <w:overflowPunct w:val="0"/>
              <w:autoSpaceDE w:val="0"/>
              <w:autoSpaceDN w:val="0"/>
              <w:spacing w:line="340" w:lineRule="exact"/>
              <w:ind w:left="92" w:right="68"/>
              <w:jc w:val="center"/>
              <w:rPr>
                <w:rFonts w:hint="eastAsia" w:ascii="宋体" w:hAnsi="宋体" w:cs="宋体"/>
                <w:kern w:val="0"/>
              </w:rPr>
            </w:pPr>
            <w:r>
              <w:rPr>
                <w:rFonts w:hint="eastAsia" w:ascii="仿宋" w:hAnsi="仿宋" w:eastAsia="仿宋" w:cs="仿宋"/>
                <w:kern w:val="0"/>
                <w:sz w:val="24"/>
                <w:szCs w:val="24"/>
              </w:rPr>
              <w:t>饮食质量及餐饮要求</w:t>
            </w:r>
          </w:p>
        </w:tc>
        <w:tc>
          <w:tcPr>
            <w:tcW w:w="7088" w:type="dxa"/>
            <w:tcBorders>
              <w:top w:val="single" w:color="000000" w:sz="6" w:space="0"/>
              <w:left w:val="single" w:color="000000" w:sz="6" w:space="0"/>
              <w:bottom w:val="single" w:color="000000" w:sz="6" w:space="0"/>
              <w:right w:val="single" w:color="000000" w:sz="12" w:space="0"/>
            </w:tcBorders>
            <w:noWrap w:val="0"/>
            <w:vAlign w:val="top"/>
          </w:tcPr>
          <w:p w14:paraId="682CF58D">
            <w:pPr>
              <w:kinsoku w:val="0"/>
              <w:overflowPunct w:val="0"/>
              <w:autoSpaceDE w:val="0"/>
              <w:autoSpaceDN w:val="0"/>
              <w:spacing w:line="340" w:lineRule="exact"/>
              <w:ind w:right="-16"/>
              <w:jc w:val="left"/>
              <w:rPr>
                <w:rFonts w:hint="eastAsia" w:ascii="仿宋" w:hAnsi="仿宋" w:eastAsia="仿宋" w:cs="仿宋"/>
                <w:kern w:val="0"/>
                <w:sz w:val="24"/>
                <w:szCs w:val="24"/>
              </w:rPr>
            </w:pPr>
            <w:r>
              <w:rPr>
                <w:rFonts w:hint="eastAsia" w:ascii="仿宋" w:hAnsi="仿宋" w:eastAsia="仿宋" w:cs="仿宋"/>
                <w:kern w:val="0"/>
                <w:sz w:val="24"/>
                <w:szCs w:val="24"/>
              </w:rPr>
              <w:t>根据采购人营养师食谱进行烹饪制作，色、香、味满足客户需求；</w:t>
            </w:r>
          </w:p>
          <w:p w14:paraId="611BE9C1">
            <w:pPr>
              <w:spacing w:line="340" w:lineRule="exact"/>
              <w:rPr>
                <w:rFonts w:hint="eastAsia" w:ascii="仿宋" w:hAnsi="仿宋" w:eastAsia="仿宋" w:cs="仿宋"/>
                <w:kern w:val="0"/>
                <w:sz w:val="24"/>
                <w:szCs w:val="24"/>
              </w:rPr>
            </w:pPr>
            <w:r>
              <w:rPr>
                <w:rFonts w:hint="eastAsia" w:ascii="仿宋" w:hAnsi="仿宋" w:eastAsia="仿宋" w:cs="仿宋"/>
                <w:kern w:val="0"/>
                <w:sz w:val="24"/>
                <w:szCs w:val="24"/>
              </w:rPr>
              <w:t>在正常饮食的需求上增加以下几点：</w:t>
            </w:r>
          </w:p>
          <w:p w14:paraId="71292437">
            <w:pPr>
              <w:kinsoku w:val="0"/>
              <w:overflowPunct w:val="0"/>
              <w:autoSpaceDE w:val="0"/>
              <w:autoSpaceDN w:val="0"/>
              <w:spacing w:line="3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1、营养丰富、食品品种多样化。</w:t>
            </w:r>
          </w:p>
          <w:p w14:paraId="2D3FB63F">
            <w:pPr>
              <w:kinsoku w:val="0"/>
              <w:overflowPunct w:val="0"/>
              <w:autoSpaceDE w:val="0"/>
              <w:autoSpaceDN w:val="0"/>
              <w:spacing w:line="340" w:lineRule="exact"/>
              <w:ind w:left="480" w:hanging="480" w:hangingChars="200"/>
              <w:jc w:val="left"/>
              <w:rPr>
                <w:rFonts w:hint="eastAsia" w:ascii="仿宋" w:hAnsi="仿宋" w:eastAsia="仿宋" w:cs="仿宋"/>
                <w:kern w:val="0"/>
                <w:sz w:val="24"/>
                <w:szCs w:val="24"/>
              </w:rPr>
            </w:pPr>
            <w:r>
              <w:rPr>
                <w:rFonts w:hint="eastAsia" w:ascii="仿宋" w:hAnsi="仿宋" w:eastAsia="仿宋" w:cs="仿宋"/>
                <w:kern w:val="0"/>
                <w:sz w:val="24"/>
                <w:szCs w:val="24"/>
              </w:rPr>
              <w:t>2、食物干稀搭配，荤素搭配，清淡适宜，营养可口，中医养护、调</w:t>
            </w:r>
            <w:r>
              <w:rPr>
                <w:rFonts w:hint="eastAsia" w:ascii="仿宋" w:hAnsi="仿宋" w:eastAsia="仿宋" w:cs="仿宋"/>
                <w:kern w:val="0"/>
                <w:sz w:val="24"/>
                <w:szCs w:val="24"/>
                <w:lang w:val="en-US" w:eastAsia="zh-CN"/>
              </w:rPr>
              <w:t>理</w:t>
            </w:r>
            <w:r>
              <w:rPr>
                <w:rFonts w:hint="eastAsia" w:ascii="仿宋" w:hAnsi="仿宋" w:eastAsia="仿宋" w:cs="仿宋"/>
                <w:kern w:val="0"/>
                <w:sz w:val="24"/>
                <w:szCs w:val="24"/>
              </w:rPr>
              <w:t>脾胃，以利消化。</w:t>
            </w:r>
          </w:p>
          <w:p w14:paraId="5CC7E120">
            <w:pPr>
              <w:kinsoku w:val="0"/>
              <w:overflowPunct w:val="0"/>
              <w:autoSpaceDE w:val="0"/>
              <w:autoSpaceDN w:val="0"/>
              <w:spacing w:line="3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3、在1、2点的基础上结合药膳养护。</w:t>
            </w:r>
          </w:p>
          <w:p w14:paraId="1CC09587">
            <w:pPr>
              <w:kinsoku w:val="0"/>
              <w:overflowPunct w:val="0"/>
              <w:autoSpaceDE w:val="0"/>
              <w:autoSpaceDN w:val="0"/>
              <w:spacing w:line="3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4、提供特色养生炖品，特色滋补炖品。</w:t>
            </w:r>
          </w:p>
          <w:p w14:paraId="159B9C6E">
            <w:pPr>
              <w:kinsoku w:val="0"/>
              <w:overflowPunct w:val="0"/>
              <w:autoSpaceDE w:val="0"/>
              <w:autoSpaceDN w:val="0"/>
              <w:spacing w:line="3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5、食材绿色环保，绝对新鲜，无食品添加剂。</w:t>
            </w:r>
          </w:p>
          <w:p w14:paraId="10298F7D">
            <w:pPr>
              <w:kinsoku w:val="0"/>
              <w:overflowPunct w:val="0"/>
              <w:autoSpaceDE w:val="0"/>
              <w:autoSpaceDN w:val="0"/>
              <w:spacing w:line="3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6、每天三主餐（一荤二素一炖品）、三餐点心</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按食谱</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w:t>
            </w:r>
          </w:p>
          <w:p w14:paraId="124C8201">
            <w:pPr>
              <w:kinsoku w:val="0"/>
              <w:overflowPunct w:val="0"/>
              <w:autoSpaceDE w:val="0"/>
              <w:autoSpaceDN w:val="0"/>
              <w:spacing w:line="3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7、餐盘清爽有特色。</w:t>
            </w:r>
          </w:p>
          <w:p w14:paraId="7F253CE5">
            <w:pPr>
              <w:kinsoku w:val="0"/>
              <w:overflowPunct w:val="0"/>
              <w:autoSpaceDE w:val="0"/>
              <w:autoSpaceDN w:val="0"/>
              <w:spacing w:line="3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8、食物摆盘精致、色彩搭配舒适。</w:t>
            </w:r>
          </w:p>
          <w:p w14:paraId="44AAE9FB">
            <w:pPr>
              <w:kinsoku w:val="0"/>
              <w:overflowPunct w:val="0"/>
              <w:autoSpaceDE w:val="0"/>
              <w:autoSpaceDN w:val="0"/>
              <w:spacing w:line="3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9、可根据产妇的体质、产后的天数及生产方式私人定制。</w:t>
            </w:r>
          </w:p>
          <w:p w14:paraId="33049C0F">
            <w:pPr>
              <w:kinsoku w:val="0"/>
              <w:overflowPunct w:val="0"/>
              <w:autoSpaceDE w:val="0"/>
              <w:autoSpaceDN w:val="0"/>
              <w:spacing w:line="340" w:lineRule="exact"/>
              <w:ind w:left="480" w:hanging="480" w:hangingChars="200"/>
              <w:jc w:val="left"/>
              <w:rPr>
                <w:rFonts w:hint="eastAsia" w:ascii="仿宋" w:hAnsi="仿宋" w:eastAsia="仿宋" w:cs="仿宋"/>
                <w:kern w:val="0"/>
                <w:sz w:val="24"/>
                <w:szCs w:val="24"/>
              </w:rPr>
            </w:pPr>
            <w:r>
              <w:rPr>
                <w:rFonts w:hint="eastAsia" w:ascii="仿宋" w:hAnsi="仿宋" w:eastAsia="仿宋" w:cs="仿宋"/>
                <w:kern w:val="0"/>
                <w:sz w:val="24"/>
                <w:szCs w:val="24"/>
              </w:rPr>
              <w:t>10、有相应的营养调理方案、各类别套餐及相关的食谱，并根据产后的天数及生产方式定制。</w:t>
            </w:r>
          </w:p>
          <w:p w14:paraId="7EDF0439">
            <w:pPr>
              <w:kinsoku w:val="0"/>
              <w:overflowPunct w:val="0"/>
              <w:autoSpaceDE w:val="0"/>
              <w:autoSpaceDN w:val="0"/>
              <w:spacing w:line="3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11、送餐，收餐有独立的操作流程。</w:t>
            </w:r>
          </w:p>
          <w:p w14:paraId="2D15FB0A">
            <w:pPr>
              <w:kinsoku w:val="0"/>
              <w:overflowPunct w:val="0"/>
              <w:autoSpaceDE w:val="0"/>
              <w:autoSpaceDN w:val="0"/>
              <w:spacing w:line="340" w:lineRule="exact"/>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12、提供四个阶段科学营养月子餐食谱。</w:t>
            </w:r>
          </w:p>
          <w:p w14:paraId="1096D06C">
            <w:pPr>
              <w:kinsoku w:val="0"/>
              <w:overflowPunct w:val="0"/>
              <w:autoSpaceDE w:val="0"/>
              <w:autoSpaceDN w:val="0"/>
              <w:spacing w:line="340" w:lineRule="exact"/>
              <w:jc w:val="left"/>
              <w:rPr>
                <w:rFonts w:hint="default" w:ascii="宋体" w:hAnsi="宋体" w:cs="宋体" w:eastAsiaTheme="minorEastAsia"/>
                <w:kern w:val="0"/>
                <w:lang w:val="en-US" w:eastAsia="zh-CN"/>
              </w:rPr>
            </w:pPr>
          </w:p>
          <w:p w14:paraId="01F2E1EC">
            <w:pPr>
              <w:kinsoku w:val="0"/>
              <w:overflowPunct w:val="0"/>
              <w:autoSpaceDE w:val="0"/>
              <w:autoSpaceDN w:val="0"/>
              <w:spacing w:line="340" w:lineRule="exact"/>
              <w:jc w:val="left"/>
              <w:rPr>
                <w:rFonts w:ascii="宋体" w:hAnsi="宋体" w:cs="宋体"/>
                <w:kern w:val="0"/>
              </w:rPr>
            </w:pPr>
            <w:r>
              <w:rPr>
                <w:rFonts w:hint="eastAsia" w:ascii="宋体" w:hAnsi="宋体" w:cs="宋体"/>
                <w:kern w:val="0"/>
              </w:rPr>
              <w:t xml:space="preserve">                                       </w:t>
            </w:r>
          </w:p>
          <w:p w14:paraId="25D0BED6">
            <w:pPr>
              <w:pStyle w:val="2"/>
              <w:rPr>
                <w:rFonts w:hint="eastAsia"/>
                <w:sz w:val="21"/>
                <w:szCs w:val="21"/>
              </w:rPr>
            </w:pPr>
          </w:p>
          <w:p w14:paraId="37E0FF2F">
            <w:pPr>
              <w:pStyle w:val="2"/>
              <w:rPr>
                <w:rFonts w:hint="eastAsia"/>
                <w:sz w:val="21"/>
                <w:szCs w:val="21"/>
              </w:rPr>
            </w:pPr>
          </w:p>
          <w:p w14:paraId="32352B25">
            <w:pPr>
              <w:kinsoku w:val="0"/>
              <w:overflowPunct w:val="0"/>
              <w:autoSpaceDE w:val="0"/>
              <w:autoSpaceDN w:val="0"/>
              <w:spacing w:line="340" w:lineRule="exact"/>
              <w:jc w:val="left"/>
              <w:rPr>
                <w:rFonts w:hint="eastAsia" w:ascii="宋体" w:hAnsi="宋体" w:cs="宋体"/>
                <w:kern w:val="0"/>
              </w:rPr>
            </w:pPr>
            <w:r>
              <w:rPr>
                <w:rFonts w:hint="eastAsia" w:ascii="宋体" w:hAnsi="宋体" w:cs="宋体"/>
                <w:kern w:val="0"/>
              </w:rPr>
              <w:t>12、采购人参与严格把控质量。</w:t>
            </w:r>
          </w:p>
          <w:p w14:paraId="1FCD30F8">
            <w:pPr>
              <w:kinsoku w:val="0"/>
              <w:overflowPunct w:val="0"/>
              <w:autoSpaceDE w:val="0"/>
              <w:autoSpaceDN w:val="0"/>
              <w:spacing w:line="340" w:lineRule="exact"/>
              <w:jc w:val="left"/>
              <w:rPr>
                <w:rFonts w:hint="eastAsia" w:ascii="宋体" w:hAnsi="宋体" w:cs="宋体"/>
                <w:kern w:val="0"/>
              </w:rPr>
            </w:pPr>
            <w:r>
              <w:rPr>
                <w:rFonts w:hint="eastAsia" w:ascii="宋体" w:hAnsi="宋体" w:cs="宋体"/>
                <w:kern w:val="0"/>
              </w:rPr>
              <w:t>13、配送过程中有保温措施，保证热饮热食。</w:t>
            </w:r>
            <w:r>
              <w:rPr>
                <w:rFonts w:hint="eastAsia" w:ascii="宋体" w:hAnsi="宋体" w:cs="宋体"/>
                <w:kern w:val="0"/>
              </w:rPr>
              <w:tab/>
            </w:r>
          </w:p>
          <w:p w14:paraId="475458B1">
            <w:pPr>
              <w:kinsoku w:val="0"/>
              <w:overflowPunct w:val="0"/>
              <w:autoSpaceDE w:val="0"/>
              <w:autoSpaceDN w:val="0"/>
              <w:spacing w:line="340" w:lineRule="exact"/>
              <w:jc w:val="left"/>
              <w:rPr>
                <w:rFonts w:hint="eastAsia" w:ascii="宋体" w:hAnsi="宋体" w:cs="宋体"/>
                <w:kern w:val="0"/>
              </w:rPr>
            </w:pPr>
            <w:r>
              <w:rPr>
                <w:rFonts w:hint="eastAsia" w:ascii="宋体" w:hAnsi="宋体" w:cs="宋体"/>
                <w:kern w:val="0"/>
              </w:rPr>
              <w:t>14、对采购人提出的要求及相关规定严格遵守。</w:t>
            </w:r>
          </w:p>
          <w:p w14:paraId="42476ABB">
            <w:pPr>
              <w:autoSpaceDE w:val="0"/>
              <w:autoSpaceDN w:val="0"/>
              <w:spacing w:line="340" w:lineRule="exact"/>
              <w:jc w:val="left"/>
              <w:rPr>
                <w:rFonts w:hint="eastAsia" w:ascii="宋体" w:hAnsi="宋体" w:cs="宋体"/>
                <w:kern w:val="0"/>
              </w:rPr>
            </w:pPr>
          </w:p>
          <w:p w14:paraId="66847B6B">
            <w:pPr>
              <w:autoSpaceDE w:val="0"/>
              <w:autoSpaceDN w:val="0"/>
              <w:spacing w:line="340" w:lineRule="exact"/>
              <w:jc w:val="left"/>
              <w:rPr>
                <w:rFonts w:hint="eastAsia" w:ascii="宋体" w:hAnsi="宋体" w:cs="宋体"/>
                <w:kern w:val="0"/>
              </w:rPr>
            </w:pPr>
          </w:p>
          <w:p w14:paraId="7BB80248">
            <w:pPr>
              <w:autoSpaceDE w:val="0"/>
              <w:autoSpaceDN w:val="0"/>
              <w:spacing w:line="340" w:lineRule="exact"/>
              <w:jc w:val="left"/>
              <w:rPr>
                <w:rFonts w:hint="eastAsia" w:ascii="宋体" w:hAnsi="宋体" w:cs="宋体"/>
                <w:kern w:val="0"/>
              </w:rPr>
            </w:pPr>
          </w:p>
          <w:p w14:paraId="2321028B">
            <w:pPr>
              <w:autoSpaceDE w:val="0"/>
              <w:autoSpaceDN w:val="0"/>
              <w:spacing w:line="340" w:lineRule="exact"/>
              <w:jc w:val="left"/>
              <w:rPr>
                <w:rFonts w:hint="eastAsia" w:ascii="宋体" w:hAnsi="宋体" w:cs="宋体"/>
                <w:kern w:val="0"/>
              </w:rPr>
            </w:pPr>
          </w:p>
          <w:p w14:paraId="0039C7C3">
            <w:pPr>
              <w:kinsoku w:val="0"/>
              <w:overflowPunct w:val="0"/>
              <w:autoSpaceDE w:val="0"/>
              <w:autoSpaceDN w:val="0"/>
              <w:spacing w:line="340" w:lineRule="exact"/>
              <w:ind w:left="99" w:right="-16"/>
              <w:jc w:val="left"/>
              <w:rPr>
                <w:rFonts w:hint="eastAsia" w:ascii="宋体" w:hAnsi="宋体" w:cs="宋体"/>
                <w:kern w:val="0"/>
              </w:rPr>
            </w:pPr>
          </w:p>
        </w:tc>
      </w:tr>
      <w:tr w14:paraId="7E8EEA4A">
        <w:tblPrEx>
          <w:tblCellMar>
            <w:top w:w="0" w:type="dxa"/>
            <w:left w:w="108" w:type="dxa"/>
            <w:bottom w:w="0" w:type="dxa"/>
            <w:right w:w="108" w:type="dxa"/>
          </w:tblCellMar>
        </w:tblPrEx>
        <w:trPr>
          <w:trHeight w:val="1053" w:hRule="exact"/>
        </w:trPr>
        <w:tc>
          <w:tcPr>
            <w:tcW w:w="1809" w:type="dxa"/>
            <w:tcBorders>
              <w:top w:val="single" w:color="000000" w:sz="6" w:space="0"/>
              <w:left w:val="single" w:color="000000" w:sz="12" w:space="0"/>
              <w:bottom w:val="single" w:color="000000" w:sz="6" w:space="0"/>
              <w:right w:val="single" w:color="000000" w:sz="6" w:space="0"/>
            </w:tcBorders>
            <w:noWrap w:val="0"/>
            <w:vAlign w:val="center"/>
          </w:tcPr>
          <w:p w14:paraId="22F1B1DC">
            <w:pPr>
              <w:kinsoku w:val="0"/>
              <w:overflowPunct w:val="0"/>
              <w:autoSpaceDE w:val="0"/>
              <w:autoSpaceDN w:val="0"/>
              <w:spacing w:line="340" w:lineRule="exact"/>
              <w:ind w:left="92" w:right="97"/>
              <w:jc w:val="center"/>
              <w:rPr>
                <w:rFonts w:hint="eastAsia" w:ascii="宋体" w:hAnsi="宋体" w:cs="宋体"/>
                <w:kern w:val="0"/>
              </w:rPr>
            </w:pPr>
            <w:r>
              <w:rPr>
                <w:rFonts w:hint="eastAsia" w:ascii="仿宋" w:hAnsi="仿宋" w:eastAsia="仿宋" w:cs="仿宋"/>
                <w:spacing w:val="28"/>
                <w:kern w:val="0"/>
                <w:sz w:val="24"/>
                <w:szCs w:val="24"/>
              </w:rPr>
              <w:t>员工技能操</w:t>
            </w:r>
            <w:r>
              <w:rPr>
                <w:rFonts w:hint="eastAsia" w:ascii="仿宋" w:hAnsi="仿宋" w:eastAsia="仿宋" w:cs="仿宋"/>
                <w:kern w:val="0"/>
                <w:sz w:val="24"/>
                <w:szCs w:val="24"/>
              </w:rPr>
              <w:t>作培训</w:t>
            </w:r>
          </w:p>
        </w:tc>
        <w:tc>
          <w:tcPr>
            <w:tcW w:w="7088" w:type="dxa"/>
            <w:tcBorders>
              <w:top w:val="single" w:color="000000" w:sz="6" w:space="0"/>
              <w:left w:val="single" w:color="000000" w:sz="6" w:space="0"/>
              <w:bottom w:val="single" w:color="000000" w:sz="6" w:space="0"/>
              <w:right w:val="single" w:color="000000" w:sz="12" w:space="0"/>
            </w:tcBorders>
            <w:noWrap w:val="0"/>
            <w:vAlign w:val="top"/>
          </w:tcPr>
          <w:p w14:paraId="74FEB483">
            <w:pPr>
              <w:kinsoku w:val="0"/>
              <w:overflowPunct w:val="0"/>
              <w:autoSpaceDE w:val="0"/>
              <w:autoSpaceDN w:val="0"/>
              <w:spacing w:line="340" w:lineRule="exact"/>
              <w:ind w:right="222"/>
              <w:jc w:val="left"/>
              <w:rPr>
                <w:rFonts w:hint="eastAsia" w:ascii="宋体" w:hAnsi="宋体" w:cs="宋体"/>
                <w:kern w:val="0"/>
              </w:rPr>
            </w:pPr>
            <w:r>
              <w:rPr>
                <w:rFonts w:hint="eastAsia" w:ascii="仿宋" w:hAnsi="仿宋" w:eastAsia="仿宋" w:cs="仿宋"/>
                <w:kern w:val="0"/>
                <w:sz w:val="24"/>
                <w:szCs w:val="24"/>
              </w:rPr>
              <w:t>有完</w:t>
            </w:r>
            <w:r>
              <w:rPr>
                <w:rFonts w:hint="eastAsia" w:ascii="仿宋" w:hAnsi="仿宋" w:eastAsia="仿宋" w:cs="仿宋"/>
                <w:kern w:val="0"/>
                <w:sz w:val="24"/>
                <w:szCs w:val="24"/>
                <w:lang w:eastAsia="zh-CN"/>
              </w:rPr>
              <w:t>整的</w:t>
            </w:r>
            <w:r>
              <w:rPr>
                <w:rFonts w:hint="eastAsia" w:ascii="仿宋" w:hAnsi="仿宋" w:eastAsia="仿宋" w:cs="仿宋"/>
                <w:kern w:val="0"/>
                <w:sz w:val="24"/>
                <w:szCs w:val="24"/>
              </w:rPr>
              <w:t>员工技能培训</w:t>
            </w:r>
            <w:r>
              <w:rPr>
                <w:rFonts w:hint="eastAsia" w:ascii="仿宋" w:hAnsi="仿宋" w:eastAsia="仿宋" w:cs="仿宋"/>
                <w:kern w:val="0"/>
                <w:sz w:val="24"/>
                <w:szCs w:val="24"/>
                <w:lang w:eastAsia="zh-CN"/>
              </w:rPr>
              <w:t>制度</w:t>
            </w:r>
            <w:r>
              <w:rPr>
                <w:rFonts w:hint="eastAsia" w:ascii="仿宋" w:hAnsi="仿宋" w:eastAsia="仿宋" w:cs="仿宋"/>
                <w:kern w:val="0"/>
                <w:sz w:val="24"/>
                <w:szCs w:val="24"/>
              </w:rPr>
              <w:t>、流程。每日早交班每周有总结每月有持续质量改进问题，有记录。培训内容：素质、品德、安全、法律法规、卫生、礼貌等。</w:t>
            </w:r>
          </w:p>
        </w:tc>
      </w:tr>
      <w:tr w14:paraId="03FA45E8">
        <w:tblPrEx>
          <w:tblCellMar>
            <w:top w:w="0" w:type="dxa"/>
            <w:left w:w="108" w:type="dxa"/>
            <w:bottom w:w="0" w:type="dxa"/>
            <w:right w:w="108" w:type="dxa"/>
          </w:tblCellMar>
        </w:tblPrEx>
        <w:trPr>
          <w:trHeight w:val="683" w:hRule="exact"/>
        </w:trPr>
        <w:tc>
          <w:tcPr>
            <w:tcW w:w="1809" w:type="dxa"/>
            <w:tcBorders>
              <w:top w:val="single" w:color="000000" w:sz="6" w:space="0"/>
              <w:left w:val="single" w:color="000000" w:sz="12" w:space="0"/>
              <w:bottom w:val="single" w:color="auto" w:sz="4" w:space="0"/>
              <w:right w:val="single" w:color="000000" w:sz="6" w:space="0"/>
            </w:tcBorders>
            <w:noWrap w:val="0"/>
            <w:vAlign w:val="center"/>
          </w:tcPr>
          <w:p w14:paraId="474F4B19">
            <w:pPr>
              <w:kinsoku w:val="0"/>
              <w:overflowPunct w:val="0"/>
              <w:autoSpaceDE w:val="0"/>
              <w:autoSpaceDN w:val="0"/>
              <w:spacing w:line="340" w:lineRule="exact"/>
              <w:ind w:left="92" w:right="68"/>
              <w:jc w:val="center"/>
              <w:rPr>
                <w:rFonts w:hint="eastAsia" w:ascii="仿宋" w:hAnsi="仿宋" w:eastAsia="仿宋" w:cs="仿宋"/>
                <w:kern w:val="0"/>
                <w:sz w:val="24"/>
                <w:szCs w:val="24"/>
                <w:highlight w:val="none"/>
              </w:rPr>
            </w:pPr>
            <w:r>
              <w:rPr>
                <w:rFonts w:hint="eastAsia" w:ascii="仿宋" w:hAnsi="仿宋" w:eastAsia="仿宋" w:cs="仿宋"/>
                <w:spacing w:val="28"/>
                <w:kern w:val="0"/>
                <w:sz w:val="24"/>
                <w:szCs w:val="24"/>
                <w:highlight w:val="none"/>
              </w:rPr>
              <w:t>厨余垃圾规</w:t>
            </w:r>
            <w:r>
              <w:rPr>
                <w:rFonts w:hint="eastAsia" w:ascii="仿宋" w:hAnsi="仿宋" w:eastAsia="仿宋" w:cs="仿宋"/>
                <w:kern w:val="0"/>
                <w:sz w:val="24"/>
                <w:szCs w:val="24"/>
                <w:highlight w:val="none"/>
              </w:rPr>
              <w:t>范处理</w:t>
            </w:r>
          </w:p>
        </w:tc>
        <w:tc>
          <w:tcPr>
            <w:tcW w:w="7088" w:type="dxa"/>
            <w:tcBorders>
              <w:top w:val="single" w:color="000000" w:sz="6" w:space="0"/>
              <w:left w:val="single" w:color="000000" w:sz="6" w:space="0"/>
              <w:bottom w:val="single" w:color="auto" w:sz="4" w:space="0"/>
              <w:right w:val="single" w:color="000000" w:sz="12" w:space="0"/>
            </w:tcBorders>
            <w:noWrap w:val="0"/>
            <w:vAlign w:val="top"/>
          </w:tcPr>
          <w:p w14:paraId="518BACD5">
            <w:pPr>
              <w:kinsoku w:val="0"/>
              <w:overflowPunct w:val="0"/>
              <w:autoSpaceDE w:val="0"/>
              <w:autoSpaceDN w:val="0"/>
              <w:spacing w:line="280" w:lineRule="exact"/>
              <w:ind w:right="-15"/>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餐餐清除，送到规定地点，</w:t>
            </w:r>
            <w:r>
              <w:rPr>
                <w:rFonts w:hint="eastAsia" w:ascii="仿宋" w:hAnsi="仿宋" w:eastAsia="仿宋" w:cs="仿宋"/>
                <w:kern w:val="0"/>
                <w:sz w:val="24"/>
                <w:szCs w:val="24"/>
                <w:highlight w:val="none"/>
                <w:lang w:eastAsia="zh-CN"/>
              </w:rPr>
              <w:t>垃圾桶</w:t>
            </w:r>
            <w:r>
              <w:rPr>
                <w:rFonts w:hint="eastAsia" w:ascii="仿宋" w:hAnsi="仿宋" w:eastAsia="仿宋" w:cs="仿宋"/>
                <w:kern w:val="0"/>
                <w:sz w:val="24"/>
                <w:szCs w:val="24"/>
                <w:highlight w:val="none"/>
              </w:rPr>
              <w:t>外面保持清洁。病区剩余饭菜及时带回配餐中心，放到规定地点，不得外流。</w:t>
            </w:r>
          </w:p>
        </w:tc>
      </w:tr>
      <w:tr w14:paraId="4269AB0D">
        <w:tblPrEx>
          <w:tblCellMar>
            <w:top w:w="0" w:type="dxa"/>
            <w:left w:w="108" w:type="dxa"/>
            <w:bottom w:w="0" w:type="dxa"/>
            <w:right w:w="108" w:type="dxa"/>
          </w:tblCellMar>
        </w:tblPrEx>
        <w:trPr>
          <w:trHeight w:val="726" w:hRule="exact"/>
        </w:trPr>
        <w:tc>
          <w:tcPr>
            <w:tcW w:w="1809" w:type="dxa"/>
            <w:tcBorders>
              <w:top w:val="single" w:color="auto" w:sz="4" w:space="0"/>
              <w:left w:val="single" w:color="auto" w:sz="4" w:space="0"/>
              <w:bottom w:val="single" w:color="auto" w:sz="4" w:space="0"/>
              <w:right w:val="single" w:color="auto" w:sz="4" w:space="0"/>
            </w:tcBorders>
            <w:noWrap w:val="0"/>
            <w:vAlign w:val="center"/>
          </w:tcPr>
          <w:p w14:paraId="5DFB2B88">
            <w:pPr>
              <w:kinsoku w:val="0"/>
              <w:overflowPunct w:val="0"/>
              <w:autoSpaceDE w:val="0"/>
              <w:autoSpaceDN w:val="0"/>
              <w:spacing w:line="340" w:lineRule="exact"/>
              <w:ind w:left="92" w:right="97"/>
              <w:jc w:val="center"/>
              <w:rPr>
                <w:rFonts w:hint="eastAsia" w:ascii="仿宋" w:hAnsi="仿宋" w:eastAsia="仿宋" w:cs="仿宋"/>
                <w:spacing w:val="28"/>
                <w:kern w:val="0"/>
                <w:sz w:val="24"/>
                <w:szCs w:val="24"/>
                <w:highlight w:val="none"/>
              </w:rPr>
            </w:pPr>
            <w:r>
              <w:rPr>
                <w:rFonts w:hint="eastAsia" w:ascii="仿宋" w:hAnsi="仿宋" w:eastAsia="仿宋" w:cs="仿宋"/>
                <w:spacing w:val="28"/>
                <w:kern w:val="0"/>
                <w:sz w:val="24"/>
                <w:szCs w:val="24"/>
                <w:highlight w:val="none"/>
              </w:rPr>
              <w:t>食材质量验收</w:t>
            </w:r>
          </w:p>
        </w:tc>
        <w:tc>
          <w:tcPr>
            <w:tcW w:w="7088" w:type="dxa"/>
            <w:tcBorders>
              <w:top w:val="single" w:color="auto" w:sz="4" w:space="0"/>
              <w:left w:val="single" w:color="auto" w:sz="4" w:space="0"/>
              <w:bottom w:val="single" w:color="auto" w:sz="4" w:space="0"/>
              <w:right w:val="single" w:color="auto" w:sz="4" w:space="0"/>
            </w:tcBorders>
            <w:noWrap w:val="0"/>
            <w:vAlign w:val="top"/>
          </w:tcPr>
          <w:p w14:paraId="7A688CFD">
            <w:pPr>
              <w:kinsoku w:val="0"/>
              <w:overflowPunct w:val="0"/>
              <w:autoSpaceDE w:val="0"/>
              <w:autoSpaceDN w:val="0"/>
              <w:spacing w:line="280" w:lineRule="exact"/>
              <w:ind w:right="97"/>
              <w:jc w:val="left"/>
              <w:rPr>
                <w:rFonts w:hint="eastAsia" w:ascii="仿宋" w:hAnsi="仿宋" w:eastAsia="仿宋" w:cs="仿宋"/>
                <w:spacing w:val="28"/>
                <w:kern w:val="0"/>
                <w:sz w:val="24"/>
                <w:szCs w:val="24"/>
                <w:highlight w:val="none"/>
              </w:rPr>
            </w:pPr>
            <w:r>
              <w:rPr>
                <w:rFonts w:hint="eastAsia" w:ascii="仿宋" w:hAnsi="仿宋" w:eastAsia="仿宋" w:cs="仿宋"/>
                <w:spacing w:val="28"/>
                <w:kern w:val="0"/>
                <w:sz w:val="24"/>
                <w:szCs w:val="24"/>
                <w:highlight w:val="none"/>
              </w:rPr>
              <w:t>食材必须经过食品安全检测，每次用餐实行食品留样制度。配合采购人参与食材质量抽查或验收。</w:t>
            </w:r>
          </w:p>
        </w:tc>
      </w:tr>
    </w:tbl>
    <w:p w14:paraId="4EC6549B">
      <w:pPr>
        <w:rPr>
          <w:rFonts w:hint="eastAsia"/>
          <w:lang w:val="en-US" w:eastAsia="zh-CN"/>
        </w:rPr>
      </w:pPr>
    </w:p>
    <w:p w14:paraId="77B0F0F9">
      <w:pPr>
        <w:keepNext w:val="0"/>
        <w:keepLines w:val="0"/>
        <w:widowControl/>
        <w:suppressLineNumbers w:val="0"/>
        <w:pBdr>
          <w:top w:val="none" w:color="auto" w:sz="0" w:space="0"/>
          <w:left w:val="none" w:color="auto" w:sz="0" w:space="0"/>
          <w:bottom w:val="none" w:color="auto" w:sz="0" w:space="0"/>
          <w:right w:val="none" w:color="auto" w:sz="0" w:space="0"/>
        </w:pBdr>
        <w:ind w:left="0" w:firstLine="0"/>
        <w:rPr>
          <w:rFonts w:hint="eastAsia" w:ascii="仿宋" w:hAnsi="仿宋" w:eastAsia="仿宋" w:cs="仿宋"/>
          <w:b/>
          <w:bCs/>
          <w:i w:val="0"/>
          <w:iCs w:val="0"/>
          <w:caps w:val="0"/>
          <w:spacing w:val="0"/>
          <w:sz w:val="28"/>
          <w:szCs w:val="28"/>
          <w:u w:val="none"/>
          <w:lang w:val="en-US" w:eastAsia="zh-CN"/>
        </w:rPr>
      </w:pPr>
      <w:r>
        <w:rPr>
          <w:rFonts w:hint="eastAsia" w:ascii="仿宋" w:hAnsi="仿宋" w:eastAsia="仿宋" w:cs="仿宋"/>
          <w:b/>
          <w:bCs/>
          <w:i w:val="0"/>
          <w:iCs w:val="0"/>
          <w:caps w:val="0"/>
          <w:spacing w:val="0"/>
          <w:sz w:val="28"/>
          <w:szCs w:val="28"/>
          <w:u w:val="none"/>
          <w:lang w:val="en-US" w:eastAsia="zh-CN"/>
        </w:rPr>
        <w:t>3.12   24小时的全方位贴身服务内容</w:t>
      </w:r>
    </w:p>
    <w:tbl>
      <w:tblPr>
        <w:tblStyle w:val="18"/>
        <w:tblW w:w="9454" w:type="dxa"/>
        <w:jc w:val="center"/>
        <w:tblLayout w:type="fixed"/>
        <w:tblCellMar>
          <w:top w:w="0" w:type="dxa"/>
          <w:left w:w="0" w:type="dxa"/>
          <w:bottom w:w="0" w:type="dxa"/>
          <w:right w:w="0" w:type="dxa"/>
        </w:tblCellMar>
      </w:tblPr>
      <w:tblGrid>
        <w:gridCol w:w="1283"/>
        <w:gridCol w:w="8171"/>
      </w:tblGrid>
      <w:tr w14:paraId="22578304">
        <w:tblPrEx>
          <w:tblCellMar>
            <w:top w:w="0" w:type="dxa"/>
            <w:left w:w="0" w:type="dxa"/>
            <w:bottom w:w="0" w:type="dxa"/>
            <w:right w:w="0" w:type="dxa"/>
          </w:tblCellMar>
        </w:tblPrEx>
        <w:trPr>
          <w:trHeight w:val="423" w:hRule="atLeast"/>
          <w:jc w:val="center"/>
        </w:trPr>
        <w:tc>
          <w:tcPr>
            <w:tcW w:w="1283" w:type="dxa"/>
            <w:tcBorders>
              <w:top w:val="single" w:color="auto" w:sz="8" w:space="0"/>
              <w:left w:val="single" w:color="auto" w:sz="8" w:space="0"/>
              <w:bottom w:val="single" w:color="auto" w:sz="8" w:space="0"/>
              <w:right w:val="single" w:color="auto" w:sz="8" w:space="0"/>
            </w:tcBorders>
            <w:noWrap w:val="0"/>
            <w:vAlign w:val="center"/>
          </w:tcPr>
          <w:p w14:paraId="216204E0">
            <w:pPr>
              <w:autoSpaceDE w:val="0"/>
              <w:autoSpaceDN w:val="0"/>
              <w:spacing w:line="440" w:lineRule="exact"/>
              <w:jc w:val="center"/>
              <w:rPr>
                <w:rFonts w:hint="eastAsia" w:ascii="宋体" w:hAnsi="宋体" w:cs="宋体"/>
              </w:rPr>
            </w:pPr>
            <w:r>
              <w:rPr>
                <w:rFonts w:hint="eastAsia" w:ascii="仿宋" w:hAnsi="仿宋" w:eastAsia="仿宋" w:cs="仿宋"/>
                <w:sz w:val="24"/>
                <w:szCs w:val="24"/>
              </w:rPr>
              <w:t>项  目</w:t>
            </w:r>
          </w:p>
        </w:tc>
        <w:tc>
          <w:tcPr>
            <w:tcW w:w="8171" w:type="dxa"/>
            <w:tcBorders>
              <w:top w:val="single" w:color="auto" w:sz="8" w:space="0"/>
              <w:left w:val="single" w:color="auto" w:sz="8" w:space="0"/>
              <w:bottom w:val="single" w:color="auto" w:sz="8" w:space="0"/>
              <w:right w:val="single" w:color="auto" w:sz="8" w:space="0"/>
            </w:tcBorders>
            <w:noWrap w:val="0"/>
            <w:vAlign w:val="center"/>
          </w:tcPr>
          <w:p w14:paraId="469292E6">
            <w:pPr>
              <w:autoSpaceDE w:val="0"/>
              <w:autoSpaceDN w:val="0"/>
              <w:spacing w:line="440" w:lineRule="exact"/>
              <w:ind w:firstLine="560" w:firstLineChars="200"/>
              <w:jc w:val="center"/>
              <w:rPr>
                <w:rFonts w:hint="eastAsia" w:ascii="宋体" w:hAnsi="宋体" w:cs="宋体"/>
              </w:rPr>
            </w:pPr>
            <w:r>
              <w:rPr>
                <w:rFonts w:hint="eastAsia" w:ascii="仿宋" w:hAnsi="仿宋" w:eastAsia="仿宋" w:cs="仿宋"/>
                <w:sz w:val="28"/>
                <w:szCs w:val="28"/>
              </w:rPr>
              <w:t>质量标准</w:t>
            </w:r>
          </w:p>
        </w:tc>
      </w:tr>
      <w:tr w14:paraId="4416730C">
        <w:tblPrEx>
          <w:tblCellMar>
            <w:top w:w="0" w:type="dxa"/>
            <w:left w:w="0" w:type="dxa"/>
            <w:bottom w:w="0" w:type="dxa"/>
            <w:right w:w="0" w:type="dxa"/>
          </w:tblCellMar>
        </w:tblPrEx>
        <w:trPr>
          <w:trHeight w:val="423" w:hRule="atLeast"/>
          <w:jc w:val="center"/>
        </w:trPr>
        <w:tc>
          <w:tcPr>
            <w:tcW w:w="1283" w:type="dxa"/>
            <w:tcBorders>
              <w:top w:val="single" w:color="auto" w:sz="8" w:space="0"/>
              <w:left w:val="single" w:color="auto" w:sz="8" w:space="0"/>
              <w:bottom w:val="single" w:color="auto" w:sz="8" w:space="0"/>
              <w:right w:val="single" w:color="auto" w:sz="8" w:space="0"/>
            </w:tcBorders>
            <w:noWrap w:val="0"/>
            <w:vAlign w:val="center"/>
          </w:tcPr>
          <w:p w14:paraId="611FE97B">
            <w:pPr>
              <w:autoSpaceDE w:val="0"/>
              <w:autoSpaceDN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房间</w:t>
            </w:r>
          </w:p>
        </w:tc>
        <w:tc>
          <w:tcPr>
            <w:tcW w:w="8171" w:type="dxa"/>
            <w:tcBorders>
              <w:top w:val="single" w:color="auto" w:sz="8" w:space="0"/>
              <w:left w:val="single" w:color="auto" w:sz="8" w:space="0"/>
              <w:bottom w:val="single" w:color="auto" w:sz="8" w:space="0"/>
              <w:right w:val="single" w:color="auto" w:sz="8" w:space="0"/>
            </w:tcBorders>
            <w:noWrap w:val="0"/>
            <w:vAlign w:val="center"/>
          </w:tcPr>
          <w:p w14:paraId="0B36E32A">
            <w:pPr>
              <w:autoSpaceDE w:val="0"/>
              <w:autoSpaceDN w:val="0"/>
              <w:spacing w:line="360" w:lineRule="exact"/>
              <w:jc w:val="left"/>
              <w:rPr>
                <w:rFonts w:hint="eastAsia" w:ascii="仿宋" w:hAnsi="仿宋" w:eastAsia="仿宋" w:cs="仿宋"/>
                <w:sz w:val="24"/>
                <w:szCs w:val="24"/>
              </w:rPr>
            </w:pPr>
            <w:r>
              <w:rPr>
                <w:rFonts w:hint="eastAsia" w:ascii="仿宋" w:hAnsi="仿宋" w:eastAsia="仿宋" w:cs="仿宋"/>
                <w:sz w:val="24"/>
                <w:szCs w:val="24"/>
              </w:rPr>
              <w:t>1.房间的整理及常规消毒工作，探视后的房间消毒工作；</w:t>
            </w:r>
          </w:p>
          <w:p w14:paraId="430ADD20">
            <w:pPr>
              <w:autoSpaceDE w:val="0"/>
              <w:autoSpaceDN w:val="0"/>
              <w:spacing w:line="360" w:lineRule="exact"/>
              <w:jc w:val="left"/>
              <w:rPr>
                <w:rFonts w:hint="eastAsia" w:ascii="仿宋" w:hAnsi="仿宋" w:eastAsia="仿宋" w:cs="仿宋"/>
                <w:sz w:val="24"/>
                <w:szCs w:val="24"/>
              </w:rPr>
            </w:pPr>
            <w:r>
              <w:rPr>
                <w:rFonts w:hint="eastAsia" w:ascii="仿宋" w:hAnsi="仿宋" w:eastAsia="仿宋" w:cs="仿宋"/>
                <w:sz w:val="24"/>
                <w:szCs w:val="24"/>
              </w:rPr>
              <w:t>2.每日两次的开窗通风；</w:t>
            </w:r>
          </w:p>
          <w:p w14:paraId="67CD37F0">
            <w:pPr>
              <w:autoSpaceDE w:val="0"/>
              <w:autoSpaceDN w:val="0"/>
              <w:spacing w:line="360" w:lineRule="exact"/>
              <w:jc w:val="left"/>
              <w:rPr>
                <w:rFonts w:hint="eastAsia" w:ascii="仿宋" w:hAnsi="仿宋" w:eastAsia="仿宋" w:cs="仿宋"/>
                <w:sz w:val="24"/>
                <w:szCs w:val="24"/>
              </w:rPr>
            </w:pPr>
            <w:r>
              <w:rPr>
                <w:rFonts w:hint="eastAsia" w:ascii="仿宋" w:hAnsi="仿宋" w:eastAsia="仿宋" w:cs="仿宋"/>
                <w:sz w:val="24"/>
                <w:szCs w:val="24"/>
              </w:rPr>
              <w:t>3.保持床单的整齐、房间的整洁，保证产妇和新生儿良好的生活环境；</w:t>
            </w:r>
          </w:p>
        </w:tc>
      </w:tr>
      <w:tr w14:paraId="35CF0891">
        <w:tblPrEx>
          <w:tblCellMar>
            <w:top w:w="0" w:type="dxa"/>
            <w:left w:w="0" w:type="dxa"/>
            <w:bottom w:w="0" w:type="dxa"/>
            <w:right w:w="0" w:type="dxa"/>
          </w:tblCellMar>
        </w:tblPrEx>
        <w:trPr>
          <w:trHeight w:val="423" w:hRule="atLeast"/>
          <w:jc w:val="center"/>
        </w:trPr>
        <w:tc>
          <w:tcPr>
            <w:tcW w:w="1283" w:type="dxa"/>
            <w:tcBorders>
              <w:top w:val="single" w:color="auto" w:sz="8" w:space="0"/>
              <w:left w:val="single" w:color="auto" w:sz="8" w:space="0"/>
              <w:bottom w:val="single" w:color="auto" w:sz="8" w:space="0"/>
              <w:right w:val="single" w:color="auto" w:sz="8" w:space="0"/>
            </w:tcBorders>
            <w:noWrap w:val="0"/>
            <w:vAlign w:val="center"/>
          </w:tcPr>
          <w:p w14:paraId="78FD1C76">
            <w:pPr>
              <w:autoSpaceDE w:val="0"/>
              <w:autoSpaceDN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新生儿护理</w:t>
            </w:r>
          </w:p>
        </w:tc>
        <w:tc>
          <w:tcPr>
            <w:tcW w:w="8171" w:type="dxa"/>
            <w:tcBorders>
              <w:top w:val="single" w:color="auto" w:sz="8" w:space="0"/>
              <w:left w:val="single" w:color="auto" w:sz="8" w:space="0"/>
              <w:bottom w:val="single" w:color="auto" w:sz="8" w:space="0"/>
              <w:right w:val="single" w:color="auto" w:sz="8" w:space="0"/>
            </w:tcBorders>
            <w:noWrap w:val="0"/>
            <w:vAlign w:val="center"/>
          </w:tcPr>
          <w:p w14:paraId="31B98F75">
            <w:pPr>
              <w:autoSpaceDE w:val="0"/>
              <w:autoSpaceDN w:val="0"/>
              <w:spacing w:line="360" w:lineRule="exact"/>
              <w:ind w:left="240" w:hanging="240" w:hangingChars="100"/>
              <w:jc w:val="left"/>
              <w:rPr>
                <w:rFonts w:hint="eastAsia" w:ascii="仿宋" w:hAnsi="仿宋" w:eastAsia="仿宋" w:cs="仿宋"/>
                <w:sz w:val="24"/>
                <w:szCs w:val="24"/>
              </w:rPr>
            </w:pPr>
            <w:r>
              <w:rPr>
                <w:rFonts w:hint="eastAsia" w:ascii="仿宋" w:hAnsi="仿宋" w:eastAsia="仿宋" w:cs="仿宋"/>
                <w:sz w:val="24"/>
                <w:szCs w:val="24"/>
              </w:rPr>
              <w:t>1.注意观察宝宝：全身皮肤</w:t>
            </w:r>
            <w:r>
              <w:rPr>
                <w:rFonts w:hint="eastAsia" w:ascii="仿宋" w:hAnsi="仿宋" w:eastAsia="仿宋" w:cs="仿宋"/>
                <w:sz w:val="24"/>
                <w:szCs w:val="24"/>
                <w:lang w:val="en-US" w:eastAsia="zh-CN"/>
              </w:rPr>
              <w:t>状态</w:t>
            </w:r>
            <w:r>
              <w:rPr>
                <w:rFonts w:hint="eastAsia" w:ascii="仿宋" w:hAnsi="仿宋" w:eastAsia="仿宋" w:cs="仿宋"/>
                <w:sz w:val="24"/>
                <w:szCs w:val="24"/>
              </w:rPr>
              <w:t>、二便的排泄、生理性黄疸</w:t>
            </w:r>
            <w:r>
              <w:rPr>
                <w:rFonts w:hint="eastAsia" w:ascii="仿宋" w:hAnsi="仿宋" w:eastAsia="仿宋" w:cs="仿宋"/>
                <w:sz w:val="24"/>
                <w:szCs w:val="24"/>
                <w:lang w:eastAsia="zh-CN"/>
              </w:rPr>
              <w:t>、</w:t>
            </w:r>
            <w:r>
              <w:rPr>
                <w:rFonts w:hint="eastAsia" w:ascii="仿宋" w:hAnsi="仿宋" w:eastAsia="仿宋" w:cs="仿宋"/>
                <w:sz w:val="24"/>
                <w:szCs w:val="24"/>
              </w:rPr>
              <w:t>喂养与体重增长的关系、睡眠的规律性，出现异常及时汇报护理人员；</w:t>
            </w:r>
          </w:p>
          <w:p w14:paraId="2B15FD3E">
            <w:pPr>
              <w:autoSpaceDE w:val="0"/>
              <w:autoSpaceDN w:val="0"/>
              <w:spacing w:line="360" w:lineRule="exact"/>
              <w:jc w:val="left"/>
              <w:rPr>
                <w:rFonts w:hint="eastAsia" w:ascii="仿宋" w:hAnsi="仿宋" w:eastAsia="仿宋" w:cs="仿宋"/>
                <w:sz w:val="24"/>
                <w:szCs w:val="24"/>
              </w:rPr>
            </w:pPr>
            <w:r>
              <w:rPr>
                <w:rFonts w:hint="eastAsia" w:ascii="仿宋" w:hAnsi="仿宋" w:eastAsia="仿宋" w:cs="仿宋"/>
                <w:sz w:val="24"/>
                <w:szCs w:val="24"/>
              </w:rPr>
              <w:t>2.新生儿每日眼、耳、鼻、脐部、臀部的护理；</w:t>
            </w:r>
          </w:p>
          <w:p w14:paraId="21E69C11">
            <w:pPr>
              <w:autoSpaceDE w:val="0"/>
              <w:autoSpaceDN w:val="0"/>
              <w:spacing w:line="360" w:lineRule="exact"/>
              <w:jc w:val="left"/>
              <w:rPr>
                <w:rFonts w:hint="eastAsia" w:ascii="仿宋" w:hAnsi="仿宋" w:eastAsia="仿宋" w:cs="仿宋"/>
                <w:sz w:val="24"/>
                <w:szCs w:val="24"/>
              </w:rPr>
            </w:pPr>
            <w:r>
              <w:rPr>
                <w:rFonts w:hint="eastAsia" w:ascii="仿宋" w:hAnsi="仿宋" w:eastAsia="仿宋" w:cs="仿宋"/>
                <w:sz w:val="24"/>
                <w:szCs w:val="24"/>
              </w:rPr>
              <w:t>3.负责奶具的清洁、消毒工作；</w:t>
            </w:r>
          </w:p>
          <w:p w14:paraId="737D176A">
            <w:pPr>
              <w:autoSpaceDE w:val="0"/>
              <w:autoSpaceDN w:val="0"/>
              <w:spacing w:line="360" w:lineRule="exact"/>
              <w:jc w:val="left"/>
              <w:rPr>
                <w:rFonts w:hint="eastAsia" w:ascii="仿宋" w:hAnsi="仿宋" w:eastAsia="仿宋" w:cs="仿宋"/>
                <w:sz w:val="24"/>
                <w:szCs w:val="24"/>
              </w:rPr>
            </w:pPr>
            <w:r>
              <w:rPr>
                <w:rFonts w:hint="eastAsia" w:ascii="仿宋" w:hAnsi="仿宋" w:eastAsia="仿宋" w:cs="仿宋"/>
                <w:sz w:val="24"/>
                <w:szCs w:val="24"/>
              </w:rPr>
              <w:t>4.每天清洗宝宝的衣服及口水巾；定期清洗宝宝床上用品。</w:t>
            </w:r>
          </w:p>
          <w:p w14:paraId="05713839">
            <w:pPr>
              <w:autoSpaceDE w:val="0"/>
              <w:autoSpaceDN w:val="0"/>
              <w:spacing w:line="360" w:lineRule="exact"/>
              <w:ind w:left="240" w:hanging="240" w:hangingChars="100"/>
              <w:jc w:val="left"/>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定期</w:t>
            </w:r>
            <w:r>
              <w:rPr>
                <w:rFonts w:hint="eastAsia" w:ascii="仿宋" w:hAnsi="仿宋" w:eastAsia="仿宋" w:cs="仿宋"/>
                <w:sz w:val="24"/>
                <w:szCs w:val="24"/>
              </w:rPr>
              <w:t>为新生儿洗澡，配合护士进行抚触，脐部消毒2次，及时更换大小便，保持皮肤清洁；</w:t>
            </w:r>
          </w:p>
          <w:p w14:paraId="311003F5">
            <w:pPr>
              <w:autoSpaceDE w:val="0"/>
              <w:autoSpaceDN w:val="0"/>
              <w:spacing w:line="360" w:lineRule="exact"/>
              <w:ind w:left="240" w:hanging="240" w:hangingChars="100"/>
              <w:jc w:val="left"/>
              <w:rPr>
                <w:rFonts w:hint="eastAsia" w:ascii="仿宋" w:hAnsi="仿宋" w:eastAsia="仿宋" w:cs="仿宋"/>
                <w:sz w:val="24"/>
                <w:szCs w:val="24"/>
              </w:rPr>
            </w:pPr>
            <w:r>
              <w:rPr>
                <w:rFonts w:hint="eastAsia" w:ascii="仿宋" w:hAnsi="仿宋" w:eastAsia="仿宋" w:cs="仿宋"/>
                <w:sz w:val="24"/>
                <w:szCs w:val="24"/>
              </w:rPr>
              <w:t>6.24小时照顾新生儿，防止交叉感染做到勤洗手，协助母乳喂养及人工喂养，严格按照要求添奶及加奶。每次喂奶后正确地为婴儿拍嗝，减少溢奶的发生；</w:t>
            </w:r>
          </w:p>
          <w:p w14:paraId="64D6D9A2">
            <w:pPr>
              <w:autoSpaceDE w:val="0"/>
              <w:autoSpaceDN w:val="0"/>
              <w:spacing w:line="360" w:lineRule="exact"/>
              <w:jc w:val="left"/>
              <w:rPr>
                <w:rFonts w:hint="eastAsia" w:ascii="仿宋" w:hAnsi="仿宋" w:eastAsia="仿宋" w:cs="仿宋"/>
                <w:sz w:val="24"/>
                <w:szCs w:val="24"/>
              </w:rPr>
            </w:pPr>
            <w:r>
              <w:rPr>
                <w:rFonts w:hint="eastAsia" w:ascii="仿宋" w:hAnsi="仿宋" w:eastAsia="仿宋" w:cs="仿宋"/>
                <w:sz w:val="24"/>
                <w:szCs w:val="24"/>
              </w:rPr>
              <w:t>7.知晓呛奶的处理流程，发生呛奶现象，立即与护士联系。</w:t>
            </w:r>
          </w:p>
          <w:p w14:paraId="7B41DB0B">
            <w:pPr>
              <w:autoSpaceDE w:val="0"/>
              <w:autoSpaceDN w:val="0"/>
              <w:spacing w:line="360" w:lineRule="exact"/>
              <w:jc w:val="left"/>
              <w:rPr>
                <w:rFonts w:hint="eastAsia" w:ascii="仿宋" w:hAnsi="仿宋" w:eastAsia="仿宋" w:cs="仿宋"/>
                <w:sz w:val="24"/>
                <w:szCs w:val="24"/>
              </w:rPr>
            </w:pPr>
            <w:r>
              <w:rPr>
                <w:rFonts w:hint="eastAsia" w:ascii="仿宋" w:hAnsi="仿宋" w:eastAsia="仿宋" w:cs="仿宋"/>
                <w:sz w:val="24"/>
                <w:szCs w:val="24"/>
              </w:rPr>
              <w:t>8.新生儿黄疸、湿疹、红臀、脐炎、腹泻、便秘的预防及护理；</w:t>
            </w:r>
          </w:p>
          <w:p w14:paraId="2BB65836">
            <w:pPr>
              <w:autoSpaceDE w:val="0"/>
              <w:autoSpaceDN w:val="0"/>
              <w:spacing w:line="360" w:lineRule="exact"/>
              <w:jc w:val="left"/>
              <w:rPr>
                <w:rFonts w:hint="eastAsia" w:ascii="仿宋" w:hAnsi="仿宋" w:eastAsia="仿宋" w:cs="仿宋"/>
                <w:sz w:val="24"/>
                <w:szCs w:val="24"/>
              </w:rPr>
            </w:pPr>
            <w:r>
              <w:rPr>
                <w:rFonts w:hint="eastAsia" w:ascii="仿宋" w:hAnsi="仿宋" w:eastAsia="仿宋" w:cs="仿宋"/>
                <w:sz w:val="24"/>
                <w:szCs w:val="24"/>
              </w:rPr>
              <w:t>9.了解预防接种，能正确护理接种后的宝宝；</w:t>
            </w:r>
          </w:p>
          <w:p w14:paraId="0AD687DF">
            <w:pPr>
              <w:autoSpaceDE w:val="0"/>
              <w:autoSpaceDN w:val="0"/>
              <w:spacing w:line="360" w:lineRule="exact"/>
              <w:jc w:val="left"/>
              <w:rPr>
                <w:rFonts w:hint="eastAsia" w:ascii="仿宋" w:hAnsi="仿宋" w:eastAsia="仿宋" w:cs="仿宋"/>
                <w:sz w:val="24"/>
                <w:szCs w:val="24"/>
              </w:rPr>
            </w:pPr>
            <w:r>
              <w:rPr>
                <w:rFonts w:hint="eastAsia" w:ascii="仿宋" w:hAnsi="仿宋" w:eastAsia="仿宋" w:cs="仿宋"/>
                <w:sz w:val="24"/>
                <w:szCs w:val="24"/>
              </w:rPr>
              <w:t>10.保证婴儿的安全，如有事离开告知产妇及其家属，不让陌生人接触宝宝；</w:t>
            </w:r>
          </w:p>
          <w:p w14:paraId="375F7A5A">
            <w:pPr>
              <w:autoSpaceDE w:val="0"/>
              <w:autoSpaceDN w:val="0"/>
              <w:spacing w:line="360" w:lineRule="exact"/>
              <w:jc w:val="left"/>
              <w:rPr>
                <w:rFonts w:hint="eastAsia" w:ascii="仿宋" w:hAnsi="仿宋" w:eastAsia="仿宋" w:cs="仿宋"/>
                <w:sz w:val="24"/>
                <w:szCs w:val="24"/>
              </w:rPr>
            </w:pPr>
            <w:r>
              <w:rPr>
                <w:rFonts w:hint="eastAsia" w:ascii="仿宋" w:hAnsi="仿宋" w:eastAsia="仿宋" w:cs="仿宋"/>
                <w:sz w:val="24"/>
                <w:szCs w:val="24"/>
              </w:rPr>
              <w:t>11.每天严格执行</w:t>
            </w:r>
            <w:r>
              <w:rPr>
                <w:rFonts w:hint="eastAsia" w:ascii="仿宋" w:hAnsi="仿宋" w:eastAsia="仿宋" w:cs="仿宋"/>
                <w:sz w:val="24"/>
                <w:szCs w:val="24"/>
                <w:lang w:eastAsia="zh-CN"/>
              </w:rPr>
              <w:t>采购人</w:t>
            </w:r>
            <w:r>
              <w:rPr>
                <w:rFonts w:hint="eastAsia" w:ascii="仿宋" w:hAnsi="仿宋" w:eastAsia="仿宋" w:cs="仿宋"/>
                <w:sz w:val="24"/>
                <w:szCs w:val="24"/>
              </w:rPr>
              <w:t>规定做好护理笔记。</w:t>
            </w:r>
          </w:p>
        </w:tc>
      </w:tr>
      <w:tr w14:paraId="29E75531">
        <w:tblPrEx>
          <w:tblCellMar>
            <w:top w:w="0" w:type="dxa"/>
            <w:left w:w="0" w:type="dxa"/>
            <w:bottom w:w="0" w:type="dxa"/>
            <w:right w:w="0" w:type="dxa"/>
          </w:tblCellMar>
        </w:tblPrEx>
        <w:trPr>
          <w:trHeight w:val="2944" w:hRule="atLeast"/>
          <w:jc w:val="center"/>
        </w:trPr>
        <w:tc>
          <w:tcPr>
            <w:tcW w:w="1283" w:type="dxa"/>
            <w:tcBorders>
              <w:top w:val="single" w:color="auto" w:sz="8" w:space="0"/>
              <w:left w:val="single" w:color="auto" w:sz="8" w:space="0"/>
              <w:bottom w:val="single" w:color="auto" w:sz="8" w:space="0"/>
              <w:right w:val="single" w:color="auto" w:sz="8" w:space="0"/>
            </w:tcBorders>
            <w:noWrap w:val="0"/>
            <w:vAlign w:val="center"/>
          </w:tcPr>
          <w:p w14:paraId="7A870A30">
            <w:pPr>
              <w:autoSpaceDE w:val="0"/>
              <w:autoSpaceDN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产妇护理</w:t>
            </w:r>
          </w:p>
        </w:tc>
        <w:tc>
          <w:tcPr>
            <w:tcW w:w="8171" w:type="dxa"/>
            <w:tcBorders>
              <w:top w:val="single" w:color="auto" w:sz="8" w:space="0"/>
              <w:left w:val="single" w:color="auto" w:sz="8" w:space="0"/>
              <w:bottom w:val="single" w:color="auto" w:sz="8" w:space="0"/>
              <w:right w:val="single" w:color="auto" w:sz="8" w:space="0"/>
            </w:tcBorders>
            <w:noWrap w:val="0"/>
            <w:vAlign w:val="center"/>
          </w:tcPr>
          <w:p w14:paraId="54C4B2E6">
            <w:pPr>
              <w:spacing w:line="360" w:lineRule="exact"/>
              <w:jc w:val="left"/>
              <w:outlineLvl w:val="0"/>
              <w:rPr>
                <w:rFonts w:hint="eastAsia" w:ascii="仿宋" w:hAnsi="仿宋" w:eastAsia="仿宋" w:cs="仿宋"/>
                <w:sz w:val="24"/>
                <w:szCs w:val="24"/>
              </w:rPr>
            </w:pPr>
            <w:bookmarkStart w:id="267" w:name="_Toc26190247"/>
            <w:r>
              <w:rPr>
                <w:rFonts w:hint="eastAsia" w:ascii="仿宋" w:hAnsi="仿宋" w:eastAsia="仿宋" w:cs="仿宋"/>
                <w:sz w:val="24"/>
                <w:szCs w:val="24"/>
              </w:rPr>
              <w:t>1.根据产妇需要协助洗头、沐浴、擦身、整理床铺。</w:t>
            </w:r>
            <w:bookmarkEnd w:id="267"/>
          </w:p>
          <w:p w14:paraId="2139635E">
            <w:pPr>
              <w:spacing w:line="360" w:lineRule="exact"/>
              <w:jc w:val="left"/>
              <w:outlineLvl w:val="0"/>
              <w:rPr>
                <w:rFonts w:hint="eastAsia" w:ascii="仿宋" w:hAnsi="仿宋" w:eastAsia="仿宋" w:cs="仿宋"/>
                <w:sz w:val="24"/>
                <w:szCs w:val="24"/>
              </w:rPr>
            </w:pPr>
            <w:bookmarkStart w:id="268" w:name="_Toc26190248"/>
            <w:r>
              <w:rPr>
                <w:rFonts w:hint="eastAsia" w:ascii="仿宋" w:hAnsi="仿宋" w:eastAsia="仿宋" w:cs="仿宋"/>
                <w:sz w:val="24"/>
                <w:szCs w:val="24"/>
              </w:rPr>
              <w:t>2.提供衣物及贴身内衣（根据产妇需要）的清洗服务。</w:t>
            </w:r>
            <w:bookmarkEnd w:id="268"/>
          </w:p>
          <w:p w14:paraId="105CA08D">
            <w:pPr>
              <w:spacing w:line="360" w:lineRule="exact"/>
              <w:ind w:left="240" w:hanging="240" w:hangingChars="100"/>
              <w:jc w:val="left"/>
              <w:outlineLvl w:val="0"/>
              <w:rPr>
                <w:rFonts w:hint="eastAsia" w:ascii="仿宋" w:hAnsi="仿宋" w:eastAsia="仿宋" w:cs="仿宋"/>
                <w:sz w:val="24"/>
                <w:szCs w:val="24"/>
              </w:rPr>
            </w:pPr>
            <w:bookmarkStart w:id="269" w:name="_Toc26190249"/>
            <w:r>
              <w:rPr>
                <w:rFonts w:hint="eastAsia" w:ascii="仿宋" w:hAnsi="仿宋" w:eastAsia="仿宋" w:cs="仿宋"/>
                <w:sz w:val="24"/>
                <w:szCs w:val="24"/>
              </w:rPr>
              <w:t>3.观察产妇</w:t>
            </w:r>
            <w:r>
              <w:rPr>
                <w:rFonts w:hint="eastAsia" w:ascii="仿宋" w:hAnsi="仿宋" w:eastAsia="仿宋" w:cs="仿宋"/>
                <w:sz w:val="24"/>
                <w:szCs w:val="24"/>
                <w:lang w:eastAsia="zh-CN"/>
              </w:rPr>
              <w:t>剖宫产</w:t>
            </w:r>
            <w:r>
              <w:rPr>
                <w:rFonts w:hint="eastAsia" w:ascii="仿宋" w:hAnsi="仿宋" w:eastAsia="仿宋" w:cs="仿宋"/>
                <w:sz w:val="24"/>
                <w:szCs w:val="24"/>
              </w:rPr>
              <w:t>或顺产伤口、产后恢复及恶露情况，发现异常及时汇报护理人员；</w:t>
            </w:r>
            <w:bookmarkEnd w:id="269"/>
          </w:p>
          <w:p w14:paraId="081711EE">
            <w:pPr>
              <w:spacing w:line="360" w:lineRule="exact"/>
              <w:ind w:left="480" w:leftChars="0" w:hanging="480" w:hangingChars="200"/>
              <w:jc w:val="both"/>
              <w:outlineLvl w:val="0"/>
              <w:rPr>
                <w:rFonts w:hint="eastAsia" w:ascii="仿宋" w:hAnsi="仿宋" w:eastAsia="仿宋" w:cs="仿宋"/>
                <w:sz w:val="24"/>
                <w:szCs w:val="24"/>
                <w:lang w:val="en-US" w:eastAsia="zh-CN"/>
              </w:rPr>
            </w:pPr>
            <w:bookmarkStart w:id="270" w:name="_Toc26190250"/>
            <w:r>
              <w:rPr>
                <w:rFonts w:hint="eastAsia" w:ascii="仿宋" w:hAnsi="仿宋" w:eastAsia="仿宋" w:cs="仿宋"/>
                <w:sz w:val="24"/>
                <w:szCs w:val="24"/>
              </w:rPr>
              <w:t>4.具备乳房的护理能力，掌握一定的母乳喂养指导技巧，指导产妇更加科</w:t>
            </w:r>
            <w:r>
              <w:rPr>
                <w:rFonts w:hint="eastAsia" w:ascii="仿宋" w:hAnsi="仿宋" w:eastAsia="仿宋" w:cs="仿宋"/>
                <w:sz w:val="24"/>
                <w:szCs w:val="24"/>
                <w:lang w:val="en-US" w:eastAsia="zh-CN"/>
              </w:rPr>
              <w:t>学地</w:t>
            </w:r>
          </w:p>
          <w:p w14:paraId="0580E9FA">
            <w:pPr>
              <w:spacing w:line="360" w:lineRule="exact"/>
              <w:ind w:left="479" w:leftChars="114" w:hanging="240" w:hangingChars="100"/>
              <w:jc w:val="both"/>
              <w:outlineLvl w:val="0"/>
              <w:rPr>
                <w:rFonts w:hint="eastAsia" w:ascii="仿宋" w:hAnsi="仿宋" w:eastAsia="仿宋" w:cs="仿宋"/>
                <w:sz w:val="24"/>
                <w:szCs w:val="24"/>
              </w:rPr>
            </w:pPr>
            <w:r>
              <w:rPr>
                <w:rFonts w:hint="eastAsia" w:ascii="仿宋" w:hAnsi="仿宋" w:eastAsia="仿宋" w:cs="仿宋"/>
                <w:sz w:val="24"/>
                <w:szCs w:val="24"/>
              </w:rPr>
              <w:t>实现母乳喂养，指导产妇做产后恢复及乳房的保护。</w:t>
            </w:r>
            <w:bookmarkEnd w:id="270"/>
          </w:p>
          <w:p w14:paraId="7B06448B">
            <w:pPr>
              <w:spacing w:line="360" w:lineRule="exact"/>
              <w:jc w:val="left"/>
              <w:outlineLvl w:val="0"/>
              <w:rPr>
                <w:rFonts w:hint="eastAsia" w:ascii="仿宋" w:hAnsi="仿宋" w:eastAsia="仿宋" w:cs="仿宋"/>
                <w:sz w:val="24"/>
                <w:szCs w:val="24"/>
              </w:rPr>
            </w:pPr>
            <w:bookmarkStart w:id="271" w:name="_Toc26190251"/>
            <w:r>
              <w:rPr>
                <w:rFonts w:hint="eastAsia" w:ascii="仿宋" w:hAnsi="仿宋" w:eastAsia="仿宋" w:cs="仿宋"/>
                <w:sz w:val="24"/>
                <w:szCs w:val="24"/>
              </w:rPr>
              <w:t>5.帮助产妇做好哺乳前后的乳房清洁工作及乳房辅助按摩；</w:t>
            </w:r>
            <w:bookmarkEnd w:id="271"/>
          </w:p>
          <w:p w14:paraId="3E24FAB8">
            <w:pPr>
              <w:spacing w:line="360" w:lineRule="exact"/>
              <w:jc w:val="left"/>
              <w:outlineLvl w:val="0"/>
              <w:rPr>
                <w:rFonts w:hint="eastAsia" w:ascii="仿宋" w:hAnsi="仿宋" w:eastAsia="仿宋" w:cs="仿宋"/>
                <w:sz w:val="24"/>
                <w:szCs w:val="24"/>
              </w:rPr>
            </w:pPr>
            <w:bookmarkStart w:id="272" w:name="_Toc26190252"/>
            <w:r>
              <w:rPr>
                <w:rFonts w:hint="eastAsia" w:ascii="仿宋" w:hAnsi="仿宋" w:eastAsia="仿宋" w:cs="仿宋"/>
                <w:sz w:val="24"/>
                <w:szCs w:val="24"/>
              </w:rPr>
              <w:t>6.根据产妇需要，提供喂奶后的肩背按摩服务；</w:t>
            </w:r>
            <w:bookmarkEnd w:id="272"/>
          </w:p>
          <w:p w14:paraId="420FDC05">
            <w:pPr>
              <w:spacing w:line="360" w:lineRule="exact"/>
              <w:ind w:left="240" w:hanging="240" w:hangingChars="100"/>
              <w:jc w:val="left"/>
              <w:outlineLvl w:val="0"/>
              <w:rPr>
                <w:rFonts w:hint="eastAsia" w:ascii="仿宋" w:hAnsi="仿宋" w:eastAsia="仿宋" w:cs="仿宋"/>
                <w:sz w:val="24"/>
                <w:szCs w:val="24"/>
              </w:rPr>
            </w:pPr>
            <w:bookmarkStart w:id="273" w:name="_Toc26190253"/>
            <w:r>
              <w:rPr>
                <w:rFonts w:hint="eastAsia" w:ascii="仿宋" w:hAnsi="仿宋" w:eastAsia="仿宋" w:cs="仿宋"/>
                <w:sz w:val="24"/>
                <w:szCs w:val="24"/>
              </w:rPr>
              <w:t>7.具有一定的沟通能力，关注产妇的情绪，对抑郁症进行疏导，并和产妇及家属和睦相处。</w:t>
            </w:r>
            <w:bookmarkEnd w:id="273"/>
          </w:p>
        </w:tc>
      </w:tr>
    </w:tbl>
    <w:p w14:paraId="51FC6141">
      <w:pPr>
        <w:rPr>
          <w:rFonts w:hint="eastAsia" w:ascii="宋体" w:hAnsi="宋体"/>
          <w:sz w:val="36"/>
          <w:szCs w:val="36"/>
        </w:rPr>
      </w:pPr>
    </w:p>
    <w:p w14:paraId="785C5C27">
      <w:pPr>
        <w:rPr>
          <w:rFonts w:hint="eastAsia" w:ascii="宋体" w:hAnsi="宋体"/>
          <w:sz w:val="36"/>
          <w:szCs w:val="36"/>
        </w:rPr>
      </w:pPr>
      <w:r>
        <w:rPr>
          <w:rFonts w:hint="eastAsia" w:ascii="宋体" w:hAnsi="宋体"/>
          <w:sz w:val="36"/>
          <w:szCs w:val="36"/>
        </w:rPr>
        <w:br w:type="page"/>
      </w:r>
    </w:p>
    <w:p w14:paraId="28407C3F">
      <w:pPr>
        <w:pStyle w:val="2"/>
        <w:jc w:val="center"/>
        <w:rPr>
          <w:rFonts w:ascii="宋体" w:hAnsi="宋体"/>
          <w:sz w:val="36"/>
          <w:szCs w:val="36"/>
        </w:rPr>
      </w:pPr>
      <w:r>
        <w:rPr>
          <w:rFonts w:hint="eastAsia" w:ascii="宋体" w:hAnsi="宋体"/>
          <w:sz w:val="36"/>
          <w:szCs w:val="36"/>
        </w:rPr>
        <w:t>第六章 投标文件格式</w:t>
      </w:r>
      <w:bookmarkEnd w:id="263"/>
      <w:bookmarkEnd w:id="264"/>
      <w:bookmarkEnd w:id="265"/>
      <w:bookmarkEnd w:id="266"/>
    </w:p>
    <w:p w14:paraId="327FF015">
      <w:pPr>
        <w:spacing w:line="360" w:lineRule="auto"/>
        <w:ind w:firstLine="643" w:firstLineChars="200"/>
        <w:jc w:val="center"/>
        <w:rPr>
          <w:rFonts w:ascii="宋体" w:hAnsi="宋体"/>
          <w:b/>
          <w:sz w:val="32"/>
        </w:rPr>
      </w:pPr>
    </w:p>
    <w:p w14:paraId="45B00794">
      <w:pPr>
        <w:spacing w:line="360" w:lineRule="auto"/>
        <w:ind w:firstLine="643" w:firstLineChars="200"/>
        <w:jc w:val="center"/>
        <w:rPr>
          <w:rFonts w:ascii="宋体" w:hAnsi="宋体"/>
          <w:b/>
          <w:sz w:val="32"/>
        </w:rPr>
      </w:pPr>
    </w:p>
    <w:p w14:paraId="5412EF97">
      <w:pPr>
        <w:rPr>
          <w:rFonts w:ascii="宋体" w:hAnsi="宋体"/>
          <w:bCs/>
          <w:sz w:val="36"/>
          <w:szCs w:val="36"/>
        </w:rPr>
      </w:pPr>
      <w:bookmarkStart w:id="274" w:name="_Toc23678"/>
      <w:bookmarkStart w:id="275" w:name="_Hlk479666243"/>
      <w:r>
        <w:rPr>
          <w:rFonts w:hint="eastAsia" w:ascii="宋体" w:hAnsi="宋体"/>
          <w:bCs/>
          <w:sz w:val="36"/>
          <w:szCs w:val="36"/>
        </w:rPr>
        <w:br w:type="page"/>
      </w:r>
    </w:p>
    <w:bookmarkEnd w:id="274"/>
    <w:p w14:paraId="0DD3B2A1">
      <w:pPr>
        <w:jc w:val="center"/>
        <w:rPr>
          <w:b/>
          <w:bCs/>
          <w:sz w:val="72"/>
          <w:szCs w:val="72"/>
        </w:rPr>
      </w:pPr>
      <w:bookmarkStart w:id="276" w:name="_Toc4065"/>
    </w:p>
    <w:p w14:paraId="1053CB39">
      <w:pPr>
        <w:jc w:val="center"/>
        <w:rPr>
          <w:b/>
          <w:bCs/>
          <w:sz w:val="72"/>
          <w:szCs w:val="72"/>
        </w:rPr>
      </w:pPr>
      <w:r>
        <w:rPr>
          <w:rFonts w:hint="eastAsia"/>
          <w:b/>
          <w:bCs/>
          <w:sz w:val="72"/>
          <w:szCs w:val="72"/>
        </w:rPr>
        <w:t>投标文件</w:t>
      </w:r>
      <w:bookmarkEnd w:id="276"/>
    </w:p>
    <w:p w14:paraId="41DDBE47">
      <w:pPr>
        <w:rPr>
          <w:sz w:val="28"/>
          <w:szCs w:val="28"/>
        </w:rPr>
      </w:pPr>
    </w:p>
    <w:p w14:paraId="4E1B007E">
      <w:pPr>
        <w:rPr>
          <w:b/>
          <w:bCs/>
          <w:sz w:val="28"/>
          <w:szCs w:val="28"/>
        </w:rPr>
      </w:pPr>
      <w:r>
        <w:rPr>
          <w:rFonts w:hint="eastAsia"/>
          <w:b/>
          <w:bCs/>
          <w:sz w:val="28"/>
          <w:szCs w:val="28"/>
        </w:rPr>
        <w:t>项目名称：</w:t>
      </w:r>
    </w:p>
    <w:p w14:paraId="26674672">
      <w:pPr>
        <w:rPr>
          <w:b/>
          <w:bCs/>
          <w:sz w:val="28"/>
          <w:szCs w:val="28"/>
        </w:rPr>
      </w:pPr>
      <w:r>
        <w:rPr>
          <w:rFonts w:hint="eastAsia"/>
          <w:b/>
          <w:bCs/>
          <w:sz w:val="28"/>
          <w:szCs w:val="28"/>
        </w:rPr>
        <w:t>采购编号：</w:t>
      </w:r>
    </w:p>
    <w:p w14:paraId="66B80586">
      <w:pPr>
        <w:spacing w:line="360" w:lineRule="auto"/>
        <w:ind w:firstLine="420" w:firstLineChars="200"/>
        <w:rPr>
          <w:rFonts w:ascii="宋体" w:hAnsi="宋体"/>
        </w:rPr>
      </w:pPr>
    </w:p>
    <w:p w14:paraId="66D4FCDB">
      <w:pPr>
        <w:spacing w:line="360" w:lineRule="auto"/>
        <w:ind w:firstLine="420" w:firstLineChars="200"/>
        <w:rPr>
          <w:rFonts w:ascii="宋体" w:hAnsi="宋体"/>
        </w:rPr>
      </w:pPr>
    </w:p>
    <w:p w14:paraId="565DC346">
      <w:pPr>
        <w:spacing w:line="360" w:lineRule="auto"/>
        <w:ind w:firstLine="420" w:firstLineChars="200"/>
        <w:rPr>
          <w:rFonts w:ascii="宋体" w:hAnsi="宋体"/>
        </w:rPr>
      </w:pPr>
    </w:p>
    <w:p w14:paraId="7D5C2E22">
      <w:pPr>
        <w:spacing w:line="360" w:lineRule="auto"/>
        <w:ind w:firstLine="420" w:firstLineChars="200"/>
        <w:rPr>
          <w:rFonts w:ascii="宋体" w:hAnsi="宋体"/>
        </w:rPr>
      </w:pPr>
    </w:p>
    <w:p w14:paraId="37C7F645">
      <w:pPr>
        <w:spacing w:line="360" w:lineRule="auto"/>
        <w:ind w:firstLine="420" w:firstLineChars="200"/>
        <w:rPr>
          <w:rFonts w:ascii="宋体" w:hAnsi="宋体"/>
        </w:rPr>
      </w:pPr>
    </w:p>
    <w:p w14:paraId="7740800C">
      <w:pPr>
        <w:spacing w:line="360" w:lineRule="auto"/>
        <w:ind w:firstLine="420" w:firstLineChars="200"/>
        <w:rPr>
          <w:rFonts w:ascii="宋体" w:hAnsi="宋体"/>
        </w:rPr>
      </w:pPr>
    </w:p>
    <w:p w14:paraId="43FB6B33">
      <w:pPr>
        <w:spacing w:line="360" w:lineRule="auto"/>
        <w:ind w:firstLine="420" w:firstLineChars="200"/>
        <w:rPr>
          <w:rFonts w:ascii="宋体" w:hAnsi="宋体"/>
        </w:rPr>
      </w:pPr>
    </w:p>
    <w:p w14:paraId="7D1D1AA0">
      <w:pPr>
        <w:spacing w:line="360" w:lineRule="auto"/>
        <w:ind w:firstLine="420" w:firstLineChars="200"/>
        <w:rPr>
          <w:rFonts w:ascii="宋体" w:hAnsi="宋体"/>
        </w:rPr>
      </w:pPr>
    </w:p>
    <w:p w14:paraId="3A04FB3A">
      <w:pPr>
        <w:spacing w:line="360" w:lineRule="auto"/>
        <w:ind w:firstLine="420" w:firstLineChars="200"/>
        <w:rPr>
          <w:rFonts w:ascii="宋体" w:hAnsi="宋体"/>
        </w:rPr>
      </w:pPr>
    </w:p>
    <w:p w14:paraId="11016347">
      <w:pPr>
        <w:spacing w:line="360" w:lineRule="auto"/>
        <w:ind w:firstLine="420" w:firstLineChars="200"/>
        <w:rPr>
          <w:rFonts w:ascii="宋体" w:hAnsi="宋体"/>
        </w:rPr>
      </w:pPr>
    </w:p>
    <w:p w14:paraId="36320806">
      <w:pPr>
        <w:spacing w:line="360" w:lineRule="auto"/>
        <w:ind w:firstLine="420" w:firstLineChars="200"/>
        <w:rPr>
          <w:rFonts w:ascii="宋体" w:hAnsi="宋体"/>
        </w:rPr>
      </w:pPr>
    </w:p>
    <w:bookmarkEnd w:id="275"/>
    <w:p w14:paraId="7522F602">
      <w:pPr>
        <w:rPr>
          <w:b/>
          <w:bCs/>
          <w:sz w:val="28"/>
          <w:szCs w:val="28"/>
        </w:rPr>
      </w:pPr>
      <w:bookmarkStart w:id="277" w:name="_Toc2992"/>
      <w:bookmarkStart w:id="278" w:name="_Toc410113764"/>
      <w:bookmarkStart w:id="279" w:name="_Toc410113696"/>
      <w:bookmarkStart w:id="280" w:name="_Toc184635137"/>
      <w:r>
        <w:rPr>
          <w:rFonts w:hint="eastAsia"/>
          <w:b/>
          <w:bCs/>
          <w:sz w:val="28"/>
          <w:szCs w:val="28"/>
        </w:rPr>
        <w:t>投标单位（企业电子签章） ：</w:t>
      </w:r>
      <w:bookmarkEnd w:id="277"/>
    </w:p>
    <w:p w14:paraId="2EE16D09">
      <w:pPr>
        <w:rPr>
          <w:b/>
          <w:bCs/>
          <w:sz w:val="28"/>
          <w:szCs w:val="28"/>
        </w:rPr>
      </w:pPr>
      <w:bookmarkStart w:id="281" w:name="_Toc3855"/>
      <w:r>
        <w:rPr>
          <w:rFonts w:hint="eastAsia"/>
          <w:b/>
          <w:bCs/>
          <w:sz w:val="28"/>
          <w:szCs w:val="28"/>
        </w:rPr>
        <w:t>法定代表人（电子签章）：</w:t>
      </w:r>
      <w:bookmarkEnd w:id="281"/>
    </w:p>
    <w:p w14:paraId="125E6038">
      <w:pPr>
        <w:rPr>
          <w:b/>
          <w:bCs/>
          <w:sz w:val="28"/>
          <w:szCs w:val="28"/>
        </w:rPr>
      </w:pPr>
      <w:bookmarkStart w:id="282" w:name="_Toc13949"/>
      <w:r>
        <w:rPr>
          <w:rFonts w:hint="eastAsia"/>
          <w:b/>
          <w:bCs/>
          <w:sz w:val="28"/>
          <w:szCs w:val="28"/>
        </w:rPr>
        <w:t>日    期：</w:t>
      </w:r>
      <w:bookmarkEnd w:id="282"/>
    </w:p>
    <w:p w14:paraId="04936A80">
      <w:pPr>
        <w:spacing w:line="360" w:lineRule="auto"/>
        <w:jc w:val="center"/>
        <w:rPr>
          <w:rFonts w:ascii="宋体" w:hAnsi="宋体"/>
          <w:sz w:val="28"/>
        </w:rPr>
      </w:pPr>
    </w:p>
    <w:p w14:paraId="035B2FB3">
      <w:pPr>
        <w:pStyle w:val="4"/>
        <w:jc w:val="center"/>
        <w:rPr>
          <w:rFonts w:ascii="宋体" w:hAnsi="宋体"/>
        </w:rPr>
      </w:pPr>
      <w:r>
        <w:rPr>
          <w:rFonts w:ascii="宋体" w:hAnsi="宋体"/>
          <w:sz w:val="28"/>
        </w:rPr>
        <w:br w:type="page"/>
      </w:r>
      <w:bookmarkEnd w:id="278"/>
      <w:bookmarkEnd w:id="279"/>
      <w:bookmarkEnd w:id="280"/>
      <w:bookmarkStart w:id="283" w:name="_Toc10692"/>
      <w:bookmarkStart w:id="284" w:name="_Toc184635138"/>
      <w:bookmarkStart w:id="285" w:name="_Toc4743"/>
      <w:bookmarkStart w:id="286" w:name="_Toc10620090"/>
      <w:bookmarkStart w:id="287" w:name="_Toc410113765"/>
      <w:r>
        <w:rPr>
          <w:rFonts w:hint="eastAsia" w:ascii="宋体" w:hAnsi="宋体"/>
          <w:sz w:val="32"/>
          <w:szCs w:val="22"/>
        </w:rPr>
        <w:t>一、投标函及投标函附录</w:t>
      </w:r>
      <w:bookmarkEnd w:id="283"/>
      <w:bookmarkEnd w:id="284"/>
      <w:bookmarkEnd w:id="285"/>
      <w:bookmarkEnd w:id="286"/>
      <w:bookmarkEnd w:id="287"/>
    </w:p>
    <w:p w14:paraId="3285FE12">
      <w:pPr>
        <w:pStyle w:val="4"/>
        <w:jc w:val="center"/>
        <w:rPr>
          <w:rFonts w:ascii="宋体" w:hAnsi="宋体"/>
        </w:rPr>
      </w:pPr>
      <w:bookmarkStart w:id="288" w:name="_Toc10523"/>
      <w:bookmarkStart w:id="289" w:name="_Toc15879"/>
      <w:bookmarkStart w:id="290" w:name="_Toc11912"/>
      <w:bookmarkStart w:id="291" w:name="_Toc26449"/>
      <w:bookmarkStart w:id="292" w:name="_Toc10620091"/>
      <w:r>
        <w:rPr>
          <w:rFonts w:hint="eastAsia" w:ascii="宋体" w:hAnsi="宋体"/>
        </w:rPr>
        <w:t>（一）投标函</w:t>
      </w:r>
      <w:bookmarkEnd w:id="288"/>
      <w:bookmarkEnd w:id="289"/>
      <w:bookmarkEnd w:id="290"/>
      <w:bookmarkEnd w:id="291"/>
      <w:bookmarkEnd w:id="292"/>
    </w:p>
    <w:p w14:paraId="4528FF85">
      <w:pPr>
        <w:spacing w:line="360" w:lineRule="auto"/>
        <w:ind w:firstLine="420" w:firstLineChars="200"/>
        <w:rPr>
          <w:rFonts w:ascii="宋体" w:hAnsi="宋体"/>
        </w:rPr>
      </w:pPr>
    </w:p>
    <w:p w14:paraId="66C44DAC">
      <w:pPr>
        <w:spacing w:line="360" w:lineRule="auto"/>
        <w:rPr>
          <w:rFonts w:ascii="宋体" w:hAnsi="宋体"/>
          <w:szCs w:val="21"/>
        </w:rPr>
      </w:pPr>
      <w:r>
        <w:rPr>
          <w:rFonts w:hint="eastAsia" w:ascii="宋体" w:hAnsi="宋体" w:cs="宋体"/>
          <w:bCs/>
          <w:szCs w:val="21"/>
          <w:u w:val="single"/>
        </w:rPr>
        <w:t xml:space="preserve">（采购人名称）          </w:t>
      </w:r>
      <w:r>
        <w:rPr>
          <w:rFonts w:hint="eastAsia" w:ascii="宋体" w:hAnsi="宋体"/>
          <w:szCs w:val="21"/>
          <w:u w:val="single"/>
        </w:rPr>
        <w:t>:</w:t>
      </w:r>
    </w:p>
    <w:p w14:paraId="21172DAE">
      <w:pPr>
        <w:spacing w:line="480" w:lineRule="auto"/>
        <w:ind w:firstLine="420" w:firstLineChars="200"/>
        <w:rPr>
          <w:rFonts w:ascii="宋体" w:hAnsi="宋体"/>
          <w:szCs w:val="21"/>
        </w:rPr>
      </w:pPr>
      <w:r>
        <w:rPr>
          <w:rFonts w:hint="eastAsia" w:ascii="宋体" w:hAnsi="宋体"/>
          <w:szCs w:val="21"/>
        </w:rPr>
        <w:t>1.我方己仔细研究了</w:t>
      </w:r>
      <w:r>
        <w:rPr>
          <w:rFonts w:hint="eastAsia" w:ascii="宋体" w:hAnsi="宋体"/>
          <w:szCs w:val="21"/>
          <w:u w:val="single"/>
        </w:rPr>
        <w:t>（项目</w:t>
      </w:r>
      <w:r>
        <w:rPr>
          <w:rFonts w:ascii="宋体" w:hAnsi="宋体"/>
          <w:szCs w:val="21"/>
          <w:u w:val="single"/>
        </w:rPr>
        <w:t>名称</w:t>
      </w:r>
      <w:r>
        <w:rPr>
          <w:rFonts w:hint="eastAsia" w:ascii="宋体" w:hAnsi="宋体"/>
          <w:szCs w:val="21"/>
          <w:u w:val="single"/>
        </w:rPr>
        <w:t xml:space="preserve">）      </w:t>
      </w:r>
      <w:r>
        <w:rPr>
          <w:rFonts w:hint="eastAsia" w:ascii="宋体" w:hAnsi="宋体"/>
          <w:szCs w:val="21"/>
        </w:rPr>
        <w:t>招标文件的全部内容，针对该项目的投标总报价为人民币（大写）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（姓名）       </w:t>
      </w:r>
      <w:r>
        <w:rPr>
          <w:rFonts w:hint="eastAsia" w:ascii="宋体" w:hAnsi="宋体"/>
          <w:szCs w:val="21"/>
        </w:rPr>
        <w:t>经正式授权并代表投标人</w:t>
      </w:r>
      <w:r>
        <w:rPr>
          <w:rFonts w:hint="eastAsia" w:ascii="宋体" w:hAnsi="宋体"/>
          <w:szCs w:val="21"/>
          <w:u w:val="single"/>
        </w:rPr>
        <w:t xml:space="preserve">（投标人名称、地址）        </w:t>
      </w:r>
      <w:r>
        <w:rPr>
          <w:rFonts w:hint="eastAsia" w:ascii="宋体" w:hAnsi="宋体"/>
          <w:szCs w:val="21"/>
        </w:rPr>
        <w:t>，提交招标文件要求的全套投标文件。</w:t>
      </w:r>
    </w:p>
    <w:p w14:paraId="35DA5194">
      <w:pPr>
        <w:spacing w:line="480" w:lineRule="auto"/>
        <w:ind w:firstLine="420" w:firstLineChars="200"/>
        <w:rPr>
          <w:rFonts w:ascii="宋体" w:hAnsi="宋体"/>
          <w:szCs w:val="21"/>
        </w:rPr>
      </w:pPr>
      <w:r>
        <w:rPr>
          <w:rFonts w:hint="eastAsia" w:ascii="宋体" w:hAnsi="宋体"/>
          <w:szCs w:val="21"/>
        </w:rPr>
        <w:t>2．我方承诺在投标有效期内不修改、撤销投标文件。</w:t>
      </w:r>
    </w:p>
    <w:p w14:paraId="2F242E7E">
      <w:pPr>
        <w:spacing w:line="480" w:lineRule="auto"/>
        <w:ind w:firstLine="420" w:firstLineChars="200"/>
        <w:rPr>
          <w:rFonts w:ascii="宋体" w:hAnsi="宋体"/>
          <w:szCs w:val="21"/>
        </w:rPr>
      </w:pPr>
      <w:r>
        <w:rPr>
          <w:rFonts w:hint="eastAsia" w:ascii="宋体" w:hAnsi="宋体"/>
          <w:szCs w:val="21"/>
        </w:rPr>
        <w:t>3．如我方中标：</w:t>
      </w:r>
    </w:p>
    <w:p w14:paraId="22CA669C">
      <w:pPr>
        <w:spacing w:line="480" w:lineRule="auto"/>
        <w:ind w:firstLine="420" w:firstLineChars="200"/>
        <w:rPr>
          <w:rFonts w:ascii="宋体" w:hAnsi="宋体"/>
          <w:szCs w:val="21"/>
        </w:rPr>
      </w:pPr>
      <w:r>
        <w:rPr>
          <w:rFonts w:hint="eastAsia" w:ascii="宋体" w:hAnsi="宋体"/>
          <w:szCs w:val="21"/>
        </w:rPr>
        <w:t>(l）我方承诺在收到中标通知书后，在中标通知书规定的期限内与你方签订合同。</w:t>
      </w:r>
    </w:p>
    <w:p w14:paraId="732AB93C">
      <w:pPr>
        <w:spacing w:line="480" w:lineRule="auto"/>
        <w:ind w:firstLine="420" w:firstLineChars="200"/>
        <w:rPr>
          <w:rFonts w:ascii="宋体" w:hAnsi="宋体"/>
          <w:szCs w:val="21"/>
        </w:rPr>
      </w:pPr>
      <w:r>
        <w:rPr>
          <w:rFonts w:hint="eastAsia" w:ascii="宋体" w:hAnsi="宋体"/>
          <w:szCs w:val="21"/>
        </w:rPr>
        <w:t>(2）随同本投标函递交的投标函附录属于合同文件的组成部分。</w:t>
      </w:r>
    </w:p>
    <w:p w14:paraId="20610051">
      <w:pPr>
        <w:spacing w:line="480" w:lineRule="auto"/>
        <w:ind w:firstLine="420" w:firstLineChars="200"/>
        <w:rPr>
          <w:rFonts w:ascii="宋体" w:hAnsi="宋体"/>
          <w:szCs w:val="21"/>
        </w:rPr>
      </w:pPr>
      <w:r>
        <w:rPr>
          <w:rFonts w:hint="eastAsia" w:ascii="宋体" w:hAnsi="宋体"/>
          <w:szCs w:val="21"/>
        </w:rPr>
        <w:t>(3）我方承诺按照招标文件规定向你方递交履约担保。</w:t>
      </w:r>
    </w:p>
    <w:p w14:paraId="5E8EF7B2">
      <w:pPr>
        <w:spacing w:line="480" w:lineRule="auto"/>
        <w:ind w:firstLine="420" w:firstLineChars="200"/>
        <w:rPr>
          <w:rFonts w:ascii="宋体" w:hAnsi="宋体"/>
          <w:szCs w:val="21"/>
        </w:rPr>
      </w:pPr>
      <w:r>
        <w:rPr>
          <w:rFonts w:hint="eastAsia" w:ascii="宋体" w:hAnsi="宋体"/>
          <w:szCs w:val="21"/>
        </w:rPr>
        <w:t>(4）我方承诺在合同约定的期限内完成合同约定内容。</w:t>
      </w:r>
    </w:p>
    <w:p w14:paraId="35A456F3">
      <w:pPr>
        <w:spacing w:line="480" w:lineRule="auto"/>
        <w:ind w:firstLine="420" w:firstLineChars="200"/>
        <w:rPr>
          <w:rFonts w:ascii="宋体" w:hAnsi="宋体"/>
          <w:szCs w:val="21"/>
        </w:rPr>
      </w:pPr>
      <w:r>
        <w:rPr>
          <w:rFonts w:hint="eastAsia" w:ascii="宋体" w:hAnsi="宋体"/>
          <w:szCs w:val="21"/>
        </w:rPr>
        <w:t>(5）我方承诺按招标文件载明的金额向代理机构支付招标服务费</w:t>
      </w:r>
    </w:p>
    <w:p w14:paraId="48E7E31E">
      <w:pPr>
        <w:spacing w:line="48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szCs w:val="21"/>
        </w:rPr>
        <w:t>4．我方在此声明，所递交的投标文件及有关资料内容完整、真实和准确</w:t>
      </w:r>
    </w:p>
    <w:p w14:paraId="64B163B0">
      <w:pPr>
        <w:spacing w:line="480" w:lineRule="auto"/>
        <w:ind w:firstLine="420" w:firstLineChars="200"/>
        <w:rPr>
          <w:rFonts w:ascii="宋体" w:hAnsi="宋体"/>
          <w:szCs w:val="21"/>
        </w:rPr>
      </w:pPr>
      <w:r>
        <w:rPr>
          <w:rFonts w:hint="eastAsia" w:ascii="宋体" w:hAnsi="宋体"/>
          <w:szCs w:val="21"/>
        </w:rPr>
        <w:t>5.</w:t>
      </w:r>
      <w:r>
        <w:rPr>
          <w:rFonts w:hint="eastAsia" w:ascii="宋体" w:hAnsi="宋体"/>
          <w:szCs w:val="21"/>
          <w:u w:val="single"/>
        </w:rPr>
        <w:t xml:space="preserve">                    (其他补充说明)。</w:t>
      </w:r>
    </w:p>
    <w:p w14:paraId="5E690EB2">
      <w:pPr>
        <w:pStyle w:val="4"/>
        <w:numPr>
          <w:ilvl w:val="0"/>
          <w:numId w:val="3"/>
        </w:numPr>
        <w:jc w:val="center"/>
        <w:rPr>
          <w:rFonts w:ascii="宋体" w:hAnsi="宋体"/>
          <w:sz w:val="30"/>
        </w:rPr>
      </w:pPr>
      <w:bookmarkStart w:id="293" w:name="_Toc16483"/>
      <w:bookmarkStart w:id="294" w:name="_Toc2792"/>
      <w:bookmarkStart w:id="295" w:name="_Toc9997"/>
      <w:r>
        <w:rPr>
          <w:rFonts w:ascii="宋体" w:hAnsi="宋体"/>
          <w:b w:val="0"/>
          <w:sz w:val="21"/>
        </w:rPr>
        <w:br w:type="page"/>
      </w:r>
      <w:bookmarkStart w:id="296" w:name="_Toc30945"/>
      <w:bookmarkStart w:id="297" w:name="_Toc10620092"/>
      <w:r>
        <w:rPr>
          <w:rFonts w:hint="eastAsia" w:ascii="宋体" w:hAnsi="宋体"/>
          <w:sz w:val="30"/>
        </w:rPr>
        <w:t>投标函附录</w:t>
      </w:r>
      <w:bookmarkEnd w:id="293"/>
      <w:bookmarkEnd w:id="294"/>
      <w:bookmarkEnd w:id="295"/>
      <w:bookmarkEnd w:id="296"/>
      <w:bookmarkEnd w:id="297"/>
    </w:p>
    <w:tbl>
      <w:tblPr>
        <w:tblStyle w:val="18"/>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7166"/>
      </w:tblGrid>
      <w:tr w14:paraId="32A3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14:paraId="0307902E">
            <w:pPr>
              <w:autoSpaceDE w:val="0"/>
              <w:autoSpaceDN w:val="0"/>
              <w:adjustRightInd w:val="0"/>
              <w:jc w:val="center"/>
              <w:rPr>
                <w:rFonts w:hint="eastAsia" w:ascii="宋体" w:hAnsi="宋体" w:eastAsia="宋体" w:cs="Calibri"/>
                <w:szCs w:val="21"/>
                <w:lang w:eastAsia="zh-CN"/>
              </w:rPr>
            </w:pPr>
            <w:bookmarkStart w:id="298" w:name="_Toc410113766"/>
            <w:bookmarkStart w:id="299" w:name="_Toc184635139"/>
            <w:r>
              <w:rPr>
                <w:rFonts w:hint="eastAsia" w:ascii="宋体" w:hAnsi="宋体" w:cs="Calibri"/>
                <w:szCs w:val="21"/>
              </w:rPr>
              <w:t>项目名称</w:t>
            </w:r>
          </w:p>
        </w:tc>
        <w:tc>
          <w:tcPr>
            <w:tcW w:w="7166" w:type="dxa"/>
            <w:tcBorders>
              <w:top w:val="single" w:color="auto" w:sz="4" w:space="0"/>
              <w:left w:val="nil"/>
              <w:bottom w:val="single" w:color="auto" w:sz="4" w:space="0"/>
              <w:right w:val="single" w:color="auto" w:sz="4" w:space="0"/>
            </w:tcBorders>
            <w:vAlign w:val="center"/>
          </w:tcPr>
          <w:p w14:paraId="1FDFFF7B">
            <w:pPr>
              <w:autoSpaceDE w:val="0"/>
              <w:autoSpaceDN w:val="0"/>
              <w:adjustRightInd w:val="0"/>
              <w:jc w:val="center"/>
              <w:rPr>
                <w:rFonts w:hint="default" w:ascii="宋体" w:hAnsi="宋体" w:eastAsia="宋体" w:cs="Calibri"/>
                <w:szCs w:val="21"/>
                <w:lang w:val="en-US" w:eastAsia="zh-CN"/>
              </w:rPr>
            </w:pPr>
            <w:r>
              <w:rPr>
                <w:rFonts w:hint="eastAsia" w:ascii="宋体" w:hAnsi="宋体" w:cs="Calibri"/>
                <w:szCs w:val="21"/>
                <w:lang w:eastAsia="zh-CN"/>
              </w:rPr>
              <w:t>平顶山市妇幼保健院母婴中心服务项目</w:t>
            </w:r>
          </w:p>
        </w:tc>
      </w:tr>
      <w:tr w14:paraId="0ACC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94" w:type="dxa"/>
            <w:vMerge w:val="restart"/>
            <w:tcBorders>
              <w:top w:val="nil"/>
              <w:left w:val="single" w:color="auto" w:sz="4" w:space="0"/>
              <w:bottom w:val="single" w:color="auto" w:sz="4" w:space="0"/>
              <w:right w:val="single" w:color="auto" w:sz="4" w:space="0"/>
            </w:tcBorders>
            <w:vAlign w:val="center"/>
          </w:tcPr>
          <w:p w14:paraId="3ACB033D">
            <w:pPr>
              <w:autoSpaceDE w:val="0"/>
              <w:autoSpaceDN w:val="0"/>
              <w:adjustRightInd w:val="0"/>
              <w:jc w:val="center"/>
              <w:rPr>
                <w:rFonts w:ascii="宋体" w:hAnsi="宋体" w:cs="Calibri"/>
                <w:szCs w:val="21"/>
                <w:u w:val="single"/>
              </w:rPr>
            </w:pPr>
            <w:r>
              <w:rPr>
                <w:rFonts w:hint="eastAsia" w:ascii="宋体" w:hAnsi="宋体" w:cs="Calibri"/>
                <w:szCs w:val="21"/>
              </w:rPr>
              <w:t>投标总报价</w:t>
            </w:r>
          </w:p>
        </w:tc>
        <w:tc>
          <w:tcPr>
            <w:tcW w:w="7166" w:type="dxa"/>
            <w:tcBorders>
              <w:top w:val="single" w:color="auto" w:sz="4" w:space="0"/>
              <w:left w:val="nil"/>
              <w:bottom w:val="single" w:color="auto" w:sz="4" w:space="0"/>
              <w:right w:val="single" w:color="auto" w:sz="4" w:space="0"/>
            </w:tcBorders>
            <w:vAlign w:val="center"/>
          </w:tcPr>
          <w:p w14:paraId="27EED7BB">
            <w:pPr>
              <w:autoSpaceDE w:val="0"/>
              <w:autoSpaceDN w:val="0"/>
              <w:adjustRightInd w:val="0"/>
              <w:spacing w:line="360" w:lineRule="auto"/>
              <w:rPr>
                <w:rFonts w:ascii="宋体" w:hAnsi="宋体" w:cs="Calibri"/>
                <w:b/>
                <w:bCs/>
                <w:szCs w:val="21"/>
              </w:rPr>
            </w:pPr>
            <w:r>
              <w:rPr>
                <w:rFonts w:hint="eastAsia" w:ascii="宋体" w:hAnsi="宋体" w:cs="Calibri"/>
                <w:szCs w:val="21"/>
              </w:rPr>
              <w:t>人民币（大写）</w:t>
            </w:r>
          </w:p>
        </w:tc>
      </w:tr>
      <w:tr w14:paraId="4F80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94" w:type="dxa"/>
            <w:vMerge w:val="continue"/>
            <w:tcBorders>
              <w:top w:val="nil"/>
              <w:left w:val="single" w:color="auto" w:sz="4" w:space="0"/>
              <w:bottom w:val="single" w:color="auto" w:sz="4" w:space="0"/>
              <w:right w:val="single" w:color="auto" w:sz="4" w:space="0"/>
            </w:tcBorders>
            <w:vAlign w:val="center"/>
          </w:tcPr>
          <w:p w14:paraId="01588766">
            <w:pPr>
              <w:widowControl/>
              <w:jc w:val="left"/>
              <w:rPr>
                <w:rFonts w:ascii="宋体" w:hAnsi="宋体" w:cs="Calibri"/>
                <w:szCs w:val="21"/>
                <w:u w:val="single"/>
              </w:rPr>
            </w:pPr>
          </w:p>
        </w:tc>
        <w:tc>
          <w:tcPr>
            <w:tcW w:w="7166" w:type="dxa"/>
            <w:tcBorders>
              <w:top w:val="single" w:color="auto" w:sz="4" w:space="0"/>
              <w:left w:val="nil"/>
              <w:bottom w:val="single" w:color="auto" w:sz="4" w:space="0"/>
              <w:right w:val="single" w:color="auto" w:sz="4" w:space="0"/>
            </w:tcBorders>
            <w:vAlign w:val="center"/>
          </w:tcPr>
          <w:p w14:paraId="6765A584">
            <w:pPr>
              <w:autoSpaceDE w:val="0"/>
              <w:autoSpaceDN w:val="0"/>
              <w:adjustRightInd w:val="0"/>
              <w:spacing w:line="360" w:lineRule="auto"/>
              <w:rPr>
                <w:rFonts w:ascii="宋体" w:hAnsi="宋体" w:cs="Calibri"/>
                <w:szCs w:val="21"/>
              </w:rPr>
            </w:pPr>
            <w:r>
              <w:rPr>
                <w:rFonts w:hint="eastAsia" w:ascii="宋体" w:hAnsi="宋体" w:cs="Calibri"/>
                <w:szCs w:val="21"/>
              </w:rPr>
              <w:t>￥</w:t>
            </w:r>
          </w:p>
        </w:tc>
      </w:tr>
      <w:tr w14:paraId="077F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14:paraId="1E17BCAD">
            <w:pPr>
              <w:autoSpaceDE w:val="0"/>
              <w:autoSpaceDN w:val="0"/>
              <w:adjustRightInd w:val="0"/>
              <w:jc w:val="center"/>
              <w:rPr>
                <w:rFonts w:hint="eastAsia" w:ascii="宋体" w:hAnsi="宋体" w:eastAsia="宋体" w:cs="Calibri"/>
                <w:b/>
                <w:bCs/>
                <w:kern w:val="0"/>
                <w:szCs w:val="21"/>
                <w:lang w:eastAsia="zh-CN"/>
              </w:rPr>
            </w:pPr>
            <w:r>
              <w:rPr>
                <w:rFonts w:hint="eastAsia" w:ascii="宋体" w:hAnsi="宋体" w:cs="Calibri"/>
                <w:szCs w:val="21"/>
                <w:lang w:eastAsia="zh-CN"/>
              </w:rPr>
              <w:t>服务地点</w:t>
            </w:r>
          </w:p>
        </w:tc>
        <w:tc>
          <w:tcPr>
            <w:tcW w:w="7166" w:type="dxa"/>
            <w:tcBorders>
              <w:top w:val="single" w:color="auto" w:sz="4" w:space="0"/>
              <w:left w:val="nil"/>
              <w:bottom w:val="single" w:color="auto" w:sz="4" w:space="0"/>
              <w:right w:val="single" w:color="auto" w:sz="4" w:space="0"/>
            </w:tcBorders>
            <w:vAlign w:val="center"/>
          </w:tcPr>
          <w:p w14:paraId="34870B51">
            <w:pPr>
              <w:autoSpaceDE w:val="0"/>
              <w:autoSpaceDN w:val="0"/>
              <w:adjustRightInd w:val="0"/>
              <w:jc w:val="left"/>
              <w:rPr>
                <w:rFonts w:ascii="宋体" w:hAnsi="宋体" w:cs="Calibri"/>
                <w:szCs w:val="21"/>
              </w:rPr>
            </w:pPr>
          </w:p>
        </w:tc>
      </w:tr>
      <w:tr w14:paraId="75DC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14:paraId="772BC827">
            <w:pPr>
              <w:autoSpaceDE w:val="0"/>
              <w:autoSpaceDN w:val="0"/>
              <w:adjustRightInd w:val="0"/>
              <w:jc w:val="center"/>
              <w:rPr>
                <w:rFonts w:hint="eastAsia" w:ascii="宋体" w:hAnsi="宋体" w:eastAsia="宋体" w:cs="Calibri"/>
                <w:b/>
                <w:bCs/>
                <w:kern w:val="0"/>
                <w:szCs w:val="21"/>
                <w:lang w:eastAsia="zh-CN"/>
              </w:rPr>
            </w:pPr>
            <w:r>
              <w:rPr>
                <w:rFonts w:hint="eastAsia" w:ascii="宋体" w:hAnsi="宋体" w:cs="Calibri"/>
                <w:szCs w:val="21"/>
                <w:lang w:eastAsia="zh-CN"/>
              </w:rPr>
              <w:t>服务期限</w:t>
            </w:r>
          </w:p>
        </w:tc>
        <w:tc>
          <w:tcPr>
            <w:tcW w:w="7166" w:type="dxa"/>
            <w:tcBorders>
              <w:top w:val="single" w:color="auto" w:sz="4" w:space="0"/>
              <w:left w:val="nil"/>
              <w:bottom w:val="single" w:color="auto" w:sz="4" w:space="0"/>
              <w:right w:val="single" w:color="auto" w:sz="4" w:space="0"/>
            </w:tcBorders>
            <w:vAlign w:val="center"/>
          </w:tcPr>
          <w:p w14:paraId="7C75F923">
            <w:pPr>
              <w:autoSpaceDE w:val="0"/>
              <w:autoSpaceDN w:val="0"/>
              <w:adjustRightInd w:val="0"/>
              <w:rPr>
                <w:rFonts w:ascii="宋体" w:hAnsi="宋体" w:cs="Calibri"/>
                <w:szCs w:val="21"/>
              </w:rPr>
            </w:pPr>
          </w:p>
        </w:tc>
      </w:tr>
      <w:tr w14:paraId="5B13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14:paraId="73F818E7">
            <w:pPr>
              <w:autoSpaceDE w:val="0"/>
              <w:autoSpaceDN w:val="0"/>
              <w:adjustRightInd w:val="0"/>
              <w:jc w:val="center"/>
              <w:rPr>
                <w:rFonts w:hint="eastAsia" w:ascii="宋体" w:hAnsi="宋体" w:eastAsia="宋体" w:cs="Calibri"/>
                <w:szCs w:val="21"/>
                <w:lang w:eastAsia="zh-CN"/>
              </w:rPr>
            </w:pPr>
            <w:r>
              <w:rPr>
                <w:rFonts w:hint="eastAsia" w:ascii="宋体" w:hAnsi="宋体" w:cs="Calibri"/>
                <w:szCs w:val="21"/>
                <w:lang w:eastAsia="zh-CN"/>
              </w:rPr>
              <w:t>服务质量</w:t>
            </w:r>
          </w:p>
        </w:tc>
        <w:tc>
          <w:tcPr>
            <w:tcW w:w="7166" w:type="dxa"/>
            <w:tcBorders>
              <w:top w:val="single" w:color="auto" w:sz="4" w:space="0"/>
              <w:left w:val="nil"/>
              <w:bottom w:val="single" w:color="auto" w:sz="4" w:space="0"/>
              <w:right w:val="single" w:color="auto" w:sz="4" w:space="0"/>
            </w:tcBorders>
            <w:vAlign w:val="center"/>
          </w:tcPr>
          <w:p w14:paraId="3EBA0763">
            <w:pPr>
              <w:autoSpaceDE w:val="0"/>
              <w:autoSpaceDN w:val="0"/>
              <w:adjustRightInd w:val="0"/>
              <w:rPr>
                <w:rFonts w:ascii="宋体" w:hAnsi="宋体" w:cs="Calibri"/>
                <w:szCs w:val="21"/>
              </w:rPr>
            </w:pPr>
          </w:p>
        </w:tc>
      </w:tr>
      <w:tr w14:paraId="1386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14:paraId="551765EA">
            <w:pPr>
              <w:autoSpaceDE w:val="0"/>
              <w:autoSpaceDN w:val="0"/>
              <w:adjustRightInd w:val="0"/>
              <w:jc w:val="center"/>
              <w:rPr>
                <w:rFonts w:ascii="宋体" w:hAnsi="宋体" w:cs="Calibri"/>
                <w:szCs w:val="21"/>
              </w:rPr>
            </w:pPr>
            <w:r>
              <w:rPr>
                <w:rFonts w:hint="eastAsia" w:ascii="宋体" w:hAnsi="宋体" w:cs="Calibri"/>
                <w:szCs w:val="21"/>
              </w:rPr>
              <w:t>投标有效期</w:t>
            </w:r>
          </w:p>
        </w:tc>
        <w:tc>
          <w:tcPr>
            <w:tcW w:w="7166" w:type="dxa"/>
            <w:tcBorders>
              <w:top w:val="single" w:color="auto" w:sz="4" w:space="0"/>
              <w:left w:val="nil"/>
              <w:bottom w:val="single" w:color="auto" w:sz="4" w:space="0"/>
              <w:right w:val="single" w:color="auto" w:sz="4" w:space="0"/>
            </w:tcBorders>
            <w:vAlign w:val="center"/>
          </w:tcPr>
          <w:p w14:paraId="474917F4">
            <w:pPr>
              <w:autoSpaceDE w:val="0"/>
              <w:autoSpaceDN w:val="0"/>
              <w:adjustRightInd w:val="0"/>
              <w:rPr>
                <w:rFonts w:ascii="宋体" w:hAnsi="宋体" w:cs="Calibri"/>
                <w:szCs w:val="21"/>
              </w:rPr>
            </w:pPr>
          </w:p>
        </w:tc>
      </w:tr>
      <w:tr w14:paraId="5632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9160" w:type="dxa"/>
            <w:gridSpan w:val="2"/>
            <w:tcBorders>
              <w:top w:val="single" w:color="auto" w:sz="4" w:space="0"/>
              <w:left w:val="single" w:color="auto" w:sz="4" w:space="0"/>
              <w:bottom w:val="single" w:color="auto" w:sz="4" w:space="0"/>
              <w:right w:val="single" w:color="auto" w:sz="4" w:space="0"/>
            </w:tcBorders>
            <w:vAlign w:val="center"/>
          </w:tcPr>
          <w:p w14:paraId="19DBB1FB">
            <w:pPr>
              <w:spacing w:line="360" w:lineRule="auto"/>
              <w:rPr>
                <w:rFonts w:ascii="宋体" w:hAnsi="宋体" w:cs="Calibri"/>
                <w:szCs w:val="21"/>
              </w:rPr>
            </w:pPr>
            <w:r>
              <w:rPr>
                <w:rFonts w:hint="eastAsia" w:ascii="宋体" w:hAnsi="宋体" w:cs="Calibri"/>
                <w:szCs w:val="21"/>
              </w:rPr>
              <w:t>备注：投标人在响应招标文件中规定的实质性要求和条件的基础上，可做出其他有利于采购人的承诺。此类承诺可在本表中予以补充填写。</w:t>
            </w:r>
          </w:p>
        </w:tc>
      </w:tr>
    </w:tbl>
    <w:p w14:paraId="0478039C">
      <w:pPr>
        <w:spacing w:line="480" w:lineRule="auto"/>
        <w:ind w:firstLine="480" w:firstLineChars="200"/>
        <w:jc w:val="left"/>
        <w:rPr>
          <w:rFonts w:ascii="宋体" w:hAnsi="宋体"/>
          <w:sz w:val="24"/>
          <w:szCs w:val="28"/>
        </w:rPr>
      </w:pPr>
    </w:p>
    <w:p w14:paraId="173A233D">
      <w:pPr>
        <w:spacing w:line="480" w:lineRule="auto"/>
        <w:ind w:firstLine="480" w:firstLineChars="200"/>
        <w:jc w:val="left"/>
        <w:rPr>
          <w:rFonts w:ascii="宋体" w:hAnsi="宋体"/>
          <w:sz w:val="24"/>
          <w:szCs w:val="28"/>
        </w:rPr>
      </w:pPr>
      <w:r>
        <w:rPr>
          <w:rFonts w:hint="eastAsia" w:ascii="宋体" w:hAnsi="宋体"/>
          <w:sz w:val="24"/>
          <w:szCs w:val="28"/>
        </w:rPr>
        <w:t>投  标  人（企业电子签章）：</w:t>
      </w:r>
    </w:p>
    <w:p w14:paraId="1F04E487">
      <w:pPr>
        <w:spacing w:line="480" w:lineRule="auto"/>
        <w:ind w:right="240" w:firstLine="480" w:firstLineChars="200"/>
        <w:jc w:val="left"/>
        <w:rPr>
          <w:rFonts w:ascii="宋体" w:hAnsi="宋体"/>
          <w:sz w:val="24"/>
          <w:szCs w:val="28"/>
          <w:u w:val="single"/>
        </w:rPr>
      </w:pPr>
      <w:r>
        <w:rPr>
          <w:rFonts w:hint="eastAsia" w:ascii="宋体" w:hAnsi="宋体"/>
          <w:sz w:val="24"/>
          <w:szCs w:val="28"/>
        </w:rPr>
        <w:t>法定代表人（电子签章）：</w:t>
      </w:r>
    </w:p>
    <w:p w14:paraId="1FCB7396">
      <w:pPr>
        <w:spacing w:line="480" w:lineRule="auto"/>
        <w:ind w:right="240" w:firstLine="480" w:firstLineChars="200"/>
        <w:jc w:val="left"/>
        <w:rPr>
          <w:rFonts w:hint="eastAsia" w:ascii="宋体" w:hAnsi="宋体" w:eastAsia="宋体"/>
          <w:sz w:val="24"/>
          <w:szCs w:val="28"/>
          <w:lang w:eastAsia="zh-CN"/>
        </w:rPr>
        <w:sectPr>
          <w:pgSz w:w="11906" w:h="16838"/>
          <w:pgMar w:top="1418" w:right="1134" w:bottom="1418" w:left="1134" w:header="851" w:footer="992" w:gutter="0"/>
          <w:pgNumType w:fmt="decimal"/>
          <w:cols w:space="720" w:num="1"/>
          <w:docGrid w:type="lines" w:linePitch="312" w:charSpace="0"/>
        </w:sectPr>
      </w:pPr>
      <w:r>
        <w:rPr>
          <w:rFonts w:hint="eastAsia" w:ascii="宋体" w:hAnsi="宋体"/>
          <w:sz w:val="24"/>
          <w:szCs w:val="28"/>
        </w:rPr>
        <w:t xml:space="preserve">年  月 </w:t>
      </w:r>
      <w:bookmarkStart w:id="300" w:name="_Toc10620093"/>
      <w:bookmarkStart w:id="301" w:name="_Toc22696"/>
      <w:r>
        <w:rPr>
          <w:rFonts w:hint="eastAsia" w:ascii="宋体" w:hAnsi="宋体"/>
          <w:sz w:val="24"/>
          <w:szCs w:val="28"/>
          <w:lang w:eastAsia="zh-CN"/>
        </w:rPr>
        <w:t>日</w:t>
      </w:r>
    </w:p>
    <w:p w14:paraId="59D420A4">
      <w:pPr>
        <w:pStyle w:val="3"/>
        <w:jc w:val="center"/>
        <w:rPr>
          <w:rFonts w:ascii="宋体" w:hAnsi="宋体" w:eastAsia="宋体"/>
          <w:szCs w:val="22"/>
        </w:rPr>
      </w:pPr>
      <w:bookmarkStart w:id="302" w:name="_Toc30946"/>
      <w:r>
        <w:rPr>
          <w:rFonts w:hint="eastAsia" w:ascii="宋体" w:hAnsi="宋体" w:eastAsia="宋体"/>
          <w:szCs w:val="22"/>
          <w:lang w:eastAsia="zh-CN"/>
        </w:rPr>
        <w:t>二</w:t>
      </w:r>
      <w:r>
        <w:rPr>
          <w:rFonts w:hint="eastAsia" w:ascii="宋体" w:hAnsi="宋体" w:eastAsia="宋体"/>
          <w:szCs w:val="22"/>
        </w:rPr>
        <w:t>、</w:t>
      </w:r>
      <w:bookmarkEnd w:id="298"/>
      <w:bookmarkEnd w:id="299"/>
      <w:bookmarkEnd w:id="300"/>
      <w:bookmarkEnd w:id="301"/>
      <w:r>
        <w:rPr>
          <w:rFonts w:hint="eastAsia" w:ascii="宋体" w:hAnsi="宋体" w:eastAsia="宋体"/>
          <w:szCs w:val="22"/>
        </w:rPr>
        <w:t>法定代表人身份证明或附有法定代表人身份证明的授权委托书</w:t>
      </w:r>
      <w:bookmarkEnd w:id="302"/>
    </w:p>
    <w:p w14:paraId="5DA4F2A5">
      <w:pPr>
        <w:spacing w:line="360" w:lineRule="auto"/>
        <w:ind w:firstLine="420" w:firstLineChars="200"/>
        <w:rPr>
          <w:rFonts w:ascii="宋体" w:hAnsi="宋体"/>
        </w:rPr>
      </w:pPr>
    </w:p>
    <w:p w14:paraId="64A30942">
      <w:pPr>
        <w:pStyle w:val="4"/>
        <w:jc w:val="center"/>
        <w:rPr>
          <w:rFonts w:ascii="宋体" w:hAnsi="宋体"/>
          <w:szCs w:val="22"/>
        </w:rPr>
      </w:pPr>
      <w:bookmarkStart w:id="303" w:name="_Toc15844"/>
      <w:bookmarkStart w:id="304" w:name="_Toc8579"/>
      <w:r>
        <w:rPr>
          <w:rFonts w:hint="eastAsia" w:ascii="宋体" w:hAnsi="宋体"/>
          <w:szCs w:val="22"/>
        </w:rPr>
        <w:t>（一）法定代表人身份证明</w:t>
      </w:r>
      <w:bookmarkEnd w:id="303"/>
    </w:p>
    <w:p w14:paraId="540E2C06">
      <w:r>
        <w:rPr>
          <w:rFonts w:hint="eastAsia"/>
        </w:rPr>
        <w:t>投标人</w:t>
      </w:r>
      <w:r>
        <w:t>名称：</w:t>
      </w:r>
      <w:bookmarkEnd w:id="304"/>
      <w:r>
        <w:rPr>
          <w:rFonts w:hint="eastAsia"/>
        </w:rPr>
        <w:t xml:space="preserve">    </w:t>
      </w:r>
    </w:p>
    <w:p w14:paraId="135AC2F5">
      <w:bookmarkStart w:id="305" w:name="_Toc14157"/>
      <w:r>
        <w:t>单位性质：</w:t>
      </w:r>
      <w:bookmarkEnd w:id="305"/>
      <w:r>
        <w:rPr>
          <w:rFonts w:hint="eastAsia"/>
        </w:rPr>
        <w:t xml:space="preserve">    </w:t>
      </w:r>
    </w:p>
    <w:p w14:paraId="60023A99">
      <w:bookmarkStart w:id="306" w:name="_Toc4625"/>
      <w:r>
        <w:t>地址：</w:t>
      </w:r>
      <w:bookmarkEnd w:id="306"/>
      <w:r>
        <w:rPr>
          <w:rFonts w:hint="eastAsia"/>
        </w:rPr>
        <w:t xml:space="preserve">    </w:t>
      </w:r>
    </w:p>
    <w:p w14:paraId="2CFCB870">
      <w:bookmarkStart w:id="307" w:name="_Toc9676"/>
      <w:r>
        <w:t>成立时间：</w:t>
      </w:r>
      <w:r>
        <w:rPr>
          <w:rFonts w:hint="eastAsia"/>
        </w:rPr>
        <w:t xml:space="preserve">    </w:t>
      </w:r>
      <w:r>
        <w:t>年</w:t>
      </w:r>
      <w:r>
        <w:rPr>
          <w:rFonts w:hint="eastAsia"/>
        </w:rPr>
        <w:t xml:space="preserve">      </w:t>
      </w:r>
      <w:r>
        <w:t>月</w:t>
      </w:r>
      <w:r>
        <w:rPr>
          <w:rFonts w:hint="eastAsia"/>
        </w:rPr>
        <w:t xml:space="preserve">       </w:t>
      </w:r>
      <w:r>
        <w:t>日</w:t>
      </w:r>
      <w:bookmarkEnd w:id="307"/>
    </w:p>
    <w:p w14:paraId="6451CE4C">
      <w:bookmarkStart w:id="308" w:name="_Toc21817"/>
      <w:r>
        <w:t>经营期限：</w:t>
      </w:r>
      <w:bookmarkEnd w:id="308"/>
    </w:p>
    <w:p w14:paraId="72B8422F">
      <w:bookmarkStart w:id="309" w:name="_Toc17160"/>
      <w:r>
        <w:t>姓名：</w:t>
      </w:r>
      <w:r>
        <w:rPr>
          <w:rFonts w:hint="eastAsia"/>
        </w:rPr>
        <w:t xml:space="preserve">    </w:t>
      </w:r>
      <w:r>
        <w:t xml:space="preserve"> 性别：</w:t>
      </w:r>
      <w:r>
        <w:rPr>
          <w:rFonts w:hint="eastAsia"/>
        </w:rPr>
        <w:t xml:space="preserve">    </w:t>
      </w:r>
      <w:r>
        <w:t xml:space="preserve"> 年龄：</w:t>
      </w:r>
      <w:r>
        <w:rPr>
          <w:rFonts w:hint="eastAsia"/>
        </w:rPr>
        <w:t xml:space="preserve">     </w:t>
      </w:r>
      <w:r>
        <w:t>职务：</w:t>
      </w:r>
      <w:bookmarkEnd w:id="309"/>
    </w:p>
    <w:p w14:paraId="0D76B56F">
      <w:bookmarkStart w:id="310" w:name="_Toc4489"/>
      <w:r>
        <w:t>系</w:t>
      </w:r>
      <w:r>
        <w:rPr>
          <w:rFonts w:hint="eastAsia"/>
        </w:rPr>
        <w:t>（投标人</w:t>
      </w:r>
      <w:r>
        <w:t>名称</w:t>
      </w:r>
      <w:r>
        <w:rPr>
          <w:rFonts w:hint="eastAsia"/>
        </w:rPr>
        <w:t xml:space="preserve">）      </w:t>
      </w:r>
      <w:r>
        <w:t>的法定代表人。</w:t>
      </w:r>
      <w:bookmarkEnd w:id="310"/>
    </w:p>
    <w:p w14:paraId="125A4B5C">
      <w:bookmarkStart w:id="311" w:name="_Toc31142"/>
      <w:r>
        <w:t>特此证明。</w:t>
      </w:r>
      <w:bookmarkEnd w:id="311"/>
    </w:p>
    <w:p w14:paraId="3B0465ED"/>
    <w:p w14:paraId="24EA82D4">
      <w:bookmarkStart w:id="312" w:name="_Toc13346"/>
      <w:r>
        <w:rPr>
          <w:rFonts w:hint="eastAsia"/>
        </w:rPr>
        <w:t>附：法定代表人身份证复印件。</w:t>
      </w:r>
      <w:bookmarkEnd w:id="312"/>
    </w:p>
    <w:p w14:paraId="4E0C35F8"/>
    <w:p w14:paraId="1D106A70"/>
    <w:p w14:paraId="003AB4E6"/>
    <w:p w14:paraId="23ABF13D"/>
    <w:p w14:paraId="66F4A5C0"/>
    <w:p w14:paraId="47D4235E">
      <w:r>
        <w:rPr>
          <w:rFonts w:hint="eastAsia"/>
        </w:rPr>
        <w:t>投标人（企业电子签章）：</w:t>
      </w:r>
    </w:p>
    <w:p w14:paraId="2138DDF8"/>
    <w:p w14:paraId="00257E31">
      <w:r>
        <w:rPr>
          <w:rFonts w:hint="eastAsia"/>
        </w:rPr>
        <w:t>年  月   日</w:t>
      </w:r>
    </w:p>
    <w:p w14:paraId="155D3B4A">
      <w:pPr>
        <w:pStyle w:val="4"/>
        <w:jc w:val="center"/>
        <w:rPr>
          <w:rFonts w:ascii="宋体" w:hAnsi="宋体"/>
          <w:sz w:val="28"/>
        </w:rPr>
      </w:pPr>
      <w:bookmarkStart w:id="313" w:name="_Toc410113767"/>
      <w:bookmarkStart w:id="314" w:name="_Toc184635140"/>
      <w:r>
        <w:rPr>
          <w:rFonts w:ascii="宋体" w:hAnsi="宋体"/>
          <w:sz w:val="28"/>
        </w:rPr>
        <w:br w:type="page"/>
      </w:r>
      <w:bookmarkStart w:id="315" w:name="_Toc4285"/>
      <w:r>
        <w:rPr>
          <w:rFonts w:hint="eastAsia" w:ascii="宋体" w:hAnsi="宋体"/>
          <w:szCs w:val="22"/>
        </w:rPr>
        <w:t>（二）授权委托书</w:t>
      </w:r>
      <w:bookmarkEnd w:id="313"/>
      <w:bookmarkEnd w:id="314"/>
      <w:bookmarkEnd w:id="315"/>
    </w:p>
    <w:p w14:paraId="2229C98B">
      <w:pPr>
        <w:spacing w:line="360" w:lineRule="auto"/>
        <w:ind w:firstLine="420" w:firstLineChars="200"/>
        <w:rPr>
          <w:rFonts w:ascii="宋体" w:hAnsi="宋体"/>
        </w:rPr>
      </w:pPr>
    </w:p>
    <w:p w14:paraId="54003A4C">
      <w:pPr>
        <w:topLinePunct/>
        <w:spacing w:line="440" w:lineRule="exact"/>
        <w:ind w:firstLine="420" w:firstLineChars="200"/>
        <w:rPr>
          <w:szCs w:val="21"/>
        </w:rPr>
      </w:pPr>
      <w:r>
        <w:rPr>
          <w:szCs w:val="21"/>
        </w:rPr>
        <w:t>本人（姓名）</w:t>
      </w:r>
      <w:r>
        <w:rPr>
          <w:rFonts w:hint="eastAsia"/>
          <w:szCs w:val="21"/>
          <w:u w:val="single"/>
        </w:rPr>
        <w:t xml:space="preserve">    </w:t>
      </w:r>
      <w:r>
        <w:rPr>
          <w:szCs w:val="21"/>
        </w:rPr>
        <w:t>系（</w:t>
      </w:r>
      <w:r>
        <w:rPr>
          <w:rFonts w:hint="eastAsia"/>
          <w:szCs w:val="21"/>
        </w:rPr>
        <w:t>投标人</w:t>
      </w:r>
      <w:r>
        <w:rPr>
          <w:szCs w:val="21"/>
        </w:rPr>
        <w:t>名称）</w:t>
      </w:r>
      <w:r>
        <w:rPr>
          <w:rFonts w:hint="eastAsia"/>
          <w:szCs w:val="21"/>
          <w:u w:val="single"/>
        </w:rPr>
        <w:t xml:space="preserve">    </w:t>
      </w:r>
      <w:r>
        <w:rPr>
          <w:szCs w:val="21"/>
        </w:rPr>
        <w:t>的法定代表人，现委托</w:t>
      </w:r>
      <w:r>
        <w:rPr>
          <w:rFonts w:hint="eastAsia"/>
          <w:szCs w:val="21"/>
        </w:rPr>
        <w:t xml:space="preserve"> </w:t>
      </w:r>
      <w:r>
        <w:rPr>
          <w:szCs w:val="21"/>
        </w:rPr>
        <w:t>（姓名）</w:t>
      </w:r>
      <w:r>
        <w:rPr>
          <w:rFonts w:hint="eastAsia"/>
          <w:szCs w:val="21"/>
          <w:u w:val="single"/>
        </w:rPr>
        <w:t xml:space="preserve">    </w:t>
      </w:r>
      <w:r>
        <w:rPr>
          <w:szCs w:val="21"/>
        </w:rPr>
        <w:t>为我方代理人。代理人根据授权，以我方名义签署、澄清</w:t>
      </w:r>
      <w:r>
        <w:rPr>
          <w:rFonts w:hint="eastAsia"/>
          <w:szCs w:val="21"/>
        </w:rPr>
        <w:t>、说明、补正</w:t>
      </w:r>
      <w:r>
        <w:rPr>
          <w:szCs w:val="21"/>
        </w:rPr>
        <w:t>、递交、撤回、修改（项目名称）</w:t>
      </w:r>
      <w:r>
        <w:rPr>
          <w:rFonts w:hint="eastAsia"/>
          <w:szCs w:val="21"/>
          <w:u w:val="single"/>
        </w:rPr>
        <w:t xml:space="preserve">    </w:t>
      </w:r>
      <w:r>
        <w:rPr>
          <w:rFonts w:hint="eastAsia"/>
          <w:szCs w:val="21"/>
        </w:rPr>
        <w:t>的</w:t>
      </w:r>
      <w:r>
        <w:rPr>
          <w:szCs w:val="21"/>
        </w:rPr>
        <w:t>投标文件、签订合同和处理有关事宜，其法律后果由我方承担。</w:t>
      </w:r>
    </w:p>
    <w:p w14:paraId="5E32752F">
      <w:pPr>
        <w:spacing w:line="440" w:lineRule="exact"/>
        <w:rPr>
          <w:szCs w:val="21"/>
        </w:rPr>
      </w:pPr>
      <w:r>
        <w:rPr>
          <w:szCs w:val="21"/>
        </w:rPr>
        <w:t xml:space="preserve">    委托期限：</w:t>
      </w:r>
      <w:r>
        <w:rPr>
          <w:rFonts w:hint="eastAsia"/>
          <w:szCs w:val="21"/>
          <w:u w:val="single"/>
        </w:rPr>
        <w:t xml:space="preserve">    </w:t>
      </w:r>
      <w:r>
        <w:rPr>
          <w:rFonts w:hint="eastAsia"/>
          <w:szCs w:val="21"/>
        </w:rPr>
        <w:t>。</w:t>
      </w:r>
    </w:p>
    <w:p w14:paraId="50B37F43">
      <w:pPr>
        <w:spacing w:line="440" w:lineRule="exact"/>
        <w:ind w:firstLine="420" w:firstLineChars="200"/>
        <w:rPr>
          <w:szCs w:val="21"/>
        </w:rPr>
      </w:pPr>
      <w:r>
        <w:rPr>
          <w:szCs w:val="21"/>
        </w:rPr>
        <w:t>代理人无转委托权。</w:t>
      </w:r>
    </w:p>
    <w:p w14:paraId="38773B08">
      <w:pPr>
        <w:spacing w:line="440" w:lineRule="exact"/>
        <w:ind w:firstLine="420" w:firstLineChars="200"/>
        <w:rPr>
          <w:szCs w:val="21"/>
        </w:rPr>
      </w:pPr>
      <w:r>
        <w:rPr>
          <w:rFonts w:hint="eastAsia"/>
          <w:szCs w:val="21"/>
        </w:rPr>
        <w:t>附：委托代理人的身份证复印件</w:t>
      </w:r>
    </w:p>
    <w:p w14:paraId="21CC535C">
      <w:pPr>
        <w:spacing w:line="440" w:lineRule="exact"/>
        <w:rPr>
          <w:szCs w:val="21"/>
        </w:rPr>
      </w:pPr>
    </w:p>
    <w:p w14:paraId="03CC3ADA">
      <w:pPr>
        <w:spacing w:line="440" w:lineRule="exact"/>
        <w:rPr>
          <w:szCs w:val="21"/>
        </w:rPr>
      </w:pPr>
    </w:p>
    <w:p w14:paraId="3D99AFBF">
      <w:pPr>
        <w:spacing w:line="440" w:lineRule="exact"/>
        <w:rPr>
          <w:szCs w:val="21"/>
        </w:rPr>
      </w:pPr>
    </w:p>
    <w:p w14:paraId="1EC7E6C2">
      <w:pPr>
        <w:spacing w:line="480" w:lineRule="auto"/>
        <w:ind w:firstLine="420" w:firstLineChars="200"/>
        <w:jc w:val="left"/>
        <w:rPr>
          <w:rFonts w:ascii="宋体" w:hAnsi="宋体"/>
          <w:szCs w:val="21"/>
        </w:rPr>
      </w:pPr>
      <w:bookmarkStart w:id="316" w:name="_Toc152045793"/>
      <w:bookmarkStart w:id="317" w:name="_Toc247527833"/>
      <w:bookmarkStart w:id="318" w:name="_Toc247514285"/>
      <w:bookmarkStart w:id="319" w:name="_Toc152042582"/>
      <w:bookmarkStart w:id="320" w:name="_Toc487117071"/>
      <w:r>
        <w:rPr>
          <w:rFonts w:hint="eastAsia" w:ascii="宋体" w:hAnsi="宋体"/>
          <w:szCs w:val="21"/>
        </w:rPr>
        <w:t>投  标  人（企业电子签章）：</w:t>
      </w:r>
    </w:p>
    <w:p w14:paraId="25A159B9">
      <w:pPr>
        <w:spacing w:line="480" w:lineRule="auto"/>
        <w:ind w:right="240" w:firstLine="420" w:firstLineChars="200"/>
        <w:jc w:val="left"/>
        <w:rPr>
          <w:rFonts w:ascii="宋体" w:hAnsi="宋体"/>
          <w:szCs w:val="21"/>
          <w:u w:val="single"/>
        </w:rPr>
      </w:pPr>
      <w:r>
        <w:rPr>
          <w:rFonts w:hint="eastAsia" w:ascii="宋体" w:hAnsi="宋体"/>
          <w:szCs w:val="21"/>
        </w:rPr>
        <w:t>法定代表人（电子签章）：</w:t>
      </w:r>
    </w:p>
    <w:p w14:paraId="67D98C89">
      <w:pPr>
        <w:spacing w:line="480" w:lineRule="auto"/>
        <w:ind w:right="240" w:firstLine="840" w:firstLineChars="400"/>
        <w:jc w:val="left"/>
        <w:rPr>
          <w:rFonts w:ascii="宋体" w:hAnsi="宋体"/>
          <w:szCs w:val="21"/>
        </w:rPr>
      </w:pPr>
      <w:r>
        <w:rPr>
          <w:rFonts w:hint="eastAsia" w:ascii="宋体" w:hAnsi="宋体"/>
          <w:szCs w:val="21"/>
        </w:rPr>
        <w:t>年  月  日</w:t>
      </w:r>
    </w:p>
    <w:p w14:paraId="0158C8D2">
      <w:pPr>
        <w:pStyle w:val="3"/>
        <w:jc w:val="center"/>
        <w:rPr>
          <w:rFonts w:ascii="宋体" w:hAnsi="宋体"/>
          <w:sz w:val="32"/>
          <w:szCs w:val="22"/>
        </w:rPr>
      </w:pPr>
      <w:r>
        <w:rPr>
          <w:rFonts w:ascii="宋体" w:hAnsi="宋体"/>
        </w:rPr>
        <w:br w:type="page"/>
      </w:r>
      <w:bookmarkEnd w:id="316"/>
      <w:bookmarkEnd w:id="317"/>
      <w:bookmarkEnd w:id="318"/>
      <w:bookmarkEnd w:id="319"/>
      <w:bookmarkEnd w:id="320"/>
      <w:bookmarkStart w:id="321" w:name="_Toc26834"/>
      <w:bookmarkStart w:id="322" w:name="_Toc21964"/>
      <w:bookmarkStart w:id="323" w:name="_Toc8813"/>
      <w:bookmarkStart w:id="324" w:name="_Toc5862"/>
      <w:bookmarkStart w:id="325" w:name="_Toc2244"/>
      <w:r>
        <w:rPr>
          <w:rFonts w:hint="eastAsia" w:ascii="宋体" w:hAnsi="宋体"/>
          <w:sz w:val="32"/>
          <w:szCs w:val="22"/>
          <w:lang w:eastAsia="zh-CN"/>
        </w:rPr>
        <w:t>三</w:t>
      </w:r>
      <w:r>
        <w:rPr>
          <w:rFonts w:hint="eastAsia" w:ascii="宋体" w:hAnsi="宋体"/>
          <w:sz w:val="32"/>
          <w:szCs w:val="22"/>
        </w:rPr>
        <w:t>、</w:t>
      </w:r>
      <w:bookmarkEnd w:id="321"/>
      <w:bookmarkEnd w:id="322"/>
      <w:bookmarkEnd w:id="323"/>
      <w:bookmarkEnd w:id="324"/>
      <w:r>
        <w:rPr>
          <w:rFonts w:hint="eastAsia" w:ascii="宋体" w:hAnsi="宋体"/>
          <w:sz w:val="32"/>
          <w:szCs w:val="22"/>
        </w:rPr>
        <w:t>资格审查资料</w:t>
      </w:r>
      <w:bookmarkEnd w:id="325"/>
    </w:p>
    <w:p w14:paraId="794D83AD">
      <w:pPr>
        <w:jc w:val="center"/>
        <w:rPr>
          <w:rFonts w:ascii="宋体" w:hAnsi="宋体"/>
          <w:sz w:val="30"/>
          <w:szCs w:val="30"/>
        </w:rPr>
      </w:pPr>
      <w:r>
        <w:rPr>
          <w:rFonts w:hint="eastAsia" w:ascii="宋体" w:hAnsi="宋体"/>
        </w:rPr>
        <w:t>（一）供应商基本情况表</w:t>
      </w:r>
    </w:p>
    <w:tbl>
      <w:tblPr>
        <w:tblStyle w:val="18"/>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9"/>
        <w:gridCol w:w="3154"/>
        <w:gridCol w:w="153"/>
        <w:gridCol w:w="1318"/>
        <w:gridCol w:w="210"/>
        <w:gridCol w:w="2577"/>
      </w:tblGrid>
      <w:tr w14:paraId="581C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53" w:type="dxa"/>
            <w:tcBorders>
              <w:top w:val="single" w:color="auto" w:sz="4" w:space="0"/>
              <w:left w:val="single" w:color="auto" w:sz="4" w:space="0"/>
              <w:bottom w:val="single" w:color="auto" w:sz="4" w:space="0"/>
              <w:right w:val="single" w:color="auto" w:sz="4" w:space="0"/>
            </w:tcBorders>
            <w:vAlign w:val="center"/>
          </w:tcPr>
          <w:p w14:paraId="41F7E0B1">
            <w:pPr>
              <w:jc w:val="center"/>
              <w:rPr>
                <w:rFonts w:ascii="宋体" w:hAnsi="宋体"/>
              </w:rPr>
            </w:pPr>
            <w:r>
              <w:rPr>
                <w:rFonts w:hint="eastAsia" w:ascii="宋体" w:hAnsi="宋体"/>
              </w:rPr>
              <w:t>企业名称</w:t>
            </w:r>
          </w:p>
        </w:tc>
        <w:tc>
          <w:tcPr>
            <w:tcW w:w="3476" w:type="dxa"/>
            <w:gridSpan w:val="3"/>
            <w:tcBorders>
              <w:top w:val="single" w:color="auto" w:sz="4" w:space="0"/>
              <w:left w:val="nil"/>
              <w:bottom w:val="single" w:color="auto" w:sz="4" w:space="0"/>
              <w:right w:val="single" w:color="auto" w:sz="4" w:space="0"/>
            </w:tcBorders>
            <w:vAlign w:val="center"/>
          </w:tcPr>
          <w:p w14:paraId="0EBFBDCC">
            <w:pPr>
              <w:jc w:val="center"/>
              <w:rPr>
                <w:rFonts w:ascii="宋体" w:hAnsi="宋体"/>
              </w:rPr>
            </w:pPr>
          </w:p>
        </w:tc>
        <w:tc>
          <w:tcPr>
            <w:tcW w:w="1528" w:type="dxa"/>
            <w:gridSpan w:val="2"/>
            <w:tcBorders>
              <w:top w:val="single" w:color="auto" w:sz="4" w:space="0"/>
              <w:left w:val="nil"/>
              <w:bottom w:val="single" w:color="auto" w:sz="4" w:space="0"/>
              <w:right w:val="single" w:color="auto" w:sz="4" w:space="0"/>
            </w:tcBorders>
            <w:vAlign w:val="center"/>
          </w:tcPr>
          <w:p w14:paraId="4B33657C">
            <w:pPr>
              <w:jc w:val="center"/>
              <w:rPr>
                <w:rFonts w:ascii="宋体" w:hAnsi="宋体"/>
              </w:rPr>
            </w:pPr>
            <w:r>
              <w:rPr>
                <w:rFonts w:hint="eastAsia" w:ascii="宋体" w:hAnsi="宋体"/>
              </w:rPr>
              <w:t>成立日期</w:t>
            </w:r>
          </w:p>
        </w:tc>
        <w:tc>
          <w:tcPr>
            <w:tcW w:w="2577" w:type="dxa"/>
            <w:tcBorders>
              <w:top w:val="single" w:color="auto" w:sz="4" w:space="0"/>
              <w:left w:val="nil"/>
              <w:bottom w:val="single" w:color="auto" w:sz="4" w:space="0"/>
              <w:right w:val="single" w:color="auto" w:sz="4" w:space="0"/>
            </w:tcBorders>
            <w:vAlign w:val="center"/>
          </w:tcPr>
          <w:p w14:paraId="2741D735">
            <w:pPr>
              <w:jc w:val="center"/>
              <w:rPr>
                <w:rFonts w:ascii="宋体" w:hAnsi="宋体"/>
              </w:rPr>
            </w:pPr>
          </w:p>
        </w:tc>
      </w:tr>
      <w:tr w14:paraId="40AB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129" w:type="dxa"/>
            <w:gridSpan w:val="4"/>
            <w:tcBorders>
              <w:top w:val="single" w:color="auto" w:sz="4" w:space="0"/>
              <w:left w:val="single" w:color="auto" w:sz="4" w:space="0"/>
              <w:bottom w:val="single" w:color="auto" w:sz="4" w:space="0"/>
              <w:right w:val="single" w:color="auto" w:sz="4" w:space="0"/>
            </w:tcBorders>
            <w:vAlign w:val="center"/>
          </w:tcPr>
          <w:p w14:paraId="366D9FE4">
            <w:pPr>
              <w:jc w:val="center"/>
              <w:rPr>
                <w:rFonts w:ascii="宋体" w:hAnsi="宋体"/>
              </w:rPr>
            </w:pPr>
            <w:r>
              <w:rPr>
                <w:rFonts w:hint="eastAsia" w:ascii="宋体" w:hAnsi="宋体"/>
              </w:rPr>
              <w:t>企业法人营业执照注册号</w:t>
            </w:r>
          </w:p>
        </w:tc>
        <w:tc>
          <w:tcPr>
            <w:tcW w:w="4105" w:type="dxa"/>
            <w:gridSpan w:val="3"/>
            <w:tcBorders>
              <w:top w:val="single" w:color="auto" w:sz="4" w:space="0"/>
              <w:left w:val="nil"/>
              <w:bottom w:val="single" w:color="auto" w:sz="4" w:space="0"/>
              <w:right w:val="single" w:color="auto" w:sz="4" w:space="0"/>
            </w:tcBorders>
            <w:vAlign w:val="center"/>
          </w:tcPr>
          <w:p w14:paraId="53F054F8">
            <w:pPr>
              <w:jc w:val="center"/>
              <w:rPr>
                <w:rFonts w:ascii="宋体" w:hAnsi="宋体"/>
              </w:rPr>
            </w:pPr>
          </w:p>
        </w:tc>
      </w:tr>
      <w:tr w14:paraId="5F28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14:paraId="63777824">
            <w:pPr>
              <w:jc w:val="center"/>
              <w:rPr>
                <w:rFonts w:ascii="宋体" w:hAnsi="宋体"/>
              </w:rPr>
            </w:pPr>
            <w:r>
              <w:rPr>
                <w:rFonts w:hint="eastAsia" w:ascii="宋体" w:hAnsi="宋体"/>
              </w:rPr>
              <w:t>注册资本</w:t>
            </w:r>
          </w:p>
        </w:tc>
        <w:tc>
          <w:tcPr>
            <w:tcW w:w="3307" w:type="dxa"/>
            <w:gridSpan w:val="2"/>
            <w:tcBorders>
              <w:top w:val="single" w:color="auto" w:sz="4" w:space="0"/>
              <w:left w:val="nil"/>
              <w:bottom w:val="single" w:color="auto" w:sz="4" w:space="0"/>
              <w:right w:val="single" w:color="auto" w:sz="4" w:space="0"/>
            </w:tcBorders>
            <w:vAlign w:val="center"/>
          </w:tcPr>
          <w:p w14:paraId="0D42E06F">
            <w:pPr>
              <w:jc w:val="center"/>
              <w:rPr>
                <w:rFonts w:ascii="宋体" w:hAnsi="宋体"/>
              </w:rPr>
            </w:pPr>
          </w:p>
        </w:tc>
        <w:tc>
          <w:tcPr>
            <w:tcW w:w="1528" w:type="dxa"/>
            <w:gridSpan w:val="2"/>
            <w:tcBorders>
              <w:top w:val="single" w:color="auto" w:sz="4" w:space="0"/>
              <w:left w:val="nil"/>
              <w:bottom w:val="single" w:color="auto" w:sz="4" w:space="0"/>
              <w:right w:val="single" w:color="auto" w:sz="4" w:space="0"/>
            </w:tcBorders>
            <w:vAlign w:val="center"/>
          </w:tcPr>
          <w:p w14:paraId="177C56BA">
            <w:pPr>
              <w:jc w:val="center"/>
              <w:rPr>
                <w:rFonts w:ascii="宋体" w:hAnsi="宋体"/>
              </w:rPr>
            </w:pPr>
            <w:r>
              <w:rPr>
                <w:rFonts w:hint="eastAsia" w:ascii="宋体" w:hAnsi="宋体"/>
              </w:rPr>
              <w:t>企业类型</w:t>
            </w:r>
          </w:p>
        </w:tc>
        <w:tc>
          <w:tcPr>
            <w:tcW w:w="2577" w:type="dxa"/>
            <w:tcBorders>
              <w:top w:val="single" w:color="auto" w:sz="4" w:space="0"/>
              <w:left w:val="nil"/>
              <w:bottom w:val="single" w:color="auto" w:sz="4" w:space="0"/>
              <w:right w:val="single" w:color="auto" w:sz="4" w:space="0"/>
            </w:tcBorders>
            <w:vAlign w:val="center"/>
          </w:tcPr>
          <w:p w14:paraId="3DFB7CBF">
            <w:pPr>
              <w:jc w:val="center"/>
              <w:rPr>
                <w:rFonts w:ascii="宋体" w:hAnsi="宋体"/>
              </w:rPr>
            </w:pPr>
          </w:p>
        </w:tc>
      </w:tr>
      <w:tr w14:paraId="79C7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14:paraId="0FF81FA1">
            <w:pPr>
              <w:jc w:val="center"/>
              <w:rPr>
                <w:rFonts w:ascii="宋体" w:hAnsi="宋体"/>
              </w:rPr>
            </w:pPr>
            <w:r>
              <w:rPr>
                <w:rFonts w:hint="eastAsia" w:ascii="宋体" w:hAnsi="宋体"/>
              </w:rPr>
              <w:t>批准登记机关</w:t>
            </w:r>
          </w:p>
        </w:tc>
        <w:tc>
          <w:tcPr>
            <w:tcW w:w="3307" w:type="dxa"/>
            <w:gridSpan w:val="2"/>
            <w:tcBorders>
              <w:top w:val="single" w:color="auto" w:sz="4" w:space="0"/>
              <w:left w:val="nil"/>
              <w:bottom w:val="single" w:color="auto" w:sz="4" w:space="0"/>
              <w:right w:val="single" w:color="auto" w:sz="4" w:space="0"/>
            </w:tcBorders>
            <w:vAlign w:val="center"/>
          </w:tcPr>
          <w:p w14:paraId="1066157E">
            <w:pPr>
              <w:jc w:val="center"/>
              <w:rPr>
                <w:rFonts w:ascii="宋体" w:hAnsi="宋体"/>
              </w:rPr>
            </w:pPr>
          </w:p>
        </w:tc>
        <w:tc>
          <w:tcPr>
            <w:tcW w:w="1528" w:type="dxa"/>
            <w:gridSpan w:val="2"/>
            <w:tcBorders>
              <w:top w:val="single" w:color="auto" w:sz="4" w:space="0"/>
              <w:left w:val="nil"/>
              <w:bottom w:val="single" w:color="auto" w:sz="4" w:space="0"/>
              <w:right w:val="single" w:color="auto" w:sz="4" w:space="0"/>
            </w:tcBorders>
            <w:vAlign w:val="center"/>
          </w:tcPr>
          <w:p w14:paraId="6C9BE1DA">
            <w:pPr>
              <w:jc w:val="center"/>
              <w:rPr>
                <w:rFonts w:ascii="宋体" w:hAnsi="宋体"/>
              </w:rPr>
            </w:pPr>
            <w:r>
              <w:rPr>
                <w:rFonts w:hint="eastAsia" w:ascii="宋体" w:hAnsi="宋体"/>
              </w:rPr>
              <w:t>组织代码</w:t>
            </w:r>
          </w:p>
        </w:tc>
        <w:tc>
          <w:tcPr>
            <w:tcW w:w="2577" w:type="dxa"/>
            <w:tcBorders>
              <w:top w:val="single" w:color="auto" w:sz="4" w:space="0"/>
              <w:left w:val="nil"/>
              <w:bottom w:val="single" w:color="auto" w:sz="4" w:space="0"/>
              <w:right w:val="single" w:color="auto" w:sz="4" w:space="0"/>
            </w:tcBorders>
            <w:vAlign w:val="center"/>
          </w:tcPr>
          <w:p w14:paraId="23A22241">
            <w:pPr>
              <w:jc w:val="center"/>
              <w:rPr>
                <w:rFonts w:ascii="宋体" w:hAnsi="宋体"/>
              </w:rPr>
            </w:pPr>
          </w:p>
        </w:tc>
      </w:tr>
      <w:tr w14:paraId="2492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14:paraId="2B328EC7">
            <w:pPr>
              <w:jc w:val="center"/>
              <w:rPr>
                <w:rFonts w:ascii="宋体" w:hAnsi="宋体"/>
              </w:rPr>
            </w:pPr>
            <w:r>
              <w:rPr>
                <w:rFonts w:hint="eastAsia" w:ascii="宋体" w:hAnsi="宋体"/>
              </w:rPr>
              <w:t>法定代表人</w:t>
            </w:r>
          </w:p>
        </w:tc>
        <w:tc>
          <w:tcPr>
            <w:tcW w:w="3307" w:type="dxa"/>
            <w:gridSpan w:val="2"/>
            <w:tcBorders>
              <w:top w:val="single" w:color="auto" w:sz="4" w:space="0"/>
              <w:left w:val="nil"/>
              <w:bottom w:val="single" w:color="auto" w:sz="4" w:space="0"/>
              <w:right w:val="single" w:color="auto" w:sz="4" w:space="0"/>
            </w:tcBorders>
            <w:vAlign w:val="center"/>
          </w:tcPr>
          <w:p w14:paraId="36A87D11">
            <w:pPr>
              <w:jc w:val="center"/>
              <w:rPr>
                <w:rFonts w:ascii="宋体" w:hAnsi="宋体"/>
              </w:rPr>
            </w:pPr>
          </w:p>
        </w:tc>
        <w:tc>
          <w:tcPr>
            <w:tcW w:w="1528" w:type="dxa"/>
            <w:gridSpan w:val="2"/>
            <w:tcBorders>
              <w:top w:val="single" w:color="auto" w:sz="4" w:space="0"/>
              <w:left w:val="nil"/>
              <w:bottom w:val="single" w:color="auto" w:sz="4" w:space="0"/>
              <w:right w:val="single" w:color="auto" w:sz="4" w:space="0"/>
            </w:tcBorders>
            <w:vAlign w:val="center"/>
          </w:tcPr>
          <w:p w14:paraId="4A6C7955">
            <w:pPr>
              <w:jc w:val="center"/>
              <w:rPr>
                <w:rFonts w:ascii="宋体" w:hAnsi="宋体"/>
              </w:rPr>
            </w:pPr>
            <w:r>
              <w:rPr>
                <w:rFonts w:hint="eastAsia" w:ascii="宋体" w:hAnsi="宋体"/>
              </w:rPr>
              <w:t>营业期限</w:t>
            </w:r>
          </w:p>
        </w:tc>
        <w:tc>
          <w:tcPr>
            <w:tcW w:w="2577" w:type="dxa"/>
            <w:tcBorders>
              <w:top w:val="single" w:color="auto" w:sz="4" w:space="0"/>
              <w:left w:val="nil"/>
              <w:bottom w:val="single" w:color="auto" w:sz="4" w:space="0"/>
              <w:right w:val="single" w:color="auto" w:sz="4" w:space="0"/>
            </w:tcBorders>
            <w:vAlign w:val="center"/>
          </w:tcPr>
          <w:p w14:paraId="0A146E55">
            <w:pPr>
              <w:jc w:val="center"/>
              <w:rPr>
                <w:rFonts w:ascii="宋体" w:hAnsi="宋体"/>
              </w:rPr>
            </w:pPr>
          </w:p>
        </w:tc>
      </w:tr>
      <w:tr w14:paraId="2C30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14:paraId="1BA69A07">
            <w:pPr>
              <w:jc w:val="center"/>
              <w:rPr>
                <w:rFonts w:ascii="宋体" w:hAnsi="宋体"/>
              </w:rPr>
            </w:pPr>
            <w:r>
              <w:rPr>
                <w:rFonts w:hint="eastAsia" w:ascii="宋体" w:hAnsi="宋体"/>
              </w:rPr>
              <w:t>资质类型</w:t>
            </w:r>
          </w:p>
        </w:tc>
        <w:tc>
          <w:tcPr>
            <w:tcW w:w="3307" w:type="dxa"/>
            <w:gridSpan w:val="2"/>
            <w:tcBorders>
              <w:top w:val="single" w:color="auto" w:sz="4" w:space="0"/>
              <w:left w:val="nil"/>
              <w:bottom w:val="single" w:color="auto" w:sz="4" w:space="0"/>
              <w:right w:val="single" w:color="auto" w:sz="4" w:space="0"/>
            </w:tcBorders>
            <w:vAlign w:val="center"/>
          </w:tcPr>
          <w:p w14:paraId="6ECE51D5">
            <w:pPr>
              <w:jc w:val="center"/>
              <w:rPr>
                <w:rFonts w:ascii="宋体" w:hAnsi="宋体"/>
              </w:rPr>
            </w:pPr>
            <w:r>
              <w:rPr>
                <w:rFonts w:hint="eastAsia" w:ascii="宋体" w:hAnsi="宋体"/>
              </w:rPr>
              <w:t>\</w:t>
            </w:r>
          </w:p>
        </w:tc>
        <w:tc>
          <w:tcPr>
            <w:tcW w:w="1528" w:type="dxa"/>
            <w:gridSpan w:val="2"/>
            <w:tcBorders>
              <w:top w:val="single" w:color="auto" w:sz="4" w:space="0"/>
              <w:left w:val="nil"/>
              <w:bottom w:val="single" w:color="auto" w:sz="4" w:space="0"/>
              <w:right w:val="single" w:color="auto" w:sz="4" w:space="0"/>
            </w:tcBorders>
            <w:vAlign w:val="center"/>
          </w:tcPr>
          <w:p w14:paraId="2758BC4F">
            <w:pPr>
              <w:jc w:val="center"/>
              <w:rPr>
                <w:rFonts w:ascii="宋体" w:hAnsi="宋体"/>
              </w:rPr>
            </w:pPr>
            <w:r>
              <w:rPr>
                <w:rFonts w:hint="eastAsia" w:ascii="宋体" w:hAnsi="宋体"/>
              </w:rPr>
              <w:t>资质等级</w:t>
            </w:r>
          </w:p>
        </w:tc>
        <w:tc>
          <w:tcPr>
            <w:tcW w:w="2577" w:type="dxa"/>
            <w:tcBorders>
              <w:top w:val="single" w:color="auto" w:sz="4" w:space="0"/>
              <w:left w:val="nil"/>
              <w:bottom w:val="single" w:color="auto" w:sz="4" w:space="0"/>
              <w:right w:val="single" w:color="auto" w:sz="4" w:space="0"/>
            </w:tcBorders>
            <w:vAlign w:val="center"/>
          </w:tcPr>
          <w:p w14:paraId="12D0CBA9">
            <w:pPr>
              <w:jc w:val="center"/>
              <w:rPr>
                <w:rFonts w:ascii="宋体" w:hAnsi="宋体"/>
              </w:rPr>
            </w:pPr>
            <w:r>
              <w:rPr>
                <w:rFonts w:hint="eastAsia" w:ascii="宋体" w:hAnsi="宋体"/>
              </w:rPr>
              <w:t>\</w:t>
            </w:r>
          </w:p>
        </w:tc>
      </w:tr>
      <w:tr w14:paraId="552D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14:paraId="7D14F545">
            <w:pPr>
              <w:jc w:val="center"/>
              <w:rPr>
                <w:rFonts w:ascii="宋体" w:hAnsi="宋体"/>
              </w:rPr>
            </w:pPr>
            <w:r>
              <w:rPr>
                <w:rFonts w:hint="eastAsia" w:ascii="宋体" w:hAnsi="宋体"/>
              </w:rPr>
              <w:t>主营业务</w:t>
            </w:r>
          </w:p>
        </w:tc>
        <w:tc>
          <w:tcPr>
            <w:tcW w:w="7412" w:type="dxa"/>
            <w:gridSpan w:val="5"/>
            <w:tcBorders>
              <w:top w:val="single" w:color="auto" w:sz="4" w:space="0"/>
              <w:left w:val="nil"/>
              <w:bottom w:val="single" w:color="auto" w:sz="4" w:space="0"/>
              <w:right w:val="single" w:color="auto" w:sz="4" w:space="0"/>
            </w:tcBorders>
            <w:vAlign w:val="center"/>
          </w:tcPr>
          <w:p w14:paraId="707FB937">
            <w:pPr>
              <w:rPr>
                <w:rFonts w:ascii="宋体" w:hAnsi="宋体"/>
              </w:rPr>
            </w:pPr>
          </w:p>
        </w:tc>
      </w:tr>
      <w:tr w14:paraId="65E9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14:paraId="465D1CDA">
            <w:pPr>
              <w:jc w:val="center"/>
              <w:rPr>
                <w:rFonts w:ascii="宋体" w:hAnsi="宋体"/>
              </w:rPr>
            </w:pPr>
            <w:r>
              <w:rPr>
                <w:rFonts w:hint="eastAsia" w:ascii="宋体" w:hAnsi="宋体"/>
              </w:rPr>
              <w:t>地  址</w:t>
            </w:r>
          </w:p>
        </w:tc>
        <w:tc>
          <w:tcPr>
            <w:tcW w:w="7412" w:type="dxa"/>
            <w:gridSpan w:val="5"/>
            <w:tcBorders>
              <w:top w:val="single" w:color="auto" w:sz="4" w:space="0"/>
              <w:left w:val="nil"/>
              <w:bottom w:val="single" w:color="auto" w:sz="4" w:space="0"/>
              <w:right w:val="single" w:color="auto" w:sz="4" w:space="0"/>
            </w:tcBorders>
            <w:vAlign w:val="center"/>
          </w:tcPr>
          <w:p w14:paraId="0E3BDDFA">
            <w:pPr>
              <w:rPr>
                <w:rFonts w:ascii="宋体" w:hAnsi="宋体"/>
              </w:rPr>
            </w:pPr>
          </w:p>
        </w:tc>
      </w:tr>
      <w:tr w14:paraId="3443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14:paraId="14047B3B">
            <w:pPr>
              <w:jc w:val="center"/>
              <w:rPr>
                <w:rFonts w:ascii="宋体" w:hAnsi="宋体"/>
              </w:rPr>
            </w:pPr>
            <w:r>
              <w:rPr>
                <w:rFonts w:hint="eastAsia" w:ascii="宋体" w:hAnsi="宋体"/>
              </w:rPr>
              <w:t>开户银行</w:t>
            </w:r>
          </w:p>
        </w:tc>
        <w:tc>
          <w:tcPr>
            <w:tcW w:w="7412" w:type="dxa"/>
            <w:gridSpan w:val="5"/>
            <w:tcBorders>
              <w:top w:val="single" w:color="auto" w:sz="4" w:space="0"/>
              <w:left w:val="nil"/>
              <w:bottom w:val="single" w:color="auto" w:sz="4" w:space="0"/>
              <w:right w:val="single" w:color="auto" w:sz="4" w:space="0"/>
            </w:tcBorders>
            <w:vAlign w:val="center"/>
          </w:tcPr>
          <w:p w14:paraId="35F5AF2A">
            <w:pPr>
              <w:rPr>
                <w:rFonts w:ascii="宋体" w:hAnsi="宋体"/>
              </w:rPr>
            </w:pPr>
          </w:p>
        </w:tc>
      </w:tr>
      <w:tr w14:paraId="7F0A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14:paraId="5EFED173">
            <w:pPr>
              <w:jc w:val="center"/>
              <w:rPr>
                <w:rFonts w:ascii="宋体" w:hAnsi="宋体"/>
              </w:rPr>
            </w:pPr>
            <w:r>
              <w:rPr>
                <w:rFonts w:hint="eastAsia" w:ascii="宋体" w:hAnsi="宋体"/>
              </w:rPr>
              <w:t>开户行号</w:t>
            </w:r>
          </w:p>
        </w:tc>
        <w:tc>
          <w:tcPr>
            <w:tcW w:w="7412" w:type="dxa"/>
            <w:gridSpan w:val="5"/>
            <w:tcBorders>
              <w:top w:val="single" w:color="auto" w:sz="4" w:space="0"/>
              <w:left w:val="nil"/>
              <w:bottom w:val="single" w:color="auto" w:sz="4" w:space="0"/>
              <w:right w:val="single" w:color="auto" w:sz="4" w:space="0"/>
            </w:tcBorders>
            <w:vAlign w:val="center"/>
          </w:tcPr>
          <w:p w14:paraId="6B7CED7D">
            <w:pPr>
              <w:rPr>
                <w:rFonts w:ascii="宋体" w:hAnsi="宋体"/>
              </w:rPr>
            </w:pPr>
          </w:p>
        </w:tc>
      </w:tr>
      <w:tr w14:paraId="27EF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14:paraId="33FA4055">
            <w:pPr>
              <w:jc w:val="center"/>
              <w:rPr>
                <w:rFonts w:ascii="宋体" w:hAnsi="宋体"/>
              </w:rPr>
            </w:pPr>
            <w:r>
              <w:rPr>
                <w:rFonts w:hint="eastAsia" w:ascii="宋体" w:hAnsi="宋体"/>
              </w:rPr>
              <w:t>银行账号</w:t>
            </w:r>
          </w:p>
        </w:tc>
        <w:tc>
          <w:tcPr>
            <w:tcW w:w="7412" w:type="dxa"/>
            <w:gridSpan w:val="5"/>
            <w:tcBorders>
              <w:top w:val="single" w:color="auto" w:sz="4" w:space="0"/>
              <w:left w:val="nil"/>
              <w:bottom w:val="single" w:color="auto" w:sz="4" w:space="0"/>
              <w:right w:val="single" w:color="auto" w:sz="4" w:space="0"/>
            </w:tcBorders>
            <w:vAlign w:val="center"/>
          </w:tcPr>
          <w:p w14:paraId="46DE2EC9">
            <w:pPr>
              <w:rPr>
                <w:rFonts w:ascii="宋体" w:hAnsi="宋体"/>
              </w:rPr>
            </w:pPr>
          </w:p>
        </w:tc>
      </w:tr>
      <w:tr w14:paraId="316D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14:paraId="6E408939">
            <w:pPr>
              <w:jc w:val="center"/>
              <w:rPr>
                <w:rFonts w:ascii="宋体" w:hAnsi="宋体"/>
              </w:rPr>
            </w:pPr>
            <w:r>
              <w:rPr>
                <w:rFonts w:hint="eastAsia" w:ascii="宋体" w:hAnsi="宋体"/>
              </w:rPr>
              <w:t>邮  箱</w:t>
            </w:r>
          </w:p>
        </w:tc>
        <w:tc>
          <w:tcPr>
            <w:tcW w:w="3154" w:type="dxa"/>
            <w:tcBorders>
              <w:top w:val="single" w:color="auto" w:sz="4" w:space="0"/>
              <w:left w:val="nil"/>
              <w:bottom w:val="single" w:color="auto" w:sz="4" w:space="0"/>
              <w:right w:val="single" w:color="auto" w:sz="4" w:space="0"/>
            </w:tcBorders>
            <w:vAlign w:val="center"/>
          </w:tcPr>
          <w:p w14:paraId="21A0D8C9">
            <w:pPr>
              <w:rPr>
                <w:rFonts w:ascii="宋体" w:hAnsi="宋体"/>
              </w:rPr>
            </w:pPr>
          </w:p>
        </w:tc>
        <w:tc>
          <w:tcPr>
            <w:tcW w:w="1471" w:type="dxa"/>
            <w:gridSpan w:val="2"/>
            <w:tcBorders>
              <w:top w:val="single" w:color="auto" w:sz="4" w:space="0"/>
              <w:left w:val="nil"/>
              <w:bottom w:val="single" w:color="auto" w:sz="4" w:space="0"/>
              <w:right w:val="single" w:color="auto" w:sz="4" w:space="0"/>
            </w:tcBorders>
            <w:vAlign w:val="center"/>
          </w:tcPr>
          <w:p w14:paraId="0CDAFFA8">
            <w:pPr>
              <w:jc w:val="center"/>
              <w:rPr>
                <w:rFonts w:ascii="宋体" w:hAnsi="宋体"/>
              </w:rPr>
            </w:pPr>
            <w:r>
              <w:rPr>
                <w:rFonts w:hint="eastAsia" w:ascii="宋体" w:hAnsi="宋体"/>
              </w:rPr>
              <w:t>邮  编</w:t>
            </w:r>
          </w:p>
        </w:tc>
        <w:tc>
          <w:tcPr>
            <w:tcW w:w="2787" w:type="dxa"/>
            <w:gridSpan w:val="2"/>
            <w:tcBorders>
              <w:top w:val="single" w:color="auto" w:sz="4" w:space="0"/>
              <w:left w:val="nil"/>
              <w:bottom w:val="single" w:color="auto" w:sz="4" w:space="0"/>
              <w:right w:val="single" w:color="auto" w:sz="4" w:space="0"/>
            </w:tcBorders>
            <w:vAlign w:val="center"/>
          </w:tcPr>
          <w:p w14:paraId="378EF7A1">
            <w:pPr>
              <w:rPr>
                <w:rFonts w:ascii="宋体" w:hAnsi="宋体"/>
              </w:rPr>
            </w:pPr>
          </w:p>
        </w:tc>
      </w:tr>
      <w:tr w14:paraId="1285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14:paraId="1D7156B0">
            <w:pPr>
              <w:jc w:val="center"/>
              <w:rPr>
                <w:rFonts w:ascii="宋体" w:hAnsi="宋体"/>
              </w:rPr>
            </w:pPr>
            <w:r>
              <w:rPr>
                <w:rFonts w:hint="eastAsia" w:ascii="宋体" w:hAnsi="宋体"/>
              </w:rPr>
              <w:t>联系人</w:t>
            </w:r>
          </w:p>
        </w:tc>
        <w:tc>
          <w:tcPr>
            <w:tcW w:w="3154" w:type="dxa"/>
            <w:tcBorders>
              <w:top w:val="single" w:color="auto" w:sz="4" w:space="0"/>
              <w:left w:val="nil"/>
              <w:bottom w:val="single" w:color="auto" w:sz="4" w:space="0"/>
              <w:right w:val="single" w:color="auto" w:sz="4" w:space="0"/>
            </w:tcBorders>
            <w:vAlign w:val="center"/>
          </w:tcPr>
          <w:p w14:paraId="3FB6F214">
            <w:pPr>
              <w:rPr>
                <w:rFonts w:ascii="宋体" w:hAnsi="宋体"/>
              </w:rPr>
            </w:pPr>
          </w:p>
        </w:tc>
        <w:tc>
          <w:tcPr>
            <w:tcW w:w="1471" w:type="dxa"/>
            <w:gridSpan w:val="2"/>
            <w:tcBorders>
              <w:top w:val="single" w:color="auto" w:sz="4" w:space="0"/>
              <w:left w:val="nil"/>
              <w:bottom w:val="single" w:color="auto" w:sz="4" w:space="0"/>
              <w:right w:val="single" w:color="auto" w:sz="4" w:space="0"/>
            </w:tcBorders>
            <w:vAlign w:val="center"/>
          </w:tcPr>
          <w:p w14:paraId="272B4EEA">
            <w:pPr>
              <w:jc w:val="center"/>
              <w:rPr>
                <w:rFonts w:ascii="宋体" w:hAnsi="宋体"/>
              </w:rPr>
            </w:pPr>
            <w:r>
              <w:rPr>
                <w:rFonts w:hint="eastAsia" w:ascii="宋体" w:hAnsi="宋体"/>
              </w:rPr>
              <w:t>联系方式</w:t>
            </w:r>
          </w:p>
        </w:tc>
        <w:tc>
          <w:tcPr>
            <w:tcW w:w="2787" w:type="dxa"/>
            <w:gridSpan w:val="2"/>
            <w:tcBorders>
              <w:top w:val="single" w:color="auto" w:sz="4" w:space="0"/>
              <w:left w:val="nil"/>
              <w:bottom w:val="single" w:color="auto" w:sz="4" w:space="0"/>
              <w:right w:val="single" w:color="auto" w:sz="4" w:space="0"/>
            </w:tcBorders>
            <w:vAlign w:val="center"/>
          </w:tcPr>
          <w:p w14:paraId="438DFED7">
            <w:pPr>
              <w:rPr>
                <w:rFonts w:ascii="宋体" w:hAnsi="宋体"/>
              </w:rPr>
            </w:pPr>
          </w:p>
        </w:tc>
      </w:tr>
    </w:tbl>
    <w:p w14:paraId="1B0AF72A">
      <w:pPr>
        <w:jc w:val="center"/>
        <w:rPr>
          <w:rFonts w:ascii="宋体" w:hAnsi="宋体" w:cs="宋体"/>
          <w:b/>
          <w:bCs/>
          <w:kern w:val="0"/>
          <w:sz w:val="30"/>
          <w:szCs w:val="30"/>
        </w:rPr>
        <w:sectPr>
          <w:pgSz w:w="11907" w:h="16840"/>
          <w:pgMar w:top="1418" w:right="1247" w:bottom="1134" w:left="1418" w:header="720" w:footer="720" w:gutter="0"/>
          <w:pgNumType w:fmt="decimal"/>
          <w:cols w:space="720" w:num="1"/>
          <w:docGrid w:type="lines" w:linePitch="272" w:charSpace="0"/>
        </w:sectPr>
      </w:pPr>
      <w:r>
        <w:rPr>
          <w:rFonts w:hint="eastAsia" w:ascii="宋体" w:hAnsi="宋体"/>
          <w:b/>
          <w:bCs/>
        </w:rPr>
        <w:br w:type="page"/>
      </w:r>
      <w:r>
        <w:rPr>
          <w:rFonts w:hint="eastAsia" w:ascii="宋体" w:hAnsi="宋体"/>
        </w:rPr>
        <w:t>（二）资格审查资料</w:t>
      </w:r>
    </w:p>
    <w:p w14:paraId="15E7D86A">
      <w:pPr>
        <w:pStyle w:val="3"/>
        <w:jc w:val="center"/>
        <w:rPr>
          <w:rFonts w:ascii="宋体" w:hAnsi="宋体"/>
          <w:sz w:val="32"/>
          <w:szCs w:val="22"/>
        </w:rPr>
      </w:pPr>
      <w:bookmarkStart w:id="326" w:name="_Toc24004"/>
      <w:bookmarkStart w:id="327" w:name="_Toc25131"/>
      <w:bookmarkStart w:id="328" w:name="_Toc19951"/>
      <w:bookmarkStart w:id="329" w:name="_Toc31789"/>
      <w:bookmarkStart w:id="330" w:name="_Toc17899"/>
      <w:r>
        <w:rPr>
          <w:rFonts w:hint="eastAsia" w:ascii="宋体" w:hAnsi="宋体"/>
          <w:sz w:val="32"/>
          <w:szCs w:val="22"/>
          <w:lang w:eastAsia="zh-CN"/>
        </w:rPr>
        <w:t>四</w:t>
      </w:r>
      <w:r>
        <w:rPr>
          <w:rFonts w:hint="eastAsia" w:ascii="宋体" w:hAnsi="宋体"/>
          <w:sz w:val="32"/>
          <w:szCs w:val="22"/>
        </w:rPr>
        <w:t>、</w:t>
      </w:r>
      <w:bookmarkEnd w:id="326"/>
      <w:bookmarkEnd w:id="327"/>
      <w:bookmarkEnd w:id="328"/>
      <w:bookmarkEnd w:id="329"/>
      <w:r>
        <w:rPr>
          <w:rFonts w:hint="eastAsia" w:ascii="宋体" w:hAnsi="宋体"/>
          <w:sz w:val="32"/>
          <w:szCs w:val="22"/>
        </w:rPr>
        <w:t>商务偏离表</w:t>
      </w:r>
      <w:bookmarkEnd w:id="330"/>
    </w:p>
    <w:p w14:paraId="7E8C56D2">
      <w:pPr>
        <w:rPr>
          <w:rFonts w:ascii="宋体" w:hAnsi="宋体"/>
          <w:sz w:val="32"/>
          <w:szCs w:val="22"/>
        </w:rPr>
      </w:pPr>
      <w:bookmarkStart w:id="331" w:name="_Toc16127"/>
      <w:bookmarkStart w:id="332" w:name="_Toc8241"/>
      <w:bookmarkStart w:id="333" w:name="_Toc4076"/>
      <w:bookmarkStart w:id="334" w:name="_Toc22770"/>
    </w:p>
    <w:tbl>
      <w:tblPr>
        <w:tblStyle w:val="18"/>
        <w:tblW w:w="94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9"/>
        <w:gridCol w:w="1782"/>
        <w:gridCol w:w="3730"/>
        <w:gridCol w:w="1927"/>
      </w:tblGrid>
      <w:tr w14:paraId="7F1AD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tcPr>
          <w:p w14:paraId="15E34D48">
            <w:pPr>
              <w:jc w:val="center"/>
              <w:rPr>
                <w:rFonts w:ascii="宋体" w:hAnsi="宋体" w:cs="Calibri"/>
                <w:sz w:val="24"/>
                <w:szCs w:val="24"/>
              </w:rPr>
            </w:pPr>
            <w:r>
              <w:rPr>
                <w:rFonts w:hint="eastAsia" w:ascii="宋体" w:hAnsi="宋体" w:cs="Calibri"/>
                <w:sz w:val="24"/>
                <w:szCs w:val="24"/>
              </w:rPr>
              <w:t>招标商务需求</w:t>
            </w:r>
          </w:p>
        </w:tc>
        <w:tc>
          <w:tcPr>
            <w:tcW w:w="1782" w:type="dxa"/>
            <w:tcBorders>
              <w:top w:val="single" w:color="auto" w:sz="4" w:space="0"/>
              <w:left w:val="nil"/>
              <w:bottom w:val="single" w:color="auto" w:sz="4" w:space="0"/>
              <w:right w:val="single" w:color="auto" w:sz="4" w:space="0"/>
            </w:tcBorders>
          </w:tcPr>
          <w:p w14:paraId="0A01AF16">
            <w:pPr>
              <w:jc w:val="center"/>
              <w:rPr>
                <w:rFonts w:ascii="宋体" w:hAnsi="宋体" w:cs="Calibri"/>
                <w:sz w:val="24"/>
                <w:szCs w:val="24"/>
              </w:rPr>
            </w:pPr>
            <w:r>
              <w:rPr>
                <w:rFonts w:hint="eastAsia" w:ascii="宋体" w:hAnsi="宋体" w:cs="Calibri"/>
                <w:sz w:val="24"/>
                <w:szCs w:val="24"/>
              </w:rPr>
              <w:t>投标商务</w:t>
            </w:r>
          </w:p>
        </w:tc>
        <w:tc>
          <w:tcPr>
            <w:tcW w:w="3730" w:type="dxa"/>
            <w:tcBorders>
              <w:top w:val="single" w:color="auto" w:sz="4" w:space="0"/>
              <w:left w:val="nil"/>
              <w:bottom w:val="single" w:color="auto" w:sz="4" w:space="0"/>
              <w:right w:val="single" w:color="auto" w:sz="4" w:space="0"/>
            </w:tcBorders>
          </w:tcPr>
          <w:p w14:paraId="6B13A1C7">
            <w:pPr>
              <w:jc w:val="center"/>
              <w:rPr>
                <w:rFonts w:ascii="宋体" w:hAnsi="宋体" w:cs="Calibri"/>
                <w:sz w:val="24"/>
                <w:szCs w:val="24"/>
              </w:rPr>
            </w:pPr>
            <w:r>
              <w:rPr>
                <w:rFonts w:hint="eastAsia" w:ascii="宋体" w:hAnsi="宋体" w:cs="Calibri"/>
                <w:sz w:val="24"/>
                <w:szCs w:val="24"/>
              </w:rPr>
              <w:t>偏离说明</w:t>
            </w:r>
          </w:p>
        </w:tc>
        <w:tc>
          <w:tcPr>
            <w:tcW w:w="1927" w:type="dxa"/>
            <w:tcBorders>
              <w:top w:val="single" w:color="auto" w:sz="4" w:space="0"/>
              <w:left w:val="nil"/>
              <w:bottom w:val="single" w:color="auto" w:sz="4" w:space="0"/>
              <w:right w:val="single" w:color="auto" w:sz="4" w:space="0"/>
            </w:tcBorders>
          </w:tcPr>
          <w:p w14:paraId="5246E553">
            <w:pPr>
              <w:jc w:val="center"/>
              <w:rPr>
                <w:rFonts w:ascii="宋体" w:hAnsi="宋体" w:cs="Calibri"/>
                <w:sz w:val="24"/>
                <w:szCs w:val="24"/>
              </w:rPr>
            </w:pPr>
            <w:r>
              <w:rPr>
                <w:rFonts w:hint="eastAsia" w:ascii="宋体" w:hAnsi="宋体" w:cs="Calibri"/>
                <w:sz w:val="24"/>
                <w:szCs w:val="24"/>
              </w:rPr>
              <w:t>备 注</w:t>
            </w:r>
          </w:p>
        </w:tc>
      </w:tr>
      <w:tr w14:paraId="6BABE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3" w:hRule="atLeast"/>
          <w:jc w:val="center"/>
        </w:trPr>
        <w:tc>
          <w:tcPr>
            <w:tcW w:w="1979" w:type="dxa"/>
            <w:tcBorders>
              <w:top w:val="single" w:color="auto" w:sz="4" w:space="0"/>
              <w:left w:val="single" w:color="auto" w:sz="4" w:space="0"/>
              <w:bottom w:val="single" w:color="auto" w:sz="4" w:space="0"/>
              <w:right w:val="single" w:color="auto" w:sz="4" w:space="0"/>
            </w:tcBorders>
          </w:tcPr>
          <w:p w14:paraId="06964947">
            <w:pPr>
              <w:ind w:firstLine="720"/>
              <w:rPr>
                <w:rFonts w:ascii="宋体" w:hAnsi="宋体" w:cs="Calibri"/>
                <w:sz w:val="24"/>
                <w:szCs w:val="24"/>
              </w:rPr>
            </w:pPr>
          </w:p>
        </w:tc>
        <w:tc>
          <w:tcPr>
            <w:tcW w:w="1782" w:type="dxa"/>
            <w:tcBorders>
              <w:top w:val="single" w:color="auto" w:sz="4" w:space="0"/>
              <w:left w:val="nil"/>
              <w:bottom w:val="single" w:color="auto" w:sz="4" w:space="0"/>
              <w:right w:val="single" w:color="auto" w:sz="4" w:space="0"/>
            </w:tcBorders>
          </w:tcPr>
          <w:p w14:paraId="5773A99D">
            <w:pPr>
              <w:ind w:firstLine="720"/>
              <w:rPr>
                <w:rFonts w:ascii="宋体" w:hAnsi="宋体" w:cs="Calibri"/>
                <w:sz w:val="24"/>
                <w:szCs w:val="24"/>
              </w:rPr>
            </w:pPr>
          </w:p>
        </w:tc>
        <w:tc>
          <w:tcPr>
            <w:tcW w:w="3730" w:type="dxa"/>
            <w:tcBorders>
              <w:top w:val="single" w:color="auto" w:sz="4" w:space="0"/>
              <w:left w:val="nil"/>
              <w:bottom w:val="single" w:color="auto" w:sz="4" w:space="0"/>
              <w:right w:val="single" w:color="auto" w:sz="4" w:space="0"/>
            </w:tcBorders>
          </w:tcPr>
          <w:p w14:paraId="69BB62FF">
            <w:pPr>
              <w:rPr>
                <w:rFonts w:ascii="宋体" w:hAnsi="宋体" w:cs="Calibri"/>
                <w:sz w:val="24"/>
                <w:szCs w:val="24"/>
              </w:rPr>
            </w:pPr>
            <w:r>
              <w:rPr>
                <w:rFonts w:hint="eastAsia" w:ascii="宋体" w:hAnsi="宋体" w:cs="Calibri"/>
                <w:sz w:val="24"/>
                <w:szCs w:val="24"/>
              </w:rPr>
              <w:t>投标产品符合招标文件要求此项目填写“符合”，优于招标文件要求此项填写“正偏离”，不能满足招标文件要求此项填写“负偏离”</w:t>
            </w:r>
          </w:p>
        </w:tc>
        <w:tc>
          <w:tcPr>
            <w:tcW w:w="1927" w:type="dxa"/>
            <w:tcBorders>
              <w:top w:val="single" w:color="auto" w:sz="4" w:space="0"/>
              <w:left w:val="nil"/>
              <w:bottom w:val="single" w:color="auto" w:sz="4" w:space="0"/>
              <w:right w:val="single" w:color="auto" w:sz="4" w:space="0"/>
            </w:tcBorders>
          </w:tcPr>
          <w:p w14:paraId="2BCB4844">
            <w:pPr>
              <w:ind w:firstLine="720"/>
              <w:rPr>
                <w:rFonts w:ascii="宋体" w:hAnsi="宋体" w:cs="Calibri"/>
                <w:sz w:val="24"/>
                <w:szCs w:val="24"/>
              </w:rPr>
            </w:pPr>
          </w:p>
        </w:tc>
      </w:tr>
      <w:tr w14:paraId="1ED29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tcPr>
          <w:p w14:paraId="7858C835">
            <w:pPr>
              <w:ind w:firstLine="720"/>
              <w:rPr>
                <w:rFonts w:ascii="宋体" w:hAnsi="宋体" w:cs="Calibri"/>
                <w:sz w:val="24"/>
                <w:szCs w:val="24"/>
              </w:rPr>
            </w:pPr>
          </w:p>
        </w:tc>
        <w:tc>
          <w:tcPr>
            <w:tcW w:w="1782" w:type="dxa"/>
            <w:tcBorders>
              <w:top w:val="single" w:color="auto" w:sz="4" w:space="0"/>
              <w:left w:val="nil"/>
              <w:bottom w:val="single" w:color="auto" w:sz="4" w:space="0"/>
              <w:right w:val="single" w:color="auto" w:sz="4" w:space="0"/>
            </w:tcBorders>
          </w:tcPr>
          <w:p w14:paraId="66198A71">
            <w:pPr>
              <w:ind w:firstLine="720"/>
              <w:rPr>
                <w:rFonts w:ascii="宋体" w:hAnsi="宋体" w:cs="Calibri"/>
                <w:sz w:val="24"/>
                <w:szCs w:val="24"/>
              </w:rPr>
            </w:pPr>
          </w:p>
        </w:tc>
        <w:tc>
          <w:tcPr>
            <w:tcW w:w="3730" w:type="dxa"/>
            <w:tcBorders>
              <w:top w:val="single" w:color="auto" w:sz="4" w:space="0"/>
              <w:left w:val="nil"/>
              <w:bottom w:val="single" w:color="auto" w:sz="4" w:space="0"/>
              <w:right w:val="single" w:color="auto" w:sz="4" w:space="0"/>
            </w:tcBorders>
          </w:tcPr>
          <w:p w14:paraId="52A152DB">
            <w:pPr>
              <w:ind w:firstLine="720"/>
              <w:rPr>
                <w:rFonts w:ascii="宋体" w:hAnsi="宋体" w:cs="Calibri"/>
                <w:sz w:val="24"/>
                <w:szCs w:val="24"/>
              </w:rPr>
            </w:pPr>
          </w:p>
        </w:tc>
        <w:tc>
          <w:tcPr>
            <w:tcW w:w="1927" w:type="dxa"/>
            <w:tcBorders>
              <w:top w:val="single" w:color="auto" w:sz="4" w:space="0"/>
              <w:left w:val="nil"/>
              <w:bottom w:val="single" w:color="auto" w:sz="4" w:space="0"/>
              <w:right w:val="single" w:color="auto" w:sz="4" w:space="0"/>
            </w:tcBorders>
          </w:tcPr>
          <w:p w14:paraId="3A19B117">
            <w:pPr>
              <w:ind w:firstLine="720"/>
              <w:rPr>
                <w:rFonts w:ascii="宋体" w:hAnsi="宋体" w:cs="Calibri"/>
                <w:sz w:val="24"/>
                <w:szCs w:val="24"/>
              </w:rPr>
            </w:pPr>
          </w:p>
        </w:tc>
      </w:tr>
      <w:tr w14:paraId="6902F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tcPr>
          <w:p w14:paraId="750FA948">
            <w:pPr>
              <w:ind w:firstLine="720"/>
              <w:rPr>
                <w:rFonts w:ascii="宋体" w:hAnsi="宋体" w:cs="Calibri"/>
                <w:sz w:val="24"/>
                <w:szCs w:val="24"/>
              </w:rPr>
            </w:pPr>
          </w:p>
        </w:tc>
        <w:tc>
          <w:tcPr>
            <w:tcW w:w="1782" w:type="dxa"/>
            <w:tcBorders>
              <w:top w:val="single" w:color="auto" w:sz="4" w:space="0"/>
              <w:left w:val="nil"/>
              <w:bottom w:val="single" w:color="auto" w:sz="4" w:space="0"/>
              <w:right w:val="single" w:color="auto" w:sz="4" w:space="0"/>
            </w:tcBorders>
          </w:tcPr>
          <w:p w14:paraId="15538387">
            <w:pPr>
              <w:ind w:firstLine="720"/>
              <w:rPr>
                <w:rFonts w:ascii="宋体" w:hAnsi="宋体" w:cs="Calibri"/>
                <w:sz w:val="24"/>
                <w:szCs w:val="24"/>
              </w:rPr>
            </w:pPr>
          </w:p>
        </w:tc>
        <w:tc>
          <w:tcPr>
            <w:tcW w:w="3730" w:type="dxa"/>
            <w:tcBorders>
              <w:top w:val="single" w:color="auto" w:sz="4" w:space="0"/>
              <w:left w:val="nil"/>
              <w:bottom w:val="single" w:color="auto" w:sz="4" w:space="0"/>
              <w:right w:val="single" w:color="auto" w:sz="4" w:space="0"/>
            </w:tcBorders>
          </w:tcPr>
          <w:p w14:paraId="06286207">
            <w:pPr>
              <w:ind w:firstLine="720"/>
              <w:rPr>
                <w:rFonts w:ascii="宋体" w:hAnsi="宋体" w:cs="Calibri"/>
                <w:sz w:val="24"/>
                <w:szCs w:val="24"/>
              </w:rPr>
            </w:pPr>
          </w:p>
        </w:tc>
        <w:tc>
          <w:tcPr>
            <w:tcW w:w="1927" w:type="dxa"/>
            <w:tcBorders>
              <w:top w:val="single" w:color="auto" w:sz="4" w:space="0"/>
              <w:left w:val="nil"/>
              <w:bottom w:val="single" w:color="auto" w:sz="4" w:space="0"/>
              <w:right w:val="single" w:color="auto" w:sz="4" w:space="0"/>
            </w:tcBorders>
          </w:tcPr>
          <w:p w14:paraId="024DF612">
            <w:pPr>
              <w:ind w:firstLine="720"/>
              <w:rPr>
                <w:rFonts w:ascii="宋体" w:hAnsi="宋体" w:cs="Calibri"/>
                <w:sz w:val="24"/>
                <w:szCs w:val="24"/>
              </w:rPr>
            </w:pPr>
          </w:p>
        </w:tc>
      </w:tr>
      <w:tr w14:paraId="3F75B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tcPr>
          <w:p w14:paraId="0B9C522F">
            <w:pPr>
              <w:ind w:firstLine="720"/>
              <w:rPr>
                <w:rFonts w:ascii="宋体" w:hAnsi="宋体" w:cs="Calibri"/>
                <w:sz w:val="24"/>
                <w:szCs w:val="24"/>
              </w:rPr>
            </w:pPr>
          </w:p>
        </w:tc>
        <w:tc>
          <w:tcPr>
            <w:tcW w:w="1782" w:type="dxa"/>
            <w:tcBorders>
              <w:top w:val="single" w:color="auto" w:sz="4" w:space="0"/>
              <w:left w:val="nil"/>
              <w:bottom w:val="single" w:color="auto" w:sz="4" w:space="0"/>
              <w:right w:val="single" w:color="auto" w:sz="4" w:space="0"/>
            </w:tcBorders>
          </w:tcPr>
          <w:p w14:paraId="4D49BBED">
            <w:pPr>
              <w:ind w:firstLine="720"/>
              <w:rPr>
                <w:rFonts w:ascii="宋体" w:hAnsi="宋体" w:cs="Calibri"/>
                <w:sz w:val="24"/>
                <w:szCs w:val="24"/>
              </w:rPr>
            </w:pPr>
          </w:p>
        </w:tc>
        <w:tc>
          <w:tcPr>
            <w:tcW w:w="3730" w:type="dxa"/>
            <w:tcBorders>
              <w:top w:val="single" w:color="auto" w:sz="4" w:space="0"/>
              <w:left w:val="nil"/>
              <w:bottom w:val="single" w:color="auto" w:sz="4" w:space="0"/>
              <w:right w:val="single" w:color="auto" w:sz="4" w:space="0"/>
            </w:tcBorders>
          </w:tcPr>
          <w:p w14:paraId="636086EE">
            <w:pPr>
              <w:ind w:firstLine="720"/>
              <w:rPr>
                <w:rFonts w:ascii="宋体" w:hAnsi="宋体" w:cs="Calibri"/>
                <w:sz w:val="24"/>
                <w:szCs w:val="24"/>
              </w:rPr>
            </w:pPr>
          </w:p>
        </w:tc>
        <w:tc>
          <w:tcPr>
            <w:tcW w:w="1927" w:type="dxa"/>
            <w:tcBorders>
              <w:top w:val="single" w:color="auto" w:sz="4" w:space="0"/>
              <w:left w:val="nil"/>
              <w:bottom w:val="single" w:color="auto" w:sz="4" w:space="0"/>
              <w:right w:val="single" w:color="auto" w:sz="4" w:space="0"/>
            </w:tcBorders>
          </w:tcPr>
          <w:p w14:paraId="683EAB46">
            <w:pPr>
              <w:ind w:firstLine="720"/>
              <w:rPr>
                <w:rFonts w:ascii="宋体" w:hAnsi="宋体" w:cs="Calibri"/>
                <w:sz w:val="24"/>
                <w:szCs w:val="24"/>
              </w:rPr>
            </w:pPr>
          </w:p>
        </w:tc>
      </w:tr>
      <w:tr w14:paraId="6ECEB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tcPr>
          <w:p w14:paraId="42ED4B4D">
            <w:pPr>
              <w:ind w:firstLine="720"/>
              <w:rPr>
                <w:rFonts w:ascii="宋体" w:hAnsi="宋体" w:cs="Calibri"/>
                <w:sz w:val="24"/>
                <w:szCs w:val="24"/>
              </w:rPr>
            </w:pPr>
          </w:p>
        </w:tc>
        <w:tc>
          <w:tcPr>
            <w:tcW w:w="1782" w:type="dxa"/>
            <w:tcBorders>
              <w:top w:val="single" w:color="auto" w:sz="4" w:space="0"/>
              <w:left w:val="nil"/>
              <w:bottom w:val="single" w:color="auto" w:sz="4" w:space="0"/>
              <w:right w:val="single" w:color="auto" w:sz="4" w:space="0"/>
            </w:tcBorders>
          </w:tcPr>
          <w:p w14:paraId="000CC413">
            <w:pPr>
              <w:ind w:firstLine="720"/>
              <w:rPr>
                <w:rFonts w:ascii="宋体" w:hAnsi="宋体" w:cs="Calibri"/>
                <w:sz w:val="24"/>
                <w:szCs w:val="24"/>
              </w:rPr>
            </w:pPr>
          </w:p>
        </w:tc>
        <w:tc>
          <w:tcPr>
            <w:tcW w:w="3730" w:type="dxa"/>
            <w:tcBorders>
              <w:top w:val="single" w:color="auto" w:sz="4" w:space="0"/>
              <w:left w:val="nil"/>
              <w:bottom w:val="single" w:color="auto" w:sz="4" w:space="0"/>
              <w:right w:val="single" w:color="auto" w:sz="4" w:space="0"/>
            </w:tcBorders>
          </w:tcPr>
          <w:p w14:paraId="0A7BAA40">
            <w:pPr>
              <w:ind w:firstLine="720"/>
              <w:rPr>
                <w:rFonts w:ascii="宋体" w:hAnsi="宋体" w:cs="Calibri"/>
                <w:sz w:val="24"/>
                <w:szCs w:val="24"/>
              </w:rPr>
            </w:pPr>
          </w:p>
        </w:tc>
        <w:tc>
          <w:tcPr>
            <w:tcW w:w="1927" w:type="dxa"/>
            <w:tcBorders>
              <w:top w:val="single" w:color="auto" w:sz="4" w:space="0"/>
              <w:left w:val="nil"/>
              <w:bottom w:val="single" w:color="auto" w:sz="4" w:space="0"/>
              <w:right w:val="single" w:color="auto" w:sz="4" w:space="0"/>
            </w:tcBorders>
          </w:tcPr>
          <w:p w14:paraId="5E78D8FB">
            <w:pPr>
              <w:ind w:firstLine="720"/>
              <w:rPr>
                <w:rFonts w:ascii="宋体" w:hAnsi="宋体" w:cs="Calibri"/>
                <w:sz w:val="24"/>
                <w:szCs w:val="24"/>
              </w:rPr>
            </w:pPr>
          </w:p>
        </w:tc>
      </w:tr>
      <w:tr w14:paraId="6A568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979" w:type="dxa"/>
            <w:tcBorders>
              <w:top w:val="single" w:color="auto" w:sz="4" w:space="0"/>
              <w:left w:val="single" w:color="auto" w:sz="4" w:space="0"/>
              <w:bottom w:val="single" w:color="auto" w:sz="4" w:space="0"/>
              <w:right w:val="single" w:color="auto" w:sz="4" w:space="0"/>
            </w:tcBorders>
          </w:tcPr>
          <w:p w14:paraId="1D714D91">
            <w:pPr>
              <w:ind w:firstLine="720"/>
              <w:rPr>
                <w:rFonts w:ascii="宋体" w:hAnsi="宋体" w:cs="Calibri"/>
                <w:sz w:val="24"/>
                <w:szCs w:val="24"/>
              </w:rPr>
            </w:pPr>
          </w:p>
        </w:tc>
        <w:tc>
          <w:tcPr>
            <w:tcW w:w="1782" w:type="dxa"/>
            <w:tcBorders>
              <w:top w:val="single" w:color="auto" w:sz="4" w:space="0"/>
              <w:left w:val="nil"/>
              <w:bottom w:val="single" w:color="auto" w:sz="4" w:space="0"/>
              <w:right w:val="single" w:color="auto" w:sz="4" w:space="0"/>
            </w:tcBorders>
          </w:tcPr>
          <w:p w14:paraId="661DC777">
            <w:pPr>
              <w:ind w:firstLine="720"/>
              <w:rPr>
                <w:rFonts w:ascii="宋体" w:hAnsi="宋体" w:cs="Calibri"/>
                <w:sz w:val="24"/>
                <w:szCs w:val="24"/>
              </w:rPr>
            </w:pPr>
          </w:p>
        </w:tc>
        <w:tc>
          <w:tcPr>
            <w:tcW w:w="3730" w:type="dxa"/>
            <w:tcBorders>
              <w:top w:val="single" w:color="auto" w:sz="4" w:space="0"/>
              <w:left w:val="nil"/>
              <w:bottom w:val="single" w:color="auto" w:sz="4" w:space="0"/>
              <w:right w:val="single" w:color="auto" w:sz="4" w:space="0"/>
            </w:tcBorders>
          </w:tcPr>
          <w:p w14:paraId="12672E90">
            <w:pPr>
              <w:ind w:firstLine="720"/>
              <w:rPr>
                <w:rFonts w:ascii="宋体" w:hAnsi="宋体" w:cs="Calibri"/>
                <w:sz w:val="24"/>
                <w:szCs w:val="24"/>
              </w:rPr>
            </w:pPr>
          </w:p>
        </w:tc>
        <w:tc>
          <w:tcPr>
            <w:tcW w:w="1927" w:type="dxa"/>
            <w:tcBorders>
              <w:top w:val="single" w:color="auto" w:sz="4" w:space="0"/>
              <w:left w:val="nil"/>
              <w:bottom w:val="single" w:color="auto" w:sz="4" w:space="0"/>
              <w:right w:val="single" w:color="auto" w:sz="4" w:space="0"/>
            </w:tcBorders>
          </w:tcPr>
          <w:p w14:paraId="2485D74B">
            <w:pPr>
              <w:ind w:firstLine="720"/>
              <w:rPr>
                <w:rFonts w:ascii="宋体" w:hAnsi="宋体" w:cs="Calibri"/>
                <w:sz w:val="24"/>
                <w:szCs w:val="24"/>
              </w:rPr>
            </w:pPr>
          </w:p>
        </w:tc>
      </w:tr>
    </w:tbl>
    <w:p w14:paraId="78E54027">
      <w:pPr>
        <w:rPr>
          <w:rFonts w:ascii="宋体" w:hAnsi="宋体"/>
          <w:sz w:val="32"/>
          <w:szCs w:val="22"/>
        </w:rPr>
      </w:pPr>
    </w:p>
    <w:p w14:paraId="02094C3D">
      <w:pPr>
        <w:spacing w:line="360" w:lineRule="auto"/>
      </w:pPr>
      <w:r>
        <w:rPr>
          <w:rFonts w:hint="eastAsia"/>
        </w:rPr>
        <w:t>投  标  人（企业电子签章）：</w:t>
      </w:r>
    </w:p>
    <w:p w14:paraId="4EC58ABB">
      <w:pPr>
        <w:spacing w:line="360" w:lineRule="auto"/>
      </w:pPr>
      <w:r>
        <w:rPr>
          <w:rFonts w:hint="eastAsia"/>
        </w:rPr>
        <w:t>法定代表人（电子签章）：</w:t>
      </w:r>
    </w:p>
    <w:p w14:paraId="5BD39CF7">
      <w:pPr>
        <w:spacing w:line="360" w:lineRule="auto"/>
      </w:pPr>
      <w:r>
        <w:rPr>
          <w:rFonts w:hint="eastAsia"/>
        </w:rPr>
        <w:t>年  月  日</w:t>
      </w:r>
    </w:p>
    <w:p w14:paraId="79CC6C91">
      <w:pPr>
        <w:rPr>
          <w:rFonts w:ascii="宋体" w:hAnsi="宋体"/>
          <w:sz w:val="32"/>
          <w:szCs w:val="22"/>
        </w:rPr>
      </w:pPr>
      <w:r>
        <w:rPr>
          <w:rFonts w:hint="eastAsia" w:ascii="宋体" w:hAnsi="宋体"/>
          <w:sz w:val="32"/>
          <w:szCs w:val="22"/>
        </w:rPr>
        <w:br w:type="page"/>
      </w:r>
    </w:p>
    <w:p w14:paraId="6E9D7170">
      <w:pPr>
        <w:pStyle w:val="3"/>
        <w:jc w:val="center"/>
        <w:rPr>
          <w:rFonts w:ascii="宋体" w:hAnsi="宋体"/>
          <w:sz w:val="32"/>
          <w:szCs w:val="22"/>
        </w:rPr>
      </w:pPr>
      <w:bookmarkStart w:id="335" w:name="_Toc29948"/>
      <w:r>
        <w:rPr>
          <w:rFonts w:hint="eastAsia" w:ascii="宋体" w:hAnsi="宋体"/>
          <w:sz w:val="32"/>
          <w:szCs w:val="22"/>
          <w:lang w:eastAsia="zh-CN"/>
        </w:rPr>
        <w:t>五</w:t>
      </w:r>
      <w:r>
        <w:rPr>
          <w:rFonts w:hint="eastAsia" w:ascii="宋体" w:hAnsi="宋体"/>
          <w:sz w:val="32"/>
          <w:szCs w:val="22"/>
        </w:rPr>
        <w:t>、</w:t>
      </w:r>
      <w:bookmarkEnd w:id="331"/>
      <w:bookmarkEnd w:id="332"/>
      <w:bookmarkEnd w:id="333"/>
      <w:bookmarkEnd w:id="334"/>
      <w:r>
        <w:rPr>
          <w:rFonts w:hint="eastAsia" w:ascii="宋体" w:hAnsi="宋体"/>
          <w:sz w:val="32"/>
          <w:szCs w:val="22"/>
        </w:rPr>
        <w:t>服务方案</w:t>
      </w:r>
      <w:bookmarkEnd w:id="335"/>
    </w:p>
    <w:p w14:paraId="10F39940">
      <w:bookmarkStart w:id="336" w:name="_Toc30329"/>
      <w:bookmarkStart w:id="337" w:name="_Toc13632"/>
      <w:bookmarkStart w:id="338" w:name="_Toc2599"/>
      <w:bookmarkStart w:id="339" w:name="_Toc17305"/>
      <w:r>
        <w:rPr>
          <w:rFonts w:hint="eastAsia"/>
        </w:rPr>
        <w:br w:type="page"/>
      </w:r>
    </w:p>
    <w:p w14:paraId="77A6C713">
      <w:pPr>
        <w:pStyle w:val="3"/>
        <w:jc w:val="center"/>
        <w:rPr>
          <w:rFonts w:ascii="黑体" w:hAnsi="宋体" w:eastAsia="黑体"/>
          <w:szCs w:val="28"/>
        </w:rPr>
      </w:pPr>
      <w:bookmarkStart w:id="340" w:name="_Toc6731"/>
      <w:r>
        <w:rPr>
          <w:rFonts w:hint="eastAsia" w:ascii="黑体" w:hAnsi="宋体"/>
          <w:szCs w:val="28"/>
          <w:lang w:eastAsia="zh-CN"/>
        </w:rPr>
        <w:t>六</w:t>
      </w:r>
      <w:r>
        <w:rPr>
          <w:rFonts w:hint="eastAsia" w:ascii="黑体" w:hAnsi="宋体" w:eastAsia="黑体"/>
          <w:szCs w:val="28"/>
        </w:rPr>
        <w:t>、其他材料</w:t>
      </w:r>
      <w:bookmarkEnd w:id="336"/>
      <w:bookmarkEnd w:id="337"/>
      <w:bookmarkEnd w:id="338"/>
      <w:bookmarkEnd w:id="339"/>
      <w:bookmarkEnd w:id="340"/>
    </w:p>
    <w:p w14:paraId="0C0834FC"/>
    <w:p w14:paraId="293D8318"/>
    <w:p w14:paraId="2B4B0DCE">
      <w:pPr>
        <w:rPr>
          <w:rFonts w:ascii="宋体" w:hAnsi="宋体"/>
        </w:rPr>
      </w:pPr>
      <w:r>
        <w:rPr>
          <w:rFonts w:hint="eastAsia" w:ascii="宋体" w:hAnsi="宋体"/>
        </w:rPr>
        <w:t>投标人认为有必要提供的资</w:t>
      </w:r>
      <w:bookmarkStart w:id="341" w:name="_Toc46237135"/>
      <w:bookmarkEnd w:id="341"/>
      <w:bookmarkStart w:id="342" w:name="_Toc146947714"/>
      <w:bookmarkEnd w:id="342"/>
      <w:bookmarkStart w:id="343" w:name="_Toc146949468"/>
      <w:r>
        <w:rPr>
          <w:rFonts w:hint="eastAsia" w:ascii="宋体" w:hAnsi="宋体"/>
        </w:rPr>
        <w:t>料</w:t>
      </w:r>
      <w:bookmarkEnd w:id="343"/>
      <w:r>
        <w:rPr>
          <w:rFonts w:hint="eastAsia" w:ascii="宋体" w:hAnsi="宋体"/>
        </w:rPr>
        <w:t>。</w:t>
      </w:r>
    </w:p>
    <w:p w14:paraId="7632129D">
      <w:pPr>
        <w:pStyle w:val="2"/>
        <w:jc w:val="center"/>
      </w:pPr>
      <w:r>
        <w:br w:type="page"/>
      </w:r>
      <w:bookmarkStart w:id="344" w:name="_Toc841"/>
      <w:bookmarkStart w:id="345" w:name="_Toc14845_WPSOffice_Level1"/>
      <w:r>
        <w:rPr>
          <w:rFonts w:hint="eastAsia"/>
        </w:rPr>
        <w:t xml:space="preserve">第七章 </w:t>
      </w:r>
      <w:bookmarkEnd w:id="344"/>
      <w:r>
        <w:rPr>
          <w:rFonts w:hint="eastAsia"/>
        </w:rPr>
        <w:t>政采领域优化营商环境相关政策</w:t>
      </w:r>
      <w:bookmarkEnd w:id="345"/>
    </w:p>
    <w:p w14:paraId="54B3AD81">
      <w:r>
        <w:rPr>
          <w:rFonts w:hint="eastAsia"/>
        </w:rPr>
        <w:br w:type="page"/>
      </w:r>
    </w:p>
    <w:p w14:paraId="2A36C99D">
      <w:pPr>
        <w:spacing w:line="360" w:lineRule="auto"/>
        <w:ind w:left="105" w:leftChars="50" w:firstLine="240" w:firstLineChars="100"/>
        <w:jc w:val="left"/>
        <w:rPr>
          <w:rFonts w:ascii="仿宋" w:hAnsi="仿宋" w:eastAsia="仿宋" w:cs="宋体"/>
          <w:sz w:val="24"/>
        </w:rPr>
      </w:pPr>
      <w:bookmarkStart w:id="346" w:name="_Toc11325"/>
      <w:r>
        <w:rPr>
          <w:rFonts w:hint="eastAsia" w:ascii="仿宋" w:hAnsi="仿宋" w:eastAsia="仿宋" w:cs="宋体"/>
          <w:sz w:val="24"/>
        </w:rPr>
        <w:t>一、降低中小企业参与成本</w:t>
      </w:r>
    </w:p>
    <w:p w14:paraId="51A978C2">
      <w:pPr>
        <w:spacing w:line="360" w:lineRule="auto"/>
        <w:ind w:left="105" w:leftChars="50" w:firstLine="240" w:firstLineChars="100"/>
        <w:jc w:val="left"/>
        <w:rPr>
          <w:rFonts w:ascii="仿宋" w:hAnsi="仿宋" w:eastAsia="仿宋" w:cs="宋体"/>
          <w:sz w:val="24"/>
        </w:rPr>
      </w:pPr>
      <w:r>
        <w:rPr>
          <w:rFonts w:hint="eastAsia" w:ascii="仿宋" w:hAnsi="仿宋" w:eastAsia="仿宋" w:cs="宋体"/>
          <w:sz w:val="24"/>
        </w:rPr>
        <w:t>（一）优化保证金管理。在招投标、政府采购领域全面推行保函（保险）替代现金缴纳投标、履约、工程质量等保证金。在我省已取消政府采购项目投标保证金的基础上，鼓励采购人在招投标领域综合考虑中小企业的发展状况并结合采购需求，免收或者降低比例收取投标、履约、工程质量等保证金，禁止收取任何无法律依据的保证金。对符合退还条件的，要依法及时退还保证金，不得非法占用。</w:t>
      </w:r>
    </w:p>
    <w:p w14:paraId="6AEB8C26">
      <w:pPr>
        <w:spacing w:line="360" w:lineRule="auto"/>
        <w:ind w:left="105" w:leftChars="50" w:firstLine="240" w:firstLineChars="100"/>
        <w:jc w:val="left"/>
        <w:rPr>
          <w:rFonts w:ascii="仿宋" w:hAnsi="仿宋" w:eastAsia="仿宋" w:cs="宋体"/>
          <w:sz w:val="24"/>
        </w:rPr>
      </w:pPr>
      <w:r>
        <w:rPr>
          <w:rFonts w:hint="eastAsia" w:ascii="仿宋" w:hAnsi="仿宋" w:eastAsia="仿宋" w:cs="宋体"/>
          <w:sz w:val="24"/>
        </w:rPr>
        <w:t>（二）加快资金支付进度。鼓励采购人在采购合同履约前向中标（成交）供应商预付合同金额30%的预付款，可以要求供应商提交预付款保函。政府采购合同首付款比例原则上不低于合同金额的30%，对于中小企业首付款比例原则上不低于合同金额的50%。采购人对于合同已经履行完毕的政府采购项目，要及时组织履约验收，在货物、工程、服务交付之日起30日内支付款项，并根据实际情况，尽量缩短资金支付期限。</w:t>
      </w:r>
    </w:p>
    <w:p w14:paraId="78023936">
      <w:pPr>
        <w:spacing w:line="360" w:lineRule="auto"/>
        <w:ind w:left="105" w:leftChars="50"/>
        <w:jc w:val="left"/>
        <w:rPr>
          <w:rFonts w:ascii="仿宋" w:hAnsi="仿宋" w:eastAsia="仿宋" w:cs="宋体"/>
          <w:b/>
          <w:sz w:val="24"/>
        </w:rPr>
      </w:pPr>
      <w:r>
        <w:rPr>
          <w:rFonts w:hint="eastAsia" w:ascii="仿宋" w:hAnsi="仿宋" w:eastAsia="仿宋" w:cs="宋体"/>
          <w:b/>
          <w:sz w:val="24"/>
        </w:rPr>
        <w:t>二、维护企业在政府采购活动中的知情权</w:t>
      </w:r>
    </w:p>
    <w:p w14:paraId="328E726A">
      <w:pPr>
        <w:spacing w:line="360" w:lineRule="auto"/>
        <w:ind w:left="105" w:leftChars="50" w:firstLine="240" w:firstLineChars="100"/>
        <w:jc w:val="left"/>
        <w:rPr>
          <w:rFonts w:ascii="仿宋" w:hAnsi="仿宋" w:eastAsia="仿宋" w:cs="宋体"/>
          <w:sz w:val="24"/>
        </w:rPr>
      </w:pPr>
      <w:r>
        <w:rPr>
          <w:rFonts w:hint="eastAsia" w:ascii="仿宋" w:hAnsi="仿宋" w:eastAsia="仿宋" w:cs="宋体"/>
          <w:sz w:val="24"/>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45D030F9">
      <w:pPr>
        <w:spacing w:line="360" w:lineRule="auto"/>
        <w:ind w:left="105" w:leftChars="50"/>
        <w:jc w:val="left"/>
        <w:rPr>
          <w:rFonts w:ascii="仿宋" w:hAnsi="仿宋" w:eastAsia="仿宋" w:cs="宋体"/>
          <w:b/>
          <w:sz w:val="24"/>
        </w:rPr>
      </w:pPr>
      <w:r>
        <w:rPr>
          <w:rFonts w:hint="eastAsia" w:ascii="仿宋" w:hAnsi="仿宋" w:eastAsia="仿宋" w:cs="宋体"/>
          <w:b/>
          <w:sz w:val="24"/>
        </w:rPr>
        <w:t>三、提供中小企业声明函格式</w:t>
      </w:r>
    </w:p>
    <w:p w14:paraId="6E8BB67A">
      <w:pPr>
        <w:pStyle w:val="16"/>
        <w:ind w:left="105" w:leftChars="50" w:firstLine="210"/>
        <w:jc w:val="left"/>
        <w:rPr>
          <w:rFonts w:ascii="仿宋" w:hAnsi="仿宋" w:eastAsia="仿宋" w:cs="宋体"/>
        </w:rPr>
      </w:pPr>
      <w:r>
        <w:rPr>
          <w:rFonts w:hint="eastAsia" w:ascii="仿宋" w:hAnsi="仿宋" w:eastAsia="仿宋" w:cs="宋体"/>
        </w:rPr>
        <w:t>在采购文件中，采购代理机构应按照财政部、工信部印发的《政府采购促进中小企业发展管理办法》的通知精神（财库〔2020〕46号）提供中小企业声明函格式。</w:t>
      </w:r>
    </w:p>
    <w:p w14:paraId="5A45AE6E">
      <w:pPr>
        <w:pStyle w:val="16"/>
        <w:ind w:left="105" w:leftChars="50" w:firstLine="210"/>
        <w:jc w:val="left"/>
        <w:rPr>
          <w:rFonts w:ascii="仿宋" w:hAnsi="仿宋" w:eastAsia="仿宋" w:cs="宋体"/>
        </w:rPr>
      </w:pPr>
      <w:r>
        <w:rPr>
          <w:rFonts w:hint="eastAsia" w:ascii="仿宋" w:hAnsi="仿宋" w:eastAsia="仿宋" w:cs="宋体"/>
        </w:rPr>
        <w:t>根据《政府采购促进中小企业发展管理办法》（财库〔2020〕46号）第四条：在政府采购活动中，供应商提供的货物、工程或者服务符合下列情形的，享受本办法规定的中小企业扶持政策：</w:t>
      </w:r>
    </w:p>
    <w:p w14:paraId="54CDB54D">
      <w:pPr>
        <w:pStyle w:val="16"/>
        <w:ind w:left="105" w:leftChars="50" w:firstLine="210"/>
        <w:jc w:val="left"/>
        <w:rPr>
          <w:rFonts w:ascii="仿宋" w:hAnsi="仿宋" w:eastAsia="仿宋" w:cs="宋体"/>
        </w:rPr>
      </w:pPr>
      <w:r>
        <w:rPr>
          <w:rFonts w:hint="eastAsia" w:ascii="仿宋" w:hAnsi="仿宋" w:eastAsia="仿宋" w:cs="宋体"/>
        </w:rPr>
        <w:t>（一）在货物采购项目中，货物由中小企业制造，即货物由中小企业生产且使用该中小企业商号或者注册商标；</w:t>
      </w:r>
    </w:p>
    <w:p w14:paraId="18FE3175">
      <w:pPr>
        <w:pStyle w:val="16"/>
        <w:ind w:left="105" w:leftChars="50" w:firstLine="210"/>
        <w:jc w:val="left"/>
        <w:rPr>
          <w:rFonts w:ascii="仿宋" w:hAnsi="仿宋" w:eastAsia="仿宋" w:cs="宋体"/>
        </w:rPr>
      </w:pPr>
      <w:r>
        <w:rPr>
          <w:rFonts w:hint="eastAsia" w:ascii="仿宋" w:hAnsi="仿宋" w:eastAsia="仿宋" w:cs="宋体"/>
        </w:rPr>
        <w:t>（二）在工程采购项目中，工程由中小企业承建，即工程施工单位为中小企业；</w:t>
      </w:r>
    </w:p>
    <w:p w14:paraId="4E8C8D26">
      <w:pPr>
        <w:pStyle w:val="16"/>
        <w:ind w:left="105" w:leftChars="50" w:firstLine="210"/>
        <w:jc w:val="left"/>
        <w:rPr>
          <w:rFonts w:ascii="仿宋" w:hAnsi="仿宋" w:eastAsia="仿宋" w:cs="宋体"/>
        </w:rPr>
      </w:pPr>
      <w:r>
        <w:rPr>
          <w:rFonts w:hint="eastAsia" w:ascii="仿宋" w:hAnsi="仿宋" w:eastAsia="仿宋" w:cs="宋体"/>
        </w:rPr>
        <w:t>（三）在服务采购项目中，服务由中小企业承接，即提供服务的人员为中小企业依照《中华人民共和国劳动合同法》订立劳动合同的从业人员。</w:t>
      </w:r>
    </w:p>
    <w:p w14:paraId="69559882">
      <w:pPr>
        <w:pStyle w:val="16"/>
        <w:ind w:left="105" w:leftChars="50" w:firstLine="210"/>
        <w:jc w:val="left"/>
        <w:rPr>
          <w:rFonts w:ascii="仿宋" w:hAnsi="仿宋" w:eastAsia="仿宋" w:cs="宋体"/>
        </w:rPr>
      </w:pPr>
      <w:r>
        <w:rPr>
          <w:rFonts w:hint="eastAsia" w:ascii="仿宋" w:hAnsi="仿宋" w:eastAsia="仿宋" w:cs="宋体"/>
        </w:rPr>
        <w:t>在货物采购项目中，供应商提供的货物既有中小企业制造货物，也有大型企业制造货物的，不享受本办法规定的中小企业扶持政策。</w:t>
      </w:r>
    </w:p>
    <w:p w14:paraId="4E029E55">
      <w:pPr>
        <w:pStyle w:val="16"/>
        <w:ind w:left="105" w:leftChars="50" w:firstLine="210"/>
        <w:jc w:val="left"/>
        <w:rPr>
          <w:rFonts w:ascii="仿宋" w:hAnsi="仿宋" w:eastAsia="仿宋" w:cs="宋体"/>
        </w:rPr>
      </w:pPr>
      <w:r>
        <w:rPr>
          <w:rFonts w:hint="eastAsia" w:ascii="仿宋" w:hAnsi="仿宋" w:eastAsia="仿宋" w:cs="宋体"/>
        </w:rPr>
        <w:t>以联合体形式参加政府采购活动，联合体各方均为中小企业的，联合体视同中小企业。其中，联合体各方均为小微企业的，联合体视同小微企业。</w:t>
      </w:r>
    </w:p>
    <w:p w14:paraId="0DA1ABAE">
      <w:pPr>
        <w:spacing w:line="360" w:lineRule="auto"/>
        <w:ind w:left="105" w:leftChars="50"/>
        <w:jc w:val="left"/>
        <w:rPr>
          <w:rFonts w:ascii="仿宋" w:hAnsi="仿宋" w:eastAsia="仿宋" w:cs="宋体"/>
          <w:b/>
          <w:sz w:val="24"/>
        </w:rPr>
      </w:pPr>
      <w:r>
        <w:rPr>
          <w:rFonts w:hint="eastAsia" w:ascii="仿宋" w:hAnsi="仿宋" w:eastAsia="仿宋" w:cs="宋体"/>
          <w:b/>
          <w:sz w:val="24"/>
        </w:rPr>
        <w:t>四、</w:t>
      </w:r>
      <w:r>
        <w:rPr>
          <w:rFonts w:ascii="仿宋" w:hAnsi="仿宋" w:eastAsia="仿宋" w:cs="宋体"/>
          <w:b/>
          <w:sz w:val="24"/>
        </w:rPr>
        <w:t>推广</w:t>
      </w:r>
      <w:r>
        <w:rPr>
          <w:rFonts w:hint="eastAsia" w:ascii="仿宋" w:hAnsi="仿宋" w:eastAsia="仿宋" w:cs="宋体"/>
          <w:b/>
          <w:sz w:val="24"/>
        </w:rPr>
        <w:t>政府采购合同融资</w:t>
      </w:r>
    </w:p>
    <w:p w14:paraId="670A1C50">
      <w:pPr>
        <w:pStyle w:val="16"/>
        <w:ind w:left="105" w:leftChars="50" w:firstLine="210"/>
        <w:jc w:val="left"/>
        <w:rPr>
          <w:rFonts w:ascii="仿宋" w:hAnsi="仿宋" w:eastAsia="仿宋" w:cs="宋体"/>
        </w:rPr>
      </w:pPr>
      <w:r>
        <w:rPr>
          <w:rFonts w:hint="eastAsia" w:ascii="仿宋" w:hAnsi="仿宋" w:eastAsia="仿宋" w:cs="宋体"/>
        </w:rPr>
        <w:t>要求采购人和代理机构将“政府采购合同融资告知函”写入招标文件，</w:t>
      </w:r>
      <w:r>
        <w:rPr>
          <w:rFonts w:ascii="仿宋" w:hAnsi="仿宋" w:eastAsia="仿宋" w:cs="宋体"/>
        </w:rPr>
        <w:t>鼓励中标供应商凭借采购合同申请贷款，助力解决中小企业融资难、融资贵的问题。</w:t>
      </w:r>
    </w:p>
    <w:p w14:paraId="1C7F9457">
      <w:pPr>
        <w:spacing w:line="360" w:lineRule="auto"/>
        <w:ind w:left="105" w:leftChars="50"/>
        <w:jc w:val="left"/>
        <w:rPr>
          <w:rFonts w:ascii="仿宋" w:hAnsi="仿宋" w:eastAsia="仿宋" w:cs="宋体"/>
          <w:b/>
          <w:sz w:val="24"/>
        </w:rPr>
      </w:pPr>
      <w:r>
        <w:rPr>
          <w:rFonts w:hint="eastAsia" w:ascii="仿宋" w:hAnsi="仿宋" w:eastAsia="仿宋" w:cs="宋体"/>
          <w:b/>
          <w:sz w:val="24"/>
        </w:rPr>
        <w:t>五、落实预留采购份额</w:t>
      </w:r>
    </w:p>
    <w:p w14:paraId="32AAD5EA">
      <w:pPr>
        <w:pStyle w:val="16"/>
        <w:ind w:left="105" w:leftChars="50" w:firstLine="210"/>
        <w:jc w:val="left"/>
        <w:rPr>
          <w:rFonts w:ascii="仿宋" w:hAnsi="仿宋" w:eastAsia="仿宋" w:cs="宋体"/>
        </w:rPr>
      </w:pPr>
      <w:r>
        <w:rPr>
          <w:rFonts w:hint="eastAsia" w:ascii="仿宋" w:hAnsi="仿宋" w:eastAsia="仿宋" w:cs="宋体"/>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河南省财政厅关于进一步做好政府采购支持中小企业发展有关事项的通知》（豫财购〔2022〕5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14:paraId="75643551">
      <w:pPr>
        <w:spacing w:line="360" w:lineRule="auto"/>
        <w:ind w:left="105" w:leftChars="50"/>
        <w:jc w:val="left"/>
        <w:rPr>
          <w:rFonts w:ascii="仿宋" w:hAnsi="仿宋" w:eastAsia="仿宋" w:cs="宋体"/>
          <w:b/>
          <w:sz w:val="24"/>
        </w:rPr>
      </w:pPr>
      <w:r>
        <w:rPr>
          <w:rFonts w:hint="eastAsia" w:ascii="仿宋" w:hAnsi="仿宋" w:eastAsia="仿宋" w:cs="宋体"/>
          <w:b/>
          <w:sz w:val="24"/>
        </w:rPr>
        <w:t>六、落实价格评审优惠政策</w:t>
      </w:r>
    </w:p>
    <w:p w14:paraId="1A5388EA">
      <w:pPr>
        <w:pStyle w:val="16"/>
        <w:ind w:left="105" w:leftChars="50" w:firstLine="210"/>
        <w:jc w:val="left"/>
        <w:rPr>
          <w:rFonts w:ascii="仿宋" w:hAnsi="仿宋" w:eastAsia="仿宋" w:cs="宋体"/>
        </w:rPr>
      </w:pPr>
      <w:r>
        <w:rPr>
          <w:rFonts w:hint="eastAsia" w:ascii="仿宋" w:hAnsi="仿宋" w:eastAsia="仿宋" w:cs="宋体"/>
        </w:rPr>
        <w:t>采购人在货物和服务采购项目中，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w:t>
      </w:r>
    </w:p>
    <w:p w14:paraId="71D4EFD7">
      <w:pPr>
        <w:pStyle w:val="16"/>
        <w:ind w:left="105" w:leftChars="50" w:firstLine="210"/>
        <w:jc w:val="left"/>
        <w:rPr>
          <w:rFonts w:ascii="仿宋" w:hAnsi="仿宋" w:eastAsia="仿宋" w:cs="宋体"/>
        </w:rPr>
      </w:pPr>
      <w:r>
        <w:rPr>
          <w:rFonts w:hint="eastAsia" w:ascii="仿宋" w:hAnsi="仿宋" w:eastAsia="仿宋" w:cs="宋体"/>
        </w:rPr>
        <w:t>政府采购工程（含适用招标投标法的工程建设项目）价格评审优惠按照《办法》规定执行。</w:t>
      </w:r>
    </w:p>
    <w:p w14:paraId="1A2A5D8C">
      <w:pPr>
        <w:rPr>
          <w:rFonts w:ascii="仿宋" w:hAnsi="仿宋" w:eastAsia="仿宋"/>
          <w:b/>
          <w:spacing w:val="6"/>
          <w:sz w:val="32"/>
          <w:szCs w:val="32"/>
        </w:rPr>
      </w:pPr>
      <w:r>
        <w:rPr>
          <w:rFonts w:hint="eastAsia" w:ascii="仿宋" w:hAnsi="仿宋" w:eastAsia="仿宋" w:cs="宋体"/>
        </w:rPr>
        <w:t>鼓励采购人结合采购标的相关行业平均利润率、市场竞争状况等</w:t>
      </w:r>
      <w:r>
        <w:rPr>
          <w:rFonts w:hint="eastAsia" w:ascii="仿宋" w:hAnsi="仿宋" w:eastAsia="仿宋" w:cs="宋体"/>
          <w:b/>
        </w:rPr>
        <w:t>从高选择</w:t>
      </w:r>
      <w:r>
        <w:rPr>
          <w:rFonts w:hint="eastAsia" w:ascii="仿宋" w:hAnsi="仿宋" w:eastAsia="仿宋" w:cs="宋体"/>
        </w:rPr>
        <w:t>价格扣除比例和评审优惠幅度，支持中小企业发展。上述政策应当在评审办法中</w:t>
      </w:r>
      <w:r>
        <w:rPr>
          <w:rFonts w:hint="eastAsia" w:ascii="仿宋" w:hAnsi="仿宋" w:eastAsia="仿宋" w:cs="宋体"/>
          <w:b/>
        </w:rPr>
        <w:t>注明确定值。</w:t>
      </w:r>
      <w:r>
        <w:rPr>
          <w:rFonts w:hint="eastAsia" w:ascii="仿宋" w:hAnsi="仿宋" w:eastAsia="仿宋"/>
          <w:b/>
          <w:spacing w:val="6"/>
          <w:sz w:val="32"/>
          <w:szCs w:val="32"/>
        </w:rPr>
        <w:br w:type="page"/>
      </w:r>
    </w:p>
    <w:p w14:paraId="1B1BF2AA">
      <w:pPr>
        <w:pStyle w:val="3"/>
        <w:rPr>
          <w:rFonts w:ascii="仿宋" w:hAnsi="仿宋" w:eastAsia="仿宋"/>
          <w:bCs/>
          <w:szCs w:val="32"/>
        </w:rPr>
      </w:pPr>
      <w:bookmarkStart w:id="347" w:name="_Toc32521_WPSOffice_Level1"/>
      <w:bookmarkStart w:id="348" w:name="_Toc30719_WPSOffice_Level1"/>
      <w:r>
        <w:rPr>
          <w:rFonts w:hint="eastAsia" w:ascii="仿宋" w:hAnsi="仿宋" w:eastAsia="仿宋"/>
          <w:spacing w:val="6"/>
          <w:szCs w:val="32"/>
        </w:rPr>
        <w:t>附件1：</w:t>
      </w:r>
      <w:r>
        <w:rPr>
          <w:rFonts w:hint="eastAsia" w:ascii="仿宋_GB2312" w:hAnsi="宋体" w:eastAsia="仿宋_GB2312"/>
          <w:szCs w:val="32"/>
        </w:rPr>
        <w:t>中小企业声明函</w:t>
      </w:r>
      <w:bookmarkEnd w:id="346"/>
      <w:bookmarkEnd w:id="347"/>
      <w:bookmarkEnd w:id="348"/>
    </w:p>
    <w:p w14:paraId="5E18F512">
      <w:pPr>
        <w:spacing w:line="360" w:lineRule="auto"/>
        <w:jc w:val="center"/>
        <w:rPr>
          <w:rFonts w:ascii="仿宋" w:hAnsi="仿宋" w:eastAsia="仿宋" w:cs="仿宋_GB2312"/>
          <w:sz w:val="24"/>
          <w:u w:val="single"/>
        </w:rPr>
      </w:pPr>
    </w:p>
    <w:p w14:paraId="033E3BB0">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14:paraId="7CAF952B">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14:paraId="5DE6C0CF">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7C208122">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6D4D1D5E">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14:paraId="33703521">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336939E9">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68E79904">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30C75178">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070DE16B">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14:paraId="6F15E7F3">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DDD5694">
      <w:pPr>
        <w:spacing w:line="360" w:lineRule="auto"/>
        <w:jc w:val="center"/>
        <w:rPr>
          <w:rFonts w:ascii="仿宋_GB2312" w:hAnsi="仿宋" w:eastAsia="仿宋_GB2312" w:cs="仿宋_GB2312"/>
          <w:b/>
          <w:sz w:val="32"/>
          <w:szCs w:val="32"/>
        </w:rPr>
      </w:pPr>
    </w:p>
    <w:p w14:paraId="6071A5B2">
      <w:pPr>
        <w:spacing w:line="360" w:lineRule="auto"/>
        <w:jc w:val="center"/>
        <w:rPr>
          <w:rFonts w:ascii="仿宋_GB2312" w:hAnsi="仿宋" w:eastAsia="仿宋_GB2312" w:cs="仿宋_GB2312"/>
          <w:b/>
          <w:sz w:val="32"/>
          <w:szCs w:val="32"/>
        </w:rPr>
      </w:pPr>
    </w:p>
    <w:p w14:paraId="0122EC38">
      <w:pPr>
        <w:spacing w:line="360" w:lineRule="auto"/>
        <w:jc w:val="center"/>
        <w:rPr>
          <w:rFonts w:ascii="仿宋_GB2312" w:hAnsi="仿宋" w:eastAsia="仿宋_GB2312" w:cs="仿宋_GB2312"/>
          <w:b/>
          <w:sz w:val="32"/>
          <w:szCs w:val="32"/>
        </w:rPr>
      </w:pPr>
    </w:p>
    <w:p w14:paraId="62024175">
      <w:pPr>
        <w:spacing w:line="360" w:lineRule="auto"/>
        <w:jc w:val="center"/>
        <w:rPr>
          <w:rFonts w:ascii="仿宋_GB2312" w:hAnsi="仿宋" w:eastAsia="仿宋_GB2312" w:cs="仿宋_GB2312"/>
          <w:b/>
          <w:sz w:val="32"/>
          <w:szCs w:val="32"/>
        </w:rPr>
      </w:pPr>
    </w:p>
    <w:p w14:paraId="3FD08092">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14:paraId="30224E0B">
      <w:pPr>
        <w:spacing w:line="360" w:lineRule="auto"/>
        <w:rPr>
          <w:rFonts w:ascii="仿宋_GB2312" w:hAnsi="仿宋" w:eastAsia="仿宋_GB2312"/>
        </w:rPr>
      </w:pPr>
    </w:p>
    <w:p w14:paraId="5F7BA593">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14:paraId="58D24627">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14:paraId="7698B4C4">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14:paraId="63DFB7C6">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14:paraId="287B4003">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35A65BCA">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1CE80E3A">
      <w:pPr>
        <w:spacing w:line="360" w:lineRule="auto"/>
        <w:ind w:right="1760"/>
        <w:jc w:val="right"/>
        <w:rPr>
          <w:rFonts w:hint="eastAsia"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485AD7DC">
      <w:pPr>
        <w:wordWrap w:val="0"/>
        <w:spacing w:line="360" w:lineRule="auto"/>
        <w:ind w:right="1760"/>
        <w:jc w:val="right"/>
        <w:rPr>
          <w:rFonts w:hint="default" w:ascii="仿宋_GB2312" w:hAnsi="宋体" w:eastAsia="仿宋_GB2312"/>
          <w:sz w:val="24"/>
          <w:lang w:val="en-US" w:eastAsia="zh-CN"/>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hint="eastAsia" w:ascii="仿宋_GB2312" w:hAnsi="宋体" w:eastAsia="仿宋_GB2312"/>
          <w:sz w:val="24"/>
          <w:lang w:val="en-US" w:eastAsia="zh-CN"/>
        </w:rPr>
        <w:t xml:space="preserve">                 </w:t>
      </w:r>
    </w:p>
    <w:p w14:paraId="47AC1D3D">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0BAACDBC">
      <w:pPr>
        <w:spacing w:line="360" w:lineRule="auto"/>
        <w:ind w:right="420"/>
        <w:rPr>
          <w:rFonts w:ascii="仿宋_GB2312" w:hAnsi="仿宋" w:eastAsia="仿宋_GB2312" w:cs="仿宋_GB2312"/>
          <w:sz w:val="24"/>
        </w:rPr>
      </w:pPr>
    </w:p>
    <w:p w14:paraId="6EC84080">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E400375">
      <w:r>
        <w:rPr>
          <w:rFonts w:hint="eastAsia"/>
        </w:rPr>
        <w:br w:type="page"/>
      </w:r>
    </w:p>
    <w:p w14:paraId="28789E17">
      <w:pPr>
        <w:pStyle w:val="3"/>
        <w:rPr>
          <w:rFonts w:ascii="仿宋_GB2312" w:hAnsi="仿宋" w:eastAsia="仿宋_GB2312"/>
          <w:spacing w:val="6"/>
          <w:szCs w:val="32"/>
        </w:rPr>
      </w:pPr>
      <w:bookmarkStart w:id="349" w:name="_Toc31115"/>
      <w:bookmarkStart w:id="350" w:name="_Toc773_WPSOffice_Level1"/>
      <w:bookmarkStart w:id="351" w:name="_Toc16142_WPSOffice_Level1"/>
      <w:r>
        <w:rPr>
          <w:rFonts w:hint="eastAsia" w:ascii="仿宋_GB2312" w:hAnsi="仿宋" w:eastAsia="仿宋_GB2312"/>
          <w:spacing w:val="6"/>
          <w:szCs w:val="32"/>
        </w:rPr>
        <w:t>附件2</w:t>
      </w:r>
      <w:r>
        <w:rPr>
          <w:rFonts w:ascii="仿宋_GB2312" w:hAnsi="仿宋" w:eastAsia="仿宋_GB2312"/>
          <w:spacing w:val="6"/>
          <w:szCs w:val="32"/>
        </w:rPr>
        <w:t>：</w:t>
      </w:r>
      <w:r>
        <w:rPr>
          <w:rFonts w:hint="eastAsia" w:ascii="仿宋_GB2312" w:hAnsi="仿宋" w:eastAsia="仿宋_GB2312"/>
          <w:spacing w:val="6"/>
          <w:szCs w:val="32"/>
        </w:rPr>
        <w:t>残疾人福利性单位声明函</w:t>
      </w:r>
      <w:bookmarkEnd w:id="349"/>
      <w:bookmarkEnd w:id="350"/>
      <w:bookmarkEnd w:id="351"/>
    </w:p>
    <w:p w14:paraId="1172BA13">
      <w:pPr>
        <w:spacing w:line="360" w:lineRule="auto"/>
        <w:jc w:val="center"/>
        <w:rPr>
          <w:rFonts w:ascii="仿宋_GB2312" w:hAnsi="仿宋" w:eastAsia="仿宋_GB2312"/>
          <w:b/>
          <w:spacing w:val="6"/>
          <w:sz w:val="32"/>
          <w:szCs w:val="32"/>
        </w:rPr>
      </w:pPr>
      <w:bookmarkStart w:id="352" w:name="OLE_LINK13"/>
      <w:bookmarkStart w:id="353" w:name="OLE_LINK14"/>
      <w:r>
        <w:rPr>
          <w:rFonts w:hint="eastAsia" w:ascii="仿宋_GB2312" w:hAnsi="仿宋" w:eastAsia="仿宋_GB2312"/>
          <w:b/>
          <w:spacing w:val="6"/>
          <w:sz w:val="32"/>
          <w:szCs w:val="32"/>
        </w:rPr>
        <w:t>残疾人福利性单位声明函</w:t>
      </w:r>
    </w:p>
    <w:bookmarkEnd w:id="352"/>
    <w:bookmarkEnd w:id="353"/>
    <w:p w14:paraId="2F444D51">
      <w:pPr>
        <w:spacing w:line="360" w:lineRule="auto"/>
        <w:rPr>
          <w:rFonts w:ascii="仿宋_GB2312" w:hAnsi="仿宋" w:eastAsia="仿宋_GB2312"/>
          <w:b/>
          <w:spacing w:val="6"/>
          <w:sz w:val="30"/>
          <w:szCs w:val="30"/>
        </w:rPr>
      </w:pPr>
    </w:p>
    <w:p w14:paraId="0A7A3457">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9D0AC3">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0C13851F">
      <w:pPr>
        <w:spacing w:line="360" w:lineRule="auto"/>
        <w:ind w:firstLine="480" w:firstLineChars="200"/>
        <w:rPr>
          <w:rFonts w:ascii="仿宋_GB2312" w:hAnsi="仿宋" w:eastAsia="仿宋_GB2312" w:cs="仿宋_GB2312"/>
          <w:sz w:val="24"/>
        </w:rPr>
      </w:pPr>
    </w:p>
    <w:p w14:paraId="5BA33F1C">
      <w:pPr>
        <w:spacing w:line="360" w:lineRule="auto"/>
        <w:ind w:firstLine="480" w:firstLineChars="200"/>
        <w:rPr>
          <w:rFonts w:ascii="仿宋_GB2312" w:hAnsi="仿宋" w:eastAsia="仿宋_GB2312" w:cs="仿宋_GB2312"/>
          <w:sz w:val="24"/>
        </w:rPr>
      </w:pPr>
    </w:p>
    <w:p w14:paraId="2C9E0FD0">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2EAE9F66">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34C36B07">
      <w:r>
        <w:rPr>
          <w:rFonts w:hint="eastAsia"/>
        </w:rPr>
        <w:br w:type="page"/>
      </w:r>
    </w:p>
    <w:p w14:paraId="14E87FDA">
      <w:pPr>
        <w:pStyle w:val="3"/>
        <w:rPr>
          <w:rFonts w:ascii="仿宋_GB2312" w:hAnsi="仿宋" w:eastAsia="仿宋_GB2312"/>
          <w:spacing w:val="6"/>
          <w:szCs w:val="32"/>
          <w:lang w:val="zh-CN"/>
        </w:rPr>
      </w:pPr>
      <w:bookmarkStart w:id="354" w:name="_Toc17694_WPSOffice_Level1"/>
      <w:bookmarkStart w:id="355" w:name="_Toc11055_WPSOffice_Level1"/>
      <w:bookmarkStart w:id="356" w:name="_Toc8283_WPSOffice_Level1"/>
      <w:bookmarkStart w:id="357" w:name="_Toc7504"/>
      <w:r>
        <w:rPr>
          <w:rFonts w:hint="eastAsia" w:ascii="仿宋_GB2312" w:hAnsi="仿宋" w:eastAsia="仿宋_GB2312"/>
          <w:spacing w:val="6"/>
          <w:szCs w:val="32"/>
        </w:rPr>
        <w:t>附件3：</w:t>
      </w:r>
      <w:r>
        <w:rPr>
          <w:rFonts w:hint="eastAsia" w:ascii="仿宋_GB2312" w:hAnsi="仿宋" w:eastAsia="仿宋_GB2312"/>
          <w:spacing w:val="6"/>
          <w:szCs w:val="32"/>
          <w:lang w:val="zh-CN"/>
        </w:rPr>
        <w:t>监狱企业的证明文件</w:t>
      </w:r>
      <w:bookmarkEnd w:id="354"/>
      <w:bookmarkEnd w:id="355"/>
    </w:p>
    <w:p w14:paraId="424B3965">
      <w:pPr>
        <w:pStyle w:val="29"/>
        <w:rPr>
          <w:rFonts w:ascii="宋体" w:hAnsi="宋体" w:cs="宋体"/>
          <w:lang w:val="zh-CN"/>
        </w:rPr>
      </w:pPr>
    </w:p>
    <w:p w14:paraId="148F8EB4">
      <w:pPr>
        <w:autoSpaceDE w:val="0"/>
        <w:autoSpaceDN w:val="0"/>
        <w:adjustRightInd w:val="0"/>
        <w:snapToGrid w:val="0"/>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1、政府采购政策</w:t>
      </w:r>
    </w:p>
    <w:p w14:paraId="50625CE0">
      <w:pPr>
        <w:autoSpaceDE w:val="0"/>
        <w:autoSpaceDN w:val="0"/>
        <w:adjustRightInd w:val="0"/>
        <w:snapToGrid w:val="0"/>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财政部、司法部关于政府采购支持监狱企业发展有关问题的通知（财库【2014】68 号）</w:t>
      </w:r>
    </w:p>
    <w:p w14:paraId="31DF6764">
      <w:pPr>
        <w:autoSpaceDE w:val="0"/>
        <w:autoSpaceDN w:val="0"/>
        <w:adjustRightInd w:val="0"/>
        <w:snapToGrid w:val="0"/>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2、附证明材料</w:t>
      </w:r>
    </w:p>
    <w:p w14:paraId="7C679E17">
      <w:pPr>
        <w:autoSpaceDE w:val="0"/>
        <w:autoSpaceDN w:val="0"/>
        <w:adjustRightInd w:val="0"/>
        <w:snapToGrid w:val="0"/>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提供由省级以上监狱管理局、戒毒管理局（含新疆生产建设兵团）出具的属于监狱企业的证明文件</w:t>
      </w:r>
      <w:r>
        <w:rPr>
          <w:rFonts w:hint="eastAsia" w:ascii="宋体" w:hAnsi="宋体" w:cs="宋体"/>
          <w:kern w:val="0"/>
          <w:sz w:val="24"/>
          <w:szCs w:val="24"/>
          <w:lang w:val="en-US" w:eastAsia="zh-CN"/>
        </w:rPr>
        <w:t>.</w:t>
      </w:r>
      <w:r>
        <w:rPr>
          <w:rFonts w:hint="eastAsia" w:ascii="宋体" w:hAnsi="宋体" w:cs="宋体"/>
          <w:kern w:val="0"/>
          <w:sz w:val="24"/>
          <w:szCs w:val="24"/>
          <w:lang w:val="zh-CN"/>
        </w:rPr>
        <w:t xml:space="preserve"> </w:t>
      </w:r>
    </w:p>
    <w:p w14:paraId="34BAE0CA">
      <w:pPr>
        <w:autoSpaceDE w:val="0"/>
        <w:autoSpaceDN w:val="0"/>
        <w:adjustRightInd w:val="0"/>
        <w:snapToGrid w:val="0"/>
        <w:jc w:val="left"/>
        <w:rPr>
          <w:rFonts w:ascii="宋体" w:hAnsi="宋体" w:cs="宋体"/>
          <w:kern w:val="0"/>
          <w:sz w:val="24"/>
          <w:szCs w:val="24"/>
          <w:lang w:val="zh-CN"/>
        </w:rPr>
      </w:pPr>
      <w:r>
        <w:rPr>
          <w:rFonts w:hint="eastAsia" w:ascii="宋体" w:hAnsi="宋体" w:cs="宋体"/>
          <w:kern w:val="0"/>
          <w:sz w:val="24"/>
          <w:szCs w:val="24"/>
          <w:lang w:val="zh-CN"/>
        </w:rPr>
        <w:t xml:space="preserve"> </w:t>
      </w:r>
    </w:p>
    <w:p w14:paraId="5254C223">
      <w:pPr>
        <w:rPr>
          <w:rFonts w:ascii="宋体" w:hAnsi="宋体"/>
          <w:bCs/>
          <w:szCs w:val="32"/>
        </w:rPr>
      </w:pPr>
      <w:r>
        <w:rPr>
          <w:rFonts w:hint="eastAsia" w:ascii="宋体" w:hAnsi="宋体"/>
          <w:bCs/>
          <w:szCs w:val="32"/>
        </w:rPr>
        <w:br w:type="page"/>
      </w:r>
    </w:p>
    <w:p w14:paraId="4B2218DC">
      <w:pPr>
        <w:pStyle w:val="3"/>
        <w:rPr>
          <w:rFonts w:ascii="宋体" w:hAnsi="宋体" w:eastAsia="宋体"/>
          <w:bCs/>
          <w:szCs w:val="32"/>
        </w:rPr>
      </w:pPr>
      <w:bookmarkStart w:id="358" w:name="_Toc16065_WPSOffice_Level1"/>
      <w:bookmarkStart w:id="359" w:name="_Toc5420_WPSOffice_Level1"/>
      <w:r>
        <w:rPr>
          <w:rFonts w:hint="eastAsia" w:ascii="宋体" w:hAnsi="宋体"/>
          <w:bCs/>
          <w:szCs w:val="32"/>
        </w:rPr>
        <w:t>附件</w:t>
      </w:r>
      <w:bookmarkEnd w:id="356"/>
      <w:r>
        <w:rPr>
          <w:rFonts w:hint="eastAsia" w:ascii="仿宋_GB2312" w:hAnsi="仿宋" w:eastAsia="仿宋_GB2312"/>
          <w:spacing w:val="6"/>
          <w:szCs w:val="32"/>
        </w:rPr>
        <w:t>4：政府采购合同融资政策</w:t>
      </w:r>
      <w:bookmarkEnd w:id="357"/>
      <w:bookmarkEnd w:id="358"/>
      <w:bookmarkEnd w:id="359"/>
    </w:p>
    <w:p w14:paraId="192225D1">
      <w:pPr>
        <w:spacing w:line="360" w:lineRule="auto"/>
        <w:ind w:firstLine="446" w:firstLineChars="200"/>
        <w:jc w:val="center"/>
        <w:rPr>
          <w:rFonts w:hAnsi="宋体" w:cs="宋体"/>
          <w:b/>
          <w:bCs/>
          <w:spacing w:val="6"/>
        </w:rPr>
      </w:pPr>
      <w:r>
        <w:rPr>
          <w:rFonts w:hint="eastAsia" w:hAnsi="宋体" w:cs="宋体"/>
          <w:b/>
          <w:bCs/>
          <w:spacing w:val="6"/>
        </w:rPr>
        <w:t xml:space="preserve"> </w:t>
      </w:r>
    </w:p>
    <w:p w14:paraId="192B1120">
      <w:pPr>
        <w:widowControl/>
        <w:jc w:val="center"/>
        <w:rPr>
          <w:rFonts w:hAnsi="宋体" w:cs="宋体"/>
          <w:b/>
          <w:bCs/>
        </w:rPr>
      </w:pPr>
      <w:bookmarkStart w:id="360" w:name="_Toc11074_WPSOffice_Level1"/>
      <w:r>
        <w:rPr>
          <w:rFonts w:hint="eastAsia" w:hAnsi="宋体" w:cs="宋体"/>
          <w:b/>
          <w:bCs/>
        </w:rPr>
        <w:t>河南省政府采购合同融资政策告知函</w:t>
      </w:r>
      <w:bookmarkEnd w:id="360"/>
    </w:p>
    <w:p w14:paraId="7838C0A2">
      <w:pPr>
        <w:widowControl/>
        <w:adjustRightInd w:val="0"/>
        <w:snapToGrid w:val="0"/>
        <w:spacing w:before="156" w:beforeLines="50" w:line="360" w:lineRule="auto"/>
        <w:ind w:firstLine="420" w:firstLineChars="200"/>
        <w:jc w:val="left"/>
        <w:rPr>
          <w:rFonts w:hAnsi="宋体" w:cs="宋体"/>
        </w:rPr>
      </w:pPr>
      <w:r>
        <w:rPr>
          <w:rFonts w:hint="eastAsia" w:hAnsi="宋体" w:cs="宋体"/>
        </w:rPr>
        <w:t>各供应商：</w:t>
      </w:r>
    </w:p>
    <w:p w14:paraId="46EDD52E">
      <w:pPr>
        <w:widowControl/>
        <w:adjustRightInd w:val="0"/>
        <w:snapToGrid w:val="0"/>
        <w:spacing w:before="156" w:beforeLines="50" w:line="360" w:lineRule="auto"/>
        <w:ind w:firstLine="420" w:firstLineChars="200"/>
        <w:jc w:val="left"/>
        <w:rPr>
          <w:rFonts w:hAnsi="宋体" w:cs="宋体"/>
        </w:rPr>
      </w:pPr>
      <w:r>
        <w:rPr>
          <w:rFonts w:hint="eastAsia" w:hAnsi="宋体" w:cs="宋体"/>
        </w:rPr>
        <w:t>欢迎贵公司参与河南省政府采购活动！</w:t>
      </w:r>
    </w:p>
    <w:p w14:paraId="314E4DA3">
      <w:pPr>
        <w:widowControl/>
        <w:adjustRightInd w:val="0"/>
        <w:snapToGrid w:val="0"/>
        <w:spacing w:before="156" w:beforeLines="50" w:line="360" w:lineRule="auto"/>
        <w:ind w:firstLine="420" w:firstLineChars="200"/>
        <w:jc w:val="left"/>
        <w:rPr>
          <w:rFonts w:hAnsi="宋体" w:cs="宋体"/>
        </w:rPr>
      </w:pPr>
      <w:r>
        <w:rPr>
          <w:rFonts w:hint="eastAsia" w:hAnsi="宋体" w:cs="宋体"/>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FCBD2AC">
      <w:pPr>
        <w:widowControl/>
        <w:adjustRightInd w:val="0"/>
        <w:snapToGrid w:val="0"/>
        <w:spacing w:before="156" w:beforeLines="50" w:line="360" w:lineRule="auto"/>
        <w:ind w:firstLine="420" w:firstLineChars="200"/>
        <w:jc w:val="left"/>
        <w:rPr>
          <w:rFonts w:hAnsi="宋体" w:cs="宋体"/>
        </w:rPr>
      </w:pPr>
      <w:r>
        <w:rPr>
          <w:rFonts w:hint="eastAsia" w:hAnsi="宋体" w:cs="宋体"/>
        </w:rPr>
        <w:t>贷款渠道和提供贷款的金融机构，可在河南省政府采购网“河南省政府采购合同融资平台”查询联系。</w:t>
      </w:r>
    </w:p>
    <w:p w14:paraId="166D840E">
      <w:r>
        <w:rPr>
          <w:rFonts w:hint="eastAsia"/>
        </w:rPr>
        <w:br w:type="page"/>
      </w:r>
    </w:p>
    <w:p w14:paraId="7706F806">
      <w:pPr>
        <w:pStyle w:val="3"/>
        <w:rPr>
          <w:rFonts w:ascii="宋体" w:hAnsi="宋体"/>
          <w:bCs/>
          <w:szCs w:val="32"/>
        </w:rPr>
      </w:pPr>
      <w:bookmarkStart w:id="361" w:name="_Toc5570_WPSOffice_Level1"/>
      <w:bookmarkStart w:id="362" w:name="_Toc29510_WPSOffice_Level1"/>
      <w:bookmarkStart w:id="363" w:name="_Toc26369"/>
      <w:r>
        <w:rPr>
          <w:rFonts w:hint="eastAsia" w:ascii="宋体" w:hAnsi="宋体"/>
          <w:bCs/>
          <w:szCs w:val="32"/>
        </w:rPr>
        <w:t>附件5：</w:t>
      </w:r>
      <w:r>
        <w:rPr>
          <w:rFonts w:ascii="宋体" w:hAnsi="宋体"/>
          <w:bCs/>
          <w:szCs w:val="32"/>
        </w:rPr>
        <w:t>关于印发中小企业划型标准规定的通知</w:t>
      </w:r>
      <w:bookmarkEnd w:id="361"/>
      <w:bookmarkEnd w:id="362"/>
      <w:bookmarkEnd w:id="363"/>
    </w:p>
    <w:p w14:paraId="2B0A9638">
      <w:pPr>
        <w:widowControl/>
        <w:spacing w:line="432" w:lineRule="auto"/>
        <w:jc w:val="left"/>
        <w:rPr>
          <w:rFonts w:ascii="宋体" w:hAnsi="宋体" w:cs="宋体"/>
          <w:szCs w:val="21"/>
        </w:rPr>
      </w:pPr>
      <w:r>
        <w:rPr>
          <w:rFonts w:hint="eastAsia" w:ascii="宋体" w:hAnsi="宋体" w:cs="宋体"/>
          <w:szCs w:val="21"/>
        </w:rPr>
        <w:t xml:space="preserve">                  </w:t>
      </w:r>
      <w:r>
        <w:rPr>
          <w:rFonts w:ascii="宋体" w:hAnsi="宋体" w:cs="宋体"/>
          <w:szCs w:val="21"/>
        </w:rPr>
        <w:t>工信部联企业〔2011〕300号</w:t>
      </w:r>
    </w:p>
    <w:p w14:paraId="7B4C1243">
      <w:pPr>
        <w:spacing w:line="560" w:lineRule="exact"/>
        <w:rPr>
          <w:rFonts w:ascii="宋体" w:hAnsi="宋体" w:cs="宋体"/>
          <w:szCs w:val="21"/>
        </w:rPr>
      </w:pPr>
      <w:r>
        <w:rPr>
          <w:rFonts w:ascii="宋体" w:hAnsi="宋体" w:cs="宋体"/>
          <w:szCs w:val="21"/>
        </w:rPr>
        <w:t>各省、自治区、直辖市人民政府，国务院各部委、各直属机构及有关单位：</w:t>
      </w:r>
    </w:p>
    <w:p w14:paraId="3489FC8F">
      <w:pPr>
        <w:spacing w:line="560" w:lineRule="exact"/>
        <w:ind w:firstLine="420" w:firstLineChars="200"/>
        <w:rPr>
          <w:rFonts w:ascii="宋体" w:hAnsi="宋体" w:cs="宋体"/>
          <w:szCs w:val="21"/>
        </w:rPr>
      </w:pPr>
      <w:r>
        <w:rPr>
          <w:rFonts w:ascii="宋体" w:hAnsi="宋体" w:cs="宋体"/>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355227A">
      <w:pPr>
        <w:spacing w:line="560" w:lineRule="exact"/>
        <w:ind w:right="840" w:rightChars="400" w:firstLine="420" w:firstLineChars="200"/>
        <w:jc w:val="right"/>
        <w:rPr>
          <w:rFonts w:ascii="宋体" w:hAnsi="宋体" w:cs="宋体"/>
          <w:szCs w:val="21"/>
        </w:rPr>
      </w:pPr>
      <w:r>
        <w:rPr>
          <w:rFonts w:ascii="宋体" w:hAnsi="宋体" w:cs="宋体"/>
          <w:szCs w:val="21"/>
        </w:rPr>
        <w:t>工业和信息化部</w:t>
      </w:r>
    </w:p>
    <w:p w14:paraId="70EFEA77">
      <w:pPr>
        <w:spacing w:line="560" w:lineRule="exact"/>
        <w:ind w:right="840" w:rightChars="400" w:firstLine="420" w:firstLineChars="200"/>
        <w:jc w:val="right"/>
        <w:rPr>
          <w:rFonts w:ascii="宋体" w:hAnsi="宋体" w:cs="宋体"/>
          <w:szCs w:val="21"/>
        </w:rPr>
      </w:pPr>
      <w:r>
        <w:rPr>
          <w:rFonts w:ascii="宋体" w:hAnsi="宋体" w:cs="宋体"/>
          <w:szCs w:val="21"/>
        </w:rPr>
        <w:t>国家统计局</w:t>
      </w:r>
    </w:p>
    <w:p w14:paraId="0E8EB215">
      <w:pPr>
        <w:spacing w:line="560" w:lineRule="exact"/>
        <w:ind w:right="840" w:rightChars="400" w:firstLine="420" w:firstLineChars="200"/>
        <w:jc w:val="right"/>
        <w:rPr>
          <w:rFonts w:ascii="宋体" w:hAnsi="宋体" w:cs="宋体"/>
          <w:szCs w:val="21"/>
        </w:rPr>
      </w:pPr>
      <w:r>
        <w:rPr>
          <w:rFonts w:ascii="宋体" w:hAnsi="宋体" w:cs="宋体"/>
          <w:szCs w:val="21"/>
        </w:rPr>
        <w:t>国家发展和改革委员会</w:t>
      </w:r>
    </w:p>
    <w:p w14:paraId="4DE0E2A4">
      <w:pPr>
        <w:spacing w:line="560" w:lineRule="exact"/>
        <w:ind w:right="840" w:rightChars="400" w:firstLine="420" w:firstLineChars="200"/>
        <w:jc w:val="right"/>
        <w:rPr>
          <w:rFonts w:ascii="宋体" w:hAnsi="宋体" w:cs="宋体"/>
          <w:szCs w:val="21"/>
        </w:rPr>
      </w:pPr>
      <w:r>
        <w:rPr>
          <w:rFonts w:ascii="宋体" w:hAnsi="宋体" w:cs="宋体"/>
          <w:szCs w:val="21"/>
        </w:rPr>
        <w:t>财政部</w:t>
      </w:r>
    </w:p>
    <w:p w14:paraId="591A8A2A">
      <w:pPr>
        <w:spacing w:line="560" w:lineRule="exact"/>
        <w:ind w:right="840" w:rightChars="400" w:firstLine="420" w:firstLineChars="200"/>
        <w:jc w:val="right"/>
        <w:rPr>
          <w:rFonts w:ascii="宋体" w:hAnsi="宋体" w:cs="宋体"/>
          <w:szCs w:val="21"/>
        </w:rPr>
      </w:pPr>
      <w:r>
        <w:rPr>
          <w:rFonts w:ascii="宋体" w:hAnsi="宋体" w:cs="宋体"/>
          <w:szCs w:val="21"/>
        </w:rPr>
        <w:t>二○一一年六月十八日</w:t>
      </w:r>
    </w:p>
    <w:p w14:paraId="77339A40">
      <w:pPr>
        <w:spacing w:line="560" w:lineRule="exact"/>
        <w:jc w:val="center"/>
        <w:rPr>
          <w:rFonts w:ascii="宋体" w:hAnsi="宋体" w:cs="宋体"/>
          <w:szCs w:val="21"/>
        </w:rPr>
      </w:pPr>
      <w:bookmarkStart w:id="364" w:name="_Toc20281_WPSOffice_Level1"/>
      <w:bookmarkStart w:id="365" w:name="_Toc31222_WPSOffice_Level1"/>
      <w:r>
        <w:rPr>
          <w:rFonts w:ascii="宋体" w:hAnsi="宋体" w:cs="宋体"/>
          <w:szCs w:val="21"/>
        </w:rPr>
        <w:t>中小企业划型标准规定</w:t>
      </w:r>
      <w:bookmarkEnd w:id="364"/>
      <w:bookmarkEnd w:id="365"/>
    </w:p>
    <w:p w14:paraId="0E6902F4">
      <w:pPr>
        <w:spacing w:line="560" w:lineRule="exact"/>
        <w:ind w:firstLine="420" w:firstLineChars="200"/>
        <w:rPr>
          <w:rFonts w:ascii="宋体" w:hAnsi="宋体" w:cs="宋体"/>
          <w:szCs w:val="21"/>
        </w:rPr>
      </w:pPr>
      <w:r>
        <w:rPr>
          <w:rFonts w:ascii="宋体" w:hAnsi="宋体" w:cs="宋体"/>
          <w:szCs w:val="21"/>
        </w:rPr>
        <w:t>一、根据《中华人民共和国中小企业促进法》和《国务院关于进一步促进中小企业发展的若干意见》(国发〔2009〕36号)，制定本规定。</w:t>
      </w:r>
    </w:p>
    <w:p w14:paraId="3E08FB7F">
      <w:pPr>
        <w:spacing w:line="560" w:lineRule="exact"/>
        <w:ind w:firstLine="420" w:firstLineChars="200"/>
        <w:rPr>
          <w:rFonts w:ascii="宋体" w:hAnsi="宋体" w:cs="宋体"/>
          <w:szCs w:val="21"/>
        </w:rPr>
      </w:pPr>
      <w:r>
        <w:rPr>
          <w:rFonts w:ascii="宋体" w:hAnsi="宋体" w:cs="宋体"/>
          <w:szCs w:val="21"/>
        </w:rPr>
        <w:t>二、中小企业划分为中型、小型、微型三种类型，具体标准根据企业从业人员、营业收入、资产总额等指标，结合行业特点制定。</w:t>
      </w:r>
    </w:p>
    <w:p w14:paraId="6CE0A4CC">
      <w:pPr>
        <w:spacing w:line="560" w:lineRule="exact"/>
        <w:ind w:firstLine="420" w:firstLineChars="200"/>
        <w:rPr>
          <w:rFonts w:ascii="宋体" w:hAnsi="宋体" w:cs="宋体"/>
          <w:szCs w:val="21"/>
        </w:rPr>
      </w:pPr>
      <w:r>
        <w:rPr>
          <w:rFonts w:ascii="宋体" w:hAnsi="宋体" w:cs="宋体"/>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E7A01EB">
      <w:pPr>
        <w:spacing w:line="560" w:lineRule="exact"/>
        <w:ind w:firstLine="420" w:firstLineChars="200"/>
        <w:rPr>
          <w:rFonts w:ascii="宋体" w:hAnsi="宋体" w:cs="宋体"/>
          <w:szCs w:val="21"/>
        </w:rPr>
      </w:pPr>
      <w:r>
        <w:rPr>
          <w:rFonts w:ascii="宋体" w:hAnsi="宋体" w:cs="宋体"/>
          <w:szCs w:val="21"/>
        </w:rPr>
        <w:t>四、各行业划型标准为：</w:t>
      </w:r>
    </w:p>
    <w:p w14:paraId="414715A4">
      <w:pPr>
        <w:spacing w:line="560" w:lineRule="exact"/>
        <w:ind w:firstLine="420" w:firstLineChars="200"/>
        <w:rPr>
          <w:rFonts w:ascii="宋体" w:hAnsi="宋体" w:cs="宋体"/>
          <w:szCs w:val="21"/>
        </w:rPr>
      </w:pPr>
      <w:r>
        <w:rPr>
          <w:rFonts w:ascii="宋体" w:hAnsi="宋体" w:cs="宋体"/>
          <w:szCs w:val="21"/>
        </w:rPr>
        <w:t>（一）农、林、牧、渔业。营业收入20000万元以下的为中小微型企业。其中，营业收入500万元及以上的为中型企业，营业收入50万元及以上的为小型企业，营业收入50万元以下的为微型企业。</w:t>
      </w:r>
    </w:p>
    <w:p w14:paraId="51701A03">
      <w:pPr>
        <w:spacing w:line="560" w:lineRule="exact"/>
        <w:ind w:firstLine="420" w:firstLineChars="200"/>
        <w:rPr>
          <w:rFonts w:ascii="宋体" w:hAnsi="宋体" w:cs="宋体"/>
          <w:szCs w:val="21"/>
        </w:rPr>
      </w:pPr>
      <w:r>
        <w:rPr>
          <w:rFonts w:ascii="宋体" w:hAnsi="宋体" w:cs="宋体"/>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1E3E4C2">
      <w:pPr>
        <w:spacing w:line="560" w:lineRule="exact"/>
        <w:ind w:firstLine="420" w:firstLineChars="200"/>
        <w:rPr>
          <w:rFonts w:ascii="宋体" w:hAnsi="宋体" w:cs="宋体"/>
          <w:szCs w:val="21"/>
        </w:rPr>
      </w:pPr>
      <w:r>
        <w:rPr>
          <w:rFonts w:ascii="宋体" w:hAnsi="宋体" w:cs="宋体"/>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A18357F">
      <w:pPr>
        <w:spacing w:line="560" w:lineRule="exact"/>
        <w:ind w:firstLine="420" w:firstLineChars="200"/>
        <w:rPr>
          <w:rFonts w:ascii="宋体" w:hAnsi="宋体" w:cs="宋体"/>
          <w:szCs w:val="21"/>
        </w:rPr>
      </w:pPr>
      <w:r>
        <w:rPr>
          <w:rFonts w:ascii="宋体" w:hAnsi="宋体" w:cs="宋体"/>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C740844">
      <w:pPr>
        <w:spacing w:line="560" w:lineRule="exact"/>
        <w:ind w:firstLine="420" w:firstLineChars="200"/>
        <w:rPr>
          <w:rFonts w:ascii="宋体" w:hAnsi="宋体" w:cs="宋体"/>
          <w:szCs w:val="21"/>
        </w:rPr>
      </w:pPr>
      <w:r>
        <w:rPr>
          <w:rFonts w:ascii="宋体" w:hAnsi="宋体" w:cs="宋体"/>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E171383">
      <w:pPr>
        <w:spacing w:line="560" w:lineRule="exact"/>
        <w:ind w:firstLine="420" w:firstLineChars="200"/>
        <w:rPr>
          <w:rFonts w:ascii="宋体" w:hAnsi="宋体" w:cs="宋体"/>
          <w:szCs w:val="21"/>
        </w:rPr>
      </w:pPr>
      <w:r>
        <w:rPr>
          <w:rFonts w:ascii="宋体" w:hAnsi="宋体" w:cs="宋体"/>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019DCFE">
      <w:pPr>
        <w:spacing w:line="560" w:lineRule="exact"/>
        <w:ind w:firstLine="420" w:firstLineChars="200"/>
        <w:rPr>
          <w:rFonts w:ascii="宋体" w:hAnsi="宋体" w:cs="宋体"/>
          <w:szCs w:val="21"/>
        </w:rPr>
      </w:pPr>
      <w:r>
        <w:rPr>
          <w:rFonts w:ascii="宋体" w:hAnsi="宋体" w:cs="宋体"/>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9B0CFE3">
      <w:pPr>
        <w:spacing w:line="560" w:lineRule="exact"/>
        <w:ind w:firstLine="420" w:firstLineChars="200"/>
        <w:rPr>
          <w:rFonts w:ascii="宋体" w:hAnsi="宋体" w:cs="宋体"/>
          <w:szCs w:val="21"/>
        </w:rPr>
      </w:pPr>
      <w:r>
        <w:rPr>
          <w:rFonts w:ascii="宋体" w:hAnsi="宋体" w:cs="宋体"/>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6644A8D">
      <w:pPr>
        <w:spacing w:line="560" w:lineRule="exact"/>
        <w:ind w:firstLine="420" w:firstLineChars="200"/>
        <w:rPr>
          <w:rFonts w:ascii="宋体" w:hAnsi="宋体" w:cs="宋体"/>
          <w:szCs w:val="21"/>
        </w:rPr>
      </w:pPr>
      <w:r>
        <w:rPr>
          <w:rFonts w:ascii="宋体" w:hAnsi="宋体" w:cs="宋体"/>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AE686A">
      <w:pPr>
        <w:spacing w:line="560" w:lineRule="exact"/>
        <w:ind w:firstLine="420" w:firstLineChars="200"/>
        <w:rPr>
          <w:rFonts w:ascii="宋体" w:hAnsi="宋体" w:cs="宋体"/>
          <w:szCs w:val="21"/>
        </w:rPr>
      </w:pPr>
      <w:r>
        <w:rPr>
          <w:rFonts w:ascii="宋体" w:hAnsi="宋体" w:cs="宋体"/>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680B267">
      <w:pPr>
        <w:spacing w:line="560" w:lineRule="exact"/>
        <w:ind w:firstLine="420" w:firstLineChars="200"/>
        <w:rPr>
          <w:rFonts w:ascii="宋体" w:hAnsi="宋体" w:cs="宋体"/>
          <w:szCs w:val="21"/>
        </w:rPr>
      </w:pPr>
      <w:r>
        <w:rPr>
          <w:rFonts w:ascii="宋体" w:hAnsi="宋体" w:cs="宋体"/>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58E95CC">
      <w:pPr>
        <w:spacing w:line="560" w:lineRule="exact"/>
        <w:ind w:firstLine="420" w:firstLineChars="200"/>
        <w:rPr>
          <w:rFonts w:ascii="宋体" w:hAnsi="宋体" w:cs="宋体"/>
          <w:szCs w:val="21"/>
        </w:rPr>
      </w:pPr>
      <w:r>
        <w:rPr>
          <w:rFonts w:ascii="宋体" w:hAnsi="宋体" w:cs="宋体"/>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8D05775">
      <w:pPr>
        <w:spacing w:line="560" w:lineRule="exact"/>
        <w:ind w:firstLine="420" w:firstLineChars="200"/>
        <w:rPr>
          <w:rFonts w:ascii="宋体" w:hAnsi="宋体" w:cs="宋体"/>
          <w:szCs w:val="21"/>
        </w:rPr>
      </w:pPr>
      <w:r>
        <w:rPr>
          <w:rFonts w:ascii="宋体" w:hAnsi="宋体" w:cs="宋体"/>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68232E4">
      <w:pPr>
        <w:spacing w:line="560" w:lineRule="exact"/>
        <w:ind w:firstLine="420" w:firstLineChars="200"/>
        <w:rPr>
          <w:rFonts w:ascii="宋体" w:hAnsi="宋体" w:cs="宋体"/>
          <w:szCs w:val="21"/>
        </w:rPr>
      </w:pPr>
      <w:r>
        <w:rPr>
          <w:rFonts w:ascii="宋体" w:hAnsi="宋体" w:cs="宋体"/>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CAFDB8B">
      <w:pPr>
        <w:spacing w:line="560" w:lineRule="exact"/>
        <w:ind w:firstLine="420" w:firstLineChars="200"/>
        <w:rPr>
          <w:rFonts w:ascii="宋体" w:hAnsi="宋体" w:cs="宋体"/>
          <w:szCs w:val="21"/>
        </w:rPr>
      </w:pPr>
      <w:r>
        <w:rPr>
          <w:rFonts w:ascii="宋体" w:hAnsi="宋体" w:cs="宋体"/>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E9D9279">
      <w:pPr>
        <w:spacing w:line="560" w:lineRule="exact"/>
        <w:ind w:firstLine="420" w:firstLineChars="200"/>
        <w:rPr>
          <w:rFonts w:ascii="宋体" w:hAnsi="宋体" w:cs="宋体"/>
          <w:szCs w:val="21"/>
        </w:rPr>
      </w:pPr>
      <w:r>
        <w:rPr>
          <w:rFonts w:ascii="宋体" w:hAnsi="宋体" w:cs="宋体"/>
          <w:szCs w:val="21"/>
        </w:rPr>
        <w:t>（十六）其他未列明行业。从业人员300人以下的为中小微型企业。其中，从业人员100人及以上的为中型企业；从业人员10人及以上的为小型企业；从业人员10人以下的为微型企业。</w:t>
      </w:r>
    </w:p>
    <w:p w14:paraId="26E1990F">
      <w:pPr>
        <w:spacing w:line="560" w:lineRule="exact"/>
        <w:ind w:firstLine="420" w:firstLineChars="200"/>
        <w:rPr>
          <w:rFonts w:ascii="宋体" w:hAnsi="宋体" w:cs="宋体"/>
          <w:szCs w:val="21"/>
        </w:rPr>
      </w:pPr>
      <w:r>
        <w:rPr>
          <w:rFonts w:ascii="宋体" w:hAnsi="宋体" w:cs="宋体"/>
          <w:szCs w:val="21"/>
        </w:rPr>
        <w:t>五、企业类型的划分以统计部门的统计数据为依据。</w:t>
      </w:r>
    </w:p>
    <w:p w14:paraId="7F67762B">
      <w:pPr>
        <w:spacing w:line="560" w:lineRule="exact"/>
        <w:ind w:firstLine="420" w:firstLineChars="200"/>
        <w:rPr>
          <w:rFonts w:ascii="宋体" w:hAnsi="宋体" w:cs="宋体"/>
          <w:szCs w:val="21"/>
        </w:rPr>
      </w:pPr>
      <w:r>
        <w:rPr>
          <w:rFonts w:ascii="宋体" w:hAnsi="宋体" w:cs="宋体"/>
          <w:szCs w:val="21"/>
        </w:rPr>
        <w:t>六、本规定适用于在中华人民共和国境内依法设立的各类所有制和各种组织形式的企业。个体工商户和本规定以外的行业，参照本规定进行划型。</w:t>
      </w:r>
    </w:p>
    <w:p w14:paraId="452F8418">
      <w:pPr>
        <w:spacing w:line="560" w:lineRule="exact"/>
        <w:ind w:firstLine="420" w:firstLineChars="200"/>
        <w:rPr>
          <w:rFonts w:ascii="宋体" w:hAnsi="宋体" w:cs="宋体"/>
          <w:szCs w:val="21"/>
        </w:rPr>
      </w:pPr>
      <w:r>
        <w:rPr>
          <w:rFonts w:ascii="宋体" w:hAnsi="宋体" w:cs="宋体"/>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097E89AA">
      <w:pPr>
        <w:spacing w:line="560" w:lineRule="exact"/>
        <w:ind w:firstLine="420" w:firstLineChars="200"/>
        <w:rPr>
          <w:rFonts w:ascii="宋体" w:hAnsi="宋体" w:cs="宋体"/>
          <w:szCs w:val="21"/>
        </w:rPr>
      </w:pPr>
      <w:r>
        <w:rPr>
          <w:rFonts w:ascii="宋体" w:hAnsi="宋体" w:cs="宋体"/>
          <w:szCs w:val="21"/>
        </w:rPr>
        <w:t>八、本规定由工业和信息化部、国家统计局会同有关部门根据《国民经济行业分类》修订情况和企业发展变化情况适时修订。</w:t>
      </w:r>
    </w:p>
    <w:p w14:paraId="3EDE9BF4">
      <w:pPr>
        <w:spacing w:line="560" w:lineRule="exact"/>
        <w:ind w:firstLine="420" w:firstLineChars="200"/>
        <w:rPr>
          <w:rFonts w:ascii="宋体" w:hAnsi="宋体" w:cs="宋体"/>
          <w:szCs w:val="21"/>
        </w:rPr>
      </w:pPr>
      <w:r>
        <w:rPr>
          <w:rFonts w:ascii="宋体" w:hAnsi="宋体" w:cs="宋体"/>
          <w:szCs w:val="21"/>
        </w:rPr>
        <w:t>九、本规定由工业和信息化部、国家统计局会同有关部门负责解释。</w:t>
      </w:r>
    </w:p>
    <w:p w14:paraId="005380CE">
      <w:pPr>
        <w:spacing w:line="560" w:lineRule="exact"/>
        <w:ind w:firstLine="420" w:firstLineChars="200"/>
        <w:rPr>
          <w:rFonts w:ascii="宋体" w:hAnsi="宋体" w:cs="宋体"/>
          <w:szCs w:val="21"/>
        </w:rPr>
      </w:pPr>
      <w:r>
        <w:rPr>
          <w:rFonts w:ascii="宋体" w:hAnsi="宋体" w:cs="宋体"/>
          <w:szCs w:val="21"/>
        </w:rPr>
        <w:t>十、本规定自发布之日起执行，原国家经贸委、原国家计委、财政部和国家统计局2003年颁布的《中小企业标准暂行规定》同时废止。</w:t>
      </w:r>
    </w:p>
    <w:p w14:paraId="4807D954">
      <w:pPr>
        <w:pStyle w:val="3"/>
      </w:pPr>
    </w:p>
    <w:p w14:paraId="53754292">
      <w:pPr>
        <w:widowControl/>
        <w:adjustRightInd w:val="0"/>
        <w:snapToGrid w:val="0"/>
        <w:spacing w:before="156" w:beforeLines="50" w:line="360" w:lineRule="auto"/>
        <w:ind w:firstLine="420" w:firstLineChars="200"/>
        <w:jc w:val="left"/>
        <w:rPr>
          <w:rFonts w:hAnsi="宋体" w:cs="宋体"/>
        </w:rPr>
      </w:pPr>
    </w:p>
    <w:p w14:paraId="0E06A45F"/>
    <w:p w14:paraId="5CBD9107"/>
    <w:p w14:paraId="07454112"/>
    <w:sectPr>
      <w:pgSz w:w="11906" w:h="16838"/>
      <w:pgMar w:top="1418" w:right="1134" w:bottom="1418"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Book Antiqua">
    <w:panose1 w:val="02040602050305030304"/>
    <w:charset w:val="00"/>
    <w:family w:val="roman"/>
    <w:pitch w:val="default"/>
    <w:sig w:usb0="00000287" w:usb1="000000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C3F5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E6230">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10E6230">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F9742">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57D41">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457D41">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1F265">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28E1E">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728E1E">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42FE1">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92551"/>
    <w:multiLevelType w:val="singleLevel"/>
    <w:tmpl w:val="EF392551"/>
    <w:lvl w:ilvl="0" w:tentative="0">
      <w:start w:val="2"/>
      <w:numFmt w:val="chineseCounting"/>
      <w:suff w:val="nothing"/>
      <w:lvlText w:val="%1、"/>
      <w:lvlJc w:val="left"/>
      <w:rPr>
        <w:rFonts w:hint="eastAsia"/>
      </w:rPr>
    </w:lvl>
  </w:abstractNum>
  <w:abstractNum w:abstractNumId="1">
    <w:nsid w:val="00000014"/>
    <w:multiLevelType w:val="singleLevel"/>
    <w:tmpl w:val="00000014"/>
    <w:lvl w:ilvl="0" w:tentative="0">
      <w:start w:val="2"/>
      <w:numFmt w:val="chineseCounting"/>
      <w:suff w:val="nothing"/>
      <w:lvlText w:val="（%1）"/>
      <w:lvlJc w:val="left"/>
    </w:lvl>
  </w:abstractNum>
  <w:abstractNum w:abstractNumId="2">
    <w:nsid w:val="5384642F"/>
    <w:multiLevelType w:val="singleLevel"/>
    <w:tmpl w:val="5384642F"/>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E7D21"/>
    <w:rsid w:val="001F1458"/>
    <w:rsid w:val="00B249B3"/>
    <w:rsid w:val="00DE5743"/>
    <w:rsid w:val="00EF5BA2"/>
    <w:rsid w:val="01030A23"/>
    <w:rsid w:val="01420A1F"/>
    <w:rsid w:val="015027F5"/>
    <w:rsid w:val="016469D5"/>
    <w:rsid w:val="018A7BBF"/>
    <w:rsid w:val="02840426"/>
    <w:rsid w:val="047667E8"/>
    <w:rsid w:val="04BA0275"/>
    <w:rsid w:val="06F27531"/>
    <w:rsid w:val="08186890"/>
    <w:rsid w:val="086C6C04"/>
    <w:rsid w:val="08B408D6"/>
    <w:rsid w:val="09962630"/>
    <w:rsid w:val="09D01F96"/>
    <w:rsid w:val="0C6C2BF0"/>
    <w:rsid w:val="0CA05EF5"/>
    <w:rsid w:val="0D495EDB"/>
    <w:rsid w:val="0D822738"/>
    <w:rsid w:val="0DBA0714"/>
    <w:rsid w:val="0E627A9C"/>
    <w:rsid w:val="0EC0482A"/>
    <w:rsid w:val="0F490B74"/>
    <w:rsid w:val="102D5B9A"/>
    <w:rsid w:val="10FE7D21"/>
    <w:rsid w:val="11124A42"/>
    <w:rsid w:val="11BC3D26"/>
    <w:rsid w:val="133C006A"/>
    <w:rsid w:val="13F6078F"/>
    <w:rsid w:val="14445CCF"/>
    <w:rsid w:val="145B6CE5"/>
    <w:rsid w:val="14CA14EA"/>
    <w:rsid w:val="14F24B6E"/>
    <w:rsid w:val="154102DA"/>
    <w:rsid w:val="165878EE"/>
    <w:rsid w:val="178A34FC"/>
    <w:rsid w:val="181E5897"/>
    <w:rsid w:val="182602F4"/>
    <w:rsid w:val="184055B9"/>
    <w:rsid w:val="18892615"/>
    <w:rsid w:val="19073705"/>
    <w:rsid w:val="190C5EC1"/>
    <w:rsid w:val="19157D18"/>
    <w:rsid w:val="1A5249BA"/>
    <w:rsid w:val="1A801C61"/>
    <w:rsid w:val="1BDC0CF1"/>
    <w:rsid w:val="1BE07F77"/>
    <w:rsid w:val="1CC46A38"/>
    <w:rsid w:val="20325F7E"/>
    <w:rsid w:val="20A51135"/>
    <w:rsid w:val="22AF26BB"/>
    <w:rsid w:val="22AF4145"/>
    <w:rsid w:val="23A75F8B"/>
    <w:rsid w:val="23DB4138"/>
    <w:rsid w:val="240A129F"/>
    <w:rsid w:val="24415F7F"/>
    <w:rsid w:val="244D3BB3"/>
    <w:rsid w:val="25396722"/>
    <w:rsid w:val="26500A78"/>
    <w:rsid w:val="26665E8F"/>
    <w:rsid w:val="26EE12D9"/>
    <w:rsid w:val="26F03ABB"/>
    <w:rsid w:val="26F66678"/>
    <w:rsid w:val="27466F3C"/>
    <w:rsid w:val="27A04912"/>
    <w:rsid w:val="290D33D1"/>
    <w:rsid w:val="29283E84"/>
    <w:rsid w:val="29467BD5"/>
    <w:rsid w:val="29771612"/>
    <w:rsid w:val="29A246E6"/>
    <w:rsid w:val="2A53737E"/>
    <w:rsid w:val="2D6F4804"/>
    <w:rsid w:val="2ED139E0"/>
    <w:rsid w:val="2EDA2FEB"/>
    <w:rsid w:val="2F274ABC"/>
    <w:rsid w:val="2FC94E71"/>
    <w:rsid w:val="301F5BBA"/>
    <w:rsid w:val="30683C8B"/>
    <w:rsid w:val="31627191"/>
    <w:rsid w:val="31910003"/>
    <w:rsid w:val="32F62A34"/>
    <w:rsid w:val="338850FE"/>
    <w:rsid w:val="34007CA1"/>
    <w:rsid w:val="34315385"/>
    <w:rsid w:val="35B307E9"/>
    <w:rsid w:val="36F70DBC"/>
    <w:rsid w:val="372E3495"/>
    <w:rsid w:val="38F97288"/>
    <w:rsid w:val="39733165"/>
    <w:rsid w:val="39D620EE"/>
    <w:rsid w:val="39F60425"/>
    <w:rsid w:val="3B076DB3"/>
    <w:rsid w:val="3B281A9B"/>
    <w:rsid w:val="3B3F39D5"/>
    <w:rsid w:val="3B7D69C5"/>
    <w:rsid w:val="3BBB3EBE"/>
    <w:rsid w:val="3C666F24"/>
    <w:rsid w:val="3CC350C0"/>
    <w:rsid w:val="3CC64861"/>
    <w:rsid w:val="3D05172A"/>
    <w:rsid w:val="3D61461C"/>
    <w:rsid w:val="3D74084C"/>
    <w:rsid w:val="3F281FAB"/>
    <w:rsid w:val="3FE86658"/>
    <w:rsid w:val="40263E81"/>
    <w:rsid w:val="42015D5D"/>
    <w:rsid w:val="425608D6"/>
    <w:rsid w:val="4283207A"/>
    <w:rsid w:val="43040332"/>
    <w:rsid w:val="43FB621E"/>
    <w:rsid w:val="44426CAB"/>
    <w:rsid w:val="445B5083"/>
    <w:rsid w:val="447D65EE"/>
    <w:rsid w:val="44970113"/>
    <w:rsid w:val="44BF4E8E"/>
    <w:rsid w:val="464F3603"/>
    <w:rsid w:val="47022DDB"/>
    <w:rsid w:val="475C79A2"/>
    <w:rsid w:val="47644DAE"/>
    <w:rsid w:val="48412871"/>
    <w:rsid w:val="494753AD"/>
    <w:rsid w:val="4A2E7440"/>
    <w:rsid w:val="4A33665C"/>
    <w:rsid w:val="4A726C30"/>
    <w:rsid w:val="4AAF5003"/>
    <w:rsid w:val="4B4B3B0C"/>
    <w:rsid w:val="4BFA0524"/>
    <w:rsid w:val="4C4A1AED"/>
    <w:rsid w:val="4C825AA7"/>
    <w:rsid w:val="4DF20FD0"/>
    <w:rsid w:val="5044143B"/>
    <w:rsid w:val="5050220A"/>
    <w:rsid w:val="5072459C"/>
    <w:rsid w:val="508171C7"/>
    <w:rsid w:val="50C84588"/>
    <w:rsid w:val="50E13F2A"/>
    <w:rsid w:val="513037C0"/>
    <w:rsid w:val="52C11D9C"/>
    <w:rsid w:val="52F04997"/>
    <w:rsid w:val="53640E6B"/>
    <w:rsid w:val="542D36A9"/>
    <w:rsid w:val="54AA5FF5"/>
    <w:rsid w:val="54E4234B"/>
    <w:rsid w:val="55AF5C69"/>
    <w:rsid w:val="55CD02DF"/>
    <w:rsid w:val="567F4C77"/>
    <w:rsid w:val="57885129"/>
    <w:rsid w:val="57F34CBE"/>
    <w:rsid w:val="583475CD"/>
    <w:rsid w:val="5927308C"/>
    <w:rsid w:val="59AD4E2E"/>
    <w:rsid w:val="59B512E9"/>
    <w:rsid w:val="59BF0396"/>
    <w:rsid w:val="5A440825"/>
    <w:rsid w:val="5B867F38"/>
    <w:rsid w:val="5BD33445"/>
    <w:rsid w:val="5BE520F3"/>
    <w:rsid w:val="5C4A34F9"/>
    <w:rsid w:val="5C4F1B7F"/>
    <w:rsid w:val="5C5D0D49"/>
    <w:rsid w:val="5CF62531"/>
    <w:rsid w:val="5D2036D6"/>
    <w:rsid w:val="5D752CB7"/>
    <w:rsid w:val="5DA327CA"/>
    <w:rsid w:val="5E14191A"/>
    <w:rsid w:val="5E3D17C3"/>
    <w:rsid w:val="5F433550"/>
    <w:rsid w:val="5F4F3A00"/>
    <w:rsid w:val="60675AD2"/>
    <w:rsid w:val="61044091"/>
    <w:rsid w:val="614001E3"/>
    <w:rsid w:val="61421637"/>
    <w:rsid w:val="62DC5DEE"/>
    <w:rsid w:val="63BF6533"/>
    <w:rsid w:val="63E73540"/>
    <w:rsid w:val="667E7FC4"/>
    <w:rsid w:val="66DE1953"/>
    <w:rsid w:val="682855D8"/>
    <w:rsid w:val="688558EE"/>
    <w:rsid w:val="69367529"/>
    <w:rsid w:val="696C7A03"/>
    <w:rsid w:val="69BF499E"/>
    <w:rsid w:val="69FA636D"/>
    <w:rsid w:val="6AC03E23"/>
    <w:rsid w:val="6ADF3841"/>
    <w:rsid w:val="6BC07C08"/>
    <w:rsid w:val="6C302A39"/>
    <w:rsid w:val="6C4C203A"/>
    <w:rsid w:val="6C4D7ABB"/>
    <w:rsid w:val="6C992E6F"/>
    <w:rsid w:val="6CD53367"/>
    <w:rsid w:val="6E644C28"/>
    <w:rsid w:val="6E74363E"/>
    <w:rsid w:val="6EB1286D"/>
    <w:rsid w:val="6EF23592"/>
    <w:rsid w:val="6F6E1A18"/>
    <w:rsid w:val="6F911E17"/>
    <w:rsid w:val="6FBD2476"/>
    <w:rsid w:val="709B28A0"/>
    <w:rsid w:val="71874850"/>
    <w:rsid w:val="71D06033"/>
    <w:rsid w:val="71E11004"/>
    <w:rsid w:val="72AF279C"/>
    <w:rsid w:val="72AF5147"/>
    <w:rsid w:val="72CC236B"/>
    <w:rsid w:val="73046B11"/>
    <w:rsid w:val="738564EC"/>
    <w:rsid w:val="743A5B3D"/>
    <w:rsid w:val="759219EE"/>
    <w:rsid w:val="75B275F6"/>
    <w:rsid w:val="76050786"/>
    <w:rsid w:val="76203C5A"/>
    <w:rsid w:val="76473B19"/>
    <w:rsid w:val="77366005"/>
    <w:rsid w:val="775C4A66"/>
    <w:rsid w:val="788778CC"/>
    <w:rsid w:val="795E7BAD"/>
    <w:rsid w:val="79A01279"/>
    <w:rsid w:val="7ABB1E4D"/>
    <w:rsid w:val="7ABE6923"/>
    <w:rsid w:val="7AD44F12"/>
    <w:rsid w:val="7C1E75AF"/>
    <w:rsid w:val="7C8021FC"/>
    <w:rsid w:val="7CAB7E05"/>
    <w:rsid w:val="7E1F541F"/>
    <w:rsid w:val="7F485668"/>
    <w:rsid w:val="7FCD4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outlineLvl w:val="0"/>
    </w:pPr>
    <w:rPr>
      <w:b/>
      <w:kern w:val="44"/>
      <w:sz w:val="32"/>
    </w:rPr>
  </w:style>
  <w:style w:type="paragraph" w:styleId="3">
    <w:name w:val="heading 2"/>
    <w:basedOn w:val="1"/>
    <w:next w:val="1"/>
    <w:link w:val="32"/>
    <w:qFormat/>
    <w:uiPriority w:val="0"/>
    <w:pPr>
      <w:keepNext/>
      <w:keepLines/>
      <w:spacing w:line="413" w:lineRule="auto"/>
      <w:outlineLvl w:val="1"/>
    </w:pPr>
    <w:rPr>
      <w:rFonts w:ascii="Arial" w:hAnsi="Arial" w:eastAsia="黑体"/>
      <w:b/>
      <w:sz w:val="32"/>
    </w:rPr>
  </w:style>
  <w:style w:type="paragraph" w:styleId="4">
    <w:name w:val="heading 3"/>
    <w:basedOn w:val="1"/>
    <w:next w:val="1"/>
    <w:link w:val="31"/>
    <w:qFormat/>
    <w:uiPriority w:val="0"/>
    <w:pPr>
      <w:keepNext/>
      <w:keepLines/>
      <w:spacing w:line="360" w:lineRule="auto"/>
      <w:outlineLvl w:val="2"/>
    </w:pPr>
    <w:rPr>
      <w:b/>
      <w:sz w:val="24"/>
    </w:rPr>
  </w:style>
  <w:style w:type="paragraph" w:styleId="5">
    <w:name w:val="heading 4"/>
    <w:basedOn w:val="1"/>
    <w:next w:val="1"/>
    <w:link w:val="24"/>
    <w:qFormat/>
    <w:uiPriority w:val="0"/>
    <w:pPr>
      <w:keepNext/>
      <w:keepLines/>
      <w:spacing w:line="360" w:lineRule="auto"/>
      <w:outlineLvl w:val="3"/>
    </w:pPr>
    <w:rPr>
      <w:rFonts w:ascii="Arial" w:hAnsi="Arial"/>
      <w:b/>
      <w:kern w:val="0"/>
      <w:sz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next w:val="7"/>
    <w:unhideWhenUsed/>
    <w:qFormat/>
    <w:uiPriority w:val="0"/>
    <w:pPr>
      <w:ind w:firstLine="420"/>
    </w:pPr>
  </w:style>
  <w:style w:type="paragraph" w:styleId="7">
    <w:name w:val="Body Text 2"/>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8">
    <w:name w:val="Body Text"/>
    <w:basedOn w:val="1"/>
    <w:next w:val="1"/>
    <w:qFormat/>
    <w:uiPriority w:val="0"/>
    <w:pPr>
      <w:spacing w:after="120"/>
    </w:pPr>
  </w:style>
  <w:style w:type="paragraph" w:styleId="9">
    <w:name w:val="Body Text Indent"/>
    <w:basedOn w:val="1"/>
    <w:next w:val="1"/>
    <w:qFormat/>
    <w:uiPriority w:val="0"/>
    <w:pPr>
      <w:spacing w:line="480" w:lineRule="exact"/>
      <w:ind w:firstLine="480" w:firstLineChars="200"/>
    </w:pPr>
    <w:rPr>
      <w:rFonts w:ascii="宋体" w:hAnsi="宋体"/>
      <w:sz w:val="24"/>
    </w:rPr>
  </w:style>
  <w:style w:type="paragraph" w:styleId="10">
    <w:name w:val="List 2"/>
    <w:basedOn w:val="1"/>
    <w:unhideWhenUsed/>
    <w:qFormat/>
    <w:uiPriority w:val="99"/>
    <w:pPr>
      <w:ind w:left="100" w:leftChars="200" w:hanging="200" w:hangingChars="200"/>
      <w:contextualSpacing/>
    </w:p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spacing w:before="100" w:beforeAutospacing="1" w:after="100" w:afterAutospacing="1"/>
      <w:jc w:val="left"/>
    </w:pPr>
    <w:rPr>
      <w:rFonts w:cs="Times New Roman"/>
      <w:kern w:val="0"/>
      <w:sz w:val="24"/>
    </w:rPr>
  </w:style>
  <w:style w:type="paragraph" w:styleId="15">
    <w:name w:val="Title"/>
    <w:basedOn w:val="1"/>
    <w:next w:val="1"/>
    <w:qFormat/>
    <w:uiPriority w:val="99"/>
    <w:pPr>
      <w:spacing w:before="240" w:after="60"/>
      <w:jc w:val="center"/>
      <w:outlineLvl w:val="0"/>
    </w:pPr>
    <w:rPr>
      <w:rFonts w:ascii="Cambria" w:hAnsi="Cambria"/>
      <w:b/>
      <w:bCs/>
      <w:sz w:val="32"/>
      <w:szCs w:val="32"/>
    </w:rPr>
  </w:style>
  <w:style w:type="paragraph" w:styleId="16">
    <w:name w:val="Body Text First Indent"/>
    <w:basedOn w:val="8"/>
    <w:next w:val="17"/>
    <w:unhideWhenUsed/>
    <w:qFormat/>
    <w:uiPriority w:val="99"/>
    <w:pPr>
      <w:ind w:firstLine="420" w:firstLineChars="100"/>
    </w:pPr>
  </w:style>
  <w:style w:type="paragraph" w:styleId="17">
    <w:name w:val="Body Text First Indent 2"/>
    <w:basedOn w:val="9"/>
    <w:next w:val="6"/>
    <w:qFormat/>
    <w:uiPriority w:val="0"/>
    <w:pPr>
      <w:adjustRightInd w:val="0"/>
      <w:spacing w:line="360" w:lineRule="auto"/>
      <w:ind w:firstLine="210"/>
      <w:textAlignment w:val="baseline"/>
    </w:pPr>
    <w:rPr>
      <w:rFonts w:ascii="Book Antiqua" w:hAnsi="Book Antiqu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paragraph" w:customStyle="1" w:styleId="2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Table Paragraph"/>
    <w:basedOn w:val="1"/>
    <w:qFormat/>
    <w:uiPriority w:val="0"/>
  </w:style>
  <w:style w:type="character" w:customStyle="1" w:styleId="24">
    <w:name w:val="标题 4 Char1"/>
    <w:link w:val="5"/>
    <w:qFormat/>
    <w:uiPriority w:val="0"/>
    <w:rPr>
      <w:rFonts w:ascii="Arial" w:hAnsi="Arial"/>
      <w:b/>
      <w:kern w:val="0"/>
      <w:sz w:val="20"/>
    </w:rPr>
  </w:style>
  <w:style w:type="paragraph" w:customStyle="1" w:styleId="25">
    <w:name w:val="List Paragraph1"/>
    <w:basedOn w:val="1"/>
    <w:next w:val="1"/>
    <w:qFormat/>
    <w:uiPriority w:val="0"/>
    <w:pPr>
      <w:widowControl/>
      <w:spacing w:line="360" w:lineRule="auto"/>
      <w:ind w:firstLine="480" w:firstLineChars="200"/>
      <w:jc w:val="left"/>
    </w:pPr>
    <w:rPr>
      <w:rFonts w:ascii="宋体" w:hAnsi="宋体"/>
      <w:sz w:val="24"/>
    </w:rPr>
  </w:style>
  <w:style w:type="paragraph" w:customStyle="1" w:styleId="2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7">
    <w:name w:val="列出段落1"/>
    <w:basedOn w:val="1"/>
    <w:qFormat/>
    <w:uiPriority w:val="0"/>
    <w:pPr>
      <w:ind w:firstLine="420" w:firstLineChars="200"/>
    </w:pPr>
  </w:style>
  <w:style w:type="paragraph" w:customStyle="1" w:styleId="28">
    <w:name w:val="BodyTextIndent2"/>
    <w:basedOn w:val="1"/>
    <w:qFormat/>
    <w:uiPriority w:val="0"/>
    <w:pPr>
      <w:spacing w:after="120" w:line="480" w:lineRule="auto"/>
      <w:ind w:left="420" w:leftChars="200"/>
    </w:pPr>
  </w:style>
  <w:style w:type="paragraph" w:customStyle="1" w:styleId="29">
    <w:name w:val="无间隔1"/>
    <w:basedOn w:val="1"/>
    <w:qFormat/>
    <w:uiPriority w:val="1"/>
    <w:pPr>
      <w:spacing w:line="400" w:lineRule="exact"/>
    </w:pPr>
    <w:rPr>
      <w:sz w:val="24"/>
    </w:rPr>
  </w:style>
  <w:style w:type="character" w:customStyle="1" w:styleId="30">
    <w:name w:val="font21"/>
    <w:basedOn w:val="20"/>
    <w:qFormat/>
    <w:uiPriority w:val="0"/>
    <w:rPr>
      <w:rFonts w:hint="eastAsia" w:ascii="宋体" w:hAnsi="宋体" w:eastAsia="宋体" w:cs="宋体"/>
      <w:color w:val="000000"/>
      <w:sz w:val="24"/>
      <w:szCs w:val="24"/>
      <w:u w:val="none"/>
    </w:rPr>
  </w:style>
  <w:style w:type="character" w:customStyle="1" w:styleId="31">
    <w:name w:val="标题 3 Char"/>
    <w:basedOn w:val="20"/>
    <w:link w:val="4"/>
    <w:semiHidden/>
    <w:qFormat/>
    <w:uiPriority w:val="9"/>
    <w:rPr>
      <w:b/>
      <w:sz w:val="24"/>
    </w:rPr>
  </w:style>
  <w:style w:type="character" w:customStyle="1" w:styleId="32">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0</Words>
  <Characters>0</Characters>
  <Lines>0</Lines>
  <Paragraphs>0</Paragraphs>
  <TotalTime>20</TotalTime>
  <ScaleCrop>false</ScaleCrop>
  <LinksUpToDate>false</LinksUpToDate>
  <CharactersWithSpaces>0</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2024-10-13T00:32:00Z</dcterms:created>
  <dc:creator>金广涛</dc:creator>
  <cp:lastModifiedBy>金广涛</cp:lastModifiedBy>
  <cp:lastPrinted>2025-09-02T08:23:00Z</cp:lastPrinted>
  <dcterms:modified xsi:type="dcterms:W3CDTF">2025-09-02T08:23:40Z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8502E64F55564E6CA16A7AC41CD73B1C</vt:lpwstr>
  </property>
</Properties>
</file>