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77C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8220" cy="5943600"/>
            <wp:effectExtent l="0" t="0" r="7620" b="0"/>
            <wp:docPr id="1" name="图片 1" descr="业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业绩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8200" cy="3619500"/>
            <wp:effectExtent l="0" t="0" r="0" b="7620"/>
            <wp:docPr id="2" name="图片 2" descr="业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业绩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80"/>
    <w:rsid w:val="0004672B"/>
    <w:rsid w:val="00442790"/>
    <w:rsid w:val="00456980"/>
    <w:rsid w:val="00525F2B"/>
    <w:rsid w:val="00690555"/>
    <w:rsid w:val="006A1373"/>
    <w:rsid w:val="006B11C0"/>
    <w:rsid w:val="00AD6A64"/>
    <w:rsid w:val="00BD2D4F"/>
    <w:rsid w:val="00BD451A"/>
    <w:rsid w:val="00EE6DC6"/>
    <w:rsid w:val="00F2708B"/>
    <w:rsid w:val="21C9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2023-06-20T06:29:00Z</dcterms:created>
  <dc:creator>河南楷乐工程管理有限公司:河南楷乐工程管理有限公司</dc:creator>
  <cp:lastModifiedBy> WANGBOWEN。</cp:lastModifiedBy>
  <dcterms:modified xsi:type="dcterms:W3CDTF">2025-07-04T03:57:23Z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01F76D4A80D749AE9DD46DEE1000F3DC_12</vt:lpwstr>
  </property>
</Properties>
</file>