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74695">
      <w:pPr>
        <w:tabs>
          <w:tab w:val="left" w:pos="840"/>
        </w:tabs>
        <w:spacing w:before="19" w:line="360" w:lineRule="auto"/>
        <w:ind w:right="83"/>
        <w:jc w:val="center"/>
        <w:rPr>
          <w:rFonts w:hint="eastAsia" w:ascii="宋体" w:hAnsi="宋体" w:cs="仿宋"/>
          <w:b/>
          <w:sz w:val="36"/>
          <w:szCs w:val="36"/>
        </w:rPr>
      </w:pPr>
      <w:bookmarkStart w:id="173" w:name="_GoBack"/>
      <w:r>
        <w:drawing>
          <wp:anchor distT="0" distB="0" distL="114300" distR="114300" simplePos="0" relativeHeight="251659264" behindDoc="0" locked="0" layoutInCell="1" allowOverlap="1">
            <wp:simplePos x="0" y="0"/>
            <wp:positionH relativeFrom="column">
              <wp:posOffset>-361950</wp:posOffset>
            </wp:positionH>
            <wp:positionV relativeFrom="paragraph">
              <wp:posOffset>-235585</wp:posOffset>
            </wp:positionV>
            <wp:extent cx="6395720" cy="9119870"/>
            <wp:effectExtent l="0" t="0" r="5080" b="5080"/>
            <wp:wrapNone/>
            <wp:docPr id="1170746823"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46823" name="图片 1" descr="文本&#10;&#10;AI 生成的内容可能不正确。"/>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395720" cy="9119870"/>
                    </a:xfrm>
                    <a:prstGeom prst="rect">
                      <a:avLst/>
                    </a:prstGeom>
                  </pic:spPr>
                </pic:pic>
              </a:graphicData>
            </a:graphic>
          </wp:anchor>
        </w:drawing>
      </w:r>
      <w:bookmarkEnd w:id="173"/>
    </w:p>
    <w:p w14:paraId="7F3A149F">
      <w:pPr>
        <w:tabs>
          <w:tab w:val="left" w:pos="840"/>
        </w:tabs>
        <w:spacing w:before="19" w:line="360" w:lineRule="auto"/>
        <w:ind w:right="83"/>
        <w:jc w:val="center"/>
        <w:rPr>
          <w:rFonts w:hint="eastAsia" w:ascii="宋体" w:hAnsi="宋体" w:cs="仿宋"/>
          <w:b/>
          <w:sz w:val="36"/>
          <w:szCs w:val="36"/>
        </w:rPr>
      </w:pPr>
    </w:p>
    <w:p w14:paraId="59004FF7">
      <w:pPr>
        <w:tabs>
          <w:tab w:val="left" w:pos="840"/>
        </w:tabs>
        <w:spacing w:before="19" w:line="360" w:lineRule="auto"/>
        <w:ind w:right="83"/>
        <w:jc w:val="center"/>
        <w:rPr>
          <w:rFonts w:hint="eastAsia" w:ascii="宋体" w:hAnsi="宋体" w:cs="仿宋"/>
          <w:b/>
          <w:sz w:val="36"/>
          <w:szCs w:val="36"/>
        </w:rPr>
      </w:pPr>
    </w:p>
    <w:p w14:paraId="0A0C9EBC">
      <w:pPr>
        <w:tabs>
          <w:tab w:val="left" w:pos="840"/>
        </w:tabs>
        <w:spacing w:before="19" w:line="360" w:lineRule="auto"/>
        <w:ind w:right="83"/>
        <w:jc w:val="center"/>
        <w:rPr>
          <w:rFonts w:hint="eastAsia" w:ascii="宋体" w:hAnsi="宋体" w:cs="仿宋"/>
          <w:b/>
          <w:sz w:val="36"/>
          <w:szCs w:val="36"/>
        </w:rPr>
      </w:pPr>
    </w:p>
    <w:p w14:paraId="019338A9">
      <w:pPr>
        <w:tabs>
          <w:tab w:val="left" w:pos="840"/>
        </w:tabs>
        <w:spacing w:before="19" w:line="360" w:lineRule="auto"/>
        <w:ind w:right="83"/>
        <w:jc w:val="center"/>
        <w:rPr>
          <w:rFonts w:hint="eastAsia" w:ascii="宋体" w:hAnsi="宋体" w:cs="仿宋"/>
          <w:b/>
          <w:sz w:val="36"/>
          <w:szCs w:val="36"/>
        </w:rPr>
      </w:pPr>
    </w:p>
    <w:p w14:paraId="4B716FA2">
      <w:pPr>
        <w:tabs>
          <w:tab w:val="left" w:pos="840"/>
        </w:tabs>
        <w:spacing w:before="19" w:line="360" w:lineRule="auto"/>
        <w:ind w:right="83"/>
        <w:jc w:val="center"/>
        <w:rPr>
          <w:rFonts w:hint="eastAsia" w:ascii="宋体" w:hAnsi="宋体" w:cs="仿宋"/>
          <w:b/>
          <w:sz w:val="36"/>
          <w:szCs w:val="36"/>
        </w:rPr>
      </w:pPr>
    </w:p>
    <w:p w14:paraId="6B095DAD">
      <w:pPr>
        <w:tabs>
          <w:tab w:val="left" w:pos="840"/>
        </w:tabs>
        <w:spacing w:before="19" w:line="360" w:lineRule="auto"/>
        <w:ind w:right="83"/>
        <w:jc w:val="center"/>
        <w:rPr>
          <w:rFonts w:hint="eastAsia" w:ascii="宋体" w:hAnsi="宋体" w:cs="仿宋"/>
          <w:b/>
          <w:sz w:val="36"/>
          <w:szCs w:val="36"/>
        </w:rPr>
      </w:pPr>
    </w:p>
    <w:p w14:paraId="2AFA1A56">
      <w:pPr>
        <w:tabs>
          <w:tab w:val="left" w:pos="840"/>
        </w:tabs>
        <w:spacing w:before="19" w:line="360" w:lineRule="auto"/>
        <w:ind w:right="83"/>
        <w:jc w:val="center"/>
        <w:rPr>
          <w:rFonts w:hint="eastAsia" w:ascii="宋体" w:hAnsi="宋体" w:cs="仿宋"/>
          <w:b/>
          <w:sz w:val="36"/>
          <w:szCs w:val="36"/>
        </w:rPr>
      </w:pPr>
    </w:p>
    <w:p w14:paraId="0F520313">
      <w:pPr>
        <w:tabs>
          <w:tab w:val="left" w:pos="840"/>
        </w:tabs>
        <w:spacing w:before="19" w:line="360" w:lineRule="auto"/>
        <w:ind w:right="83"/>
        <w:jc w:val="center"/>
        <w:rPr>
          <w:rFonts w:hint="eastAsia" w:ascii="宋体" w:hAnsi="宋体" w:cs="仿宋"/>
          <w:b/>
          <w:sz w:val="36"/>
          <w:szCs w:val="36"/>
        </w:rPr>
      </w:pPr>
    </w:p>
    <w:p w14:paraId="597084CE">
      <w:pPr>
        <w:tabs>
          <w:tab w:val="left" w:pos="840"/>
        </w:tabs>
        <w:spacing w:before="19" w:line="360" w:lineRule="auto"/>
        <w:ind w:right="83"/>
        <w:jc w:val="center"/>
        <w:rPr>
          <w:rFonts w:hint="eastAsia" w:ascii="宋体" w:hAnsi="宋体" w:cs="仿宋"/>
          <w:b/>
          <w:sz w:val="36"/>
          <w:szCs w:val="36"/>
        </w:rPr>
      </w:pPr>
    </w:p>
    <w:p w14:paraId="004457B3">
      <w:pPr>
        <w:tabs>
          <w:tab w:val="left" w:pos="840"/>
        </w:tabs>
        <w:spacing w:before="19" w:line="360" w:lineRule="auto"/>
        <w:ind w:right="83"/>
        <w:jc w:val="center"/>
        <w:rPr>
          <w:rFonts w:hint="eastAsia" w:ascii="宋体" w:hAnsi="宋体" w:cs="仿宋"/>
          <w:b/>
          <w:sz w:val="36"/>
          <w:szCs w:val="36"/>
        </w:rPr>
      </w:pPr>
    </w:p>
    <w:p w14:paraId="6F9880AA">
      <w:pPr>
        <w:tabs>
          <w:tab w:val="left" w:pos="840"/>
        </w:tabs>
        <w:spacing w:before="19" w:line="360" w:lineRule="auto"/>
        <w:ind w:right="83"/>
        <w:jc w:val="center"/>
        <w:rPr>
          <w:rFonts w:hint="eastAsia" w:ascii="宋体" w:hAnsi="宋体" w:cs="仿宋"/>
          <w:b/>
          <w:sz w:val="36"/>
          <w:szCs w:val="36"/>
        </w:rPr>
      </w:pPr>
    </w:p>
    <w:p w14:paraId="167B7013">
      <w:pPr>
        <w:tabs>
          <w:tab w:val="left" w:pos="840"/>
        </w:tabs>
        <w:spacing w:before="19" w:line="360" w:lineRule="auto"/>
        <w:ind w:right="83"/>
        <w:jc w:val="center"/>
        <w:rPr>
          <w:rFonts w:hint="eastAsia" w:ascii="宋体" w:hAnsi="宋体" w:cs="仿宋"/>
          <w:b/>
          <w:sz w:val="36"/>
          <w:szCs w:val="36"/>
        </w:rPr>
      </w:pPr>
    </w:p>
    <w:p w14:paraId="630707C7">
      <w:pPr>
        <w:tabs>
          <w:tab w:val="left" w:pos="840"/>
        </w:tabs>
        <w:spacing w:before="19" w:line="360" w:lineRule="auto"/>
        <w:ind w:right="83"/>
        <w:jc w:val="center"/>
        <w:rPr>
          <w:rFonts w:hint="eastAsia" w:ascii="宋体" w:hAnsi="宋体" w:cs="仿宋"/>
          <w:b/>
          <w:sz w:val="36"/>
          <w:szCs w:val="36"/>
        </w:rPr>
      </w:pPr>
    </w:p>
    <w:p w14:paraId="17DF8CAA">
      <w:pPr>
        <w:tabs>
          <w:tab w:val="left" w:pos="840"/>
        </w:tabs>
        <w:spacing w:before="19" w:line="360" w:lineRule="auto"/>
        <w:ind w:right="83"/>
        <w:jc w:val="center"/>
        <w:rPr>
          <w:rFonts w:hint="eastAsia" w:ascii="宋体" w:hAnsi="宋体" w:cs="仿宋"/>
          <w:b/>
          <w:sz w:val="36"/>
          <w:szCs w:val="36"/>
        </w:rPr>
      </w:pPr>
    </w:p>
    <w:p w14:paraId="63E51F6F">
      <w:pPr>
        <w:tabs>
          <w:tab w:val="left" w:pos="840"/>
        </w:tabs>
        <w:spacing w:before="19" w:line="360" w:lineRule="auto"/>
        <w:ind w:right="83"/>
        <w:jc w:val="center"/>
        <w:rPr>
          <w:rFonts w:hint="eastAsia" w:ascii="宋体" w:hAnsi="宋体" w:cs="仿宋"/>
          <w:b/>
          <w:sz w:val="36"/>
          <w:szCs w:val="36"/>
        </w:rPr>
      </w:pPr>
    </w:p>
    <w:p w14:paraId="2C01F081">
      <w:pPr>
        <w:tabs>
          <w:tab w:val="left" w:pos="840"/>
        </w:tabs>
        <w:spacing w:before="19" w:line="360" w:lineRule="auto"/>
        <w:ind w:right="83"/>
        <w:jc w:val="center"/>
        <w:rPr>
          <w:rFonts w:hint="eastAsia" w:ascii="宋体" w:hAnsi="宋体" w:cs="仿宋"/>
          <w:b/>
          <w:sz w:val="36"/>
          <w:szCs w:val="36"/>
        </w:rPr>
      </w:pPr>
    </w:p>
    <w:p w14:paraId="5BE856AB">
      <w:pPr>
        <w:tabs>
          <w:tab w:val="left" w:pos="840"/>
        </w:tabs>
        <w:spacing w:before="19" w:line="360" w:lineRule="auto"/>
        <w:ind w:right="83"/>
        <w:jc w:val="center"/>
        <w:rPr>
          <w:rFonts w:hint="eastAsia" w:ascii="宋体" w:hAnsi="宋体" w:cs="仿宋"/>
          <w:b/>
          <w:sz w:val="36"/>
          <w:szCs w:val="36"/>
        </w:rPr>
      </w:pPr>
    </w:p>
    <w:p w14:paraId="58288CBB">
      <w:pPr>
        <w:tabs>
          <w:tab w:val="left" w:pos="840"/>
        </w:tabs>
        <w:spacing w:before="19" w:line="360" w:lineRule="auto"/>
        <w:ind w:right="83"/>
        <w:jc w:val="center"/>
        <w:rPr>
          <w:rFonts w:hint="eastAsia" w:ascii="宋体" w:hAnsi="宋体" w:cs="仿宋"/>
          <w:b/>
          <w:sz w:val="36"/>
          <w:szCs w:val="36"/>
        </w:rPr>
      </w:pPr>
    </w:p>
    <w:p w14:paraId="66A02E82">
      <w:pPr>
        <w:tabs>
          <w:tab w:val="left" w:pos="840"/>
        </w:tabs>
        <w:spacing w:before="19" w:line="360" w:lineRule="auto"/>
        <w:ind w:right="83"/>
        <w:jc w:val="center"/>
        <w:rPr>
          <w:rFonts w:ascii="宋体" w:hAnsi="宋体" w:cs="仿宋"/>
          <w:b/>
          <w:sz w:val="36"/>
          <w:szCs w:val="36"/>
        </w:rPr>
      </w:pPr>
      <w:r>
        <w:rPr>
          <w:rFonts w:hint="eastAsia" w:ascii="宋体" w:hAnsi="宋体" w:cs="仿宋"/>
          <w:b/>
          <w:sz w:val="36"/>
          <w:szCs w:val="36"/>
        </w:rPr>
        <w:t>目</w:t>
      </w:r>
      <w:r>
        <w:rPr>
          <w:rFonts w:hint="eastAsia" w:ascii="宋体" w:hAnsi="宋体" w:cs="仿宋"/>
          <w:b/>
          <w:sz w:val="36"/>
          <w:szCs w:val="36"/>
        </w:rPr>
        <w:tab/>
      </w:r>
      <w:r>
        <w:rPr>
          <w:rFonts w:hint="eastAsia" w:ascii="宋体" w:hAnsi="宋体" w:cs="仿宋"/>
          <w:b/>
          <w:sz w:val="36"/>
          <w:szCs w:val="36"/>
        </w:rPr>
        <w:t>录</w:t>
      </w:r>
    </w:p>
    <w:p w14:paraId="2AB8ADC2">
      <w:pPr>
        <w:pStyle w:val="20"/>
        <w:tabs>
          <w:tab w:val="right" w:leader="dot" w:pos="8240"/>
        </w:tabs>
        <w:spacing w:before="240" w:beforeLines="100" w:after="240" w:afterLines="100" w:line="360" w:lineRule="auto"/>
        <w:rPr>
          <w:rFonts w:asciiTheme="minorHAnsi" w:hAnsiTheme="minorHAnsi" w:eastAsiaTheme="minorEastAsia" w:cstheme="minorBidi"/>
          <w:kern w:val="2"/>
          <w:sz w:val="28"/>
          <w:szCs w:val="30"/>
          <w:lang w:val="en-US"/>
          <w14:ligatures w14:val="standardContextual"/>
        </w:rPr>
      </w:pPr>
      <w:r>
        <w:rPr>
          <w:rFonts w:hint="eastAsia" w:cs="仿宋"/>
          <w:b/>
          <w:bCs/>
          <w:sz w:val="38"/>
          <w:szCs w:val="38"/>
        </w:rPr>
        <w:fldChar w:fldCharType="begin"/>
      </w:r>
      <w:r>
        <w:rPr>
          <w:rFonts w:hint="eastAsia" w:cs="仿宋"/>
          <w:b/>
          <w:bCs/>
          <w:sz w:val="38"/>
          <w:szCs w:val="38"/>
        </w:rPr>
        <w:instrText xml:space="preserve">TOC \o "1-1" \h \u </w:instrText>
      </w:r>
      <w:r>
        <w:rPr>
          <w:rFonts w:hint="eastAsia" w:cs="仿宋"/>
          <w:b/>
          <w:bCs/>
          <w:sz w:val="38"/>
          <w:szCs w:val="38"/>
        </w:rPr>
        <w:fldChar w:fldCharType="separate"/>
      </w:r>
      <w:r>
        <w:fldChar w:fldCharType="begin"/>
      </w:r>
      <w:r>
        <w:instrText xml:space="preserve"> HYPERLINK \l "_Toc202949958" </w:instrText>
      </w:r>
      <w:r>
        <w:fldChar w:fldCharType="separate"/>
      </w:r>
      <w:r>
        <w:rPr>
          <w:rStyle w:val="32"/>
          <w:rFonts w:cs="仿宋"/>
          <w:color w:val="auto"/>
          <w:sz w:val="27"/>
          <w:szCs w:val="27"/>
        </w:rPr>
        <w:t>第一章</w:t>
      </w:r>
      <w:r>
        <w:rPr>
          <w:rStyle w:val="32"/>
          <w:rFonts w:cs="仿宋"/>
          <w:color w:val="auto"/>
          <w:sz w:val="27"/>
          <w:szCs w:val="27"/>
          <w:lang w:val="en-US"/>
        </w:rPr>
        <w:t xml:space="preserve"> </w:t>
      </w:r>
      <w:r>
        <w:rPr>
          <w:rStyle w:val="32"/>
          <w:rFonts w:cs="仿宋"/>
          <w:color w:val="auto"/>
          <w:sz w:val="27"/>
          <w:szCs w:val="27"/>
        </w:rPr>
        <w:t>招标公告</w:t>
      </w:r>
      <w:r>
        <w:rPr>
          <w:sz w:val="26"/>
          <w:szCs w:val="26"/>
        </w:rPr>
        <w:tab/>
      </w:r>
      <w:r>
        <w:rPr>
          <w:sz w:val="26"/>
          <w:szCs w:val="26"/>
        </w:rPr>
        <w:fldChar w:fldCharType="begin"/>
      </w:r>
      <w:r>
        <w:rPr>
          <w:sz w:val="26"/>
          <w:szCs w:val="26"/>
        </w:rPr>
        <w:instrText xml:space="preserve"> PAGEREF _Toc202949958 \h </w:instrText>
      </w:r>
      <w:r>
        <w:rPr>
          <w:sz w:val="26"/>
          <w:szCs w:val="26"/>
        </w:rPr>
        <w:fldChar w:fldCharType="separate"/>
      </w:r>
      <w:r>
        <w:rPr>
          <w:sz w:val="26"/>
          <w:szCs w:val="26"/>
        </w:rPr>
        <w:t>2</w:t>
      </w:r>
      <w:r>
        <w:rPr>
          <w:sz w:val="26"/>
          <w:szCs w:val="26"/>
        </w:rPr>
        <w:fldChar w:fldCharType="end"/>
      </w:r>
      <w:r>
        <w:rPr>
          <w:sz w:val="26"/>
          <w:szCs w:val="26"/>
        </w:rPr>
        <w:fldChar w:fldCharType="end"/>
      </w:r>
    </w:p>
    <w:p w14:paraId="09EEB31D">
      <w:pPr>
        <w:pStyle w:val="20"/>
        <w:tabs>
          <w:tab w:val="right" w:leader="dot" w:pos="8240"/>
        </w:tabs>
        <w:spacing w:before="240" w:beforeLines="100" w:after="240" w:afterLines="100" w:line="360" w:lineRule="auto"/>
        <w:rPr>
          <w:rFonts w:asciiTheme="minorHAnsi" w:hAnsiTheme="minorHAnsi" w:eastAsiaTheme="minorEastAsia" w:cstheme="minorBidi"/>
          <w:kern w:val="2"/>
          <w:sz w:val="28"/>
          <w:szCs w:val="30"/>
          <w:lang w:val="en-US"/>
          <w14:ligatures w14:val="standardContextual"/>
        </w:rPr>
      </w:pPr>
      <w:r>
        <w:fldChar w:fldCharType="begin"/>
      </w:r>
      <w:r>
        <w:instrText xml:space="preserve"> HYPERLINK \l "_Toc202949959" </w:instrText>
      </w:r>
      <w:r>
        <w:fldChar w:fldCharType="separate"/>
      </w:r>
      <w:r>
        <w:rPr>
          <w:rStyle w:val="32"/>
          <w:rFonts w:cs="仿宋"/>
          <w:color w:val="auto"/>
          <w:sz w:val="27"/>
          <w:szCs w:val="27"/>
          <w:lang w:val="en-US"/>
        </w:rPr>
        <w:t>第二章 投标人须知</w:t>
      </w:r>
      <w:r>
        <w:rPr>
          <w:sz w:val="26"/>
          <w:szCs w:val="26"/>
        </w:rPr>
        <w:tab/>
      </w:r>
      <w:r>
        <w:rPr>
          <w:sz w:val="26"/>
          <w:szCs w:val="26"/>
        </w:rPr>
        <w:fldChar w:fldCharType="begin"/>
      </w:r>
      <w:r>
        <w:rPr>
          <w:sz w:val="26"/>
          <w:szCs w:val="26"/>
        </w:rPr>
        <w:instrText xml:space="preserve"> PAGEREF _Toc202949959 \h </w:instrText>
      </w:r>
      <w:r>
        <w:rPr>
          <w:sz w:val="26"/>
          <w:szCs w:val="26"/>
        </w:rPr>
        <w:fldChar w:fldCharType="separate"/>
      </w:r>
      <w:r>
        <w:rPr>
          <w:sz w:val="26"/>
          <w:szCs w:val="26"/>
        </w:rPr>
        <w:t>7</w:t>
      </w:r>
      <w:r>
        <w:rPr>
          <w:sz w:val="26"/>
          <w:szCs w:val="26"/>
        </w:rPr>
        <w:fldChar w:fldCharType="end"/>
      </w:r>
      <w:r>
        <w:rPr>
          <w:sz w:val="26"/>
          <w:szCs w:val="26"/>
        </w:rPr>
        <w:fldChar w:fldCharType="end"/>
      </w:r>
    </w:p>
    <w:p w14:paraId="255A0587">
      <w:pPr>
        <w:pStyle w:val="20"/>
        <w:tabs>
          <w:tab w:val="right" w:leader="dot" w:pos="8240"/>
        </w:tabs>
        <w:spacing w:before="240" w:beforeLines="100" w:after="240" w:afterLines="100" w:line="360" w:lineRule="auto"/>
        <w:rPr>
          <w:rFonts w:asciiTheme="minorHAnsi" w:hAnsiTheme="minorHAnsi" w:eastAsiaTheme="minorEastAsia" w:cstheme="minorBidi"/>
          <w:kern w:val="2"/>
          <w:sz w:val="28"/>
          <w:szCs w:val="30"/>
          <w:lang w:val="en-US"/>
          <w14:ligatures w14:val="standardContextual"/>
        </w:rPr>
      </w:pPr>
      <w:r>
        <w:fldChar w:fldCharType="begin"/>
      </w:r>
      <w:r>
        <w:instrText xml:space="preserve"> HYPERLINK \l "_Toc202949960" </w:instrText>
      </w:r>
      <w:r>
        <w:fldChar w:fldCharType="separate"/>
      </w:r>
      <w:r>
        <w:rPr>
          <w:rStyle w:val="32"/>
          <w:rFonts w:cs="仿宋"/>
          <w:color w:val="auto"/>
          <w:sz w:val="27"/>
          <w:szCs w:val="27"/>
          <w:lang w:val="en-US"/>
        </w:rPr>
        <w:t xml:space="preserve">第三章 </w:t>
      </w:r>
      <w:r>
        <w:rPr>
          <w:rStyle w:val="32"/>
          <w:rFonts w:cs="仿宋"/>
          <w:color w:val="auto"/>
          <w:sz w:val="27"/>
          <w:szCs w:val="27"/>
        </w:rPr>
        <w:t>评标办法</w:t>
      </w:r>
      <w:r>
        <w:rPr>
          <w:sz w:val="26"/>
          <w:szCs w:val="26"/>
        </w:rPr>
        <w:tab/>
      </w:r>
      <w:r>
        <w:rPr>
          <w:sz w:val="26"/>
          <w:szCs w:val="26"/>
        </w:rPr>
        <w:fldChar w:fldCharType="begin"/>
      </w:r>
      <w:r>
        <w:rPr>
          <w:sz w:val="26"/>
          <w:szCs w:val="26"/>
        </w:rPr>
        <w:instrText xml:space="preserve"> PAGEREF _Toc202949960 \h </w:instrText>
      </w:r>
      <w:r>
        <w:rPr>
          <w:sz w:val="26"/>
          <w:szCs w:val="26"/>
        </w:rPr>
        <w:fldChar w:fldCharType="separate"/>
      </w:r>
      <w:r>
        <w:rPr>
          <w:sz w:val="26"/>
          <w:szCs w:val="26"/>
        </w:rPr>
        <w:t>33</w:t>
      </w:r>
      <w:r>
        <w:rPr>
          <w:sz w:val="26"/>
          <w:szCs w:val="26"/>
        </w:rPr>
        <w:fldChar w:fldCharType="end"/>
      </w:r>
      <w:r>
        <w:rPr>
          <w:sz w:val="26"/>
          <w:szCs w:val="26"/>
        </w:rPr>
        <w:fldChar w:fldCharType="end"/>
      </w:r>
    </w:p>
    <w:p w14:paraId="0992C30B">
      <w:pPr>
        <w:pStyle w:val="20"/>
        <w:tabs>
          <w:tab w:val="right" w:leader="dot" w:pos="8240"/>
        </w:tabs>
        <w:spacing w:before="240" w:beforeLines="100" w:after="240" w:afterLines="100" w:line="360" w:lineRule="auto"/>
        <w:rPr>
          <w:rFonts w:asciiTheme="minorHAnsi" w:hAnsiTheme="minorHAnsi" w:eastAsiaTheme="minorEastAsia" w:cstheme="minorBidi"/>
          <w:kern w:val="2"/>
          <w:sz w:val="28"/>
          <w:szCs w:val="30"/>
          <w:lang w:val="en-US"/>
          <w14:ligatures w14:val="standardContextual"/>
        </w:rPr>
      </w:pPr>
      <w:r>
        <w:fldChar w:fldCharType="begin"/>
      </w:r>
      <w:r>
        <w:instrText xml:space="preserve"> HYPERLINK \l "_Toc202949961" </w:instrText>
      </w:r>
      <w:r>
        <w:fldChar w:fldCharType="separate"/>
      </w:r>
      <w:r>
        <w:rPr>
          <w:rStyle w:val="32"/>
          <w:rFonts w:cs="仿宋"/>
          <w:color w:val="auto"/>
          <w:sz w:val="27"/>
          <w:szCs w:val="27"/>
        </w:rPr>
        <w:t>第四章</w:t>
      </w:r>
      <w:r>
        <w:rPr>
          <w:rStyle w:val="32"/>
          <w:rFonts w:cs="仿宋"/>
          <w:color w:val="auto"/>
          <w:sz w:val="27"/>
          <w:szCs w:val="27"/>
          <w:lang w:val="en-US"/>
        </w:rPr>
        <w:t xml:space="preserve"> </w:t>
      </w:r>
      <w:r>
        <w:rPr>
          <w:rStyle w:val="32"/>
          <w:rFonts w:cs="仿宋"/>
          <w:color w:val="auto"/>
          <w:sz w:val="27"/>
          <w:szCs w:val="27"/>
        </w:rPr>
        <w:t>合同条款及格式</w:t>
      </w:r>
      <w:r>
        <w:rPr>
          <w:sz w:val="26"/>
          <w:szCs w:val="26"/>
        </w:rPr>
        <w:tab/>
      </w:r>
      <w:r>
        <w:rPr>
          <w:sz w:val="26"/>
          <w:szCs w:val="26"/>
        </w:rPr>
        <w:fldChar w:fldCharType="begin"/>
      </w:r>
      <w:r>
        <w:rPr>
          <w:sz w:val="26"/>
          <w:szCs w:val="26"/>
        </w:rPr>
        <w:instrText xml:space="preserve"> PAGEREF _Toc202949961 \h </w:instrText>
      </w:r>
      <w:r>
        <w:rPr>
          <w:sz w:val="26"/>
          <w:szCs w:val="26"/>
        </w:rPr>
        <w:fldChar w:fldCharType="separate"/>
      </w:r>
      <w:r>
        <w:rPr>
          <w:sz w:val="26"/>
          <w:szCs w:val="26"/>
        </w:rPr>
        <w:t>39</w:t>
      </w:r>
      <w:r>
        <w:rPr>
          <w:sz w:val="26"/>
          <w:szCs w:val="26"/>
        </w:rPr>
        <w:fldChar w:fldCharType="end"/>
      </w:r>
      <w:r>
        <w:rPr>
          <w:sz w:val="26"/>
          <w:szCs w:val="26"/>
        </w:rPr>
        <w:fldChar w:fldCharType="end"/>
      </w:r>
    </w:p>
    <w:p w14:paraId="5E513CE9">
      <w:pPr>
        <w:pStyle w:val="20"/>
        <w:tabs>
          <w:tab w:val="right" w:leader="dot" w:pos="8240"/>
        </w:tabs>
        <w:spacing w:before="240" w:beforeLines="100" w:after="240" w:afterLines="100" w:line="360" w:lineRule="auto"/>
        <w:rPr>
          <w:rFonts w:asciiTheme="minorHAnsi" w:hAnsiTheme="minorHAnsi" w:eastAsiaTheme="minorEastAsia" w:cstheme="minorBidi"/>
          <w:kern w:val="2"/>
          <w:sz w:val="28"/>
          <w:szCs w:val="30"/>
          <w:lang w:val="en-US"/>
          <w14:ligatures w14:val="standardContextual"/>
        </w:rPr>
      </w:pPr>
      <w:r>
        <w:fldChar w:fldCharType="begin"/>
      </w:r>
      <w:r>
        <w:instrText xml:space="preserve"> HYPERLINK \l "_Toc202949962" </w:instrText>
      </w:r>
      <w:r>
        <w:fldChar w:fldCharType="separate"/>
      </w:r>
      <w:r>
        <w:rPr>
          <w:rStyle w:val="32"/>
          <w:rFonts w:cs="仿宋"/>
          <w:color w:val="auto"/>
          <w:sz w:val="27"/>
          <w:szCs w:val="27"/>
        </w:rPr>
        <w:t>第五章 采购</w:t>
      </w:r>
      <w:r>
        <w:rPr>
          <w:rStyle w:val="32"/>
          <w:rFonts w:cs="仿宋"/>
          <w:color w:val="auto"/>
          <w:sz w:val="27"/>
          <w:szCs w:val="27"/>
          <w:lang w:val="en-US"/>
        </w:rPr>
        <w:t>内容及服务要求</w:t>
      </w:r>
      <w:r>
        <w:rPr>
          <w:sz w:val="26"/>
          <w:szCs w:val="26"/>
        </w:rPr>
        <w:tab/>
      </w:r>
      <w:r>
        <w:rPr>
          <w:sz w:val="26"/>
          <w:szCs w:val="26"/>
        </w:rPr>
        <w:fldChar w:fldCharType="begin"/>
      </w:r>
      <w:r>
        <w:rPr>
          <w:sz w:val="26"/>
          <w:szCs w:val="26"/>
        </w:rPr>
        <w:instrText xml:space="preserve"> PAGEREF _Toc202949962 \h </w:instrText>
      </w:r>
      <w:r>
        <w:rPr>
          <w:sz w:val="26"/>
          <w:szCs w:val="26"/>
        </w:rPr>
        <w:fldChar w:fldCharType="separate"/>
      </w:r>
      <w:r>
        <w:rPr>
          <w:sz w:val="26"/>
          <w:szCs w:val="26"/>
        </w:rPr>
        <w:t>42</w:t>
      </w:r>
      <w:r>
        <w:rPr>
          <w:sz w:val="26"/>
          <w:szCs w:val="26"/>
        </w:rPr>
        <w:fldChar w:fldCharType="end"/>
      </w:r>
      <w:r>
        <w:rPr>
          <w:sz w:val="26"/>
          <w:szCs w:val="26"/>
        </w:rPr>
        <w:fldChar w:fldCharType="end"/>
      </w:r>
    </w:p>
    <w:p w14:paraId="6D9A8E29">
      <w:pPr>
        <w:pStyle w:val="20"/>
        <w:tabs>
          <w:tab w:val="right" w:leader="dot" w:pos="8240"/>
        </w:tabs>
        <w:spacing w:before="240" w:beforeLines="100" w:after="240" w:afterLines="100" w:line="360" w:lineRule="auto"/>
        <w:rPr>
          <w:rFonts w:asciiTheme="minorHAnsi" w:hAnsiTheme="minorHAnsi" w:eastAsiaTheme="minorEastAsia" w:cstheme="minorBidi"/>
          <w:kern w:val="2"/>
          <w:sz w:val="28"/>
          <w:szCs w:val="30"/>
          <w:lang w:val="en-US"/>
          <w14:ligatures w14:val="standardContextual"/>
        </w:rPr>
      </w:pPr>
      <w:r>
        <w:fldChar w:fldCharType="begin"/>
      </w:r>
      <w:r>
        <w:instrText xml:space="preserve"> HYPERLINK \l "_Toc202949963" </w:instrText>
      </w:r>
      <w:r>
        <w:fldChar w:fldCharType="separate"/>
      </w:r>
      <w:r>
        <w:rPr>
          <w:rStyle w:val="32"/>
          <w:rFonts w:cs="仿宋"/>
          <w:color w:val="auto"/>
          <w:sz w:val="27"/>
          <w:szCs w:val="27"/>
        </w:rPr>
        <w:t>第六章</w:t>
      </w:r>
      <w:r>
        <w:rPr>
          <w:rStyle w:val="32"/>
          <w:rFonts w:cs="仿宋"/>
          <w:color w:val="auto"/>
          <w:sz w:val="27"/>
          <w:szCs w:val="27"/>
          <w:lang w:val="en-US"/>
        </w:rPr>
        <w:t xml:space="preserve"> </w:t>
      </w:r>
      <w:r>
        <w:rPr>
          <w:rStyle w:val="32"/>
          <w:rFonts w:cs="仿宋"/>
          <w:color w:val="auto"/>
          <w:sz w:val="27"/>
          <w:szCs w:val="27"/>
        </w:rPr>
        <w:t>投标文件格式</w:t>
      </w:r>
      <w:r>
        <w:rPr>
          <w:sz w:val="26"/>
          <w:szCs w:val="26"/>
        </w:rPr>
        <w:tab/>
      </w:r>
      <w:r>
        <w:rPr>
          <w:sz w:val="26"/>
          <w:szCs w:val="26"/>
        </w:rPr>
        <w:fldChar w:fldCharType="begin"/>
      </w:r>
      <w:r>
        <w:rPr>
          <w:sz w:val="26"/>
          <w:szCs w:val="26"/>
        </w:rPr>
        <w:instrText xml:space="preserve"> PAGEREF _Toc202949963 \h </w:instrText>
      </w:r>
      <w:r>
        <w:rPr>
          <w:sz w:val="26"/>
          <w:szCs w:val="26"/>
        </w:rPr>
        <w:fldChar w:fldCharType="separate"/>
      </w:r>
      <w:r>
        <w:rPr>
          <w:sz w:val="26"/>
          <w:szCs w:val="26"/>
        </w:rPr>
        <w:t>76</w:t>
      </w:r>
      <w:r>
        <w:rPr>
          <w:sz w:val="26"/>
          <w:szCs w:val="26"/>
        </w:rPr>
        <w:fldChar w:fldCharType="end"/>
      </w:r>
      <w:r>
        <w:rPr>
          <w:sz w:val="26"/>
          <w:szCs w:val="26"/>
        </w:rPr>
        <w:fldChar w:fldCharType="end"/>
      </w:r>
    </w:p>
    <w:p w14:paraId="50B0786B">
      <w:pPr>
        <w:pStyle w:val="10"/>
        <w:spacing w:before="240" w:beforeLines="100" w:after="240" w:afterLines="100" w:line="360" w:lineRule="auto"/>
        <w:rPr>
          <w:rFonts w:cs="仿宋"/>
          <w:b/>
          <w:sz w:val="24"/>
          <w:szCs w:val="24"/>
        </w:rPr>
      </w:pPr>
      <w:r>
        <w:rPr>
          <w:rFonts w:hint="eastAsia" w:cs="仿宋"/>
          <w:b/>
          <w:bCs/>
          <w:sz w:val="38"/>
          <w:szCs w:val="38"/>
        </w:rPr>
        <w:fldChar w:fldCharType="end"/>
      </w:r>
    </w:p>
    <w:p w14:paraId="1D088ECB">
      <w:pPr>
        <w:pStyle w:val="10"/>
        <w:spacing w:before="11" w:line="360" w:lineRule="auto"/>
        <w:rPr>
          <w:rFonts w:cs="仿宋"/>
          <w:b/>
          <w:sz w:val="23"/>
        </w:rPr>
      </w:pPr>
    </w:p>
    <w:p w14:paraId="6C5AC721">
      <w:pPr>
        <w:pStyle w:val="10"/>
        <w:spacing w:before="11" w:line="360" w:lineRule="auto"/>
        <w:rPr>
          <w:rFonts w:cs="仿宋"/>
          <w:b/>
          <w:sz w:val="23"/>
        </w:rPr>
      </w:pPr>
    </w:p>
    <w:p w14:paraId="71961E78">
      <w:pPr>
        <w:pStyle w:val="10"/>
        <w:spacing w:before="11" w:line="360" w:lineRule="auto"/>
        <w:rPr>
          <w:rFonts w:cs="仿宋"/>
          <w:b/>
          <w:sz w:val="23"/>
        </w:rPr>
      </w:pPr>
    </w:p>
    <w:p w14:paraId="271BC793">
      <w:pPr>
        <w:pStyle w:val="10"/>
        <w:spacing w:before="11" w:line="360" w:lineRule="auto"/>
        <w:rPr>
          <w:rFonts w:cs="仿宋"/>
          <w:b/>
          <w:sz w:val="23"/>
        </w:rPr>
      </w:pPr>
    </w:p>
    <w:p w14:paraId="6FC40E1E">
      <w:pPr>
        <w:pStyle w:val="10"/>
        <w:spacing w:before="11" w:line="360" w:lineRule="auto"/>
        <w:rPr>
          <w:rFonts w:cs="仿宋"/>
          <w:b/>
          <w:sz w:val="23"/>
        </w:rPr>
      </w:pPr>
    </w:p>
    <w:p w14:paraId="4F5E8C2F">
      <w:pPr>
        <w:pStyle w:val="10"/>
        <w:spacing w:before="11" w:line="360" w:lineRule="auto"/>
        <w:rPr>
          <w:rFonts w:cs="仿宋"/>
          <w:b/>
          <w:sz w:val="23"/>
        </w:rPr>
      </w:pPr>
    </w:p>
    <w:p w14:paraId="7934C781">
      <w:pPr>
        <w:pStyle w:val="10"/>
        <w:spacing w:before="11" w:line="360" w:lineRule="auto"/>
        <w:rPr>
          <w:rFonts w:cs="仿宋"/>
          <w:b/>
          <w:sz w:val="23"/>
        </w:rPr>
      </w:pPr>
    </w:p>
    <w:p w14:paraId="78D6974C">
      <w:pPr>
        <w:pStyle w:val="10"/>
        <w:spacing w:before="11" w:line="360" w:lineRule="auto"/>
        <w:rPr>
          <w:rFonts w:cs="仿宋"/>
          <w:b/>
          <w:sz w:val="23"/>
        </w:rPr>
      </w:pPr>
    </w:p>
    <w:p w14:paraId="5B772D21">
      <w:pPr>
        <w:spacing w:line="360" w:lineRule="auto"/>
        <w:rPr>
          <w:rFonts w:ascii="宋体" w:hAnsi="宋体" w:cs="仿宋"/>
          <w:b/>
          <w:sz w:val="23"/>
        </w:rPr>
      </w:pPr>
    </w:p>
    <w:p w14:paraId="060B21D6">
      <w:pPr>
        <w:spacing w:line="360" w:lineRule="auto"/>
        <w:rPr>
          <w:rFonts w:ascii="宋体" w:hAnsi="宋体" w:cs="仿宋"/>
        </w:rPr>
      </w:pPr>
    </w:p>
    <w:p w14:paraId="741DAFDC">
      <w:pPr>
        <w:pStyle w:val="3"/>
        <w:numPr>
          <w:ilvl w:val="0"/>
          <w:numId w:val="2"/>
        </w:numPr>
        <w:spacing w:before="100" w:after="100" w:line="360" w:lineRule="auto"/>
        <w:ind w:right="-144"/>
        <w:rPr>
          <w:rFonts w:cs="仿宋"/>
        </w:rPr>
        <w:sectPr>
          <w:headerReference r:id="rId4" w:type="first"/>
          <w:headerReference r:id="rId3" w:type="default"/>
          <w:footerReference r:id="rId5" w:type="default"/>
          <w:pgSz w:w="11850" w:h="16783"/>
          <w:pgMar w:top="1440" w:right="1800" w:bottom="1440" w:left="1800" w:header="0" w:footer="1233" w:gutter="0"/>
          <w:pgNumType w:start="1"/>
          <w:cols w:space="720" w:num="1"/>
        </w:sectPr>
      </w:pPr>
    </w:p>
    <w:p w14:paraId="31F06FB4">
      <w:pPr>
        <w:pStyle w:val="3"/>
        <w:rPr>
          <w:rFonts w:cs="仿宋"/>
        </w:rPr>
      </w:pPr>
      <w:bookmarkStart w:id="0" w:name="_Toc4557"/>
      <w:bookmarkStart w:id="1" w:name="_Toc202949958"/>
      <w:r>
        <w:rPr>
          <w:rFonts w:hint="eastAsia" w:cs="仿宋"/>
        </w:rPr>
        <w:t>第一章</w:t>
      </w:r>
      <w:r>
        <w:rPr>
          <w:rFonts w:hint="eastAsia" w:cs="仿宋"/>
          <w:lang w:val="en-US"/>
        </w:rPr>
        <w:t xml:space="preserve"> </w:t>
      </w:r>
      <w:r>
        <w:rPr>
          <w:rFonts w:hint="eastAsia" w:cs="仿宋"/>
        </w:rPr>
        <w:t>招标公告</w:t>
      </w:r>
      <w:bookmarkEnd w:id="0"/>
      <w:bookmarkEnd w:id="1"/>
    </w:p>
    <w:p w14:paraId="669FE4E2">
      <w:pPr>
        <w:widowControl/>
        <w:spacing w:line="360" w:lineRule="auto"/>
        <w:ind w:right="-370"/>
        <w:jc w:val="center"/>
        <w:rPr>
          <w:rFonts w:ascii="宋体" w:hAnsi="宋体" w:cs="仿宋"/>
          <w:sz w:val="28"/>
          <w:szCs w:val="28"/>
        </w:rPr>
      </w:pPr>
      <w:r>
        <w:rPr>
          <w:rFonts w:hint="eastAsia" w:ascii="宋体" w:hAnsi="宋体" w:cs="仿宋"/>
          <w:b/>
          <w:bCs/>
          <w:sz w:val="28"/>
          <w:szCs w:val="28"/>
        </w:rPr>
        <w:t>【平公资采2025731号】平顶山市新城区行政服务中心新城区电子政务外网暨办公业务资源网建设购买服务项目-招标公告</w:t>
      </w:r>
    </w:p>
    <w:p w14:paraId="1F1CB2E8">
      <w:pPr>
        <w:pStyle w:val="17"/>
        <w:adjustRightInd w:val="0"/>
        <w:snapToGrid w:val="0"/>
        <w:spacing w:line="360" w:lineRule="auto"/>
        <w:ind w:firstLine="0"/>
        <w:rPr>
          <w:rFonts w:cs="仿宋"/>
          <w:b/>
          <w:sz w:val="24"/>
          <w:szCs w:val="24"/>
          <w:lang w:val="en-US"/>
        </w:rPr>
      </w:pPr>
      <w:r>
        <w:rPr>
          <w:rFonts w:hint="eastAsia" w:cs="仿宋"/>
          <w:b/>
          <w:sz w:val="24"/>
          <w:szCs w:val="24"/>
        </w:rPr>
        <w:t>项目概况</w:t>
      </w:r>
    </w:p>
    <w:p w14:paraId="2B082AFA">
      <w:pPr>
        <w:pStyle w:val="17"/>
        <w:adjustRightInd w:val="0"/>
        <w:snapToGrid w:val="0"/>
        <w:spacing w:line="360" w:lineRule="auto"/>
        <w:ind w:firstLine="480" w:firstLineChars="200"/>
        <w:rPr>
          <w:rFonts w:cs="仿宋"/>
          <w:b/>
          <w:sz w:val="24"/>
          <w:szCs w:val="24"/>
          <w:lang w:val="en-US"/>
        </w:rPr>
      </w:pPr>
      <w:r>
        <w:rPr>
          <w:rFonts w:hint="eastAsia" w:cs="仿宋"/>
          <w:sz w:val="24"/>
          <w:szCs w:val="24"/>
        </w:rPr>
        <w:t>平顶山市新城区行政服务中心新城区电子政务外网暨办公业务资源网建设购买服务项目的潜在投标人应在全国公共资源交易平台</w:t>
      </w:r>
      <w:r>
        <w:rPr>
          <w:rFonts w:hint="eastAsia" w:cs="仿宋"/>
          <w:sz w:val="24"/>
          <w:szCs w:val="24"/>
          <w:lang w:val="en-US"/>
        </w:rPr>
        <w:t>（</w:t>
      </w:r>
      <w:r>
        <w:rPr>
          <w:rFonts w:hint="eastAsia" w:cs="仿宋"/>
          <w:sz w:val="24"/>
          <w:szCs w:val="24"/>
        </w:rPr>
        <w:t>河南省</w:t>
      </w:r>
      <w:r>
        <w:rPr>
          <w:rFonts w:hint="eastAsia" w:cs="仿宋"/>
          <w:sz w:val="24"/>
          <w:szCs w:val="24"/>
          <w:lang w:val="en-US"/>
        </w:rPr>
        <w:t>·</w:t>
      </w:r>
      <w:r>
        <w:rPr>
          <w:rFonts w:hint="eastAsia" w:cs="仿宋"/>
          <w:sz w:val="24"/>
          <w:szCs w:val="24"/>
        </w:rPr>
        <w:t>平顶山市</w:t>
      </w:r>
      <w:r>
        <w:rPr>
          <w:rFonts w:hint="eastAsia" w:cs="仿宋"/>
          <w:sz w:val="24"/>
          <w:szCs w:val="24"/>
          <w:lang w:val="en-US"/>
        </w:rPr>
        <w:t>）http://ggzy.pds.gov.cn/</w:t>
      </w:r>
      <w:r>
        <w:rPr>
          <w:rFonts w:hint="eastAsia" w:cs="仿宋"/>
          <w:sz w:val="24"/>
          <w:szCs w:val="24"/>
        </w:rPr>
        <w:t>获取招标文件</w:t>
      </w:r>
      <w:r>
        <w:rPr>
          <w:rFonts w:hint="eastAsia" w:cs="仿宋"/>
          <w:sz w:val="24"/>
          <w:szCs w:val="24"/>
          <w:lang w:val="en-US"/>
        </w:rPr>
        <w:t>，</w:t>
      </w:r>
      <w:r>
        <w:rPr>
          <w:rFonts w:hint="eastAsia" w:cs="仿宋"/>
          <w:sz w:val="24"/>
          <w:szCs w:val="24"/>
        </w:rPr>
        <w:t>并于</w:t>
      </w:r>
      <w:r>
        <w:rPr>
          <w:rFonts w:hint="eastAsia" w:cs="仿宋"/>
          <w:sz w:val="24"/>
          <w:szCs w:val="24"/>
          <w:lang w:val="en-US"/>
        </w:rPr>
        <w:t>2025年8月25日09时00分（</w:t>
      </w:r>
      <w:r>
        <w:rPr>
          <w:rFonts w:hint="eastAsia" w:cs="仿宋"/>
          <w:sz w:val="24"/>
          <w:szCs w:val="24"/>
        </w:rPr>
        <w:t>北京时间</w:t>
      </w:r>
      <w:r>
        <w:rPr>
          <w:rFonts w:hint="eastAsia" w:cs="仿宋"/>
          <w:sz w:val="24"/>
          <w:szCs w:val="24"/>
          <w:lang w:val="en-US"/>
        </w:rPr>
        <w:t>）</w:t>
      </w:r>
      <w:r>
        <w:rPr>
          <w:rFonts w:hint="eastAsia" w:cs="仿宋"/>
          <w:sz w:val="24"/>
          <w:szCs w:val="24"/>
        </w:rPr>
        <w:t>前递交投标文件。</w:t>
      </w:r>
    </w:p>
    <w:p w14:paraId="7365713D">
      <w:pPr>
        <w:pStyle w:val="17"/>
        <w:adjustRightInd w:val="0"/>
        <w:snapToGrid w:val="0"/>
        <w:spacing w:line="360" w:lineRule="auto"/>
        <w:ind w:firstLine="0"/>
        <w:rPr>
          <w:rFonts w:cs="仿宋"/>
          <w:b/>
          <w:sz w:val="24"/>
          <w:szCs w:val="24"/>
        </w:rPr>
      </w:pPr>
      <w:bookmarkStart w:id="2" w:name="_Toc28359089"/>
      <w:bookmarkStart w:id="3" w:name="_Toc35393629"/>
      <w:bookmarkStart w:id="4" w:name="_Toc35393798"/>
      <w:bookmarkStart w:id="5" w:name="_Toc28359012"/>
      <w:bookmarkStart w:id="6" w:name="_Toc1321"/>
      <w:r>
        <w:rPr>
          <w:rFonts w:hint="eastAsia" w:cs="仿宋"/>
          <w:b/>
          <w:sz w:val="24"/>
          <w:szCs w:val="24"/>
        </w:rPr>
        <w:t>一、项目基本情况</w:t>
      </w:r>
      <w:bookmarkEnd w:id="2"/>
      <w:bookmarkEnd w:id="3"/>
      <w:bookmarkEnd w:id="4"/>
      <w:bookmarkEnd w:id="5"/>
      <w:bookmarkEnd w:id="6"/>
    </w:p>
    <w:p w14:paraId="15B628C0">
      <w:pPr>
        <w:pStyle w:val="36"/>
        <w:shd w:val="clear" w:color="auto" w:fill="FFFFFF"/>
        <w:adjustRightInd w:val="0"/>
        <w:snapToGrid w:val="0"/>
        <w:spacing w:line="360" w:lineRule="auto"/>
        <w:ind w:firstLine="480" w:firstLineChars="200"/>
        <w:rPr>
          <w:rFonts w:cs="仿宋"/>
          <w:bCs/>
        </w:rPr>
      </w:pPr>
      <w:bookmarkStart w:id="7" w:name="_Toc15793"/>
      <w:r>
        <w:rPr>
          <w:rFonts w:hint="eastAsia" w:cs="仿宋"/>
          <w:bCs/>
        </w:rPr>
        <w:t>1、项目编号：</w:t>
      </w:r>
      <w:bookmarkEnd w:id="7"/>
      <w:bookmarkStart w:id="8" w:name="_Toc21179"/>
      <w:r>
        <w:rPr>
          <w:rFonts w:hint="eastAsia" w:cs="仿宋"/>
          <w:bCs/>
        </w:rPr>
        <w:t>平示采招标-2025-13</w:t>
      </w:r>
    </w:p>
    <w:p w14:paraId="0845FD55">
      <w:pPr>
        <w:pStyle w:val="36"/>
        <w:shd w:val="clear" w:color="auto" w:fill="FFFFFF"/>
        <w:adjustRightInd w:val="0"/>
        <w:snapToGrid w:val="0"/>
        <w:spacing w:line="360" w:lineRule="auto"/>
        <w:ind w:firstLine="480" w:firstLineChars="200"/>
        <w:rPr>
          <w:rFonts w:cs="仿宋"/>
          <w:bCs/>
        </w:rPr>
      </w:pPr>
      <w:r>
        <w:rPr>
          <w:rFonts w:hint="eastAsia" w:cs="仿宋"/>
          <w:bCs/>
        </w:rPr>
        <w:t>2、项目名称：</w:t>
      </w:r>
      <w:bookmarkEnd w:id="8"/>
      <w:bookmarkStart w:id="9" w:name="_Toc12457"/>
      <w:r>
        <w:rPr>
          <w:rFonts w:hint="eastAsia" w:cs="仿宋"/>
          <w:bCs/>
        </w:rPr>
        <w:t>平顶山市新城区行政服务中心新城区电子政务外网暨办公业务资源网建设购买服务项目</w:t>
      </w:r>
    </w:p>
    <w:p w14:paraId="00146679">
      <w:pPr>
        <w:pStyle w:val="36"/>
        <w:shd w:val="clear" w:color="auto" w:fill="FFFFFF"/>
        <w:adjustRightInd w:val="0"/>
        <w:snapToGrid w:val="0"/>
        <w:spacing w:line="360" w:lineRule="auto"/>
        <w:ind w:firstLine="480" w:firstLineChars="200"/>
        <w:rPr>
          <w:rFonts w:cs="仿宋"/>
          <w:bCs/>
        </w:rPr>
      </w:pPr>
      <w:r>
        <w:rPr>
          <w:rFonts w:hint="eastAsia" w:cs="仿宋"/>
          <w:bCs/>
        </w:rPr>
        <w:t>3、采购方式：公开招标</w:t>
      </w:r>
      <w:bookmarkEnd w:id="9"/>
    </w:p>
    <w:p w14:paraId="29ABD31A">
      <w:pPr>
        <w:pStyle w:val="36"/>
        <w:shd w:val="clear" w:color="auto" w:fill="FFFFFF"/>
        <w:adjustRightInd w:val="0"/>
        <w:snapToGrid w:val="0"/>
        <w:spacing w:line="360" w:lineRule="auto"/>
        <w:ind w:firstLine="480" w:firstLineChars="200"/>
        <w:rPr>
          <w:rFonts w:cs="仿宋"/>
          <w:bCs/>
        </w:rPr>
      </w:pPr>
      <w:bookmarkStart w:id="10" w:name="_Toc29932"/>
      <w:r>
        <w:rPr>
          <w:rFonts w:hint="eastAsia" w:cs="仿宋"/>
          <w:bCs/>
        </w:rPr>
        <w:t>4、预算金额：4386000.00元</w:t>
      </w:r>
      <w:bookmarkEnd w:id="10"/>
    </w:p>
    <w:p w14:paraId="3FCE4731">
      <w:pPr>
        <w:pStyle w:val="36"/>
        <w:shd w:val="clear" w:color="auto" w:fill="FFFFFF"/>
        <w:adjustRightInd w:val="0"/>
        <w:snapToGrid w:val="0"/>
        <w:spacing w:line="360" w:lineRule="auto"/>
        <w:ind w:firstLine="480" w:firstLineChars="200"/>
        <w:rPr>
          <w:rFonts w:cs="仿宋"/>
          <w:bCs/>
        </w:rPr>
      </w:pPr>
      <w:bookmarkStart w:id="11" w:name="_Toc11883"/>
      <w:r>
        <w:rPr>
          <w:rFonts w:hint="eastAsia" w:cs="仿宋"/>
          <w:bCs/>
        </w:rPr>
        <w:t>最高限价：4386000.00元</w:t>
      </w:r>
      <w:bookmarkEnd w:id="11"/>
    </w:p>
    <w:tbl>
      <w:tblPr>
        <w:tblStyle w:val="27"/>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391"/>
        <w:gridCol w:w="3107"/>
        <w:gridCol w:w="1661"/>
        <w:gridCol w:w="2083"/>
      </w:tblGrid>
      <w:tr w14:paraId="7A14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18" w:type="dxa"/>
            <w:vAlign w:val="center"/>
          </w:tcPr>
          <w:p w14:paraId="678DF37F">
            <w:pPr>
              <w:pStyle w:val="17"/>
              <w:adjustRightInd w:val="0"/>
              <w:snapToGrid w:val="0"/>
              <w:spacing w:line="360" w:lineRule="auto"/>
              <w:ind w:firstLine="0"/>
              <w:jc w:val="center"/>
              <w:rPr>
                <w:rFonts w:cs="仿宋"/>
                <w:b/>
                <w:bCs/>
                <w:sz w:val="21"/>
                <w:szCs w:val="21"/>
              </w:rPr>
            </w:pPr>
            <w:r>
              <w:rPr>
                <w:rFonts w:hint="eastAsia" w:cs="仿宋"/>
                <w:b/>
                <w:bCs/>
                <w:sz w:val="21"/>
                <w:szCs w:val="21"/>
              </w:rPr>
              <w:t>序号</w:t>
            </w:r>
          </w:p>
        </w:tc>
        <w:tc>
          <w:tcPr>
            <w:tcW w:w="2391" w:type="dxa"/>
            <w:vAlign w:val="center"/>
          </w:tcPr>
          <w:p w14:paraId="4BC34107">
            <w:pPr>
              <w:pStyle w:val="17"/>
              <w:adjustRightInd w:val="0"/>
              <w:snapToGrid w:val="0"/>
              <w:spacing w:line="360" w:lineRule="auto"/>
              <w:ind w:firstLine="0"/>
              <w:jc w:val="center"/>
              <w:rPr>
                <w:rFonts w:cs="仿宋"/>
                <w:b/>
                <w:bCs/>
                <w:sz w:val="21"/>
                <w:szCs w:val="21"/>
              </w:rPr>
            </w:pPr>
            <w:r>
              <w:rPr>
                <w:rFonts w:hint="eastAsia" w:cs="仿宋"/>
                <w:b/>
                <w:bCs/>
                <w:sz w:val="21"/>
                <w:szCs w:val="21"/>
              </w:rPr>
              <w:t>包号</w:t>
            </w:r>
          </w:p>
        </w:tc>
        <w:tc>
          <w:tcPr>
            <w:tcW w:w="3107" w:type="dxa"/>
            <w:vAlign w:val="center"/>
          </w:tcPr>
          <w:p w14:paraId="1CA286FB">
            <w:pPr>
              <w:pStyle w:val="17"/>
              <w:adjustRightInd w:val="0"/>
              <w:snapToGrid w:val="0"/>
              <w:spacing w:line="360" w:lineRule="auto"/>
              <w:ind w:firstLine="0"/>
              <w:jc w:val="center"/>
              <w:rPr>
                <w:rFonts w:cs="仿宋"/>
                <w:b/>
                <w:bCs/>
                <w:sz w:val="21"/>
                <w:szCs w:val="21"/>
              </w:rPr>
            </w:pPr>
            <w:r>
              <w:rPr>
                <w:rFonts w:hint="eastAsia" w:cs="仿宋"/>
                <w:b/>
                <w:bCs/>
                <w:sz w:val="21"/>
                <w:szCs w:val="21"/>
              </w:rPr>
              <w:t>包名称</w:t>
            </w:r>
          </w:p>
        </w:tc>
        <w:tc>
          <w:tcPr>
            <w:tcW w:w="1661" w:type="dxa"/>
            <w:vAlign w:val="center"/>
          </w:tcPr>
          <w:p w14:paraId="22211211">
            <w:pPr>
              <w:pStyle w:val="17"/>
              <w:adjustRightInd w:val="0"/>
              <w:snapToGrid w:val="0"/>
              <w:spacing w:line="360" w:lineRule="auto"/>
              <w:ind w:firstLine="0"/>
              <w:jc w:val="center"/>
              <w:rPr>
                <w:rFonts w:cs="仿宋"/>
                <w:b/>
                <w:bCs/>
                <w:sz w:val="21"/>
                <w:szCs w:val="21"/>
              </w:rPr>
            </w:pPr>
            <w:r>
              <w:rPr>
                <w:rFonts w:hint="eastAsia" w:cs="仿宋"/>
                <w:b/>
                <w:bCs/>
                <w:sz w:val="21"/>
                <w:szCs w:val="21"/>
              </w:rPr>
              <w:t>包预算（元）</w:t>
            </w:r>
          </w:p>
        </w:tc>
        <w:tc>
          <w:tcPr>
            <w:tcW w:w="2083" w:type="dxa"/>
            <w:vAlign w:val="center"/>
          </w:tcPr>
          <w:p w14:paraId="69BEE992">
            <w:pPr>
              <w:pStyle w:val="17"/>
              <w:adjustRightInd w:val="0"/>
              <w:snapToGrid w:val="0"/>
              <w:spacing w:line="360" w:lineRule="auto"/>
              <w:ind w:firstLine="0"/>
              <w:jc w:val="center"/>
              <w:rPr>
                <w:rFonts w:cs="仿宋"/>
                <w:b/>
                <w:bCs/>
                <w:sz w:val="21"/>
                <w:szCs w:val="21"/>
              </w:rPr>
            </w:pPr>
            <w:r>
              <w:rPr>
                <w:rFonts w:hint="eastAsia" w:cs="仿宋"/>
                <w:b/>
                <w:bCs/>
                <w:sz w:val="21"/>
                <w:szCs w:val="21"/>
              </w:rPr>
              <w:t>包最高限价（元）</w:t>
            </w:r>
          </w:p>
        </w:tc>
      </w:tr>
      <w:tr w14:paraId="26D7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18" w:type="dxa"/>
            <w:vAlign w:val="center"/>
          </w:tcPr>
          <w:p w14:paraId="703F8461">
            <w:pPr>
              <w:pStyle w:val="17"/>
              <w:adjustRightInd w:val="0"/>
              <w:snapToGrid w:val="0"/>
              <w:spacing w:line="360" w:lineRule="auto"/>
              <w:ind w:firstLine="0"/>
              <w:jc w:val="center"/>
              <w:rPr>
                <w:rFonts w:cs="仿宋"/>
                <w:sz w:val="21"/>
                <w:szCs w:val="21"/>
              </w:rPr>
            </w:pPr>
            <w:r>
              <w:rPr>
                <w:rFonts w:hint="eastAsia" w:cs="仿宋"/>
                <w:sz w:val="21"/>
                <w:szCs w:val="21"/>
              </w:rPr>
              <w:t>1</w:t>
            </w:r>
          </w:p>
        </w:tc>
        <w:tc>
          <w:tcPr>
            <w:tcW w:w="2391" w:type="dxa"/>
            <w:vAlign w:val="center"/>
          </w:tcPr>
          <w:p w14:paraId="4FC65E92">
            <w:pPr>
              <w:pStyle w:val="17"/>
              <w:adjustRightInd w:val="0"/>
              <w:snapToGrid w:val="0"/>
              <w:spacing w:line="360" w:lineRule="auto"/>
              <w:ind w:firstLine="0"/>
              <w:jc w:val="center"/>
              <w:rPr>
                <w:rFonts w:cs="仿宋"/>
                <w:sz w:val="21"/>
                <w:szCs w:val="21"/>
              </w:rPr>
            </w:pPr>
            <w:r>
              <w:rPr>
                <w:rFonts w:hint="eastAsia" w:cs="仿宋"/>
                <w:sz w:val="21"/>
                <w:szCs w:val="21"/>
              </w:rPr>
              <w:t>平公资采</w:t>
            </w:r>
            <w:r>
              <w:rPr>
                <w:rFonts w:hint="eastAsia" w:cs="仿宋"/>
                <w:sz w:val="21"/>
                <w:szCs w:val="21"/>
                <w:lang w:val="en-US"/>
              </w:rPr>
              <w:t>2025</w:t>
            </w:r>
            <w:r>
              <w:rPr>
                <w:rFonts w:hint="eastAsia" w:cs="仿宋"/>
                <w:sz w:val="21"/>
                <w:szCs w:val="21"/>
                <w:u w:val="single"/>
              </w:rPr>
              <w:t>731</w:t>
            </w:r>
            <w:r>
              <w:rPr>
                <w:rFonts w:hint="eastAsia" w:cs="仿宋"/>
                <w:sz w:val="21"/>
                <w:szCs w:val="21"/>
              </w:rPr>
              <w:t>号-1</w:t>
            </w:r>
          </w:p>
        </w:tc>
        <w:tc>
          <w:tcPr>
            <w:tcW w:w="3107" w:type="dxa"/>
            <w:vAlign w:val="center"/>
          </w:tcPr>
          <w:p w14:paraId="0826DF15">
            <w:pPr>
              <w:adjustRightInd w:val="0"/>
              <w:snapToGrid w:val="0"/>
              <w:jc w:val="center"/>
              <w:rPr>
                <w:rFonts w:ascii="宋体" w:hAnsi="宋体" w:cs="仿宋"/>
                <w:szCs w:val="21"/>
              </w:rPr>
            </w:pPr>
            <w:r>
              <w:rPr>
                <w:rFonts w:hint="eastAsia" w:ascii="宋体" w:hAnsi="宋体" w:cs="仿宋"/>
                <w:szCs w:val="21"/>
              </w:rPr>
              <w:t>平顶山市新城区行政服务中心新城区电子政务外网暨办公业务资源网建设购买服务项目</w:t>
            </w:r>
          </w:p>
        </w:tc>
        <w:tc>
          <w:tcPr>
            <w:tcW w:w="1661" w:type="dxa"/>
            <w:vAlign w:val="center"/>
          </w:tcPr>
          <w:p w14:paraId="5648EC83">
            <w:pPr>
              <w:pStyle w:val="17"/>
              <w:adjustRightInd w:val="0"/>
              <w:snapToGrid w:val="0"/>
              <w:spacing w:line="360" w:lineRule="auto"/>
              <w:ind w:firstLine="0"/>
              <w:jc w:val="center"/>
              <w:rPr>
                <w:rFonts w:cs="仿宋"/>
                <w:sz w:val="21"/>
                <w:szCs w:val="21"/>
              </w:rPr>
            </w:pPr>
            <w:r>
              <w:rPr>
                <w:rFonts w:hint="eastAsia" w:cs="仿宋"/>
                <w:sz w:val="21"/>
                <w:szCs w:val="21"/>
              </w:rPr>
              <w:t>4386000.00</w:t>
            </w:r>
          </w:p>
        </w:tc>
        <w:tc>
          <w:tcPr>
            <w:tcW w:w="2083" w:type="dxa"/>
            <w:vAlign w:val="center"/>
          </w:tcPr>
          <w:p w14:paraId="46A64D28">
            <w:pPr>
              <w:pStyle w:val="17"/>
              <w:adjustRightInd w:val="0"/>
              <w:snapToGrid w:val="0"/>
              <w:spacing w:line="360" w:lineRule="auto"/>
              <w:ind w:firstLine="0"/>
              <w:jc w:val="center"/>
              <w:rPr>
                <w:rFonts w:cs="仿宋"/>
                <w:sz w:val="21"/>
                <w:szCs w:val="21"/>
              </w:rPr>
            </w:pPr>
            <w:r>
              <w:rPr>
                <w:rFonts w:hint="eastAsia" w:cs="仿宋"/>
                <w:sz w:val="21"/>
                <w:szCs w:val="21"/>
              </w:rPr>
              <w:t>4386000.00</w:t>
            </w:r>
          </w:p>
        </w:tc>
      </w:tr>
    </w:tbl>
    <w:p w14:paraId="254BAA75">
      <w:pPr>
        <w:pStyle w:val="36"/>
        <w:shd w:val="clear" w:color="auto" w:fill="FFFFFF"/>
        <w:adjustRightInd w:val="0"/>
        <w:snapToGrid w:val="0"/>
        <w:spacing w:line="360" w:lineRule="auto"/>
        <w:ind w:firstLine="480" w:firstLineChars="200"/>
        <w:rPr>
          <w:rFonts w:cs="仿宋"/>
          <w:bCs/>
        </w:rPr>
      </w:pPr>
      <w:bookmarkStart w:id="12" w:name="_Toc19912"/>
      <w:r>
        <w:rPr>
          <w:rFonts w:hint="eastAsia" w:cs="仿宋"/>
          <w:bCs/>
        </w:rPr>
        <w:t>5、采购需求（包括但不限于标的的名称、数量、简要技术需求或服务要求等）</w:t>
      </w:r>
      <w:bookmarkEnd w:id="12"/>
    </w:p>
    <w:p w14:paraId="05BE9942">
      <w:pPr>
        <w:adjustRightInd w:val="0"/>
        <w:snapToGrid w:val="0"/>
        <w:spacing w:line="360" w:lineRule="auto"/>
        <w:ind w:firstLine="480" w:firstLineChars="200"/>
        <w:rPr>
          <w:rFonts w:ascii="宋体" w:hAnsi="宋体" w:cs="仿宋"/>
          <w:bCs/>
          <w:sz w:val="24"/>
        </w:rPr>
      </w:pPr>
      <w:r>
        <w:rPr>
          <w:rFonts w:hint="eastAsia" w:ascii="宋体" w:hAnsi="宋体" w:cs="仿宋"/>
          <w:bCs/>
          <w:sz w:val="24"/>
        </w:rPr>
        <w:t>5.1、采购内容：</w:t>
      </w:r>
    </w:p>
    <w:p w14:paraId="593374AB">
      <w:pPr>
        <w:adjustRightInd w:val="0"/>
        <w:snapToGrid w:val="0"/>
        <w:spacing w:line="360" w:lineRule="auto"/>
        <w:ind w:left="567" w:leftChars="270" w:firstLine="283"/>
        <w:rPr>
          <w:rFonts w:ascii="宋体" w:hAnsi="宋体" w:cs="仿宋"/>
          <w:sz w:val="24"/>
        </w:rPr>
      </w:pPr>
      <w:r>
        <w:rPr>
          <w:rFonts w:hint="eastAsia" w:ascii="宋体" w:hAnsi="宋体" w:cs="仿宋"/>
          <w:sz w:val="24"/>
        </w:rPr>
        <w:t>（1）、按国家要求建设区电子政务外网基础网络及其周边所有相关设备接入服务、安全态势感知监测服务；</w:t>
      </w:r>
    </w:p>
    <w:p w14:paraId="260FB74A">
      <w:pPr>
        <w:adjustRightInd w:val="0"/>
        <w:snapToGrid w:val="0"/>
        <w:spacing w:line="360" w:lineRule="auto"/>
        <w:ind w:left="567" w:leftChars="270" w:firstLine="283"/>
        <w:rPr>
          <w:rFonts w:ascii="宋体" w:hAnsi="宋体" w:cs="仿宋"/>
          <w:sz w:val="24"/>
        </w:rPr>
      </w:pPr>
      <w:r>
        <w:rPr>
          <w:rFonts w:hint="eastAsia" w:ascii="宋体" w:hAnsi="宋体" w:cs="仿宋"/>
          <w:sz w:val="24"/>
        </w:rPr>
        <w:t>（2）、政务办公系统软硬件支撑平台租赁服务、政务办公平台应用软件使用授权服务、内网网络安全及终端管控平台使用服务、电子签章租赁及授权服务、政府办公业务资源网平台运维服务、移动办公政务GPN接口租赁服务、撤线组网改造服务；</w:t>
      </w:r>
    </w:p>
    <w:p w14:paraId="43F74C54">
      <w:pPr>
        <w:adjustRightInd w:val="0"/>
        <w:snapToGrid w:val="0"/>
        <w:spacing w:line="360" w:lineRule="auto"/>
        <w:ind w:left="567" w:leftChars="270" w:firstLine="283"/>
        <w:rPr>
          <w:rFonts w:ascii="宋体" w:hAnsi="宋体" w:cs="仿宋"/>
          <w:sz w:val="24"/>
        </w:rPr>
      </w:pPr>
      <w:r>
        <w:rPr>
          <w:rFonts w:hint="eastAsia" w:ascii="宋体" w:hAnsi="宋体" w:cs="仿宋"/>
          <w:sz w:val="24"/>
        </w:rPr>
        <w:t>（3）、新城区门户网站运维服务；</w:t>
      </w:r>
    </w:p>
    <w:p w14:paraId="6A1F3194">
      <w:pPr>
        <w:adjustRightInd w:val="0"/>
        <w:snapToGrid w:val="0"/>
        <w:spacing w:line="360" w:lineRule="auto"/>
        <w:ind w:left="567" w:leftChars="270" w:firstLine="283"/>
        <w:rPr>
          <w:rFonts w:ascii="宋体" w:hAnsi="宋体" w:cs="仿宋"/>
          <w:sz w:val="24"/>
        </w:rPr>
      </w:pPr>
      <w:r>
        <w:rPr>
          <w:rFonts w:hint="eastAsia" w:ascii="宋体" w:hAnsi="宋体" w:cs="仿宋"/>
          <w:sz w:val="24"/>
        </w:rPr>
        <w:t>（4）、对外网网络和门户网站按要求进行安全三级等保登记备案工作；</w:t>
      </w:r>
    </w:p>
    <w:p w14:paraId="62D72278">
      <w:pPr>
        <w:adjustRightInd w:val="0"/>
        <w:snapToGrid w:val="0"/>
        <w:spacing w:line="360" w:lineRule="auto"/>
        <w:ind w:left="567" w:leftChars="270" w:firstLine="283"/>
        <w:rPr>
          <w:rFonts w:ascii="宋体" w:hAnsi="宋体" w:cs="仿宋"/>
          <w:bCs/>
          <w:sz w:val="24"/>
        </w:rPr>
      </w:pPr>
      <w:r>
        <w:rPr>
          <w:rFonts w:hint="eastAsia" w:ascii="宋体" w:hAnsi="宋体" w:cs="仿宋"/>
          <w:sz w:val="24"/>
        </w:rPr>
        <w:t>具体内容详见招标文件第五章采购内容及服务要求。</w:t>
      </w:r>
    </w:p>
    <w:p w14:paraId="48B7F1B0">
      <w:pPr>
        <w:pStyle w:val="36"/>
        <w:shd w:val="clear" w:color="auto" w:fill="FFFFFF"/>
        <w:adjustRightInd w:val="0"/>
        <w:snapToGrid w:val="0"/>
        <w:spacing w:line="360" w:lineRule="auto"/>
        <w:ind w:firstLine="480" w:firstLineChars="200"/>
        <w:rPr>
          <w:rFonts w:cs="仿宋"/>
          <w:bCs/>
        </w:rPr>
      </w:pPr>
      <w:r>
        <w:rPr>
          <w:rFonts w:hint="eastAsia" w:cs="仿宋"/>
          <w:bCs/>
        </w:rPr>
        <w:t>5.2、资金来源：财政资金，已落实</w:t>
      </w:r>
    </w:p>
    <w:p w14:paraId="53BFBD09">
      <w:pPr>
        <w:pStyle w:val="36"/>
        <w:shd w:val="clear" w:color="auto" w:fill="FFFFFF"/>
        <w:adjustRightInd w:val="0"/>
        <w:snapToGrid w:val="0"/>
        <w:spacing w:line="360" w:lineRule="auto"/>
        <w:ind w:firstLine="480" w:firstLineChars="200"/>
        <w:rPr>
          <w:rFonts w:cs="仿宋"/>
          <w:bCs/>
        </w:rPr>
      </w:pPr>
      <w:r>
        <w:rPr>
          <w:rFonts w:hint="eastAsia" w:cs="仿宋"/>
          <w:bCs/>
        </w:rPr>
        <w:t>5.3、服务期限：三年</w:t>
      </w:r>
    </w:p>
    <w:p w14:paraId="7DC3E2C6">
      <w:pPr>
        <w:pStyle w:val="36"/>
        <w:shd w:val="clear" w:color="auto" w:fill="FFFFFF"/>
        <w:adjustRightInd w:val="0"/>
        <w:snapToGrid w:val="0"/>
        <w:spacing w:line="360" w:lineRule="auto"/>
        <w:ind w:firstLine="480" w:firstLineChars="200"/>
        <w:rPr>
          <w:rFonts w:cs="仿宋"/>
          <w:bCs/>
        </w:rPr>
      </w:pPr>
      <w:r>
        <w:rPr>
          <w:rFonts w:hint="eastAsia" w:cs="仿宋"/>
          <w:bCs/>
        </w:rPr>
        <w:t>5.4、服务质量要求：合格，符合国家和行业现行标准规定，满足采购人需求；</w:t>
      </w:r>
    </w:p>
    <w:p w14:paraId="5EDFC455">
      <w:pPr>
        <w:pStyle w:val="36"/>
        <w:shd w:val="clear" w:color="auto" w:fill="FFFFFF"/>
        <w:adjustRightInd w:val="0"/>
        <w:snapToGrid w:val="0"/>
        <w:spacing w:line="360" w:lineRule="auto"/>
        <w:ind w:firstLine="480" w:firstLineChars="200"/>
        <w:rPr>
          <w:rFonts w:cs="仿宋"/>
          <w:bCs/>
        </w:rPr>
      </w:pPr>
      <w:r>
        <w:rPr>
          <w:rFonts w:hint="eastAsia" w:cs="仿宋"/>
          <w:bCs/>
        </w:rPr>
        <w:t>5.5、标段划分：一个标段</w:t>
      </w:r>
    </w:p>
    <w:p w14:paraId="497BDB34">
      <w:pPr>
        <w:pStyle w:val="36"/>
        <w:shd w:val="clear" w:color="auto" w:fill="FFFFFF"/>
        <w:adjustRightInd w:val="0"/>
        <w:snapToGrid w:val="0"/>
        <w:spacing w:line="360" w:lineRule="auto"/>
        <w:ind w:firstLine="480" w:firstLineChars="200"/>
        <w:rPr>
          <w:rFonts w:cs="仿宋"/>
          <w:bCs/>
        </w:rPr>
      </w:pPr>
      <w:r>
        <w:rPr>
          <w:rFonts w:hint="eastAsia" w:cs="仿宋"/>
          <w:bCs/>
        </w:rPr>
        <w:t>6、合同履行期限：三年</w:t>
      </w:r>
    </w:p>
    <w:p w14:paraId="2F952A11">
      <w:pPr>
        <w:pStyle w:val="36"/>
        <w:shd w:val="clear" w:color="auto" w:fill="FFFFFF"/>
        <w:adjustRightInd w:val="0"/>
        <w:snapToGrid w:val="0"/>
        <w:spacing w:line="360" w:lineRule="auto"/>
        <w:ind w:firstLine="480" w:firstLineChars="200"/>
        <w:rPr>
          <w:rFonts w:cs="仿宋"/>
          <w:bCs/>
        </w:rPr>
      </w:pPr>
      <w:r>
        <w:rPr>
          <w:rFonts w:hint="eastAsia" w:cs="仿宋"/>
          <w:bCs/>
        </w:rPr>
        <w:t>7、本项目是否接受联合体投标：否</w:t>
      </w:r>
    </w:p>
    <w:p w14:paraId="087B8F4B">
      <w:pPr>
        <w:pStyle w:val="36"/>
        <w:shd w:val="clear" w:color="auto" w:fill="FFFFFF"/>
        <w:adjustRightInd w:val="0"/>
        <w:snapToGrid w:val="0"/>
        <w:spacing w:line="360" w:lineRule="auto"/>
        <w:ind w:firstLine="480" w:firstLineChars="200"/>
        <w:rPr>
          <w:rFonts w:cs="仿宋"/>
          <w:bCs/>
        </w:rPr>
      </w:pPr>
      <w:r>
        <w:rPr>
          <w:rFonts w:hint="eastAsia" w:cs="仿宋"/>
          <w:bCs/>
        </w:rPr>
        <w:t>8、是否接受进口产品：否</w:t>
      </w:r>
    </w:p>
    <w:p w14:paraId="07886ED3">
      <w:pPr>
        <w:pStyle w:val="36"/>
        <w:shd w:val="clear" w:color="auto" w:fill="FFFFFF"/>
        <w:adjustRightInd w:val="0"/>
        <w:snapToGrid w:val="0"/>
        <w:spacing w:line="360" w:lineRule="auto"/>
        <w:ind w:firstLine="480" w:firstLineChars="200"/>
        <w:rPr>
          <w:rFonts w:cs="仿宋"/>
          <w:bCs/>
        </w:rPr>
      </w:pPr>
      <w:r>
        <w:rPr>
          <w:rFonts w:hint="eastAsia" w:cs="仿宋"/>
          <w:bCs/>
        </w:rPr>
        <w:t>9、是否专门面向中小企业：否</w:t>
      </w:r>
    </w:p>
    <w:p w14:paraId="18105BC3">
      <w:pPr>
        <w:pStyle w:val="17"/>
        <w:adjustRightInd w:val="0"/>
        <w:snapToGrid w:val="0"/>
        <w:spacing w:line="360" w:lineRule="auto"/>
        <w:ind w:firstLine="0"/>
        <w:rPr>
          <w:rFonts w:cs="仿宋"/>
          <w:b/>
          <w:sz w:val="24"/>
          <w:szCs w:val="24"/>
        </w:rPr>
      </w:pPr>
      <w:bookmarkStart w:id="13" w:name="_Toc26013"/>
      <w:r>
        <w:rPr>
          <w:rFonts w:hint="eastAsia" w:cs="仿宋"/>
          <w:b/>
          <w:sz w:val="24"/>
          <w:szCs w:val="24"/>
        </w:rPr>
        <w:t>二、申请人的资格要求：</w:t>
      </w:r>
      <w:bookmarkEnd w:id="13"/>
    </w:p>
    <w:p w14:paraId="647A48B1">
      <w:pPr>
        <w:wordWrap w:val="0"/>
        <w:topLinePunct/>
        <w:adjustRightInd w:val="0"/>
        <w:snapToGrid w:val="0"/>
        <w:spacing w:line="360" w:lineRule="auto"/>
        <w:ind w:firstLine="720" w:firstLineChars="300"/>
        <w:rPr>
          <w:rFonts w:ascii="宋体" w:hAnsi="宋体" w:cs="仿宋"/>
          <w:bCs/>
          <w:kern w:val="0"/>
          <w:sz w:val="24"/>
        </w:rPr>
      </w:pPr>
      <w:bookmarkStart w:id="14" w:name="_Toc28359018"/>
      <w:bookmarkStart w:id="15" w:name="_Toc12393_WPSOffice_Level2"/>
      <w:bookmarkStart w:id="16" w:name="_Toc28359095"/>
      <w:bookmarkStart w:id="17" w:name="_Toc17205"/>
      <w:bookmarkStart w:id="18" w:name="_Toc27923_WPSOffice_Level2"/>
      <w:bookmarkStart w:id="19" w:name="_Toc35393805"/>
      <w:bookmarkStart w:id="20" w:name="_Toc35393636"/>
      <w:r>
        <w:rPr>
          <w:rFonts w:hint="eastAsia" w:ascii="宋体" w:hAnsi="宋体" w:cs="仿宋"/>
          <w:bCs/>
          <w:kern w:val="0"/>
          <w:sz w:val="24"/>
        </w:rPr>
        <w:t>1.满足《中华人民共和国政府采购法》第二十二条规定；</w:t>
      </w:r>
    </w:p>
    <w:p w14:paraId="4243A2E4">
      <w:pPr>
        <w:wordWrap w:val="0"/>
        <w:topLinePunct/>
        <w:adjustRightInd w:val="0"/>
        <w:snapToGrid w:val="0"/>
        <w:spacing w:line="360" w:lineRule="auto"/>
        <w:ind w:firstLine="720" w:firstLineChars="300"/>
        <w:rPr>
          <w:rFonts w:ascii="宋体" w:hAnsi="宋体" w:cs="仿宋"/>
          <w:bCs/>
          <w:kern w:val="0"/>
          <w:sz w:val="24"/>
        </w:rPr>
      </w:pPr>
      <w:r>
        <w:rPr>
          <w:rFonts w:hint="eastAsia" w:ascii="宋体" w:hAnsi="宋体" w:cs="仿宋"/>
          <w:bCs/>
          <w:kern w:val="0"/>
          <w:sz w:val="24"/>
        </w:rPr>
        <w:t xml:space="preserve">2.落实政府采购政策需满足的资格要求：本项目非专门面向中小企业采购，落实中小企业发展，支持节能环保政策，扶持监狱、残疾人福利性单位等政府采购政策。 </w:t>
      </w:r>
    </w:p>
    <w:p w14:paraId="37CCD095">
      <w:pPr>
        <w:wordWrap w:val="0"/>
        <w:topLinePunct/>
        <w:adjustRightInd w:val="0"/>
        <w:snapToGrid w:val="0"/>
        <w:spacing w:line="360" w:lineRule="auto"/>
        <w:ind w:firstLine="720" w:firstLineChars="300"/>
        <w:rPr>
          <w:rFonts w:ascii="宋体" w:hAnsi="宋体" w:cs="仿宋"/>
          <w:bCs/>
          <w:kern w:val="0"/>
          <w:sz w:val="24"/>
        </w:rPr>
      </w:pPr>
      <w:r>
        <w:rPr>
          <w:rFonts w:hint="eastAsia" w:ascii="宋体" w:hAnsi="宋体" w:cs="仿宋"/>
          <w:bCs/>
          <w:kern w:val="0"/>
          <w:sz w:val="24"/>
        </w:rPr>
        <w:t>3.本项目的特定资格要求：</w:t>
      </w:r>
    </w:p>
    <w:p w14:paraId="476AB01B">
      <w:pPr>
        <w:wordWrap w:val="0"/>
        <w:topLinePunct/>
        <w:adjustRightInd w:val="0"/>
        <w:snapToGrid w:val="0"/>
        <w:spacing w:line="360" w:lineRule="auto"/>
        <w:ind w:firstLine="720" w:firstLineChars="300"/>
        <w:rPr>
          <w:rFonts w:ascii="宋体" w:hAnsi="宋体" w:cs="仿宋"/>
          <w:bCs/>
          <w:kern w:val="0"/>
          <w:sz w:val="24"/>
          <w:lang w:val="zh-CN"/>
        </w:rPr>
      </w:pPr>
      <w:r>
        <w:rPr>
          <w:rFonts w:hint="eastAsia" w:ascii="宋体" w:hAnsi="宋体" w:cs="仿宋"/>
          <w:bCs/>
          <w:kern w:val="0"/>
          <w:sz w:val="24"/>
          <w:lang w:val="zh-CN"/>
        </w:rPr>
        <w:t>3.1</w:t>
      </w:r>
      <w:r>
        <w:rPr>
          <w:rFonts w:hint="eastAsia" w:ascii="宋体" w:hAnsi="宋体" w:cs="仿宋"/>
          <w:bCs/>
          <w:kern w:val="0"/>
          <w:sz w:val="24"/>
        </w:rPr>
        <w:t xml:space="preserve"> </w:t>
      </w:r>
      <w:r>
        <w:rPr>
          <w:rFonts w:hint="eastAsia" w:ascii="宋体" w:hAnsi="宋体" w:cs="仿宋"/>
          <w:bCs/>
          <w:kern w:val="0"/>
          <w:sz w:val="24"/>
          <w:lang w:val="zh-CN"/>
        </w:rPr>
        <w:t>具有有效的营业执照（提供有效的营业执照，也可提供电子营业执照）；</w:t>
      </w:r>
    </w:p>
    <w:p w14:paraId="62F2DCB0">
      <w:pPr>
        <w:wordWrap w:val="0"/>
        <w:topLinePunct/>
        <w:adjustRightInd w:val="0"/>
        <w:snapToGrid w:val="0"/>
        <w:spacing w:line="360" w:lineRule="auto"/>
        <w:ind w:firstLine="720" w:firstLineChars="300"/>
        <w:rPr>
          <w:rFonts w:ascii="宋体" w:hAnsi="宋体" w:cs="仿宋"/>
          <w:bCs/>
          <w:kern w:val="0"/>
          <w:sz w:val="24"/>
        </w:rPr>
      </w:pPr>
      <w:r>
        <w:rPr>
          <w:rFonts w:hint="eastAsia" w:ascii="宋体" w:hAnsi="宋体" w:cs="仿宋"/>
          <w:bCs/>
          <w:kern w:val="0"/>
          <w:sz w:val="24"/>
        </w:rPr>
        <w:t>3.2 具有良好的商业信誉和健全的财务会计制度（提供承诺函，格式自拟）；</w:t>
      </w:r>
    </w:p>
    <w:p w14:paraId="1A0946D3">
      <w:pPr>
        <w:wordWrap w:val="0"/>
        <w:topLinePunct/>
        <w:adjustRightInd w:val="0"/>
        <w:snapToGrid w:val="0"/>
        <w:spacing w:line="360" w:lineRule="auto"/>
        <w:ind w:firstLine="720" w:firstLineChars="300"/>
        <w:rPr>
          <w:rFonts w:ascii="宋体" w:hAnsi="宋体" w:cs="仿宋"/>
          <w:bCs/>
          <w:kern w:val="0"/>
          <w:sz w:val="24"/>
        </w:rPr>
      </w:pPr>
      <w:r>
        <w:rPr>
          <w:rFonts w:hint="eastAsia" w:ascii="宋体" w:hAnsi="宋体" w:cs="仿宋"/>
          <w:bCs/>
          <w:kern w:val="0"/>
          <w:sz w:val="24"/>
        </w:rPr>
        <w:t>3.3 具有履行合同所必需的设备和专业技术能力（提供承诺函，格式自拟）；</w:t>
      </w:r>
    </w:p>
    <w:p w14:paraId="70EEBBEE">
      <w:pPr>
        <w:wordWrap w:val="0"/>
        <w:topLinePunct/>
        <w:adjustRightInd w:val="0"/>
        <w:snapToGrid w:val="0"/>
        <w:spacing w:line="360" w:lineRule="auto"/>
        <w:ind w:firstLine="720" w:firstLineChars="300"/>
        <w:rPr>
          <w:rFonts w:ascii="宋体" w:hAnsi="宋体" w:cs="仿宋"/>
          <w:bCs/>
          <w:kern w:val="0"/>
          <w:sz w:val="24"/>
        </w:rPr>
      </w:pPr>
      <w:r>
        <w:rPr>
          <w:rFonts w:hint="eastAsia" w:ascii="宋体" w:hAnsi="宋体" w:cs="仿宋"/>
          <w:bCs/>
          <w:kern w:val="0"/>
          <w:sz w:val="24"/>
        </w:rPr>
        <w:t>3.4 具有依法缴纳税收和社会保障资金的良好记录（提供承诺函，格式自拟）；</w:t>
      </w:r>
    </w:p>
    <w:p w14:paraId="11AC8AE8">
      <w:pPr>
        <w:wordWrap w:val="0"/>
        <w:topLinePunct/>
        <w:adjustRightInd w:val="0"/>
        <w:snapToGrid w:val="0"/>
        <w:spacing w:line="360" w:lineRule="auto"/>
        <w:ind w:firstLine="720" w:firstLineChars="300"/>
        <w:rPr>
          <w:rFonts w:ascii="宋体" w:hAnsi="宋体" w:cs="仿宋"/>
          <w:bCs/>
          <w:kern w:val="0"/>
          <w:sz w:val="24"/>
        </w:rPr>
      </w:pPr>
      <w:r>
        <w:rPr>
          <w:rFonts w:hint="eastAsia" w:ascii="宋体" w:hAnsi="宋体" w:cs="仿宋"/>
          <w:bCs/>
          <w:kern w:val="0"/>
          <w:sz w:val="24"/>
        </w:rPr>
        <w:t>3.5 参加政府采购活动近三年内，在经营活动中没有重大违法记录（提供承诺函，格式自拟）；</w:t>
      </w:r>
    </w:p>
    <w:p w14:paraId="23599A0F">
      <w:pPr>
        <w:wordWrap w:val="0"/>
        <w:topLinePunct/>
        <w:adjustRightInd w:val="0"/>
        <w:snapToGrid w:val="0"/>
        <w:spacing w:line="360" w:lineRule="auto"/>
        <w:ind w:firstLine="720" w:firstLineChars="300"/>
        <w:rPr>
          <w:rFonts w:ascii="宋体" w:hAnsi="宋体" w:cs="仿宋"/>
          <w:bCs/>
          <w:kern w:val="0"/>
          <w:sz w:val="24"/>
        </w:rPr>
      </w:pPr>
      <w:r>
        <w:rPr>
          <w:rFonts w:hint="eastAsia" w:ascii="宋体" w:hAnsi="宋体" w:cs="仿宋"/>
          <w:bCs/>
          <w:kern w:val="0"/>
          <w:sz w:val="24"/>
        </w:rPr>
        <w:t>3.6 提供“中国执行信息公开网”网站的“失信被执行人”和“信用中国”网站的“重大税收违法失信主体”、“中国政府采购”网站的“政府采购严重违法失信行为记录名单”查询结果页面截图，不得有不良记录（执行财库【2016】125号文）；</w:t>
      </w:r>
    </w:p>
    <w:p w14:paraId="3F77F8A2">
      <w:pPr>
        <w:wordWrap w:val="0"/>
        <w:topLinePunct/>
        <w:adjustRightInd w:val="0"/>
        <w:snapToGrid w:val="0"/>
        <w:spacing w:line="360" w:lineRule="auto"/>
        <w:ind w:firstLine="720" w:firstLineChars="300"/>
        <w:rPr>
          <w:rFonts w:ascii="宋体" w:hAnsi="宋体" w:cs="仿宋"/>
          <w:bCs/>
          <w:kern w:val="0"/>
          <w:sz w:val="24"/>
        </w:rPr>
      </w:pPr>
      <w:r>
        <w:rPr>
          <w:rFonts w:hint="eastAsia" w:ascii="宋体" w:hAnsi="宋体" w:cs="仿宋"/>
          <w:bCs/>
          <w:kern w:val="0"/>
          <w:sz w:val="24"/>
        </w:rPr>
        <w:t>3.7 单位负责人为同一人或者存在直接控股、管理关系的不同投标人，不得同时参加同一合同项目下的政府采购活动（提供承诺函，格式自拟）。</w:t>
      </w:r>
    </w:p>
    <w:p w14:paraId="788A27C1">
      <w:pPr>
        <w:wordWrap w:val="0"/>
        <w:topLinePunct/>
        <w:adjustRightInd w:val="0"/>
        <w:snapToGrid w:val="0"/>
        <w:spacing w:line="360" w:lineRule="auto"/>
        <w:ind w:firstLine="720" w:firstLineChars="300"/>
        <w:rPr>
          <w:rFonts w:ascii="宋体" w:hAnsi="宋体" w:cs="仿宋"/>
          <w:bCs/>
          <w:kern w:val="0"/>
          <w:sz w:val="24"/>
        </w:rPr>
      </w:pPr>
      <w:r>
        <w:rPr>
          <w:rFonts w:hint="eastAsia" w:ascii="宋体" w:hAnsi="宋体" w:cs="仿宋"/>
          <w:bCs/>
          <w:kern w:val="0"/>
          <w:sz w:val="24"/>
        </w:rPr>
        <w:t>3.8 投标人应保证投标期间提供的所有资料真实有效，并愿意承担因弄虚作假所引起的一切法律后果（提供承诺函，格式自拟）。</w:t>
      </w:r>
    </w:p>
    <w:p w14:paraId="67240D33">
      <w:pPr>
        <w:wordWrap w:val="0"/>
        <w:topLinePunct/>
        <w:adjustRightInd w:val="0"/>
        <w:snapToGrid w:val="0"/>
        <w:spacing w:line="360" w:lineRule="auto"/>
        <w:ind w:firstLine="720" w:firstLineChars="300"/>
        <w:rPr>
          <w:rFonts w:ascii="宋体" w:hAnsi="宋体" w:cs="仿宋"/>
          <w:bCs/>
          <w:kern w:val="0"/>
          <w:sz w:val="24"/>
          <w:lang w:val="zh-CN"/>
        </w:rPr>
      </w:pPr>
      <w:r>
        <w:rPr>
          <w:rFonts w:hint="eastAsia" w:ascii="宋体" w:hAnsi="宋体" w:cs="仿宋"/>
          <w:bCs/>
          <w:kern w:val="0"/>
          <w:sz w:val="24"/>
        </w:rPr>
        <w:t xml:space="preserve">3.9 </w:t>
      </w:r>
      <w:r>
        <w:rPr>
          <w:rFonts w:hint="eastAsia" w:ascii="宋体" w:hAnsi="宋体" w:cs="仿宋"/>
          <w:bCs/>
          <w:kern w:val="0"/>
          <w:sz w:val="24"/>
          <w:lang w:val="zh-CN"/>
        </w:rPr>
        <w:t>本项目不接受联合体投标，审查方式采用资格后审。</w:t>
      </w:r>
    </w:p>
    <w:p w14:paraId="6D1B418E">
      <w:pPr>
        <w:wordWrap w:val="0"/>
        <w:topLinePunct/>
        <w:adjustRightInd w:val="0"/>
        <w:snapToGrid w:val="0"/>
        <w:spacing w:line="360" w:lineRule="auto"/>
        <w:ind w:firstLine="720" w:firstLineChars="300"/>
        <w:rPr>
          <w:rFonts w:ascii="宋体" w:hAnsi="宋体" w:cs="仿宋"/>
          <w:bCs/>
          <w:kern w:val="0"/>
          <w:sz w:val="24"/>
          <w:lang w:val="zh-CN"/>
        </w:rPr>
      </w:pPr>
      <w:r>
        <w:rPr>
          <w:rFonts w:hint="eastAsia" w:ascii="宋体" w:hAnsi="宋体" w:cs="仿宋"/>
          <w:bCs/>
          <w:kern w:val="0"/>
          <w:sz w:val="24"/>
          <w:lang w:val="zh-CN"/>
        </w:rPr>
        <w:t>注：</w:t>
      </w:r>
      <w:r>
        <w:rPr>
          <w:rFonts w:hint="eastAsia" w:ascii="宋体" w:hAnsi="宋体" w:cs="仿宋"/>
          <w:bCs/>
          <w:kern w:val="0"/>
          <w:sz w:val="24"/>
        </w:rPr>
        <w:t>1.</w:t>
      </w:r>
      <w:r>
        <w:rPr>
          <w:rFonts w:hint="eastAsia" w:ascii="宋体" w:hAnsi="宋体" w:cs="仿宋"/>
          <w:bCs/>
          <w:kern w:val="0"/>
          <w:sz w:val="24"/>
          <w:lang w:val="zh-CN"/>
        </w:rPr>
        <w:t>如</w:t>
      </w:r>
      <w:r>
        <w:rPr>
          <w:rFonts w:hint="eastAsia" w:ascii="宋体" w:hAnsi="宋体" w:cs="仿宋"/>
          <w:bCs/>
          <w:kern w:val="0"/>
          <w:sz w:val="24"/>
        </w:rPr>
        <w:t>投标人</w:t>
      </w:r>
      <w:r>
        <w:rPr>
          <w:rFonts w:hint="eastAsia" w:ascii="宋体" w:hAnsi="宋体" w:cs="仿宋"/>
          <w:bCs/>
          <w:kern w:val="0"/>
          <w:sz w:val="24"/>
          <w:lang w:val="zh-CN"/>
        </w:rPr>
        <w:t>为新成立企业，可提供注册后的相关证明材料。</w:t>
      </w:r>
    </w:p>
    <w:p w14:paraId="1FBB5608">
      <w:pPr>
        <w:adjustRightInd w:val="0"/>
        <w:snapToGrid w:val="0"/>
        <w:spacing w:line="360" w:lineRule="auto"/>
        <w:rPr>
          <w:rFonts w:ascii="宋体" w:hAnsi="宋体" w:cs="仿宋"/>
          <w:b/>
          <w:sz w:val="24"/>
        </w:rPr>
      </w:pPr>
      <w:r>
        <w:rPr>
          <w:rFonts w:hint="eastAsia" w:ascii="宋体" w:hAnsi="宋体" w:cs="仿宋"/>
          <w:b/>
          <w:sz w:val="24"/>
        </w:rPr>
        <w:t>三、获取招标文件</w:t>
      </w:r>
    </w:p>
    <w:p w14:paraId="70E02FB2">
      <w:pPr>
        <w:adjustRightInd w:val="0"/>
        <w:snapToGrid w:val="0"/>
        <w:spacing w:line="360" w:lineRule="auto"/>
        <w:ind w:firstLine="480" w:firstLineChars="200"/>
        <w:rPr>
          <w:rFonts w:ascii="宋体" w:hAnsi="宋体" w:cs="仿宋"/>
          <w:sz w:val="24"/>
        </w:rPr>
      </w:pPr>
      <w:r>
        <w:rPr>
          <w:rFonts w:hint="eastAsia" w:ascii="宋体" w:hAnsi="宋体" w:cs="仿宋"/>
          <w:sz w:val="24"/>
        </w:rPr>
        <w:t>1.时间：2025年8月4日至2025年8月24日，每天上午00:00至12:00，下午12:00至23:59（北京时间，法定节假日除外。）</w:t>
      </w:r>
    </w:p>
    <w:p w14:paraId="6392A1BE">
      <w:pPr>
        <w:adjustRightInd w:val="0"/>
        <w:snapToGrid w:val="0"/>
        <w:spacing w:line="360" w:lineRule="auto"/>
        <w:ind w:firstLine="480" w:firstLineChars="200"/>
        <w:rPr>
          <w:rFonts w:ascii="宋体" w:hAnsi="宋体" w:cs="仿宋"/>
          <w:sz w:val="24"/>
        </w:rPr>
      </w:pPr>
      <w:r>
        <w:rPr>
          <w:rFonts w:hint="eastAsia" w:ascii="宋体" w:hAnsi="宋体" w:cs="仿宋"/>
          <w:sz w:val="24"/>
        </w:rPr>
        <w:t>2.地点：《全国公共资源交易平台（河南省·平顶山市）》（网址：</w:t>
      </w:r>
      <w:r>
        <w:fldChar w:fldCharType="begin"/>
      </w:r>
      <w:r>
        <w:instrText xml:space="preserve">HYPERLINK "http://ggzy.pds.gov.cn/）"</w:instrText>
      </w:r>
      <w:r>
        <w:fldChar w:fldCharType="separate"/>
      </w:r>
      <w:r>
        <w:rPr>
          <w:rStyle w:val="32"/>
          <w:rFonts w:hint="eastAsia" w:ascii="宋体" w:hAnsi="宋体" w:cs="仿宋"/>
          <w:color w:val="auto"/>
          <w:sz w:val="24"/>
          <w:szCs w:val="24"/>
        </w:rPr>
        <w:t>http://ggzy.pds.gov.cn/）</w:t>
      </w:r>
      <w:r>
        <w:fldChar w:fldCharType="end"/>
      </w:r>
    </w:p>
    <w:p w14:paraId="0B53ED63">
      <w:pPr>
        <w:adjustRightInd w:val="0"/>
        <w:snapToGrid w:val="0"/>
        <w:spacing w:line="360" w:lineRule="auto"/>
        <w:ind w:firstLine="480" w:firstLineChars="200"/>
        <w:rPr>
          <w:rFonts w:ascii="宋体" w:hAnsi="宋体" w:cs="仿宋"/>
          <w:sz w:val="24"/>
        </w:rPr>
      </w:pPr>
      <w:r>
        <w:rPr>
          <w:rFonts w:hint="eastAsia" w:ascii="宋体" w:hAnsi="宋体" w:cs="仿宋"/>
          <w:sz w:val="24"/>
        </w:rPr>
        <w:t>3.方式：潜在投标人报名需凭CA数字证书通过《全国公共资源交易平台（河南省·平顶山市）》（网址：http://ggzy.pds.gov.cn/）“不见面开标”入口进入交易系统进行下载招标文件。具体操作请查看以下链接：</w:t>
      </w:r>
    </w:p>
    <w:p w14:paraId="2DC6B001">
      <w:pPr>
        <w:adjustRightInd w:val="0"/>
        <w:snapToGrid w:val="0"/>
        <w:spacing w:line="360" w:lineRule="auto"/>
        <w:ind w:firstLine="480" w:firstLineChars="200"/>
        <w:rPr>
          <w:rFonts w:ascii="宋体" w:hAnsi="宋体" w:cs="仿宋"/>
          <w:sz w:val="24"/>
        </w:rPr>
      </w:pPr>
      <w:r>
        <w:rPr>
          <w:rFonts w:hint="eastAsia" w:ascii="宋体" w:hAnsi="宋体" w:cs="仿宋"/>
          <w:sz w:val="24"/>
        </w:rPr>
        <w:t>链接地址：http://ggzy.pds.gov.cn/fwzn/11020.jhtml</w:t>
      </w:r>
    </w:p>
    <w:p w14:paraId="3A5AE351">
      <w:pPr>
        <w:adjustRightInd w:val="0"/>
        <w:snapToGrid w:val="0"/>
        <w:spacing w:line="360" w:lineRule="auto"/>
        <w:ind w:firstLine="480" w:firstLineChars="200"/>
        <w:rPr>
          <w:rFonts w:ascii="宋体" w:hAnsi="宋体" w:cs="仿宋"/>
          <w:sz w:val="24"/>
        </w:rPr>
      </w:pPr>
      <w:r>
        <w:rPr>
          <w:rFonts w:hint="eastAsia" w:ascii="宋体" w:hAnsi="宋体" w:cs="仿宋"/>
          <w:sz w:val="24"/>
        </w:rPr>
        <w:t>办理CA证书：</w:t>
      </w:r>
      <w:r>
        <w:fldChar w:fldCharType="begin"/>
      </w:r>
      <w:r>
        <w:instrText xml:space="preserve">HYPERLINK "http://ggzy.pds.gov.cn/tzgg/10814.jhtml"</w:instrText>
      </w:r>
      <w:r>
        <w:fldChar w:fldCharType="separate"/>
      </w:r>
      <w:r>
        <w:rPr>
          <w:rFonts w:hint="eastAsia" w:ascii="宋体" w:hAnsi="宋体" w:cs="仿宋"/>
          <w:sz w:val="24"/>
        </w:rPr>
        <w:t>http://ggzy.pds.gov.cn/tzgg/10814.jhtml</w:t>
      </w:r>
      <w:r>
        <w:fldChar w:fldCharType="end"/>
      </w:r>
    </w:p>
    <w:p w14:paraId="4BCF62CE">
      <w:pPr>
        <w:adjustRightInd w:val="0"/>
        <w:snapToGrid w:val="0"/>
        <w:spacing w:line="360" w:lineRule="auto"/>
        <w:ind w:firstLine="480" w:firstLineChars="200"/>
        <w:rPr>
          <w:rFonts w:ascii="宋体" w:hAnsi="宋体" w:cs="仿宋"/>
          <w:sz w:val="24"/>
        </w:rPr>
      </w:pPr>
      <w:r>
        <w:rPr>
          <w:rFonts w:hint="eastAsia" w:ascii="宋体" w:hAnsi="宋体" w:cs="仿宋"/>
          <w:sz w:val="24"/>
        </w:rPr>
        <w:t>4.售价：0元</w:t>
      </w:r>
    </w:p>
    <w:p w14:paraId="6E0E6481">
      <w:pPr>
        <w:adjustRightInd w:val="0"/>
        <w:snapToGrid w:val="0"/>
        <w:spacing w:line="360" w:lineRule="auto"/>
        <w:rPr>
          <w:rFonts w:ascii="宋体" w:hAnsi="宋体" w:cs="仿宋"/>
          <w:b/>
          <w:sz w:val="24"/>
        </w:rPr>
      </w:pPr>
      <w:bookmarkStart w:id="21" w:name="_Toc28359015"/>
      <w:bookmarkStart w:id="22" w:name="_Toc35393632"/>
      <w:bookmarkStart w:id="23" w:name="_Toc35393801"/>
      <w:bookmarkStart w:id="24" w:name="_Toc28359092"/>
      <w:r>
        <w:rPr>
          <w:rFonts w:hint="eastAsia" w:ascii="宋体" w:hAnsi="宋体" w:cs="仿宋"/>
          <w:b/>
          <w:sz w:val="24"/>
        </w:rPr>
        <w:t>四、</w:t>
      </w:r>
      <w:bookmarkEnd w:id="21"/>
      <w:bookmarkEnd w:id="22"/>
      <w:bookmarkEnd w:id="23"/>
      <w:bookmarkEnd w:id="24"/>
      <w:r>
        <w:rPr>
          <w:rFonts w:hint="eastAsia" w:ascii="宋体" w:hAnsi="宋体" w:cs="仿宋"/>
          <w:b/>
          <w:sz w:val="24"/>
        </w:rPr>
        <w:t>投标截止时间及地点</w:t>
      </w:r>
    </w:p>
    <w:p w14:paraId="3932A9BE">
      <w:pPr>
        <w:adjustRightInd w:val="0"/>
        <w:snapToGrid w:val="0"/>
        <w:spacing w:line="360" w:lineRule="auto"/>
        <w:ind w:firstLine="480" w:firstLineChars="200"/>
        <w:rPr>
          <w:rFonts w:ascii="宋体" w:hAnsi="宋体" w:cs="仿宋"/>
          <w:sz w:val="24"/>
        </w:rPr>
      </w:pPr>
      <w:r>
        <w:rPr>
          <w:rFonts w:hint="eastAsia" w:ascii="宋体" w:hAnsi="宋体" w:cs="仿宋"/>
          <w:sz w:val="24"/>
        </w:rPr>
        <w:t>1.时间：2025年8月25日09时00分（北京时间）</w:t>
      </w:r>
    </w:p>
    <w:p w14:paraId="67A6A1AE">
      <w:pPr>
        <w:adjustRightInd w:val="0"/>
        <w:snapToGrid w:val="0"/>
        <w:spacing w:line="360" w:lineRule="auto"/>
        <w:ind w:firstLine="480" w:firstLineChars="200"/>
        <w:rPr>
          <w:rFonts w:ascii="宋体" w:hAnsi="宋体" w:cs="仿宋"/>
          <w:sz w:val="24"/>
        </w:rPr>
      </w:pPr>
      <w:r>
        <w:rPr>
          <w:rFonts w:hint="eastAsia" w:ascii="宋体" w:hAnsi="宋体" w:cs="仿宋"/>
          <w:sz w:val="24"/>
        </w:rPr>
        <w:t>2.地点：平顶山市公共资源交易中心电子化交易系统</w:t>
      </w:r>
    </w:p>
    <w:p w14:paraId="7E95913C">
      <w:pPr>
        <w:adjustRightInd w:val="0"/>
        <w:snapToGrid w:val="0"/>
        <w:spacing w:line="360" w:lineRule="auto"/>
        <w:rPr>
          <w:rFonts w:ascii="宋体" w:hAnsi="宋体" w:cs="仿宋"/>
          <w:b/>
          <w:sz w:val="24"/>
        </w:rPr>
      </w:pPr>
      <w:bookmarkStart w:id="25" w:name="_Toc35393633"/>
      <w:bookmarkStart w:id="26" w:name="_Toc28359016"/>
      <w:bookmarkStart w:id="27" w:name="_Toc35393802"/>
      <w:bookmarkStart w:id="28" w:name="_Toc28359093"/>
      <w:r>
        <w:rPr>
          <w:rFonts w:hint="eastAsia" w:ascii="宋体" w:hAnsi="宋体" w:cs="仿宋"/>
          <w:b/>
          <w:sz w:val="24"/>
        </w:rPr>
        <w:t>五、</w:t>
      </w:r>
      <w:bookmarkEnd w:id="25"/>
      <w:bookmarkEnd w:id="26"/>
      <w:bookmarkEnd w:id="27"/>
      <w:bookmarkEnd w:id="28"/>
      <w:r>
        <w:rPr>
          <w:rFonts w:hint="eastAsia" w:ascii="宋体" w:hAnsi="宋体" w:cs="仿宋"/>
          <w:b/>
          <w:sz w:val="24"/>
        </w:rPr>
        <w:t>开标时间及地点</w:t>
      </w:r>
    </w:p>
    <w:p w14:paraId="4AF1A2C2">
      <w:pPr>
        <w:adjustRightInd w:val="0"/>
        <w:snapToGrid w:val="0"/>
        <w:spacing w:line="360" w:lineRule="auto"/>
        <w:ind w:firstLine="480" w:firstLineChars="200"/>
        <w:rPr>
          <w:rFonts w:ascii="宋体" w:hAnsi="宋体" w:cs="仿宋"/>
          <w:sz w:val="24"/>
        </w:rPr>
      </w:pPr>
      <w:r>
        <w:rPr>
          <w:rFonts w:hint="eastAsia" w:ascii="宋体" w:hAnsi="宋体" w:cs="仿宋"/>
          <w:sz w:val="24"/>
        </w:rPr>
        <w:t>1.时间：2025年8月25日09时00分（北京时间）</w:t>
      </w:r>
    </w:p>
    <w:p w14:paraId="32FDBEF9">
      <w:pPr>
        <w:adjustRightInd w:val="0"/>
        <w:snapToGrid w:val="0"/>
        <w:spacing w:line="360" w:lineRule="auto"/>
        <w:ind w:firstLine="480" w:firstLineChars="200"/>
        <w:rPr>
          <w:rFonts w:ascii="宋体" w:hAnsi="宋体" w:cs="仿宋"/>
          <w:sz w:val="24"/>
        </w:rPr>
      </w:pPr>
      <w:r>
        <w:rPr>
          <w:rFonts w:hint="eastAsia" w:ascii="宋体" w:hAnsi="宋体" w:cs="仿宋"/>
          <w:sz w:val="24"/>
        </w:rPr>
        <w:t>2.地点：平顶山市公共资源交易中心电子化交易系统</w:t>
      </w:r>
    </w:p>
    <w:p w14:paraId="4B942FC5">
      <w:pPr>
        <w:adjustRightInd w:val="0"/>
        <w:snapToGrid w:val="0"/>
        <w:spacing w:line="360" w:lineRule="auto"/>
        <w:rPr>
          <w:rFonts w:ascii="宋体" w:hAnsi="宋体" w:cs="仿宋"/>
          <w:b/>
          <w:bCs/>
          <w:kern w:val="0"/>
          <w:sz w:val="24"/>
        </w:rPr>
      </w:pPr>
      <w:r>
        <w:rPr>
          <w:rFonts w:hint="eastAsia" w:ascii="宋体" w:hAnsi="宋体" w:cs="仿宋"/>
          <w:b/>
          <w:bCs/>
          <w:kern w:val="0"/>
          <w:sz w:val="24"/>
        </w:rPr>
        <w:t>六、发布公告的媒介及招标公告期限</w:t>
      </w:r>
    </w:p>
    <w:p w14:paraId="0EF98631">
      <w:pPr>
        <w:adjustRightInd w:val="0"/>
        <w:snapToGrid w:val="0"/>
        <w:spacing w:line="360" w:lineRule="auto"/>
        <w:ind w:firstLine="480" w:firstLineChars="200"/>
        <w:rPr>
          <w:rFonts w:ascii="宋体" w:hAnsi="宋体" w:cs="仿宋"/>
          <w:kern w:val="0"/>
          <w:sz w:val="24"/>
        </w:rPr>
      </w:pPr>
      <w:r>
        <w:rPr>
          <w:rFonts w:hint="eastAsia" w:ascii="宋体" w:hAnsi="宋体" w:cs="仿宋"/>
          <w:kern w:val="0"/>
          <w:sz w:val="24"/>
        </w:rPr>
        <w:t>本次公告在《河南省政府采购网》、《平顶山市政府采购网》、《平顶山市城乡一体化示范区》及《全国公共资源交易平台（河南省.平顶山市）》</w:t>
      </w:r>
      <w:r>
        <w:rPr>
          <w:rFonts w:hint="eastAsia" w:ascii="宋体" w:hAnsi="宋体" w:cs="仿宋"/>
          <w:bCs/>
          <w:sz w:val="24"/>
        </w:rPr>
        <w:t>上发布。招标</w:t>
      </w:r>
      <w:r>
        <w:rPr>
          <w:rFonts w:hint="eastAsia" w:ascii="宋体" w:hAnsi="宋体" w:cs="仿宋"/>
          <w:kern w:val="0"/>
          <w:sz w:val="24"/>
        </w:rPr>
        <w:t>公告期限为五个工作日。</w:t>
      </w:r>
    </w:p>
    <w:p w14:paraId="159DAF50">
      <w:pPr>
        <w:adjustRightInd w:val="0"/>
        <w:snapToGrid w:val="0"/>
        <w:spacing w:line="360" w:lineRule="auto"/>
        <w:rPr>
          <w:rFonts w:ascii="宋体" w:hAnsi="宋体" w:cs="仿宋"/>
          <w:b/>
          <w:sz w:val="24"/>
        </w:rPr>
      </w:pPr>
      <w:bookmarkStart w:id="29" w:name="_Toc35393635"/>
      <w:bookmarkStart w:id="30" w:name="_Toc35393804"/>
      <w:r>
        <w:rPr>
          <w:rFonts w:hint="eastAsia" w:ascii="宋体" w:hAnsi="宋体" w:cs="仿宋"/>
          <w:b/>
          <w:sz w:val="24"/>
        </w:rPr>
        <w:t>七、其他补充事宜</w:t>
      </w:r>
      <w:bookmarkEnd w:id="29"/>
      <w:bookmarkEnd w:id="30"/>
    </w:p>
    <w:p w14:paraId="64E5196E">
      <w:pPr>
        <w:adjustRightInd w:val="0"/>
        <w:snapToGrid w:val="0"/>
        <w:spacing w:line="360" w:lineRule="auto"/>
        <w:ind w:firstLine="480" w:firstLineChars="200"/>
        <w:rPr>
          <w:rFonts w:ascii="宋体" w:hAnsi="宋体" w:cs="仿宋"/>
          <w:kern w:val="0"/>
          <w:sz w:val="24"/>
        </w:rPr>
      </w:pPr>
      <w:r>
        <w:rPr>
          <w:rFonts w:hint="eastAsia" w:ascii="宋体" w:hAnsi="宋体" w:cs="仿宋"/>
          <w:kern w:val="0"/>
          <w:sz w:val="24"/>
        </w:rPr>
        <w:t>1、平顶山市公共资源交易中心全面实行在线“不见面”开标，供应商远程在线解密响应文件，不再到开标现场，供应商开标前应仔细阅读招标文件中《“不见面”开标注意事项及操作流程》及相关通知。</w:t>
      </w:r>
    </w:p>
    <w:p w14:paraId="2D43DDD6">
      <w:pPr>
        <w:adjustRightInd w:val="0"/>
        <w:snapToGrid w:val="0"/>
        <w:spacing w:line="360" w:lineRule="auto"/>
        <w:ind w:firstLine="480" w:firstLineChars="200"/>
        <w:rPr>
          <w:rFonts w:ascii="宋体" w:hAnsi="宋体" w:cs="仿宋"/>
          <w:kern w:val="0"/>
          <w:sz w:val="24"/>
        </w:rPr>
      </w:pPr>
      <w:r>
        <w:rPr>
          <w:rFonts w:hint="eastAsia" w:ascii="宋体" w:hAnsi="宋体" w:cs="仿宋"/>
          <w:kern w:val="0"/>
          <w:sz w:val="24"/>
        </w:rPr>
        <w:t>2、监督单位：平顶山市新城区财政局</w:t>
      </w:r>
    </w:p>
    <w:p w14:paraId="05ECFED8">
      <w:pPr>
        <w:adjustRightInd w:val="0"/>
        <w:snapToGrid w:val="0"/>
        <w:spacing w:line="360" w:lineRule="auto"/>
        <w:ind w:firstLine="480" w:firstLineChars="200"/>
        <w:rPr>
          <w:rFonts w:ascii="宋体" w:hAnsi="宋体" w:cs="仿宋"/>
          <w:kern w:val="0"/>
          <w:sz w:val="24"/>
        </w:rPr>
      </w:pPr>
      <w:r>
        <w:rPr>
          <w:rFonts w:hint="eastAsia" w:ascii="宋体" w:hAnsi="宋体" w:cs="仿宋"/>
          <w:kern w:val="0"/>
          <w:sz w:val="24"/>
        </w:rPr>
        <w:t>统一社会信用代码证号：11410400769496367B</w:t>
      </w:r>
    </w:p>
    <w:p w14:paraId="6DA1854C">
      <w:pPr>
        <w:adjustRightInd w:val="0"/>
        <w:snapToGrid w:val="0"/>
        <w:spacing w:line="360" w:lineRule="auto"/>
        <w:ind w:firstLine="480" w:firstLineChars="200"/>
        <w:rPr>
          <w:rFonts w:ascii="宋体" w:hAnsi="宋体" w:cs="仿宋"/>
          <w:kern w:val="0"/>
          <w:sz w:val="24"/>
        </w:rPr>
      </w:pPr>
      <w:r>
        <w:rPr>
          <w:rFonts w:hint="eastAsia" w:ascii="宋体" w:hAnsi="宋体" w:cs="仿宋"/>
          <w:kern w:val="0"/>
          <w:sz w:val="24"/>
        </w:rPr>
        <w:t>联系人：焦女士</w:t>
      </w:r>
    </w:p>
    <w:p w14:paraId="16E51305">
      <w:pPr>
        <w:adjustRightInd w:val="0"/>
        <w:snapToGrid w:val="0"/>
        <w:spacing w:line="360" w:lineRule="auto"/>
        <w:ind w:firstLine="480" w:firstLineChars="200"/>
        <w:rPr>
          <w:rFonts w:ascii="宋体" w:hAnsi="宋体" w:cs="仿宋"/>
          <w:kern w:val="0"/>
          <w:sz w:val="24"/>
        </w:rPr>
      </w:pPr>
      <w:r>
        <w:rPr>
          <w:rFonts w:hint="eastAsia" w:ascii="宋体" w:hAnsi="宋体" w:cs="仿宋"/>
          <w:kern w:val="0"/>
          <w:sz w:val="24"/>
        </w:rPr>
        <w:t>联系电话：0375-2667637</w:t>
      </w:r>
    </w:p>
    <w:p w14:paraId="4108ADDB">
      <w:pPr>
        <w:adjustRightInd w:val="0"/>
        <w:snapToGrid w:val="0"/>
        <w:spacing w:line="360" w:lineRule="auto"/>
        <w:ind w:firstLine="480" w:firstLineChars="200"/>
        <w:rPr>
          <w:rFonts w:ascii="宋体" w:hAnsi="宋体" w:cs="仿宋"/>
          <w:kern w:val="0"/>
          <w:sz w:val="24"/>
        </w:rPr>
      </w:pPr>
      <w:r>
        <w:rPr>
          <w:rFonts w:hint="eastAsia" w:ascii="宋体" w:hAnsi="宋体" w:cs="仿宋"/>
          <w:kern w:val="0"/>
          <w:sz w:val="24"/>
        </w:rPr>
        <w:t>平顶山市新城区建设工程招投标管理办公室</w:t>
      </w:r>
    </w:p>
    <w:p w14:paraId="18450360">
      <w:pPr>
        <w:adjustRightInd w:val="0"/>
        <w:snapToGrid w:val="0"/>
        <w:spacing w:line="360" w:lineRule="auto"/>
        <w:ind w:firstLine="480" w:firstLineChars="200"/>
        <w:rPr>
          <w:rFonts w:ascii="宋体" w:hAnsi="宋体" w:cs="仿宋"/>
          <w:kern w:val="0"/>
          <w:sz w:val="24"/>
        </w:rPr>
      </w:pPr>
      <w:r>
        <w:rPr>
          <w:rFonts w:hint="eastAsia" w:ascii="宋体" w:hAnsi="宋体" w:cs="仿宋"/>
          <w:kern w:val="0"/>
          <w:sz w:val="24"/>
        </w:rPr>
        <w:t>统一社会信用代码：11410400744073608N</w:t>
      </w:r>
    </w:p>
    <w:p w14:paraId="435BDB9D">
      <w:pPr>
        <w:adjustRightInd w:val="0"/>
        <w:snapToGrid w:val="0"/>
        <w:spacing w:line="360" w:lineRule="auto"/>
        <w:ind w:firstLine="480" w:firstLineChars="200"/>
        <w:rPr>
          <w:rFonts w:ascii="宋体" w:hAnsi="宋体" w:cs="仿宋"/>
          <w:kern w:val="0"/>
          <w:sz w:val="24"/>
        </w:rPr>
      </w:pPr>
      <w:r>
        <w:rPr>
          <w:rFonts w:hint="eastAsia" w:ascii="宋体" w:hAnsi="宋体" w:cs="仿宋"/>
          <w:kern w:val="0"/>
          <w:sz w:val="24"/>
        </w:rPr>
        <w:t>联系人：李先生</w:t>
      </w:r>
    </w:p>
    <w:p w14:paraId="13681405">
      <w:pPr>
        <w:adjustRightInd w:val="0"/>
        <w:snapToGrid w:val="0"/>
        <w:spacing w:line="360" w:lineRule="auto"/>
        <w:ind w:firstLine="480" w:firstLineChars="200"/>
        <w:rPr>
          <w:rFonts w:ascii="宋体" w:hAnsi="宋体" w:cs="仿宋"/>
          <w:kern w:val="0"/>
          <w:sz w:val="24"/>
        </w:rPr>
      </w:pPr>
      <w:r>
        <w:rPr>
          <w:rFonts w:hint="eastAsia" w:ascii="宋体" w:hAnsi="宋体" w:cs="仿宋"/>
          <w:kern w:val="0"/>
          <w:sz w:val="24"/>
        </w:rPr>
        <w:t>联系方式：0375-2667889</w:t>
      </w:r>
    </w:p>
    <w:p w14:paraId="72709DD5">
      <w:pPr>
        <w:adjustRightInd w:val="0"/>
        <w:snapToGrid w:val="0"/>
        <w:spacing w:line="360" w:lineRule="auto"/>
        <w:ind w:firstLine="480" w:firstLineChars="200"/>
        <w:rPr>
          <w:rFonts w:ascii="宋体" w:hAnsi="宋体" w:cs="仿宋"/>
          <w:kern w:val="0"/>
          <w:sz w:val="24"/>
        </w:rPr>
      </w:pPr>
      <w:r>
        <w:rPr>
          <w:rFonts w:hint="eastAsia" w:ascii="宋体" w:hAnsi="宋体" w:cs="仿宋"/>
          <w:kern w:val="0"/>
          <w:sz w:val="24"/>
        </w:rPr>
        <w:t>3、该公告已同步至“平顶山市公共资源交易中心微信公众号”，可通过公众号中的服务栏目进行查阅。</w:t>
      </w:r>
    </w:p>
    <w:p w14:paraId="52DEFBA3">
      <w:pPr>
        <w:adjustRightInd w:val="0"/>
        <w:snapToGrid w:val="0"/>
        <w:spacing w:line="360" w:lineRule="auto"/>
        <w:ind w:firstLine="480" w:firstLineChars="200"/>
        <w:rPr>
          <w:rFonts w:ascii="宋体" w:hAnsi="宋体" w:cs="仿宋"/>
          <w:kern w:val="0"/>
          <w:sz w:val="24"/>
        </w:rPr>
      </w:pPr>
      <w:r>
        <w:rPr>
          <w:rFonts w:hint="eastAsia" w:ascii="宋体" w:hAnsi="宋体" w:cs="仿宋"/>
          <w:kern w:val="0"/>
          <w:sz w:val="24"/>
        </w:rPr>
        <w:t>4、投标人或其他利害关系人对本次招标公告如有异议，请按中华人民共和国财政部令第94号《政府采购质疑和投诉办法》的相关规定，在规定时间内，向招标人、招标代理机构、监督部门提出质疑、投诉等事宜。逾期未提交或未按照要求提交的质疑、投诉将不予受理。</w:t>
      </w:r>
    </w:p>
    <w:p w14:paraId="4F687275">
      <w:pPr>
        <w:pStyle w:val="37"/>
        <w:numPr>
          <w:ilvl w:val="0"/>
          <w:numId w:val="3"/>
        </w:numPr>
        <w:adjustRightInd w:val="0"/>
        <w:snapToGrid w:val="0"/>
        <w:spacing w:line="360" w:lineRule="auto"/>
        <w:rPr>
          <w:rFonts w:cs="仿宋"/>
          <w:b/>
          <w:sz w:val="24"/>
        </w:rPr>
      </w:pPr>
      <w:r>
        <w:rPr>
          <w:rFonts w:hint="eastAsia" w:cs="仿宋"/>
          <w:b/>
          <w:sz w:val="24"/>
        </w:rPr>
        <w:t>凡对本次</w:t>
      </w:r>
      <w:r>
        <w:rPr>
          <w:rFonts w:hint="eastAsia" w:cs="仿宋"/>
          <w:b/>
          <w:sz w:val="24"/>
          <w:lang w:val="en-US"/>
        </w:rPr>
        <w:t>招标</w:t>
      </w:r>
      <w:r>
        <w:rPr>
          <w:rFonts w:hint="eastAsia" w:cs="仿宋"/>
          <w:b/>
          <w:sz w:val="24"/>
        </w:rPr>
        <w:t>提出询问，请按以下方式联系</w:t>
      </w:r>
      <w:bookmarkEnd w:id="14"/>
      <w:bookmarkEnd w:id="15"/>
      <w:bookmarkEnd w:id="16"/>
      <w:bookmarkEnd w:id="17"/>
      <w:bookmarkEnd w:id="18"/>
      <w:bookmarkEnd w:id="19"/>
      <w:bookmarkEnd w:id="20"/>
      <w:bookmarkStart w:id="31" w:name="_Toc35393806"/>
      <w:bookmarkStart w:id="32" w:name="_Toc28359019"/>
      <w:bookmarkStart w:id="33" w:name="_Toc35393637"/>
      <w:bookmarkStart w:id="34" w:name="_Toc28359096"/>
    </w:p>
    <w:p w14:paraId="74FBCEF6">
      <w:pPr>
        <w:adjustRightInd w:val="0"/>
        <w:snapToGrid w:val="0"/>
        <w:spacing w:line="360" w:lineRule="auto"/>
        <w:ind w:firstLine="480" w:firstLineChars="200"/>
        <w:rPr>
          <w:rFonts w:ascii="宋体" w:hAnsi="宋体" w:cs="仿宋"/>
          <w:sz w:val="24"/>
        </w:rPr>
      </w:pPr>
      <w:r>
        <w:rPr>
          <w:rFonts w:hint="eastAsia" w:ascii="宋体" w:hAnsi="宋体" w:cs="仿宋"/>
          <w:sz w:val="24"/>
        </w:rPr>
        <w:t>1.采购人信息</w:t>
      </w:r>
    </w:p>
    <w:bookmarkEnd w:id="31"/>
    <w:bookmarkEnd w:id="32"/>
    <w:bookmarkEnd w:id="33"/>
    <w:bookmarkEnd w:id="34"/>
    <w:p w14:paraId="7B3FB91C">
      <w:pPr>
        <w:adjustRightInd w:val="0"/>
        <w:snapToGrid w:val="0"/>
        <w:spacing w:line="360" w:lineRule="auto"/>
        <w:ind w:firstLine="480" w:firstLineChars="200"/>
        <w:rPr>
          <w:rFonts w:ascii="宋体" w:hAnsi="宋体" w:cs="仿宋"/>
          <w:sz w:val="24"/>
        </w:rPr>
      </w:pPr>
      <w:r>
        <w:rPr>
          <w:rFonts w:hint="eastAsia" w:ascii="宋体" w:hAnsi="宋体" w:cs="仿宋"/>
          <w:sz w:val="24"/>
        </w:rPr>
        <w:t>名称：平顶山市新城区行政服务中心</w:t>
      </w:r>
    </w:p>
    <w:p w14:paraId="229F2F59">
      <w:pPr>
        <w:adjustRightInd w:val="0"/>
        <w:snapToGrid w:val="0"/>
        <w:spacing w:line="360" w:lineRule="auto"/>
        <w:ind w:firstLine="480" w:firstLineChars="200"/>
        <w:rPr>
          <w:rFonts w:ascii="宋体" w:hAnsi="宋体" w:cs="仿宋"/>
          <w:sz w:val="24"/>
        </w:rPr>
      </w:pPr>
      <w:r>
        <w:rPr>
          <w:rFonts w:hint="eastAsia" w:ascii="宋体" w:hAnsi="宋体" w:cs="仿宋"/>
          <w:sz w:val="24"/>
        </w:rPr>
        <w:t>地址：平顶山新城区宏图路中段管委会院内</w:t>
      </w:r>
    </w:p>
    <w:p w14:paraId="56B6D05C">
      <w:pPr>
        <w:adjustRightInd w:val="0"/>
        <w:snapToGrid w:val="0"/>
        <w:spacing w:line="360" w:lineRule="auto"/>
        <w:ind w:firstLine="480" w:firstLineChars="200"/>
        <w:rPr>
          <w:rFonts w:ascii="宋体" w:hAnsi="宋体" w:cs="仿宋"/>
          <w:sz w:val="24"/>
        </w:rPr>
      </w:pPr>
      <w:r>
        <w:rPr>
          <w:rFonts w:hint="eastAsia" w:ascii="宋体" w:hAnsi="宋体" w:cs="仿宋"/>
          <w:sz w:val="24"/>
        </w:rPr>
        <w:t>联系人：张先生</w:t>
      </w:r>
    </w:p>
    <w:p w14:paraId="3E644638">
      <w:pPr>
        <w:adjustRightInd w:val="0"/>
        <w:snapToGrid w:val="0"/>
        <w:spacing w:line="360" w:lineRule="auto"/>
        <w:ind w:firstLine="480" w:firstLineChars="200"/>
        <w:rPr>
          <w:rFonts w:ascii="宋体" w:hAnsi="宋体" w:cs="仿宋"/>
          <w:sz w:val="24"/>
        </w:rPr>
      </w:pPr>
      <w:r>
        <w:rPr>
          <w:rFonts w:hint="eastAsia" w:ascii="宋体" w:hAnsi="宋体" w:cs="仿宋"/>
          <w:sz w:val="24"/>
        </w:rPr>
        <w:t>联系方式：0375-2667809</w:t>
      </w:r>
    </w:p>
    <w:p w14:paraId="27E6A24B">
      <w:pPr>
        <w:adjustRightInd w:val="0"/>
        <w:snapToGrid w:val="0"/>
        <w:spacing w:line="360" w:lineRule="auto"/>
        <w:ind w:firstLine="480" w:firstLineChars="200"/>
        <w:rPr>
          <w:rFonts w:ascii="宋体" w:hAnsi="宋体" w:cs="仿宋"/>
          <w:sz w:val="24"/>
        </w:rPr>
      </w:pPr>
      <w:r>
        <w:rPr>
          <w:rFonts w:hint="eastAsia" w:ascii="宋体" w:hAnsi="宋体" w:cs="仿宋"/>
          <w:sz w:val="24"/>
        </w:rPr>
        <w:t>2.采购代理机构信息</w:t>
      </w:r>
    </w:p>
    <w:p w14:paraId="0FA5A23F">
      <w:pPr>
        <w:pStyle w:val="24"/>
        <w:adjustRightInd w:val="0"/>
        <w:snapToGrid w:val="0"/>
        <w:spacing w:beforeAutospacing="0" w:afterAutospacing="0" w:line="360" w:lineRule="auto"/>
        <w:ind w:firstLine="480" w:firstLineChars="200"/>
        <w:rPr>
          <w:rFonts w:ascii="宋体" w:hAnsi="宋体" w:cs="宋体"/>
          <w:shd w:val="clear" w:color="auto" w:fill="FFFFFF"/>
        </w:rPr>
      </w:pPr>
      <w:r>
        <w:rPr>
          <w:rFonts w:hint="eastAsia" w:ascii="宋体" w:hAnsi="宋体" w:eastAsia="宋体" w:cs="宋体"/>
          <w:shd w:val="clear" w:color="auto" w:fill="FFFFFF"/>
        </w:rPr>
        <w:t>名称：河南致诚弘亿工程管理有限公司</w:t>
      </w:r>
    </w:p>
    <w:p w14:paraId="604DF4EB">
      <w:pPr>
        <w:pStyle w:val="24"/>
        <w:adjustRightInd w:val="0"/>
        <w:snapToGrid w:val="0"/>
        <w:spacing w:beforeAutospacing="0" w:afterAutospacing="0" w:line="360" w:lineRule="auto"/>
        <w:ind w:firstLine="480" w:firstLineChars="200"/>
        <w:rPr>
          <w:rFonts w:ascii="宋体" w:hAnsi="宋体" w:cs="宋体"/>
          <w:shd w:val="clear" w:color="auto" w:fill="FFFFFF"/>
        </w:rPr>
      </w:pPr>
      <w:r>
        <w:rPr>
          <w:rFonts w:hint="eastAsia" w:ascii="宋体" w:hAnsi="宋体" w:eastAsia="宋体" w:cs="宋体"/>
          <w:shd w:val="clear" w:color="auto" w:fill="FFFFFF"/>
        </w:rPr>
        <w:t>地址：平顶山市新华区光明路北段中原商场家属院</w:t>
      </w:r>
      <w:r>
        <w:rPr>
          <w:rFonts w:hint="eastAsia" w:ascii="宋体" w:hAnsi="宋体" w:cs="宋体"/>
          <w:shd w:val="clear" w:color="auto" w:fill="FFFFFF"/>
        </w:rPr>
        <w:t>2</w:t>
      </w:r>
      <w:r>
        <w:rPr>
          <w:rFonts w:hint="eastAsia" w:ascii="宋体" w:hAnsi="宋体" w:eastAsia="宋体" w:cs="宋体"/>
          <w:shd w:val="clear" w:color="auto" w:fill="FFFFFF"/>
        </w:rPr>
        <w:t>楼商铺</w:t>
      </w:r>
      <w:r>
        <w:rPr>
          <w:rFonts w:hint="eastAsia" w:ascii="宋体" w:hAnsi="宋体" w:cs="宋体"/>
          <w:shd w:val="clear" w:color="auto" w:fill="FFFFFF"/>
        </w:rPr>
        <w:t>201</w:t>
      </w:r>
      <w:r>
        <w:rPr>
          <w:rFonts w:hint="eastAsia" w:ascii="宋体" w:hAnsi="宋体" w:eastAsia="宋体" w:cs="宋体"/>
          <w:shd w:val="clear" w:color="auto" w:fill="FFFFFF"/>
        </w:rPr>
        <w:t>号</w:t>
      </w:r>
    </w:p>
    <w:p w14:paraId="29B9D7C1">
      <w:pPr>
        <w:pStyle w:val="24"/>
        <w:adjustRightInd w:val="0"/>
        <w:snapToGrid w:val="0"/>
        <w:spacing w:beforeAutospacing="0" w:afterAutospacing="0" w:line="360" w:lineRule="auto"/>
        <w:ind w:firstLine="480" w:firstLineChars="200"/>
        <w:rPr>
          <w:rFonts w:ascii="宋体" w:hAnsi="宋体" w:cs="宋体"/>
          <w:shd w:val="clear" w:color="auto" w:fill="FFFFFF"/>
        </w:rPr>
      </w:pPr>
      <w:r>
        <w:rPr>
          <w:rFonts w:hint="eastAsia" w:ascii="宋体" w:hAnsi="宋体" w:eastAsia="宋体" w:cs="宋体"/>
          <w:shd w:val="clear" w:color="auto" w:fill="FFFFFF"/>
        </w:rPr>
        <w:t>联系人：顾女士</w:t>
      </w:r>
    </w:p>
    <w:p w14:paraId="5996CEAB">
      <w:pPr>
        <w:pStyle w:val="24"/>
        <w:adjustRightInd w:val="0"/>
        <w:snapToGrid w:val="0"/>
        <w:spacing w:beforeAutospacing="0" w:afterAutospacing="0" w:line="360" w:lineRule="auto"/>
        <w:ind w:firstLine="480" w:firstLineChars="200"/>
        <w:rPr>
          <w:rFonts w:ascii="宋体" w:hAnsi="宋体" w:cs="宋体"/>
          <w:shd w:val="clear" w:color="auto" w:fill="FFFFFF"/>
        </w:rPr>
      </w:pPr>
      <w:r>
        <w:rPr>
          <w:rFonts w:hint="eastAsia" w:ascii="宋体" w:hAnsi="宋体" w:eastAsia="宋体" w:cs="宋体"/>
          <w:shd w:val="clear" w:color="auto" w:fill="FFFFFF"/>
        </w:rPr>
        <w:t>联系电话：</w:t>
      </w:r>
      <w:r>
        <w:rPr>
          <w:rFonts w:hint="eastAsia" w:ascii="宋体" w:hAnsi="宋体" w:cs="宋体"/>
          <w:shd w:val="clear" w:color="auto" w:fill="FFFFFF"/>
        </w:rPr>
        <w:t>0375-7502336 17527515377</w:t>
      </w:r>
    </w:p>
    <w:p w14:paraId="569360DD">
      <w:pPr>
        <w:adjustRightInd w:val="0"/>
        <w:snapToGrid w:val="0"/>
        <w:spacing w:line="360" w:lineRule="auto"/>
        <w:ind w:firstLine="480" w:firstLineChars="200"/>
        <w:rPr>
          <w:rFonts w:ascii="宋体" w:hAnsi="宋体" w:cs="仿宋"/>
          <w:sz w:val="24"/>
        </w:rPr>
      </w:pPr>
      <w:r>
        <w:rPr>
          <w:rFonts w:hint="eastAsia" w:ascii="宋体" w:hAnsi="宋体" w:cs="仿宋"/>
          <w:sz w:val="24"/>
        </w:rPr>
        <w:t>3.项目联系方式</w:t>
      </w:r>
    </w:p>
    <w:p w14:paraId="6AB1386C">
      <w:pPr>
        <w:pStyle w:val="24"/>
        <w:adjustRightInd w:val="0"/>
        <w:snapToGrid w:val="0"/>
        <w:spacing w:beforeAutospacing="0" w:afterAutospacing="0" w:line="360" w:lineRule="auto"/>
        <w:ind w:firstLine="480" w:firstLineChars="200"/>
        <w:rPr>
          <w:rFonts w:ascii="宋体" w:hAnsi="宋体" w:cs="宋体"/>
          <w:shd w:val="clear" w:color="auto" w:fill="FFFFFF"/>
        </w:rPr>
      </w:pPr>
      <w:r>
        <w:rPr>
          <w:rFonts w:hint="eastAsia" w:ascii="宋体" w:hAnsi="宋体" w:eastAsia="宋体" w:cs="宋体"/>
          <w:shd w:val="clear" w:color="auto" w:fill="FFFFFF"/>
        </w:rPr>
        <w:t>联系人：顾女士</w:t>
      </w:r>
    </w:p>
    <w:p w14:paraId="2BCE789A">
      <w:pPr>
        <w:pStyle w:val="24"/>
        <w:adjustRightInd w:val="0"/>
        <w:snapToGrid w:val="0"/>
        <w:spacing w:beforeAutospacing="0" w:afterAutospacing="0" w:line="360" w:lineRule="auto"/>
        <w:ind w:firstLine="480" w:firstLineChars="200"/>
        <w:rPr>
          <w:rFonts w:ascii="宋体" w:hAnsi="宋体" w:cs="宋体" w:eastAsiaTheme="minorEastAsia"/>
          <w:shd w:val="clear" w:color="auto" w:fill="FFFFFF"/>
        </w:rPr>
      </w:pPr>
      <w:r>
        <w:rPr>
          <w:rFonts w:hint="eastAsia" w:ascii="宋体" w:hAnsi="宋体" w:eastAsia="宋体" w:cs="宋体"/>
          <w:shd w:val="clear" w:color="auto" w:fill="FFFFFF"/>
        </w:rPr>
        <w:t>联系电话：</w:t>
      </w:r>
      <w:r>
        <w:rPr>
          <w:rFonts w:hint="eastAsia" w:ascii="宋体" w:hAnsi="宋体" w:cs="宋体"/>
          <w:shd w:val="clear" w:color="auto" w:fill="FFFFFF"/>
        </w:rPr>
        <w:t>0375-7502336 17527515377</w:t>
      </w:r>
    </w:p>
    <w:p w14:paraId="40CDB832">
      <w:pPr>
        <w:pStyle w:val="24"/>
        <w:adjustRightInd w:val="0"/>
        <w:snapToGrid w:val="0"/>
        <w:spacing w:beforeAutospacing="0" w:afterAutospacing="0" w:line="360" w:lineRule="auto"/>
        <w:ind w:firstLine="480" w:firstLineChars="200"/>
        <w:rPr>
          <w:rFonts w:ascii="宋体" w:hAnsi="宋体" w:cs="宋体" w:eastAsiaTheme="minorEastAsia"/>
          <w:shd w:val="clear" w:color="auto" w:fill="FFFFFF"/>
        </w:rPr>
      </w:pPr>
    </w:p>
    <w:p w14:paraId="24D538AC">
      <w:pPr>
        <w:widowControl/>
        <w:shd w:val="clear" w:color="auto" w:fill="FFFFFF"/>
        <w:spacing w:line="360" w:lineRule="auto"/>
        <w:ind w:firstLine="566" w:firstLineChars="236"/>
        <w:jc w:val="center"/>
        <w:rPr>
          <w:rFonts w:ascii="宋体" w:hAnsi="宋体" w:cs="仿宋"/>
          <w:b/>
          <w:bCs/>
          <w:sz w:val="28"/>
          <w:szCs w:val="28"/>
          <w:shd w:val="clear" w:color="auto" w:fill="FFFFFF"/>
        </w:rPr>
      </w:pPr>
      <w:r>
        <w:rPr>
          <w:rFonts w:hint="eastAsia" w:ascii="宋体" w:hAnsi="宋体" w:cs="仿宋"/>
          <w:sz w:val="24"/>
          <w:shd w:val="clear" w:color="auto" w:fill="FFFFFF"/>
          <w:lang w:bidi="ar"/>
        </w:rPr>
        <w:br w:type="page"/>
      </w:r>
      <w:r>
        <w:rPr>
          <w:rFonts w:hint="eastAsia" w:ascii="宋体" w:hAnsi="宋体" w:cs="仿宋"/>
          <w:sz w:val="28"/>
          <w:szCs w:val="28"/>
          <w:shd w:val="clear" w:color="auto" w:fill="FFFFFF"/>
          <w:lang w:bidi="ar"/>
        </w:rPr>
        <w:t xml:space="preserve"> </w:t>
      </w:r>
      <w:r>
        <w:rPr>
          <w:rFonts w:hint="eastAsia" w:ascii="宋体" w:hAnsi="宋体" w:cs="仿宋"/>
          <w:b/>
          <w:bCs/>
          <w:sz w:val="28"/>
          <w:szCs w:val="28"/>
          <w:shd w:val="clear" w:color="auto" w:fill="FFFFFF"/>
        </w:rPr>
        <w:t>温馨提示：</w:t>
      </w:r>
    </w:p>
    <w:p w14:paraId="22EBE0DF">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本项目为全流程电子化交易项目，请认真阅读采购文件，并注意以下事项。</w:t>
      </w:r>
    </w:p>
    <w:p w14:paraId="4E1EA24D">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1.供应商应按采购文件规定编制、提交电子投标文件。</w:t>
      </w:r>
    </w:p>
    <w:p w14:paraId="08455545">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2.本项目供应商不用再提供纸质投标文件。</w:t>
      </w:r>
    </w:p>
    <w:p w14:paraId="66E4DDC1">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3.电子文件下载、制作、提交期间和开标（电子投标文件的解密）环节，供应商须使用CA数字证书（证书须在有效期内）。</w:t>
      </w:r>
    </w:p>
    <w:p w14:paraId="751C1CF6">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4.电子投标文件的制作</w:t>
      </w:r>
    </w:p>
    <w:p w14:paraId="52900021">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4.1 供应商登录《全国公共资源交易平台(河南省</w:t>
      </w:r>
      <w:r>
        <w:rPr>
          <w:rFonts w:ascii="Times New Roman" w:hAnsi="Times New Roman"/>
          <w:kern w:val="0"/>
          <w:sz w:val="24"/>
          <w:shd w:val="clear" w:color="auto" w:fill="FFFFFF"/>
          <w:lang w:bidi="ar"/>
        </w:rPr>
        <w:t>▪</w:t>
      </w:r>
      <w:r>
        <w:rPr>
          <w:rFonts w:hint="eastAsia" w:ascii="宋体" w:hAnsi="宋体" w:cs="宋体"/>
          <w:kern w:val="0"/>
          <w:sz w:val="24"/>
          <w:shd w:val="clear" w:color="auto" w:fill="FFFFFF"/>
          <w:lang w:bidi="ar"/>
        </w:rPr>
        <w:t>平顶山市</w:t>
      </w:r>
      <w:r>
        <w:rPr>
          <w:rFonts w:hint="eastAsia" w:ascii="宋体" w:hAnsi="宋体" w:cs="仿宋"/>
          <w:kern w:val="0"/>
          <w:sz w:val="24"/>
          <w:shd w:val="clear" w:color="auto" w:fill="FFFFFF"/>
          <w:lang w:bidi="ar"/>
        </w:rPr>
        <w:t>)》公共资源交易系统（http://221.176.192.166:8080/ggzy/）下载“平顶山投标文件制作系统”，按采购文件要求制作电子投标文件。</w:t>
      </w:r>
    </w:p>
    <w:p w14:paraId="7961C814">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电子投标文件的制作，参考《全国公共资源交易平台(河南省</w:t>
      </w:r>
      <w:r>
        <w:rPr>
          <w:rFonts w:ascii="Times New Roman" w:hAnsi="Times New Roman"/>
          <w:kern w:val="0"/>
          <w:sz w:val="24"/>
          <w:shd w:val="clear" w:color="auto" w:fill="FFFFFF"/>
          <w:lang w:bidi="ar"/>
        </w:rPr>
        <w:t>▪</w:t>
      </w:r>
      <w:r>
        <w:rPr>
          <w:rFonts w:hint="eastAsia" w:ascii="宋体" w:hAnsi="宋体" w:cs="宋体"/>
          <w:kern w:val="0"/>
          <w:sz w:val="24"/>
          <w:shd w:val="clear" w:color="auto" w:fill="FFFFFF"/>
          <w:lang w:bidi="ar"/>
        </w:rPr>
        <w:t>平顶山市</w:t>
      </w:r>
      <w:r>
        <w:rPr>
          <w:rFonts w:hint="eastAsia" w:ascii="宋体" w:hAnsi="宋体" w:cs="仿宋"/>
          <w:kern w:val="0"/>
          <w:sz w:val="24"/>
          <w:shd w:val="clear" w:color="auto" w:fill="FFFFFF"/>
          <w:lang w:bidi="ar"/>
        </w:rPr>
        <w:t>)》公共资源交易系统——组件下载——交易系统操作手册（投标人、供应商）。</w:t>
      </w:r>
    </w:p>
    <w:p w14:paraId="37459C28">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4.2 供应商须将采购文件要求的资质、业绩、荣誉及相关人员证明材料等资料原件扫描件（或图片）制作到所提交的电子投标文件中。</w:t>
      </w:r>
    </w:p>
    <w:p w14:paraId="04846BCC">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4.3供应商对同一项目多个标段进行投标的，应分别下载所投标段的采购文件，按标段制作电子投标文件，并按采购文件要求在相应位置加盖供应商电子印章和法人电子印章。</w:t>
      </w:r>
    </w:p>
    <w:p w14:paraId="67282C9A">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一个标段对应生成一个文件夹（xxxx项目xx标段）, 其中包含2个文件和1个文件夹。后缀名为“.file”的文件用于电子投标使用，名称为“备份”的文件夹使用电子介质存储，供开标现场备用。</w:t>
      </w:r>
    </w:p>
    <w:p w14:paraId="0B43F254">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5.加密电子投标文件的提交</w:t>
      </w:r>
    </w:p>
    <w:p w14:paraId="48B446F3">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5.1加密电子投标文件应在采购文件规定的投标截止时间（开标时间）之前成功提交至《全国公共资源交易平台(河南省</w:t>
      </w:r>
      <w:r>
        <w:rPr>
          <w:rFonts w:ascii="Times New Roman" w:hAnsi="Times New Roman"/>
          <w:kern w:val="0"/>
          <w:sz w:val="24"/>
          <w:shd w:val="clear" w:color="auto" w:fill="FFFFFF"/>
          <w:lang w:bidi="ar"/>
        </w:rPr>
        <w:t>▪</w:t>
      </w:r>
      <w:r>
        <w:rPr>
          <w:rFonts w:hint="eastAsia" w:ascii="宋体" w:hAnsi="宋体" w:cs="宋体"/>
          <w:kern w:val="0"/>
          <w:sz w:val="24"/>
          <w:shd w:val="clear" w:color="auto" w:fill="FFFFFF"/>
          <w:lang w:bidi="ar"/>
        </w:rPr>
        <w:t>平顶山市</w:t>
      </w:r>
      <w:r>
        <w:rPr>
          <w:rFonts w:hint="eastAsia" w:ascii="宋体" w:hAnsi="宋体" w:cs="仿宋"/>
          <w:kern w:val="0"/>
          <w:sz w:val="24"/>
          <w:shd w:val="clear" w:color="auto" w:fill="FFFFFF"/>
          <w:lang w:bidi="ar"/>
        </w:rPr>
        <w:t>)》公共资源交易系统（http://221.176.192.166:8080/ggzy/）。</w:t>
      </w:r>
    </w:p>
    <w:p w14:paraId="4712A83A">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供应商应充分考虑并预留技术处理和上传数据所需时间。</w:t>
      </w:r>
    </w:p>
    <w:p w14:paraId="31CC8BA4">
      <w:pPr>
        <w:widowControl/>
        <w:shd w:val="clear" w:color="auto" w:fill="FFFFFF"/>
        <w:spacing w:line="360" w:lineRule="auto"/>
        <w:ind w:firstLine="566" w:firstLineChars="236"/>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5.2 供应商对同一项目多个标段进行投标的，加密电子投标文件应按标段分别提交。</w:t>
      </w:r>
    </w:p>
    <w:p w14:paraId="0F15F2DD">
      <w:pPr>
        <w:pStyle w:val="3"/>
        <w:rPr>
          <w:rFonts w:cs="仿宋"/>
          <w:lang w:val="en-US"/>
        </w:rPr>
      </w:pPr>
      <w:r>
        <w:rPr>
          <w:rFonts w:hint="eastAsia" w:cs="仿宋"/>
          <w:shd w:val="clear" w:color="auto" w:fill="FFFFFF"/>
          <w:lang w:bidi="ar"/>
        </w:rPr>
        <w:br w:type="page"/>
      </w:r>
      <w:bookmarkStart w:id="35" w:name="_Toc202949959"/>
      <w:r>
        <w:rPr>
          <w:rFonts w:hint="eastAsia" w:cs="仿宋"/>
          <w:lang w:val="en-US"/>
        </w:rPr>
        <w:t>第二章 投标人须知</w:t>
      </w:r>
      <w:bookmarkEnd w:id="35"/>
    </w:p>
    <w:p w14:paraId="5812CB6B">
      <w:pPr>
        <w:pStyle w:val="4"/>
        <w:spacing w:line="360" w:lineRule="auto"/>
        <w:ind w:left="0" w:right="76"/>
        <w:jc w:val="center"/>
        <w:rPr>
          <w:rFonts w:ascii="宋体" w:hAnsi="宋体" w:eastAsia="宋体" w:cs="仿宋"/>
          <w:b/>
          <w:bCs/>
          <w:sz w:val="24"/>
          <w:szCs w:val="24"/>
        </w:rPr>
      </w:pPr>
      <w:bookmarkStart w:id="36" w:name="_bookmark2"/>
      <w:bookmarkEnd w:id="36"/>
      <w:bookmarkStart w:id="37" w:name="_Toc2076"/>
      <w:r>
        <w:rPr>
          <w:rFonts w:hint="eastAsia" w:ascii="宋体" w:hAnsi="宋体" w:eastAsia="宋体" w:cs="仿宋"/>
          <w:b/>
          <w:bCs/>
          <w:sz w:val="24"/>
          <w:szCs w:val="24"/>
        </w:rPr>
        <w:t>投标人须知前附表</w:t>
      </w:r>
      <w:bookmarkEnd w:id="37"/>
    </w:p>
    <w:tbl>
      <w:tblPr>
        <w:tblStyle w:val="27"/>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6"/>
        <w:gridCol w:w="7040"/>
      </w:tblGrid>
      <w:tr w14:paraId="1C5A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6412BE7B">
            <w:pPr>
              <w:spacing w:line="360" w:lineRule="auto"/>
              <w:jc w:val="center"/>
              <w:rPr>
                <w:rFonts w:ascii="宋体" w:hAnsi="宋体" w:cs="仿宋"/>
                <w:sz w:val="24"/>
              </w:rPr>
            </w:pPr>
            <w:r>
              <w:rPr>
                <w:rFonts w:hint="eastAsia" w:ascii="宋体" w:hAnsi="宋体" w:cs="仿宋"/>
                <w:sz w:val="24"/>
              </w:rPr>
              <w:t>序号</w:t>
            </w:r>
          </w:p>
        </w:tc>
        <w:tc>
          <w:tcPr>
            <w:tcW w:w="2126" w:type="dxa"/>
            <w:vAlign w:val="center"/>
          </w:tcPr>
          <w:p w14:paraId="3E226321">
            <w:pPr>
              <w:spacing w:line="360" w:lineRule="auto"/>
              <w:jc w:val="center"/>
              <w:rPr>
                <w:rFonts w:ascii="宋体" w:hAnsi="宋体" w:cs="仿宋"/>
                <w:sz w:val="24"/>
              </w:rPr>
            </w:pPr>
            <w:r>
              <w:rPr>
                <w:rFonts w:hint="eastAsia" w:ascii="宋体" w:hAnsi="宋体" w:cs="仿宋"/>
                <w:sz w:val="24"/>
              </w:rPr>
              <w:t>名  称</w:t>
            </w:r>
          </w:p>
        </w:tc>
        <w:tc>
          <w:tcPr>
            <w:tcW w:w="7040" w:type="dxa"/>
            <w:vAlign w:val="center"/>
          </w:tcPr>
          <w:p w14:paraId="4841B8C9">
            <w:pPr>
              <w:spacing w:line="360" w:lineRule="auto"/>
              <w:jc w:val="center"/>
              <w:rPr>
                <w:rFonts w:ascii="宋体" w:hAnsi="宋体" w:cs="仿宋"/>
                <w:sz w:val="24"/>
              </w:rPr>
            </w:pPr>
            <w:r>
              <w:rPr>
                <w:rFonts w:hint="eastAsia" w:ascii="宋体" w:hAnsi="宋体" w:cs="仿宋"/>
                <w:sz w:val="24"/>
              </w:rPr>
              <w:t>内  容</w:t>
            </w:r>
          </w:p>
        </w:tc>
      </w:tr>
      <w:tr w14:paraId="02DC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659D9BFA">
            <w:pPr>
              <w:spacing w:line="360" w:lineRule="auto"/>
              <w:jc w:val="center"/>
              <w:rPr>
                <w:rFonts w:ascii="宋体" w:hAnsi="宋体" w:cs="仿宋"/>
                <w:sz w:val="24"/>
              </w:rPr>
            </w:pPr>
            <w:r>
              <w:rPr>
                <w:rFonts w:hint="eastAsia" w:ascii="宋体" w:hAnsi="宋体" w:cs="仿宋"/>
                <w:sz w:val="24"/>
              </w:rPr>
              <w:t>1</w:t>
            </w:r>
          </w:p>
        </w:tc>
        <w:tc>
          <w:tcPr>
            <w:tcW w:w="2126" w:type="dxa"/>
            <w:vAlign w:val="center"/>
          </w:tcPr>
          <w:p w14:paraId="6A75AE91">
            <w:pPr>
              <w:spacing w:line="360" w:lineRule="auto"/>
              <w:jc w:val="center"/>
              <w:rPr>
                <w:rFonts w:ascii="宋体" w:hAnsi="宋体" w:cs="仿宋"/>
                <w:sz w:val="24"/>
              </w:rPr>
            </w:pPr>
            <w:r>
              <w:rPr>
                <w:rFonts w:hint="eastAsia" w:ascii="宋体" w:hAnsi="宋体" w:cs="仿宋"/>
                <w:sz w:val="24"/>
              </w:rPr>
              <w:t>采购人</w:t>
            </w:r>
          </w:p>
        </w:tc>
        <w:tc>
          <w:tcPr>
            <w:tcW w:w="7040" w:type="dxa"/>
            <w:vAlign w:val="center"/>
          </w:tcPr>
          <w:p w14:paraId="35C1F1ED">
            <w:pPr>
              <w:spacing w:line="360" w:lineRule="auto"/>
              <w:jc w:val="left"/>
              <w:rPr>
                <w:rFonts w:ascii="宋体" w:hAnsi="宋体" w:cs="仿宋"/>
                <w:sz w:val="24"/>
              </w:rPr>
            </w:pPr>
            <w:r>
              <w:rPr>
                <w:rFonts w:hint="eastAsia" w:ascii="宋体" w:hAnsi="宋体" w:cs="仿宋"/>
                <w:sz w:val="24"/>
              </w:rPr>
              <w:t>名称：平顶山市新城区行政服务中心</w:t>
            </w:r>
          </w:p>
          <w:p w14:paraId="6C6ADD5F">
            <w:pPr>
              <w:spacing w:line="360" w:lineRule="auto"/>
              <w:jc w:val="left"/>
              <w:rPr>
                <w:rFonts w:ascii="宋体" w:hAnsi="宋体" w:cs="仿宋"/>
                <w:sz w:val="24"/>
              </w:rPr>
            </w:pPr>
            <w:r>
              <w:rPr>
                <w:rFonts w:hint="eastAsia" w:ascii="宋体" w:hAnsi="宋体" w:cs="仿宋"/>
                <w:sz w:val="24"/>
              </w:rPr>
              <w:t>地址：平顶山新城区宏图路中段管委会院内</w:t>
            </w:r>
          </w:p>
          <w:p w14:paraId="5ABB8244">
            <w:pPr>
              <w:spacing w:line="360" w:lineRule="auto"/>
              <w:jc w:val="left"/>
              <w:rPr>
                <w:rFonts w:ascii="宋体" w:hAnsi="宋体" w:cs="仿宋"/>
                <w:sz w:val="24"/>
              </w:rPr>
            </w:pPr>
            <w:r>
              <w:rPr>
                <w:rFonts w:hint="eastAsia" w:ascii="宋体" w:hAnsi="宋体" w:cs="仿宋"/>
                <w:sz w:val="24"/>
              </w:rPr>
              <w:t>联系人：张先生</w:t>
            </w:r>
          </w:p>
          <w:p w14:paraId="2640111A">
            <w:pPr>
              <w:spacing w:line="360" w:lineRule="auto"/>
              <w:jc w:val="left"/>
              <w:rPr>
                <w:rFonts w:ascii="宋体" w:hAnsi="宋体" w:cs="仿宋"/>
                <w:sz w:val="24"/>
              </w:rPr>
            </w:pPr>
            <w:r>
              <w:rPr>
                <w:rFonts w:hint="eastAsia" w:ascii="宋体" w:hAnsi="宋体" w:cs="仿宋"/>
                <w:sz w:val="24"/>
              </w:rPr>
              <w:t>联系方式：0375-2667809</w:t>
            </w:r>
          </w:p>
        </w:tc>
      </w:tr>
      <w:tr w14:paraId="19A5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6EF74E7C">
            <w:pPr>
              <w:spacing w:line="360" w:lineRule="auto"/>
              <w:jc w:val="center"/>
              <w:rPr>
                <w:rFonts w:ascii="宋体" w:hAnsi="宋体" w:cs="仿宋"/>
                <w:sz w:val="24"/>
              </w:rPr>
            </w:pPr>
            <w:r>
              <w:rPr>
                <w:rFonts w:hint="eastAsia" w:ascii="宋体" w:hAnsi="宋体" w:cs="仿宋"/>
                <w:sz w:val="24"/>
              </w:rPr>
              <w:t>2</w:t>
            </w:r>
          </w:p>
        </w:tc>
        <w:tc>
          <w:tcPr>
            <w:tcW w:w="2126" w:type="dxa"/>
            <w:vAlign w:val="center"/>
          </w:tcPr>
          <w:p w14:paraId="208AD8F9">
            <w:pPr>
              <w:spacing w:line="360" w:lineRule="auto"/>
              <w:jc w:val="center"/>
              <w:rPr>
                <w:rFonts w:ascii="宋体" w:hAnsi="宋体" w:cs="仿宋"/>
                <w:sz w:val="24"/>
              </w:rPr>
            </w:pPr>
            <w:r>
              <w:rPr>
                <w:rFonts w:hint="eastAsia" w:ascii="宋体" w:hAnsi="宋体" w:cs="仿宋"/>
                <w:sz w:val="24"/>
              </w:rPr>
              <w:t>采购代理机构</w:t>
            </w:r>
          </w:p>
        </w:tc>
        <w:tc>
          <w:tcPr>
            <w:tcW w:w="7040" w:type="dxa"/>
            <w:vAlign w:val="center"/>
          </w:tcPr>
          <w:p w14:paraId="651439CC">
            <w:pPr>
              <w:adjustRightInd w:val="0"/>
              <w:snapToGrid w:val="0"/>
              <w:spacing w:line="360" w:lineRule="auto"/>
              <w:rPr>
                <w:rFonts w:ascii="宋体" w:hAnsi="宋体" w:cs="仿宋"/>
                <w:kern w:val="0"/>
                <w:sz w:val="24"/>
              </w:rPr>
            </w:pPr>
            <w:r>
              <w:rPr>
                <w:rFonts w:hint="eastAsia" w:ascii="宋体" w:hAnsi="宋体" w:cs="仿宋"/>
                <w:kern w:val="0"/>
                <w:sz w:val="24"/>
              </w:rPr>
              <w:t>名称：河南致诚弘亿工程管理有限公司</w:t>
            </w:r>
          </w:p>
          <w:p w14:paraId="53FA35C7">
            <w:pPr>
              <w:adjustRightInd w:val="0"/>
              <w:snapToGrid w:val="0"/>
              <w:spacing w:line="360" w:lineRule="auto"/>
              <w:rPr>
                <w:rFonts w:ascii="宋体" w:hAnsi="宋体" w:cs="仿宋"/>
                <w:kern w:val="0"/>
                <w:sz w:val="24"/>
              </w:rPr>
            </w:pPr>
            <w:r>
              <w:rPr>
                <w:rFonts w:hint="eastAsia" w:ascii="宋体" w:hAnsi="宋体" w:cs="仿宋"/>
                <w:kern w:val="0"/>
                <w:sz w:val="24"/>
              </w:rPr>
              <w:t>地址：平顶山市新华区光明路北段中原商场家属院2楼商铺201号</w:t>
            </w:r>
          </w:p>
          <w:p w14:paraId="40EDF7FF">
            <w:pPr>
              <w:adjustRightInd w:val="0"/>
              <w:snapToGrid w:val="0"/>
              <w:spacing w:line="360" w:lineRule="auto"/>
              <w:rPr>
                <w:rFonts w:ascii="宋体" w:hAnsi="宋体" w:cs="仿宋"/>
                <w:kern w:val="0"/>
                <w:sz w:val="24"/>
              </w:rPr>
            </w:pPr>
            <w:r>
              <w:rPr>
                <w:rFonts w:hint="eastAsia" w:ascii="宋体" w:hAnsi="宋体" w:cs="仿宋"/>
                <w:kern w:val="0"/>
                <w:sz w:val="24"/>
              </w:rPr>
              <w:t>联系人：顾女士</w:t>
            </w:r>
          </w:p>
          <w:p w14:paraId="419C062A">
            <w:pPr>
              <w:spacing w:line="360" w:lineRule="auto"/>
              <w:jc w:val="left"/>
              <w:rPr>
                <w:rFonts w:ascii="宋体" w:hAnsi="宋体" w:cs="仿宋"/>
                <w:sz w:val="24"/>
              </w:rPr>
            </w:pPr>
            <w:r>
              <w:rPr>
                <w:rFonts w:hint="eastAsia" w:ascii="宋体" w:hAnsi="宋体" w:cs="仿宋"/>
                <w:kern w:val="0"/>
                <w:sz w:val="24"/>
              </w:rPr>
              <w:t>联系电话：0375-7502336 17527515377</w:t>
            </w:r>
          </w:p>
        </w:tc>
      </w:tr>
      <w:tr w14:paraId="5C88E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4" w:type="dxa"/>
            <w:vAlign w:val="center"/>
          </w:tcPr>
          <w:p w14:paraId="73A32678">
            <w:pPr>
              <w:spacing w:line="360" w:lineRule="auto"/>
              <w:jc w:val="center"/>
              <w:rPr>
                <w:rFonts w:ascii="宋体" w:hAnsi="宋体" w:cs="仿宋"/>
                <w:sz w:val="24"/>
              </w:rPr>
            </w:pPr>
            <w:r>
              <w:rPr>
                <w:rFonts w:hint="eastAsia" w:ascii="宋体" w:hAnsi="宋体" w:cs="仿宋"/>
                <w:sz w:val="24"/>
              </w:rPr>
              <w:t>3</w:t>
            </w:r>
          </w:p>
        </w:tc>
        <w:tc>
          <w:tcPr>
            <w:tcW w:w="2126" w:type="dxa"/>
            <w:vAlign w:val="center"/>
          </w:tcPr>
          <w:p w14:paraId="5507BF01">
            <w:pPr>
              <w:spacing w:line="360" w:lineRule="auto"/>
              <w:jc w:val="center"/>
              <w:rPr>
                <w:rFonts w:ascii="宋体" w:hAnsi="宋体" w:cs="仿宋"/>
                <w:sz w:val="24"/>
              </w:rPr>
            </w:pPr>
            <w:r>
              <w:rPr>
                <w:rFonts w:hint="eastAsia" w:ascii="宋体" w:hAnsi="宋体" w:cs="仿宋"/>
                <w:sz w:val="24"/>
              </w:rPr>
              <w:t>项目名称</w:t>
            </w:r>
          </w:p>
        </w:tc>
        <w:tc>
          <w:tcPr>
            <w:tcW w:w="7040" w:type="dxa"/>
            <w:vAlign w:val="center"/>
          </w:tcPr>
          <w:p w14:paraId="25377B7B">
            <w:pPr>
              <w:spacing w:line="360" w:lineRule="auto"/>
              <w:jc w:val="left"/>
              <w:rPr>
                <w:rFonts w:ascii="宋体" w:hAnsi="宋体" w:cs="仿宋"/>
                <w:bCs/>
                <w:sz w:val="24"/>
              </w:rPr>
            </w:pPr>
            <w:r>
              <w:rPr>
                <w:rFonts w:hint="eastAsia" w:ascii="宋体" w:hAnsi="宋体" w:cs="仿宋"/>
                <w:sz w:val="24"/>
              </w:rPr>
              <w:t>平顶山市新城区行政服务中心新城区电子政务外网暨办公业务资源网建设购买服务项目</w:t>
            </w:r>
          </w:p>
        </w:tc>
      </w:tr>
      <w:tr w14:paraId="0F1D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04" w:type="dxa"/>
            <w:vAlign w:val="center"/>
          </w:tcPr>
          <w:p w14:paraId="0B78D948">
            <w:pPr>
              <w:spacing w:line="360" w:lineRule="auto"/>
              <w:jc w:val="center"/>
              <w:rPr>
                <w:rFonts w:ascii="宋体" w:hAnsi="宋体" w:cs="仿宋"/>
                <w:sz w:val="24"/>
              </w:rPr>
            </w:pPr>
            <w:r>
              <w:rPr>
                <w:rFonts w:hint="eastAsia" w:ascii="宋体" w:hAnsi="宋体" w:cs="仿宋"/>
                <w:sz w:val="24"/>
              </w:rPr>
              <w:t>4</w:t>
            </w:r>
          </w:p>
        </w:tc>
        <w:tc>
          <w:tcPr>
            <w:tcW w:w="2126" w:type="dxa"/>
            <w:vAlign w:val="center"/>
          </w:tcPr>
          <w:p w14:paraId="0F86CBB5">
            <w:pPr>
              <w:spacing w:line="360" w:lineRule="auto"/>
              <w:jc w:val="center"/>
              <w:rPr>
                <w:rFonts w:ascii="宋体" w:hAnsi="宋体" w:cs="仿宋"/>
                <w:sz w:val="24"/>
              </w:rPr>
            </w:pPr>
            <w:r>
              <w:rPr>
                <w:rFonts w:hint="eastAsia" w:ascii="宋体" w:hAnsi="宋体" w:cs="仿宋"/>
                <w:sz w:val="24"/>
              </w:rPr>
              <w:t>资金来源，出资比例、资金落实情况</w:t>
            </w:r>
          </w:p>
        </w:tc>
        <w:tc>
          <w:tcPr>
            <w:tcW w:w="7040" w:type="dxa"/>
            <w:vAlign w:val="center"/>
          </w:tcPr>
          <w:p w14:paraId="4141A9D5">
            <w:pPr>
              <w:spacing w:line="360" w:lineRule="auto"/>
              <w:jc w:val="left"/>
              <w:rPr>
                <w:rFonts w:hint="eastAsia" w:ascii="宋体" w:hAnsi="宋体" w:cs="仿宋"/>
                <w:sz w:val="24"/>
              </w:rPr>
            </w:pPr>
            <w:r>
              <w:rPr>
                <w:rFonts w:hint="eastAsia" w:ascii="宋体" w:hAnsi="宋体" w:cs="仿宋"/>
                <w:sz w:val="24"/>
              </w:rPr>
              <w:t>财政资金，100%，已落实</w:t>
            </w:r>
          </w:p>
        </w:tc>
      </w:tr>
      <w:tr w14:paraId="6364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704" w:type="dxa"/>
            <w:vAlign w:val="center"/>
          </w:tcPr>
          <w:p w14:paraId="6CEF37C1">
            <w:pPr>
              <w:spacing w:line="360" w:lineRule="auto"/>
              <w:jc w:val="center"/>
              <w:rPr>
                <w:rFonts w:ascii="宋体" w:hAnsi="宋体" w:cs="仿宋"/>
                <w:sz w:val="24"/>
              </w:rPr>
            </w:pPr>
            <w:r>
              <w:rPr>
                <w:rFonts w:hint="eastAsia" w:ascii="宋体" w:hAnsi="宋体" w:cs="仿宋"/>
                <w:sz w:val="24"/>
              </w:rPr>
              <w:t>5</w:t>
            </w:r>
          </w:p>
        </w:tc>
        <w:tc>
          <w:tcPr>
            <w:tcW w:w="2126" w:type="dxa"/>
            <w:vAlign w:val="center"/>
          </w:tcPr>
          <w:p w14:paraId="303ADEA0">
            <w:pPr>
              <w:spacing w:line="360" w:lineRule="auto"/>
              <w:jc w:val="center"/>
              <w:rPr>
                <w:rFonts w:ascii="宋体" w:hAnsi="宋体" w:cs="仿宋"/>
                <w:sz w:val="24"/>
              </w:rPr>
            </w:pPr>
            <w:r>
              <w:rPr>
                <w:rFonts w:hint="eastAsia" w:ascii="宋体" w:hAnsi="宋体" w:cs="仿宋"/>
                <w:sz w:val="24"/>
              </w:rPr>
              <w:t>采购内容</w:t>
            </w:r>
          </w:p>
        </w:tc>
        <w:tc>
          <w:tcPr>
            <w:tcW w:w="7040" w:type="dxa"/>
            <w:vAlign w:val="center"/>
          </w:tcPr>
          <w:p w14:paraId="1E6AD664">
            <w:pPr>
              <w:spacing w:line="360" w:lineRule="auto"/>
              <w:jc w:val="left"/>
              <w:rPr>
                <w:rFonts w:ascii="宋体" w:hAnsi="宋体" w:cs="仿宋"/>
                <w:sz w:val="24"/>
              </w:rPr>
            </w:pPr>
            <w:r>
              <w:rPr>
                <w:rFonts w:hint="eastAsia" w:ascii="宋体" w:hAnsi="宋体" w:cs="仿宋"/>
                <w:sz w:val="24"/>
              </w:rPr>
              <w:t>（1）、按国家要求建设区电子政务外网基础网络及其周边所有相关设备接入服务、安全态势感知监测服务；</w:t>
            </w:r>
          </w:p>
          <w:p w14:paraId="03AF6FFB">
            <w:pPr>
              <w:spacing w:line="360" w:lineRule="auto"/>
              <w:jc w:val="left"/>
              <w:rPr>
                <w:rFonts w:ascii="宋体" w:hAnsi="宋体" w:cs="仿宋"/>
                <w:sz w:val="24"/>
              </w:rPr>
            </w:pPr>
            <w:r>
              <w:rPr>
                <w:rFonts w:hint="eastAsia" w:ascii="宋体" w:hAnsi="宋体" w:cs="仿宋"/>
                <w:sz w:val="24"/>
              </w:rPr>
              <w:t>（2）、政务办公系统软硬件支撑平台租赁服务、政务办公平台应用软件使用授权服务、内网网络安全及终端管控平台使用服务、电子签章租赁及授权服务、政府办公业务资源网平台运维服务、移动办公政务GPN接口租赁服务、撤线组网改造服务；</w:t>
            </w:r>
          </w:p>
          <w:p w14:paraId="7C67A5C1">
            <w:pPr>
              <w:spacing w:line="360" w:lineRule="auto"/>
              <w:jc w:val="left"/>
              <w:rPr>
                <w:rFonts w:ascii="宋体" w:hAnsi="宋体" w:cs="仿宋"/>
                <w:sz w:val="24"/>
              </w:rPr>
            </w:pPr>
            <w:r>
              <w:rPr>
                <w:rFonts w:hint="eastAsia" w:ascii="宋体" w:hAnsi="宋体" w:cs="仿宋"/>
                <w:sz w:val="24"/>
              </w:rPr>
              <w:t>（3）、新城区门户网站运维服务；</w:t>
            </w:r>
          </w:p>
          <w:p w14:paraId="2F4ED872">
            <w:pPr>
              <w:spacing w:line="360" w:lineRule="auto"/>
              <w:jc w:val="left"/>
              <w:rPr>
                <w:rFonts w:ascii="宋体" w:hAnsi="宋体" w:cs="仿宋"/>
                <w:sz w:val="24"/>
              </w:rPr>
            </w:pPr>
            <w:r>
              <w:rPr>
                <w:rFonts w:hint="eastAsia" w:ascii="宋体" w:hAnsi="宋体" w:cs="仿宋"/>
                <w:sz w:val="24"/>
              </w:rPr>
              <w:t>（4）、对外网网络和门户网站按要求进行安全三级等保登记备案工作；</w:t>
            </w:r>
          </w:p>
          <w:p w14:paraId="5D7B6F2C">
            <w:pPr>
              <w:spacing w:line="360" w:lineRule="auto"/>
              <w:jc w:val="left"/>
              <w:rPr>
                <w:rFonts w:ascii="宋体" w:hAnsi="宋体" w:cs="仿宋"/>
                <w:sz w:val="24"/>
              </w:rPr>
            </w:pPr>
            <w:r>
              <w:rPr>
                <w:rFonts w:hint="eastAsia" w:ascii="宋体" w:hAnsi="宋体" w:cs="仿宋"/>
                <w:sz w:val="24"/>
              </w:rPr>
              <w:t>具体内容详见招标文件第五章采购内容及服务要求。</w:t>
            </w:r>
          </w:p>
        </w:tc>
      </w:tr>
      <w:tr w14:paraId="7999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04" w:type="dxa"/>
            <w:vAlign w:val="center"/>
          </w:tcPr>
          <w:p w14:paraId="2F801A8E">
            <w:pPr>
              <w:spacing w:line="360" w:lineRule="auto"/>
              <w:jc w:val="center"/>
              <w:rPr>
                <w:rFonts w:ascii="宋体" w:hAnsi="宋体" w:cs="仿宋"/>
                <w:sz w:val="24"/>
              </w:rPr>
            </w:pPr>
            <w:r>
              <w:rPr>
                <w:rFonts w:hint="eastAsia" w:ascii="宋体" w:hAnsi="宋体" w:cs="仿宋"/>
                <w:sz w:val="24"/>
              </w:rPr>
              <w:t>6</w:t>
            </w:r>
          </w:p>
        </w:tc>
        <w:tc>
          <w:tcPr>
            <w:tcW w:w="2126" w:type="dxa"/>
            <w:vAlign w:val="center"/>
          </w:tcPr>
          <w:p w14:paraId="60877839">
            <w:pPr>
              <w:spacing w:line="360" w:lineRule="auto"/>
              <w:jc w:val="center"/>
              <w:rPr>
                <w:rFonts w:ascii="宋体" w:hAnsi="宋体" w:cs="仿宋"/>
                <w:sz w:val="24"/>
              </w:rPr>
            </w:pPr>
            <w:r>
              <w:rPr>
                <w:rFonts w:hint="eastAsia" w:ascii="宋体" w:hAnsi="宋体" w:cs="仿宋"/>
                <w:sz w:val="24"/>
              </w:rPr>
              <w:t>采购方式</w:t>
            </w:r>
          </w:p>
        </w:tc>
        <w:tc>
          <w:tcPr>
            <w:tcW w:w="7040" w:type="dxa"/>
            <w:vAlign w:val="center"/>
          </w:tcPr>
          <w:p w14:paraId="481C1D37">
            <w:pPr>
              <w:spacing w:line="360" w:lineRule="auto"/>
              <w:rPr>
                <w:rStyle w:val="30"/>
                <w:rFonts w:ascii="宋体" w:hAnsi="宋体" w:cs="仿宋"/>
                <w:b w:val="0"/>
                <w:sz w:val="24"/>
              </w:rPr>
            </w:pPr>
            <w:r>
              <w:rPr>
                <w:rStyle w:val="30"/>
                <w:rFonts w:hint="eastAsia" w:ascii="宋体" w:hAnsi="宋体" w:cs="仿宋"/>
                <w:b w:val="0"/>
                <w:sz w:val="24"/>
              </w:rPr>
              <w:t>公开招标</w:t>
            </w:r>
          </w:p>
        </w:tc>
      </w:tr>
      <w:tr w14:paraId="1C53E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4" w:type="dxa"/>
            <w:vAlign w:val="center"/>
          </w:tcPr>
          <w:p w14:paraId="15A18B21">
            <w:pPr>
              <w:spacing w:line="360" w:lineRule="auto"/>
              <w:jc w:val="center"/>
              <w:rPr>
                <w:rFonts w:ascii="宋体" w:hAnsi="宋体" w:cs="仿宋"/>
                <w:sz w:val="24"/>
              </w:rPr>
            </w:pPr>
            <w:r>
              <w:rPr>
                <w:rFonts w:hint="eastAsia" w:ascii="宋体" w:hAnsi="宋体" w:cs="仿宋"/>
                <w:sz w:val="24"/>
              </w:rPr>
              <w:t>7</w:t>
            </w:r>
          </w:p>
        </w:tc>
        <w:tc>
          <w:tcPr>
            <w:tcW w:w="2126" w:type="dxa"/>
            <w:vAlign w:val="center"/>
          </w:tcPr>
          <w:p w14:paraId="716322D0">
            <w:pPr>
              <w:spacing w:line="360" w:lineRule="auto"/>
              <w:jc w:val="center"/>
              <w:rPr>
                <w:rFonts w:ascii="宋体" w:hAnsi="宋体" w:cs="仿宋"/>
                <w:sz w:val="24"/>
              </w:rPr>
            </w:pPr>
            <w:r>
              <w:rPr>
                <w:rFonts w:hint="eastAsia" w:ascii="宋体" w:hAnsi="宋体" w:cs="仿宋"/>
                <w:sz w:val="24"/>
              </w:rPr>
              <w:t>采购项目属性</w:t>
            </w:r>
          </w:p>
        </w:tc>
        <w:tc>
          <w:tcPr>
            <w:tcW w:w="7040" w:type="dxa"/>
            <w:vAlign w:val="center"/>
          </w:tcPr>
          <w:p w14:paraId="033B7DC0">
            <w:pPr>
              <w:spacing w:line="360" w:lineRule="auto"/>
              <w:rPr>
                <w:rStyle w:val="30"/>
                <w:rFonts w:ascii="宋体" w:hAnsi="宋体" w:cs="仿宋"/>
                <w:b w:val="0"/>
                <w:sz w:val="24"/>
              </w:rPr>
            </w:pPr>
            <w:r>
              <w:rPr>
                <w:rFonts w:hint="eastAsia" w:ascii="宋体" w:hAnsi="宋体" w:cs="仿宋"/>
                <w:sz w:val="24"/>
              </w:rPr>
              <w:t xml:space="preserve">□货物       </w:t>
            </w:r>
            <w:r>
              <w:rPr>
                <w:rFonts w:hint="eastAsia" w:ascii="宋体" w:hAnsi="宋体" w:cs="仿宋"/>
                <w:sz w:val="24"/>
              </w:rPr>
              <w:sym w:font="Wingdings 2" w:char="0052"/>
            </w:r>
            <w:r>
              <w:rPr>
                <w:rFonts w:hint="eastAsia" w:ascii="宋体" w:hAnsi="宋体" w:cs="仿宋"/>
                <w:sz w:val="24"/>
              </w:rPr>
              <w:t>服务       □工程</w:t>
            </w:r>
          </w:p>
        </w:tc>
      </w:tr>
      <w:tr w14:paraId="0B01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04" w:type="dxa"/>
            <w:vAlign w:val="center"/>
          </w:tcPr>
          <w:p w14:paraId="5B200577">
            <w:pPr>
              <w:spacing w:line="360" w:lineRule="auto"/>
              <w:jc w:val="center"/>
              <w:rPr>
                <w:rFonts w:ascii="宋体" w:hAnsi="宋体" w:cs="仿宋"/>
                <w:sz w:val="24"/>
              </w:rPr>
            </w:pPr>
            <w:r>
              <w:rPr>
                <w:rFonts w:hint="eastAsia" w:ascii="宋体" w:hAnsi="宋体" w:cs="仿宋"/>
                <w:sz w:val="24"/>
              </w:rPr>
              <w:t>8</w:t>
            </w:r>
          </w:p>
        </w:tc>
        <w:tc>
          <w:tcPr>
            <w:tcW w:w="2126" w:type="dxa"/>
            <w:vAlign w:val="center"/>
          </w:tcPr>
          <w:p w14:paraId="767E89BB">
            <w:pPr>
              <w:spacing w:line="360" w:lineRule="auto"/>
              <w:jc w:val="center"/>
              <w:rPr>
                <w:rFonts w:ascii="宋体" w:hAnsi="宋体" w:cs="仿宋"/>
                <w:bCs/>
                <w:spacing w:val="4"/>
                <w:sz w:val="24"/>
              </w:rPr>
            </w:pPr>
            <w:r>
              <w:rPr>
                <w:rFonts w:hint="eastAsia" w:ascii="宋体" w:hAnsi="宋体" w:cs="仿宋"/>
                <w:bCs/>
                <w:spacing w:val="4"/>
                <w:sz w:val="24"/>
              </w:rPr>
              <w:t>合同履行</w:t>
            </w:r>
          </w:p>
          <w:p w14:paraId="6F76D386">
            <w:pPr>
              <w:spacing w:line="360" w:lineRule="auto"/>
              <w:jc w:val="center"/>
              <w:rPr>
                <w:rFonts w:ascii="宋体" w:hAnsi="宋体" w:cs="仿宋"/>
                <w:bCs/>
                <w:spacing w:val="4"/>
                <w:sz w:val="24"/>
              </w:rPr>
            </w:pPr>
            <w:r>
              <w:rPr>
                <w:rFonts w:hint="eastAsia" w:ascii="宋体" w:hAnsi="宋体" w:cs="仿宋"/>
                <w:bCs/>
                <w:spacing w:val="4"/>
                <w:sz w:val="24"/>
              </w:rPr>
              <w:t>期限</w:t>
            </w:r>
          </w:p>
        </w:tc>
        <w:tc>
          <w:tcPr>
            <w:tcW w:w="7040" w:type="dxa"/>
            <w:vAlign w:val="center"/>
          </w:tcPr>
          <w:p w14:paraId="3C9DC0FA">
            <w:pPr>
              <w:spacing w:line="360" w:lineRule="auto"/>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三年</w:t>
            </w:r>
          </w:p>
        </w:tc>
      </w:tr>
      <w:tr w14:paraId="28C3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04" w:type="dxa"/>
            <w:vAlign w:val="center"/>
          </w:tcPr>
          <w:p w14:paraId="43B7EBC1">
            <w:pPr>
              <w:spacing w:line="360" w:lineRule="auto"/>
              <w:jc w:val="center"/>
              <w:rPr>
                <w:rFonts w:ascii="宋体" w:hAnsi="宋体" w:cs="仿宋"/>
                <w:sz w:val="24"/>
              </w:rPr>
            </w:pPr>
            <w:r>
              <w:rPr>
                <w:rFonts w:hint="eastAsia" w:ascii="宋体" w:hAnsi="宋体" w:cs="仿宋"/>
                <w:sz w:val="24"/>
              </w:rPr>
              <w:t>9</w:t>
            </w:r>
          </w:p>
        </w:tc>
        <w:tc>
          <w:tcPr>
            <w:tcW w:w="2126" w:type="dxa"/>
            <w:vAlign w:val="center"/>
          </w:tcPr>
          <w:p w14:paraId="01DC2EB2">
            <w:pPr>
              <w:autoSpaceDE w:val="0"/>
              <w:autoSpaceDN w:val="0"/>
              <w:spacing w:line="360" w:lineRule="auto"/>
              <w:jc w:val="center"/>
              <w:rPr>
                <w:rFonts w:ascii="宋体" w:hAnsi="宋体" w:cs="仿宋"/>
                <w:bCs/>
                <w:spacing w:val="4"/>
                <w:sz w:val="24"/>
              </w:rPr>
            </w:pPr>
            <w:r>
              <w:rPr>
                <w:rFonts w:hint="eastAsia" w:ascii="宋体" w:hAnsi="宋体" w:cs="仿宋"/>
                <w:kern w:val="0"/>
                <w:sz w:val="24"/>
              </w:rPr>
              <w:t>服务期限</w:t>
            </w:r>
          </w:p>
        </w:tc>
        <w:tc>
          <w:tcPr>
            <w:tcW w:w="7040" w:type="dxa"/>
            <w:vAlign w:val="center"/>
          </w:tcPr>
          <w:p w14:paraId="76F8257F">
            <w:pPr>
              <w:spacing w:line="360" w:lineRule="auto"/>
              <w:rPr>
                <w:rFonts w:ascii="宋体" w:hAnsi="宋体" w:cs="仿宋"/>
                <w:kern w:val="0"/>
                <w:sz w:val="24"/>
                <w:shd w:val="clear" w:color="auto" w:fill="FFFFFF"/>
                <w:lang w:bidi="ar"/>
              </w:rPr>
            </w:pPr>
            <w:r>
              <w:rPr>
                <w:rFonts w:hint="eastAsia" w:ascii="宋体" w:hAnsi="宋体" w:cs="仿宋"/>
                <w:kern w:val="0"/>
                <w:sz w:val="24"/>
                <w:shd w:val="clear" w:color="auto" w:fill="FFFFFF"/>
                <w:lang w:bidi="ar"/>
              </w:rPr>
              <w:t>三年</w:t>
            </w:r>
          </w:p>
        </w:tc>
      </w:tr>
      <w:tr w14:paraId="502A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6E3565BA">
            <w:pPr>
              <w:spacing w:line="360" w:lineRule="auto"/>
              <w:jc w:val="center"/>
              <w:rPr>
                <w:rFonts w:ascii="宋体" w:hAnsi="宋体" w:cs="仿宋"/>
                <w:sz w:val="24"/>
              </w:rPr>
            </w:pPr>
            <w:r>
              <w:rPr>
                <w:rFonts w:hint="eastAsia" w:ascii="宋体" w:hAnsi="宋体" w:cs="仿宋"/>
                <w:sz w:val="24"/>
              </w:rPr>
              <w:t>10</w:t>
            </w:r>
          </w:p>
        </w:tc>
        <w:tc>
          <w:tcPr>
            <w:tcW w:w="2126" w:type="dxa"/>
            <w:vAlign w:val="center"/>
          </w:tcPr>
          <w:p w14:paraId="118C7C2C">
            <w:pPr>
              <w:spacing w:line="360" w:lineRule="auto"/>
              <w:jc w:val="center"/>
              <w:rPr>
                <w:rFonts w:ascii="宋体" w:hAnsi="宋体" w:cs="仿宋"/>
                <w:sz w:val="24"/>
              </w:rPr>
            </w:pPr>
            <w:r>
              <w:rPr>
                <w:rFonts w:hint="eastAsia" w:ascii="宋体" w:hAnsi="宋体" w:cs="仿宋"/>
                <w:sz w:val="24"/>
              </w:rPr>
              <w:t>服务地点</w:t>
            </w:r>
          </w:p>
        </w:tc>
        <w:tc>
          <w:tcPr>
            <w:tcW w:w="7040" w:type="dxa"/>
            <w:vAlign w:val="center"/>
          </w:tcPr>
          <w:p w14:paraId="5584512A">
            <w:pPr>
              <w:spacing w:line="360" w:lineRule="auto"/>
              <w:rPr>
                <w:rStyle w:val="30"/>
                <w:rFonts w:ascii="宋体" w:hAnsi="宋体" w:cs="仿宋"/>
                <w:b w:val="0"/>
                <w:sz w:val="24"/>
              </w:rPr>
            </w:pPr>
            <w:r>
              <w:rPr>
                <w:rFonts w:hint="eastAsia" w:ascii="宋体" w:hAnsi="宋体" w:cs="仿宋"/>
                <w:kern w:val="0"/>
                <w:sz w:val="24"/>
                <w:shd w:val="clear" w:color="auto" w:fill="FFFFFF"/>
                <w:lang w:bidi="ar"/>
              </w:rPr>
              <w:t>采购人指定地点</w:t>
            </w:r>
          </w:p>
        </w:tc>
      </w:tr>
      <w:tr w14:paraId="2251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0F3E97B6">
            <w:pPr>
              <w:spacing w:line="360" w:lineRule="auto"/>
              <w:jc w:val="center"/>
              <w:rPr>
                <w:rFonts w:ascii="宋体" w:hAnsi="宋体" w:cs="仿宋"/>
                <w:sz w:val="24"/>
              </w:rPr>
            </w:pPr>
            <w:r>
              <w:rPr>
                <w:rFonts w:hint="eastAsia" w:ascii="宋体" w:hAnsi="宋体" w:cs="仿宋"/>
                <w:sz w:val="24"/>
              </w:rPr>
              <w:t>11</w:t>
            </w:r>
          </w:p>
        </w:tc>
        <w:tc>
          <w:tcPr>
            <w:tcW w:w="2126" w:type="dxa"/>
            <w:vAlign w:val="center"/>
          </w:tcPr>
          <w:p w14:paraId="6F4ECFDF">
            <w:pPr>
              <w:spacing w:line="360" w:lineRule="auto"/>
              <w:jc w:val="center"/>
              <w:rPr>
                <w:rFonts w:ascii="宋体" w:hAnsi="宋体" w:cs="仿宋"/>
                <w:sz w:val="24"/>
              </w:rPr>
            </w:pPr>
            <w:r>
              <w:rPr>
                <w:rFonts w:hint="eastAsia" w:ascii="宋体" w:hAnsi="宋体" w:cs="仿宋"/>
                <w:sz w:val="24"/>
              </w:rPr>
              <w:t>服务质量要求</w:t>
            </w:r>
          </w:p>
        </w:tc>
        <w:tc>
          <w:tcPr>
            <w:tcW w:w="7040" w:type="dxa"/>
            <w:vAlign w:val="center"/>
          </w:tcPr>
          <w:p w14:paraId="7D12E929">
            <w:pPr>
              <w:topLinePunct/>
              <w:adjustRightInd w:val="0"/>
              <w:snapToGrid w:val="0"/>
              <w:spacing w:line="360" w:lineRule="auto"/>
              <w:rPr>
                <w:rFonts w:ascii="宋体" w:hAnsi="宋体" w:cs="仿宋"/>
                <w:b/>
                <w:sz w:val="24"/>
              </w:rPr>
            </w:pPr>
            <w:r>
              <w:rPr>
                <w:rFonts w:hint="eastAsia" w:ascii="宋体" w:hAnsi="宋体" w:cs="仿宋"/>
                <w:bCs/>
                <w:sz w:val="24"/>
              </w:rPr>
              <w:t>合格，符合国家和行业现行标准规定，满足采购人需求；</w:t>
            </w:r>
          </w:p>
        </w:tc>
      </w:tr>
      <w:tr w14:paraId="697C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22EA7070">
            <w:pPr>
              <w:spacing w:line="360" w:lineRule="auto"/>
              <w:jc w:val="center"/>
              <w:rPr>
                <w:rFonts w:ascii="宋体" w:hAnsi="宋体" w:cs="仿宋"/>
                <w:sz w:val="24"/>
              </w:rPr>
            </w:pPr>
            <w:r>
              <w:rPr>
                <w:rFonts w:hint="eastAsia" w:ascii="宋体" w:hAnsi="宋体" w:cs="仿宋"/>
                <w:sz w:val="24"/>
              </w:rPr>
              <w:t>12</w:t>
            </w:r>
          </w:p>
        </w:tc>
        <w:tc>
          <w:tcPr>
            <w:tcW w:w="2126" w:type="dxa"/>
            <w:vAlign w:val="center"/>
          </w:tcPr>
          <w:p w14:paraId="16E83ED3">
            <w:pPr>
              <w:spacing w:line="360" w:lineRule="auto"/>
              <w:jc w:val="center"/>
              <w:rPr>
                <w:rFonts w:ascii="宋体" w:hAnsi="宋体" w:cs="仿宋"/>
                <w:sz w:val="24"/>
              </w:rPr>
            </w:pPr>
            <w:r>
              <w:rPr>
                <w:rFonts w:hint="eastAsia" w:ascii="宋体" w:hAnsi="宋体" w:cs="仿宋"/>
                <w:sz w:val="24"/>
              </w:rPr>
              <w:t>投标人资格要求</w:t>
            </w:r>
          </w:p>
        </w:tc>
        <w:tc>
          <w:tcPr>
            <w:tcW w:w="7040" w:type="dxa"/>
            <w:vAlign w:val="center"/>
          </w:tcPr>
          <w:p w14:paraId="4C440B92">
            <w:pPr>
              <w:spacing w:line="360" w:lineRule="auto"/>
              <w:jc w:val="left"/>
              <w:rPr>
                <w:rFonts w:ascii="宋体" w:hAnsi="宋体" w:cs="仿宋"/>
                <w:sz w:val="24"/>
              </w:rPr>
            </w:pPr>
            <w:r>
              <w:rPr>
                <w:rFonts w:hint="eastAsia" w:ascii="宋体" w:hAnsi="宋体" w:cs="仿宋"/>
                <w:sz w:val="24"/>
              </w:rPr>
              <w:t>详见招标公告“二、申请人的资格要求：</w:t>
            </w:r>
          </w:p>
        </w:tc>
      </w:tr>
      <w:tr w14:paraId="6109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717AD854">
            <w:pPr>
              <w:spacing w:line="360" w:lineRule="auto"/>
              <w:jc w:val="center"/>
              <w:rPr>
                <w:rFonts w:hint="eastAsia" w:ascii="宋体" w:hAnsi="宋体" w:cs="仿宋"/>
                <w:sz w:val="24"/>
              </w:rPr>
            </w:pPr>
            <w:r>
              <w:rPr>
                <w:rFonts w:hint="eastAsia" w:ascii="宋体" w:hAnsi="宋体" w:cs="仿宋"/>
                <w:sz w:val="24"/>
              </w:rPr>
              <w:t>13.1</w:t>
            </w:r>
          </w:p>
        </w:tc>
        <w:tc>
          <w:tcPr>
            <w:tcW w:w="2126" w:type="dxa"/>
            <w:vAlign w:val="center"/>
          </w:tcPr>
          <w:p w14:paraId="10CA0C66">
            <w:pPr>
              <w:spacing w:line="360" w:lineRule="auto"/>
              <w:jc w:val="center"/>
              <w:rPr>
                <w:rFonts w:ascii="宋体" w:hAnsi="宋体" w:cs="仿宋"/>
                <w:sz w:val="24"/>
              </w:rPr>
            </w:pPr>
            <w:r>
              <w:rPr>
                <w:rFonts w:hint="eastAsia" w:ascii="宋体" w:hAnsi="宋体" w:cs="仿宋"/>
                <w:sz w:val="24"/>
              </w:rPr>
              <w:t>是否接受联合体投标</w:t>
            </w:r>
          </w:p>
        </w:tc>
        <w:tc>
          <w:tcPr>
            <w:tcW w:w="7040" w:type="dxa"/>
            <w:vAlign w:val="center"/>
          </w:tcPr>
          <w:p w14:paraId="324A5E87">
            <w:pPr>
              <w:spacing w:line="360" w:lineRule="auto"/>
              <w:rPr>
                <w:rFonts w:ascii="宋体" w:hAnsi="宋体" w:cs="仿宋"/>
                <w:sz w:val="24"/>
              </w:rPr>
            </w:pPr>
            <w:r>
              <w:rPr>
                <w:rFonts w:hint="eastAsia" w:ascii="宋体" w:hAnsi="宋体" w:cs="仿宋"/>
                <w:sz w:val="24"/>
              </w:rPr>
              <w:sym w:font="Wingdings 2" w:char="0052"/>
            </w:r>
            <w:r>
              <w:rPr>
                <w:rFonts w:hint="eastAsia" w:ascii="宋体" w:hAnsi="宋体" w:cs="仿宋"/>
                <w:sz w:val="24"/>
              </w:rPr>
              <w:t>不接受</w:t>
            </w:r>
          </w:p>
          <w:p w14:paraId="6A1920BB">
            <w:pPr>
              <w:spacing w:line="360" w:lineRule="auto"/>
              <w:rPr>
                <w:rFonts w:ascii="宋体" w:hAnsi="宋体" w:cs="仿宋"/>
                <w:sz w:val="24"/>
              </w:rPr>
            </w:pPr>
            <w:r>
              <w:rPr>
                <w:rFonts w:hint="eastAsia" w:ascii="宋体" w:hAnsi="宋体" w:cs="仿宋"/>
                <w:sz w:val="24"/>
              </w:rPr>
              <w:t>□接受</w:t>
            </w:r>
          </w:p>
        </w:tc>
      </w:tr>
      <w:tr w14:paraId="0C53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6EFEF28B">
            <w:pPr>
              <w:spacing w:line="360" w:lineRule="auto"/>
              <w:jc w:val="center"/>
              <w:rPr>
                <w:rFonts w:hint="eastAsia" w:ascii="宋体" w:hAnsi="宋体" w:cs="仿宋"/>
                <w:sz w:val="24"/>
              </w:rPr>
            </w:pPr>
            <w:r>
              <w:rPr>
                <w:rFonts w:hint="eastAsia" w:ascii="宋体" w:hAnsi="宋体" w:cs="仿宋"/>
                <w:sz w:val="24"/>
              </w:rPr>
              <w:t>13.2</w:t>
            </w:r>
          </w:p>
        </w:tc>
        <w:tc>
          <w:tcPr>
            <w:tcW w:w="2126" w:type="dxa"/>
            <w:vAlign w:val="center"/>
          </w:tcPr>
          <w:p w14:paraId="45ABBC9A">
            <w:pPr>
              <w:spacing w:line="360" w:lineRule="auto"/>
              <w:jc w:val="center"/>
              <w:rPr>
                <w:rFonts w:hint="eastAsia" w:ascii="宋体" w:hAnsi="宋体" w:cs="仿宋"/>
                <w:sz w:val="24"/>
              </w:rPr>
            </w:pPr>
            <w:r>
              <w:rPr>
                <w:rFonts w:hint="eastAsia" w:ascii="宋体" w:hAnsi="宋体" w:cs="仿宋"/>
                <w:sz w:val="24"/>
              </w:rPr>
              <w:t>是否接受进口产品</w:t>
            </w:r>
          </w:p>
        </w:tc>
        <w:tc>
          <w:tcPr>
            <w:tcW w:w="7040" w:type="dxa"/>
            <w:vAlign w:val="center"/>
          </w:tcPr>
          <w:p w14:paraId="5CD9C5B4">
            <w:pPr>
              <w:pStyle w:val="36"/>
              <w:shd w:val="clear" w:color="auto" w:fill="FFFFFF"/>
              <w:adjustRightInd w:val="0"/>
              <w:snapToGrid w:val="0"/>
              <w:spacing w:line="360" w:lineRule="auto"/>
              <w:rPr>
                <w:rFonts w:cs="仿宋"/>
                <w:bCs/>
              </w:rPr>
            </w:pPr>
            <w:r>
              <w:rPr>
                <w:rFonts w:hint="eastAsia" w:cs="仿宋"/>
              </w:rPr>
              <w:t>□</w:t>
            </w:r>
            <w:r>
              <w:rPr>
                <w:rFonts w:hint="eastAsia" w:cs="仿宋"/>
                <w:bCs/>
              </w:rPr>
              <w:t>是</w:t>
            </w:r>
          </w:p>
          <w:p w14:paraId="686F2E65">
            <w:pPr>
              <w:pStyle w:val="36"/>
              <w:shd w:val="clear" w:color="auto" w:fill="FFFFFF"/>
              <w:adjustRightInd w:val="0"/>
              <w:snapToGrid w:val="0"/>
              <w:spacing w:line="360" w:lineRule="auto"/>
              <w:rPr>
                <w:rFonts w:hint="eastAsia" w:cs="仿宋"/>
                <w:bCs/>
              </w:rPr>
            </w:pPr>
            <w:r>
              <w:rPr>
                <w:rFonts w:hint="eastAsia" w:cs="仿宋"/>
              </w:rPr>
              <w:sym w:font="Wingdings 2" w:char="0052"/>
            </w:r>
            <w:r>
              <w:rPr>
                <w:rFonts w:hint="eastAsia" w:cs="仿宋"/>
                <w:bCs/>
              </w:rPr>
              <w:t>否</w:t>
            </w:r>
          </w:p>
        </w:tc>
      </w:tr>
      <w:tr w14:paraId="378A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4279F37D">
            <w:pPr>
              <w:spacing w:line="360" w:lineRule="auto"/>
              <w:jc w:val="center"/>
              <w:rPr>
                <w:rFonts w:hint="eastAsia" w:ascii="宋体" w:hAnsi="宋体" w:cs="仿宋"/>
                <w:sz w:val="24"/>
              </w:rPr>
            </w:pPr>
            <w:r>
              <w:rPr>
                <w:rFonts w:hint="eastAsia" w:ascii="宋体" w:hAnsi="宋体" w:cs="仿宋"/>
                <w:sz w:val="24"/>
              </w:rPr>
              <w:t>13.3</w:t>
            </w:r>
          </w:p>
        </w:tc>
        <w:tc>
          <w:tcPr>
            <w:tcW w:w="2126" w:type="dxa"/>
            <w:vAlign w:val="center"/>
          </w:tcPr>
          <w:p w14:paraId="5B7EDCFF">
            <w:pPr>
              <w:spacing w:line="360" w:lineRule="auto"/>
              <w:jc w:val="center"/>
              <w:rPr>
                <w:rFonts w:hint="eastAsia" w:ascii="宋体" w:hAnsi="宋体" w:cs="仿宋"/>
                <w:sz w:val="24"/>
              </w:rPr>
            </w:pPr>
            <w:r>
              <w:rPr>
                <w:rFonts w:hint="eastAsia" w:ascii="宋体" w:hAnsi="宋体" w:cs="仿宋"/>
                <w:sz w:val="24"/>
              </w:rPr>
              <w:t>是否专门面向中小企业</w:t>
            </w:r>
          </w:p>
        </w:tc>
        <w:tc>
          <w:tcPr>
            <w:tcW w:w="7040" w:type="dxa"/>
            <w:vAlign w:val="center"/>
          </w:tcPr>
          <w:p w14:paraId="1F6F852F">
            <w:pPr>
              <w:pStyle w:val="36"/>
              <w:shd w:val="clear" w:color="auto" w:fill="FFFFFF"/>
              <w:adjustRightInd w:val="0"/>
              <w:snapToGrid w:val="0"/>
              <w:spacing w:line="360" w:lineRule="auto"/>
              <w:rPr>
                <w:rFonts w:cs="仿宋"/>
                <w:bCs/>
              </w:rPr>
            </w:pPr>
            <w:r>
              <w:rPr>
                <w:rFonts w:hint="eastAsia" w:cs="仿宋"/>
              </w:rPr>
              <w:t>□</w:t>
            </w:r>
            <w:r>
              <w:rPr>
                <w:rFonts w:hint="eastAsia" w:cs="仿宋"/>
                <w:bCs/>
              </w:rPr>
              <w:t>是</w:t>
            </w:r>
          </w:p>
          <w:p w14:paraId="2CF113A1">
            <w:pPr>
              <w:pStyle w:val="36"/>
              <w:shd w:val="clear" w:color="auto" w:fill="FFFFFF"/>
              <w:adjustRightInd w:val="0"/>
              <w:snapToGrid w:val="0"/>
              <w:spacing w:line="360" w:lineRule="auto"/>
              <w:rPr>
                <w:rFonts w:hint="eastAsia" w:cs="仿宋"/>
                <w:bCs/>
              </w:rPr>
            </w:pPr>
            <w:r>
              <w:rPr>
                <w:rFonts w:hint="eastAsia" w:cs="仿宋"/>
              </w:rPr>
              <w:sym w:font="Wingdings 2" w:char="0052"/>
            </w:r>
            <w:r>
              <w:rPr>
                <w:rFonts w:hint="eastAsia" w:cs="仿宋"/>
                <w:bCs/>
              </w:rPr>
              <w:t>否</w:t>
            </w:r>
          </w:p>
        </w:tc>
      </w:tr>
      <w:tr w14:paraId="6C41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46BC467A">
            <w:pPr>
              <w:spacing w:line="360" w:lineRule="auto"/>
              <w:jc w:val="center"/>
              <w:rPr>
                <w:rFonts w:ascii="宋体" w:hAnsi="宋体" w:cs="仿宋"/>
                <w:sz w:val="24"/>
              </w:rPr>
            </w:pPr>
            <w:r>
              <w:rPr>
                <w:rFonts w:hint="eastAsia" w:ascii="宋体" w:hAnsi="宋体" w:cs="仿宋"/>
                <w:sz w:val="24"/>
              </w:rPr>
              <w:t>14</w:t>
            </w:r>
          </w:p>
        </w:tc>
        <w:tc>
          <w:tcPr>
            <w:tcW w:w="2126" w:type="dxa"/>
            <w:vAlign w:val="center"/>
          </w:tcPr>
          <w:p w14:paraId="3FE89B40">
            <w:pPr>
              <w:spacing w:line="360" w:lineRule="auto"/>
              <w:jc w:val="center"/>
              <w:rPr>
                <w:rFonts w:ascii="宋体" w:hAnsi="宋体" w:cs="仿宋"/>
                <w:sz w:val="24"/>
              </w:rPr>
            </w:pPr>
            <w:r>
              <w:rPr>
                <w:rFonts w:hint="eastAsia" w:ascii="宋体" w:hAnsi="宋体" w:cs="仿宋"/>
                <w:sz w:val="24"/>
              </w:rPr>
              <w:t>踏勘现场及答疑</w:t>
            </w:r>
          </w:p>
        </w:tc>
        <w:tc>
          <w:tcPr>
            <w:tcW w:w="7040" w:type="dxa"/>
            <w:vAlign w:val="center"/>
          </w:tcPr>
          <w:p w14:paraId="5998B36D">
            <w:pPr>
              <w:spacing w:line="360" w:lineRule="auto"/>
              <w:rPr>
                <w:rFonts w:ascii="宋体" w:hAnsi="宋体" w:cs="仿宋"/>
                <w:sz w:val="24"/>
              </w:rPr>
            </w:pPr>
            <w:r>
              <w:rPr>
                <w:rFonts w:hint="eastAsia" w:ascii="宋体" w:hAnsi="宋体" w:cs="仿宋"/>
                <w:sz w:val="24"/>
              </w:rPr>
              <w:sym w:font="Wingdings 2" w:char="0052"/>
            </w:r>
            <w:r>
              <w:rPr>
                <w:rFonts w:hint="eastAsia" w:ascii="宋体" w:hAnsi="宋体" w:cs="仿宋"/>
                <w:sz w:val="24"/>
              </w:rPr>
              <w:t>不组织</w:t>
            </w:r>
          </w:p>
          <w:p w14:paraId="522839E2">
            <w:pPr>
              <w:spacing w:line="360" w:lineRule="auto"/>
              <w:rPr>
                <w:rFonts w:ascii="宋体" w:hAnsi="宋体" w:cs="仿宋"/>
                <w:sz w:val="24"/>
              </w:rPr>
            </w:pPr>
            <w:r>
              <w:rPr>
                <w:rFonts w:hint="eastAsia" w:ascii="宋体" w:hAnsi="宋体" w:cs="仿宋"/>
                <w:sz w:val="24"/>
              </w:rPr>
              <w:t>□组织</w:t>
            </w:r>
          </w:p>
        </w:tc>
      </w:tr>
      <w:tr w14:paraId="0732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25CF01C9">
            <w:pPr>
              <w:spacing w:line="360" w:lineRule="auto"/>
              <w:jc w:val="center"/>
              <w:rPr>
                <w:rFonts w:ascii="宋体" w:hAnsi="宋体" w:cs="仿宋"/>
                <w:sz w:val="24"/>
              </w:rPr>
            </w:pPr>
            <w:r>
              <w:rPr>
                <w:rFonts w:hint="eastAsia" w:ascii="宋体" w:hAnsi="宋体" w:cs="仿宋"/>
                <w:sz w:val="24"/>
              </w:rPr>
              <w:t>15</w:t>
            </w:r>
          </w:p>
        </w:tc>
        <w:tc>
          <w:tcPr>
            <w:tcW w:w="2126" w:type="dxa"/>
            <w:vAlign w:val="center"/>
          </w:tcPr>
          <w:p w14:paraId="11843531">
            <w:pPr>
              <w:spacing w:line="360" w:lineRule="auto"/>
              <w:jc w:val="center"/>
              <w:rPr>
                <w:rFonts w:ascii="宋体" w:hAnsi="宋体" w:cs="仿宋"/>
                <w:sz w:val="24"/>
              </w:rPr>
            </w:pPr>
            <w:r>
              <w:rPr>
                <w:rFonts w:hint="eastAsia" w:ascii="宋体" w:hAnsi="宋体" w:cs="仿宋"/>
                <w:sz w:val="24"/>
              </w:rPr>
              <w:t>投标预备会</w:t>
            </w:r>
          </w:p>
        </w:tc>
        <w:tc>
          <w:tcPr>
            <w:tcW w:w="7040" w:type="dxa"/>
            <w:vAlign w:val="center"/>
          </w:tcPr>
          <w:p w14:paraId="17F962FC">
            <w:pPr>
              <w:spacing w:line="360" w:lineRule="auto"/>
              <w:rPr>
                <w:rFonts w:ascii="宋体" w:hAnsi="宋体" w:cs="仿宋"/>
                <w:sz w:val="24"/>
              </w:rPr>
            </w:pPr>
            <w:r>
              <w:rPr>
                <w:rFonts w:hint="eastAsia" w:ascii="宋体" w:hAnsi="宋体" w:cs="仿宋"/>
                <w:sz w:val="24"/>
              </w:rPr>
              <w:sym w:font="Wingdings 2" w:char="0052"/>
            </w:r>
            <w:r>
              <w:rPr>
                <w:rFonts w:hint="eastAsia" w:ascii="宋体" w:hAnsi="宋体" w:cs="仿宋"/>
                <w:sz w:val="24"/>
              </w:rPr>
              <w:t>不召开</w:t>
            </w:r>
          </w:p>
          <w:p w14:paraId="55570A47">
            <w:pPr>
              <w:spacing w:line="360" w:lineRule="auto"/>
              <w:rPr>
                <w:rFonts w:ascii="宋体" w:hAnsi="宋体" w:cs="仿宋"/>
                <w:sz w:val="24"/>
              </w:rPr>
            </w:pPr>
            <w:r>
              <w:rPr>
                <w:rFonts w:hint="eastAsia" w:ascii="宋体" w:hAnsi="宋体" w:cs="仿宋"/>
                <w:sz w:val="24"/>
              </w:rPr>
              <w:t>□召开</w:t>
            </w:r>
          </w:p>
        </w:tc>
      </w:tr>
      <w:tr w14:paraId="19FB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2B7B1E6D">
            <w:pPr>
              <w:spacing w:line="360" w:lineRule="auto"/>
              <w:jc w:val="center"/>
              <w:rPr>
                <w:rFonts w:ascii="宋体" w:hAnsi="宋体" w:cs="仿宋"/>
                <w:sz w:val="24"/>
              </w:rPr>
            </w:pPr>
            <w:r>
              <w:rPr>
                <w:rFonts w:hint="eastAsia" w:ascii="宋体" w:hAnsi="宋体" w:cs="仿宋"/>
                <w:sz w:val="24"/>
              </w:rPr>
              <w:t>16</w:t>
            </w:r>
          </w:p>
        </w:tc>
        <w:tc>
          <w:tcPr>
            <w:tcW w:w="2126" w:type="dxa"/>
            <w:vAlign w:val="center"/>
          </w:tcPr>
          <w:p w14:paraId="2D4B0E78">
            <w:pPr>
              <w:spacing w:line="360" w:lineRule="auto"/>
              <w:jc w:val="center"/>
              <w:rPr>
                <w:rFonts w:ascii="宋体" w:hAnsi="宋体" w:cs="仿宋"/>
                <w:sz w:val="24"/>
              </w:rPr>
            </w:pPr>
            <w:r>
              <w:rPr>
                <w:rFonts w:hint="eastAsia" w:ascii="宋体" w:hAnsi="宋体" w:cs="仿宋"/>
                <w:sz w:val="24"/>
              </w:rPr>
              <w:t>技术偏离</w:t>
            </w:r>
          </w:p>
        </w:tc>
        <w:tc>
          <w:tcPr>
            <w:tcW w:w="7040" w:type="dxa"/>
            <w:vAlign w:val="center"/>
          </w:tcPr>
          <w:p w14:paraId="3376E763">
            <w:pPr>
              <w:spacing w:line="360" w:lineRule="auto"/>
              <w:rPr>
                <w:rFonts w:ascii="宋体" w:hAnsi="宋体" w:cs="仿宋"/>
                <w:sz w:val="24"/>
              </w:rPr>
            </w:pPr>
            <w:r>
              <w:rPr>
                <w:rFonts w:hint="eastAsia" w:ascii="宋体" w:hAnsi="宋体" w:cs="仿宋"/>
                <w:sz w:val="24"/>
              </w:rPr>
              <w:t>□不允许</w:t>
            </w:r>
          </w:p>
          <w:p w14:paraId="739799FA">
            <w:pPr>
              <w:spacing w:line="360" w:lineRule="auto"/>
              <w:rPr>
                <w:rFonts w:ascii="宋体" w:hAnsi="宋体" w:cs="仿宋"/>
                <w:sz w:val="24"/>
              </w:rPr>
            </w:pPr>
            <w:r>
              <w:rPr>
                <w:rFonts w:hint="eastAsia" w:ascii="宋体" w:hAnsi="宋体" w:cs="仿宋"/>
                <w:sz w:val="24"/>
              </w:rPr>
              <w:sym w:font="Wingdings 2" w:char="0052"/>
            </w:r>
            <w:r>
              <w:rPr>
                <w:rFonts w:hint="eastAsia" w:ascii="宋体" w:hAnsi="宋体" w:cs="仿宋"/>
                <w:sz w:val="24"/>
              </w:rPr>
              <w:t>允许</w:t>
            </w:r>
          </w:p>
        </w:tc>
      </w:tr>
      <w:tr w14:paraId="2350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4" w:type="dxa"/>
            <w:vAlign w:val="center"/>
          </w:tcPr>
          <w:p w14:paraId="4DD2A1E5">
            <w:pPr>
              <w:spacing w:line="360" w:lineRule="auto"/>
              <w:jc w:val="center"/>
              <w:rPr>
                <w:rFonts w:ascii="宋体" w:hAnsi="宋体" w:cs="仿宋"/>
                <w:sz w:val="24"/>
              </w:rPr>
            </w:pPr>
            <w:r>
              <w:rPr>
                <w:rFonts w:hint="eastAsia" w:ascii="宋体" w:hAnsi="宋体" w:cs="仿宋"/>
                <w:sz w:val="24"/>
              </w:rPr>
              <w:t>17</w:t>
            </w:r>
          </w:p>
        </w:tc>
        <w:tc>
          <w:tcPr>
            <w:tcW w:w="2126" w:type="dxa"/>
            <w:vAlign w:val="center"/>
          </w:tcPr>
          <w:p w14:paraId="24999F44">
            <w:pPr>
              <w:spacing w:line="360" w:lineRule="auto"/>
              <w:jc w:val="center"/>
              <w:rPr>
                <w:rFonts w:ascii="宋体" w:hAnsi="宋体" w:cs="仿宋"/>
                <w:sz w:val="24"/>
              </w:rPr>
            </w:pPr>
            <w:r>
              <w:rPr>
                <w:rFonts w:hint="eastAsia" w:ascii="宋体" w:hAnsi="宋体" w:cs="仿宋"/>
                <w:sz w:val="24"/>
              </w:rPr>
              <w:t>构成招标文件的其他材料</w:t>
            </w:r>
          </w:p>
        </w:tc>
        <w:tc>
          <w:tcPr>
            <w:tcW w:w="7040" w:type="dxa"/>
            <w:vAlign w:val="center"/>
          </w:tcPr>
          <w:p w14:paraId="347FBBB6">
            <w:pPr>
              <w:spacing w:line="360" w:lineRule="auto"/>
              <w:rPr>
                <w:rFonts w:ascii="宋体" w:hAnsi="宋体" w:cs="仿宋"/>
                <w:sz w:val="24"/>
              </w:rPr>
            </w:pPr>
            <w:r>
              <w:rPr>
                <w:rFonts w:hint="eastAsia" w:ascii="宋体" w:hAnsi="宋体" w:cs="仿宋"/>
                <w:sz w:val="24"/>
              </w:rPr>
              <w:t>与本项目有关的解答、澄清、修改与补充等</w:t>
            </w:r>
          </w:p>
        </w:tc>
      </w:tr>
      <w:tr w14:paraId="030C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4" w:type="dxa"/>
            <w:vAlign w:val="center"/>
          </w:tcPr>
          <w:p w14:paraId="752B1C08">
            <w:pPr>
              <w:spacing w:line="360" w:lineRule="auto"/>
              <w:jc w:val="center"/>
              <w:rPr>
                <w:rFonts w:ascii="宋体" w:hAnsi="宋体" w:cs="仿宋"/>
                <w:sz w:val="24"/>
              </w:rPr>
            </w:pPr>
            <w:r>
              <w:rPr>
                <w:rFonts w:hint="eastAsia" w:ascii="宋体" w:hAnsi="宋体" w:cs="仿宋"/>
                <w:sz w:val="24"/>
              </w:rPr>
              <w:t>18</w:t>
            </w:r>
          </w:p>
        </w:tc>
        <w:tc>
          <w:tcPr>
            <w:tcW w:w="2126" w:type="dxa"/>
            <w:vAlign w:val="center"/>
          </w:tcPr>
          <w:p w14:paraId="11DF470F">
            <w:pPr>
              <w:spacing w:line="360" w:lineRule="auto"/>
              <w:jc w:val="center"/>
              <w:rPr>
                <w:rFonts w:ascii="宋体" w:hAnsi="宋体" w:cs="仿宋"/>
                <w:sz w:val="24"/>
              </w:rPr>
            </w:pPr>
            <w:r>
              <w:rPr>
                <w:rFonts w:hint="eastAsia" w:ascii="宋体" w:hAnsi="宋体" w:cs="仿宋"/>
                <w:sz w:val="24"/>
              </w:rPr>
              <w:t>投标人要求澄清招标文件的截止时间</w:t>
            </w:r>
          </w:p>
        </w:tc>
        <w:tc>
          <w:tcPr>
            <w:tcW w:w="7040" w:type="dxa"/>
            <w:vAlign w:val="center"/>
          </w:tcPr>
          <w:p w14:paraId="3DB5D082">
            <w:pPr>
              <w:spacing w:line="360" w:lineRule="auto"/>
              <w:jc w:val="left"/>
              <w:rPr>
                <w:rFonts w:ascii="宋体" w:hAnsi="宋体" w:cs="仿宋"/>
                <w:sz w:val="24"/>
              </w:rPr>
            </w:pPr>
            <w:r>
              <w:rPr>
                <w:rFonts w:hint="eastAsia" w:ascii="宋体" w:hAnsi="宋体" w:cs="仿宋"/>
                <w:sz w:val="24"/>
              </w:rPr>
              <w:t>自获取招标文件之日或招标文件公告期限届满之日起7个工作日内，在电子交易系统中提出。</w:t>
            </w:r>
          </w:p>
        </w:tc>
      </w:tr>
      <w:tr w14:paraId="5F8F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4" w:type="dxa"/>
            <w:vAlign w:val="center"/>
          </w:tcPr>
          <w:p w14:paraId="1FC839D8">
            <w:pPr>
              <w:spacing w:line="360" w:lineRule="auto"/>
              <w:jc w:val="center"/>
              <w:rPr>
                <w:rFonts w:ascii="宋体" w:hAnsi="宋体" w:cs="仿宋"/>
                <w:sz w:val="24"/>
              </w:rPr>
            </w:pPr>
            <w:r>
              <w:rPr>
                <w:rFonts w:hint="eastAsia" w:ascii="宋体" w:hAnsi="宋体" w:cs="仿宋"/>
                <w:sz w:val="24"/>
              </w:rPr>
              <w:t>19</w:t>
            </w:r>
          </w:p>
        </w:tc>
        <w:tc>
          <w:tcPr>
            <w:tcW w:w="2126" w:type="dxa"/>
            <w:vAlign w:val="center"/>
          </w:tcPr>
          <w:p w14:paraId="5F5FCB84">
            <w:pPr>
              <w:spacing w:line="360" w:lineRule="auto"/>
              <w:jc w:val="center"/>
              <w:rPr>
                <w:rFonts w:ascii="宋体" w:hAnsi="宋体" w:cs="仿宋"/>
                <w:sz w:val="24"/>
              </w:rPr>
            </w:pPr>
            <w:r>
              <w:rPr>
                <w:rFonts w:hint="eastAsia" w:ascii="宋体" w:hAnsi="宋体" w:cs="仿宋"/>
                <w:sz w:val="24"/>
              </w:rPr>
              <w:t>投标截止时间</w:t>
            </w:r>
          </w:p>
        </w:tc>
        <w:tc>
          <w:tcPr>
            <w:tcW w:w="7040" w:type="dxa"/>
            <w:vAlign w:val="center"/>
          </w:tcPr>
          <w:p w14:paraId="790F72B2">
            <w:pPr>
              <w:spacing w:line="360" w:lineRule="auto"/>
              <w:rPr>
                <w:rFonts w:ascii="宋体" w:hAnsi="宋体" w:cs="仿宋"/>
                <w:sz w:val="24"/>
              </w:rPr>
            </w:pPr>
            <w:r>
              <w:rPr>
                <w:rFonts w:hint="eastAsia" w:ascii="宋体" w:hAnsi="宋体" w:cs="仿宋"/>
                <w:sz w:val="24"/>
              </w:rPr>
              <w:t>投标截止时间:</w:t>
            </w:r>
            <w:r>
              <w:rPr>
                <w:rFonts w:hint="eastAsia"/>
              </w:rPr>
              <w:t xml:space="preserve"> </w:t>
            </w:r>
            <w:r>
              <w:rPr>
                <w:rFonts w:hint="eastAsia" w:ascii="宋体" w:hAnsi="宋体" w:cs="仿宋"/>
                <w:sz w:val="24"/>
              </w:rPr>
              <w:t>2025年8月25日09时00分（北京时间）</w:t>
            </w:r>
          </w:p>
          <w:p w14:paraId="60B01E82">
            <w:pPr>
              <w:spacing w:line="360" w:lineRule="auto"/>
              <w:rPr>
                <w:rFonts w:ascii="宋体" w:hAnsi="宋体" w:cs="仿宋"/>
                <w:sz w:val="24"/>
              </w:rPr>
            </w:pPr>
            <w:r>
              <w:rPr>
                <w:rFonts w:hint="eastAsia" w:ascii="宋体" w:hAnsi="宋体" w:cs="仿宋"/>
                <w:sz w:val="24"/>
              </w:rPr>
              <w:t>注：全面实行在线“不见面”开标，投标人远程在线解密投标文件，不再到开标现场，投标人开标前应仔细阅读《“不见面”开标注意事项及操作流程》。</w:t>
            </w:r>
          </w:p>
        </w:tc>
      </w:tr>
      <w:tr w14:paraId="796F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4" w:type="dxa"/>
            <w:vAlign w:val="center"/>
          </w:tcPr>
          <w:p w14:paraId="16AB77E6">
            <w:pPr>
              <w:spacing w:line="360" w:lineRule="auto"/>
              <w:jc w:val="center"/>
              <w:rPr>
                <w:rFonts w:ascii="宋体" w:hAnsi="宋体" w:cs="仿宋"/>
                <w:sz w:val="24"/>
              </w:rPr>
            </w:pPr>
            <w:r>
              <w:rPr>
                <w:rFonts w:hint="eastAsia" w:ascii="宋体" w:hAnsi="宋体" w:cs="仿宋"/>
                <w:sz w:val="24"/>
              </w:rPr>
              <w:t>20</w:t>
            </w:r>
          </w:p>
        </w:tc>
        <w:tc>
          <w:tcPr>
            <w:tcW w:w="2126" w:type="dxa"/>
            <w:vAlign w:val="center"/>
          </w:tcPr>
          <w:p w14:paraId="4B237C82">
            <w:pPr>
              <w:spacing w:line="360" w:lineRule="auto"/>
              <w:jc w:val="center"/>
              <w:rPr>
                <w:rFonts w:ascii="宋体" w:hAnsi="宋体" w:cs="仿宋"/>
                <w:sz w:val="24"/>
              </w:rPr>
            </w:pPr>
            <w:r>
              <w:rPr>
                <w:rFonts w:hint="eastAsia" w:ascii="宋体" w:hAnsi="宋体" w:cs="仿宋"/>
                <w:sz w:val="24"/>
              </w:rPr>
              <w:t>投标有效期</w:t>
            </w:r>
          </w:p>
        </w:tc>
        <w:tc>
          <w:tcPr>
            <w:tcW w:w="7040" w:type="dxa"/>
            <w:vAlign w:val="center"/>
          </w:tcPr>
          <w:p w14:paraId="2B6C6BC8">
            <w:pPr>
              <w:spacing w:line="360" w:lineRule="auto"/>
              <w:jc w:val="left"/>
              <w:rPr>
                <w:rFonts w:ascii="宋体" w:hAnsi="宋体" w:cs="仿宋"/>
                <w:sz w:val="24"/>
              </w:rPr>
            </w:pPr>
            <w:r>
              <w:rPr>
                <w:rFonts w:hint="eastAsia" w:ascii="宋体" w:hAnsi="宋体" w:cs="仿宋"/>
                <w:sz w:val="24"/>
              </w:rPr>
              <w:t>自投标截止之日起90日历天</w:t>
            </w:r>
          </w:p>
        </w:tc>
      </w:tr>
      <w:tr w14:paraId="63A7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4" w:type="dxa"/>
            <w:vAlign w:val="center"/>
          </w:tcPr>
          <w:p w14:paraId="4B9A7696">
            <w:pPr>
              <w:spacing w:line="360" w:lineRule="auto"/>
              <w:jc w:val="center"/>
              <w:rPr>
                <w:rFonts w:ascii="宋体" w:hAnsi="宋体" w:cs="仿宋"/>
                <w:sz w:val="24"/>
              </w:rPr>
            </w:pPr>
            <w:r>
              <w:rPr>
                <w:rFonts w:hint="eastAsia" w:ascii="宋体" w:hAnsi="宋体" w:cs="仿宋"/>
                <w:sz w:val="24"/>
              </w:rPr>
              <w:t>21</w:t>
            </w:r>
          </w:p>
        </w:tc>
        <w:tc>
          <w:tcPr>
            <w:tcW w:w="2126" w:type="dxa"/>
            <w:vAlign w:val="center"/>
          </w:tcPr>
          <w:p w14:paraId="7FC435ED">
            <w:pPr>
              <w:spacing w:line="360" w:lineRule="auto"/>
              <w:jc w:val="center"/>
              <w:rPr>
                <w:rFonts w:ascii="宋体" w:hAnsi="宋体" w:cs="仿宋"/>
                <w:sz w:val="24"/>
              </w:rPr>
            </w:pPr>
            <w:r>
              <w:rPr>
                <w:rFonts w:hint="eastAsia" w:ascii="宋体" w:hAnsi="宋体" w:cs="仿宋"/>
                <w:sz w:val="24"/>
              </w:rPr>
              <w:t>投标保证金</w:t>
            </w:r>
          </w:p>
        </w:tc>
        <w:tc>
          <w:tcPr>
            <w:tcW w:w="7040" w:type="dxa"/>
            <w:vAlign w:val="center"/>
          </w:tcPr>
          <w:p w14:paraId="2555B258">
            <w:pPr>
              <w:spacing w:line="360" w:lineRule="auto"/>
              <w:rPr>
                <w:rFonts w:ascii="宋体" w:hAnsi="宋体" w:cs="仿宋"/>
                <w:sz w:val="24"/>
              </w:rPr>
            </w:pPr>
            <w:r>
              <w:rPr>
                <w:rFonts w:hint="eastAsia" w:ascii="宋体" w:hAnsi="宋体" w:cs="仿宋"/>
                <w:sz w:val="24"/>
              </w:rPr>
              <w:t>根据“河南省财政厅关于优化政府采购营商环境有关问题的通知”豫财购〔2019〕4 号文中“(六)降低投标人参与政府采购活动交易成本”的规定，该项目不收取投标保证金。</w:t>
            </w:r>
          </w:p>
        </w:tc>
      </w:tr>
      <w:tr w14:paraId="2507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32B868BC">
            <w:pPr>
              <w:spacing w:line="360" w:lineRule="auto"/>
              <w:jc w:val="center"/>
              <w:rPr>
                <w:rFonts w:ascii="宋体" w:hAnsi="宋体" w:cs="仿宋"/>
                <w:sz w:val="24"/>
              </w:rPr>
            </w:pPr>
            <w:r>
              <w:rPr>
                <w:rFonts w:hint="eastAsia" w:ascii="宋体" w:hAnsi="宋体" w:cs="仿宋"/>
                <w:sz w:val="24"/>
              </w:rPr>
              <w:t>22</w:t>
            </w:r>
          </w:p>
        </w:tc>
        <w:tc>
          <w:tcPr>
            <w:tcW w:w="2126" w:type="dxa"/>
            <w:vAlign w:val="center"/>
          </w:tcPr>
          <w:p w14:paraId="6796CE95">
            <w:pPr>
              <w:pStyle w:val="36"/>
              <w:spacing w:line="360" w:lineRule="auto"/>
              <w:jc w:val="center"/>
              <w:rPr>
                <w:rFonts w:cs="仿宋"/>
              </w:rPr>
            </w:pPr>
            <w:r>
              <w:rPr>
                <w:rFonts w:hint="eastAsia" w:cs="仿宋"/>
                <w:bCs/>
                <w:lang w:val="zh-CN"/>
              </w:rPr>
              <w:t>电子化投标文件的签章要求</w:t>
            </w:r>
          </w:p>
        </w:tc>
        <w:tc>
          <w:tcPr>
            <w:tcW w:w="7040" w:type="dxa"/>
            <w:vAlign w:val="center"/>
          </w:tcPr>
          <w:p w14:paraId="1F80259D">
            <w:pPr>
              <w:spacing w:line="360" w:lineRule="auto"/>
              <w:rPr>
                <w:rFonts w:ascii="宋体" w:hAnsi="宋体" w:cs="仿宋"/>
                <w:sz w:val="24"/>
              </w:rPr>
            </w:pPr>
            <w:r>
              <w:rPr>
                <w:rFonts w:hint="eastAsia" w:ascii="宋体" w:hAnsi="宋体" w:cs="仿宋"/>
                <w:sz w:val="24"/>
              </w:rPr>
              <w:t>电子化投标文件的签章</w:t>
            </w:r>
          </w:p>
          <w:p w14:paraId="122FB8B4">
            <w:pPr>
              <w:spacing w:line="360" w:lineRule="auto"/>
              <w:ind w:firstLine="480" w:firstLineChars="200"/>
              <w:rPr>
                <w:rFonts w:ascii="宋体" w:hAnsi="宋体" w:cs="仿宋"/>
                <w:sz w:val="24"/>
              </w:rPr>
            </w:pPr>
            <w:r>
              <w:rPr>
                <w:rFonts w:hint="eastAsia" w:ascii="宋体" w:hAnsi="宋体" w:cs="仿宋"/>
                <w:sz w:val="24"/>
              </w:rPr>
              <w:t>1、投标人在生成电子化投标文件后，应对电子化投标文件进行签章，未进行签章的视为无效投标。</w:t>
            </w:r>
          </w:p>
          <w:p w14:paraId="4BCD7B80">
            <w:pPr>
              <w:spacing w:line="360" w:lineRule="auto"/>
              <w:ind w:firstLine="480" w:firstLineChars="200"/>
              <w:rPr>
                <w:rFonts w:ascii="宋体" w:hAnsi="宋体" w:cs="仿宋"/>
                <w:sz w:val="24"/>
              </w:rPr>
            </w:pPr>
            <w:r>
              <w:rPr>
                <w:rFonts w:hint="eastAsia" w:ascii="宋体" w:hAnsi="宋体" w:cs="仿宋"/>
                <w:sz w:val="24"/>
              </w:rPr>
              <w:t>2、投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件下载”中查看。</w:t>
            </w:r>
          </w:p>
        </w:tc>
      </w:tr>
      <w:tr w14:paraId="5425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348A10D9">
            <w:pPr>
              <w:spacing w:line="360" w:lineRule="auto"/>
              <w:jc w:val="center"/>
              <w:rPr>
                <w:rFonts w:ascii="宋体" w:hAnsi="宋体" w:cs="仿宋"/>
                <w:sz w:val="24"/>
              </w:rPr>
            </w:pPr>
            <w:r>
              <w:rPr>
                <w:rFonts w:hint="eastAsia" w:ascii="宋体" w:hAnsi="宋体" w:cs="仿宋"/>
                <w:sz w:val="24"/>
              </w:rPr>
              <w:t>23</w:t>
            </w:r>
          </w:p>
        </w:tc>
        <w:tc>
          <w:tcPr>
            <w:tcW w:w="2126" w:type="dxa"/>
            <w:vAlign w:val="center"/>
          </w:tcPr>
          <w:p w14:paraId="2FB51A97">
            <w:pPr>
              <w:spacing w:line="360" w:lineRule="auto"/>
              <w:jc w:val="center"/>
              <w:rPr>
                <w:rFonts w:ascii="宋体" w:hAnsi="宋体" w:cs="仿宋"/>
                <w:sz w:val="24"/>
              </w:rPr>
            </w:pPr>
            <w:r>
              <w:rPr>
                <w:rFonts w:hint="eastAsia" w:ascii="宋体" w:hAnsi="宋体" w:cs="仿宋"/>
                <w:bCs/>
                <w:sz w:val="24"/>
                <w:lang w:val="zh-CN"/>
              </w:rPr>
              <w:t>投标文件格式及递交方式</w:t>
            </w:r>
          </w:p>
        </w:tc>
        <w:tc>
          <w:tcPr>
            <w:tcW w:w="7040" w:type="dxa"/>
            <w:vAlign w:val="center"/>
          </w:tcPr>
          <w:p w14:paraId="51C9F0D1">
            <w:pPr>
              <w:spacing w:line="360" w:lineRule="auto"/>
              <w:ind w:firstLine="480" w:firstLineChars="200"/>
              <w:rPr>
                <w:rFonts w:ascii="宋体" w:hAnsi="宋体" w:cs="仿宋"/>
                <w:sz w:val="24"/>
                <w:lang w:val="zh-CN"/>
              </w:rPr>
            </w:pPr>
            <w:r>
              <w:rPr>
                <w:rFonts w:hint="eastAsia" w:ascii="宋体" w:hAnsi="宋体" w:cs="仿宋"/>
                <w:sz w:val="24"/>
                <w:lang w:val="zh-CN"/>
              </w:rPr>
              <w:t>投标人所上传的电子化投标文件，应是通过中心投标文件制作系统制作的，经过签章和加密后生成的电子版投标文件。生成的电子版响应文件中的主文件（项目文件格式为：xxx公司_ 项目名称.file）上传至</w:t>
            </w:r>
            <w:r>
              <w:rPr>
                <w:rFonts w:hint="eastAsia" w:ascii="宋体" w:hAnsi="宋体" w:cs="仿宋"/>
                <w:sz w:val="24"/>
              </w:rPr>
              <w:t>全国公共资源交易平台（河南省.平顶山市）电子交易系统</w:t>
            </w:r>
            <w:r>
              <w:rPr>
                <w:rFonts w:hint="eastAsia" w:ascii="宋体" w:hAnsi="宋体" w:cs="仿宋"/>
                <w:sz w:val="24"/>
                <w:lang w:val="zh-CN"/>
              </w:rPr>
              <w:t>；</w:t>
            </w:r>
          </w:p>
          <w:p w14:paraId="4B285339">
            <w:pPr>
              <w:spacing w:line="360" w:lineRule="auto"/>
              <w:ind w:firstLine="480" w:firstLineChars="200"/>
              <w:rPr>
                <w:rFonts w:ascii="宋体" w:hAnsi="宋体" w:cs="仿宋"/>
                <w:sz w:val="24"/>
              </w:rPr>
            </w:pPr>
            <w:r>
              <w:rPr>
                <w:rFonts w:hint="eastAsia" w:ascii="宋体" w:hAnsi="宋体" w:cs="仿宋"/>
                <w:sz w:val="24"/>
              </w:rPr>
              <w:t>注：（1）投标人投报多个标段的，根据标段制作各个标段的投标文件后上传。</w:t>
            </w:r>
          </w:p>
          <w:p w14:paraId="650D8E9E">
            <w:pPr>
              <w:spacing w:line="360" w:lineRule="auto"/>
              <w:ind w:firstLine="480" w:firstLineChars="200"/>
              <w:rPr>
                <w:rFonts w:ascii="宋体" w:hAnsi="宋体" w:cs="仿宋"/>
                <w:sz w:val="24"/>
              </w:rPr>
            </w:pPr>
            <w:r>
              <w:rPr>
                <w:rFonts w:hint="eastAsia" w:ascii="宋体" w:hAnsi="宋体" w:cs="仿宋"/>
                <w:sz w:val="24"/>
              </w:rPr>
              <w:t>（2）电子化投标文件应在投标截止时间前成功上传至全国公共资源交易平台（河南省.平顶山市）电子交易系统。至投标截止时间止，仍未上传成功的电子化投标文件将不予接收。（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14:paraId="5AE9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04" w:type="dxa"/>
            <w:vAlign w:val="center"/>
          </w:tcPr>
          <w:p w14:paraId="30386F50">
            <w:pPr>
              <w:spacing w:line="360" w:lineRule="auto"/>
              <w:jc w:val="center"/>
              <w:rPr>
                <w:rFonts w:ascii="宋体" w:hAnsi="宋体" w:cs="仿宋"/>
                <w:sz w:val="24"/>
              </w:rPr>
            </w:pPr>
            <w:r>
              <w:rPr>
                <w:rFonts w:hint="eastAsia" w:ascii="宋体" w:hAnsi="宋体" w:cs="仿宋"/>
                <w:sz w:val="24"/>
              </w:rPr>
              <w:t>24</w:t>
            </w:r>
          </w:p>
        </w:tc>
        <w:tc>
          <w:tcPr>
            <w:tcW w:w="2126" w:type="dxa"/>
            <w:vAlign w:val="center"/>
          </w:tcPr>
          <w:p w14:paraId="00132DA7">
            <w:pPr>
              <w:spacing w:line="360" w:lineRule="auto"/>
              <w:jc w:val="center"/>
              <w:rPr>
                <w:rFonts w:ascii="宋体" w:hAnsi="宋体" w:cs="仿宋"/>
                <w:sz w:val="24"/>
              </w:rPr>
            </w:pPr>
            <w:r>
              <w:rPr>
                <w:rFonts w:hint="eastAsia" w:ascii="宋体" w:hAnsi="宋体" w:cs="仿宋"/>
                <w:sz w:val="24"/>
              </w:rPr>
              <w:t>递交投标文件地点</w:t>
            </w:r>
          </w:p>
        </w:tc>
        <w:tc>
          <w:tcPr>
            <w:tcW w:w="7040" w:type="dxa"/>
            <w:vAlign w:val="center"/>
          </w:tcPr>
          <w:p w14:paraId="7ACB0E1F">
            <w:pPr>
              <w:spacing w:line="360" w:lineRule="auto"/>
              <w:rPr>
                <w:rFonts w:ascii="宋体" w:hAnsi="宋体" w:cs="仿宋"/>
                <w:bCs/>
                <w:kern w:val="0"/>
                <w:sz w:val="24"/>
                <w:lang w:val="zh-CN"/>
              </w:rPr>
            </w:pPr>
            <w:r>
              <w:rPr>
                <w:rFonts w:hint="eastAsia" w:ascii="宋体" w:hAnsi="宋体" w:cs="仿宋"/>
                <w:bCs/>
                <w:kern w:val="0"/>
                <w:sz w:val="24"/>
                <w:lang w:val="zh-CN"/>
              </w:rPr>
              <w:t>全国公共资源交易平台（河南省.平顶山市）电子交易系统</w:t>
            </w:r>
          </w:p>
        </w:tc>
      </w:tr>
      <w:tr w14:paraId="3300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51963CF6">
            <w:pPr>
              <w:spacing w:line="360" w:lineRule="auto"/>
              <w:jc w:val="center"/>
              <w:rPr>
                <w:rFonts w:ascii="宋体" w:hAnsi="宋体" w:cs="仿宋"/>
                <w:sz w:val="24"/>
              </w:rPr>
            </w:pPr>
            <w:r>
              <w:rPr>
                <w:rFonts w:hint="eastAsia" w:ascii="宋体" w:hAnsi="宋体" w:cs="仿宋"/>
                <w:sz w:val="24"/>
              </w:rPr>
              <w:t>25</w:t>
            </w:r>
          </w:p>
        </w:tc>
        <w:tc>
          <w:tcPr>
            <w:tcW w:w="2126" w:type="dxa"/>
            <w:vAlign w:val="center"/>
          </w:tcPr>
          <w:p w14:paraId="0BAD8E13">
            <w:pPr>
              <w:spacing w:line="360" w:lineRule="auto"/>
              <w:jc w:val="center"/>
              <w:rPr>
                <w:rFonts w:ascii="宋体" w:hAnsi="宋体" w:cs="仿宋"/>
                <w:sz w:val="24"/>
              </w:rPr>
            </w:pPr>
            <w:r>
              <w:rPr>
                <w:rFonts w:hint="eastAsia" w:ascii="宋体" w:hAnsi="宋体" w:cs="仿宋"/>
                <w:sz w:val="24"/>
              </w:rPr>
              <w:t>开标时间</w:t>
            </w:r>
          </w:p>
          <w:p w14:paraId="1C30272D">
            <w:pPr>
              <w:spacing w:line="360" w:lineRule="auto"/>
              <w:jc w:val="center"/>
              <w:rPr>
                <w:rFonts w:ascii="宋体" w:hAnsi="宋体" w:cs="仿宋"/>
                <w:sz w:val="24"/>
              </w:rPr>
            </w:pPr>
            <w:r>
              <w:rPr>
                <w:rFonts w:hint="eastAsia" w:ascii="宋体" w:hAnsi="宋体" w:cs="仿宋"/>
                <w:sz w:val="24"/>
              </w:rPr>
              <w:t>和地点</w:t>
            </w:r>
          </w:p>
        </w:tc>
        <w:tc>
          <w:tcPr>
            <w:tcW w:w="7040" w:type="dxa"/>
            <w:vAlign w:val="center"/>
          </w:tcPr>
          <w:p w14:paraId="7E5BACA1">
            <w:pPr>
              <w:spacing w:line="360" w:lineRule="auto"/>
              <w:rPr>
                <w:rFonts w:ascii="宋体" w:hAnsi="宋体" w:cs="仿宋"/>
                <w:bCs/>
                <w:kern w:val="0"/>
                <w:sz w:val="24"/>
                <w:lang w:val="zh-CN"/>
              </w:rPr>
            </w:pPr>
            <w:r>
              <w:rPr>
                <w:rFonts w:hint="eastAsia" w:ascii="宋体" w:hAnsi="宋体" w:cs="仿宋"/>
                <w:bCs/>
                <w:kern w:val="0"/>
                <w:sz w:val="24"/>
                <w:lang w:val="zh-CN"/>
              </w:rPr>
              <w:t>开标时间：同投标截止时间</w:t>
            </w:r>
          </w:p>
          <w:p w14:paraId="1DFAA10A">
            <w:pPr>
              <w:spacing w:line="360" w:lineRule="auto"/>
              <w:rPr>
                <w:rFonts w:ascii="宋体" w:hAnsi="宋体" w:cs="仿宋"/>
                <w:bCs/>
                <w:kern w:val="0"/>
                <w:sz w:val="24"/>
                <w:lang w:val="zh-CN"/>
              </w:rPr>
            </w:pPr>
            <w:r>
              <w:rPr>
                <w:rFonts w:hint="eastAsia" w:ascii="宋体" w:hAnsi="宋体" w:cs="仿宋"/>
                <w:bCs/>
                <w:kern w:val="0"/>
                <w:sz w:val="24"/>
                <w:lang w:val="zh-CN"/>
              </w:rPr>
              <w:t>开标地点：全国公共资源交易平台（河南省.平顶山市）电子交易系统</w:t>
            </w:r>
          </w:p>
        </w:tc>
      </w:tr>
      <w:tr w14:paraId="57AA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3E4E1E60">
            <w:pPr>
              <w:spacing w:line="360" w:lineRule="auto"/>
              <w:jc w:val="center"/>
              <w:rPr>
                <w:rFonts w:ascii="宋体" w:hAnsi="宋体" w:cs="仿宋"/>
                <w:sz w:val="24"/>
              </w:rPr>
            </w:pPr>
            <w:r>
              <w:rPr>
                <w:rFonts w:hint="eastAsia" w:ascii="宋体" w:hAnsi="宋体" w:cs="仿宋"/>
                <w:sz w:val="24"/>
              </w:rPr>
              <w:t>26</w:t>
            </w:r>
          </w:p>
        </w:tc>
        <w:tc>
          <w:tcPr>
            <w:tcW w:w="2126" w:type="dxa"/>
            <w:vAlign w:val="center"/>
          </w:tcPr>
          <w:p w14:paraId="55F028B5">
            <w:pPr>
              <w:spacing w:line="360" w:lineRule="auto"/>
              <w:jc w:val="center"/>
              <w:rPr>
                <w:rFonts w:ascii="宋体" w:hAnsi="宋体" w:cs="仿宋"/>
                <w:sz w:val="24"/>
              </w:rPr>
            </w:pPr>
            <w:r>
              <w:rPr>
                <w:rFonts w:hint="eastAsia" w:ascii="宋体" w:hAnsi="宋体" w:cs="仿宋"/>
                <w:sz w:val="24"/>
              </w:rPr>
              <w:t>开标程序</w:t>
            </w:r>
          </w:p>
        </w:tc>
        <w:tc>
          <w:tcPr>
            <w:tcW w:w="7040" w:type="dxa"/>
            <w:vAlign w:val="center"/>
          </w:tcPr>
          <w:p w14:paraId="79568DCE">
            <w:pPr>
              <w:spacing w:line="360" w:lineRule="auto"/>
              <w:ind w:firstLine="480" w:firstLineChars="200"/>
              <w:rPr>
                <w:rFonts w:ascii="宋体" w:hAnsi="宋体" w:cs="仿宋"/>
                <w:sz w:val="24"/>
              </w:rPr>
            </w:pPr>
            <w:r>
              <w:rPr>
                <w:rFonts w:hint="eastAsia" w:ascii="宋体" w:hAnsi="宋体" w:cs="仿宋"/>
                <w:sz w:val="24"/>
              </w:rPr>
              <w:t>（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088B00D0">
            <w:pPr>
              <w:spacing w:line="360" w:lineRule="auto"/>
              <w:ind w:firstLine="480" w:firstLineChars="200"/>
              <w:rPr>
                <w:rFonts w:ascii="宋体" w:hAnsi="宋体" w:cs="仿宋"/>
                <w:bCs/>
                <w:kern w:val="0"/>
                <w:sz w:val="24"/>
                <w:lang w:val="zh-CN"/>
              </w:rPr>
            </w:pPr>
            <w:r>
              <w:rPr>
                <w:rFonts w:hint="eastAsia" w:ascii="宋体" w:hAnsi="宋体" w:cs="仿宋"/>
                <w:sz w:val="24"/>
              </w:rPr>
              <w:t>（2）待所有投标人投标文件解密完成后，由采购人（代理机构）操作，对开标结果进行公示。</w:t>
            </w:r>
          </w:p>
        </w:tc>
      </w:tr>
      <w:tr w14:paraId="3768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53FE747D">
            <w:pPr>
              <w:spacing w:line="360" w:lineRule="auto"/>
              <w:jc w:val="center"/>
              <w:rPr>
                <w:rFonts w:ascii="宋体" w:hAnsi="宋体" w:cs="仿宋"/>
                <w:sz w:val="24"/>
              </w:rPr>
            </w:pPr>
            <w:r>
              <w:rPr>
                <w:rFonts w:hint="eastAsia" w:ascii="宋体" w:hAnsi="宋体" w:cs="仿宋"/>
                <w:sz w:val="24"/>
              </w:rPr>
              <w:t>27</w:t>
            </w:r>
          </w:p>
        </w:tc>
        <w:tc>
          <w:tcPr>
            <w:tcW w:w="2126" w:type="dxa"/>
            <w:vAlign w:val="center"/>
          </w:tcPr>
          <w:p w14:paraId="63C7CED4">
            <w:pPr>
              <w:spacing w:line="360" w:lineRule="auto"/>
              <w:jc w:val="center"/>
              <w:rPr>
                <w:rFonts w:ascii="宋体" w:hAnsi="宋体" w:cs="仿宋"/>
                <w:sz w:val="24"/>
              </w:rPr>
            </w:pPr>
            <w:r>
              <w:rPr>
                <w:rFonts w:hint="eastAsia" w:ascii="宋体" w:hAnsi="宋体" w:cs="仿宋"/>
                <w:sz w:val="24"/>
              </w:rPr>
              <w:t>评标委员会的组建</w:t>
            </w:r>
          </w:p>
        </w:tc>
        <w:tc>
          <w:tcPr>
            <w:tcW w:w="7040" w:type="dxa"/>
            <w:vAlign w:val="center"/>
          </w:tcPr>
          <w:p w14:paraId="035678AE">
            <w:pPr>
              <w:spacing w:line="360" w:lineRule="auto"/>
              <w:ind w:firstLine="480" w:firstLineChars="200"/>
              <w:rPr>
                <w:rFonts w:ascii="宋体" w:hAnsi="宋体" w:cs="仿宋"/>
                <w:sz w:val="24"/>
              </w:rPr>
            </w:pPr>
            <w:r>
              <w:rPr>
                <w:rFonts w:hint="eastAsia" w:ascii="宋体" w:hAnsi="宋体" w:cs="仿宋"/>
                <w:sz w:val="24"/>
              </w:rPr>
              <w:t>评标委员会组成：评标委员会由采购人和评审专家组成，成员人数为5人以上单数，其中评审专家不得少于成员总数的三分之二，专家从专家库中随机抽取。</w:t>
            </w:r>
          </w:p>
          <w:p w14:paraId="276060A3">
            <w:pPr>
              <w:spacing w:line="360" w:lineRule="auto"/>
              <w:ind w:firstLine="480" w:firstLineChars="200"/>
              <w:rPr>
                <w:rFonts w:ascii="宋体" w:hAnsi="宋体" w:cs="仿宋"/>
                <w:sz w:val="24"/>
              </w:rPr>
            </w:pPr>
            <w:r>
              <w:rPr>
                <w:rFonts w:hint="eastAsia" w:ascii="宋体" w:hAnsi="宋体" w:cs="仿宋"/>
                <w:sz w:val="24"/>
              </w:rPr>
              <w:t>上述规定为一组评标专家委员会组成方式，根据项目标段数量和评标工作量，可由多组专家委员会完成评审，但一个标段只能由一组评标专家委员会评审。</w:t>
            </w:r>
          </w:p>
        </w:tc>
      </w:tr>
      <w:tr w14:paraId="42B6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2EDD9638">
            <w:pPr>
              <w:spacing w:line="360" w:lineRule="auto"/>
              <w:jc w:val="center"/>
              <w:rPr>
                <w:rFonts w:ascii="宋体" w:hAnsi="宋体" w:cs="仿宋"/>
                <w:sz w:val="24"/>
              </w:rPr>
            </w:pPr>
            <w:r>
              <w:rPr>
                <w:rFonts w:hint="eastAsia" w:ascii="宋体" w:hAnsi="宋体" w:cs="仿宋"/>
                <w:sz w:val="24"/>
              </w:rPr>
              <w:t>28</w:t>
            </w:r>
          </w:p>
        </w:tc>
        <w:tc>
          <w:tcPr>
            <w:tcW w:w="2126" w:type="dxa"/>
            <w:vAlign w:val="center"/>
          </w:tcPr>
          <w:p w14:paraId="05D8BA50">
            <w:pPr>
              <w:spacing w:line="360" w:lineRule="auto"/>
              <w:jc w:val="center"/>
              <w:rPr>
                <w:rFonts w:ascii="宋体" w:hAnsi="宋体" w:cs="仿宋"/>
                <w:sz w:val="24"/>
              </w:rPr>
            </w:pPr>
            <w:r>
              <w:rPr>
                <w:rFonts w:hint="eastAsia" w:ascii="宋体" w:hAnsi="宋体" w:cs="仿宋"/>
                <w:sz w:val="24"/>
              </w:rPr>
              <w:t>是否授权评标委会确定中标人</w:t>
            </w:r>
          </w:p>
        </w:tc>
        <w:tc>
          <w:tcPr>
            <w:tcW w:w="7040" w:type="dxa"/>
            <w:vAlign w:val="center"/>
          </w:tcPr>
          <w:p w14:paraId="66704BFA">
            <w:pPr>
              <w:spacing w:line="360" w:lineRule="auto"/>
              <w:rPr>
                <w:rFonts w:ascii="宋体" w:hAnsi="宋体" w:cs="仿宋"/>
                <w:sz w:val="24"/>
              </w:rPr>
            </w:pPr>
            <w:r>
              <w:rPr>
                <w:rFonts w:hint="eastAsia" w:ascii="宋体" w:hAnsi="宋体" w:cs="仿宋"/>
                <w:sz w:val="24"/>
              </w:rPr>
              <w:t>□是</w:t>
            </w:r>
          </w:p>
          <w:p w14:paraId="7D1FA982">
            <w:pPr>
              <w:spacing w:line="360" w:lineRule="auto"/>
              <w:rPr>
                <w:rFonts w:ascii="宋体" w:hAnsi="宋体" w:cs="仿宋"/>
                <w:sz w:val="24"/>
              </w:rPr>
            </w:pPr>
            <w:r>
              <w:rPr>
                <w:rFonts w:hint="eastAsia" w:ascii="宋体" w:hAnsi="宋体" w:cs="仿宋"/>
                <w:sz w:val="24"/>
              </w:rPr>
              <w:fldChar w:fldCharType="begin"/>
            </w:r>
            <w:r>
              <w:rPr>
                <w:rFonts w:hint="eastAsia" w:ascii="宋体" w:hAnsi="宋体" w:cs="仿宋"/>
                <w:sz w:val="24"/>
              </w:rPr>
              <w:instrText xml:space="preserve"> eq \o\ac(</w:instrText>
            </w:r>
            <w:r>
              <w:rPr>
                <w:rFonts w:hint="eastAsia" w:ascii="宋体" w:hAnsi="宋体" w:cs="仿宋"/>
                <w:position w:val="-4"/>
                <w:sz w:val="36"/>
              </w:rPr>
              <w:instrText xml:space="preserve">□</w:instrText>
            </w:r>
            <w:r>
              <w:rPr>
                <w:rFonts w:hint="eastAsia" w:ascii="宋体" w:hAnsi="宋体" w:cs="仿宋"/>
                <w:sz w:val="24"/>
              </w:rPr>
              <w:instrText xml:space="preserve">,√)</w:instrText>
            </w:r>
            <w:r>
              <w:rPr>
                <w:rFonts w:hint="eastAsia" w:ascii="宋体" w:hAnsi="宋体" w:cs="仿宋"/>
                <w:sz w:val="24"/>
              </w:rPr>
              <w:fldChar w:fldCharType="end"/>
            </w:r>
            <w:r>
              <w:rPr>
                <w:rFonts w:hint="eastAsia" w:ascii="宋体" w:hAnsi="宋体" w:cs="仿宋"/>
                <w:sz w:val="24"/>
              </w:rPr>
              <w:t>否，推荐的中标候选人数：推荐3名中标候选人</w:t>
            </w:r>
          </w:p>
        </w:tc>
      </w:tr>
      <w:tr w14:paraId="0414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restart"/>
            <w:vAlign w:val="center"/>
          </w:tcPr>
          <w:p w14:paraId="79A7D1EA">
            <w:pPr>
              <w:spacing w:line="360" w:lineRule="auto"/>
              <w:jc w:val="center"/>
              <w:rPr>
                <w:rFonts w:ascii="宋体" w:hAnsi="宋体" w:cs="仿宋"/>
                <w:sz w:val="24"/>
              </w:rPr>
            </w:pPr>
            <w:r>
              <w:rPr>
                <w:rFonts w:hint="eastAsia" w:ascii="宋体" w:hAnsi="宋体" w:cs="仿宋"/>
                <w:sz w:val="24"/>
              </w:rPr>
              <w:t>29</w:t>
            </w:r>
          </w:p>
        </w:tc>
        <w:tc>
          <w:tcPr>
            <w:tcW w:w="2126" w:type="dxa"/>
            <w:vAlign w:val="center"/>
          </w:tcPr>
          <w:p w14:paraId="362D07BA">
            <w:pPr>
              <w:spacing w:line="360" w:lineRule="auto"/>
              <w:jc w:val="center"/>
              <w:rPr>
                <w:rFonts w:ascii="宋体" w:hAnsi="宋体" w:cs="仿宋"/>
                <w:sz w:val="24"/>
              </w:rPr>
            </w:pPr>
            <w:r>
              <w:rPr>
                <w:rFonts w:hint="eastAsia" w:ascii="宋体" w:hAnsi="宋体" w:cs="仿宋"/>
                <w:sz w:val="24"/>
              </w:rPr>
              <w:t>履约保证金</w:t>
            </w:r>
          </w:p>
        </w:tc>
        <w:tc>
          <w:tcPr>
            <w:tcW w:w="7040" w:type="dxa"/>
          </w:tcPr>
          <w:p w14:paraId="788E3F03">
            <w:pPr>
              <w:spacing w:line="360" w:lineRule="auto"/>
              <w:rPr>
                <w:rFonts w:ascii="宋体" w:hAnsi="宋体" w:cs="仿宋"/>
                <w:sz w:val="24"/>
              </w:rPr>
            </w:pPr>
            <w:r>
              <w:rPr>
                <w:rFonts w:hint="eastAsia" w:ascii="宋体" w:hAnsi="宋体" w:cs="仿宋"/>
                <w:sz w:val="24"/>
              </w:rPr>
              <w:t>不收取</w:t>
            </w:r>
          </w:p>
        </w:tc>
      </w:tr>
      <w:tr w14:paraId="4582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04" w:type="dxa"/>
            <w:vMerge w:val="continue"/>
            <w:vAlign w:val="center"/>
          </w:tcPr>
          <w:p w14:paraId="19930057">
            <w:pPr>
              <w:spacing w:line="360" w:lineRule="auto"/>
              <w:jc w:val="center"/>
              <w:rPr>
                <w:rFonts w:ascii="宋体" w:hAnsi="宋体" w:cs="仿宋"/>
                <w:sz w:val="24"/>
              </w:rPr>
            </w:pPr>
          </w:p>
        </w:tc>
        <w:tc>
          <w:tcPr>
            <w:tcW w:w="2126" w:type="dxa"/>
            <w:vAlign w:val="center"/>
          </w:tcPr>
          <w:p w14:paraId="3780CACB">
            <w:pPr>
              <w:spacing w:line="360" w:lineRule="auto"/>
              <w:jc w:val="center"/>
              <w:rPr>
                <w:rFonts w:ascii="宋体" w:hAnsi="宋体" w:cs="仿宋"/>
                <w:sz w:val="24"/>
              </w:rPr>
            </w:pPr>
            <w:r>
              <w:rPr>
                <w:rFonts w:hint="eastAsia" w:ascii="宋体" w:hAnsi="宋体" w:cs="仿宋"/>
                <w:sz w:val="24"/>
              </w:rPr>
              <w:t>投标保证金</w:t>
            </w:r>
          </w:p>
        </w:tc>
        <w:tc>
          <w:tcPr>
            <w:tcW w:w="7040" w:type="dxa"/>
          </w:tcPr>
          <w:p w14:paraId="62F0A8A2">
            <w:pPr>
              <w:spacing w:line="360" w:lineRule="auto"/>
              <w:jc w:val="left"/>
              <w:rPr>
                <w:rFonts w:ascii="宋体" w:hAnsi="宋体" w:cs="仿宋"/>
                <w:sz w:val="24"/>
              </w:rPr>
            </w:pPr>
            <w:r>
              <w:rPr>
                <w:rFonts w:hint="eastAsia" w:ascii="宋体" w:hAnsi="宋体" w:cs="仿宋"/>
                <w:sz w:val="24"/>
              </w:rPr>
              <w:t>不收取</w:t>
            </w:r>
          </w:p>
        </w:tc>
      </w:tr>
      <w:tr w14:paraId="24C4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Merge w:val="continue"/>
            <w:vAlign w:val="center"/>
          </w:tcPr>
          <w:p w14:paraId="2F45AA1E">
            <w:pPr>
              <w:spacing w:line="360" w:lineRule="auto"/>
              <w:jc w:val="center"/>
              <w:rPr>
                <w:rFonts w:ascii="宋体" w:hAnsi="宋体" w:cs="仿宋"/>
                <w:sz w:val="24"/>
              </w:rPr>
            </w:pPr>
          </w:p>
        </w:tc>
        <w:tc>
          <w:tcPr>
            <w:tcW w:w="2126" w:type="dxa"/>
            <w:vAlign w:val="center"/>
          </w:tcPr>
          <w:p w14:paraId="1E9C145F">
            <w:pPr>
              <w:spacing w:line="360" w:lineRule="auto"/>
              <w:jc w:val="center"/>
              <w:rPr>
                <w:rFonts w:ascii="宋体" w:hAnsi="宋体" w:cs="仿宋"/>
                <w:sz w:val="24"/>
              </w:rPr>
            </w:pPr>
            <w:r>
              <w:rPr>
                <w:rFonts w:hint="eastAsia" w:ascii="宋体" w:hAnsi="宋体" w:cs="仿宋"/>
                <w:sz w:val="24"/>
              </w:rPr>
              <w:t>质量保证金</w:t>
            </w:r>
          </w:p>
        </w:tc>
        <w:tc>
          <w:tcPr>
            <w:tcW w:w="7040" w:type="dxa"/>
          </w:tcPr>
          <w:p w14:paraId="64C64153">
            <w:pPr>
              <w:spacing w:line="360" w:lineRule="auto"/>
              <w:jc w:val="left"/>
              <w:rPr>
                <w:rFonts w:ascii="宋体" w:hAnsi="宋体" w:cs="仿宋"/>
                <w:sz w:val="24"/>
              </w:rPr>
            </w:pPr>
            <w:r>
              <w:rPr>
                <w:rFonts w:hint="eastAsia" w:ascii="宋体" w:hAnsi="宋体" w:cs="仿宋"/>
                <w:sz w:val="24"/>
              </w:rPr>
              <w:t>不收取</w:t>
            </w:r>
          </w:p>
        </w:tc>
      </w:tr>
      <w:tr w14:paraId="2118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04" w:type="dxa"/>
            <w:vMerge w:val="continue"/>
            <w:vAlign w:val="center"/>
          </w:tcPr>
          <w:p w14:paraId="318DC80F">
            <w:pPr>
              <w:spacing w:line="360" w:lineRule="auto"/>
              <w:jc w:val="center"/>
              <w:rPr>
                <w:rFonts w:ascii="宋体" w:hAnsi="宋体" w:cs="仿宋"/>
                <w:sz w:val="24"/>
              </w:rPr>
            </w:pPr>
          </w:p>
        </w:tc>
        <w:tc>
          <w:tcPr>
            <w:tcW w:w="2126" w:type="dxa"/>
          </w:tcPr>
          <w:p w14:paraId="2740ABA3">
            <w:pPr>
              <w:spacing w:line="360" w:lineRule="auto"/>
              <w:jc w:val="center"/>
              <w:rPr>
                <w:rFonts w:ascii="宋体" w:hAnsi="宋体" w:cs="仿宋"/>
                <w:sz w:val="24"/>
              </w:rPr>
            </w:pPr>
            <w:r>
              <w:rPr>
                <w:rFonts w:hint="eastAsia" w:ascii="宋体" w:hAnsi="宋体" w:cs="仿宋"/>
                <w:sz w:val="24"/>
              </w:rPr>
              <w:t>招标文件费用</w:t>
            </w:r>
          </w:p>
        </w:tc>
        <w:tc>
          <w:tcPr>
            <w:tcW w:w="7040" w:type="dxa"/>
          </w:tcPr>
          <w:p w14:paraId="77054AED">
            <w:pPr>
              <w:spacing w:line="360" w:lineRule="auto"/>
              <w:jc w:val="left"/>
              <w:rPr>
                <w:rFonts w:ascii="宋体" w:hAnsi="宋体" w:cs="仿宋"/>
                <w:sz w:val="24"/>
              </w:rPr>
            </w:pPr>
            <w:r>
              <w:rPr>
                <w:rFonts w:hint="eastAsia" w:ascii="宋体" w:hAnsi="宋体" w:cs="仿宋"/>
                <w:sz w:val="24"/>
              </w:rPr>
              <w:t>不收取</w:t>
            </w:r>
          </w:p>
        </w:tc>
      </w:tr>
      <w:tr w14:paraId="41D3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404A4772">
            <w:pPr>
              <w:spacing w:line="360" w:lineRule="auto"/>
              <w:jc w:val="center"/>
              <w:rPr>
                <w:rFonts w:ascii="宋体" w:hAnsi="宋体" w:cs="仿宋"/>
                <w:sz w:val="24"/>
              </w:rPr>
            </w:pPr>
            <w:r>
              <w:rPr>
                <w:rFonts w:hint="eastAsia" w:ascii="宋体" w:hAnsi="宋体" w:cs="仿宋"/>
                <w:sz w:val="24"/>
              </w:rPr>
              <w:t>30</w:t>
            </w:r>
          </w:p>
        </w:tc>
        <w:tc>
          <w:tcPr>
            <w:tcW w:w="2126" w:type="dxa"/>
            <w:vAlign w:val="center"/>
          </w:tcPr>
          <w:p w14:paraId="7CA3C078">
            <w:pPr>
              <w:spacing w:line="360" w:lineRule="auto"/>
              <w:jc w:val="center"/>
              <w:rPr>
                <w:rFonts w:ascii="宋体" w:hAnsi="宋体" w:cs="仿宋"/>
                <w:sz w:val="24"/>
              </w:rPr>
            </w:pPr>
            <w:r>
              <w:rPr>
                <w:rFonts w:hint="eastAsia" w:ascii="宋体" w:hAnsi="宋体" w:cs="仿宋"/>
                <w:sz w:val="24"/>
              </w:rPr>
              <w:t>接收质疑函的方式和联系方式</w:t>
            </w:r>
          </w:p>
        </w:tc>
        <w:tc>
          <w:tcPr>
            <w:tcW w:w="7040" w:type="dxa"/>
            <w:vAlign w:val="center"/>
          </w:tcPr>
          <w:p w14:paraId="311BB68D">
            <w:pPr>
              <w:spacing w:line="360" w:lineRule="auto"/>
              <w:ind w:firstLine="480" w:firstLineChars="200"/>
              <w:rPr>
                <w:rFonts w:ascii="宋体" w:hAnsi="宋体" w:cs="仿宋"/>
                <w:sz w:val="24"/>
              </w:rPr>
            </w:pPr>
            <w:r>
              <w:rPr>
                <w:rFonts w:hint="eastAsia" w:ascii="宋体" w:hAnsi="宋体" w:cs="仿宋"/>
                <w:sz w:val="24"/>
              </w:rPr>
              <w:t>1、质疑提出：</w:t>
            </w:r>
          </w:p>
          <w:p w14:paraId="0F371BEA">
            <w:pPr>
              <w:spacing w:line="360" w:lineRule="auto"/>
              <w:ind w:firstLine="480" w:firstLineChars="200"/>
              <w:rPr>
                <w:rFonts w:ascii="宋体" w:hAnsi="宋体" w:cs="仿宋"/>
                <w:sz w:val="24"/>
              </w:rPr>
            </w:pPr>
            <w:r>
              <w:rPr>
                <w:rFonts w:hint="eastAsia" w:ascii="宋体" w:hAnsi="宋体" w:cs="仿宋"/>
                <w:sz w:val="24"/>
              </w:rPr>
              <w:t>（1）供应商认为采购文件、采购过程、中标或者成交结果使自己的权益受到损害的，可以在知道或者应知其权益受到损害之日起7个工作日内，按中华人民共和国财政部令第94号《政府采购质疑和投诉办法》的相关规定，以书面形式同时向采购人和采购代理机构提出质疑(加盖单位公章且法定代表人签字)，由其授权代表携带法人授权书及本人身份证件提交(邮寄、传真件不予受理)。逾期未提交或未按照要求提交的质疑函将不予受理。</w:t>
            </w:r>
          </w:p>
          <w:p w14:paraId="50368792">
            <w:pPr>
              <w:spacing w:line="360" w:lineRule="auto"/>
              <w:ind w:firstLine="480" w:firstLineChars="200"/>
              <w:rPr>
                <w:rFonts w:ascii="宋体" w:hAnsi="宋体" w:cs="仿宋"/>
                <w:sz w:val="24"/>
              </w:rPr>
            </w:pPr>
            <w:r>
              <w:rPr>
                <w:rFonts w:hint="eastAsia" w:ascii="宋体" w:hAnsi="宋体" w:cs="仿宋"/>
                <w:sz w:val="24"/>
              </w:rPr>
              <w:t>（2）质疑函的内容、格式：应符合《政府采购质疑和投诉办法》（财政部第94号令）相关规定和财政部门制定的《政府采购质疑函范本》格式。</w:t>
            </w:r>
          </w:p>
          <w:p w14:paraId="56FBC248">
            <w:pPr>
              <w:spacing w:line="360" w:lineRule="auto"/>
              <w:ind w:firstLine="480" w:firstLineChars="200"/>
              <w:rPr>
                <w:rFonts w:ascii="宋体" w:hAnsi="宋体" w:cs="仿宋"/>
                <w:sz w:val="24"/>
              </w:rPr>
            </w:pPr>
            <w:r>
              <w:rPr>
                <w:rFonts w:hint="eastAsia" w:ascii="宋体" w:hAnsi="宋体" w:cs="仿宋"/>
                <w:sz w:val="24"/>
              </w:rPr>
              <w:t>（3）投标人应在法定质疑期内一次性提出针对同一采购程序环节的质疑。</w:t>
            </w:r>
          </w:p>
          <w:p w14:paraId="1359209F">
            <w:pPr>
              <w:spacing w:line="360" w:lineRule="auto"/>
              <w:ind w:firstLine="480" w:firstLineChars="200"/>
              <w:rPr>
                <w:rFonts w:ascii="宋体" w:hAnsi="宋体" w:cs="仿宋"/>
                <w:sz w:val="24"/>
              </w:rPr>
            </w:pPr>
            <w:r>
              <w:rPr>
                <w:rFonts w:hint="eastAsia" w:ascii="宋体" w:hAnsi="宋体" w:cs="仿宋"/>
                <w:sz w:val="24"/>
              </w:rPr>
              <w:t>2、接收质疑函的方式、联系部门、联系电话和通讯地址：同采购公告采购人和采购代理机构联系人信息。</w:t>
            </w:r>
          </w:p>
          <w:p w14:paraId="5D452CC8">
            <w:pPr>
              <w:spacing w:line="360" w:lineRule="auto"/>
              <w:ind w:firstLine="480" w:firstLineChars="200"/>
              <w:rPr>
                <w:rFonts w:ascii="宋体" w:hAnsi="宋体" w:cs="仿宋"/>
                <w:sz w:val="24"/>
              </w:rPr>
            </w:pPr>
            <w:r>
              <w:rPr>
                <w:rFonts w:hint="eastAsia" w:ascii="宋体" w:hAnsi="宋体" w:cs="仿宋"/>
                <w:sz w:val="24"/>
              </w:rPr>
              <w:t>3、质疑投标人对采购人、采购代理机构的答复不满意，或者采购人、采购代理机构未在规定时间内作出答复的，可以在答复期满后15个工作日内向有关监督部门提起投诉。</w:t>
            </w:r>
          </w:p>
        </w:tc>
      </w:tr>
      <w:tr w14:paraId="66B2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76F600AD">
            <w:pPr>
              <w:spacing w:line="360" w:lineRule="auto"/>
              <w:jc w:val="center"/>
              <w:rPr>
                <w:rFonts w:hint="default" w:ascii="宋体" w:hAnsi="宋体" w:eastAsia="宋体" w:cs="仿宋"/>
                <w:sz w:val="24"/>
                <w:lang w:val="en-US" w:eastAsia="zh-CN"/>
              </w:rPr>
            </w:pPr>
            <w:r>
              <w:rPr>
                <w:rFonts w:hint="eastAsia" w:ascii="宋体" w:hAnsi="宋体" w:cs="仿宋"/>
                <w:sz w:val="24"/>
              </w:rPr>
              <w:t>31</w:t>
            </w:r>
            <w:r>
              <w:rPr>
                <w:rFonts w:hint="eastAsia" w:ascii="宋体" w:hAnsi="宋体" w:cs="仿宋"/>
                <w:sz w:val="24"/>
                <w:lang w:val="en-US" w:eastAsia="zh-CN"/>
              </w:rPr>
              <w:t>.1</w:t>
            </w:r>
          </w:p>
        </w:tc>
        <w:tc>
          <w:tcPr>
            <w:tcW w:w="2126" w:type="dxa"/>
            <w:vAlign w:val="center"/>
          </w:tcPr>
          <w:p w14:paraId="5684D6CC">
            <w:pPr>
              <w:spacing w:line="360" w:lineRule="auto"/>
              <w:jc w:val="center"/>
              <w:rPr>
                <w:rFonts w:hint="eastAsia" w:ascii="宋体" w:hAnsi="宋体" w:eastAsia="宋体" w:cs="仿宋"/>
                <w:b/>
                <w:bCs/>
                <w:sz w:val="24"/>
                <w:lang w:val="en-US" w:eastAsia="zh-CN"/>
              </w:rPr>
            </w:pPr>
            <w:r>
              <w:rPr>
                <w:rFonts w:hint="eastAsia" w:ascii="宋体" w:hAnsi="宋体" w:cs="仿宋"/>
                <w:b/>
                <w:bCs/>
                <w:sz w:val="24"/>
                <w:lang w:val="en-US" w:eastAsia="zh-CN"/>
              </w:rPr>
              <w:t>包预算</w:t>
            </w:r>
          </w:p>
        </w:tc>
        <w:tc>
          <w:tcPr>
            <w:tcW w:w="7040" w:type="dxa"/>
            <w:vAlign w:val="center"/>
          </w:tcPr>
          <w:p w14:paraId="153D2B4C">
            <w:pPr>
              <w:spacing w:line="360" w:lineRule="auto"/>
              <w:jc w:val="left"/>
              <w:rPr>
                <w:rFonts w:ascii="宋体" w:hAnsi="宋体" w:cs="仿宋"/>
                <w:b/>
                <w:bCs/>
                <w:sz w:val="24"/>
              </w:rPr>
            </w:pPr>
            <w:r>
              <w:rPr>
                <w:rFonts w:hint="eastAsia" w:ascii="宋体" w:hAnsi="宋体" w:cs="仿宋"/>
                <w:b/>
                <w:bCs/>
                <w:sz w:val="24"/>
                <w:u w:val="single"/>
              </w:rPr>
              <w:t>4386000.00</w:t>
            </w:r>
            <w:r>
              <w:rPr>
                <w:rFonts w:hint="eastAsia" w:ascii="宋体" w:hAnsi="宋体" w:cs="仿宋"/>
                <w:b/>
                <w:bCs/>
                <w:sz w:val="24"/>
              </w:rPr>
              <w:t>元</w:t>
            </w:r>
          </w:p>
        </w:tc>
      </w:tr>
      <w:tr w14:paraId="227F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68324324">
            <w:pPr>
              <w:spacing w:line="360" w:lineRule="auto"/>
              <w:jc w:val="center"/>
              <w:rPr>
                <w:rFonts w:hint="default" w:ascii="宋体" w:hAnsi="宋体" w:eastAsia="宋体" w:cs="仿宋"/>
                <w:sz w:val="24"/>
                <w:lang w:val="en-US" w:eastAsia="zh-CN"/>
              </w:rPr>
            </w:pPr>
            <w:r>
              <w:rPr>
                <w:rFonts w:hint="eastAsia" w:ascii="宋体" w:hAnsi="宋体" w:cs="仿宋"/>
                <w:sz w:val="24"/>
                <w:lang w:val="en-US" w:eastAsia="zh-CN"/>
              </w:rPr>
              <w:t>31.2</w:t>
            </w:r>
          </w:p>
        </w:tc>
        <w:tc>
          <w:tcPr>
            <w:tcW w:w="2126" w:type="dxa"/>
            <w:shd w:val="clear" w:color="auto" w:fill="auto"/>
            <w:vAlign w:val="center"/>
          </w:tcPr>
          <w:p w14:paraId="65FFC50B">
            <w:pPr>
              <w:spacing w:line="360" w:lineRule="auto"/>
              <w:jc w:val="center"/>
              <w:rPr>
                <w:rFonts w:hint="eastAsia" w:ascii="宋体" w:hAnsi="宋体" w:eastAsia="宋体" w:cs="仿宋"/>
                <w:b/>
                <w:bCs/>
                <w:kern w:val="2"/>
                <w:sz w:val="24"/>
                <w:szCs w:val="24"/>
                <w:lang w:val="en-US" w:eastAsia="zh-CN" w:bidi="ar-SA"/>
              </w:rPr>
            </w:pPr>
            <w:r>
              <w:rPr>
                <w:rFonts w:hint="eastAsia" w:ascii="宋体" w:hAnsi="宋体" w:cs="仿宋"/>
                <w:b/>
                <w:bCs/>
                <w:sz w:val="24"/>
              </w:rPr>
              <w:t>最高投标限价</w:t>
            </w:r>
          </w:p>
        </w:tc>
        <w:tc>
          <w:tcPr>
            <w:tcW w:w="7040" w:type="dxa"/>
            <w:shd w:val="clear" w:color="auto" w:fill="auto"/>
            <w:vAlign w:val="center"/>
          </w:tcPr>
          <w:p w14:paraId="2236803D">
            <w:pPr>
              <w:spacing w:line="360" w:lineRule="auto"/>
              <w:jc w:val="left"/>
              <w:rPr>
                <w:rFonts w:ascii="宋体" w:hAnsi="宋体" w:cs="仿宋"/>
                <w:b/>
                <w:bCs/>
                <w:sz w:val="24"/>
              </w:rPr>
            </w:pPr>
            <w:r>
              <w:rPr>
                <w:rFonts w:hint="eastAsia" w:ascii="宋体" w:hAnsi="宋体" w:cs="仿宋"/>
                <w:b/>
                <w:bCs/>
                <w:sz w:val="24"/>
              </w:rPr>
              <w:t>本项目</w:t>
            </w:r>
            <w:r>
              <w:rPr>
                <w:rFonts w:hint="eastAsia" w:ascii="宋体" w:hAnsi="宋体" w:cs="仿宋"/>
                <w:b/>
                <w:bCs/>
                <w:kern w:val="0"/>
                <w:sz w:val="24"/>
              </w:rPr>
              <w:t>最高投标限价</w:t>
            </w:r>
            <w:r>
              <w:rPr>
                <w:rFonts w:hint="eastAsia" w:ascii="宋体" w:hAnsi="宋体" w:cs="仿宋"/>
                <w:b/>
                <w:bCs/>
                <w:sz w:val="24"/>
              </w:rPr>
              <w:t>为:</w:t>
            </w:r>
            <w:r>
              <w:rPr>
                <w:rFonts w:hint="eastAsia" w:ascii="宋体" w:hAnsi="宋体" w:cs="仿宋"/>
                <w:b/>
                <w:bCs/>
                <w:sz w:val="24"/>
                <w:u w:val="single"/>
              </w:rPr>
              <w:t>4386000.00</w:t>
            </w:r>
            <w:r>
              <w:rPr>
                <w:rFonts w:hint="eastAsia" w:ascii="宋体" w:hAnsi="宋体" w:cs="仿宋"/>
                <w:b/>
                <w:bCs/>
                <w:sz w:val="24"/>
              </w:rPr>
              <w:t>元;</w:t>
            </w:r>
          </w:p>
          <w:p w14:paraId="4705E2F6">
            <w:pPr>
              <w:spacing w:line="360" w:lineRule="auto"/>
              <w:jc w:val="left"/>
              <w:rPr>
                <w:rFonts w:hint="eastAsia" w:ascii="宋体" w:hAnsi="宋体" w:eastAsia="宋体" w:cs="仿宋"/>
                <w:b/>
                <w:bCs/>
                <w:kern w:val="2"/>
                <w:sz w:val="24"/>
                <w:szCs w:val="24"/>
                <w:lang w:val="en-US" w:eastAsia="zh-CN" w:bidi="ar-SA"/>
              </w:rPr>
            </w:pPr>
            <w:r>
              <w:rPr>
                <w:rFonts w:hint="eastAsia" w:ascii="宋体" w:hAnsi="宋体" w:cs="仿宋"/>
                <w:b/>
                <w:bCs/>
                <w:kern w:val="0"/>
                <w:sz w:val="24"/>
              </w:rPr>
              <w:t>投标人针对本项目的投标报价不得高于最高投标限价，否则按废标处理。</w:t>
            </w:r>
          </w:p>
        </w:tc>
      </w:tr>
      <w:tr w14:paraId="747B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Align w:val="center"/>
          </w:tcPr>
          <w:p w14:paraId="7458D51F">
            <w:pPr>
              <w:spacing w:line="360" w:lineRule="auto"/>
              <w:jc w:val="center"/>
              <w:rPr>
                <w:rFonts w:hint="default" w:ascii="宋体" w:hAnsi="宋体" w:eastAsia="宋体" w:cs="仿宋"/>
                <w:sz w:val="24"/>
                <w:lang w:val="en-US" w:eastAsia="zh-CN"/>
              </w:rPr>
            </w:pPr>
            <w:r>
              <w:rPr>
                <w:rFonts w:hint="eastAsia" w:ascii="宋体" w:hAnsi="宋体" w:cs="仿宋"/>
                <w:sz w:val="24"/>
                <w:lang w:val="en-US" w:eastAsia="zh-CN"/>
              </w:rPr>
              <w:t>32</w:t>
            </w:r>
          </w:p>
        </w:tc>
        <w:tc>
          <w:tcPr>
            <w:tcW w:w="2126" w:type="dxa"/>
            <w:vAlign w:val="center"/>
          </w:tcPr>
          <w:p w14:paraId="0EF50591">
            <w:pPr>
              <w:spacing w:line="360" w:lineRule="auto"/>
              <w:jc w:val="center"/>
              <w:rPr>
                <w:rFonts w:ascii="宋体" w:hAnsi="宋体" w:cs="仿宋"/>
                <w:b/>
                <w:sz w:val="24"/>
              </w:rPr>
            </w:pPr>
            <w:r>
              <w:rPr>
                <w:rFonts w:hint="eastAsia" w:ascii="宋体" w:hAnsi="宋体" w:cs="仿宋"/>
                <w:b/>
                <w:sz w:val="24"/>
              </w:rPr>
              <w:t>招标代理服务费</w:t>
            </w:r>
          </w:p>
        </w:tc>
        <w:tc>
          <w:tcPr>
            <w:tcW w:w="7040" w:type="dxa"/>
          </w:tcPr>
          <w:p w14:paraId="68E35687">
            <w:pPr>
              <w:spacing w:line="360" w:lineRule="auto"/>
              <w:ind w:firstLine="480" w:firstLineChars="200"/>
              <w:rPr>
                <w:rFonts w:ascii="宋体" w:hAnsi="宋体" w:cs="仿宋"/>
                <w:sz w:val="24"/>
              </w:rPr>
            </w:pPr>
            <w:r>
              <w:rPr>
                <w:rFonts w:hint="eastAsia" w:ascii="宋体" w:hAnsi="宋体" w:cs="仿宋"/>
                <w:sz w:val="24"/>
              </w:rPr>
              <w:t>招标代理费参照《河南省招标代理服务收费指导意见》（豫招协[2023]002号）文件规定收取，中标人领取中标通知书时以现金方式或转账向采购代理机构缴。</w:t>
            </w:r>
          </w:p>
        </w:tc>
      </w:tr>
      <w:tr w14:paraId="5888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14:paraId="3CCAFB62">
            <w:pPr>
              <w:spacing w:line="360" w:lineRule="auto"/>
              <w:jc w:val="center"/>
              <w:rPr>
                <w:rFonts w:hint="default" w:ascii="宋体" w:hAnsi="宋体" w:eastAsia="宋体" w:cs="仿宋"/>
                <w:sz w:val="24"/>
                <w:lang w:val="en-US" w:eastAsia="zh-CN"/>
              </w:rPr>
            </w:pPr>
            <w:r>
              <w:rPr>
                <w:rFonts w:hint="eastAsia" w:ascii="宋体" w:hAnsi="宋体" w:cs="仿宋"/>
                <w:sz w:val="24"/>
                <w:lang w:val="en-US" w:eastAsia="zh-CN"/>
              </w:rPr>
              <w:t>33</w:t>
            </w:r>
          </w:p>
        </w:tc>
        <w:tc>
          <w:tcPr>
            <w:tcW w:w="2126" w:type="dxa"/>
            <w:vAlign w:val="center"/>
          </w:tcPr>
          <w:p w14:paraId="521AAEB3">
            <w:pPr>
              <w:spacing w:line="360" w:lineRule="auto"/>
              <w:jc w:val="center"/>
              <w:rPr>
                <w:rFonts w:ascii="宋体" w:hAnsi="宋体" w:cs="仿宋"/>
                <w:b/>
                <w:sz w:val="24"/>
              </w:rPr>
            </w:pPr>
            <w:r>
              <w:rPr>
                <w:rFonts w:hint="eastAsia" w:ascii="宋体" w:hAnsi="宋体" w:cs="仿宋"/>
                <w:b/>
                <w:sz w:val="24"/>
              </w:rPr>
              <w:t>付款方式</w:t>
            </w:r>
          </w:p>
        </w:tc>
        <w:tc>
          <w:tcPr>
            <w:tcW w:w="7040" w:type="dxa"/>
          </w:tcPr>
          <w:p w14:paraId="64ACE988">
            <w:pPr>
              <w:spacing w:line="360" w:lineRule="auto"/>
              <w:ind w:firstLine="480" w:firstLineChars="200"/>
              <w:rPr>
                <w:rFonts w:ascii="宋体" w:hAnsi="宋体" w:cs="仿宋"/>
                <w:sz w:val="24"/>
              </w:rPr>
            </w:pPr>
            <w:r>
              <w:rPr>
                <w:rFonts w:hint="eastAsia" w:ascii="宋体" w:hAnsi="宋体" w:cs="仿宋"/>
                <w:sz w:val="24"/>
              </w:rPr>
              <w:t>合同签订后，设备安装调试完成，甲方支付乙方合同总金额的30%作为首付款、剩余合同款项按年支付。</w:t>
            </w:r>
          </w:p>
        </w:tc>
      </w:tr>
      <w:tr w14:paraId="0C4B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vAlign w:val="center"/>
          </w:tcPr>
          <w:p w14:paraId="752D6372">
            <w:pPr>
              <w:spacing w:line="360" w:lineRule="auto"/>
              <w:jc w:val="center"/>
              <w:rPr>
                <w:rFonts w:hint="default" w:ascii="宋体" w:hAnsi="宋体" w:eastAsia="宋体" w:cs="仿宋"/>
                <w:sz w:val="24"/>
                <w:lang w:val="en-US" w:eastAsia="zh-CN"/>
              </w:rPr>
            </w:pPr>
            <w:r>
              <w:rPr>
                <w:rFonts w:hint="eastAsia" w:ascii="宋体" w:hAnsi="宋体" w:cs="仿宋"/>
                <w:sz w:val="24"/>
                <w:lang w:val="en-US" w:eastAsia="zh-CN"/>
              </w:rPr>
              <w:t>34</w:t>
            </w:r>
          </w:p>
        </w:tc>
        <w:tc>
          <w:tcPr>
            <w:tcW w:w="2126" w:type="dxa"/>
            <w:vAlign w:val="center"/>
          </w:tcPr>
          <w:p w14:paraId="694CFBFB">
            <w:pPr>
              <w:spacing w:line="360" w:lineRule="auto"/>
              <w:jc w:val="center"/>
              <w:rPr>
                <w:rFonts w:ascii="宋体" w:hAnsi="宋体" w:cs="仿宋"/>
                <w:sz w:val="24"/>
              </w:rPr>
            </w:pPr>
            <w:r>
              <w:rPr>
                <w:rFonts w:hint="eastAsia" w:ascii="宋体" w:hAnsi="宋体" w:cs="仿宋"/>
                <w:b/>
                <w:sz w:val="24"/>
              </w:rPr>
              <w:t>政采领域优化营商环境相关政策</w:t>
            </w:r>
          </w:p>
        </w:tc>
        <w:tc>
          <w:tcPr>
            <w:tcW w:w="7040" w:type="dxa"/>
            <w:vAlign w:val="center"/>
          </w:tcPr>
          <w:p w14:paraId="496BB7DB">
            <w:pPr>
              <w:adjustRightInd w:val="0"/>
              <w:snapToGrid w:val="0"/>
              <w:spacing w:line="360" w:lineRule="auto"/>
              <w:ind w:firstLine="482" w:firstLineChars="200"/>
              <w:jc w:val="left"/>
              <w:rPr>
                <w:rFonts w:ascii="宋体" w:hAnsi="宋体" w:cs="仿宋"/>
                <w:b/>
                <w:sz w:val="24"/>
              </w:rPr>
            </w:pPr>
            <w:r>
              <w:rPr>
                <w:rFonts w:hint="eastAsia" w:ascii="宋体" w:hAnsi="宋体" w:cs="仿宋"/>
                <w:b/>
                <w:sz w:val="24"/>
              </w:rPr>
              <w:t>一、落实四个“一日办”精神：</w:t>
            </w:r>
          </w:p>
          <w:p w14:paraId="44792712">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按照《平顶山市财政局关于压减政府采购各环节时限进一步优化政府采购营商环境的通知》（平财购〔2021〕34号）通知，落实四个“一日办”精神：</w:t>
            </w:r>
          </w:p>
          <w:p w14:paraId="76DCC78F">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（1）在评审结束后1日内确定采购结果，同时对中标单位发出中标或成交通知书，并在网上进行公告；</w:t>
            </w:r>
          </w:p>
          <w:p w14:paraId="0EE0B9FB">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（2）中标或成交通知书发出后，1日内与中标或成交供应商签订合同，合同签订当日完成合同备案工作；</w:t>
            </w:r>
          </w:p>
          <w:p w14:paraId="5E4B7D91">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（3）政府采购项目供应商履约完成后，采购人应在供应商提出验收申请1个工作日内完成验收，同时在平顶山市政府采购网发布验收结果公告；</w:t>
            </w:r>
          </w:p>
          <w:p w14:paraId="111D0409">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（4）验收合格具备付款条件的项目，采购人要在1个工作日内按照合同约定支付项目资金。</w:t>
            </w:r>
          </w:p>
          <w:p w14:paraId="21309760">
            <w:pPr>
              <w:adjustRightInd w:val="0"/>
              <w:snapToGrid w:val="0"/>
              <w:spacing w:line="360" w:lineRule="auto"/>
              <w:ind w:left="105" w:leftChars="50" w:firstLine="480" w:firstLineChars="200"/>
              <w:jc w:val="left"/>
              <w:rPr>
                <w:rFonts w:ascii="宋体" w:hAnsi="宋体" w:cs="仿宋"/>
                <w:sz w:val="24"/>
              </w:rPr>
            </w:pPr>
            <w:r>
              <w:rPr>
                <w:rFonts w:hint="eastAsia" w:ascii="宋体" w:hAnsi="宋体" w:cs="仿宋"/>
                <w:sz w:val="24"/>
              </w:rPr>
              <w:t>注：签合同需法定代表人携带本人身份证（如为授权委托人，则携带法定代表人授权委托书及本人身份证）、单位公章、合同纸质版本一式六份及合同电子版。</w:t>
            </w:r>
          </w:p>
          <w:p w14:paraId="602C0A00">
            <w:pPr>
              <w:adjustRightInd w:val="0"/>
              <w:snapToGrid w:val="0"/>
              <w:spacing w:line="360" w:lineRule="auto"/>
              <w:ind w:left="36" w:leftChars="17" w:firstLine="482" w:firstLineChars="200"/>
              <w:jc w:val="left"/>
              <w:rPr>
                <w:rFonts w:ascii="宋体" w:hAnsi="宋体" w:cs="仿宋"/>
                <w:kern w:val="0"/>
                <w:sz w:val="24"/>
                <w:u w:val="single"/>
                <w:lang w:bidi="ar"/>
              </w:rPr>
            </w:pPr>
            <w:r>
              <w:rPr>
                <w:rFonts w:hint="eastAsia" w:ascii="宋体" w:hAnsi="宋体" w:cs="仿宋"/>
                <w:b/>
                <w:kern w:val="0"/>
                <w:sz w:val="24"/>
                <w:u w:val="single"/>
                <w:lang w:bidi="ar"/>
              </w:rPr>
              <w:t>温馨提示：为了不影响中标后及时发布合同公告，请供应商在开标前完成河南省政府采购网企业账号注册。</w:t>
            </w:r>
          </w:p>
          <w:p w14:paraId="148890D2">
            <w:pPr>
              <w:adjustRightInd w:val="0"/>
              <w:snapToGrid w:val="0"/>
              <w:spacing w:line="360" w:lineRule="auto"/>
              <w:ind w:firstLine="482" w:firstLineChars="200"/>
              <w:jc w:val="left"/>
              <w:rPr>
                <w:rFonts w:ascii="宋体" w:hAnsi="宋体" w:cs="仿宋"/>
                <w:b/>
                <w:sz w:val="24"/>
              </w:rPr>
            </w:pPr>
            <w:r>
              <w:rPr>
                <w:rFonts w:hint="eastAsia" w:ascii="宋体" w:hAnsi="宋体" w:cs="仿宋"/>
                <w:b/>
                <w:sz w:val="24"/>
              </w:rPr>
              <w:t>二、维护企业在政府采购活动中的知情权</w:t>
            </w:r>
          </w:p>
          <w:p w14:paraId="56289491">
            <w:pPr>
              <w:adjustRightInd w:val="0"/>
              <w:snapToGrid w:val="0"/>
              <w:spacing w:line="360" w:lineRule="auto"/>
              <w:ind w:firstLine="480" w:firstLineChars="200"/>
              <w:jc w:val="left"/>
              <w:rPr>
                <w:rFonts w:ascii="宋体" w:hAnsi="宋体" w:cs="仿宋"/>
                <w:sz w:val="24"/>
              </w:rPr>
            </w:pPr>
            <w:r>
              <w:rPr>
                <w:rFonts w:hint="eastAsia" w:ascii="宋体" w:hAnsi="宋体" w:cs="仿宋"/>
                <w:sz w:val="24"/>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6DD85511">
            <w:pPr>
              <w:adjustRightInd w:val="0"/>
              <w:snapToGrid w:val="0"/>
              <w:spacing w:line="360" w:lineRule="auto"/>
              <w:ind w:firstLine="482" w:firstLineChars="200"/>
              <w:jc w:val="left"/>
              <w:rPr>
                <w:rFonts w:ascii="宋体" w:hAnsi="宋体" w:cs="仿宋"/>
                <w:b/>
                <w:sz w:val="24"/>
              </w:rPr>
            </w:pPr>
            <w:r>
              <w:rPr>
                <w:rFonts w:hint="eastAsia" w:ascii="宋体" w:hAnsi="宋体" w:cs="仿宋"/>
                <w:b/>
                <w:sz w:val="24"/>
              </w:rPr>
              <w:t>三、提供中小企业声明函格式</w:t>
            </w:r>
          </w:p>
          <w:p w14:paraId="1F445794">
            <w:pPr>
              <w:pStyle w:val="25"/>
              <w:adjustRightInd w:val="0"/>
              <w:snapToGrid w:val="0"/>
              <w:spacing w:after="0" w:line="360" w:lineRule="auto"/>
              <w:ind w:firstLine="480" w:firstLineChars="200"/>
              <w:rPr>
                <w:rFonts w:ascii="宋体" w:hAnsi="宋体" w:cs="仿宋"/>
                <w:kern w:val="2"/>
                <w:sz w:val="24"/>
                <w:szCs w:val="24"/>
                <w:lang w:val="en-US"/>
              </w:rPr>
            </w:pPr>
            <w:r>
              <w:rPr>
                <w:rFonts w:hint="eastAsia" w:ascii="宋体" w:hAnsi="宋体" w:cs="仿宋"/>
                <w:sz w:val="24"/>
                <w:szCs w:val="24"/>
              </w:rPr>
              <w:t>在采购文件中，采购代理机构应按照财政部、工信部印发的《政</w:t>
            </w:r>
            <w:r>
              <w:rPr>
                <w:rFonts w:hint="eastAsia" w:ascii="宋体" w:hAnsi="宋体" w:cs="仿宋"/>
                <w:kern w:val="2"/>
                <w:sz w:val="24"/>
                <w:szCs w:val="24"/>
                <w:lang w:val="en-US"/>
              </w:rPr>
              <w:t>府采购促进中小企业发展管理办法》的通知精神（财库〔2020〕46号）提供中小企业声明函格式。</w:t>
            </w:r>
          </w:p>
          <w:p w14:paraId="1BE0798C">
            <w:pPr>
              <w:pStyle w:val="25"/>
              <w:adjustRightInd w:val="0"/>
              <w:snapToGrid w:val="0"/>
              <w:spacing w:after="0" w:line="360" w:lineRule="auto"/>
              <w:ind w:firstLine="480" w:firstLineChars="200"/>
              <w:rPr>
                <w:rFonts w:ascii="宋体" w:hAnsi="宋体" w:cs="仿宋"/>
                <w:kern w:val="2"/>
                <w:sz w:val="24"/>
                <w:szCs w:val="24"/>
                <w:lang w:val="en-US"/>
              </w:rPr>
            </w:pPr>
            <w:r>
              <w:rPr>
                <w:rFonts w:hint="eastAsia" w:ascii="宋体" w:hAnsi="宋体" w:cs="仿宋"/>
                <w:kern w:val="2"/>
                <w:sz w:val="24"/>
                <w:szCs w:val="24"/>
                <w:lang w:val="en-US"/>
              </w:rPr>
              <w:t>根据《政府采购促进中小企业发展管理办法》（财库〔2020〕46号）第四条：在政府采购活动中，供应商提供的货物、工程或者服务符合下列情形的，享受本办法规定的中小企业扶持政策：</w:t>
            </w:r>
          </w:p>
          <w:p w14:paraId="0DA3ACDB">
            <w:pPr>
              <w:pStyle w:val="25"/>
              <w:adjustRightInd w:val="0"/>
              <w:snapToGrid w:val="0"/>
              <w:spacing w:after="0" w:line="360" w:lineRule="auto"/>
              <w:ind w:firstLine="480" w:firstLineChars="200"/>
              <w:rPr>
                <w:rFonts w:ascii="宋体" w:hAnsi="宋体" w:cs="仿宋"/>
                <w:kern w:val="2"/>
                <w:sz w:val="24"/>
                <w:szCs w:val="24"/>
                <w:lang w:val="en-US"/>
              </w:rPr>
            </w:pPr>
            <w:r>
              <w:rPr>
                <w:rFonts w:hint="eastAsia" w:ascii="宋体" w:hAnsi="宋体" w:cs="仿宋"/>
                <w:kern w:val="2"/>
                <w:sz w:val="24"/>
                <w:szCs w:val="24"/>
                <w:lang w:val="en-US"/>
              </w:rPr>
              <w:t>（一）在货物采购项目中，货物由中小企业制造，即货物由中小企业生产且使用该中小企业商号或者注册商标；</w:t>
            </w:r>
          </w:p>
          <w:p w14:paraId="5B2AFB7D">
            <w:pPr>
              <w:pStyle w:val="25"/>
              <w:adjustRightInd w:val="0"/>
              <w:snapToGrid w:val="0"/>
              <w:spacing w:after="0" w:line="360" w:lineRule="auto"/>
              <w:ind w:firstLine="480" w:firstLineChars="200"/>
              <w:rPr>
                <w:rFonts w:ascii="宋体" w:hAnsi="宋体" w:cs="仿宋"/>
                <w:kern w:val="2"/>
                <w:sz w:val="24"/>
                <w:szCs w:val="24"/>
                <w:lang w:val="en-US"/>
              </w:rPr>
            </w:pPr>
            <w:r>
              <w:rPr>
                <w:rFonts w:hint="eastAsia" w:ascii="宋体" w:hAnsi="宋体" w:cs="仿宋"/>
                <w:kern w:val="2"/>
                <w:sz w:val="24"/>
                <w:szCs w:val="24"/>
                <w:lang w:val="en-US"/>
              </w:rPr>
              <w:t>（二）在工程采购项目中，工程由中小企业承建，即工程施工单位为中小企业；</w:t>
            </w:r>
          </w:p>
          <w:p w14:paraId="1AFED184">
            <w:pPr>
              <w:pStyle w:val="25"/>
              <w:adjustRightInd w:val="0"/>
              <w:snapToGrid w:val="0"/>
              <w:spacing w:after="0" w:line="360" w:lineRule="auto"/>
              <w:ind w:firstLine="480" w:firstLineChars="200"/>
              <w:rPr>
                <w:rFonts w:ascii="宋体" w:hAnsi="宋体" w:cs="仿宋"/>
                <w:kern w:val="2"/>
                <w:sz w:val="24"/>
                <w:szCs w:val="24"/>
                <w:lang w:val="en-US"/>
              </w:rPr>
            </w:pPr>
            <w:r>
              <w:rPr>
                <w:rFonts w:hint="eastAsia" w:ascii="宋体" w:hAnsi="宋体" w:cs="仿宋"/>
                <w:kern w:val="2"/>
                <w:sz w:val="24"/>
                <w:szCs w:val="24"/>
                <w:lang w:val="en-US"/>
              </w:rPr>
              <w:t>（三）在服务采购项目中，服务由中小企业承接，即提供服务的人员为中小企业依照《中华人民共和国劳动合同法》订立劳动合同的从业人员。</w:t>
            </w:r>
          </w:p>
          <w:p w14:paraId="3CB86608">
            <w:pPr>
              <w:pStyle w:val="25"/>
              <w:adjustRightInd w:val="0"/>
              <w:snapToGrid w:val="0"/>
              <w:spacing w:after="0" w:line="360" w:lineRule="auto"/>
              <w:ind w:firstLine="480" w:firstLineChars="200"/>
              <w:rPr>
                <w:rFonts w:ascii="宋体" w:hAnsi="宋体" w:cs="仿宋"/>
                <w:kern w:val="2"/>
                <w:sz w:val="24"/>
                <w:szCs w:val="24"/>
                <w:lang w:val="en-US"/>
              </w:rPr>
            </w:pPr>
            <w:r>
              <w:rPr>
                <w:rFonts w:hint="eastAsia" w:ascii="宋体" w:hAnsi="宋体" w:cs="仿宋"/>
                <w:kern w:val="2"/>
                <w:sz w:val="24"/>
                <w:szCs w:val="24"/>
                <w:lang w:val="en-US"/>
              </w:rPr>
              <w:t>在货物采购项目中，供应商提供的货物既有中小企业制造货物，也有大型企业制造货物的，不享受本办法规定的中小企业扶持政策。</w:t>
            </w:r>
          </w:p>
          <w:p w14:paraId="092F19C6">
            <w:pPr>
              <w:pStyle w:val="25"/>
              <w:adjustRightInd w:val="0"/>
              <w:snapToGrid w:val="0"/>
              <w:spacing w:after="0" w:line="360" w:lineRule="auto"/>
              <w:ind w:firstLine="480" w:firstLineChars="200"/>
              <w:rPr>
                <w:rFonts w:ascii="宋体" w:hAnsi="宋体" w:cs="仿宋"/>
                <w:sz w:val="24"/>
                <w:szCs w:val="24"/>
              </w:rPr>
            </w:pPr>
            <w:r>
              <w:rPr>
                <w:rFonts w:hint="eastAsia" w:ascii="宋体" w:hAnsi="宋体" w:cs="仿宋"/>
                <w:kern w:val="2"/>
                <w:sz w:val="24"/>
                <w:szCs w:val="24"/>
                <w:lang w:val="en-US"/>
              </w:rPr>
              <w:t>以联合体形式参加政府采购活动，联合体各方均为中小企业的，联合体视同中小企业。其中，联合体各方均为小微企业的，联合体视同小微企业</w:t>
            </w:r>
            <w:r>
              <w:rPr>
                <w:rFonts w:hint="eastAsia" w:ascii="宋体" w:hAnsi="宋体" w:cs="仿宋"/>
                <w:sz w:val="24"/>
                <w:szCs w:val="24"/>
              </w:rPr>
              <w:t>。</w:t>
            </w:r>
          </w:p>
          <w:p w14:paraId="6EFC84BD">
            <w:pPr>
              <w:adjustRightInd w:val="0"/>
              <w:snapToGrid w:val="0"/>
              <w:spacing w:line="360" w:lineRule="auto"/>
              <w:ind w:firstLine="482" w:firstLineChars="200"/>
              <w:jc w:val="left"/>
              <w:rPr>
                <w:rFonts w:ascii="宋体" w:hAnsi="宋体" w:cs="仿宋"/>
                <w:b/>
                <w:sz w:val="24"/>
              </w:rPr>
            </w:pPr>
            <w:r>
              <w:rPr>
                <w:rFonts w:hint="eastAsia" w:ascii="宋体" w:hAnsi="宋体" w:cs="仿宋"/>
                <w:b/>
                <w:sz w:val="24"/>
              </w:rPr>
              <w:t>四、推广政府采购合同融资</w:t>
            </w:r>
          </w:p>
          <w:p w14:paraId="687D2F42">
            <w:pPr>
              <w:pStyle w:val="25"/>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要求采购人和代理机构将“政府采购合同融资告知函”写入招标文件，鼓励中标供应商凭借采购合同申请贷款，助力解决中小企业融资难、融资贵的问题。</w:t>
            </w:r>
          </w:p>
          <w:p w14:paraId="258AE6B2">
            <w:pPr>
              <w:numPr>
                <w:ilvl w:val="0"/>
                <w:numId w:val="4"/>
              </w:numPr>
              <w:adjustRightInd w:val="0"/>
              <w:snapToGrid w:val="0"/>
              <w:spacing w:line="360" w:lineRule="auto"/>
              <w:ind w:firstLine="482" w:firstLineChars="200"/>
              <w:jc w:val="left"/>
              <w:rPr>
                <w:rFonts w:ascii="宋体" w:hAnsi="宋体" w:cs="仿宋"/>
                <w:b/>
                <w:sz w:val="24"/>
              </w:rPr>
            </w:pPr>
            <w:r>
              <w:rPr>
                <w:rFonts w:hint="eastAsia" w:ascii="宋体" w:hAnsi="宋体" w:cs="仿宋"/>
                <w:b/>
                <w:sz w:val="24"/>
              </w:rPr>
              <w:t>落实预留采购份额</w:t>
            </w:r>
          </w:p>
          <w:p w14:paraId="5CC10DD5">
            <w:pPr>
              <w:adjustRightInd w:val="0"/>
              <w:snapToGrid w:val="0"/>
              <w:spacing w:line="360" w:lineRule="auto"/>
              <w:ind w:firstLine="480" w:firstLineChars="200"/>
              <w:jc w:val="left"/>
              <w:rPr>
                <w:rFonts w:ascii="宋体" w:hAnsi="宋体" w:cs="仿宋"/>
                <w:kern w:val="0"/>
                <w:sz w:val="24"/>
                <w:lang w:val="zh-CN"/>
              </w:rPr>
            </w:pPr>
            <w:r>
              <w:rPr>
                <w:rFonts w:hint="eastAsia" w:ascii="宋体" w:hAnsi="宋体" w:cs="仿宋"/>
                <w:kern w:val="0"/>
                <w:sz w:val="24"/>
                <w:lang w:val="zh-CN"/>
              </w:rPr>
              <w:t>根据《政府采购促进中小企业发展管理办法》第六条中“（三）按照本办法规定预留采购份额无法确保充分供应、充分竞争，或者存在可能影响政府采购目标实现的情形”的规定，该项目不适宜专门面向中小企业采购。</w:t>
            </w:r>
          </w:p>
          <w:p w14:paraId="753C960B">
            <w:pPr>
              <w:adjustRightInd w:val="0"/>
              <w:snapToGrid w:val="0"/>
              <w:spacing w:line="360" w:lineRule="auto"/>
              <w:ind w:left="105" w:leftChars="50" w:firstLine="482" w:firstLineChars="200"/>
              <w:jc w:val="left"/>
              <w:rPr>
                <w:rFonts w:ascii="宋体" w:hAnsi="宋体" w:cs="仿宋"/>
                <w:b/>
                <w:sz w:val="24"/>
              </w:rPr>
            </w:pPr>
            <w:r>
              <w:rPr>
                <w:rFonts w:hint="eastAsia" w:ascii="宋体" w:hAnsi="宋体" w:cs="仿宋"/>
                <w:b/>
                <w:sz w:val="24"/>
              </w:rPr>
              <w:t>六、落实价格评审优惠政策</w:t>
            </w:r>
          </w:p>
          <w:p w14:paraId="305512E4">
            <w:pPr>
              <w:pStyle w:val="25"/>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p w14:paraId="4AC28813">
            <w:pPr>
              <w:pStyle w:val="25"/>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七、采购设备若属于“节能产品政府采购清单”范围的，投标人应当列明本项目中所投的“节能产品清单”并提供相关有效证明材料。参与投标的产品中如有政府采购强制采购产品的，必须在财政部和国家发展改革委联合下发的最新一期节能产品政府采购清单之内(提供证明材料)。评标时涉及节能产品的，将按《节能产品政府采购实施意见》(财库[2004]185号)、《国务院关于印发节能减排综合性工作方案的通知》(国发〔2007〕15号)和国家最新公布的节能产品政府采购清单的规定执行。</w:t>
            </w:r>
          </w:p>
          <w:p w14:paraId="23EB132D">
            <w:pPr>
              <w:pStyle w:val="25"/>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八、采购设备若属于“环境标志产品政府采购清单” 范围的，投标人应当列明本项目中最新一期所投的“环境标志产品清单”并提供相关有效证明材料，否则不予认可。评标时涉及环境标志产品的将按《环境标志产品政府采购实施意见》(财库 [2006]90号)的规定执行。</w:t>
            </w:r>
          </w:p>
        </w:tc>
      </w:tr>
      <w:tr w14:paraId="7109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4" w:type="dxa"/>
            <w:vAlign w:val="center"/>
          </w:tcPr>
          <w:p w14:paraId="44250B19">
            <w:pPr>
              <w:spacing w:line="360" w:lineRule="auto"/>
              <w:jc w:val="center"/>
              <w:rPr>
                <w:rFonts w:hint="default" w:ascii="宋体" w:hAnsi="宋体" w:eastAsia="宋体" w:cs="仿宋"/>
                <w:sz w:val="24"/>
                <w:lang w:val="en-US" w:eastAsia="zh-CN"/>
              </w:rPr>
            </w:pPr>
            <w:r>
              <w:rPr>
                <w:rFonts w:hint="eastAsia" w:ascii="宋体" w:hAnsi="宋体" w:cs="仿宋"/>
                <w:sz w:val="24"/>
                <w:lang w:val="en-US" w:eastAsia="zh-CN"/>
              </w:rPr>
              <w:t>35</w:t>
            </w:r>
          </w:p>
        </w:tc>
        <w:tc>
          <w:tcPr>
            <w:tcW w:w="2126" w:type="dxa"/>
            <w:vAlign w:val="center"/>
          </w:tcPr>
          <w:p w14:paraId="5C278CD5">
            <w:pPr>
              <w:spacing w:line="360" w:lineRule="auto"/>
              <w:jc w:val="center"/>
              <w:rPr>
                <w:rFonts w:ascii="宋体" w:hAnsi="宋体" w:cs="仿宋"/>
                <w:bCs/>
                <w:sz w:val="24"/>
              </w:rPr>
            </w:pPr>
            <w:r>
              <w:rPr>
                <w:rFonts w:hint="eastAsia" w:ascii="宋体" w:hAnsi="宋体" w:cs="仿宋"/>
                <w:bCs/>
                <w:sz w:val="24"/>
              </w:rPr>
              <w:t>本项目所属行业</w:t>
            </w:r>
          </w:p>
        </w:tc>
        <w:tc>
          <w:tcPr>
            <w:tcW w:w="7040" w:type="dxa"/>
            <w:vAlign w:val="center"/>
          </w:tcPr>
          <w:p w14:paraId="287E8DBF">
            <w:pPr>
              <w:pStyle w:val="25"/>
              <w:spacing w:after="0" w:line="360" w:lineRule="auto"/>
              <w:ind w:firstLine="0" w:firstLineChars="0"/>
              <w:rPr>
                <w:rFonts w:ascii="宋体" w:hAnsi="宋体" w:cs="仿宋"/>
                <w:kern w:val="2"/>
                <w:sz w:val="24"/>
                <w:szCs w:val="24"/>
                <w:lang w:val="en-US"/>
              </w:rPr>
            </w:pPr>
            <w:r>
              <w:rPr>
                <w:rFonts w:hint="eastAsia" w:ascii="宋体" w:hAnsi="宋体" w:cs="仿宋"/>
                <w:kern w:val="2"/>
                <w:sz w:val="24"/>
                <w:szCs w:val="24"/>
                <w:lang w:val="en-US"/>
              </w:rPr>
              <w:t>采购标的所属行业：软件和信息技术服务业</w:t>
            </w:r>
          </w:p>
          <w:p w14:paraId="2072D95B">
            <w:pPr>
              <w:pStyle w:val="25"/>
              <w:spacing w:after="0" w:line="360" w:lineRule="auto"/>
              <w:ind w:firstLine="0" w:firstLineChars="0"/>
              <w:rPr>
                <w:rFonts w:ascii="宋体" w:hAnsi="宋体" w:cs="仿宋"/>
                <w:kern w:val="2"/>
                <w:sz w:val="24"/>
                <w:szCs w:val="24"/>
                <w:lang w:val="en-US"/>
              </w:rPr>
            </w:pPr>
            <w:r>
              <w:rPr>
                <w:rFonts w:hint="eastAsia" w:ascii="宋体" w:hAnsi="宋体" w:cs="仿宋"/>
                <w:kern w:val="2"/>
                <w:sz w:val="24"/>
                <w:szCs w:val="24"/>
                <w:lang w:val="en-US"/>
              </w:rPr>
              <w:t xml:space="preserve">划定标准（行业属性划分参照关于印发中小企业划型标准规定的通知(工信部联企业〔2011〕300号) </w:t>
            </w:r>
          </w:p>
        </w:tc>
      </w:tr>
      <w:tr w14:paraId="1245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4" w:type="dxa"/>
            <w:vAlign w:val="center"/>
          </w:tcPr>
          <w:p w14:paraId="094DA7A2">
            <w:pPr>
              <w:spacing w:line="360" w:lineRule="auto"/>
              <w:jc w:val="center"/>
              <w:rPr>
                <w:rFonts w:hint="default" w:ascii="宋体" w:hAnsi="宋体" w:eastAsia="宋体" w:cs="仿宋"/>
                <w:sz w:val="24"/>
                <w:lang w:val="en-US" w:eastAsia="zh-CN"/>
              </w:rPr>
            </w:pPr>
            <w:r>
              <w:rPr>
                <w:rFonts w:hint="eastAsia" w:ascii="宋体" w:hAnsi="宋体" w:cs="仿宋"/>
                <w:sz w:val="24"/>
                <w:lang w:val="en-US" w:eastAsia="zh-CN"/>
              </w:rPr>
              <w:t>36</w:t>
            </w:r>
          </w:p>
        </w:tc>
        <w:tc>
          <w:tcPr>
            <w:tcW w:w="2126" w:type="dxa"/>
            <w:vAlign w:val="center"/>
          </w:tcPr>
          <w:p w14:paraId="0324A63B">
            <w:pPr>
              <w:spacing w:line="360" w:lineRule="auto"/>
              <w:jc w:val="center"/>
              <w:rPr>
                <w:rFonts w:ascii="宋体" w:hAnsi="宋体" w:cs="仿宋"/>
                <w:bCs/>
                <w:sz w:val="24"/>
              </w:rPr>
            </w:pPr>
            <w:r>
              <w:rPr>
                <w:rFonts w:hint="eastAsia" w:ascii="宋体" w:hAnsi="宋体" w:cs="仿宋"/>
                <w:kern w:val="0"/>
                <w:sz w:val="24"/>
                <w:lang w:val="zh-CN"/>
              </w:rPr>
              <w:t>落实绿色产品（节能产品、环境标志产品）优先采购政策</w:t>
            </w:r>
          </w:p>
        </w:tc>
        <w:tc>
          <w:tcPr>
            <w:tcW w:w="7040" w:type="dxa"/>
            <w:vAlign w:val="center"/>
          </w:tcPr>
          <w:p w14:paraId="3009D7A3">
            <w:pPr>
              <w:adjustRightInd w:val="0"/>
              <w:snapToGrid w:val="0"/>
              <w:spacing w:line="360" w:lineRule="auto"/>
              <w:ind w:firstLine="482" w:firstLineChars="200"/>
              <w:rPr>
                <w:rFonts w:ascii="宋体" w:hAnsi="宋体" w:cs="仿宋"/>
                <w:b/>
                <w:sz w:val="24"/>
              </w:rPr>
            </w:pPr>
            <w:r>
              <w:rPr>
                <w:rFonts w:hint="eastAsia" w:ascii="宋体" w:hAnsi="宋体" w:cs="仿宋"/>
                <w:b/>
                <w:sz w:val="24"/>
                <w:lang w:bidi="ar"/>
              </w:rPr>
              <w:t xml:space="preserve">1、政府强制采购的节能产品 </w:t>
            </w:r>
          </w:p>
          <w:p w14:paraId="04A25685">
            <w:pPr>
              <w:widowControl/>
              <w:adjustRightInd w:val="0"/>
              <w:snapToGrid w:val="0"/>
              <w:spacing w:line="360" w:lineRule="auto"/>
              <w:ind w:firstLine="480" w:firstLineChars="200"/>
              <w:rPr>
                <w:rFonts w:ascii="宋体" w:hAnsi="宋体" w:cs="仿宋"/>
                <w:bCs/>
                <w:kern w:val="0"/>
                <w:sz w:val="24"/>
                <w:lang w:bidi="ar"/>
              </w:rPr>
            </w:pPr>
            <w:r>
              <w:rPr>
                <w:rFonts w:hint="eastAsia" w:ascii="宋体" w:hAnsi="宋体" w:cs="仿宋"/>
                <w:bCs/>
                <w:kern w:val="0"/>
                <w:sz w:val="24"/>
                <w:lang w:bidi="ar"/>
              </w:rPr>
              <w:t>如投标人所投产品为</w:t>
            </w:r>
            <w:r>
              <w:rPr>
                <w:rFonts w:hint="eastAsia" w:ascii="宋体" w:hAnsi="宋体" w:cs="仿宋"/>
                <w:bCs/>
                <w:sz w:val="24"/>
                <w:lang w:bidi="ar"/>
              </w:rPr>
              <w:t>节能产品政府采购品目清单</w:t>
            </w:r>
            <w:r>
              <w:rPr>
                <w:rFonts w:hint="eastAsia" w:ascii="宋体" w:hAnsi="宋体" w:cs="仿宋"/>
                <w:bCs/>
                <w:kern w:val="0"/>
                <w:sz w:val="24"/>
                <w:lang w:bidi="ar"/>
              </w:rPr>
              <w:t>内强制采购节能产品的，投标人应在响应文件中提供</w:t>
            </w:r>
            <w:r>
              <w:rPr>
                <w:rFonts w:hint="eastAsia" w:ascii="宋体" w:hAnsi="宋体" w:cs="仿宋"/>
                <w:bCs/>
                <w:sz w:val="24"/>
                <w:lang w:bidi="ar"/>
              </w:rPr>
              <w:t>具有国家确定的认证机构出具的、处于有效期之内的节能标志产品认证证书原件扫描件</w:t>
            </w:r>
            <w:r>
              <w:rPr>
                <w:rFonts w:hint="eastAsia" w:ascii="宋体" w:hAnsi="宋体" w:cs="仿宋"/>
                <w:bCs/>
                <w:kern w:val="0"/>
                <w:sz w:val="24"/>
                <w:lang w:bidi="ar"/>
              </w:rPr>
              <w:t>，否则不能通过符合性审查。</w:t>
            </w:r>
          </w:p>
          <w:p w14:paraId="62DDEFAD">
            <w:pPr>
              <w:widowControl/>
              <w:adjustRightInd w:val="0"/>
              <w:snapToGrid w:val="0"/>
              <w:spacing w:line="360" w:lineRule="auto"/>
              <w:ind w:firstLine="482" w:firstLineChars="200"/>
              <w:rPr>
                <w:rFonts w:ascii="宋体" w:hAnsi="宋体" w:cs="仿宋"/>
                <w:b/>
                <w:kern w:val="0"/>
                <w:sz w:val="24"/>
                <w:lang w:bidi="ar"/>
              </w:rPr>
            </w:pPr>
            <w:r>
              <w:rPr>
                <w:rFonts w:hint="eastAsia" w:ascii="宋体" w:hAnsi="宋体" w:cs="仿宋"/>
                <w:b/>
                <w:kern w:val="0"/>
                <w:sz w:val="24"/>
                <w:lang w:bidi="ar"/>
              </w:rPr>
              <w:t>2、优先采购产品</w:t>
            </w:r>
          </w:p>
          <w:p w14:paraId="7740A4FF">
            <w:pPr>
              <w:widowControl/>
              <w:adjustRightInd w:val="0"/>
              <w:snapToGrid w:val="0"/>
              <w:spacing w:line="360" w:lineRule="auto"/>
              <w:ind w:firstLine="480" w:firstLineChars="200"/>
              <w:rPr>
                <w:rFonts w:ascii="宋体" w:hAnsi="宋体" w:cs="仿宋"/>
                <w:bCs/>
                <w:kern w:val="0"/>
                <w:sz w:val="24"/>
                <w:lang w:bidi="ar"/>
              </w:rPr>
            </w:pPr>
            <w:r>
              <w:rPr>
                <w:rFonts w:hint="eastAsia" w:ascii="宋体" w:hAnsi="宋体" w:cs="仿宋"/>
                <w:bCs/>
                <w:kern w:val="0"/>
                <w:sz w:val="24"/>
                <w:lang w:bidi="ar"/>
              </w:rPr>
              <w:t>（1）投标人所投货物在节能产品政府采购品目清单内的（强制采购节能产品以外的），投标人应在响应文件中提供具有国家确定的认证机构出具的、处于有效期之内的节能产品认证证书原件扫描件，在评审时对其投标价格给与2%的价格扣除，用扣除后的价格进行评审。</w:t>
            </w:r>
          </w:p>
          <w:p w14:paraId="0606D316">
            <w:pPr>
              <w:widowControl/>
              <w:adjustRightInd w:val="0"/>
              <w:snapToGrid w:val="0"/>
              <w:spacing w:line="360" w:lineRule="auto"/>
              <w:ind w:firstLine="480" w:firstLineChars="200"/>
              <w:rPr>
                <w:rFonts w:ascii="宋体" w:hAnsi="宋体" w:cs="仿宋"/>
                <w:bCs/>
                <w:kern w:val="0"/>
                <w:sz w:val="24"/>
                <w:lang w:bidi="ar"/>
              </w:rPr>
            </w:pPr>
            <w:r>
              <w:rPr>
                <w:rFonts w:hint="eastAsia" w:ascii="宋体" w:hAnsi="宋体" w:cs="仿宋"/>
                <w:bCs/>
                <w:kern w:val="0"/>
                <w:sz w:val="24"/>
                <w:lang w:bidi="ar"/>
              </w:rPr>
              <w:t>（2）投标人所投货物在环境标志产品品目清单内的，投标人应在响应文件中提供具有国家确定的认证机构出具的、处于有效期之内的环境标志产品认证证书原件扫描件，在评审时对其投标价格给与2%的价格扣除，用扣除后的价格进行评审。</w:t>
            </w:r>
          </w:p>
          <w:p w14:paraId="4EDC9DA0">
            <w:pPr>
              <w:widowControl/>
              <w:adjustRightInd w:val="0"/>
              <w:snapToGrid w:val="0"/>
              <w:spacing w:line="360" w:lineRule="auto"/>
              <w:ind w:firstLine="482" w:firstLineChars="200"/>
              <w:rPr>
                <w:rFonts w:ascii="宋体" w:hAnsi="宋体" w:cs="仿宋"/>
                <w:b/>
                <w:kern w:val="0"/>
                <w:sz w:val="24"/>
                <w:lang w:bidi="ar"/>
              </w:rPr>
            </w:pPr>
            <w:r>
              <w:rPr>
                <w:rFonts w:hint="eastAsia" w:ascii="宋体" w:hAnsi="宋体" w:cs="仿宋"/>
                <w:b/>
                <w:kern w:val="0"/>
                <w:sz w:val="24"/>
                <w:lang w:bidi="ar"/>
              </w:rPr>
              <w:t>3、优先采购产品</w:t>
            </w:r>
          </w:p>
          <w:p w14:paraId="0097EA88">
            <w:pPr>
              <w:widowControl/>
              <w:adjustRightInd w:val="0"/>
              <w:snapToGrid w:val="0"/>
              <w:spacing w:line="360" w:lineRule="auto"/>
              <w:ind w:firstLine="480" w:firstLineChars="200"/>
              <w:rPr>
                <w:rFonts w:ascii="宋体" w:hAnsi="宋体" w:cs="仿宋"/>
                <w:bCs/>
                <w:kern w:val="0"/>
                <w:sz w:val="24"/>
                <w:lang w:bidi="ar"/>
              </w:rPr>
            </w:pPr>
            <w:r>
              <w:rPr>
                <w:rFonts w:hint="eastAsia" w:ascii="宋体" w:hAnsi="宋体" w:cs="仿宋"/>
                <w:bCs/>
                <w:kern w:val="0"/>
                <w:sz w:val="24"/>
                <w:lang w:bidi="ar"/>
              </w:rPr>
              <w:t>落实创新产品优先采购政策。创新产品包括新工艺、新技术、新设备、新材料等，投标人提供投标产品属于创新产品的证明材料，对创新产品在评审时对其投标价格给予2%的价格扣除，用扣除后的价格进行评审。</w:t>
            </w:r>
          </w:p>
          <w:p w14:paraId="5F0D09FE">
            <w:pPr>
              <w:pStyle w:val="25"/>
              <w:adjustRightInd w:val="0"/>
              <w:snapToGrid w:val="0"/>
              <w:spacing w:line="360" w:lineRule="auto"/>
              <w:ind w:right="105" w:rightChars="50" w:firstLine="480" w:firstLineChars="200"/>
              <w:rPr>
                <w:rFonts w:ascii="宋体" w:hAnsi="宋体" w:cs="仿宋"/>
                <w:kern w:val="2"/>
                <w:sz w:val="24"/>
                <w:szCs w:val="24"/>
                <w:lang w:val="en-US"/>
              </w:rPr>
            </w:pPr>
            <w:r>
              <w:rPr>
                <w:rFonts w:hint="eastAsia" w:ascii="宋体" w:hAnsi="宋体" w:cs="仿宋"/>
                <w:bCs/>
                <w:sz w:val="24"/>
                <w:szCs w:val="24"/>
                <w:lang w:bidi="ar"/>
              </w:rPr>
              <w:t>优先采购的节能产品、环境标志产品、创新产品只算其中一个类型进行价格扣除，不重复进行价格扣除。</w:t>
            </w:r>
          </w:p>
        </w:tc>
      </w:tr>
      <w:tr w14:paraId="2321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04" w:type="dxa"/>
            <w:vAlign w:val="center"/>
          </w:tcPr>
          <w:p w14:paraId="064F4498">
            <w:pPr>
              <w:spacing w:line="360" w:lineRule="auto"/>
              <w:jc w:val="center"/>
              <w:rPr>
                <w:rFonts w:hint="eastAsia" w:ascii="宋体" w:hAnsi="宋体" w:eastAsia="宋体" w:cs="仿宋"/>
                <w:sz w:val="24"/>
                <w:lang w:eastAsia="zh-CN"/>
              </w:rPr>
            </w:pPr>
            <w:r>
              <w:rPr>
                <w:rFonts w:hint="eastAsia" w:ascii="宋体" w:hAnsi="宋体" w:cs="仿宋"/>
                <w:sz w:val="24"/>
              </w:rPr>
              <w:t>3</w:t>
            </w:r>
            <w:r>
              <w:rPr>
                <w:rFonts w:hint="eastAsia" w:ascii="宋体" w:hAnsi="宋体" w:cs="仿宋"/>
                <w:sz w:val="24"/>
                <w:lang w:val="en-US" w:eastAsia="zh-CN"/>
              </w:rPr>
              <w:t>7</w:t>
            </w:r>
          </w:p>
        </w:tc>
        <w:tc>
          <w:tcPr>
            <w:tcW w:w="2126" w:type="dxa"/>
            <w:vAlign w:val="center"/>
          </w:tcPr>
          <w:p w14:paraId="2A07275A">
            <w:pPr>
              <w:pStyle w:val="16"/>
              <w:spacing w:line="360" w:lineRule="auto"/>
              <w:rPr>
                <w:rFonts w:hAnsi="宋体" w:cs="仿宋"/>
                <w:b/>
                <w:bCs/>
                <w:sz w:val="24"/>
              </w:rPr>
            </w:pPr>
            <w:r>
              <w:rPr>
                <w:rFonts w:hint="eastAsia" w:hAnsi="宋体" w:cs="仿宋"/>
                <w:b/>
                <w:bCs/>
                <w:sz w:val="24"/>
              </w:rPr>
              <w:t>四方信用评价</w:t>
            </w:r>
          </w:p>
          <w:p w14:paraId="6F7D8102">
            <w:pPr>
              <w:spacing w:line="360" w:lineRule="auto"/>
              <w:jc w:val="center"/>
              <w:rPr>
                <w:rFonts w:hint="eastAsia" w:ascii="宋体" w:hAnsi="宋体" w:cs="仿宋"/>
                <w:bCs/>
                <w:sz w:val="24"/>
              </w:rPr>
            </w:pPr>
          </w:p>
        </w:tc>
        <w:tc>
          <w:tcPr>
            <w:tcW w:w="7040" w:type="dxa"/>
            <w:vAlign w:val="center"/>
          </w:tcPr>
          <w:p w14:paraId="3CCB1759">
            <w:pPr>
              <w:pStyle w:val="16"/>
              <w:spacing w:line="360" w:lineRule="auto"/>
              <w:ind w:firstLine="480" w:firstLineChars="200"/>
              <w:rPr>
                <w:rFonts w:hAnsi="宋体" w:cs="仿宋"/>
                <w:bCs/>
                <w:kern w:val="0"/>
                <w:sz w:val="24"/>
                <w:lang w:bidi="ar"/>
              </w:rPr>
            </w:pPr>
            <w:r>
              <w:rPr>
                <w:rFonts w:hint="eastAsia" w:hAnsi="宋体" w:cs="仿宋"/>
                <w:bCs/>
                <w:kern w:val="0"/>
                <w:sz w:val="24"/>
                <w:lang w:bidi="ar"/>
              </w:rPr>
              <w:t>平顶山市政府采购项目已实行四方信用评价功能，各方主体请登录“平顶山市政府采购网”按照评价要求进行客观公正的评价。</w:t>
            </w:r>
          </w:p>
          <w:p w14:paraId="564B8148">
            <w:pPr>
              <w:pStyle w:val="16"/>
              <w:spacing w:line="360" w:lineRule="auto"/>
              <w:ind w:firstLine="480" w:firstLineChars="200"/>
              <w:rPr>
                <w:rFonts w:hAnsi="宋体" w:cs="仿宋"/>
                <w:bCs/>
                <w:kern w:val="0"/>
                <w:sz w:val="24"/>
                <w:lang w:bidi="ar"/>
              </w:rPr>
            </w:pPr>
            <w:r>
              <w:rPr>
                <w:rFonts w:hint="eastAsia" w:hAnsi="宋体" w:cs="仿宋"/>
                <w:bCs/>
                <w:kern w:val="0"/>
                <w:sz w:val="24"/>
                <w:lang w:bidi="ar"/>
              </w:rPr>
              <w:t>1.采购人评价指标</w:t>
            </w:r>
          </w:p>
          <w:p w14:paraId="29AB79BB">
            <w:pPr>
              <w:pStyle w:val="16"/>
              <w:spacing w:line="360" w:lineRule="auto"/>
              <w:ind w:firstLine="480" w:firstLineChars="200"/>
              <w:rPr>
                <w:rFonts w:hAnsi="宋体" w:cs="仿宋"/>
                <w:bCs/>
                <w:kern w:val="0"/>
                <w:sz w:val="24"/>
                <w:lang w:bidi="ar"/>
              </w:rPr>
            </w:pPr>
            <w:r>
              <w:rPr>
                <w:rFonts w:hint="eastAsia" w:hAnsi="宋体" w:cs="仿宋"/>
                <w:bCs/>
                <w:kern w:val="0"/>
                <w:sz w:val="24"/>
                <w:lang w:bidi="ar"/>
              </w:rPr>
              <w:t>评价主体:中标、成交供应商。</w:t>
            </w:r>
          </w:p>
          <w:p w14:paraId="3269B4DB">
            <w:pPr>
              <w:pStyle w:val="16"/>
              <w:spacing w:line="360" w:lineRule="auto"/>
              <w:ind w:firstLine="480" w:firstLineChars="200"/>
              <w:rPr>
                <w:rFonts w:hAnsi="宋体" w:cs="仿宋"/>
                <w:bCs/>
                <w:kern w:val="0"/>
                <w:sz w:val="24"/>
                <w:lang w:bidi="ar"/>
              </w:rPr>
            </w:pPr>
            <w:r>
              <w:rPr>
                <w:rFonts w:hint="eastAsia" w:hAnsi="宋体" w:cs="仿宋"/>
                <w:bCs/>
                <w:kern w:val="0"/>
                <w:sz w:val="24"/>
                <w:lang w:bidi="ar"/>
              </w:rPr>
              <w:t>评价节点:合同履约完成后。</w:t>
            </w:r>
          </w:p>
          <w:p w14:paraId="1C4BF8B2">
            <w:pPr>
              <w:pStyle w:val="16"/>
              <w:spacing w:line="360" w:lineRule="auto"/>
              <w:ind w:firstLine="480" w:firstLineChars="200"/>
              <w:rPr>
                <w:rFonts w:hAnsi="宋体" w:cs="仿宋"/>
                <w:bCs/>
                <w:kern w:val="0"/>
                <w:sz w:val="24"/>
                <w:lang w:bidi="ar"/>
              </w:rPr>
            </w:pPr>
            <w:r>
              <w:rPr>
                <w:rFonts w:hint="eastAsia" w:hAnsi="宋体" w:cs="仿宋"/>
                <w:bCs/>
                <w:kern w:val="0"/>
                <w:sz w:val="24"/>
                <w:lang w:bidi="ar"/>
              </w:rPr>
              <w:t>2.对中标、成交供应商评价指标</w:t>
            </w:r>
          </w:p>
          <w:p w14:paraId="299094EA">
            <w:pPr>
              <w:pStyle w:val="16"/>
              <w:spacing w:line="360" w:lineRule="auto"/>
              <w:ind w:firstLine="480" w:firstLineChars="200"/>
              <w:rPr>
                <w:rFonts w:hAnsi="宋体" w:cs="仿宋"/>
                <w:bCs/>
                <w:kern w:val="0"/>
                <w:sz w:val="24"/>
                <w:lang w:bidi="ar"/>
              </w:rPr>
            </w:pPr>
            <w:r>
              <w:rPr>
                <w:rFonts w:hint="eastAsia" w:hAnsi="宋体" w:cs="仿宋"/>
                <w:bCs/>
                <w:kern w:val="0"/>
                <w:sz w:val="24"/>
                <w:lang w:bidi="ar"/>
              </w:rPr>
              <w:t>评价主体为:采购人。</w:t>
            </w:r>
          </w:p>
          <w:p w14:paraId="2AAD9D17">
            <w:pPr>
              <w:pStyle w:val="16"/>
              <w:spacing w:line="360" w:lineRule="auto"/>
              <w:ind w:firstLine="480" w:firstLineChars="200"/>
              <w:rPr>
                <w:rFonts w:hAnsi="宋体" w:cs="仿宋"/>
                <w:bCs/>
                <w:kern w:val="0"/>
                <w:sz w:val="24"/>
                <w:lang w:bidi="ar"/>
              </w:rPr>
            </w:pPr>
            <w:r>
              <w:rPr>
                <w:rFonts w:hint="eastAsia" w:hAnsi="宋体" w:cs="仿宋"/>
                <w:bCs/>
                <w:kern w:val="0"/>
                <w:sz w:val="24"/>
                <w:lang w:bidi="ar"/>
              </w:rPr>
              <w:t>评价节点:合同履约完成后。</w:t>
            </w:r>
          </w:p>
          <w:p w14:paraId="61704B27">
            <w:pPr>
              <w:pStyle w:val="16"/>
              <w:spacing w:line="360" w:lineRule="auto"/>
              <w:ind w:firstLine="480" w:firstLineChars="200"/>
              <w:rPr>
                <w:rFonts w:hAnsi="宋体" w:cs="仿宋"/>
                <w:bCs/>
                <w:kern w:val="0"/>
                <w:sz w:val="24"/>
                <w:lang w:bidi="ar"/>
              </w:rPr>
            </w:pPr>
            <w:r>
              <w:rPr>
                <w:rFonts w:hint="eastAsia" w:hAnsi="宋体" w:cs="仿宋"/>
                <w:bCs/>
                <w:kern w:val="0"/>
                <w:sz w:val="24"/>
                <w:lang w:bidi="ar"/>
              </w:rPr>
              <w:t>3.评审专家评价指标</w:t>
            </w:r>
          </w:p>
          <w:p w14:paraId="2C00022B">
            <w:pPr>
              <w:pStyle w:val="16"/>
              <w:spacing w:line="360" w:lineRule="auto"/>
              <w:ind w:firstLine="480" w:firstLineChars="200"/>
              <w:rPr>
                <w:rFonts w:hAnsi="宋体" w:cs="仿宋"/>
                <w:bCs/>
                <w:kern w:val="0"/>
                <w:sz w:val="24"/>
                <w:lang w:bidi="ar"/>
              </w:rPr>
            </w:pPr>
            <w:r>
              <w:rPr>
                <w:rFonts w:hint="eastAsia" w:hAnsi="宋体" w:cs="仿宋"/>
                <w:bCs/>
                <w:kern w:val="0"/>
                <w:sz w:val="24"/>
                <w:lang w:bidi="ar"/>
              </w:rPr>
              <w:t>评价主体为:采购人、代理机构。</w:t>
            </w:r>
          </w:p>
          <w:p w14:paraId="175FEDC9">
            <w:pPr>
              <w:pStyle w:val="16"/>
              <w:spacing w:line="360" w:lineRule="auto"/>
              <w:ind w:firstLine="480" w:firstLineChars="200"/>
              <w:rPr>
                <w:rFonts w:hAnsi="宋体" w:cs="仿宋"/>
                <w:bCs/>
                <w:kern w:val="0"/>
                <w:sz w:val="24"/>
                <w:lang w:bidi="ar"/>
              </w:rPr>
            </w:pPr>
            <w:r>
              <w:rPr>
                <w:rFonts w:hint="eastAsia" w:hAnsi="宋体" w:cs="仿宋"/>
                <w:bCs/>
                <w:kern w:val="0"/>
                <w:sz w:val="24"/>
                <w:lang w:bidi="ar"/>
              </w:rPr>
              <w:t>评价节点:项目评审结束后。</w:t>
            </w:r>
          </w:p>
          <w:p w14:paraId="5631FA68">
            <w:pPr>
              <w:pStyle w:val="16"/>
              <w:spacing w:line="360" w:lineRule="auto"/>
              <w:ind w:firstLine="480" w:firstLineChars="200"/>
              <w:rPr>
                <w:rFonts w:hAnsi="宋体" w:cs="仿宋"/>
                <w:bCs/>
                <w:kern w:val="0"/>
                <w:sz w:val="24"/>
                <w:lang w:bidi="ar"/>
              </w:rPr>
            </w:pPr>
            <w:r>
              <w:rPr>
                <w:rFonts w:hint="eastAsia" w:hAnsi="宋体" w:cs="仿宋"/>
                <w:bCs/>
                <w:kern w:val="0"/>
                <w:sz w:val="24"/>
                <w:lang w:bidi="ar"/>
              </w:rPr>
              <w:t>4.代理机构评价指标</w:t>
            </w:r>
          </w:p>
          <w:p w14:paraId="56603F12">
            <w:pPr>
              <w:pStyle w:val="16"/>
              <w:spacing w:line="360" w:lineRule="auto"/>
              <w:ind w:firstLine="480" w:firstLineChars="200"/>
              <w:rPr>
                <w:rFonts w:hAnsi="宋体" w:cs="仿宋"/>
                <w:bCs/>
                <w:kern w:val="0"/>
                <w:sz w:val="24"/>
                <w:lang w:bidi="ar"/>
              </w:rPr>
            </w:pPr>
            <w:r>
              <w:rPr>
                <w:rFonts w:hint="eastAsia" w:hAnsi="宋体" w:cs="仿宋"/>
                <w:bCs/>
                <w:kern w:val="0"/>
                <w:sz w:val="24"/>
                <w:lang w:bidi="ar"/>
              </w:rPr>
              <w:t>评价主体为:采购人、评审专家、供应商。</w:t>
            </w:r>
          </w:p>
          <w:p w14:paraId="456086D5">
            <w:pPr>
              <w:pStyle w:val="16"/>
              <w:spacing w:line="360" w:lineRule="auto"/>
              <w:ind w:firstLine="480" w:firstLineChars="200"/>
              <w:rPr>
                <w:rFonts w:hAnsi="宋体" w:cs="仿宋"/>
                <w:sz w:val="24"/>
              </w:rPr>
            </w:pPr>
            <w:r>
              <w:rPr>
                <w:rFonts w:hint="eastAsia" w:hAnsi="宋体" w:cs="仿宋"/>
                <w:bCs/>
                <w:kern w:val="0"/>
                <w:sz w:val="24"/>
                <w:lang w:bidi="ar"/>
              </w:rPr>
              <w:t>评价节点:项目评审结束后。</w:t>
            </w:r>
          </w:p>
        </w:tc>
      </w:tr>
      <w:tr w14:paraId="4364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04" w:type="dxa"/>
            <w:vAlign w:val="center"/>
          </w:tcPr>
          <w:p w14:paraId="533D14D0">
            <w:pPr>
              <w:spacing w:line="360" w:lineRule="auto"/>
              <w:jc w:val="center"/>
              <w:rPr>
                <w:rFonts w:hint="default" w:ascii="宋体" w:hAnsi="宋体" w:eastAsia="宋体" w:cs="仿宋"/>
                <w:sz w:val="24"/>
                <w:lang w:val="en-US" w:eastAsia="zh-CN"/>
              </w:rPr>
            </w:pPr>
            <w:r>
              <w:rPr>
                <w:rFonts w:hint="eastAsia" w:ascii="宋体" w:hAnsi="宋体" w:cs="仿宋"/>
                <w:sz w:val="24"/>
                <w:lang w:val="en-US" w:eastAsia="zh-CN"/>
              </w:rPr>
              <w:t>38</w:t>
            </w:r>
          </w:p>
        </w:tc>
        <w:tc>
          <w:tcPr>
            <w:tcW w:w="2126" w:type="dxa"/>
            <w:vAlign w:val="center"/>
          </w:tcPr>
          <w:p w14:paraId="69543FF5">
            <w:pPr>
              <w:widowControl/>
              <w:spacing w:line="360" w:lineRule="auto"/>
              <w:ind w:left="191" w:leftChars="91"/>
              <w:jc w:val="center"/>
              <w:rPr>
                <w:rFonts w:ascii="宋体" w:hAnsi="宋体" w:cs="仿宋"/>
                <w:bCs/>
                <w:sz w:val="24"/>
              </w:rPr>
            </w:pPr>
            <w:r>
              <w:rPr>
                <w:rFonts w:hint="eastAsia" w:ascii="宋体" w:hAnsi="宋体" w:cs="仿宋"/>
                <w:b/>
                <w:bCs/>
                <w:kern w:val="0"/>
                <w:sz w:val="24"/>
                <w:lang w:bidi="ar"/>
              </w:rPr>
              <w:t>电子营业执照应用</w:t>
            </w:r>
          </w:p>
        </w:tc>
        <w:tc>
          <w:tcPr>
            <w:tcW w:w="7040" w:type="dxa"/>
            <w:vAlign w:val="center"/>
          </w:tcPr>
          <w:p w14:paraId="60269662">
            <w:pPr>
              <w:pStyle w:val="16"/>
              <w:spacing w:line="360" w:lineRule="auto"/>
              <w:ind w:firstLine="480" w:firstLineChars="200"/>
              <w:rPr>
                <w:rFonts w:hAnsi="宋体" w:cs="仿宋"/>
                <w:sz w:val="24"/>
              </w:rPr>
            </w:pPr>
            <w:r>
              <w:rPr>
                <w:rFonts w:hint="eastAsia" w:hAnsi="宋体" w:cs="仿宋"/>
                <w:bCs/>
                <w:kern w:val="0"/>
                <w:sz w:val="24"/>
                <w:lang w:bidi="ar"/>
              </w:rPr>
              <w:t>电子营业执照应用事项详见《平顶山市公共资源交易中心关于进一步深化电子营业执照在公共资源交易领域应用的通知》（网址：http://ggzy.pds.gov.cn/tzgg/70301.jhtml）</w:t>
            </w:r>
          </w:p>
        </w:tc>
      </w:tr>
      <w:tr w14:paraId="1301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4" w:type="dxa"/>
            <w:vAlign w:val="center"/>
          </w:tcPr>
          <w:p w14:paraId="7280A90F">
            <w:pPr>
              <w:spacing w:line="360" w:lineRule="auto"/>
              <w:jc w:val="center"/>
              <w:rPr>
                <w:rFonts w:hint="default" w:ascii="宋体" w:hAnsi="宋体" w:eastAsia="宋体" w:cs="仿宋"/>
                <w:sz w:val="24"/>
                <w:lang w:val="en-US" w:eastAsia="zh-CN"/>
              </w:rPr>
            </w:pPr>
            <w:r>
              <w:rPr>
                <w:rFonts w:hint="eastAsia" w:ascii="宋体" w:hAnsi="宋体" w:cs="仿宋"/>
                <w:sz w:val="24"/>
                <w:lang w:val="en-US" w:eastAsia="zh-CN"/>
              </w:rPr>
              <w:t>39</w:t>
            </w:r>
          </w:p>
        </w:tc>
        <w:tc>
          <w:tcPr>
            <w:tcW w:w="2126" w:type="dxa"/>
            <w:vAlign w:val="center"/>
          </w:tcPr>
          <w:p w14:paraId="4CE2AC4B">
            <w:pPr>
              <w:widowControl/>
              <w:spacing w:line="360" w:lineRule="auto"/>
              <w:ind w:left="191" w:leftChars="91"/>
              <w:jc w:val="center"/>
              <w:rPr>
                <w:rFonts w:ascii="宋体" w:hAnsi="宋体" w:cs="仿宋"/>
                <w:b/>
                <w:bCs/>
                <w:kern w:val="0"/>
                <w:sz w:val="24"/>
                <w:lang w:bidi="ar"/>
              </w:rPr>
            </w:pPr>
            <w:r>
              <w:rPr>
                <w:rFonts w:hint="eastAsia" w:ascii="宋体" w:hAnsi="宋体" w:cs="仿宋"/>
                <w:b/>
                <w:bCs/>
                <w:kern w:val="0"/>
                <w:sz w:val="24"/>
                <w:lang w:bidi="ar"/>
              </w:rPr>
              <w:t>合同签订方式</w:t>
            </w:r>
          </w:p>
        </w:tc>
        <w:tc>
          <w:tcPr>
            <w:tcW w:w="7040" w:type="dxa"/>
            <w:vAlign w:val="center"/>
          </w:tcPr>
          <w:p w14:paraId="2EF89F3A">
            <w:pPr>
              <w:pStyle w:val="16"/>
              <w:spacing w:line="360" w:lineRule="auto"/>
              <w:ind w:firstLine="480" w:firstLineChars="200"/>
              <w:rPr>
                <w:rFonts w:hAnsi="宋体" w:cs="仿宋"/>
                <w:bCs/>
                <w:kern w:val="0"/>
                <w:sz w:val="24"/>
                <w:lang w:bidi="ar"/>
              </w:rPr>
            </w:pPr>
            <w:r>
              <w:rPr>
                <w:rFonts w:hint="eastAsia" w:hAnsi="宋体" w:cs="仿宋"/>
                <w:bCs/>
                <w:kern w:val="0"/>
                <w:sz w:val="24"/>
                <w:lang w:bidi="ar"/>
              </w:rPr>
              <w:t>合同在线签订，招标人（采购人）与中标人（供应商）利用平顶山公共资源交易平台“合同在线签订模块”，将电子合同推送至对方进行审核，经双方确认均无异议通过后，进行在线签章，完成合同签订并公示。</w:t>
            </w:r>
          </w:p>
        </w:tc>
      </w:tr>
    </w:tbl>
    <w:p w14:paraId="4CFD3617">
      <w:pPr>
        <w:widowControl/>
        <w:jc w:val="left"/>
        <w:rPr>
          <w:rFonts w:ascii="宋体" w:hAnsi="宋体" w:cs="仿宋"/>
          <w:b/>
          <w:sz w:val="24"/>
        </w:rPr>
      </w:pPr>
      <w:bookmarkStart w:id="38" w:name="_bookmark3"/>
      <w:bookmarkEnd w:id="38"/>
    </w:p>
    <w:p w14:paraId="48988256">
      <w:pPr>
        <w:pStyle w:val="8"/>
      </w:pPr>
      <w:r>
        <w:br w:type="page"/>
      </w:r>
    </w:p>
    <w:p w14:paraId="6992CB0A">
      <w:pPr>
        <w:pStyle w:val="4"/>
        <w:spacing w:line="360" w:lineRule="auto"/>
        <w:ind w:left="0" w:right="76"/>
        <w:rPr>
          <w:rFonts w:ascii="宋体" w:hAnsi="宋体" w:eastAsia="宋体" w:cs="仿宋"/>
          <w:b/>
          <w:bCs/>
          <w:sz w:val="24"/>
          <w:szCs w:val="24"/>
        </w:rPr>
      </w:pPr>
      <w:r>
        <w:rPr>
          <w:rFonts w:hint="eastAsia" w:ascii="宋体" w:hAnsi="宋体" w:eastAsia="宋体" w:cs="仿宋"/>
          <w:b/>
          <w:bCs/>
          <w:sz w:val="24"/>
          <w:szCs w:val="24"/>
        </w:rPr>
        <w:t>1.总则</w:t>
      </w:r>
    </w:p>
    <w:p w14:paraId="3F8435B2">
      <w:pPr>
        <w:pStyle w:val="51"/>
        <w:rPr>
          <w:sz w:val="24"/>
          <w:szCs w:val="24"/>
        </w:rPr>
      </w:pPr>
      <w:r>
        <w:rPr>
          <w:rFonts w:hint="eastAsia"/>
          <w:sz w:val="24"/>
          <w:szCs w:val="24"/>
        </w:rPr>
        <w:t>项目概况</w:t>
      </w:r>
    </w:p>
    <w:p w14:paraId="4E0CB931">
      <w:pPr>
        <w:pStyle w:val="37"/>
        <w:numPr>
          <w:ilvl w:val="2"/>
          <w:numId w:val="1"/>
        </w:numPr>
        <w:tabs>
          <w:tab w:val="left" w:pos="1270"/>
          <w:tab w:val="left" w:pos="9020"/>
        </w:tabs>
        <w:spacing w:before="185" w:line="360" w:lineRule="auto"/>
        <w:ind w:left="18" w:right="56" w:firstLine="620"/>
        <w:rPr>
          <w:rFonts w:cs="仿宋"/>
          <w:sz w:val="24"/>
        </w:rPr>
      </w:pPr>
      <w:r>
        <w:rPr>
          <w:rFonts w:hint="eastAsia" w:cs="仿宋"/>
          <w:spacing w:val="-5"/>
          <w:sz w:val="24"/>
        </w:rPr>
        <w:t>根据《中华人民共和国政府采购法》、《中华人民共和国政府采购法实施条例》、《政府采购非招标采购方式管理办法》等有关法律、法规和规章的规定，本招标项目已具备招标条件，现对本项目进行招标。。</w:t>
      </w:r>
    </w:p>
    <w:p w14:paraId="59296A3C">
      <w:pPr>
        <w:pStyle w:val="37"/>
        <w:numPr>
          <w:ilvl w:val="2"/>
          <w:numId w:val="1"/>
        </w:numPr>
        <w:tabs>
          <w:tab w:val="left" w:pos="1275"/>
        </w:tabs>
        <w:spacing w:before="63" w:line="360" w:lineRule="auto"/>
        <w:ind w:left="1274" w:hanging="631"/>
        <w:rPr>
          <w:rFonts w:cs="仿宋"/>
          <w:sz w:val="24"/>
        </w:rPr>
      </w:pPr>
      <w:r>
        <w:rPr>
          <w:rFonts w:hint="eastAsia" w:cs="仿宋"/>
          <w:spacing w:val="-3"/>
          <w:sz w:val="24"/>
        </w:rPr>
        <w:t>本项目采购人：见投标人须知前附表。</w:t>
      </w:r>
    </w:p>
    <w:p w14:paraId="24DD6D0B">
      <w:pPr>
        <w:pStyle w:val="37"/>
        <w:numPr>
          <w:ilvl w:val="2"/>
          <w:numId w:val="1"/>
        </w:numPr>
        <w:tabs>
          <w:tab w:val="left" w:pos="1275"/>
        </w:tabs>
        <w:spacing w:line="360" w:lineRule="auto"/>
        <w:ind w:left="1274" w:hanging="631"/>
        <w:rPr>
          <w:rFonts w:cs="仿宋"/>
          <w:sz w:val="24"/>
        </w:rPr>
      </w:pPr>
      <w:r>
        <w:rPr>
          <w:rFonts w:hint="eastAsia" w:cs="仿宋"/>
          <w:spacing w:val="-3"/>
          <w:sz w:val="24"/>
        </w:rPr>
        <w:t>本项目采购代理机构：见投标人须知前附表。</w:t>
      </w:r>
    </w:p>
    <w:p w14:paraId="5DAD1264">
      <w:pPr>
        <w:pStyle w:val="37"/>
        <w:numPr>
          <w:ilvl w:val="2"/>
          <w:numId w:val="1"/>
        </w:numPr>
        <w:tabs>
          <w:tab w:val="left" w:pos="1275"/>
        </w:tabs>
        <w:spacing w:line="360" w:lineRule="auto"/>
        <w:ind w:left="1274" w:hanging="631"/>
        <w:rPr>
          <w:rFonts w:cs="仿宋"/>
          <w:sz w:val="24"/>
        </w:rPr>
      </w:pPr>
      <w:r>
        <w:rPr>
          <w:rFonts w:hint="eastAsia" w:cs="仿宋"/>
          <w:spacing w:val="-3"/>
          <w:sz w:val="24"/>
        </w:rPr>
        <w:t>本项目名称：见投标人须知前附表。</w:t>
      </w:r>
    </w:p>
    <w:p w14:paraId="53A76689">
      <w:pPr>
        <w:pStyle w:val="37"/>
        <w:numPr>
          <w:ilvl w:val="2"/>
          <w:numId w:val="1"/>
        </w:numPr>
        <w:tabs>
          <w:tab w:val="left" w:pos="1275"/>
        </w:tabs>
        <w:spacing w:line="360" w:lineRule="auto"/>
        <w:ind w:left="1274" w:hanging="631"/>
        <w:rPr>
          <w:rFonts w:cs="仿宋"/>
          <w:sz w:val="24"/>
        </w:rPr>
      </w:pPr>
      <w:r>
        <w:rPr>
          <w:rFonts w:hint="eastAsia" w:cs="仿宋"/>
          <w:spacing w:val="-3"/>
          <w:sz w:val="24"/>
        </w:rPr>
        <w:t>本项目</w:t>
      </w:r>
      <w:r>
        <w:rPr>
          <w:rFonts w:hint="eastAsia" w:cs="仿宋"/>
          <w:spacing w:val="-3"/>
          <w:sz w:val="24"/>
          <w:lang w:val="en-US"/>
        </w:rPr>
        <w:t>服务</w:t>
      </w:r>
      <w:r>
        <w:rPr>
          <w:rFonts w:hint="eastAsia" w:cs="仿宋"/>
          <w:spacing w:val="-3"/>
          <w:sz w:val="24"/>
        </w:rPr>
        <w:t>地点：见投标人须知前附表。</w:t>
      </w:r>
    </w:p>
    <w:p w14:paraId="5815784D">
      <w:pPr>
        <w:pStyle w:val="51"/>
        <w:rPr>
          <w:sz w:val="24"/>
          <w:szCs w:val="24"/>
        </w:rPr>
      </w:pPr>
      <w:r>
        <w:rPr>
          <w:rFonts w:hint="eastAsia"/>
          <w:sz w:val="24"/>
          <w:szCs w:val="24"/>
        </w:rPr>
        <w:t>资金来源和落实情况</w:t>
      </w:r>
    </w:p>
    <w:p w14:paraId="4AB4F657">
      <w:pPr>
        <w:pStyle w:val="37"/>
        <w:numPr>
          <w:ilvl w:val="2"/>
          <w:numId w:val="1"/>
        </w:numPr>
        <w:tabs>
          <w:tab w:val="left" w:pos="1270"/>
        </w:tabs>
        <w:spacing w:before="186" w:line="360" w:lineRule="auto"/>
        <w:ind w:left="1270"/>
        <w:rPr>
          <w:rFonts w:cs="仿宋"/>
          <w:sz w:val="24"/>
        </w:rPr>
      </w:pPr>
      <w:r>
        <w:rPr>
          <w:rFonts w:hint="eastAsia" w:cs="仿宋"/>
          <w:spacing w:val="-3"/>
          <w:sz w:val="24"/>
        </w:rPr>
        <w:t>本招标项目的资金来源：见投标人须知前附表。</w:t>
      </w:r>
    </w:p>
    <w:p w14:paraId="1B5B55AD">
      <w:pPr>
        <w:pStyle w:val="37"/>
        <w:numPr>
          <w:ilvl w:val="2"/>
          <w:numId w:val="1"/>
        </w:numPr>
        <w:tabs>
          <w:tab w:val="left" w:pos="1270"/>
        </w:tabs>
        <w:spacing w:line="360" w:lineRule="auto"/>
        <w:ind w:left="1270"/>
        <w:rPr>
          <w:rFonts w:cs="仿宋"/>
          <w:sz w:val="24"/>
        </w:rPr>
      </w:pPr>
      <w:r>
        <w:rPr>
          <w:rFonts w:hint="eastAsia" w:cs="仿宋"/>
          <w:spacing w:val="-3"/>
          <w:sz w:val="24"/>
        </w:rPr>
        <w:t>本招标项目的资金落实情况：见投标人须知前附表。</w:t>
      </w:r>
    </w:p>
    <w:p w14:paraId="19F2A12C">
      <w:pPr>
        <w:pStyle w:val="51"/>
        <w:rPr>
          <w:sz w:val="24"/>
          <w:szCs w:val="24"/>
        </w:rPr>
      </w:pPr>
      <w:r>
        <w:rPr>
          <w:rFonts w:hint="eastAsia"/>
          <w:sz w:val="24"/>
          <w:szCs w:val="24"/>
        </w:rPr>
        <w:t>采购内容和质量要求</w:t>
      </w:r>
    </w:p>
    <w:p w14:paraId="0C1DC7DD">
      <w:pPr>
        <w:pStyle w:val="37"/>
        <w:numPr>
          <w:ilvl w:val="2"/>
          <w:numId w:val="1"/>
        </w:numPr>
        <w:tabs>
          <w:tab w:val="left" w:pos="1270"/>
        </w:tabs>
        <w:spacing w:before="186" w:line="360" w:lineRule="auto"/>
        <w:ind w:left="1270"/>
        <w:rPr>
          <w:rFonts w:cs="仿宋"/>
          <w:spacing w:val="-3"/>
          <w:sz w:val="24"/>
        </w:rPr>
      </w:pPr>
      <w:r>
        <w:rPr>
          <w:rFonts w:hint="eastAsia" w:cs="仿宋"/>
          <w:spacing w:val="-3"/>
          <w:sz w:val="24"/>
        </w:rPr>
        <w:t>本次项目的</w:t>
      </w:r>
      <w:r>
        <w:rPr>
          <w:rFonts w:hint="eastAsia" w:cs="仿宋"/>
          <w:spacing w:val="-3"/>
          <w:sz w:val="24"/>
          <w:lang w:val="en-US"/>
        </w:rPr>
        <w:t>采购</w:t>
      </w:r>
      <w:r>
        <w:rPr>
          <w:rFonts w:hint="eastAsia" w:cs="仿宋"/>
          <w:spacing w:val="-3"/>
          <w:sz w:val="24"/>
        </w:rPr>
        <w:t>内容：见投标人须知前附表。</w:t>
      </w:r>
    </w:p>
    <w:p w14:paraId="6D892992">
      <w:pPr>
        <w:pStyle w:val="37"/>
        <w:numPr>
          <w:ilvl w:val="2"/>
          <w:numId w:val="1"/>
        </w:numPr>
        <w:tabs>
          <w:tab w:val="left" w:pos="1270"/>
        </w:tabs>
        <w:spacing w:before="186" w:line="360" w:lineRule="auto"/>
        <w:ind w:left="1270"/>
        <w:rPr>
          <w:rFonts w:cs="仿宋"/>
          <w:spacing w:val="-3"/>
          <w:sz w:val="24"/>
        </w:rPr>
      </w:pPr>
      <w:r>
        <w:rPr>
          <w:rFonts w:hint="eastAsia" w:cs="仿宋"/>
          <w:spacing w:val="-3"/>
          <w:sz w:val="24"/>
        </w:rPr>
        <w:t>本次项目的服务期限：见投标人须知前附表。</w:t>
      </w:r>
    </w:p>
    <w:p w14:paraId="420CC066">
      <w:pPr>
        <w:pStyle w:val="37"/>
        <w:numPr>
          <w:ilvl w:val="2"/>
          <w:numId w:val="1"/>
        </w:numPr>
        <w:tabs>
          <w:tab w:val="left" w:pos="1270"/>
        </w:tabs>
        <w:spacing w:before="186" w:line="360" w:lineRule="auto"/>
        <w:ind w:left="1270"/>
        <w:rPr>
          <w:rFonts w:cs="仿宋"/>
          <w:spacing w:val="-3"/>
          <w:sz w:val="24"/>
        </w:rPr>
      </w:pPr>
      <w:r>
        <w:rPr>
          <w:rFonts w:hint="eastAsia" w:cs="仿宋"/>
          <w:spacing w:val="-3"/>
          <w:sz w:val="24"/>
        </w:rPr>
        <w:t>本次项目的服务质量</w:t>
      </w:r>
      <w:r>
        <w:rPr>
          <w:rFonts w:hint="eastAsia" w:cs="仿宋"/>
          <w:spacing w:val="-3"/>
          <w:sz w:val="24"/>
          <w:lang w:val="en-US"/>
        </w:rPr>
        <w:t>要求</w:t>
      </w:r>
      <w:r>
        <w:rPr>
          <w:rFonts w:hint="eastAsia" w:cs="仿宋"/>
          <w:spacing w:val="-3"/>
          <w:sz w:val="24"/>
        </w:rPr>
        <w:t>：见投标人须知前附表。</w:t>
      </w:r>
    </w:p>
    <w:p w14:paraId="7E3DD45B">
      <w:pPr>
        <w:pStyle w:val="51"/>
        <w:rPr>
          <w:sz w:val="24"/>
          <w:szCs w:val="24"/>
        </w:rPr>
      </w:pPr>
      <w:r>
        <w:rPr>
          <w:rFonts w:hint="eastAsia"/>
          <w:sz w:val="24"/>
          <w:szCs w:val="24"/>
        </w:rPr>
        <w:t>投标人资格要求</w:t>
      </w:r>
    </w:p>
    <w:p w14:paraId="250895F4">
      <w:pPr>
        <w:pStyle w:val="37"/>
        <w:tabs>
          <w:tab w:val="left" w:pos="1270"/>
        </w:tabs>
        <w:spacing w:before="186" w:line="360" w:lineRule="auto"/>
        <w:ind w:left="638" w:firstLine="0"/>
        <w:rPr>
          <w:rFonts w:cs="仿宋"/>
          <w:spacing w:val="-3"/>
          <w:sz w:val="24"/>
        </w:rPr>
      </w:pPr>
      <w:r>
        <w:rPr>
          <w:rFonts w:hint="eastAsia" w:cs="仿宋"/>
          <w:spacing w:val="-3"/>
          <w:sz w:val="24"/>
        </w:rPr>
        <w:t>1.4.1投标人应具备的资质条件见投标人须知前附表；</w:t>
      </w:r>
    </w:p>
    <w:p w14:paraId="556D84E3">
      <w:pPr>
        <w:pStyle w:val="37"/>
        <w:tabs>
          <w:tab w:val="left" w:pos="1270"/>
        </w:tabs>
        <w:spacing w:before="186" w:line="360" w:lineRule="auto"/>
        <w:ind w:left="638" w:firstLine="0"/>
        <w:rPr>
          <w:rFonts w:cs="仿宋"/>
          <w:spacing w:val="-3"/>
          <w:sz w:val="24"/>
        </w:rPr>
      </w:pPr>
      <w:r>
        <w:rPr>
          <w:rFonts w:hint="eastAsia" w:cs="仿宋"/>
          <w:spacing w:val="-3"/>
          <w:sz w:val="24"/>
        </w:rPr>
        <w:t>1.4.2 投标人不得存在下列情形之一：</w:t>
      </w:r>
    </w:p>
    <w:p w14:paraId="658FCABC">
      <w:pPr>
        <w:pStyle w:val="37"/>
        <w:tabs>
          <w:tab w:val="left" w:pos="1270"/>
        </w:tabs>
        <w:spacing w:before="186" w:line="360" w:lineRule="auto"/>
        <w:ind w:left="638" w:firstLine="0"/>
        <w:rPr>
          <w:rFonts w:cs="仿宋"/>
          <w:spacing w:val="-3"/>
          <w:sz w:val="24"/>
        </w:rPr>
      </w:pPr>
      <w:r>
        <w:rPr>
          <w:rFonts w:hint="eastAsia" w:cs="仿宋"/>
          <w:spacing w:val="-3"/>
          <w:sz w:val="24"/>
        </w:rPr>
        <w:t>（</w:t>
      </w:r>
      <w:r>
        <w:rPr>
          <w:rFonts w:hint="eastAsia" w:cs="仿宋"/>
          <w:spacing w:val="-3"/>
          <w:sz w:val="24"/>
          <w:lang w:val="en-US"/>
        </w:rPr>
        <w:t>1</w:t>
      </w:r>
      <w:r>
        <w:rPr>
          <w:rFonts w:hint="eastAsia" w:cs="仿宋"/>
          <w:spacing w:val="-3"/>
          <w:sz w:val="24"/>
        </w:rPr>
        <w:t>）与采购人存在利害关系且可能影响招标公正性；</w:t>
      </w:r>
    </w:p>
    <w:p w14:paraId="58617912">
      <w:pPr>
        <w:pStyle w:val="37"/>
        <w:tabs>
          <w:tab w:val="left" w:pos="1270"/>
        </w:tabs>
        <w:spacing w:before="186" w:line="360" w:lineRule="auto"/>
        <w:ind w:left="638" w:firstLine="0"/>
        <w:rPr>
          <w:rFonts w:cs="仿宋"/>
          <w:spacing w:val="-3"/>
          <w:sz w:val="24"/>
        </w:rPr>
      </w:pPr>
      <w:r>
        <w:rPr>
          <w:rFonts w:hint="eastAsia" w:cs="仿宋"/>
          <w:spacing w:val="-3"/>
          <w:sz w:val="24"/>
        </w:rPr>
        <w:t>（</w:t>
      </w:r>
      <w:r>
        <w:rPr>
          <w:rFonts w:hint="eastAsia" w:cs="仿宋"/>
          <w:spacing w:val="-3"/>
          <w:sz w:val="24"/>
          <w:lang w:val="en-US"/>
        </w:rPr>
        <w:t>2</w:t>
      </w:r>
      <w:r>
        <w:rPr>
          <w:rFonts w:hint="eastAsia" w:cs="仿宋"/>
          <w:spacing w:val="-3"/>
          <w:sz w:val="24"/>
        </w:rPr>
        <w:t>）与本招标项目的其他投标人为同一个单位负责人；</w:t>
      </w:r>
    </w:p>
    <w:p w14:paraId="2E6E7B29">
      <w:pPr>
        <w:pStyle w:val="37"/>
        <w:tabs>
          <w:tab w:val="left" w:pos="1270"/>
        </w:tabs>
        <w:spacing w:before="186" w:line="360" w:lineRule="auto"/>
        <w:ind w:left="638" w:firstLine="0"/>
        <w:rPr>
          <w:rFonts w:cs="仿宋"/>
          <w:spacing w:val="-3"/>
          <w:sz w:val="24"/>
        </w:rPr>
      </w:pPr>
      <w:r>
        <w:rPr>
          <w:rFonts w:hint="eastAsia" w:cs="仿宋"/>
          <w:spacing w:val="-3"/>
          <w:sz w:val="24"/>
        </w:rPr>
        <w:t>（</w:t>
      </w:r>
      <w:r>
        <w:rPr>
          <w:rFonts w:hint="eastAsia" w:cs="仿宋"/>
          <w:spacing w:val="-3"/>
          <w:sz w:val="24"/>
          <w:lang w:val="en-US"/>
        </w:rPr>
        <w:t>3</w:t>
      </w:r>
      <w:r>
        <w:rPr>
          <w:rFonts w:hint="eastAsia" w:cs="仿宋"/>
          <w:spacing w:val="-3"/>
          <w:sz w:val="24"/>
        </w:rPr>
        <w:t>）与本招标项目的其他投标人存在控股、管理关系；</w:t>
      </w:r>
    </w:p>
    <w:p w14:paraId="5F77A2A4">
      <w:pPr>
        <w:pStyle w:val="37"/>
        <w:tabs>
          <w:tab w:val="left" w:pos="1270"/>
        </w:tabs>
        <w:spacing w:before="186" w:line="360" w:lineRule="auto"/>
        <w:ind w:left="638" w:firstLine="0"/>
        <w:rPr>
          <w:rFonts w:cs="仿宋"/>
          <w:spacing w:val="-3"/>
          <w:sz w:val="24"/>
        </w:rPr>
      </w:pPr>
      <w:r>
        <w:rPr>
          <w:rFonts w:hint="eastAsia" w:cs="仿宋"/>
          <w:spacing w:val="-3"/>
          <w:sz w:val="24"/>
        </w:rPr>
        <w:t>（</w:t>
      </w:r>
      <w:r>
        <w:rPr>
          <w:rFonts w:hint="eastAsia" w:cs="仿宋"/>
          <w:spacing w:val="-3"/>
          <w:sz w:val="24"/>
          <w:lang w:val="en-US"/>
        </w:rPr>
        <w:t>4</w:t>
      </w:r>
      <w:r>
        <w:rPr>
          <w:rFonts w:hint="eastAsia" w:cs="仿宋"/>
          <w:spacing w:val="-3"/>
          <w:sz w:val="24"/>
        </w:rPr>
        <w:t>）为本招标项目的采购代理机构；</w:t>
      </w:r>
    </w:p>
    <w:p w14:paraId="0BA76A1D">
      <w:pPr>
        <w:pStyle w:val="37"/>
        <w:tabs>
          <w:tab w:val="left" w:pos="1270"/>
        </w:tabs>
        <w:spacing w:before="186" w:line="360" w:lineRule="auto"/>
        <w:ind w:left="638" w:firstLine="0"/>
        <w:rPr>
          <w:rFonts w:cs="仿宋"/>
          <w:spacing w:val="-3"/>
          <w:sz w:val="24"/>
        </w:rPr>
      </w:pPr>
      <w:r>
        <w:rPr>
          <w:rFonts w:hint="eastAsia" w:cs="仿宋"/>
          <w:spacing w:val="-3"/>
          <w:sz w:val="24"/>
        </w:rPr>
        <w:t>（</w:t>
      </w:r>
      <w:r>
        <w:rPr>
          <w:rFonts w:hint="eastAsia" w:cs="仿宋"/>
          <w:spacing w:val="-3"/>
          <w:sz w:val="24"/>
          <w:lang w:val="en-US"/>
        </w:rPr>
        <w:t>5</w:t>
      </w:r>
      <w:r>
        <w:rPr>
          <w:rFonts w:hint="eastAsia" w:cs="仿宋"/>
          <w:spacing w:val="-3"/>
          <w:sz w:val="24"/>
        </w:rPr>
        <w:t>）与本招标项目的采购代理机构存在控股或参股关系；</w:t>
      </w:r>
    </w:p>
    <w:p w14:paraId="309E89AB">
      <w:pPr>
        <w:pStyle w:val="37"/>
        <w:tabs>
          <w:tab w:val="left" w:pos="1270"/>
        </w:tabs>
        <w:spacing w:before="186" w:line="360" w:lineRule="auto"/>
        <w:ind w:left="638" w:firstLine="0"/>
        <w:rPr>
          <w:rFonts w:cs="仿宋"/>
          <w:spacing w:val="-3"/>
          <w:sz w:val="24"/>
        </w:rPr>
      </w:pPr>
      <w:r>
        <w:rPr>
          <w:rFonts w:hint="eastAsia" w:cs="仿宋"/>
          <w:spacing w:val="-3"/>
          <w:sz w:val="24"/>
        </w:rPr>
        <w:t>（</w:t>
      </w:r>
      <w:r>
        <w:rPr>
          <w:rFonts w:hint="eastAsia" w:cs="仿宋"/>
          <w:spacing w:val="-3"/>
          <w:sz w:val="24"/>
          <w:lang w:val="en-US"/>
        </w:rPr>
        <w:t>6</w:t>
      </w:r>
      <w:r>
        <w:rPr>
          <w:rFonts w:hint="eastAsia" w:cs="仿宋"/>
          <w:spacing w:val="-3"/>
          <w:sz w:val="24"/>
        </w:rPr>
        <w:t>）被依法暂停或者取消投标资格；</w:t>
      </w:r>
    </w:p>
    <w:p w14:paraId="4D142243">
      <w:pPr>
        <w:pStyle w:val="37"/>
        <w:tabs>
          <w:tab w:val="left" w:pos="1270"/>
        </w:tabs>
        <w:spacing w:before="186" w:line="360" w:lineRule="auto"/>
        <w:ind w:left="638" w:firstLine="0"/>
        <w:rPr>
          <w:rFonts w:cs="仿宋"/>
          <w:spacing w:val="-3"/>
          <w:sz w:val="24"/>
        </w:rPr>
      </w:pPr>
      <w:r>
        <w:rPr>
          <w:rFonts w:hint="eastAsia" w:cs="仿宋"/>
          <w:spacing w:val="-3"/>
          <w:sz w:val="24"/>
        </w:rPr>
        <w:t>（</w:t>
      </w:r>
      <w:r>
        <w:rPr>
          <w:rFonts w:hint="eastAsia" w:cs="仿宋"/>
          <w:spacing w:val="-3"/>
          <w:sz w:val="24"/>
          <w:lang w:val="en-US"/>
        </w:rPr>
        <w:t>7</w:t>
      </w:r>
      <w:r>
        <w:rPr>
          <w:rFonts w:hint="eastAsia" w:cs="仿宋"/>
          <w:spacing w:val="-3"/>
          <w:sz w:val="24"/>
        </w:rPr>
        <w:t>）被责令停产停业、暂扣或者吊销许可证、暂扣或者吊销执照；</w:t>
      </w:r>
    </w:p>
    <w:p w14:paraId="18734693">
      <w:pPr>
        <w:pStyle w:val="37"/>
        <w:tabs>
          <w:tab w:val="left" w:pos="1270"/>
        </w:tabs>
        <w:spacing w:before="186" w:line="360" w:lineRule="auto"/>
        <w:ind w:left="638" w:firstLine="0"/>
        <w:rPr>
          <w:rFonts w:cs="仿宋"/>
          <w:spacing w:val="-3"/>
          <w:sz w:val="24"/>
        </w:rPr>
      </w:pPr>
      <w:r>
        <w:rPr>
          <w:rFonts w:hint="eastAsia" w:cs="仿宋"/>
          <w:spacing w:val="-3"/>
          <w:sz w:val="24"/>
        </w:rPr>
        <w:t>（</w:t>
      </w:r>
      <w:r>
        <w:rPr>
          <w:rFonts w:hint="eastAsia" w:cs="仿宋"/>
          <w:spacing w:val="-3"/>
          <w:sz w:val="24"/>
          <w:lang w:val="en-US"/>
        </w:rPr>
        <w:t>8</w:t>
      </w:r>
      <w:r>
        <w:rPr>
          <w:rFonts w:hint="eastAsia" w:cs="仿宋"/>
          <w:spacing w:val="-3"/>
          <w:sz w:val="24"/>
        </w:rPr>
        <w:t>）进入清算程序，或被宣告破产，或其他丧失履约能力的情形；</w:t>
      </w:r>
    </w:p>
    <w:p w14:paraId="19672DE7">
      <w:pPr>
        <w:pStyle w:val="37"/>
        <w:tabs>
          <w:tab w:val="left" w:pos="1270"/>
        </w:tabs>
        <w:spacing w:before="186" w:line="360" w:lineRule="auto"/>
        <w:ind w:left="638" w:firstLine="0"/>
        <w:rPr>
          <w:rFonts w:cs="仿宋"/>
          <w:spacing w:val="-3"/>
          <w:sz w:val="24"/>
        </w:rPr>
      </w:pPr>
      <w:r>
        <w:rPr>
          <w:rFonts w:hint="eastAsia" w:cs="仿宋"/>
          <w:spacing w:val="-3"/>
          <w:sz w:val="24"/>
        </w:rPr>
        <w:t>（</w:t>
      </w:r>
      <w:r>
        <w:rPr>
          <w:rFonts w:hint="eastAsia" w:cs="仿宋"/>
          <w:spacing w:val="-3"/>
          <w:sz w:val="24"/>
          <w:lang w:val="en-US"/>
        </w:rPr>
        <w:t>9</w:t>
      </w:r>
      <w:r>
        <w:rPr>
          <w:rFonts w:hint="eastAsia" w:cs="仿宋"/>
          <w:spacing w:val="-3"/>
          <w:sz w:val="24"/>
        </w:rPr>
        <w:t>）法律法规或投标人须知前附表规定的其他情形。</w:t>
      </w:r>
    </w:p>
    <w:p w14:paraId="2658A8BF">
      <w:pPr>
        <w:pStyle w:val="51"/>
        <w:rPr>
          <w:sz w:val="24"/>
          <w:szCs w:val="24"/>
        </w:rPr>
      </w:pPr>
      <w:r>
        <w:rPr>
          <w:rFonts w:hint="eastAsia"/>
          <w:sz w:val="24"/>
          <w:szCs w:val="24"/>
        </w:rPr>
        <w:t>费用承担</w:t>
      </w:r>
    </w:p>
    <w:p w14:paraId="50DCC702">
      <w:pPr>
        <w:pStyle w:val="37"/>
        <w:spacing w:before="152" w:line="360" w:lineRule="auto"/>
        <w:ind w:left="238" w:right="56" w:firstLine="540" w:firstLineChars="225"/>
        <w:rPr>
          <w:rFonts w:cs="仿宋"/>
          <w:sz w:val="24"/>
        </w:rPr>
      </w:pPr>
      <w:r>
        <w:rPr>
          <w:rFonts w:hint="eastAsia" w:cs="仿宋"/>
          <w:sz w:val="24"/>
        </w:rPr>
        <w:t>投标人准备和参加投标活动发生的费用自理。中标人承担中标服务费，招标代理费参照《河南省招标代理服务收费指导意见》（豫招协[2023]002号）文件规定收取，中标人领取中标通知书时以现金方式或转账向采购代理机构缴</w:t>
      </w:r>
      <w:r>
        <w:rPr>
          <w:rFonts w:hint="eastAsia" w:cs="仿宋"/>
          <w:sz w:val="24"/>
          <w:lang w:val="en-US"/>
        </w:rPr>
        <w:t>纳。</w:t>
      </w:r>
    </w:p>
    <w:p w14:paraId="078CCD95">
      <w:pPr>
        <w:pStyle w:val="51"/>
        <w:rPr>
          <w:sz w:val="24"/>
          <w:szCs w:val="24"/>
        </w:rPr>
      </w:pPr>
      <w:r>
        <w:rPr>
          <w:rFonts w:hint="eastAsia"/>
          <w:sz w:val="24"/>
          <w:szCs w:val="24"/>
        </w:rPr>
        <w:t>保密</w:t>
      </w:r>
    </w:p>
    <w:p w14:paraId="3FB7931D">
      <w:pPr>
        <w:pStyle w:val="10"/>
        <w:spacing w:before="155" w:line="360" w:lineRule="auto"/>
        <w:ind w:left="218" w:right="-144" w:firstLine="480"/>
        <w:rPr>
          <w:rFonts w:cs="仿宋"/>
          <w:sz w:val="24"/>
          <w:szCs w:val="24"/>
        </w:rPr>
      </w:pPr>
      <w:r>
        <w:rPr>
          <w:rFonts w:hint="eastAsia" w:cs="仿宋"/>
          <w:sz w:val="24"/>
          <w:szCs w:val="24"/>
        </w:rPr>
        <w:t>参与招标投标活动的各方应对招标文件和投标文件中的商业和技术等秘密保密，违者应对由此造成的后果承担法律责任。</w:t>
      </w:r>
    </w:p>
    <w:p w14:paraId="00938C0B">
      <w:pPr>
        <w:pStyle w:val="51"/>
        <w:rPr>
          <w:sz w:val="24"/>
          <w:szCs w:val="24"/>
        </w:rPr>
      </w:pPr>
      <w:r>
        <w:rPr>
          <w:rFonts w:hint="eastAsia"/>
          <w:sz w:val="24"/>
          <w:szCs w:val="24"/>
        </w:rPr>
        <w:t>语言文字</w:t>
      </w:r>
    </w:p>
    <w:p w14:paraId="37702091">
      <w:pPr>
        <w:pStyle w:val="10"/>
        <w:spacing w:before="142" w:line="360" w:lineRule="auto"/>
        <w:ind w:right="-105" w:rightChars="-50" w:firstLine="753" w:firstLineChars="314"/>
        <w:rPr>
          <w:rFonts w:cs="仿宋"/>
          <w:sz w:val="24"/>
          <w:szCs w:val="24"/>
        </w:rPr>
      </w:pPr>
      <w:r>
        <w:rPr>
          <w:rFonts w:hint="eastAsia" w:cs="仿宋"/>
          <w:sz w:val="24"/>
          <w:szCs w:val="24"/>
        </w:rPr>
        <w:t>除专用术语外，与招标投标有关的语言均使用中文。必要时专用术语应附有中文注释。</w:t>
      </w:r>
    </w:p>
    <w:p w14:paraId="639E38B6">
      <w:pPr>
        <w:pStyle w:val="51"/>
        <w:rPr>
          <w:sz w:val="24"/>
          <w:szCs w:val="24"/>
        </w:rPr>
      </w:pPr>
      <w:r>
        <w:rPr>
          <w:rFonts w:hint="eastAsia"/>
          <w:sz w:val="24"/>
          <w:szCs w:val="24"/>
        </w:rPr>
        <w:t>计量单位</w:t>
      </w:r>
    </w:p>
    <w:p w14:paraId="47F281D9">
      <w:pPr>
        <w:pStyle w:val="10"/>
        <w:spacing w:before="155" w:line="360" w:lineRule="auto"/>
        <w:ind w:left="698"/>
        <w:rPr>
          <w:rFonts w:cs="仿宋"/>
          <w:sz w:val="24"/>
          <w:szCs w:val="24"/>
        </w:rPr>
      </w:pPr>
      <w:r>
        <w:rPr>
          <w:rFonts w:hint="eastAsia" w:cs="仿宋"/>
          <w:sz w:val="24"/>
          <w:szCs w:val="24"/>
        </w:rPr>
        <w:t>所有计量均采用中华人民共和国法定计量单位。</w:t>
      </w:r>
    </w:p>
    <w:p w14:paraId="3D6C329B">
      <w:pPr>
        <w:pStyle w:val="51"/>
        <w:rPr>
          <w:sz w:val="24"/>
          <w:szCs w:val="24"/>
        </w:rPr>
      </w:pPr>
      <w:r>
        <w:rPr>
          <w:rFonts w:hint="eastAsia"/>
          <w:sz w:val="24"/>
          <w:szCs w:val="24"/>
        </w:rPr>
        <w:t>踏勘现场（本项目不组织，自行勘察）</w:t>
      </w:r>
    </w:p>
    <w:p w14:paraId="7ADE36CD">
      <w:pPr>
        <w:pStyle w:val="10"/>
        <w:spacing w:before="155" w:line="360" w:lineRule="auto"/>
        <w:ind w:left="218" w:right="-144" w:firstLine="480"/>
        <w:rPr>
          <w:rFonts w:cs="仿宋"/>
          <w:sz w:val="24"/>
          <w:szCs w:val="24"/>
          <w:lang w:val="en-US"/>
        </w:rPr>
      </w:pPr>
      <w:r>
        <w:rPr>
          <w:rFonts w:hint="eastAsia" w:cs="仿宋"/>
          <w:sz w:val="24"/>
          <w:szCs w:val="24"/>
          <w:lang w:val="en-US"/>
        </w:rPr>
        <w:t>1.9.1投标人须知前附表规定组织踏勘现场的，采购人按投标人须知前附表规定的时间、地点组织投标人踏勘项目现场。</w:t>
      </w:r>
    </w:p>
    <w:p w14:paraId="39E95627">
      <w:pPr>
        <w:pStyle w:val="10"/>
        <w:spacing w:before="155" w:line="360" w:lineRule="auto"/>
        <w:ind w:left="218" w:right="-144" w:firstLine="480"/>
        <w:rPr>
          <w:rFonts w:cs="仿宋"/>
          <w:sz w:val="24"/>
          <w:szCs w:val="24"/>
          <w:lang w:val="en-US"/>
        </w:rPr>
      </w:pPr>
      <w:r>
        <w:rPr>
          <w:rFonts w:hint="eastAsia" w:cs="仿宋"/>
          <w:sz w:val="24"/>
          <w:szCs w:val="24"/>
          <w:lang w:val="en-US"/>
        </w:rPr>
        <w:t>1.9.2投标人踏勘现场发生的费用自理。</w:t>
      </w:r>
    </w:p>
    <w:p w14:paraId="479ADD6D">
      <w:pPr>
        <w:pStyle w:val="10"/>
        <w:spacing w:before="155" w:line="360" w:lineRule="auto"/>
        <w:ind w:left="218" w:right="-144" w:firstLine="480"/>
        <w:rPr>
          <w:rFonts w:cs="仿宋"/>
          <w:sz w:val="24"/>
          <w:szCs w:val="24"/>
          <w:lang w:val="en-US"/>
        </w:rPr>
      </w:pPr>
      <w:r>
        <w:rPr>
          <w:rFonts w:hint="eastAsia" w:cs="仿宋"/>
          <w:sz w:val="24"/>
          <w:szCs w:val="24"/>
          <w:lang w:val="en-US"/>
        </w:rPr>
        <w:t>1.9.3除采购人的原因外，投标人自行负责在踏勘现场中所发生的人员伤亡和财产损失。</w:t>
      </w:r>
    </w:p>
    <w:p w14:paraId="1B2D6E79">
      <w:pPr>
        <w:pStyle w:val="10"/>
        <w:spacing w:before="155" w:line="360" w:lineRule="auto"/>
        <w:ind w:left="218" w:right="-144" w:firstLine="480"/>
        <w:rPr>
          <w:rFonts w:cs="仿宋"/>
          <w:sz w:val="24"/>
          <w:szCs w:val="24"/>
          <w:lang w:val="en-US"/>
        </w:rPr>
      </w:pPr>
      <w:r>
        <w:rPr>
          <w:rFonts w:hint="eastAsia" w:cs="仿宋"/>
          <w:sz w:val="24"/>
          <w:szCs w:val="24"/>
          <w:lang w:val="en-US"/>
        </w:rPr>
        <w:t>1.9.4采购人在踏勘现场中介绍的工程场地和相关的周边环境情况，供投标人在编制投标文件时参考，采购人不对投标人据此作出的判断和决策负责。</w:t>
      </w:r>
    </w:p>
    <w:p w14:paraId="38F3E38F">
      <w:pPr>
        <w:pStyle w:val="51"/>
        <w:rPr>
          <w:sz w:val="24"/>
          <w:szCs w:val="24"/>
        </w:rPr>
      </w:pPr>
      <w:r>
        <w:rPr>
          <w:rFonts w:hint="eastAsia"/>
          <w:sz w:val="24"/>
          <w:szCs w:val="24"/>
        </w:rPr>
        <w:t>投标预备会（本项目不召开）</w:t>
      </w:r>
    </w:p>
    <w:p w14:paraId="7F6DC959">
      <w:pPr>
        <w:pStyle w:val="10"/>
        <w:spacing w:before="155" w:line="360" w:lineRule="auto"/>
        <w:ind w:left="218" w:right="-144" w:firstLine="480"/>
        <w:rPr>
          <w:rFonts w:cs="仿宋"/>
          <w:sz w:val="24"/>
          <w:szCs w:val="24"/>
        </w:rPr>
      </w:pPr>
      <w:r>
        <w:rPr>
          <w:rFonts w:hint="eastAsia" w:cs="仿宋"/>
          <w:sz w:val="24"/>
          <w:szCs w:val="24"/>
          <w:lang w:val="en-US"/>
        </w:rPr>
        <w:t xml:space="preserve">1.10.1 </w:t>
      </w:r>
      <w:r>
        <w:rPr>
          <w:rFonts w:hint="eastAsia" w:cs="仿宋"/>
          <w:sz w:val="24"/>
          <w:szCs w:val="24"/>
        </w:rPr>
        <w:t>投标人须知前附表规定召开投标预备会的，采购人按投标人须知前附表规定的时间和地点召开投标预备会，澄清投标人提出的问题。</w:t>
      </w:r>
    </w:p>
    <w:p w14:paraId="31D26AD2">
      <w:pPr>
        <w:pStyle w:val="10"/>
        <w:spacing w:before="155" w:line="360" w:lineRule="auto"/>
        <w:ind w:left="218" w:right="-144" w:firstLine="480"/>
        <w:rPr>
          <w:rFonts w:cs="仿宋"/>
          <w:sz w:val="24"/>
          <w:szCs w:val="24"/>
        </w:rPr>
      </w:pPr>
      <w:r>
        <w:rPr>
          <w:rFonts w:hint="eastAsia" w:cs="仿宋"/>
          <w:sz w:val="24"/>
          <w:szCs w:val="24"/>
          <w:lang w:val="en-US"/>
        </w:rPr>
        <w:t xml:space="preserve">1.10.2 </w:t>
      </w:r>
      <w:r>
        <w:rPr>
          <w:rFonts w:hint="eastAsia" w:cs="仿宋"/>
          <w:sz w:val="24"/>
          <w:szCs w:val="24"/>
        </w:rPr>
        <w:t>投标人应在投标人须知前附表规定的时间前，通过平顶山市公共资源交易中心电子交易平台将提出的问题送达采购人，以便采购人在会议期间澄清。</w:t>
      </w:r>
    </w:p>
    <w:p w14:paraId="7058CE22">
      <w:pPr>
        <w:pStyle w:val="10"/>
        <w:spacing w:before="155" w:line="360" w:lineRule="auto"/>
        <w:ind w:left="218" w:right="-144" w:firstLine="480"/>
        <w:rPr>
          <w:rFonts w:cs="仿宋"/>
          <w:sz w:val="24"/>
          <w:szCs w:val="24"/>
        </w:rPr>
      </w:pPr>
      <w:r>
        <w:rPr>
          <w:rFonts w:hint="eastAsia" w:cs="仿宋"/>
          <w:sz w:val="24"/>
          <w:szCs w:val="24"/>
          <w:lang w:val="en-US"/>
        </w:rPr>
        <w:t xml:space="preserve">1.10.3 </w:t>
      </w:r>
      <w:r>
        <w:rPr>
          <w:rFonts w:hint="eastAsia" w:cs="仿宋"/>
          <w:sz w:val="24"/>
          <w:szCs w:val="24"/>
        </w:rPr>
        <w:t>投标预备会后，采购人在投标人须知前附表规定的时间内，将对投标人所提问题的澄清，通过平顶山市公共资源交易中心电子交易平台通知所有下载招标文件的投标人。该澄清内容为招标文件的组成部分。</w:t>
      </w:r>
    </w:p>
    <w:p w14:paraId="19E8D202">
      <w:pPr>
        <w:pStyle w:val="51"/>
        <w:rPr>
          <w:sz w:val="24"/>
          <w:szCs w:val="24"/>
        </w:rPr>
      </w:pPr>
      <w:r>
        <w:rPr>
          <w:rFonts w:hint="eastAsia"/>
          <w:sz w:val="24"/>
          <w:szCs w:val="24"/>
        </w:rPr>
        <w:t>分包</w:t>
      </w:r>
    </w:p>
    <w:p w14:paraId="13CD60AF">
      <w:pPr>
        <w:pStyle w:val="10"/>
        <w:spacing w:before="155" w:line="360" w:lineRule="auto"/>
        <w:ind w:left="218" w:right="-144" w:firstLine="480"/>
        <w:rPr>
          <w:rFonts w:cs="仿宋"/>
          <w:sz w:val="24"/>
          <w:szCs w:val="24"/>
        </w:rPr>
      </w:pPr>
      <w:r>
        <w:rPr>
          <w:rFonts w:hint="eastAsia" w:cs="仿宋"/>
          <w:sz w:val="24"/>
          <w:szCs w:val="24"/>
        </w:rPr>
        <w:t>本项目不允许分包。</w:t>
      </w:r>
    </w:p>
    <w:p w14:paraId="4902D7C4">
      <w:pPr>
        <w:pStyle w:val="51"/>
        <w:rPr>
          <w:sz w:val="24"/>
          <w:szCs w:val="24"/>
        </w:rPr>
      </w:pPr>
      <w:r>
        <w:rPr>
          <w:rFonts w:hint="eastAsia"/>
          <w:sz w:val="24"/>
          <w:szCs w:val="24"/>
        </w:rPr>
        <w:t>偏离</w:t>
      </w:r>
    </w:p>
    <w:p w14:paraId="0D1C4AE8">
      <w:pPr>
        <w:pStyle w:val="10"/>
        <w:spacing w:before="155" w:line="360" w:lineRule="auto"/>
        <w:ind w:left="218" w:right="76" w:firstLine="480"/>
        <w:rPr>
          <w:rFonts w:cs="仿宋"/>
          <w:b/>
          <w:sz w:val="24"/>
          <w:szCs w:val="24"/>
          <w:lang w:val="en-US"/>
        </w:rPr>
      </w:pPr>
      <w:r>
        <w:rPr>
          <w:rFonts w:hint="eastAsia" w:cs="仿宋"/>
          <w:sz w:val="24"/>
          <w:szCs w:val="24"/>
        </w:rPr>
        <w:t>偏离应当符合招标文件规定的偏离范围和幅度。</w:t>
      </w:r>
      <w:bookmarkStart w:id="39" w:name="_bookmark4"/>
      <w:bookmarkEnd w:id="39"/>
    </w:p>
    <w:p w14:paraId="11724B73">
      <w:pPr>
        <w:pStyle w:val="4"/>
        <w:spacing w:line="360" w:lineRule="auto"/>
        <w:ind w:left="0" w:right="76"/>
        <w:rPr>
          <w:rFonts w:ascii="宋体" w:hAnsi="宋体" w:eastAsia="宋体" w:cs="仿宋"/>
          <w:b/>
          <w:bCs/>
          <w:sz w:val="24"/>
          <w:szCs w:val="24"/>
        </w:rPr>
      </w:pPr>
      <w:r>
        <w:rPr>
          <w:rFonts w:hint="eastAsia" w:ascii="宋体" w:hAnsi="宋体" w:eastAsia="宋体" w:cs="仿宋"/>
          <w:b/>
          <w:bCs/>
          <w:sz w:val="24"/>
          <w:szCs w:val="24"/>
        </w:rPr>
        <w:t>2.招标文件</w:t>
      </w:r>
    </w:p>
    <w:p w14:paraId="68C531D9">
      <w:pPr>
        <w:pStyle w:val="5"/>
        <w:ind w:firstLine="282" w:firstLineChars="117"/>
        <w:rPr>
          <w:rFonts w:ascii="宋体" w:hAnsi="宋体"/>
          <w:sz w:val="24"/>
          <w:szCs w:val="24"/>
        </w:rPr>
      </w:pPr>
      <w:r>
        <w:rPr>
          <w:rFonts w:hint="eastAsia" w:ascii="宋体" w:hAnsi="宋体"/>
          <w:sz w:val="24"/>
          <w:szCs w:val="24"/>
        </w:rPr>
        <w:t>2.1招标文件的组成</w:t>
      </w:r>
    </w:p>
    <w:p w14:paraId="70163F13">
      <w:pPr>
        <w:pStyle w:val="10"/>
        <w:spacing w:before="155" w:line="360" w:lineRule="auto"/>
        <w:ind w:left="698"/>
        <w:rPr>
          <w:rFonts w:cs="仿宋"/>
          <w:sz w:val="24"/>
          <w:szCs w:val="24"/>
        </w:rPr>
      </w:pPr>
      <w:r>
        <w:rPr>
          <w:rFonts w:hint="eastAsia" w:cs="仿宋"/>
          <w:sz w:val="24"/>
          <w:szCs w:val="24"/>
        </w:rPr>
        <w:t>本招标文件包括：</w:t>
      </w:r>
    </w:p>
    <w:p w14:paraId="207EB5AA">
      <w:pPr>
        <w:pStyle w:val="37"/>
        <w:numPr>
          <w:ilvl w:val="2"/>
          <w:numId w:val="5"/>
        </w:numPr>
        <w:tabs>
          <w:tab w:val="left" w:pos="1228"/>
        </w:tabs>
        <w:spacing w:before="160" w:line="360" w:lineRule="auto"/>
        <w:rPr>
          <w:rFonts w:cs="仿宋"/>
          <w:sz w:val="24"/>
        </w:rPr>
      </w:pPr>
      <w:r>
        <w:rPr>
          <w:rFonts w:hint="eastAsia" w:cs="仿宋"/>
          <w:spacing w:val="-2"/>
          <w:sz w:val="24"/>
        </w:rPr>
        <w:t>招标公告</w:t>
      </w:r>
    </w:p>
    <w:p w14:paraId="380BF4AE">
      <w:pPr>
        <w:pStyle w:val="37"/>
        <w:numPr>
          <w:ilvl w:val="2"/>
          <w:numId w:val="5"/>
        </w:numPr>
        <w:tabs>
          <w:tab w:val="left" w:pos="1228"/>
        </w:tabs>
        <w:spacing w:before="162" w:line="360" w:lineRule="auto"/>
        <w:rPr>
          <w:rFonts w:cs="仿宋"/>
          <w:sz w:val="24"/>
        </w:rPr>
      </w:pPr>
      <w:r>
        <w:rPr>
          <w:rFonts w:hint="eastAsia" w:cs="仿宋"/>
          <w:spacing w:val="-3"/>
          <w:sz w:val="24"/>
        </w:rPr>
        <w:t>投标人须知</w:t>
      </w:r>
    </w:p>
    <w:p w14:paraId="3DB67A59">
      <w:pPr>
        <w:pStyle w:val="37"/>
        <w:numPr>
          <w:ilvl w:val="2"/>
          <w:numId w:val="5"/>
        </w:numPr>
        <w:tabs>
          <w:tab w:val="left" w:pos="1228"/>
        </w:tabs>
        <w:spacing w:before="163" w:line="360" w:lineRule="auto"/>
        <w:rPr>
          <w:rFonts w:cs="仿宋"/>
          <w:sz w:val="24"/>
        </w:rPr>
      </w:pPr>
      <w:r>
        <w:rPr>
          <w:rFonts w:hint="eastAsia" w:cs="仿宋"/>
          <w:spacing w:val="-3"/>
          <w:sz w:val="24"/>
        </w:rPr>
        <w:t>评标办法</w:t>
      </w:r>
    </w:p>
    <w:p w14:paraId="1C807895">
      <w:pPr>
        <w:pStyle w:val="37"/>
        <w:numPr>
          <w:ilvl w:val="2"/>
          <w:numId w:val="5"/>
        </w:numPr>
        <w:tabs>
          <w:tab w:val="left" w:pos="1228"/>
        </w:tabs>
        <w:spacing w:before="160" w:line="360" w:lineRule="auto"/>
        <w:rPr>
          <w:rFonts w:cs="仿宋"/>
          <w:sz w:val="24"/>
        </w:rPr>
      </w:pPr>
      <w:r>
        <w:rPr>
          <w:rFonts w:hint="eastAsia" w:cs="仿宋"/>
          <w:spacing w:val="-3"/>
          <w:sz w:val="24"/>
        </w:rPr>
        <w:t>合同条款及格式</w:t>
      </w:r>
    </w:p>
    <w:p w14:paraId="079EB437">
      <w:pPr>
        <w:pStyle w:val="37"/>
        <w:numPr>
          <w:ilvl w:val="2"/>
          <w:numId w:val="5"/>
        </w:numPr>
        <w:tabs>
          <w:tab w:val="left" w:pos="1228"/>
        </w:tabs>
        <w:spacing w:before="160" w:line="360" w:lineRule="auto"/>
        <w:rPr>
          <w:rFonts w:cs="仿宋"/>
          <w:sz w:val="24"/>
        </w:rPr>
      </w:pPr>
      <w:r>
        <w:rPr>
          <w:rFonts w:hint="eastAsia" w:cs="仿宋"/>
          <w:spacing w:val="-2"/>
          <w:sz w:val="24"/>
        </w:rPr>
        <w:t>采购</w:t>
      </w:r>
      <w:r>
        <w:rPr>
          <w:rFonts w:hint="eastAsia" w:cs="仿宋"/>
          <w:spacing w:val="-2"/>
          <w:sz w:val="24"/>
          <w:lang w:val="en-US"/>
        </w:rPr>
        <w:t>内容及服务要求</w:t>
      </w:r>
    </w:p>
    <w:p w14:paraId="6E744B6A">
      <w:pPr>
        <w:pStyle w:val="37"/>
        <w:numPr>
          <w:ilvl w:val="2"/>
          <w:numId w:val="5"/>
        </w:numPr>
        <w:tabs>
          <w:tab w:val="left" w:pos="1228"/>
        </w:tabs>
        <w:spacing w:before="160" w:line="360" w:lineRule="auto"/>
        <w:rPr>
          <w:rFonts w:cs="仿宋"/>
          <w:sz w:val="24"/>
        </w:rPr>
      </w:pPr>
      <w:r>
        <w:rPr>
          <w:rFonts w:hint="eastAsia" w:cs="仿宋"/>
          <w:spacing w:val="-3"/>
          <w:sz w:val="24"/>
        </w:rPr>
        <w:t>投标文件格式</w:t>
      </w:r>
    </w:p>
    <w:p w14:paraId="7E7E0C80">
      <w:pPr>
        <w:pStyle w:val="10"/>
        <w:spacing w:before="160" w:line="360" w:lineRule="auto"/>
        <w:ind w:left="218" w:right="-144" w:firstLine="480"/>
        <w:rPr>
          <w:rFonts w:cs="仿宋"/>
          <w:sz w:val="24"/>
          <w:szCs w:val="24"/>
        </w:rPr>
      </w:pPr>
      <w:r>
        <w:rPr>
          <w:rFonts w:hint="eastAsia" w:cs="仿宋"/>
          <w:sz w:val="24"/>
          <w:szCs w:val="24"/>
        </w:rPr>
        <w:t>根据本章招标文件所作的澄清、修改，构成招标文件的组成部分。</w:t>
      </w:r>
    </w:p>
    <w:p w14:paraId="44B29963">
      <w:pPr>
        <w:pStyle w:val="5"/>
        <w:ind w:firstLine="282" w:firstLineChars="117"/>
        <w:rPr>
          <w:rFonts w:ascii="宋体" w:hAnsi="宋体"/>
          <w:sz w:val="24"/>
          <w:szCs w:val="24"/>
        </w:rPr>
      </w:pPr>
      <w:r>
        <w:rPr>
          <w:rFonts w:hint="eastAsia" w:ascii="宋体" w:hAnsi="宋体"/>
          <w:sz w:val="24"/>
          <w:szCs w:val="24"/>
        </w:rPr>
        <w:t>2.2 招标文件的澄清</w:t>
      </w:r>
    </w:p>
    <w:p w14:paraId="12B353CB">
      <w:pPr>
        <w:pStyle w:val="37"/>
        <w:tabs>
          <w:tab w:val="left" w:pos="1270"/>
          <w:tab w:val="left" w:pos="8140"/>
        </w:tabs>
        <w:spacing w:line="360" w:lineRule="auto"/>
        <w:ind w:left="0" w:firstLine="489" w:firstLineChars="209"/>
        <w:jc w:val="both"/>
        <w:rPr>
          <w:rFonts w:cs="仿宋"/>
          <w:spacing w:val="-3"/>
          <w:kern w:val="2"/>
          <w:sz w:val="24"/>
          <w:lang w:val="en-US"/>
        </w:rPr>
      </w:pPr>
      <w:r>
        <w:rPr>
          <w:rFonts w:hint="eastAsia" w:cs="仿宋"/>
          <w:spacing w:val="-3"/>
          <w:kern w:val="2"/>
          <w:sz w:val="24"/>
          <w:lang w:val="en-US"/>
        </w:rPr>
        <w:t>2.2.1 投标人应仔细阅读和检查招标文件的全部内容。如发现缺页或附件不全或者疑问，应在投标人须知前附表规定的时间前在电子交易系统中提出，并告知代理机构，要求采购人对招标文件予以澄清。</w:t>
      </w:r>
    </w:p>
    <w:p w14:paraId="04A24AA6">
      <w:pPr>
        <w:pStyle w:val="37"/>
        <w:tabs>
          <w:tab w:val="left" w:pos="1270"/>
          <w:tab w:val="left" w:pos="8140"/>
        </w:tabs>
        <w:spacing w:line="360" w:lineRule="auto"/>
        <w:ind w:left="0" w:firstLine="514" w:firstLineChars="220"/>
        <w:jc w:val="both"/>
        <w:rPr>
          <w:rFonts w:cs="仿宋"/>
          <w:b/>
          <w:bCs/>
          <w:sz w:val="24"/>
          <w:lang w:val="en-US"/>
        </w:rPr>
      </w:pPr>
      <w:r>
        <w:rPr>
          <w:rFonts w:hint="eastAsia" w:cs="仿宋"/>
          <w:spacing w:val="-3"/>
          <w:kern w:val="2"/>
          <w:sz w:val="24"/>
          <w:lang w:val="en-US"/>
        </w:rPr>
        <w:t>2.2.2 招标文件的澄清将在投标人须知前附表规定的投标截止时间15天前在电子交易系统中予以澄清形式公示给所有下载招标文件的投标人，但不指明澄清问题的来源。如果澄清发出的时间距投标截止时间不足</w:t>
      </w:r>
      <w:r>
        <w:rPr>
          <w:rFonts w:hint="eastAsia" w:cs="仿宋"/>
          <w:spacing w:val="-3"/>
          <w:sz w:val="24"/>
        </w:rPr>
        <w:t>15天的，相应延长投标截止时间。</w:t>
      </w:r>
    </w:p>
    <w:p w14:paraId="611662BF">
      <w:pPr>
        <w:pStyle w:val="5"/>
        <w:ind w:firstLine="282" w:firstLineChars="117"/>
        <w:rPr>
          <w:rFonts w:ascii="宋体" w:hAnsi="宋体"/>
          <w:sz w:val="24"/>
          <w:szCs w:val="24"/>
        </w:rPr>
      </w:pPr>
      <w:r>
        <w:rPr>
          <w:rFonts w:hint="eastAsia" w:ascii="宋体" w:hAnsi="宋体"/>
          <w:sz w:val="24"/>
          <w:szCs w:val="24"/>
        </w:rPr>
        <w:t>2.3 招标文件的修改</w:t>
      </w:r>
    </w:p>
    <w:p w14:paraId="32D72C2E">
      <w:pPr>
        <w:snapToGrid w:val="0"/>
        <w:spacing w:line="360" w:lineRule="auto"/>
        <w:ind w:firstLine="702" w:firstLineChars="300"/>
        <w:rPr>
          <w:rFonts w:ascii="宋体" w:hAnsi="宋体" w:cs="仿宋"/>
          <w:spacing w:val="-3"/>
          <w:sz w:val="24"/>
        </w:rPr>
      </w:pPr>
      <w:r>
        <w:rPr>
          <w:rFonts w:hint="eastAsia" w:ascii="宋体" w:hAnsi="宋体" w:cs="仿宋"/>
          <w:spacing w:val="-3"/>
          <w:sz w:val="24"/>
        </w:rPr>
        <w:t>2.3.1在投标截止日15天前，采购人或采购代理机构可以在电子交易系统中补充、修改招标文件，并公示给所有下载招标文件的投标人。如果修改招标文件的时间距投标截止时间不足15天的，相应延长投标截止时间。</w:t>
      </w:r>
    </w:p>
    <w:p w14:paraId="03C69EAE">
      <w:pPr>
        <w:pStyle w:val="4"/>
        <w:spacing w:line="360" w:lineRule="auto"/>
        <w:ind w:left="0" w:right="76"/>
        <w:rPr>
          <w:rFonts w:ascii="宋体" w:hAnsi="宋体" w:eastAsia="宋体" w:cs="仿宋"/>
          <w:b/>
          <w:bCs/>
          <w:sz w:val="24"/>
          <w:szCs w:val="24"/>
        </w:rPr>
      </w:pPr>
      <w:r>
        <w:rPr>
          <w:rFonts w:hint="eastAsia" w:ascii="宋体" w:hAnsi="宋体" w:eastAsia="宋体" w:cs="仿宋"/>
          <w:b/>
          <w:bCs/>
          <w:sz w:val="24"/>
          <w:szCs w:val="24"/>
        </w:rPr>
        <w:t>3.投标文件</w:t>
      </w:r>
    </w:p>
    <w:p w14:paraId="75C23500">
      <w:pPr>
        <w:pStyle w:val="5"/>
        <w:ind w:firstLine="282" w:firstLineChars="117"/>
        <w:rPr>
          <w:rFonts w:ascii="宋体" w:hAnsi="宋体"/>
          <w:sz w:val="24"/>
          <w:szCs w:val="24"/>
        </w:rPr>
      </w:pPr>
      <w:r>
        <w:rPr>
          <w:rFonts w:hint="eastAsia" w:ascii="宋体" w:hAnsi="宋体"/>
          <w:sz w:val="24"/>
          <w:szCs w:val="24"/>
        </w:rPr>
        <w:t>3.1 投标文件的组成：</w:t>
      </w:r>
    </w:p>
    <w:p w14:paraId="36783F41">
      <w:pPr>
        <w:pStyle w:val="37"/>
        <w:tabs>
          <w:tab w:val="left" w:pos="440"/>
        </w:tabs>
        <w:spacing w:line="360" w:lineRule="auto"/>
        <w:ind w:left="0" w:firstLine="468" w:firstLineChars="200"/>
        <w:rPr>
          <w:rFonts w:cs="仿宋"/>
          <w:spacing w:val="-3"/>
          <w:sz w:val="24"/>
        </w:rPr>
      </w:pPr>
      <w:r>
        <w:rPr>
          <w:rFonts w:hint="eastAsia" w:cs="仿宋"/>
          <w:spacing w:val="-3"/>
          <w:sz w:val="24"/>
        </w:rPr>
        <w:t>3.1.</w:t>
      </w:r>
      <w:r>
        <w:rPr>
          <w:rFonts w:hint="eastAsia" w:cs="仿宋"/>
          <w:spacing w:val="-3"/>
          <w:sz w:val="24"/>
          <w:lang w:val="en-US"/>
        </w:rPr>
        <w:t xml:space="preserve">1 </w:t>
      </w:r>
      <w:r>
        <w:rPr>
          <w:rFonts w:hint="eastAsia" w:cs="仿宋"/>
          <w:spacing w:val="-3"/>
          <w:sz w:val="24"/>
        </w:rPr>
        <w:t>投标文件应包含下列内容：</w:t>
      </w:r>
    </w:p>
    <w:p w14:paraId="3E1F7D00">
      <w:pPr>
        <w:snapToGrid w:val="0"/>
        <w:spacing w:line="360" w:lineRule="auto"/>
        <w:ind w:firstLine="702" w:firstLineChars="300"/>
        <w:rPr>
          <w:rFonts w:ascii="宋体" w:hAnsi="宋体" w:cs="仿宋"/>
          <w:spacing w:val="-3"/>
          <w:sz w:val="24"/>
        </w:rPr>
      </w:pPr>
      <w:r>
        <w:rPr>
          <w:rFonts w:hint="eastAsia" w:ascii="宋体" w:hAnsi="宋体" w:cs="仿宋"/>
          <w:spacing w:val="-3"/>
          <w:sz w:val="24"/>
        </w:rPr>
        <w:t>（1）投标函</w:t>
      </w:r>
    </w:p>
    <w:p w14:paraId="590B416A">
      <w:pPr>
        <w:snapToGrid w:val="0"/>
        <w:spacing w:line="360" w:lineRule="auto"/>
        <w:ind w:firstLine="702" w:firstLineChars="300"/>
        <w:rPr>
          <w:rFonts w:ascii="宋体" w:hAnsi="宋体" w:cs="仿宋"/>
          <w:spacing w:val="-3"/>
          <w:sz w:val="24"/>
        </w:rPr>
      </w:pPr>
      <w:r>
        <w:rPr>
          <w:rFonts w:hint="eastAsia" w:ascii="宋体" w:hAnsi="宋体" w:cs="仿宋"/>
          <w:spacing w:val="-3"/>
          <w:sz w:val="24"/>
        </w:rPr>
        <w:t>（2）开标一览表及分项报价明细表</w:t>
      </w:r>
    </w:p>
    <w:p w14:paraId="1FD9663D">
      <w:pPr>
        <w:snapToGrid w:val="0"/>
        <w:spacing w:line="360" w:lineRule="auto"/>
        <w:ind w:firstLine="702" w:firstLineChars="300"/>
        <w:rPr>
          <w:rFonts w:ascii="宋体" w:hAnsi="宋体" w:cs="仿宋"/>
          <w:spacing w:val="-3"/>
          <w:sz w:val="24"/>
        </w:rPr>
      </w:pPr>
      <w:r>
        <w:rPr>
          <w:rFonts w:hint="eastAsia" w:ascii="宋体" w:hAnsi="宋体" w:cs="仿宋"/>
          <w:spacing w:val="-3"/>
          <w:sz w:val="24"/>
        </w:rPr>
        <w:t>（3）法定代表人身份证明及授权委托书</w:t>
      </w:r>
    </w:p>
    <w:p w14:paraId="7233E6C2">
      <w:pPr>
        <w:snapToGrid w:val="0"/>
        <w:spacing w:line="360" w:lineRule="auto"/>
        <w:ind w:firstLine="702" w:firstLineChars="300"/>
        <w:rPr>
          <w:rFonts w:ascii="宋体" w:hAnsi="宋体" w:cs="仿宋"/>
          <w:spacing w:val="-3"/>
          <w:sz w:val="24"/>
        </w:rPr>
      </w:pPr>
      <w:r>
        <w:rPr>
          <w:rFonts w:hint="eastAsia" w:ascii="宋体" w:hAnsi="宋体" w:cs="仿宋"/>
          <w:spacing w:val="-3"/>
          <w:sz w:val="24"/>
        </w:rPr>
        <w:t>（4）技术规格偏差表</w:t>
      </w:r>
    </w:p>
    <w:p w14:paraId="4C288DF2">
      <w:pPr>
        <w:snapToGrid w:val="0"/>
        <w:spacing w:line="360" w:lineRule="auto"/>
        <w:ind w:firstLine="702" w:firstLineChars="300"/>
        <w:rPr>
          <w:rFonts w:ascii="宋体" w:hAnsi="宋体" w:cs="仿宋"/>
          <w:spacing w:val="-3"/>
          <w:sz w:val="24"/>
        </w:rPr>
      </w:pPr>
      <w:r>
        <w:rPr>
          <w:rFonts w:hint="eastAsia" w:ascii="宋体" w:hAnsi="宋体" w:cs="仿宋"/>
          <w:spacing w:val="-3"/>
          <w:sz w:val="24"/>
        </w:rPr>
        <w:t>（5）技术方案部分</w:t>
      </w:r>
    </w:p>
    <w:p w14:paraId="4ADA654A">
      <w:pPr>
        <w:snapToGrid w:val="0"/>
        <w:spacing w:line="360" w:lineRule="auto"/>
        <w:ind w:firstLine="702" w:firstLineChars="300"/>
        <w:rPr>
          <w:rFonts w:ascii="宋体" w:hAnsi="宋体" w:cs="仿宋"/>
          <w:spacing w:val="-3"/>
          <w:sz w:val="24"/>
        </w:rPr>
      </w:pPr>
      <w:r>
        <w:rPr>
          <w:rFonts w:hint="eastAsia" w:ascii="宋体" w:hAnsi="宋体" w:cs="仿宋"/>
          <w:spacing w:val="-3"/>
          <w:sz w:val="24"/>
        </w:rPr>
        <w:t>（6）业绩一览表</w:t>
      </w:r>
    </w:p>
    <w:p w14:paraId="376CA2B2">
      <w:pPr>
        <w:snapToGrid w:val="0"/>
        <w:spacing w:line="360" w:lineRule="auto"/>
        <w:ind w:firstLine="702" w:firstLineChars="300"/>
        <w:rPr>
          <w:rFonts w:ascii="宋体" w:hAnsi="宋体" w:cs="仿宋"/>
          <w:spacing w:val="-3"/>
          <w:sz w:val="24"/>
        </w:rPr>
      </w:pPr>
      <w:r>
        <w:rPr>
          <w:rFonts w:hint="eastAsia" w:ascii="宋体" w:hAnsi="宋体" w:cs="仿宋"/>
          <w:spacing w:val="-3"/>
          <w:sz w:val="24"/>
        </w:rPr>
        <w:t>（7）资格审查资料</w:t>
      </w:r>
    </w:p>
    <w:p w14:paraId="5DAA6632">
      <w:pPr>
        <w:snapToGrid w:val="0"/>
        <w:spacing w:line="360" w:lineRule="auto"/>
        <w:ind w:firstLine="702" w:firstLineChars="300"/>
        <w:rPr>
          <w:rFonts w:ascii="宋体" w:hAnsi="宋体" w:cs="仿宋"/>
          <w:spacing w:val="-3"/>
          <w:sz w:val="24"/>
        </w:rPr>
      </w:pPr>
      <w:r>
        <w:rPr>
          <w:rFonts w:hint="eastAsia" w:ascii="宋体" w:hAnsi="宋体" w:cs="仿宋"/>
          <w:spacing w:val="-3"/>
          <w:sz w:val="24"/>
        </w:rPr>
        <w:t>（8）其他资料</w:t>
      </w:r>
    </w:p>
    <w:p w14:paraId="6D1F7CB4">
      <w:pPr>
        <w:pStyle w:val="5"/>
        <w:ind w:firstLine="282" w:firstLineChars="117"/>
        <w:rPr>
          <w:rFonts w:ascii="宋体" w:hAnsi="宋体"/>
          <w:sz w:val="24"/>
          <w:szCs w:val="24"/>
        </w:rPr>
      </w:pPr>
      <w:r>
        <w:rPr>
          <w:rFonts w:hint="eastAsia" w:ascii="宋体" w:hAnsi="宋体"/>
          <w:sz w:val="24"/>
          <w:szCs w:val="24"/>
        </w:rPr>
        <w:t>3.2 投标报价</w:t>
      </w:r>
    </w:p>
    <w:p w14:paraId="6BFFFED9">
      <w:pPr>
        <w:tabs>
          <w:tab w:val="left" w:pos="1080"/>
        </w:tabs>
        <w:spacing w:line="360" w:lineRule="auto"/>
        <w:ind w:firstLine="468" w:firstLineChars="200"/>
        <w:rPr>
          <w:rFonts w:ascii="宋体" w:hAnsi="宋体" w:cs="仿宋"/>
          <w:spacing w:val="-3"/>
          <w:sz w:val="24"/>
        </w:rPr>
      </w:pPr>
      <w:r>
        <w:rPr>
          <w:rFonts w:hint="eastAsia" w:ascii="宋体" w:hAnsi="宋体" w:cs="仿宋"/>
          <w:spacing w:val="-3"/>
          <w:sz w:val="24"/>
        </w:rPr>
        <w:t>3.2.1投标报价由投标人根据自己的实际情况合理自主报价，但不得低于成本竞争。投标价格为含税及配送到招标单位，并安装调试验收合格后的落地价格。</w:t>
      </w:r>
    </w:p>
    <w:p w14:paraId="56E0B59B">
      <w:pPr>
        <w:tabs>
          <w:tab w:val="left" w:pos="1080"/>
        </w:tabs>
        <w:spacing w:line="360" w:lineRule="auto"/>
        <w:ind w:firstLine="468" w:firstLineChars="200"/>
        <w:rPr>
          <w:rFonts w:ascii="宋体" w:hAnsi="宋体" w:cs="仿宋"/>
          <w:spacing w:val="-3"/>
          <w:sz w:val="24"/>
        </w:rPr>
      </w:pPr>
      <w:r>
        <w:rPr>
          <w:rFonts w:hint="eastAsia" w:ascii="宋体" w:hAnsi="宋体" w:cs="仿宋"/>
          <w:spacing w:val="-3"/>
          <w:sz w:val="24"/>
        </w:rPr>
        <w:t>3.2.2投标报价应包含招标文件要求投标人承担的所有费用，包括所投服务（货物）的成本、税金、保险、运输、装卸费（货物到采购人指定到货地点）、安装、调试、验收、技术服务、培训、维护升级等相关的伴随服务费、所投服务（货物）在验收合格前产生的任何检验、检疫、监测与之相关的所有费用由中标人承担服务（货物）本身已支付或将支付的各种税费以及其它交付使用前的所有费用。</w:t>
      </w:r>
    </w:p>
    <w:p w14:paraId="05A3CF02">
      <w:pPr>
        <w:pStyle w:val="37"/>
        <w:tabs>
          <w:tab w:val="left" w:pos="440"/>
        </w:tabs>
        <w:spacing w:line="360" w:lineRule="auto"/>
        <w:ind w:left="0" w:firstLine="468" w:firstLineChars="200"/>
        <w:rPr>
          <w:rFonts w:cs="仿宋"/>
          <w:spacing w:val="-3"/>
          <w:sz w:val="24"/>
        </w:rPr>
      </w:pPr>
      <w:r>
        <w:rPr>
          <w:rFonts w:hint="eastAsia" w:cs="仿宋"/>
          <w:spacing w:val="-3"/>
          <w:sz w:val="24"/>
          <w:lang w:val="en-US"/>
        </w:rPr>
        <w:t xml:space="preserve">3.2.3 </w:t>
      </w:r>
      <w:r>
        <w:rPr>
          <w:rFonts w:hint="eastAsia" w:cs="仿宋"/>
          <w:spacing w:val="-3"/>
          <w:sz w:val="24"/>
        </w:rPr>
        <w:t>投标人应充分了解该项目的总体情况以及影响投标报价的其他要素。</w:t>
      </w:r>
    </w:p>
    <w:p w14:paraId="78492F14">
      <w:pPr>
        <w:pStyle w:val="37"/>
        <w:tabs>
          <w:tab w:val="left" w:pos="440"/>
        </w:tabs>
        <w:spacing w:line="360" w:lineRule="auto"/>
        <w:ind w:left="0" w:firstLine="468" w:firstLineChars="200"/>
        <w:rPr>
          <w:rFonts w:cs="仿宋"/>
          <w:spacing w:val="-3"/>
          <w:sz w:val="24"/>
        </w:rPr>
      </w:pPr>
      <w:r>
        <w:rPr>
          <w:rFonts w:hint="eastAsia" w:cs="仿宋"/>
          <w:spacing w:val="-3"/>
          <w:sz w:val="24"/>
          <w:lang w:val="en-US"/>
        </w:rPr>
        <w:t xml:space="preserve">3.2.4 </w:t>
      </w:r>
      <w:r>
        <w:rPr>
          <w:rFonts w:hint="eastAsia" w:cs="仿宋"/>
          <w:spacing w:val="-3"/>
          <w:sz w:val="24"/>
        </w:rPr>
        <w:t>采购人设有最高投标限价的，投标人的投标报价不得超过最高投标限价，最高投标限价在投标人须知前附表中载明。</w:t>
      </w:r>
    </w:p>
    <w:p w14:paraId="2AA00AAD">
      <w:pPr>
        <w:pStyle w:val="5"/>
        <w:ind w:firstLine="282" w:firstLineChars="117"/>
        <w:rPr>
          <w:rFonts w:ascii="宋体" w:hAnsi="宋体"/>
          <w:sz w:val="24"/>
          <w:szCs w:val="24"/>
        </w:rPr>
      </w:pPr>
      <w:r>
        <w:rPr>
          <w:rFonts w:hint="eastAsia" w:ascii="宋体" w:hAnsi="宋体"/>
          <w:sz w:val="24"/>
          <w:szCs w:val="24"/>
        </w:rPr>
        <w:t>3.3 投标有效期</w:t>
      </w:r>
    </w:p>
    <w:p w14:paraId="58C664CA">
      <w:pPr>
        <w:pStyle w:val="37"/>
        <w:tabs>
          <w:tab w:val="left" w:pos="1270"/>
        </w:tabs>
        <w:spacing w:line="360" w:lineRule="auto"/>
        <w:ind w:left="420" w:firstLine="0"/>
        <w:rPr>
          <w:rFonts w:cs="仿宋"/>
          <w:spacing w:val="-3"/>
          <w:sz w:val="24"/>
        </w:rPr>
      </w:pPr>
      <w:r>
        <w:rPr>
          <w:rFonts w:hint="eastAsia" w:cs="仿宋"/>
          <w:spacing w:val="-3"/>
          <w:sz w:val="24"/>
          <w:lang w:val="en-US"/>
        </w:rPr>
        <w:t xml:space="preserve">3.3.1 </w:t>
      </w:r>
      <w:r>
        <w:rPr>
          <w:rFonts w:hint="eastAsia" w:cs="仿宋"/>
          <w:spacing w:val="-3"/>
          <w:sz w:val="24"/>
        </w:rPr>
        <w:t xml:space="preserve">除投标人须知前附表另有规定外，投标有效期为 90 </w:t>
      </w:r>
      <w:r>
        <w:rPr>
          <w:rFonts w:hint="eastAsia" w:cs="仿宋"/>
          <w:spacing w:val="-3"/>
          <w:sz w:val="24"/>
          <w:lang w:val="en-US"/>
        </w:rPr>
        <w:t>日历</w:t>
      </w:r>
      <w:r>
        <w:rPr>
          <w:rFonts w:hint="eastAsia" w:cs="仿宋"/>
          <w:spacing w:val="-3"/>
          <w:sz w:val="24"/>
        </w:rPr>
        <w:t>天。</w:t>
      </w:r>
    </w:p>
    <w:p w14:paraId="4E158055">
      <w:pPr>
        <w:pStyle w:val="37"/>
        <w:tabs>
          <w:tab w:val="left" w:pos="1270"/>
        </w:tabs>
        <w:spacing w:line="360" w:lineRule="auto"/>
        <w:ind w:left="0" w:right="53" w:rightChars="25" w:firstLine="489" w:firstLineChars="209"/>
        <w:rPr>
          <w:rFonts w:cs="仿宋"/>
          <w:spacing w:val="-3"/>
          <w:sz w:val="24"/>
          <w:lang w:val="en-US"/>
        </w:rPr>
      </w:pPr>
      <w:r>
        <w:rPr>
          <w:rFonts w:hint="eastAsia" w:cs="仿宋"/>
          <w:spacing w:val="-3"/>
          <w:sz w:val="24"/>
          <w:lang w:val="en-US"/>
        </w:rPr>
        <w:t>3.3.2 在投标有效期内，投标人撤销投标文件的，应承担招标文件和法律规定的责任。</w:t>
      </w:r>
    </w:p>
    <w:p w14:paraId="29E92CC0">
      <w:pPr>
        <w:pStyle w:val="37"/>
        <w:tabs>
          <w:tab w:val="left" w:pos="1270"/>
        </w:tabs>
        <w:spacing w:line="360" w:lineRule="auto"/>
        <w:ind w:left="0" w:right="53" w:rightChars="25" w:firstLine="489" w:firstLineChars="209"/>
        <w:rPr>
          <w:rFonts w:cs="仿宋"/>
          <w:spacing w:val="-3"/>
          <w:sz w:val="24"/>
        </w:rPr>
      </w:pPr>
      <w:r>
        <w:rPr>
          <w:rFonts w:hint="eastAsia" w:cs="仿宋"/>
          <w:spacing w:val="-3"/>
          <w:sz w:val="24"/>
          <w:lang w:val="en-US"/>
        </w:rPr>
        <w:t xml:space="preserve">3.3.3 </w:t>
      </w:r>
      <w:r>
        <w:rPr>
          <w:rFonts w:hint="eastAsia" w:cs="仿宋"/>
          <w:spacing w:val="-3"/>
          <w:sz w:val="24"/>
        </w:rPr>
        <w:t>出现特殊情况需要延长投标有效期的，采购人以书面形式通知所有投标人延长投标有效期。投标人应予以书面答复，同意延长的，应相应延长其投标保证金的有效期， 但不得要求或被允许修改其投标文件；投标人拒绝延长的，其投标失效。</w:t>
      </w:r>
    </w:p>
    <w:p w14:paraId="71667C7E">
      <w:pPr>
        <w:pStyle w:val="5"/>
        <w:ind w:firstLine="282" w:firstLineChars="117"/>
        <w:rPr>
          <w:rFonts w:ascii="宋体" w:hAnsi="宋体"/>
          <w:sz w:val="24"/>
          <w:szCs w:val="24"/>
        </w:rPr>
      </w:pPr>
      <w:r>
        <w:rPr>
          <w:rFonts w:hint="eastAsia" w:ascii="宋体" w:hAnsi="宋体"/>
          <w:sz w:val="24"/>
          <w:szCs w:val="24"/>
        </w:rPr>
        <w:t>3.4 投标保证金</w:t>
      </w:r>
    </w:p>
    <w:p w14:paraId="03C2D734">
      <w:pPr>
        <w:pStyle w:val="37"/>
        <w:tabs>
          <w:tab w:val="left" w:pos="440"/>
        </w:tabs>
        <w:spacing w:line="360" w:lineRule="auto"/>
        <w:ind w:left="0" w:firstLine="514" w:firstLineChars="220"/>
        <w:rPr>
          <w:rFonts w:cs="仿宋"/>
          <w:spacing w:val="-3"/>
          <w:sz w:val="24"/>
          <w:lang w:val="en-US"/>
        </w:rPr>
      </w:pPr>
      <w:r>
        <w:rPr>
          <w:rFonts w:hint="eastAsia" w:cs="仿宋"/>
          <w:spacing w:val="-3"/>
          <w:sz w:val="24"/>
          <w:lang w:val="en-US"/>
        </w:rPr>
        <w:t>根据“河南省财政厅关于优化政府采购营商环境有关问题的通知”豫财购〔2019〕4 号文中“(六)降低供应商参与政府采购活动交易成本”的规定，该项目不收取投标保证金。</w:t>
      </w:r>
    </w:p>
    <w:p w14:paraId="64C688E1">
      <w:pPr>
        <w:pStyle w:val="5"/>
        <w:ind w:firstLine="282" w:firstLineChars="117"/>
        <w:rPr>
          <w:rFonts w:ascii="宋体" w:hAnsi="宋体"/>
          <w:sz w:val="24"/>
          <w:szCs w:val="24"/>
        </w:rPr>
      </w:pPr>
      <w:r>
        <w:rPr>
          <w:rFonts w:hint="eastAsia" w:ascii="宋体" w:hAnsi="宋体"/>
          <w:sz w:val="24"/>
          <w:szCs w:val="24"/>
        </w:rPr>
        <w:t>3.5 资格审查资料</w:t>
      </w:r>
    </w:p>
    <w:p w14:paraId="2F7E1946">
      <w:pPr>
        <w:spacing w:line="360" w:lineRule="auto"/>
        <w:ind w:right="-136" w:rightChars="-65" w:firstLine="468" w:firstLineChars="200"/>
        <w:rPr>
          <w:rFonts w:ascii="宋体" w:hAnsi="宋体" w:cs="仿宋"/>
          <w:spacing w:val="-3"/>
          <w:sz w:val="24"/>
        </w:rPr>
      </w:pPr>
      <w:r>
        <w:rPr>
          <w:rFonts w:hint="eastAsia" w:ascii="宋体" w:hAnsi="宋体" w:cs="仿宋"/>
          <w:spacing w:val="-3"/>
          <w:sz w:val="24"/>
        </w:rPr>
        <w:t>详见投标人须知前附表。</w:t>
      </w:r>
    </w:p>
    <w:p w14:paraId="139C5DBC">
      <w:pPr>
        <w:pStyle w:val="5"/>
        <w:ind w:firstLine="282" w:firstLineChars="117"/>
        <w:rPr>
          <w:rFonts w:ascii="宋体" w:hAnsi="宋体"/>
          <w:sz w:val="24"/>
          <w:szCs w:val="24"/>
        </w:rPr>
      </w:pPr>
      <w:r>
        <w:rPr>
          <w:rFonts w:hint="eastAsia" w:ascii="宋体" w:hAnsi="宋体"/>
          <w:sz w:val="24"/>
          <w:szCs w:val="24"/>
        </w:rPr>
        <w:t>3.6 备选投标方案（不接受）</w:t>
      </w:r>
    </w:p>
    <w:p w14:paraId="70C4BDD3">
      <w:pPr>
        <w:pStyle w:val="37"/>
        <w:tabs>
          <w:tab w:val="left" w:pos="1270"/>
        </w:tabs>
        <w:spacing w:line="360" w:lineRule="auto"/>
        <w:ind w:left="0" w:firstLine="489" w:firstLineChars="209"/>
        <w:rPr>
          <w:rFonts w:cs="仿宋"/>
          <w:spacing w:val="-3"/>
          <w:sz w:val="24"/>
        </w:rPr>
      </w:pPr>
      <w:r>
        <w:rPr>
          <w:rFonts w:hint="eastAsia" w:cs="仿宋"/>
          <w:spacing w:val="-3"/>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采购人可以接受该备选投标方案。</w:t>
      </w:r>
    </w:p>
    <w:p w14:paraId="46B34143">
      <w:pPr>
        <w:pStyle w:val="5"/>
        <w:ind w:firstLine="282" w:firstLineChars="117"/>
        <w:rPr>
          <w:rFonts w:ascii="宋体" w:hAnsi="宋体"/>
          <w:sz w:val="24"/>
          <w:szCs w:val="24"/>
        </w:rPr>
      </w:pPr>
      <w:r>
        <w:rPr>
          <w:rFonts w:hint="eastAsia" w:ascii="宋体" w:hAnsi="宋体"/>
          <w:sz w:val="24"/>
          <w:szCs w:val="24"/>
        </w:rPr>
        <w:t>3.7 投标文件的编制</w:t>
      </w:r>
    </w:p>
    <w:p w14:paraId="65DB79AF">
      <w:pPr>
        <w:widowControl/>
        <w:spacing w:line="360" w:lineRule="auto"/>
        <w:ind w:firstLine="468" w:firstLineChars="200"/>
        <w:rPr>
          <w:rFonts w:ascii="宋体" w:hAnsi="宋体" w:cs="仿宋"/>
          <w:spacing w:val="-3"/>
          <w:sz w:val="24"/>
        </w:rPr>
      </w:pPr>
      <w:r>
        <w:rPr>
          <w:rFonts w:hint="eastAsia" w:ascii="宋体" w:hAnsi="宋体" w:cs="仿宋"/>
          <w:spacing w:val="-3"/>
          <w:sz w:val="24"/>
        </w:rPr>
        <w:t>3.7.1 投标文件应按招标文件第六章“投标文件格式”要求进行编写，如有必要，可以增加附页作为投标文件的组成部分，但不修改投标文件格式，如修改招标文件中规定的“投标文件格式”视为不响应形式评审要求。</w:t>
      </w:r>
    </w:p>
    <w:p w14:paraId="2FD82051">
      <w:pPr>
        <w:widowControl/>
        <w:spacing w:line="360" w:lineRule="auto"/>
        <w:ind w:firstLine="468" w:firstLineChars="200"/>
        <w:rPr>
          <w:rFonts w:ascii="宋体" w:hAnsi="宋体" w:cs="仿宋"/>
          <w:spacing w:val="-3"/>
          <w:sz w:val="24"/>
        </w:rPr>
      </w:pPr>
      <w:r>
        <w:rPr>
          <w:rFonts w:hint="eastAsia" w:ascii="宋体" w:hAnsi="宋体" w:cs="仿宋"/>
          <w:spacing w:val="-3"/>
          <w:sz w:val="24"/>
        </w:rPr>
        <w:t>3.7.2 投标文件应当对招标文件有关交货期、投标有效期、招标范围等实质性内容响应。投标文件在满足招标文件实质性要求的基础上，可以提出比招标文件要求更有利于采购人的承诺。</w:t>
      </w:r>
    </w:p>
    <w:p w14:paraId="115C92EE">
      <w:pPr>
        <w:widowControl/>
        <w:spacing w:line="360" w:lineRule="auto"/>
        <w:ind w:firstLine="468" w:firstLineChars="200"/>
        <w:rPr>
          <w:rFonts w:ascii="宋体" w:hAnsi="宋体" w:cs="仿宋"/>
          <w:sz w:val="24"/>
        </w:rPr>
      </w:pPr>
      <w:r>
        <w:rPr>
          <w:rFonts w:hint="eastAsia" w:ascii="宋体" w:hAnsi="宋体" w:cs="仿宋"/>
          <w:spacing w:val="-3"/>
          <w:sz w:val="24"/>
        </w:rPr>
        <w:t>3.7.3 投标文件应尽量避免涂改、行间插字或删除。如果出现上述情况，改动之处应加盖单位章。</w:t>
      </w:r>
    </w:p>
    <w:p w14:paraId="277D5D39">
      <w:pPr>
        <w:pStyle w:val="4"/>
        <w:spacing w:line="360" w:lineRule="auto"/>
        <w:ind w:left="0" w:right="76"/>
        <w:rPr>
          <w:rFonts w:ascii="宋体" w:hAnsi="宋体" w:eastAsia="宋体" w:cs="仿宋"/>
          <w:b/>
          <w:bCs/>
          <w:sz w:val="24"/>
          <w:szCs w:val="24"/>
        </w:rPr>
      </w:pPr>
      <w:r>
        <w:rPr>
          <w:rFonts w:hint="eastAsia" w:ascii="宋体" w:hAnsi="宋体" w:eastAsia="宋体" w:cs="仿宋"/>
          <w:b/>
          <w:bCs/>
          <w:sz w:val="24"/>
          <w:szCs w:val="24"/>
        </w:rPr>
        <w:t>4.投标</w:t>
      </w:r>
    </w:p>
    <w:p w14:paraId="0F6E265B">
      <w:pPr>
        <w:pStyle w:val="5"/>
        <w:ind w:firstLine="282" w:firstLineChars="117"/>
        <w:rPr>
          <w:rFonts w:ascii="宋体" w:hAnsi="宋体"/>
          <w:sz w:val="24"/>
          <w:szCs w:val="24"/>
        </w:rPr>
      </w:pPr>
      <w:r>
        <w:rPr>
          <w:rFonts w:hint="eastAsia" w:ascii="宋体" w:hAnsi="宋体"/>
          <w:sz w:val="24"/>
          <w:szCs w:val="24"/>
        </w:rPr>
        <w:t>4.1投标文件的递交</w:t>
      </w:r>
    </w:p>
    <w:p w14:paraId="0FC231F3">
      <w:pPr>
        <w:widowControl/>
        <w:spacing w:line="360" w:lineRule="auto"/>
        <w:ind w:firstLine="468" w:firstLineChars="200"/>
        <w:rPr>
          <w:rFonts w:ascii="宋体" w:hAnsi="宋体" w:cs="仿宋"/>
          <w:spacing w:val="-3"/>
          <w:sz w:val="24"/>
        </w:rPr>
      </w:pPr>
      <w:r>
        <w:rPr>
          <w:rFonts w:hint="eastAsia" w:ascii="宋体" w:hAnsi="宋体" w:cs="仿宋"/>
          <w:spacing w:val="-3"/>
          <w:sz w:val="24"/>
        </w:rPr>
        <w:t>4.1.1投标人应在投标人须知前附表第19项规定的投标截止时间前将加密的电子投标文件成功上传提交至《全国公共资源交易平台（河南省.平顶山市）》公共资源交易系统，供应商应充分考虑并预留技术处理和上传数据所需的时间。</w:t>
      </w:r>
    </w:p>
    <w:p w14:paraId="2802F64B">
      <w:pPr>
        <w:widowControl/>
        <w:spacing w:line="360" w:lineRule="auto"/>
        <w:ind w:firstLine="468" w:firstLineChars="200"/>
        <w:rPr>
          <w:rFonts w:ascii="宋体" w:hAnsi="宋体" w:cs="仿宋"/>
          <w:spacing w:val="-3"/>
          <w:sz w:val="24"/>
        </w:rPr>
      </w:pPr>
      <w:r>
        <w:rPr>
          <w:rFonts w:hint="eastAsia" w:ascii="宋体" w:hAnsi="宋体" w:cs="仿宋"/>
          <w:spacing w:val="-3"/>
          <w:sz w:val="24"/>
        </w:rPr>
        <w:t>4.1.2投标人递交投标文件的地点：见投标人须知前附表。</w:t>
      </w:r>
    </w:p>
    <w:p w14:paraId="14AF6BDF">
      <w:pPr>
        <w:widowControl/>
        <w:spacing w:line="360" w:lineRule="auto"/>
        <w:ind w:firstLine="468" w:firstLineChars="200"/>
        <w:rPr>
          <w:rFonts w:ascii="宋体" w:hAnsi="宋体" w:cs="仿宋"/>
          <w:spacing w:val="-3"/>
          <w:sz w:val="24"/>
        </w:rPr>
      </w:pPr>
      <w:r>
        <w:rPr>
          <w:rFonts w:hint="eastAsia" w:ascii="宋体" w:hAnsi="宋体" w:cs="仿宋"/>
          <w:spacing w:val="-3"/>
          <w:sz w:val="24"/>
        </w:rPr>
        <w:t>4.1.3投标人所递交的投标文件不予退还。</w:t>
      </w:r>
    </w:p>
    <w:p w14:paraId="28CA0E93">
      <w:pPr>
        <w:widowControl/>
        <w:spacing w:line="360" w:lineRule="auto"/>
        <w:ind w:firstLine="468" w:firstLineChars="200"/>
        <w:rPr>
          <w:rFonts w:ascii="宋体" w:hAnsi="宋体" w:cs="仿宋"/>
          <w:spacing w:val="-3"/>
          <w:sz w:val="24"/>
        </w:rPr>
      </w:pPr>
      <w:r>
        <w:rPr>
          <w:rFonts w:hint="eastAsia" w:ascii="宋体" w:hAnsi="宋体" w:cs="仿宋"/>
          <w:spacing w:val="-3"/>
          <w:sz w:val="24"/>
        </w:rPr>
        <w:t>4.1.4逾期上传的投标文件，采购人不予受理。</w:t>
      </w:r>
    </w:p>
    <w:p w14:paraId="6A9DD898">
      <w:pPr>
        <w:pStyle w:val="5"/>
        <w:ind w:firstLine="282" w:firstLineChars="117"/>
        <w:rPr>
          <w:rFonts w:ascii="宋体" w:hAnsi="宋体"/>
          <w:sz w:val="24"/>
          <w:szCs w:val="24"/>
        </w:rPr>
      </w:pPr>
      <w:r>
        <w:rPr>
          <w:rFonts w:hint="eastAsia" w:ascii="宋体" w:hAnsi="宋体"/>
          <w:sz w:val="24"/>
          <w:szCs w:val="24"/>
        </w:rPr>
        <w:t>4.2投标文件的修改与撤回</w:t>
      </w:r>
    </w:p>
    <w:p w14:paraId="448B2C17">
      <w:pPr>
        <w:pStyle w:val="37"/>
        <w:tabs>
          <w:tab w:val="left" w:pos="1060"/>
        </w:tabs>
        <w:spacing w:before="154" w:line="360" w:lineRule="auto"/>
        <w:ind w:left="420" w:right="-144" w:firstLine="0"/>
        <w:rPr>
          <w:rFonts w:cs="仿宋"/>
          <w:sz w:val="24"/>
        </w:rPr>
      </w:pPr>
      <w:r>
        <w:rPr>
          <w:rFonts w:hint="eastAsia" w:cs="仿宋"/>
          <w:spacing w:val="-3"/>
          <w:sz w:val="24"/>
        </w:rPr>
        <w:t>4.2.1</w:t>
      </w:r>
      <w:r>
        <w:rPr>
          <w:rFonts w:hint="eastAsia" w:cs="仿宋"/>
          <w:spacing w:val="1"/>
          <w:sz w:val="24"/>
        </w:rPr>
        <w:t>在投标人须知前附表第</w:t>
      </w:r>
      <w:r>
        <w:rPr>
          <w:rFonts w:hint="eastAsia" w:cs="仿宋"/>
          <w:spacing w:val="-3"/>
          <w:kern w:val="2"/>
          <w:sz w:val="24"/>
          <w:lang w:val="en-US"/>
        </w:rPr>
        <w:t>19</w:t>
      </w:r>
      <w:r>
        <w:rPr>
          <w:rFonts w:hint="eastAsia" w:cs="仿宋"/>
          <w:spacing w:val="-3"/>
          <w:sz w:val="24"/>
        </w:rPr>
        <w:t>项规定的投标截止时间前，投标人可以修改或撤回已递交的电子投标文件。</w:t>
      </w:r>
    </w:p>
    <w:p w14:paraId="2A274546">
      <w:pPr>
        <w:pStyle w:val="4"/>
        <w:spacing w:line="360" w:lineRule="auto"/>
        <w:ind w:left="0" w:right="76"/>
        <w:rPr>
          <w:rFonts w:ascii="宋体" w:hAnsi="宋体" w:eastAsia="宋体" w:cs="仿宋"/>
          <w:b/>
          <w:bCs/>
          <w:sz w:val="24"/>
          <w:szCs w:val="24"/>
        </w:rPr>
      </w:pPr>
      <w:bookmarkStart w:id="40" w:name="_bookmark7"/>
      <w:bookmarkEnd w:id="40"/>
      <w:r>
        <w:rPr>
          <w:rFonts w:hint="eastAsia" w:ascii="宋体" w:hAnsi="宋体" w:eastAsia="宋体" w:cs="仿宋"/>
          <w:b/>
          <w:bCs/>
          <w:sz w:val="24"/>
          <w:szCs w:val="24"/>
        </w:rPr>
        <w:t>5.开标</w:t>
      </w:r>
    </w:p>
    <w:p w14:paraId="3F995CE1">
      <w:pPr>
        <w:pStyle w:val="5"/>
        <w:ind w:firstLine="282" w:firstLineChars="117"/>
        <w:rPr>
          <w:rFonts w:ascii="宋体" w:hAnsi="宋体"/>
          <w:sz w:val="24"/>
          <w:szCs w:val="24"/>
        </w:rPr>
      </w:pPr>
      <w:r>
        <w:rPr>
          <w:rFonts w:hint="eastAsia" w:ascii="宋体" w:hAnsi="宋体"/>
          <w:sz w:val="24"/>
          <w:szCs w:val="24"/>
        </w:rPr>
        <w:t>5.1开标时间和地点</w:t>
      </w:r>
    </w:p>
    <w:p w14:paraId="798D0465">
      <w:pPr>
        <w:pStyle w:val="38"/>
        <w:spacing w:line="360" w:lineRule="auto"/>
        <w:ind w:right="168" w:rightChars="80" w:firstLine="468" w:firstLineChars="200"/>
        <w:jc w:val="both"/>
        <w:rPr>
          <w:rFonts w:cs="仿宋"/>
          <w:spacing w:val="-3"/>
          <w:sz w:val="24"/>
        </w:rPr>
      </w:pPr>
      <w:r>
        <w:rPr>
          <w:rFonts w:hint="eastAsia" w:cs="仿宋"/>
          <w:spacing w:val="-3"/>
          <w:sz w:val="24"/>
        </w:rPr>
        <w:t>采购人在投标人须知前附表第</w:t>
      </w:r>
      <w:r>
        <w:rPr>
          <w:rFonts w:hint="eastAsia" w:cs="仿宋"/>
          <w:spacing w:val="-3"/>
          <w:sz w:val="24"/>
          <w:lang w:val="en-US"/>
        </w:rPr>
        <w:t>19</w:t>
      </w:r>
      <w:r>
        <w:rPr>
          <w:rFonts w:hint="eastAsia" w:cs="仿宋"/>
          <w:spacing w:val="-3"/>
          <w:sz w:val="24"/>
        </w:rPr>
        <w:t>项规定的投标截止时间（开标时间）和投标人须知前附表规定的地点公开开标。</w:t>
      </w:r>
    </w:p>
    <w:p w14:paraId="31EE7CAC">
      <w:pPr>
        <w:pStyle w:val="5"/>
        <w:ind w:firstLine="282" w:firstLineChars="117"/>
        <w:rPr>
          <w:rFonts w:ascii="宋体" w:hAnsi="宋体"/>
          <w:sz w:val="24"/>
          <w:szCs w:val="24"/>
        </w:rPr>
      </w:pPr>
      <w:r>
        <w:rPr>
          <w:rFonts w:hint="eastAsia" w:ascii="宋体" w:hAnsi="宋体"/>
          <w:sz w:val="24"/>
          <w:szCs w:val="24"/>
        </w:rPr>
        <w:t>5.2开标程序</w:t>
      </w:r>
    </w:p>
    <w:p w14:paraId="25318E34">
      <w:pPr>
        <w:widowControl/>
        <w:spacing w:line="360" w:lineRule="auto"/>
        <w:ind w:firstLine="468" w:firstLineChars="200"/>
        <w:rPr>
          <w:rFonts w:ascii="宋体" w:hAnsi="宋体" w:cs="仿宋"/>
          <w:spacing w:val="-3"/>
          <w:sz w:val="24"/>
        </w:rPr>
      </w:pPr>
      <w:r>
        <w:rPr>
          <w:rFonts w:hint="eastAsia" w:ascii="宋体" w:hAnsi="宋体" w:cs="仿宋"/>
          <w:spacing w:val="-3"/>
          <w:sz w:val="24"/>
        </w:rPr>
        <w:t>5.2.</w:t>
      </w:r>
      <w:r>
        <w:rPr>
          <w:rFonts w:hint="eastAsia" w:ascii="宋体" w:hAnsi="宋体" w:cs="仿宋"/>
          <w:b/>
          <w:bCs/>
          <w:spacing w:val="-3"/>
          <w:sz w:val="24"/>
        </w:rPr>
        <w:t>1</w:t>
      </w:r>
      <w:r>
        <w:rPr>
          <w:rFonts w:hint="eastAsia" w:ascii="宋体" w:hAnsi="宋体" w:cs="仿宋"/>
          <w:b/>
          <w:bCs/>
          <w:spacing w:val="-3"/>
          <w:sz w:val="24"/>
          <w:lang w:val="zh-CN"/>
        </w:rPr>
        <w:t>开标时，投标人采用网上远程异地解密时，请用 CA 证书登录平顶山市公共资源交易中心业务系统，进入本项目开标大厅点击解密来完成投标文件的解密工作。每位投标人的解密时间从投标截止时间起60 分钟内完成，超过规定时间解密的投标文件不予接收</w:t>
      </w:r>
      <w:r>
        <w:rPr>
          <w:rFonts w:hint="eastAsia" w:ascii="宋体" w:hAnsi="宋体" w:cs="仿宋"/>
          <w:spacing w:val="-3"/>
          <w:sz w:val="24"/>
        </w:rPr>
        <w:t>。</w:t>
      </w:r>
    </w:p>
    <w:p w14:paraId="792931CF">
      <w:pPr>
        <w:widowControl/>
        <w:spacing w:line="360" w:lineRule="auto"/>
        <w:ind w:firstLine="468" w:firstLineChars="200"/>
        <w:rPr>
          <w:rFonts w:ascii="宋体" w:hAnsi="宋体" w:cs="仿宋"/>
          <w:spacing w:val="-3"/>
          <w:sz w:val="24"/>
        </w:rPr>
      </w:pPr>
      <w:r>
        <w:rPr>
          <w:rFonts w:hint="eastAsia" w:ascii="宋体" w:hAnsi="宋体" w:cs="仿宋"/>
          <w:spacing w:val="-3"/>
          <w:sz w:val="24"/>
        </w:rPr>
        <w:t>5.2.2如出现投标人的电子投标文件无法解密的情况，投标人应及时联系招标人（代理机构）进行说明。投标文件解密异常，按以下步骤进行处理：</w:t>
      </w:r>
    </w:p>
    <w:p w14:paraId="3C68D8FF">
      <w:pPr>
        <w:widowControl/>
        <w:spacing w:line="360" w:lineRule="auto"/>
        <w:ind w:firstLine="468" w:firstLineChars="200"/>
        <w:rPr>
          <w:rFonts w:ascii="宋体" w:hAnsi="宋体" w:cs="仿宋"/>
          <w:spacing w:val="-3"/>
          <w:sz w:val="24"/>
        </w:rPr>
      </w:pPr>
      <w:r>
        <w:rPr>
          <w:rFonts w:hint="eastAsia" w:ascii="宋体" w:hAnsi="宋体" w:cs="仿宋"/>
          <w:spacing w:val="-3"/>
          <w:sz w:val="24"/>
        </w:rPr>
        <w:t>如果是投标文件自身问题导致投标文件无法解密的，该投标文件将不予接收、解密。</w:t>
      </w:r>
    </w:p>
    <w:p w14:paraId="1D597FC9">
      <w:pPr>
        <w:widowControl/>
        <w:spacing w:line="360" w:lineRule="auto"/>
        <w:ind w:firstLine="468" w:firstLineChars="200"/>
        <w:rPr>
          <w:rFonts w:ascii="宋体" w:hAnsi="宋体" w:cs="仿宋"/>
          <w:spacing w:val="-3"/>
          <w:sz w:val="24"/>
        </w:rPr>
      </w:pPr>
      <w:r>
        <w:rPr>
          <w:rFonts w:hint="eastAsia" w:ascii="宋体" w:hAnsi="宋体" w:cs="仿宋"/>
          <w:spacing w:val="-3"/>
          <w:sz w:val="24"/>
        </w:rPr>
        <w:t>如果是电子化交易系统问题造成投标文件无法解密的，将由技术人员进行排查处理。如短时间内问题无法解决的，将由招标人（代理机构）联系监督部门申请暂停开标，待问题解决后继续开标。</w:t>
      </w:r>
    </w:p>
    <w:p w14:paraId="0D8810FF">
      <w:pPr>
        <w:widowControl/>
        <w:spacing w:line="360" w:lineRule="auto"/>
        <w:ind w:firstLine="468" w:firstLineChars="200"/>
        <w:rPr>
          <w:rFonts w:ascii="宋体" w:hAnsi="宋体" w:cs="仿宋"/>
          <w:spacing w:val="-3"/>
          <w:sz w:val="24"/>
        </w:rPr>
      </w:pPr>
      <w:r>
        <w:rPr>
          <w:rFonts w:hint="eastAsia" w:ascii="宋体" w:hAnsi="宋体" w:cs="仿宋"/>
          <w:spacing w:val="-3"/>
          <w:sz w:val="24"/>
        </w:rPr>
        <w:t>5.2.3所有投标文件解密完成后，由招标人（代理机构）操作，对开标结果进行公示。</w:t>
      </w:r>
    </w:p>
    <w:p w14:paraId="3800CB59">
      <w:pPr>
        <w:widowControl/>
        <w:spacing w:line="360" w:lineRule="auto"/>
        <w:ind w:firstLine="468" w:firstLineChars="200"/>
        <w:rPr>
          <w:rFonts w:ascii="宋体" w:hAnsi="宋体" w:cs="仿宋"/>
          <w:spacing w:val="-3"/>
          <w:sz w:val="24"/>
        </w:rPr>
      </w:pPr>
      <w:r>
        <w:rPr>
          <w:rFonts w:hint="eastAsia" w:ascii="宋体" w:hAnsi="宋体" w:cs="仿宋"/>
          <w:spacing w:val="-3"/>
          <w:sz w:val="24"/>
        </w:rPr>
        <w:t>5.2.4投标人应保证在开标期间电话、电脑、网络等能够正常使用，投标人因停电、电脑病毒、网络堵塞等原因，未在规定的解密时间内对投标文件进行解密的，其投标文件不予接收。</w:t>
      </w:r>
    </w:p>
    <w:p w14:paraId="1185DE77">
      <w:pPr>
        <w:widowControl/>
        <w:spacing w:line="360" w:lineRule="auto"/>
        <w:ind w:firstLine="468" w:firstLineChars="200"/>
        <w:rPr>
          <w:rFonts w:ascii="宋体" w:hAnsi="宋体" w:cs="仿宋"/>
          <w:spacing w:val="-3"/>
          <w:sz w:val="24"/>
        </w:rPr>
      </w:pPr>
      <w:r>
        <w:rPr>
          <w:rFonts w:hint="eastAsia" w:ascii="宋体" w:hAnsi="宋体" w:cs="仿宋"/>
          <w:spacing w:val="-3"/>
          <w:sz w:val="24"/>
        </w:rPr>
        <w:t>5.2.5开标结束。</w:t>
      </w:r>
    </w:p>
    <w:p w14:paraId="57B4397F">
      <w:pPr>
        <w:widowControl/>
        <w:spacing w:line="360" w:lineRule="auto"/>
        <w:ind w:firstLine="468" w:firstLineChars="200"/>
        <w:rPr>
          <w:rFonts w:ascii="宋体" w:hAnsi="宋体" w:cs="仿宋"/>
          <w:spacing w:val="-3"/>
          <w:sz w:val="24"/>
        </w:rPr>
      </w:pPr>
      <w:r>
        <w:rPr>
          <w:rFonts w:hint="eastAsia" w:ascii="宋体" w:hAnsi="宋体" w:cs="仿宋"/>
          <w:spacing w:val="-3"/>
          <w:sz w:val="24"/>
        </w:rPr>
        <w:t>5.2.6采购人或采购代理机构依法对投标人的资格进行审查。</w:t>
      </w:r>
    </w:p>
    <w:p w14:paraId="380E94CE">
      <w:pPr>
        <w:pStyle w:val="4"/>
        <w:spacing w:line="360" w:lineRule="auto"/>
        <w:ind w:left="0" w:right="76"/>
        <w:rPr>
          <w:rFonts w:ascii="宋体" w:hAnsi="宋体" w:eastAsia="宋体" w:cs="仿宋"/>
          <w:b/>
          <w:bCs/>
          <w:sz w:val="24"/>
          <w:szCs w:val="24"/>
        </w:rPr>
      </w:pPr>
      <w:r>
        <w:rPr>
          <w:rFonts w:hint="eastAsia" w:ascii="宋体" w:hAnsi="宋体" w:eastAsia="宋体" w:cs="仿宋"/>
          <w:b/>
          <w:bCs/>
          <w:sz w:val="24"/>
          <w:szCs w:val="24"/>
        </w:rPr>
        <w:t>6.评标</w:t>
      </w:r>
    </w:p>
    <w:p w14:paraId="226F6A3F">
      <w:pPr>
        <w:pStyle w:val="5"/>
        <w:ind w:firstLine="282" w:firstLineChars="117"/>
        <w:rPr>
          <w:rFonts w:ascii="宋体" w:hAnsi="宋体"/>
          <w:sz w:val="24"/>
          <w:szCs w:val="24"/>
        </w:rPr>
      </w:pPr>
      <w:r>
        <w:rPr>
          <w:rFonts w:hint="eastAsia" w:ascii="宋体" w:hAnsi="宋体"/>
          <w:sz w:val="24"/>
          <w:szCs w:val="24"/>
        </w:rPr>
        <w:t>6.1评标委员会</w:t>
      </w:r>
    </w:p>
    <w:p w14:paraId="274BAA56">
      <w:pPr>
        <w:pStyle w:val="37"/>
        <w:tabs>
          <w:tab w:val="left" w:pos="1330"/>
        </w:tabs>
        <w:spacing w:before="163" w:line="360" w:lineRule="auto"/>
        <w:ind w:left="279" w:leftChars="133" w:right="-155" w:rightChars="-74" w:firstLine="161" w:firstLineChars="69"/>
        <w:rPr>
          <w:rFonts w:cs="仿宋"/>
          <w:spacing w:val="-3"/>
          <w:sz w:val="24"/>
        </w:rPr>
      </w:pPr>
      <w:r>
        <w:rPr>
          <w:rFonts w:hint="eastAsia" w:cs="仿宋"/>
          <w:spacing w:val="-3"/>
          <w:sz w:val="24"/>
          <w:lang w:val="en-US"/>
        </w:rPr>
        <w:t xml:space="preserve">6.1.1 </w:t>
      </w:r>
      <w:r>
        <w:rPr>
          <w:rFonts w:hint="eastAsia" w:cs="仿宋"/>
          <w:spacing w:val="-3"/>
          <w:sz w:val="24"/>
        </w:rPr>
        <w:t>评标由依法组建的评标委员会负责。评标委员会由采购人代表，以及有关技术、经济等方面的专家组成。评标委员会成员人数见投标人须知前附表。</w:t>
      </w:r>
    </w:p>
    <w:p w14:paraId="1CD2689B">
      <w:pPr>
        <w:pStyle w:val="37"/>
        <w:tabs>
          <w:tab w:val="left" w:pos="1330"/>
        </w:tabs>
        <w:spacing w:before="163" w:line="360" w:lineRule="auto"/>
        <w:ind w:left="273" w:leftChars="130" w:firstLine="170" w:firstLineChars="73"/>
        <w:rPr>
          <w:rFonts w:cs="仿宋"/>
          <w:spacing w:val="-3"/>
          <w:sz w:val="24"/>
        </w:rPr>
      </w:pPr>
      <w:r>
        <w:rPr>
          <w:rFonts w:hint="eastAsia" w:cs="仿宋"/>
          <w:spacing w:val="-3"/>
          <w:sz w:val="24"/>
          <w:lang w:val="en-US"/>
        </w:rPr>
        <w:t xml:space="preserve">6.1.2 </w:t>
      </w:r>
      <w:r>
        <w:rPr>
          <w:rFonts w:hint="eastAsia" w:cs="仿宋"/>
          <w:spacing w:val="-3"/>
          <w:sz w:val="24"/>
        </w:rPr>
        <w:t>评标委员会成员有下列情形之一的，应当回避：</w:t>
      </w:r>
    </w:p>
    <w:p w14:paraId="4F03C119">
      <w:pPr>
        <w:pStyle w:val="37"/>
        <w:tabs>
          <w:tab w:val="left" w:pos="1330"/>
        </w:tabs>
        <w:spacing w:before="163" w:line="360" w:lineRule="auto"/>
        <w:ind w:left="698" w:firstLine="0"/>
        <w:rPr>
          <w:rFonts w:cs="仿宋"/>
          <w:spacing w:val="-3"/>
          <w:sz w:val="24"/>
        </w:rPr>
      </w:pPr>
      <w:r>
        <w:rPr>
          <w:rFonts w:hint="eastAsia" w:cs="仿宋"/>
          <w:spacing w:val="-3"/>
          <w:sz w:val="24"/>
        </w:rPr>
        <w:t>（</w:t>
      </w:r>
      <w:r>
        <w:rPr>
          <w:rFonts w:hint="eastAsia" w:cs="仿宋"/>
          <w:spacing w:val="-3"/>
          <w:sz w:val="24"/>
          <w:lang w:val="en-US"/>
        </w:rPr>
        <w:t>1</w:t>
      </w:r>
      <w:r>
        <w:rPr>
          <w:rFonts w:hint="eastAsia" w:cs="仿宋"/>
          <w:spacing w:val="-3"/>
          <w:sz w:val="24"/>
        </w:rPr>
        <w:t>）采购人或投标人的主要负责人的近亲属；</w:t>
      </w:r>
    </w:p>
    <w:p w14:paraId="5E13BE29">
      <w:pPr>
        <w:pStyle w:val="37"/>
        <w:tabs>
          <w:tab w:val="left" w:pos="1330"/>
        </w:tabs>
        <w:spacing w:before="163" w:line="360" w:lineRule="auto"/>
        <w:ind w:left="698" w:firstLine="0"/>
        <w:rPr>
          <w:rFonts w:cs="仿宋"/>
          <w:spacing w:val="-3"/>
          <w:sz w:val="24"/>
        </w:rPr>
      </w:pPr>
      <w:r>
        <w:rPr>
          <w:rFonts w:hint="eastAsia" w:cs="仿宋"/>
          <w:spacing w:val="-3"/>
          <w:sz w:val="24"/>
        </w:rPr>
        <w:t>（</w:t>
      </w:r>
      <w:r>
        <w:rPr>
          <w:rFonts w:hint="eastAsia" w:cs="仿宋"/>
          <w:spacing w:val="-3"/>
          <w:sz w:val="24"/>
          <w:lang w:val="en-US"/>
        </w:rPr>
        <w:t>2</w:t>
      </w:r>
      <w:r>
        <w:rPr>
          <w:rFonts w:hint="eastAsia" w:cs="仿宋"/>
          <w:spacing w:val="-3"/>
          <w:sz w:val="24"/>
        </w:rPr>
        <w:t>）项目主管部门或者行政监督部门的人员；</w:t>
      </w:r>
    </w:p>
    <w:p w14:paraId="3673222E">
      <w:pPr>
        <w:pStyle w:val="37"/>
        <w:tabs>
          <w:tab w:val="left" w:pos="1330"/>
        </w:tabs>
        <w:spacing w:before="163" w:line="360" w:lineRule="auto"/>
        <w:ind w:left="698" w:firstLine="0"/>
        <w:rPr>
          <w:rFonts w:cs="仿宋"/>
          <w:spacing w:val="-3"/>
          <w:sz w:val="24"/>
        </w:rPr>
      </w:pPr>
      <w:r>
        <w:rPr>
          <w:rFonts w:hint="eastAsia" w:cs="仿宋"/>
          <w:spacing w:val="-3"/>
          <w:sz w:val="24"/>
        </w:rPr>
        <w:t>（</w:t>
      </w:r>
      <w:r>
        <w:rPr>
          <w:rFonts w:hint="eastAsia" w:cs="仿宋"/>
          <w:spacing w:val="-3"/>
          <w:sz w:val="24"/>
          <w:lang w:val="en-US"/>
        </w:rPr>
        <w:t>3</w:t>
      </w:r>
      <w:r>
        <w:rPr>
          <w:rFonts w:hint="eastAsia" w:cs="仿宋"/>
          <w:spacing w:val="-3"/>
          <w:sz w:val="24"/>
        </w:rPr>
        <w:t>）与投标人有经济利益关系，可能影响对投标公正评审的；</w:t>
      </w:r>
    </w:p>
    <w:p w14:paraId="79F31F24">
      <w:pPr>
        <w:pStyle w:val="37"/>
        <w:tabs>
          <w:tab w:val="left" w:pos="1330"/>
        </w:tabs>
        <w:spacing w:before="163" w:line="360" w:lineRule="auto"/>
        <w:ind w:left="698" w:firstLine="0"/>
        <w:rPr>
          <w:rFonts w:cs="仿宋"/>
          <w:spacing w:val="-3"/>
          <w:sz w:val="24"/>
        </w:rPr>
      </w:pPr>
      <w:r>
        <w:rPr>
          <w:rFonts w:hint="eastAsia" w:cs="仿宋"/>
          <w:spacing w:val="-3"/>
          <w:sz w:val="24"/>
        </w:rPr>
        <w:t>（</w:t>
      </w:r>
      <w:r>
        <w:rPr>
          <w:rFonts w:hint="eastAsia" w:cs="仿宋"/>
          <w:spacing w:val="-3"/>
          <w:sz w:val="24"/>
          <w:lang w:val="en-US"/>
        </w:rPr>
        <w:t>4</w:t>
      </w:r>
      <w:r>
        <w:rPr>
          <w:rFonts w:hint="eastAsia" w:cs="仿宋"/>
          <w:spacing w:val="-3"/>
          <w:sz w:val="24"/>
        </w:rPr>
        <w:t>）曾因在招标、评标以及其他与招标投标有关活动中从事违法行为而受过行政处罚或刑事处罚的。</w:t>
      </w:r>
    </w:p>
    <w:p w14:paraId="7EFE9F83">
      <w:pPr>
        <w:pStyle w:val="5"/>
        <w:ind w:firstLine="282" w:firstLineChars="117"/>
        <w:rPr>
          <w:rFonts w:ascii="宋体" w:hAnsi="宋体"/>
          <w:sz w:val="24"/>
          <w:szCs w:val="24"/>
        </w:rPr>
      </w:pPr>
      <w:r>
        <w:rPr>
          <w:rFonts w:hint="eastAsia" w:ascii="宋体" w:hAnsi="宋体"/>
          <w:sz w:val="24"/>
          <w:szCs w:val="24"/>
        </w:rPr>
        <w:t>6.2评标原则</w:t>
      </w:r>
    </w:p>
    <w:p w14:paraId="093A531D">
      <w:pPr>
        <w:pStyle w:val="10"/>
        <w:spacing w:before="155" w:line="360" w:lineRule="auto"/>
        <w:ind w:left="698" w:right="-136" w:rightChars="-65"/>
        <w:rPr>
          <w:rFonts w:cs="仿宋"/>
          <w:sz w:val="24"/>
          <w:szCs w:val="24"/>
        </w:rPr>
      </w:pPr>
      <w:r>
        <w:rPr>
          <w:rFonts w:hint="eastAsia" w:cs="仿宋"/>
          <w:sz w:val="24"/>
          <w:szCs w:val="24"/>
        </w:rPr>
        <w:t>评标活动遵循公平、公正、科学和择优的原则。</w:t>
      </w:r>
    </w:p>
    <w:p w14:paraId="1D933004">
      <w:pPr>
        <w:pStyle w:val="5"/>
        <w:ind w:firstLine="282" w:firstLineChars="117"/>
        <w:rPr>
          <w:rFonts w:ascii="宋体" w:hAnsi="宋体"/>
          <w:sz w:val="24"/>
          <w:szCs w:val="24"/>
        </w:rPr>
      </w:pPr>
      <w:r>
        <w:rPr>
          <w:rFonts w:hint="eastAsia" w:ascii="宋体" w:hAnsi="宋体"/>
          <w:sz w:val="24"/>
          <w:szCs w:val="24"/>
        </w:rPr>
        <w:t>6.3评标</w:t>
      </w:r>
    </w:p>
    <w:p w14:paraId="32A5D0F0">
      <w:pPr>
        <w:adjustRightInd w:val="0"/>
        <w:spacing w:line="360" w:lineRule="auto"/>
        <w:ind w:left="100" w:right="56" w:firstLine="681" w:firstLineChars="290"/>
        <w:rPr>
          <w:rFonts w:ascii="宋体" w:hAnsi="宋体" w:cs="仿宋"/>
          <w:b/>
          <w:bCs/>
          <w:spacing w:val="-3"/>
          <w:sz w:val="24"/>
        </w:rPr>
      </w:pPr>
      <w:r>
        <w:rPr>
          <w:rFonts w:hint="eastAsia" w:ascii="宋体" w:hAnsi="宋体" w:cs="仿宋"/>
          <w:b/>
          <w:bCs/>
          <w:spacing w:val="-3"/>
          <w:sz w:val="24"/>
        </w:rPr>
        <w:t>6.3.1参照财政部87号令—《政府采购货物和服务招标投标管理办法》第四十四条：“公开招标采购项目开标结束后，招标人或者采购代理机构应当依法对投标人的资格进行审查。根据招标内容和特点按规定组建资格审查小组，其成员由采购代理机构专职人员或采购人代表组成。资格审查小组依据第三章评标办法资格评审标准对投标文件进行资格审查，以确定投标人是否具备投标资格，有一项不符合评审标准的，资格审查小组应当认定其投标无效，合格投标人不足3家的，不得评标。</w:t>
      </w:r>
    </w:p>
    <w:p w14:paraId="1E4D459B">
      <w:pPr>
        <w:adjustRightInd w:val="0"/>
        <w:spacing w:line="360" w:lineRule="auto"/>
        <w:ind w:left="100" w:right="56" w:firstLine="681" w:firstLineChars="290"/>
        <w:rPr>
          <w:rFonts w:ascii="宋体" w:hAnsi="宋体" w:cs="仿宋"/>
          <w:b/>
          <w:bCs/>
          <w:sz w:val="24"/>
        </w:rPr>
      </w:pPr>
      <w:r>
        <w:rPr>
          <w:rFonts w:hint="eastAsia" w:ascii="宋体" w:hAnsi="宋体" w:cs="仿宋"/>
          <w:b/>
          <w:bCs/>
          <w:spacing w:val="-3"/>
          <w:sz w:val="24"/>
        </w:rPr>
        <w:t>6.3.2 评标委员会按照第三章“评标办法”规定的方法、评审因素、标准和程序对投标文件进行形式，符合性评审。第三章“评标办法”没有规定的方法、评审因素和标准，不作为评标依据。</w:t>
      </w:r>
    </w:p>
    <w:p w14:paraId="15740A8D">
      <w:pPr>
        <w:widowControl/>
        <w:spacing w:line="360" w:lineRule="auto"/>
        <w:ind w:firstLine="705" w:firstLineChars="300"/>
        <w:rPr>
          <w:rFonts w:ascii="宋体" w:hAnsi="宋体" w:cs="仿宋"/>
          <w:b/>
          <w:bCs/>
          <w:spacing w:val="-3"/>
          <w:sz w:val="24"/>
        </w:rPr>
      </w:pPr>
      <w:r>
        <w:rPr>
          <w:rFonts w:hint="eastAsia" w:ascii="宋体" w:hAnsi="宋体" w:cs="仿宋"/>
          <w:b/>
          <w:bCs/>
          <w:spacing w:val="-3"/>
          <w:sz w:val="24"/>
        </w:rPr>
        <w:t>6.3.3评标时，评标委员会对电子化投标文件有质疑的，将通过电子化交易系统对供应商发起质疑。质疑回复内容确认后，通过电子化交易系统提交至评标委员会。</w:t>
      </w:r>
    </w:p>
    <w:p w14:paraId="1FC58264">
      <w:pPr>
        <w:pStyle w:val="4"/>
        <w:spacing w:line="360" w:lineRule="auto"/>
        <w:ind w:left="0" w:right="76"/>
        <w:rPr>
          <w:rFonts w:ascii="宋体" w:hAnsi="宋体" w:eastAsia="宋体" w:cs="仿宋"/>
          <w:b/>
          <w:bCs/>
          <w:sz w:val="24"/>
          <w:szCs w:val="24"/>
        </w:rPr>
      </w:pPr>
      <w:bookmarkStart w:id="41" w:name="_bookmark9"/>
      <w:bookmarkEnd w:id="41"/>
      <w:r>
        <w:rPr>
          <w:rFonts w:hint="eastAsia" w:ascii="宋体" w:hAnsi="宋体" w:eastAsia="宋体" w:cs="仿宋"/>
          <w:b/>
          <w:bCs/>
          <w:sz w:val="24"/>
          <w:szCs w:val="24"/>
        </w:rPr>
        <w:t>7.合同授予</w:t>
      </w:r>
    </w:p>
    <w:p w14:paraId="7727EE85">
      <w:pPr>
        <w:pStyle w:val="5"/>
        <w:ind w:firstLine="282" w:firstLineChars="117"/>
        <w:rPr>
          <w:rFonts w:ascii="宋体" w:hAnsi="宋体"/>
          <w:sz w:val="24"/>
          <w:szCs w:val="24"/>
        </w:rPr>
      </w:pPr>
      <w:r>
        <w:rPr>
          <w:rFonts w:hint="eastAsia" w:ascii="宋体" w:hAnsi="宋体"/>
          <w:sz w:val="24"/>
          <w:szCs w:val="24"/>
        </w:rPr>
        <w:t>7.1定标方式</w:t>
      </w:r>
    </w:p>
    <w:p w14:paraId="51F66D5C">
      <w:pPr>
        <w:pStyle w:val="10"/>
        <w:spacing w:before="154" w:line="360" w:lineRule="auto"/>
        <w:ind w:left="18" w:right="-144" w:firstLine="408"/>
        <w:rPr>
          <w:rFonts w:cs="仿宋"/>
          <w:sz w:val="24"/>
          <w:szCs w:val="24"/>
        </w:rPr>
      </w:pPr>
      <w:r>
        <w:rPr>
          <w:rFonts w:hint="eastAsia" w:cs="仿宋"/>
          <w:spacing w:val="-3"/>
          <w:sz w:val="24"/>
          <w:szCs w:val="24"/>
        </w:rPr>
        <w:t>除投标人须知前附表规定评标委员会直接确定中标人外，采购人依据评标委员会推荐的中标候选人确定中标人，评标委员会推荐中标候选人的人数见投标人须知前附表。原则上第一名为中标人，若排名第一的中标候选人因不可抗力放弃中标或因自身原因不能履行合同，采购人可以顺延排名第二的中标候选人为中标人或重新招标。</w:t>
      </w:r>
    </w:p>
    <w:p w14:paraId="75CE44CD">
      <w:pPr>
        <w:pStyle w:val="5"/>
        <w:ind w:firstLine="282" w:firstLineChars="117"/>
        <w:rPr>
          <w:rFonts w:ascii="宋体" w:hAnsi="宋体"/>
          <w:sz w:val="24"/>
          <w:szCs w:val="24"/>
        </w:rPr>
      </w:pPr>
      <w:r>
        <w:rPr>
          <w:rFonts w:hint="eastAsia" w:ascii="宋体" w:hAnsi="宋体"/>
          <w:sz w:val="24"/>
          <w:szCs w:val="24"/>
        </w:rPr>
        <w:t>7.2中标通知</w:t>
      </w:r>
    </w:p>
    <w:p w14:paraId="05325946">
      <w:pPr>
        <w:spacing w:line="360" w:lineRule="auto"/>
        <w:ind w:firstLine="490" w:firstLineChars="215"/>
        <w:rPr>
          <w:rFonts w:ascii="宋体" w:hAnsi="宋体" w:cs="仿宋"/>
          <w:spacing w:val="-6"/>
          <w:sz w:val="24"/>
        </w:rPr>
      </w:pPr>
      <w:r>
        <w:rPr>
          <w:rFonts w:hint="eastAsia" w:ascii="宋体" w:hAnsi="宋体" w:cs="仿宋"/>
          <w:spacing w:val="-6"/>
          <w:sz w:val="24"/>
        </w:rPr>
        <w:t>在规定的时间内，招标人以书面形式向中标人发出中标通知书，同时将中标结果通知未中标的投标人。中标人在收到通知书后，应予以书面确认与采购人签订合同；中标通知书将成为合同的组成部分。</w:t>
      </w:r>
    </w:p>
    <w:p w14:paraId="77977C03">
      <w:pPr>
        <w:pStyle w:val="5"/>
        <w:ind w:firstLine="282" w:firstLineChars="117"/>
        <w:rPr>
          <w:rFonts w:ascii="宋体" w:hAnsi="宋体"/>
          <w:sz w:val="24"/>
          <w:szCs w:val="24"/>
        </w:rPr>
      </w:pPr>
      <w:r>
        <w:rPr>
          <w:rFonts w:hint="eastAsia" w:ascii="宋体" w:hAnsi="宋体"/>
          <w:sz w:val="24"/>
          <w:szCs w:val="24"/>
        </w:rPr>
        <w:t>7.3履约保证金</w:t>
      </w:r>
    </w:p>
    <w:p w14:paraId="097D7807">
      <w:pPr>
        <w:pStyle w:val="10"/>
        <w:spacing w:line="360" w:lineRule="auto"/>
        <w:ind w:left="15" w:right="-136" w:rightChars="-65" w:firstLine="471" w:firstLineChars="207"/>
        <w:rPr>
          <w:rFonts w:cs="仿宋"/>
          <w:spacing w:val="-3"/>
          <w:sz w:val="24"/>
          <w:szCs w:val="24"/>
        </w:rPr>
      </w:pPr>
      <w:r>
        <w:rPr>
          <w:rFonts w:hint="eastAsia" w:cs="仿宋"/>
          <w:spacing w:val="-6"/>
          <w:kern w:val="2"/>
          <w:sz w:val="24"/>
          <w:szCs w:val="24"/>
          <w:lang w:val="en-US"/>
        </w:rPr>
        <w:t>不收取。</w:t>
      </w:r>
    </w:p>
    <w:p w14:paraId="2D725E9D">
      <w:pPr>
        <w:pStyle w:val="5"/>
        <w:ind w:firstLine="282" w:firstLineChars="117"/>
        <w:rPr>
          <w:rFonts w:ascii="宋体" w:hAnsi="宋体"/>
          <w:sz w:val="24"/>
          <w:szCs w:val="24"/>
        </w:rPr>
      </w:pPr>
      <w:r>
        <w:rPr>
          <w:rFonts w:hint="eastAsia" w:ascii="宋体" w:hAnsi="宋体"/>
          <w:sz w:val="24"/>
          <w:szCs w:val="24"/>
        </w:rPr>
        <w:t>7.4签订合同</w:t>
      </w:r>
    </w:p>
    <w:p w14:paraId="17A47E1C">
      <w:pPr>
        <w:pStyle w:val="37"/>
        <w:spacing w:before="152" w:line="360" w:lineRule="auto"/>
        <w:ind w:left="426" w:right="-155" w:rightChars="-74" w:firstLine="0"/>
        <w:rPr>
          <w:rFonts w:cs="仿宋"/>
          <w:sz w:val="24"/>
        </w:rPr>
      </w:pPr>
      <w:r>
        <w:rPr>
          <w:rFonts w:hint="eastAsia" w:cs="仿宋"/>
          <w:spacing w:val="-3"/>
          <w:sz w:val="24"/>
          <w:lang w:val="en-US"/>
        </w:rPr>
        <w:t xml:space="preserve">7.4.1 </w:t>
      </w:r>
      <w:r>
        <w:rPr>
          <w:rFonts w:hint="eastAsia" w:cs="仿宋"/>
          <w:spacing w:val="-3"/>
          <w:sz w:val="24"/>
        </w:rPr>
        <w:t>采购人和中标人应当自中标通知书发出之日起</w:t>
      </w:r>
      <w:r>
        <w:rPr>
          <w:rFonts w:hint="eastAsia" w:cs="仿宋"/>
          <w:sz w:val="24"/>
          <w:lang w:val="en-US"/>
        </w:rPr>
        <w:t>1</w:t>
      </w:r>
      <w:r>
        <w:rPr>
          <w:rFonts w:hint="eastAsia" w:cs="仿宋"/>
          <w:spacing w:val="-3"/>
          <w:sz w:val="24"/>
        </w:rPr>
        <w:t>天内，根据招标文件和中标人的投标文</w:t>
      </w:r>
      <w:r>
        <w:rPr>
          <w:rFonts w:hint="eastAsia" w:cs="仿宋"/>
          <w:spacing w:val="-7"/>
          <w:sz w:val="24"/>
        </w:rPr>
        <w:t>件订立书面合同。中标人无正当理由拒签合同的，采购人取消其中标资格</w:t>
      </w:r>
      <w:r>
        <w:rPr>
          <w:rFonts w:hint="eastAsia" w:cs="仿宋"/>
          <w:spacing w:val="-7"/>
          <w:sz w:val="24"/>
          <w:lang w:val="en-US"/>
        </w:rPr>
        <w:t>;</w:t>
      </w:r>
    </w:p>
    <w:p w14:paraId="1C86C02E">
      <w:pPr>
        <w:pStyle w:val="37"/>
        <w:tabs>
          <w:tab w:val="left" w:pos="1436"/>
        </w:tabs>
        <w:spacing w:before="28" w:line="360" w:lineRule="auto"/>
        <w:ind w:left="0" w:right="-155" w:rightChars="-74" w:firstLine="486" w:firstLineChars="208"/>
        <w:rPr>
          <w:rFonts w:cs="仿宋"/>
          <w:sz w:val="24"/>
        </w:rPr>
      </w:pPr>
      <w:r>
        <w:rPr>
          <w:rFonts w:hint="eastAsia" w:cs="仿宋"/>
          <w:spacing w:val="-3"/>
          <w:sz w:val="24"/>
          <w:lang w:val="en-US"/>
        </w:rPr>
        <w:t xml:space="preserve">7.4.2 </w:t>
      </w:r>
      <w:r>
        <w:rPr>
          <w:rFonts w:hint="eastAsia" w:cs="仿宋"/>
          <w:spacing w:val="-3"/>
          <w:sz w:val="24"/>
        </w:rPr>
        <w:t>发出中标通知书后，采购人无正当理由拒签合同的， 给中标人造成损失的，也应当赔偿损失。</w:t>
      </w:r>
    </w:p>
    <w:p w14:paraId="78876D8A">
      <w:pPr>
        <w:pStyle w:val="4"/>
        <w:spacing w:line="360" w:lineRule="auto"/>
        <w:ind w:left="0" w:right="76"/>
        <w:rPr>
          <w:rFonts w:ascii="宋体" w:hAnsi="宋体" w:eastAsia="宋体" w:cs="仿宋"/>
          <w:b/>
          <w:bCs/>
          <w:sz w:val="24"/>
          <w:szCs w:val="24"/>
        </w:rPr>
      </w:pPr>
      <w:bookmarkStart w:id="42" w:name="_Toc291089224"/>
      <w:bookmarkStart w:id="43" w:name="_Toc247639880"/>
      <w:bookmarkStart w:id="44" w:name="_Toc3894"/>
      <w:r>
        <w:rPr>
          <w:rFonts w:hint="eastAsia" w:ascii="宋体" w:hAnsi="宋体" w:eastAsia="宋体" w:cs="仿宋"/>
          <w:b/>
          <w:bCs/>
          <w:sz w:val="24"/>
          <w:szCs w:val="24"/>
        </w:rPr>
        <w:t>8. 重新招标</w:t>
      </w:r>
      <w:bookmarkEnd w:id="42"/>
      <w:bookmarkEnd w:id="43"/>
      <w:bookmarkEnd w:id="44"/>
    </w:p>
    <w:p w14:paraId="7E82363F">
      <w:pPr>
        <w:pStyle w:val="5"/>
        <w:ind w:firstLine="282" w:firstLineChars="117"/>
        <w:rPr>
          <w:rFonts w:ascii="宋体" w:hAnsi="宋体"/>
          <w:sz w:val="24"/>
          <w:szCs w:val="24"/>
        </w:rPr>
      </w:pPr>
      <w:bookmarkStart w:id="45" w:name="_Toc48"/>
      <w:bookmarkStart w:id="46" w:name="_Toc291089225"/>
      <w:bookmarkStart w:id="47" w:name="_Toc247639881"/>
      <w:r>
        <w:rPr>
          <w:rFonts w:hint="eastAsia" w:ascii="宋体" w:hAnsi="宋体"/>
          <w:sz w:val="24"/>
          <w:szCs w:val="24"/>
        </w:rPr>
        <w:t>8.1 重新招标</w:t>
      </w:r>
      <w:bookmarkEnd w:id="45"/>
      <w:bookmarkEnd w:id="46"/>
      <w:bookmarkEnd w:id="47"/>
    </w:p>
    <w:p w14:paraId="64681D79">
      <w:pPr>
        <w:adjustRightInd w:val="0"/>
        <w:spacing w:line="360" w:lineRule="auto"/>
        <w:ind w:firstLine="468" w:firstLineChars="200"/>
        <w:rPr>
          <w:rFonts w:ascii="宋体" w:hAnsi="宋体" w:cs="仿宋"/>
          <w:spacing w:val="-3"/>
          <w:sz w:val="24"/>
        </w:rPr>
      </w:pPr>
      <w:r>
        <w:rPr>
          <w:rFonts w:hint="eastAsia" w:ascii="宋体" w:hAnsi="宋体" w:cs="仿宋"/>
          <w:spacing w:val="-3"/>
          <w:sz w:val="24"/>
        </w:rPr>
        <w:t>有下列情形之一的，采购人将重新招标：</w:t>
      </w:r>
    </w:p>
    <w:p w14:paraId="093F9E46">
      <w:pPr>
        <w:adjustRightInd w:val="0"/>
        <w:spacing w:line="360" w:lineRule="auto"/>
        <w:ind w:firstLine="351" w:firstLineChars="150"/>
        <w:rPr>
          <w:rFonts w:ascii="宋体" w:hAnsi="宋体" w:cs="仿宋"/>
          <w:spacing w:val="-3"/>
          <w:sz w:val="24"/>
        </w:rPr>
      </w:pPr>
      <w:r>
        <w:rPr>
          <w:rFonts w:hint="eastAsia" w:ascii="宋体" w:hAnsi="宋体" w:cs="仿宋"/>
          <w:spacing w:val="-3"/>
          <w:sz w:val="24"/>
        </w:rPr>
        <w:t>（1）投标截止后，投标人不足3家；</w:t>
      </w:r>
    </w:p>
    <w:p w14:paraId="68A7ABCF">
      <w:pPr>
        <w:adjustRightInd w:val="0"/>
        <w:spacing w:line="360" w:lineRule="auto"/>
        <w:ind w:firstLine="351" w:firstLineChars="150"/>
        <w:rPr>
          <w:rFonts w:ascii="宋体" w:hAnsi="宋体" w:cs="仿宋"/>
          <w:spacing w:val="-3"/>
          <w:sz w:val="24"/>
        </w:rPr>
      </w:pPr>
      <w:r>
        <w:rPr>
          <w:rFonts w:hint="eastAsia" w:ascii="宋体" w:hAnsi="宋体" w:cs="仿宋"/>
          <w:spacing w:val="-3"/>
          <w:sz w:val="24"/>
        </w:rPr>
        <w:t>（2）通过资格审查或符合性审查的投标人不足3家的。</w:t>
      </w:r>
    </w:p>
    <w:p w14:paraId="03770FE0">
      <w:pPr>
        <w:pStyle w:val="4"/>
        <w:spacing w:line="360" w:lineRule="auto"/>
        <w:ind w:left="0" w:right="76"/>
        <w:rPr>
          <w:rFonts w:ascii="宋体" w:hAnsi="宋体" w:eastAsia="宋体" w:cs="仿宋"/>
          <w:b/>
          <w:bCs/>
          <w:sz w:val="24"/>
          <w:szCs w:val="24"/>
        </w:rPr>
      </w:pPr>
      <w:bookmarkStart w:id="48" w:name="_bookmark10"/>
      <w:bookmarkEnd w:id="48"/>
      <w:r>
        <w:rPr>
          <w:rFonts w:hint="eastAsia" w:ascii="宋体" w:hAnsi="宋体" w:eastAsia="宋体" w:cs="仿宋"/>
          <w:b/>
          <w:bCs/>
          <w:sz w:val="24"/>
          <w:szCs w:val="24"/>
        </w:rPr>
        <w:t>9.纪律和监督</w:t>
      </w:r>
    </w:p>
    <w:p w14:paraId="09A8B887">
      <w:pPr>
        <w:pStyle w:val="5"/>
        <w:ind w:firstLine="282" w:firstLineChars="117"/>
        <w:rPr>
          <w:rFonts w:ascii="宋体" w:hAnsi="宋体"/>
          <w:sz w:val="24"/>
          <w:szCs w:val="24"/>
        </w:rPr>
      </w:pPr>
      <w:r>
        <w:rPr>
          <w:rFonts w:hint="eastAsia" w:ascii="宋体" w:hAnsi="宋体"/>
          <w:sz w:val="24"/>
          <w:szCs w:val="24"/>
        </w:rPr>
        <w:t>9.1 对采购人的纪律要求</w:t>
      </w:r>
    </w:p>
    <w:p w14:paraId="28BBD6B4">
      <w:pPr>
        <w:pStyle w:val="37"/>
        <w:tabs>
          <w:tab w:val="left" w:pos="1330"/>
        </w:tabs>
        <w:spacing w:before="29" w:line="360" w:lineRule="auto"/>
        <w:ind w:left="8" w:leftChars="4" w:right="-136" w:rightChars="-65" w:firstLine="519" w:firstLineChars="222"/>
        <w:jc w:val="both"/>
        <w:rPr>
          <w:rFonts w:cs="仿宋"/>
          <w:spacing w:val="-3"/>
          <w:sz w:val="24"/>
        </w:rPr>
      </w:pPr>
      <w:r>
        <w:rPr>
          <w:rFonts w:hint="eastAsia" w:cs="仿宋"/>
          <w:spacing w:val="-3"/>
          <w:sz w:val="24"/>
        </w:rPr>
        <w:t>采购人不得泄漏招标投标活动中应当保密的情况和资料，不得与投标人串通损害国家利益、社会公共利益或者他人合法权益。</w:t>
      </w:r>
    </w:p>
    <w:p w14:paraId="4928920E">
      <w:pPr>
        <w:pStyle w:val="5"/>
        <w:ind w:firstLine="282" w:firstLineChars="117"/>
        <w:rPr>
          <w:rFonts w:ascii="宋体" w:hAnsi="宋体"/>
          <w:sz w:val="24"/>
          <w:szCs w:val="24"/>
        </w:rPr>
      </w:pPr>
      <w:r>
        <w:rPr>
          <w:rFonts w:hint="eastAsia" w:ascii="宋体" w:hAnsi="宋体"/>
          <w:sz w:val="24"/>
          <w:szCs w:val="24"/>
        </w:rPr>
        <w:t>9.2 对投标人的纪律要求</w:t>
      </w:r>
    </w:p>
    <w:p w14:paraId="3477F4AF">
      <w:pPr>
        <w:pStyle w:val="10"/>
        <w:spacing w:before="152" w:line="360" w:lineRule="auto"/>
        <w:ind w:left="18" w:right="-155" w:rightChars="-74" w:firstLine="680"/>
        <w:jc w:val="both"/>
        <w:rPr>
          <w:rFonts w:cs="仿宋"/>
          <w:sz w:val="24"/>
          <w:szCs w:val="24"/>
        </w:rPr>
      </w:pPr>
      <w:r>
        <w:rPr>
          <w:rFonts w:hint="eastAsia" w:cs="仿宋"/>
          <w:spacing w:val="-3"/>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8F2AFFE">
      <w:pPr>
        <w:pStyle w:val="5"/>
        <w:ind w:firstLine="282" w:firstLineChars="117"/>
        <w:rPr>
          <w:rFonts w:ascii="宋体" w:hAnsi="宋体"/>
          <w:sz w:val="24"/>
          <w:szCs w:val="24"/>
        </w:rPr>
      </w:pPr>
      <w:r>
        <w:rPr>
          <w:rFonts w:hint="eastAsia" w:ascii="宋体" w:hAnsi="宋体"/>
          <w:sz w:val="24"/>
          <w:szCs w:val="24"/>
        </w:rPr>
        <w:t>9.3 对评标委员会成员的纪律要求</w:t>
      </w:r>
    </w:p>
    <w:p w14:paraId="11569BFC">
      <w:pPr>
        <w:pStyle w:val="10"/>
        <w:spacing w:before="152" w:line="360" w:lineRule="auto"/>
        <w:ind w:firstLine="452" w:firstLineChars="200"/>
        <w:rPr>
          <w:rFonts w:cs="仿宋"/>
          <w:spacing w:val="-7"/>
          <w:sz w:val="24"/>
          <w:szCs w:val="24"/>
        </w:rPr>
      </w:pPr>
      <w:r>
        <w:rPr>
          <w:rFonts w:hint="eastAsia" w:cs="仿宋"/>
          <w:spacing w:val="-7"/>
          <w:sz w:val="24"/>
          <w:szCs w:val="24"/>
        </w:rPr>
        <w:t>评标委员会成员不得收受他人的财物或者其他好处，不得向他人透漏对投标文件的评审和比较、中标候选人的推荐情况以及评标有关的其他情况。在评标活动中，评标委员会成员不得擅离职守， 影响评标程序正常进行，不得使用第三章</w:t>
      </w:r>
      <w:r>
        <w:rPr>
          <w:rFonts w:hint="eastAsia" w:cs="仿宋"/>
          <w:spacing w:val="-7"/>
          <w:sz w:val="24"/>
          <w:szCs w:val="24"/>
          <w:lang w:val="en-US"/>
        </w:rPr>
        <w:t xml:space="preserve"> “</w:t>
      </w:r>
      <w:r>
        <w:rPr>
          <w:rFonts w:hint="eastAsia" w:cs="仿宋"/>
          <w:spacing w:val="-7"/>
          <w:sz w:val="24"/>
          <w:szCs w:val="24"/>
        </w:rPr>
        <w:t>评标办法</w:t>
      </w:r>
      <w:r>
        <w:rPr>
          <w:rFonts w:hint="eastAsia" w:cs="仿宋"/>
          <w:spacing w:val="-7"/>
          <w:sz w:val="24"/>
          <w:szCs w:val="24"/>
          <w:lang w:val="en-US"/>
        </w:rPr>
        <w:t>”</w:t>
      </w:r>
      <w:r>
        <w:rPr>
          <w:rFonts w:hint="eastAsia" w:cs="仿宋"/>
          <w:spacing w:val="-7"/>
          <w:sz w:val="24"/>
          <w:szCs w:val="24"/>
        </w:rPr>
        <w:t>没有规定的评审因素和标准进行评标。</w:t>
      </w:r>
    </w:p>
    <w:p w14:paraId="42AADE00">
      <w:pPr>
        <w:pStyle w:val="5"/>
        <w:ind w:firstLine="282" w:firstLineChars="117"/>
        <w:rPr>
          <w:rFonts w:ascii="宋体" w:hAnsi="宋体"/>
          <w:sz w:val="24"/>
          <w:szCs w:val="24"/>
        </w:rPr>
      </w:pPr>
      <w:r>
        <w:rPr>
          <w:rFonts w:hint="eastAsia" w:ascii="宋体" w:hAnsi="宋体"/>
          <w:sz w:val="24"/>
          <w:szCs w:val="24"/>
        </w:rPr>
        <w:t>9.4 对与评标活动有关的工作人员的纪律要求</w:t>
      </w:r>
    </w:p>
    <w:p w14:paraId="30137C78">
      <w:pPr>
        <w:pStyle w:val="10"/>
        <w:spacing w:before="47" w:line="360" w:lineRule="auto"/>
        <w:ind w:firstLine="480" w:firstLineChars="200"/>
        <w:rPr>
          <w:rFonts w:cs="仿宋"/>
          <w:sz w:val="24"/>
          <w:szCs w:val="24"/>
        </w:rPr>
      </w:pPr>
      <w:r>
        <w:rPr>
          <w:rFonts w:hint="eastAsia" w:cs="仿宋"/>
          <w:sz w:val="24"/>
          <w:szCs w:val="24"/>
        </w:rPr>
        <w:t>与评标活动有关的工作人员不得收受他人的财物或者其他好处，不得向他人透漏对投标 文件的评审和比较、中标候选人的推荐情况以及评标有关的其他情况。在评标活动中，与评标活动有关的工作人员不得擅离职守，影响评标程序正常进行。</w:t>
      </w:r>
    </w:p>
    <w:p w14:paraId="769AD298">
      <w:pPr>
        <w:pStyle w:val="5"/>
        <w:ind w:firstLine="282" w:firstLineChars="117"/>
        <w:rPr>
          <w:rFonts w:ascii="宋体" w:hAnsi="宋体"/>
          <w:sz w:val="24"/>
          <w:szCs w:val="24"/>
        </w:rPr>
      </w:pPr>
      <w:r>
        <w:rPr>
          <w:rFonts w:hint="eastAsia" w:ascii="宋体" w:hAnsi="宋体"/>
          <w:sz w:val="24"/>
          <w:szCs w:val="24"/>
        </w:rPr>
        <w:t>9.5 投诉</w:t>
      </w:r>
    </w:p>
    <w:p w14:paraId="2C8E0A9B">
      <w:pPr>
        <w:pStyle w:val="10"/>
        <w:spacing w:before="47" w:line="360" w:lineRule="auto"/>
        <w:ind w:firstLine="480" w:firstLineChars="200"/>
        <w:rPr>
          <w:rFonts w:cs="仿宋"/>
          <w:sz w:val="24"/>
          <w:szCs w:val="24"/>
        </w:rPr>
      </w:pPr>
      <w:r>
        <w:rPr>
          <w:rFonts w:hint="eastAsia" w:cs="仿宋"/>
          <w:sz w:val="24"/>
          <w:szCs w:val="24"/>
        </w:rPr>
        <w:t>投标人和其他利害关系人认为本次招标活动违反法律、法规和规章规定的，有权向有关行政监督部门投诉。</w:t>
      </w:r>
    </w:p>
    <w:p w14:paraId="603999AC">
      <w:pPr>
        <w:pStyle w:val="4"/>
        <w:spacing w:line="360" w:lineRule="auto"/>
        <w:ind w:left="0" w:right="76"/>
        <w:rPr>
          <w:rFonts w:ascii="宋体" w:hAnsi="宋体" w:eastAsia="宋体" w:cs="仿宋"/>
          <w:b/>
          <w:bCs/>
          <w:sz w:val="24"/>
          <w:szCs w:val="24"/>
        </w:rPr>
      </w:pPr>
      <w:r>
        <w:rPr>
          <w:rFonts w:hint="eastAsia" w:ascii="宋体" w:hAnsi="宋体" w:eastAsia="宋体" w:cs="仿宋"/>
          <w:b/>
          <w:bCs/>
          <w:sz w:val="24"/>
          <w:szCs w:val="24"/>
        </w:rPr>
        <w:t>10 .需要补充的其他内容</w:t>
      </w:r>
    </w:p>
    <w:p w14:paraId="1CC9529F">
      <w:pPr>
        <w:pStyle w:val="10"/>
        <w:spacing w:before="47" w:line="360" w:lineRule="auto"/>
        <w:ind w:firstLine="240" w:firstLineChars="100"/>
        <w:rPr>
          <w:rFonts w:cs="仿宋"/>
          <w:sz w:val="24"/>
          <w:szCs w:val="24"/>
          <w:lang w:val="en-US"/>
        </w:rPr>
      </w:pPr>
      <w:r>
        <w:rPr>
          <w:rFonts w:hint="eastAsia" w:cs="仿宋"/>
          <w:sz w:val="24"/>
          <w:szCs w:val="24"/>
          <w:lang w:val="en-US"/>
        </w:rPr>
        <w:t>详见投标人须知前附表。</w:t>
      </w:r>
    </w:p>
    <w:p w14:paraId="4858D204">
      <w:pPr>
        <w:widowControl/>
        <w:jc w:val="left"/>
        <w:rPr>
          <w:rFonts w:ascii="宋体" w:hAnsi="宋体" w:cs="仿宋"/>
          <w:b/>
          <w:bCs/>
          <w:kern w:val="0"/>
          <w:sz w:val="24"/>
          <w:szCs w:val="20"/>
        </w:rPr>
      </w:pPr>
      <w:bookmarkStart w:id="49" w:name="_Toc22341"/>
      <w:bookmarkStart w:id="50" w:name="_Toc28403"/>
      <w:r>
        <w:rPr>
          <w:rFonts w:cs="仿宋"/>
          <w:b/>
          <w:bCs/>
          <w:szCs w:val="20"/>
        </w:rPr>
        <w:br w:type="page"/>
      </w:r>
    </w:p>
    <w:p w14:paraId="07CEF7F0">
      <w:pPr>
        <w:pStyle w:val="8"/>
        <w:spacing w:line="360" w:lineRule="auto"/>
        <w:jc w:val="center"/>
        <w:rPr>
          <w:rFonts w:cs="仿宋"/>
          <w:b/>
          <w:bCs/>
          <w:szCs w:val="20"/>
        </w:rPr>
      </w:pPr>
      <w:r>
        <w:rPr>
          <w:rFonts w:hint="eastAsia" w:cs="仿宋"/>
          <w:b/>
          <w:bCs/>
          <w:szCs w:val="20"/>
        </w:rPr>
        <w:t>河南省政府采购合同融资政策告知函</w:t>
      </w:r>
    </w:p>
    <w:p w14:paraId="2A0A5AE0">
      <w:pPr>
        <w:pStyle w:val="8"/>
        <w:adjustRightInd w:val="0"/>
        <w:snapToGrid w:val="0"/>
        <w:spacing w:line="360" w:lineRule="auto"/>
        <w:rPr>
          <w:rFonts w:cs="仿宋"/>
        </w:rPr>
      </w:pPr>
      <w:r>
        <w:rPr>
          <w:rFonts w:hint="eastAsia" w:cs="仿宋"/>
        </w:rPr>
        <w:t>各供应商：</w:t>
      </w:r>
    </w:p>
    <w:p w14:paraId="6A4D0F0D">
      <w:pPr>
        <w:pStyle w:val="8"/>
        <w:adjustRightInd w:val="0"/>
        <w:snapToGrid w:val="0"/>
        <w:spacing w:line="360" w:lineRule="auto"/>
        <w:ind w:firstLine="480" w:firstLineChars="200"/>
        <w:rPr>
          <w:rFonts w:cs="仿宋"/>
        </w:rPr>
      </w:pPr>
      <w:r>
        <w:rPr>
          <w:rFonts w:hint="eastAsia" w:cs="仿宋"/>
        </w:rPr>
        <w:t>欢迎贵公司参与河南省政府采购活动！</w:t>
      </w:r>
    </w:p>
    <w:p w14:paraId="29475119">
      <w:pPr>
        <w:pStyle w:val="8"/>
        <w:adjustRightInd w:val="0"/>
        <w:snapToGrid w:val="0"/>
        <w:spacing w:line="360" w:lineRule="auto"/>
        <w:ind w:firstLine="480" w:firstLineChars="200"/>
        <w:rPr>
          <w:rFonts w:cs="仿宋"/>
        </w:rPr>
      </w:pPr>
      <w:r>
        <w:rPr>
          <w:rFonts w:hint="eastAsia" w:cs="仿宋"/>
        </w:rPr>
        <w:t>政府采购合同融资是河南省财政厅支持中小微企业发展，针对参与政府采购活动的供应离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14:paraId="2FFEEAB9">
      <w:pPr>
        <w:pStyle w:val="8"/>
        <w:adjustRightInd w:val="0"/>
        <w:snapToGrid w:val="0"/>
        <w:spacing w:line="360" w:lineRule="auto"/>
        <w:ind w:firstLine="480" w:firstLineChars="200"/>
        <w:rPr>
          <w:rFonts w:cs="仿宋"/>
        </w:rPr>
      </w:pPr>
      <w:r>
        <w:rPr>
          <w:rFonts w:hint="eastAsia" w:cs="仿宋"/>
        </w:rPr>
        <w:t>贷款渠道和提供贷款的金融机构，可在河南省政府采购网“河南省政府采购合同融资平台”查询联系。</w:t>
      </w:r>
    </w:p>
    <w:p w14:paraId="617F8F5A">
      <w:pPr>
        <w:pStyle w:val="8"/>
        <w:spacing w:line="360" w:lineRule="auto"/>
        <w:jc w:val="center"/>
        <w:rPr>
          <w:rFonts w:cs="仿宋"/>
          <w:b/>
          <w:bCs/>
          <w:szCs w:val="20"/>
        </w:rPr>
      </w:pPr>
      <w:r>
        <w:rPr>
          <w:rFonts w:hint="eastAsia" w:cs="仿宋"/>
          <w:b/>
          <w:bCs/>
          <w:szCs w:val="20"/>
        </w:rPr>
        <w:t>平顶山银行“银政易贷”贷款简介</w:t>
      </w:r>
      <w:bookmarkEnd w:id="49"/>
      <w:bookmarkEnd w:id="50"/>
    </w:p>
    <w:p w14:paraId="75AB48DB">
      <w:pPr>
        <w:widowControl/>
        <w:spacing w:line="432" w:lineRule="auto"/>
        <w:ind w:firstLine="480" w:firstLineChars="200"/>
        <w:jc w:val="left"/>
        <w:rPr>
          <w:rFonts w:ascii="宋体" w:hAnsi="宋体" w:cs="仿宋"/>
          <w:sz w:val="24"/>
        </w:rPr>
      </w:pPr>
      <w:r>
        <w:rPr>
          <w:rFonts w:hint="eastAsia" w:ascii="宋体" w:hAnsi="宋体" w:cs="仿宋"/>
          <w:kern w:val="0"/>
          <w:sz w:val="24"/>
        </w:rPr>
        <w:t>平顶山银行在平顶山、郑州、洛阳、南阳、新乡、信阳、商丘设立营业网点72个，其中平顶山地区50个，金融服务能力强，业务品种多。多年来，平顶山银行始终坚持“服务地方经济、服务中小企业、服务城市居民”的市场定位，以“竭尽我能、感动你心”的服务理念，专注于产品和业务创新，积极打造具有自身特色的金融服务，有效满足了不同层次的金融需求，赢得了中小企业和广大市民的赞誉和信赖。</w:t>
      </w:r>
    </w:p>
    <w:p w14:paraId="4716FF9B">
      <w:pPr>
        <w:widowControl/>
        <w:spacing w:line="432" w:lineRule="auto"/>
        <w:ind w:firstLine="480" w:firstLineChars="200"/>
        <w:jc w:val="left"/>
        <w:rPr>
          <w:rFonts w:ascii="宋体" w:hAnsi="宋体" w:cs="仿宋"/>
          <w:sz w:val="24"/>
        </w:rPr>
      </w:pPr>
      <w:r>
        <w:rPr>
          <w:rFonts w:hint="eastAsia" w:ascii="宋体" w:hAnsi="宋体" w:cs="仿宋"/>
          <w:kern w:val="0"/>
          <w:sz w:val="24"/>
        </w:rPr>
        <w:t>为扩大支持中小企业融资渠道，平顶山银行推出了“银政易贷”特色金融产品，主要面对平顶山市政府采购领域中标成交企业，对中标政府采购企业的实际控制人发放，专项用于履行政府采购合同。“银政易贷”专业服务政府采购上游投标人基于中标政府采购合同项下的备货、生产、加工等环节的资金需求，贷款额度高，最高贷款金额可达到采购合同的90%；还款方式灵活，可采用按月付息、到期一次性还款或者按频率付息、任务本金计划等多种还款方式；借款期限原则上不超过1年，年利率最低可达7%。同时，我行针对“银政易贷”业务开启“绿色通道”，手续齐全3-5个工作日即可完成放款。</w:t>
      </w:r>
    </w:p>
    <w:p w14:paraId="5858B57F">
      <w:pPr>
        <w:widowControl/>
        <w:spacing w:line="432" w:lineRule="auto"/>
        <w:ind w:firstLine="480" w:firstLineChars="200"/>
        <w:jc w:val="left"/>
        <w:rPr>
          <w:rFonts w:ascii="宋体" w:hAnsi="宋体" w:cs="仿宋"/>
          <w:sz w:val="24"/>
        </w:rPr>
      </w:pPr>
      <w:r>
        <w:rPr>
          <w:rFonts w:hint="eastAsia" w:ascii="宋体" w:hAnsi="宋体" w:cs="仿宋"/>
          <w:kern w:val="0"/>
          <w:sz w:val="24"/>
        </w:rPr>
        <w:t>“银政易贷”团队联系人及联系方式：</w:t>
      </w:r>
    </w:p>
    <w:p w14:paraId="5E37C152">
      <w:pPr>
        <w:widowControl/>
        <w:spacing w:line="432" w:lineRule="auto"/>
        <w:ind w:firstLine="720" w:firstLineChars="300"/>
        <w:jc w:val="left"/>
        <w:rPr>
          <w:rFonts w:ascii="宋体" w:hAnsi="宋体" w:cs="仿宋"/>
          <w:kern w:val="0"/>
          <w:sz w:val="24"/>
        </w:rPr>
      </w:pPr>
      <w:r>
        <w:rPr>
          <w:rFonts w:hint="eastAsia" w:ascii="宋体" w:hAnsi="宋体" w:cs="仿宋"/>
          <w:kern w:val="0"/>
          <w:sz w:val="24"/>
        </w:rPr>
        <w:t xml:space="preserve">余梦丽：0375-2980538   </w:t>
      </w:r>
    </w:p>
    <w:p w14:paraId="1C004E1E">
      <w:pPr>
        <w:pStyle w:val="8"/>
        <w:spacing w:line="360" w:lineRule="auto"/>
        <w:jc w:val="center"/>
        <w:rPr>
          <w:rFonts w:cs="仿宋"/>
          <w:b/>
          <w:bCs/>
          <w:szCs w:val="20"/>
        </w:rPr>
      </w:pPr>
      <w:bookmarkStart w:id="51" w:name="_Toc26531"/>
      <w:bookmarkStart w:id="52" w:name="_Toc30264"/>
      <w:bookmarkStart w:id="53" w:name="_Toc28538"/>
      <w:r>
        <w:rPr>
          <w:rFonts w:hint="eastAsia" w:cs="仿宋"/>
          <w:b/>
          <w:bCs/>
          <w:szCs w:val="20"/>
        </w:rPr>
        <w:t>政府采购合同融资试点单位工商银行</w:t>
      </w:r>
      <w:bookmarkEnd w:id="51"/>
      <w:bookmarkEnd w:id="52"/>
      <w:bookmarkEnd w:id="53"/>
      <w:bookmarkStart w:id="54" w:name="_Toc29782"/>
      <w:bookmarkStart w:id="55" w:name="_Toc29118"/>
      <w:bookmarkStart w:id="56" w:name="_Toc22739"/>
      <w:r>
        <w:rPr>
          <w:rFonts w:hint="eastAsia" w:cs="仿宋"/>
          <w:b/>
          <w:bCs/>
          <w:szCs w:val="20"/>
        </w:rPr>
        <w:t>平顶山分行</w:t>
      </w:r>
      <w:bookmarkEnd w:id="54"/>
      <w:r>
        <w:rPr>
          <w:rFonts w:hint="eastAsia" w:cs="仿宋"/>
          <w:b/>
          <w:bCs/>
          <w:szCs w:val="20"/>
        </w:rPr>
        <w:t> </w:t>
      </w:r>
      <w:bookmarkEnd w:id="55"/>
      <w:bookmarkEnd w:id="56"/>
    </w:p>
    <w:p w14:paraId="52C19AE1">
      <w:pPr>
        <w:widowControl/>
        <w:adjustRightInd w:val="0"/>
        <w:snapToGrid w:val="0"/>
        <w:spacing w:line="360" w:lineRule="auto"/>
        <w:ind w:firstLine="480" w:firstLineChars="200"/>
        <w:jc w:val="left"/>
        <w:rPr>
          <w:rFonts w:ascii="宋体" w:hAnsi="宋体" w:cs="仿宋"/>
          <w:kern w:val="0"/>
          <w:sz w:val="24"/>
        </w:rPr>
      </w:pPr>
      <w:r>
        <w:rPr>
          <w:rFonts w:hint="eastAsia" w:ascii="宋体" w:hAnsi="宋体" w:cs="仿宋"/>
          <w:kern w:val="0"/>
          <w:sz w:val="24"/>
        </w:rPr>
        <w:t>中国工商银行平顶山分行是中国工商银行股份有限公司法人授权经营的二级分行，现全辖共有一级支行14个，其中市区支行8个，县区支行6个，营业网点41个。多年来，工行平顶山分行坚持以客户为中心，以市场为导向，积极创新和改进服务方式，逐渐形成了包括公司金融、个人金融、银行卡、电子银行、国际业务等若干类3000多种产品的业务体系；构建了物理网点与电话银行、网上银行、手机银行、自助银行、智能银行等互为一体的立体服务格局，致力服务平顶山经济发展。</w:t>
      </w:r>
    </w:p>
    <w:p w14:paraId="685F9C9A">
      <w:pPr>
        <w:widowControl/>
        <w:adjustRightInd w:val="0"/>
        <w:snapToGrid w:val="0"/>
        <w:spacing w:line="360" w:lineRule="auto"/>
        <w:ind w:firstLine="480" w:firstLineChars="200"/>
        <w:jc w:val="left"/>
        <w:rPr>
          <w:rFonts w:ascii="宋体" w:hAnsi="宋体" w:cs="仿宋"/>
          <w:kern w:val="0"/>
          <w:sz w:val="24"/>
        </w:rPr>
      </w:pPr>
      <w:r>
        <w:rPr>
          <w:rFonts w:hint="eastAsia" w:ascii="宋体" w:hAnsi="宋体" w:cs="仿宋"/>
          <w:kern w:val="0"/>
          <w:sz w:val="24"/>
        </w:rPr>
        <w:t xml:space="preserve">   工行平顶山分行将针对政府采购合同融资推出专项“政采贷”贷款业务，满足政府采购上游投标人基于中标政府采购合同项下的备货、生产和加工等环节的资金需求。贷款方式为信用，融资金额不超过合同实有金额的80%；对投标人资信状况良好、购销关系稳定的，最高可放宽至90%。融资期限根据中标合同约定履约期限确定，最长不超过1年，且不晚于合同约定付款日后一个月。融资利率原则上不高于7%；按月还息。还款方式上，根据中标合同约定分期或到期一次性还本或财政支付资金回款到账后次日归还。</w:t>
      </w:r>
    </w:p>
    <w:p w14:paraId="3707AB3E">
      <w:pPr>
        <w:widowControl/>
        <w:adjustRightInd w:val="0"/>
        <w:snapToGrid w:val="0"/>
        <w:spacing w:line="360" w:lineRule="auto"/>
        <w:ind w:firstLine="480" w:firstLineChars="200"/>
        <w:jc w:val="left"/>
        <w:rPr>
          <w:rFonts w:ascii="宋体" w:hAnsi="宋体" w:cs="仿宋"/>
          <w:kern w:val="0"/>
          <w:sz w:val="24"/>
        </w:rPr>
      </w:pPr>
      <w:r>
        <w:rPr>
          <w:rFonts w:hint="eastAsia" w:ascii="宋体" w:hAnsi="宋体" w:cs="仿宋"/>
          <w:kern w:val="0"/>
          <w:sz w:val="24"/>
        </w:rPr>
        <w:t xml:space="preserve">    工行平顶山分行建立政府采购合同融资绿色通道，成立“政采贷”专营团队，配备专业人员定向服务，简化审批流程，制定相应的业务管理规范，提供快捷方便、专业的金融服务；对融资申报资料齐全的，工行平顶山分行将在七个工作日内完成审批，符合提款条件的，将在三个工作日内完成放款。</w:t>
      </w:r>
    </w:p>
    <w:p w14:paraId="3C41478F">
      <w:pPr>
        <w:widowControl/>
        <w:spacing w:line="440" w:lineRule="exact"/>
        <w:jc w:val="left"/>
        <w:rPr>
          <w:rFonts w:ascii="宋体" w:hAnsi="宋体" w:cs="仿宋"/>
          <w:sz w:val="24"/>
        </w:rPr>
      </w:pPr>
      <w:r>
        <w:rPr>
          <w:rFonts w:hint="eastAsia" w:ascii="宋体" w:hAnsi="宋体" w:cs="仿宋"/>
          <w:kern w:val="0"/>
          <w:sz w:val="24"/>
        </w:rPr>
        <w:t xml:space="preserve">  工行平顶山分行联系人;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3257"/>
        <w:gridCol w:w="2841"/>
      </w:tblGrid>
      <w:tr w14:paraId="5905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dxa"/>
          </w:tcPr>
          <w:p w14:paraId="2F631137">
            <w:pPr>
              <w:widowControl/>
              <w:spacing w:line="440" w:lineRule="exact"/>
              <w:jc w:val="left"/>
              <w:rPr>
                <w:rFonts w:ascii="宋体" w:hAnsi="宋体" w:cs="仿宋"/>
                <w:sz w:val="24"/>
              </w:rPr>
            </w:pPr>
            <w:r>
              <w:rPr>
                <w:rFonts w:hint="eastAsia" w:ascii="宋体" w:hAnsi="宋体" w:cs="仿宋"/>
                <w:kern w:val="0"/>
                <w:sz w:val="24"/>
              </w:rPr>
              <w:t>联系单位</w:t>
            </w:r>
          </w:p>
        </w:tc>
        <w:tc>
          <w:tcPr>
            <w:tcW w:w="3257" w:type="dxa"/>
          </w:tcPr>
          <w:p w14:paraId="069843C6">
            <w:pPr>
              <w:widowControl/>
              <w:spacing w:line="440" w:lineRule="exact"/>
              <w:jc w:val="left"/>
              <w:rPr>
                <w:rFonts w:ascii="宋体" w:hAnsi="宋体" w:cs="仿宋"/>
                <w:sz w:val="24"/>
              </w:rPr>
            </w:pPr>
            <w:r>
              <w:rPr>
                <w:rFonts w:hint="eastAsia" w:ascii="宋体" w:hAnsi="宋体" w:cs="仿宋"/>
                <w:kern w:val="0"/>
                <w:sz w:val="24"/>
              </w:rPr>
              <w:t>联系人</w:t>
            </w:r>
          </w:p>
        </w:tc>
        <w:tc>
          <w:tcPr>
            <w:tcW w:w="2841" w:type="dxa"/>
          </w:tcPr>
          <w:p w14:paraId="1A6CBFC6">
            <w:pPr>
              <w:widowControl/>
              <w:spacing w:line="440" w:lineRule="exact"/>
              <w:jc w:val="left"/>
              <w:rPr>
                <w:rFonts w:ascii="宋体" w:hAnsi="宋体" w:cs="仿宋"/>
                <w:sz w:val="24"/>
              </w:rPr>
            </w:pPr>
            <w:r>
              <w:rPr>
                <w:rFonts w:hint="eastAsia" w:ascii="宋体" w:hAnsi="宋体" w:cs="仿宋"/>
                <w:kern w:val="0"/>
                <w:sz w:val="24"/>
              </w:rPr>
              <w:t>联系方式</w:t>
            </w:r>
          </w:p>
        </w:tc>
      </w:tr>
      <w:tr w14:paraId="6693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dxa"/>
          </w:tcPr>
          <w:p w14:paraId="4FD440DD">
            <w:pPr>
              <w:widowControl/>
              <w:spacing w:line="440" w:lineRule="exact"/>
              <w:jc w:val="left"/>
              <w:rPr>
                <w:rFonts w:ascii="宋体" w:hAnsi="宋体" w:cs="仿宋"/>
                <w:sz w:val="24"/>
              </w:rPr>
            </w:pPr>
            <w:r>
              <w:rPr>
                <w:rFonts w:hint="eastAsia" w:ascii="宋体" w:hAnsi="宋体" w:cs="仿宋"/>
                <w:kern w:val="0"/>
                <w:sz w:val="24"/>
              </w:rPr>
              <w:t>政采贷专营团队</w:t>
            </w:r>
          </w:p>
        </w:tc>
        <w:tc>
          <w:tcPr>
            <w:tcW w:w="3257" w:type="dxa"/>
          </w:tcPr>
          <w:p w14:paraId="1CC934FB">
            <w:pPr>
              <w:widowControl/>
              <w:spacing w:line="440" w:lineRule="exact"/>
              <w:jc w:val="left"/>
              <w:rPr>
                <w:rFonts w:ascii="宋体" w:hAnsi="宋体" w:cs="仿宋"/>
                <w:sz w:val="24"/>
              </w:rPr>
            </w:pPr>
            <w:r>
              <w:rPr>
                <w:rFonts w:hint="eastAsia" w:ascii="宋体" w:hAnsi="宋体" w:cs="仿宋"/>
                <w:kern w:val="0"/>
                <w:sz w:val="24"/>
              </w:rPr>
              <w:t>卢文旭</w:t>
            </w:r>
          </w:p>
        </w:tc>
        <w:tc>
          <w:tcPr>
            <w:tcW w:w="2841" w:type="dxa"/>
          </w:tcPr>
          <w:p w14:paraId="6E023ABA">
            <w:pPr>
              <w:widowControl/>
              <w:spacing w:line="440" w:lineRule="exact"/>
              <w:jc w:val="left"/>
              <w:rPr>
                <w:rFonts w:ascii="宋体" w:hAnsi="宋体" w:cs="仿宋"/>
                <w:sz w:val="24"/>
              </w:rPr>
            </w:pPr>
            <w:r>
              <w:rPr>
                <w:rFonts w:hint="eastAsia" w:ascii="宋体" w:hAnsi="宋体" w:cs="仿宋"/>
                <w:kern w:val="0"/>
                <w:sz w:val="24"/>
              </w:rPr>
              <w:t>0375-2763835</w:t>
            </w:r>
          </w:p>
        </w:tc>
      </w:tr>
      <w:tr w14:paraId="7398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dxa"/>
          </w:tcPr>
          <w:p w14:paraId="51CF2BC8">
            <w:pPr>
              <w:widowControl/>
              <w:spacing w:line="440" w:lineRule="exact"/>
              <w:jc w:val="left"/>
              <w:rPr>
                <w:rFonts w:ascii="宋体" w:hAnsi="宋体" w:cs="仿宋"/>
                <w:sz w:val="24"/>
              </w:rPr>
            </w:pPr>
            <w:r>
              <w:rPr>
                <w:rFonts w:hint="eastAsia" w:ascii="宋体" w:hAnsi="宋体" w:cs="仿宋"/>
                <w:kern w:val="0"/>
                <w:sz w:val="24"/>
              </w:rPr>
              <w:t>政采贷专营团队</w:t>
            </w:r>
          </w:p>
        </w:tc>
        <w:tc>
          <w:tcPr>
            <w:tcW w:w="3257" w:type="dxa"/>
          </w:tcPr>
          <w:p w14:paraId="13CF8B33">
            <w:pPr>
              <w:widowControl/>
              <w:spacing w:line="440" w:lineRule="exact"/>
              <w:jc w:val="left"/>
              <w:rPr>
                <w:rFonts w:ascii="宋体" w:hAnsi="宋体" w:cs="仿宋"/>
                <w:sz w:val="24"/>
              </w:rPr>
            </w:pPr>
            <w:r>
              <w:rPr>
                <w:rFonts w:hint="eastAsia" w:ascii="宋体" w:hAnsi="宋体" w:cs="仿宋"/>
                <w:kern w:val="0"/>
                <w:sz w:val="24"/>
              </w:rPr>
              <w:t>好金斗</w:t>
            </w:r>
          </w:p>
        </w:tc>
        <w:tc>
          <w:tcPr>
            <w:tcW w:w="2841" w:type="dxa"/>
          </w:tcPr>
          <w:p w14:paraId="1C1BDA74">
            <w:pPr>
              <w:widowControl/>
              <w:spacing w:line="440" w:lineRule="exact"/>
              <w:jc w:val="left"/>
              <w:rPr>
                <w:rFonts w:ascii="宋体" w:hAnsi="宋体" w:cs="仿宋"/>
                <w:sz w:val="24"/>
              </w:rPr>
            </w:pPr>
            <w:r>
              <w:rPr>
                <w:rFonts w:hint="eastAsia" w:ascii="宋体" w:hAnsi="宋体" w:cs="仿宋"/>
                <w:kern w:val="0"/>
                <w:sz w:val="24"/>
              </w:rPr>
              <w:t>0375-2763881</w:t>
            </w:r>
          </w:p>
        </w:tc>
      </w:tr>
    </w:tbl>
    <w:p w14:paraId="34D220A1">
      <w:pPr>
        <w:spacing w:line="440" w:lineRule="exact"/>
        <w:rPr>
          <w:rFonts w:ascii="宋体" w:hAnsi="宋体" w:cs="仿宋"/>
          <w:sz w:val="24"/>
        </w:rPr>
      </w:pPr>
    </w:p>
    <w:p w14:paraId="7C3AA005">
      <w:pPr>
        <w:spacing w:line="360" w:lineRule="auto"/>
        <w:jc w:val="center"/>
        <w:rPr>
          <w:rFonts w:ascii="宋体" w:hAnsi="宋体" w:cs="仿宋"/>
          <w:b/>
          <w:bCs/>
          <w:sz w:val="24"/>
        </w:rPr>
      </w:pPr>
    </w:p>
    <w:p w14:paraId="7019D05B">
      <w:pPr>
        <w:spacing w:line="360" w:lineRule="auto"/>
        <w:jc w:val="center"/>
        <w:rPr>
          <w:rFonts w:ascii="宋体" w:hAnsi="宋体" w:cs="仿宋"/>
          <w:b/>
          <w:bCs/>
          <w:sz w:val="24"/>
        </w:rPr>
      </w:pPr>
    </w:p>
    <w:p w14:paraId="295B2CAB">
      <w:pPr>
        <w:spacing w:line="360" w:lineRule="auto"/>
        <w:jc w:val="center"/>
        <w:rPr>
          <w:rFonts w:ascii="宋体" w:hAnsi="宋体" w:cs="仿宋"/>
          <w:b/>
          <w:bCs/>
          <w:sz w:val="24"/>
        </w:rPr>
      </w:pPr>
    </w:p>
    <w:p w14:paraId="29CD6E78">
      <w:pPr>
        <w:spacing w:line="360" w:lineRule="auto"/>
        <w:jc w:val="center"/>
        <w:rPr>
          <w:rFonts w:ascii="宋体" w:hAnsi="宋体" w:cs="仿宋"/>
          <w:b/>
          <w:bCs/>
          <w:sz w:val="24"/>
        </w:rPr>
      </w:pPr>
    </w:p>
    <w:p w14:paraId="4913BCF9">
      <w:pPr>
        <w:spacing w:line="360" w:lineRule="auto"/>
        <w:jc w:val="center"/>
        <w:rPr>
          <w:rFonts w:ascii="宋体" w:hAnsi="宋体" w:cs="仿宋"/>
          <w:b/>
          <w:bCs/>
          <w:sz w:val="24"/>
        </w:rPr>
      </w:pPr>
    </w:p>
    <w:p w14:paraId="1E7375A3">
      <w:pPr>
        <w:spacing w:line="360" w:lineRule="auto"/>
        <w:jc w:val="center"/>
        <w:rPr>
          <w:rFonts w:ascii="宋体" w:hAnsi="宋体" w:cs="仿宋"/>
          <w:b/>
          <w:bCs/>
          <w:sz w:val="24"/>
        </w:rPr>
      </w:pPr>
      <w:r>
        <w:rPr>
          <w:rFonts w:hint="eastAsia" w:ascii="宋体" w:hAnsi="宋体" w:cs="仿宋"/>
          <w:b/>
          <w:bCs/>
          <w:sz w:val="24"/>
        </w:rPr>
        <w:t>关于印发中小企业划型标准规定的通知</w:t>
      </w:r>
    </w:p>
    <w:p w14:paraId="4E74AF1A">
      <w:pPr>
        <w:spacing w:line="360" w:lineRule="auto"/>
        <w:ind w:firstLine="360" w:firstLineChars="150"/>
        <w:jc w:val="center"/>
        <w:rPr>
          <w:rFonts w:ascii="宋体" w:hAnsi="宋体" w:cs="仿宋"/>
          <w:sz w:val="24"/>
        </w:rPr>
      </w:pPr>
      <w:r>
        <w:rPr>
          <w:rFonts w:hint="eastAsia" w:ascii="宋体" w:hAnsi="宋体" w:cs="仿宋"/>
          <w:sz w:val="24"/>
        </w:rPr>
        <w:t>工信部联企业[2011]300号</w:t>
      </w:r>
    </w:p>
    <w:p w14:paraId="6D6E5DD2">
      <w:pPr>
        <w:spacing w:line="360" w:lineRule="auto"/>
        <w:ind w:firstLine="360" w:firstLineChars="150"/>
        <w:rPr>
          <w:rFonts w:ascii="宋体" w:hAnsi="宋体" w:cs="仿宋"/>
          <w:sz w:val="24"/>
        </w:rPr>
      </w:pPr>
      <w:r>
        <w:rPr>
          <w:rFonts w:hint="eastAsia" w:ascii="宋体" w:hAnsi="宋体" w:cs="仿宋"/>
          <w:sz w:val="24"/>
        </w:rPr>
        <w:t>各省、自治区、直辖市人民政府，国务院各部委、各直属机构及有关单位：</w:t>
      </w:r>
    </w:p>
    <w:p w14:paraId="3E123847">
      <w:pPr>
        <w:spacing w:line="360" w:lineRule="auto"/>
        <w:ind w:firstLine="360" w:firstLineChars="150"/>
        <w:rPr>
          <w:rFonts w:ascii="宋体" w:hAnsi="宋体" w:cs="仿宋"/>
          <w:sz w:val="24"/>
        </w:rPr>
      </w:pPr>
      <w:r>
        <w:rPr>
          <w:rFonts w:hint="eastAsia" w:ascii="宋体" w:hAnsi="宋体" w:cs="仿宋"/>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C05C05A">
      <w:pPr>
        <w:spacing w:line="360" w:lineRule="auto"/>
        <w:ind w:firstLine="360" w:firstLineChars="150"/>
        <w:rPr>
          <w:rFonts w:ascii="宋体" w:hAnsi="宋体" w:cs="仿宋"/>
          <w:sz w:val="24"/>
        </w:rPr>
      </w:pPr>
      <w:r>
        <w:rPr>
          <w:rFonts w:hint="eastAsia" w:ascii="宋体" w:hAnsi="宋体" w:cs="仿宋"/>
          <w:sz w:val="24"/>
        </w:rPr>
        <w:t>　　　　　　　　　　　　　　　　　　工业和信息化部　国家统计局</w:t>
      </w:r>
    </w:p>
    <w:p w14:paraId="63B11E40">
      <w:pPr>
        <w:spacing w:line="360" w:lineRule="auto"/>
        <w:ind w:firstLine="360" w:firstLineChars="150"/>
        <w:rPr>
          <w:rFonts w:ascii="宋体" w:hAnsi="宋体" w:cs="仿宋"/>
          <w:sz w:val="24"/>
        </w:rPr>
      </w:pPr>
      <w:r>
        <w:rPr>
          <w:rFonts w:hint="eastAsia" w:ascii="宋体" w:hAnsi="宋体" w:cs="仿宋"/>
          <w:sz w:val="24"/>
        </w:rPr>
        <w:t>　　　　　　　　　　　　　　　　　　国家发展和改革委员会　财政部</w:t>
      </w:r>
    </w:p>
    <w:p w14:paraId="1CE26A20">
      <w:pPr>
        <w:spacing w:line="360" w:lineRule="auto"/>
        <w:ind w:firstLine="360" w:firstLineChars="150"/>
        <w:rPr>
          <w:rFonts w:ascii="宋体" w:hAnsi="宋体" w:cs="仿宋"/>
          <w:sz w:val="24"/>
        </w:rPr>
      </w:pPr>
      <w:r>
        <w:rPr>
          <w:rFonts w:hint="eastAsia" w:ascii="宋体" w:hAnsi="宋体" w:cs="仿宋"/>
          <w:sz w:val="24"/>
        </w:rPr>
        <w:t>　　　　　　　　　　　　　　　　　　　　　二〇一一年六月十八日</w:t>
      </w:r>
    </w:p>
    <w:p w14:paraId="350DFE2E">
      <w:pPr>
        <w:spacing w:line="360" w:lineRule="auto"/>
        <w:ind w:firstLine="360" w:firstLineChars="150"/>
        <w:rPr>
          <w:rFonts w:ascii="宋体" w:hAnsi="宋体" w:cs="仿宋"/>
          <w:sz w:val="24"/>
        </w:rPr>
      </w:pPr>
    </w:p>
    <w:p w14:paraId="74DCF928">
      <w:pPr>
        <w:spacing w:line="360" w:lineRule="auto"/>
        <w:jc w:val="center"/>
        <w:rPr>
          <w:rFonts w:ascii="宋体" w:hAnsi="宋体" w:cs="仿宋"/>
          <w:sz w:val="24"/>
        </w:rPr>
      </w:pPr>
      <w:r>
        <w:rPr>
          <w:rFonts w:hint="eastAsia" w:ascii="宋体" w:hAnsi="宋体" w:cs="仿宋"/>
          <w:sz w:val="24"/>
        </w:rPr>
        <w:t>中小企业划型标准规定</w:t>
      </w:r>
    </w:p>
    <w:p w14:paraId="5C4F7A8D">
      <w:pPr>
        <w:spacing w:line="360" w:lineRule="auto"/>
        <w:ind w:firstLine="360" w:firstLineChars="150"/>
        <w:rPr>
          <w:rFonts w:ascii="宋体" w:hAnsi="宋体" w:cs="仿宋"/>
          <w:sz w:val="24"/>
        </w:rPr>
      </w:pPr>
      <w:r>
        <w:rPr>
          <w:rFonts w:hint="eastAsia" w:ascii="宋体" w:hAnsi="宋体" w:cs="仿宋"/>
          <w:sz w:val="24"/>
        </w:rPr>
        <w:t>　一、根据《中华人民共和国中小企业促进法》和《国务院关于进一步促进中小企业发展的若干意见》(国发〔2009〕36号)，制定本规定。</w:t>
      </w:r>
    </w:p>
    <w:p w14:paraId="701D5959">
      <w:pPr>
        <w:spacing w:line="360" w:lineRule="auto"/>
        <w:ind w:firstLine="360" w:firstLineChars="150"/>
        <w:rPr>
          <w:rFonts w:ascii="宋体" w:hAnsi="宋体" w:cs="仿宋"/>
          <w:sz w:val="24"/>
        </w:rPr>
      </w:pPr>
      <w:r>
        <w:rPr>
          <w:rFonts w:hint="eastAsia" w:ascii="宋体" w:hAnsi="宋体" w:cs="仿宋"/>
          <w:sz w:val="24"/>
        </w:rPr>
        <w:t>　二、中小企业划分为中型、小型、微型三种类型，具体标准根据企业从业人员、营业收入、资产总额等指标，结合行业特点制定。</w:t>
      </w:r>
    </w:p>
    <w:p w14:paraId="30F99B47">
      <w:pPr>
        <w:spacing w:line="360" w:lineRule="auto"/>
        <w:ind w:firstLine="360" w:firstLineChars="150"/>
        <w:rPr>
          <w:rFonts w:ascii="宋体" w:hAnsi="宋体" w:cs="仿宋"/>
          <w:sz w:val="24"/>
        </w:rPr>
      </w:pPr>
      <w:r>
        <w:rPr>
          <w:rFonts w:hint="eastAsia" w:ascii="宋体" w:hAnsi="宋体" w:cs="仿宋"/>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2C6B4A7">
      <w:pPr>
        <w:spacing w:line="360" w:lineRule="auto"/>
        <w:ind w:firstLine="360" w:firstLineChars="150"/>
        <w:rPr>
          <w:rFonts w:ascii="宋体" w:hAnsi="宋体" w:cs="仿宋"/>
          <w:sz w:val="24"/>
        </w:rPr>
      </w:pPr>
      <w:r>
        <w:rPr>
          <w:rFonts w:hint="eastAsia" w:ascii="宋体" w:hAnsi="宋体" w:cs="仿宋"/>
          <w:sz w:val="24"/>
        </w:rPr>
        <w:t>　四、各行业划型标准为：</w:t>
      </w:r>
    </w:p>
    <w:p w14:paraId="4C0D5DE8">
      <w:pPr>
        <w:spacing w:line="360" w:lineRule="auto"/>
        <w:ind w:firstLine="360" w:firstLineChars="150"/>
        <w:rPr>
          <w:rFonts w:ascii="宋体" w:hAnsi="宋体" w:cs="仿宋"/>
          <w:sz w:val="24"/>
        </w:rPr>
      </w:pPr>
      <w:r>
        <w:rPr>
          <w:rFonts w:hint="eastAsia" w:ascii="宋体" w:hAnsi="宋体" w:cs="仿宋"/>
          <w:sz w:val="24"/>
        </w:rPr>
        <w:t>（一）农、林、牧、渔业。营业收入20000万元以下的为中小微型企业。其中，营业收入500万元及以上的为中型企业，营业收入50万元及以上的为小型企业，营业收入50万元以下的为微型企业。</w:t>
      </w:r>
    </w:p>
    <w:p w14:paraId="37D87535">
      <w:pPr>
        <w:spacing w:line="360" w:lineRule="auto"/>
        <w:ind w:firstLine="360" w:firstLineChars="150"/>
        <w:rPr>
          <w:rFonts w:ascii="宋体" w:hAnsi="宋体" w:cs="仿宋"/>
          <w:sz w:val="24"/>
        </w:rPr>
      </w:pPr>
      <w:r>
        <w:rPr>
          <w:rFonts w:hint="eastAsia" w:ascii="宋体" w:hAnsi="宋体" w:cs="仿宋"/>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61549A0">
      <w:pPr>
        <w:spacing w:line="360" w:lineRule="auto"/>
        <w:ind w:firstLine="360" w:firstLineChars="150"/>
        <w:rPr>
          <w:rFonts w:ascii="宋体" w:hAnsi="宋体" w:cs="仿宋"/>
          <w:sz w:val="24"/>
        </w:rPr>
      </w:pPr>
      <w:r>
        <w:rPr>
          <w:rFonts w:hint="eastAsia" w:ascii="宋体" w:hAnsi="宋体" w:cs="仿宋"/>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B62AA8">
      <w:pPr>
        <w:spacing w:line="360" w:lineRule="auto"/>
        <w:ind w:firstLine="360" w:firstLineChars="150"/>
        <w:rPr>
          <w:rFonts w:ascii="宋体" w:hAnsi="宋体" w:cs="仿宋"/>
          <w:sz w:val="24"/>
        </w:rPr>
      </w:pPr>
      <w:r>
        <w:rPr>
          <w:rFonts w:hint="eastAsia" w:ascii="宋体" w:hAnsi="宋体" w:cs="仿宋"/>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C8F5D53">
      <w:pPr>
        <w:spacing w:line="360" w:lineRule="auto"/>
        <w:ind w:firstLine="360" w:firstLineChars="150"/>
        <w:rPr>
          <w:rFonts w:ascii="宋体" w:hAnsi="宋体" w:cs="仿宋"/>
          <w:sz w:val="24"/>
        </w:rPr>
      </w:pPr>
      <w:r>
        <w:rPr>
          <w:rFonts w:hint="eastAsia" w:ascii="宋体" w:hAnsi="宋体" w:cs="仿宋"/>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2FC2162">
      <w:pPr>
        <w:spacing w:line="360" w:lineRule="auto"/>
        <w:ind w:firstLine="360" w:firstLineChars="150"/>
        <w:rPr>
          <w:rFonts w:ascii="宋体" w:hAnsi="宋体" w:cs="仿宋"/>
          <w:sz w:val="24"/>
        </w:rPr>
      </w:pPr>
      <w:r>
        <w:rPr>
          <w:rFonts w:hint="eastAsia" w:ascii="宋体" w:hAnsi="宋体" w:cs="仿宋"/>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99531E">
      <w:pPr>
        <w:spacing w:line="360" w:lineRule="auto"/>
        <w:ind w:firstLine="360" w:firstLineChars="150"/>
        <w:rPr>
          <w:rFonts w:ascii="宋体" w:hAnsi="宋体" w:cs="仿宋"/>
          <w:sz w:val="24"/>
        </w:rPr>
      </w:pPr>
      <w:r>
        <w:rPr>
          <w:rFonts w:hint="eastAsia" w:ascii="宋体" w:hAnsi="宋体" w:cs="仿宋"/>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E166751">
      <w:pPr>
        <w:spacing w:line="360" w:lineRule="auto"/>
        <w:ind w:firstLine="360" w:firstLineChars="150"/>
        <w:rPr>
          <w:rFonts w:ascii="宋体" w:hAnsi="宋体" w:cs="仿宋"/>
          <w:sz w:val="24"/>
        </w:rPr>
      </w:pPr>
      <w:r>
        <w:rPr>
          <w:rFonts w:hint="eastAsia" w:ascii="宋体" w:hAnsi="宋体" w:cs="仿宋"/>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C86487E">
      <w:pPr>
        <w:spacing w:line="360" w:lineRule="auto"/>
        <w:ind w:firstLine="360" w:firstLineChars="150"/>
        <w:rPr>
          <w:rFonts w:ascii="宋体" w:hAnsi="宋体" w:cs="仿宋"/>
          <w:sz w:val="24"/>
        </w:rPr>
      </w:pPr>
      <w:r>
        <w:rPr>
          <w:rFonts w:hint="eastAsia" w:ascii="宋体" w:hAnsi="宋体" w:cs="仿宋"/>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980136">
      <w:pPr>
        <w:spacing w:line="360" w:lineRule="auto"/>
        <w:ind w:firstLine="360" w:firstLineChars="150"/>
        <w:rPr>
          <w:rFonts w:ascii="宋体" w:hAnsi="宋体" w:cs="仿宋"/>
          <w:sz w:val="24"/>
        </w:rPr>
      </w:pPr>
      <w:r>
        <w:rPr>
          <w:rFonts w:hint="eastAsia" w:ascii="宋体" w:hAnsi="宋体" w:cs="仿宋"/>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733CA0">
      <w:pPr>
        <w:spacing w:line="360" w:lineRule="auto"/>
        <w:ind w:firstLine="360" w:firstLineChars="150"/>
        <w:rPr>
          <w:rFonts w:ascii="宋体" w:hAnsi="宋体" w:cs="仿宋"/>
          <w:sz w:val="24"/>
        </w:rPr>
      </w:pPr>
      <w:r>
        <w:rPr>
          <w:rFonts w:hint="eastAsia" w:ascii="宋体" w:hAnsi="宋体" w:cs="仿宋"/>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FE98EF4">
      <w:pPr>
        <w:spacing w:line="360" w:lineRule="auto"/>
        <w:ind w:firstLine="360" w:firstLineChars="150"/>
        <w:rPr>
          <w:rFonts w:ascii="宋体" w:hAnsi="宋体" w:cs="仿宋"/>
          <w:sz w:val="24"/>
        </w:rPr>
      </w:pPr>
      <w:r>
        <w:rPr>
          <w:rFonts w:hint="eastAsia" w:ascii="宋体" w:hAnsi="宋体" w:cs="仿宋"/>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E1E15C2">
      <w:pPr>
        <w:spacing w:line="360" w:lineRule="auto"/>
        <w:ind w:firstLine="360" w:firstLineChars="150"/>
        <w:rPr>
          <w:rFonts w:ascii="宋体" w:hAnsi="宋体" w:cs="仿宋"/>
          <w:sz w:val="24"/>
        </w:rPr>
      </w:pPr>
      <w:r>
        <w:rPr>
          <w:rFonts w:hint="eastAsia" w:ascii="宋体" w:hAnsi="宋体" w:cs="仿宋"/>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3359BA0">
      <w:pPr>
        <w:spacing w:line="360" w:lineRule="auto"/>
        <w:ind w:firstLine="360" w:firstLineChars="150"/>
        <w:rPr>
          <w:rFonts w:ascii="宋体" w:hAnsi="宋体" w:cs="仿宋"/>
          <w:sz w:val="24"/>
        </w:rPr>
      </w:pPr>
      <w:r>
        <w:rPr>
          <w:rFonts w:hint="eastAsia" w:ascii="宋体" w:hAnsi="宋体" w:cs="仿宋"/>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AA03565">
      <w:pPr>
        <w:spacing w:line="360" w:lineRule="auto"/>
        <w:ind w:firstLine="360" w:firstLineChars="150"/>
        <w:rPr>
          <w:rFonts w:ascii="宋体" w:hAnsi="宋体" w:cs="仿宋"/>
          <w:sz w:val="24"/>
        </w:rPr>
      </w:pPr>
      <w:r>
        <w:rPr>
          <w:rFonts w:hint="eastAsia" w:ascii="宋体" w:hAnsi="宋体" w:cs="仿宋"/>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F2D4FAA">
      <w:pPr>
        <w:spacing w:line="360" w:lineRule="auto"/>
        <w:ind w:firstLine="360" w:firstLineChars="150"/>
        <w:rPr>
          <w:rFonts w:ascii="宋体" w:hAnsi="宋体" w:cs="仿宋"/>
          <w:sz w:val="24"/>
        </w:rPr>
      </w:pPr>
      <w:r>
        <w:rPr>
          <w:rFonts w:hint="eastAsia" w:ascii="宋体" w:hAnsi="宋体" w:cs="仿宋"/>
          <w:sz w:val="24"/>
        </w:rPr>
        <w:t>（十六）其他未列明行业。从业人员300人以下的为中小微型企业。其中，从业人员100人及以上的为中型企业；从业人员10人及以上的为小型企业；从业人员10人以下的为微型企业。</w:t>
      </w:r>
    </w:p>
    <w:p w14:paraId="2855FCC8">
      <w:pPr>
        <w:spacing w:line="360" w:lineRule="auto"/>
        <w:ind w:firstLine="360" w:firstLineChars="150"/>
        <w:rPr>
          <w:rFonts w:ascii="宋体" w:hAnsi="宋体" w:cs="仿宋"/>
          <w:sz w:val="24"/>
        </w:rPr>
      </w:pPr>
      <w:r>
        <w:rPr>
          <w:rFonts w:hint="eastAsia" w:ascii="宋体" w:hAnsi="宋体" w:cs="仿宋"/>
          <w:sz w:val="24"/>
        </w:rPr>
        <w:t>五、企业类型的划分以统计部门的统计数据为依据。</w:t>
      </w:r>
    </w:p>
    <w:p w14:paraId="05CF5E33">
      <w:pPr>
        <w:spacing w:line="360" w:lineRule="auto"/>
        <w:ind w:firstLine="360" w:firstLineChars="150"/>
        <w:rPr>
          <w:rFonts w:ascii="宋体" w:hAnsi="宋体" w:cs="仿宋"/>
          <w:sz w:val="24"/>
        </w:rPr>
      </w:pPr>
      <w:r>
        <w:rPr>
          <w:rFonts w:hint="eastAsia" w:ascii="宋体" w:hAnsi="宋体" w:cs="仿宋"/>
          <w:sz w:val="24"/>
        </w:rPr>
        <w:t>六、本规定适用于在中华人民共和国境内依法设立的各类所有制和各种组织形式的企业。个体工商户和本规定以外的行业，参照本规定进行划型。</w:t>
      </w:r>
    </w:p>
    <w:p w14:paraId="7F5D8053">
      <w:pPr>
        <w:spacing w:line="360" w:lineRule="auto"/>
        <w:ind w:firstLine="360" w:firstLineChars="150"/>
        <w:rPr>
          <w:rFonts w:ascii="宋体" w:hAnsi="宋体" w:cs="仿宋"/>
          <w:sz w:val="24"/>
        </w:rPr>
      </w:pPr>
      <w:r>
        <w:rPr>
          <w:rFonts w:hint="eastAsia" w:ascii="宋体" w:hAnsi="宋体" w:cs="仿宋"/>
          <w:sz w:val="24"/>
        </w:rPr>
        <w:t>七、本规定的中型企业标准上限即为大型企业标准的下限，国家统计部门据此制定大中小微型企业的统计分类。国务院有关部门据此进行相关数据分析，不得制定与本规定不一致的企业划型标准。</w:t>
      </w:r>
    </w:p>
    <w:p w14:paraId="4110DA07">
      <w:pPr>
        <w:spacing w:line="360" w:lineRule="auto"/>
        <w:ind w:firstLine="360" w:firstLineChars="150"/>
        <w:rPr>
          <w:rFonts w:ascii="宋体" w:hAnsi="宋体" w:cs="仿宋"/>
          <w:sz w:val="24"/>
        </w:rPr>
      </w:pPr>
      <w:r>
        <w:rPr>
          <w:rFonts w:hint="eastAsia" w:ascii="宋体" w:hAnsi="宋体" w:cs="仿宋"/>
          <w:sz w:val="24"/>
        </w:rPr>
        <w:t>八、本规定由工业和信息化部、国家统计局会同有关部门根据《国民经济行业分类》修订情况和企业发展变化情况适时修订。</w:t>
      </w:r>
    </w:p>
    <w:p w14:paraId="3E890B58">
      <w:pPr>
        <w:spacing w:line="360" w:lineRule="auto"/>
        <w:ind w:firstLine="360" w:firstLineChars="150"/>
        <w:rPr>
          <w:rFonts w:ascii="宋体" w:hAnsi="宋体" w:cs="仿宋"/>
          <w:sz w:val="24"/>
        </w:rPr>
      </w:pPr>
      <w:r>
        <w:rPr>
          <w:rFonts w:hint="eastAsia" w:ascii="宋体" w:hAnsi="宋体" w:cs="仿宋"/>
          <w:sz w:val="24"/>
        </w:rPr>
        <w:t>九、本规定由工业和信息化部、国家统计局会同有关部门负责解释。</w:t>
      </w:r>
    </w:p>
    <w:p w14:paraId="2A850FC7">
      <w:pPr>
        <w:spacing w:line="360" w:lineRule="auto"/>
        <w:ind w:firstLine="360" w:firstLineChars="150"/>
        <w:rPr>
          <w:rFonts w:ascii="宋体" w:hAnsi="宋体" w:cs="仿宋"/>
          <w:sz w:val="24"/>
        </w:rPr>
      </w:pPr>
      <w:r>
        <w:rPr>
          <w:rFonts w:hint="eastAsia" w:ascii="宋体" w:hAnsi="宋体" w:cs="仿宋"/>
          <w:sz w:val="24"/>
        </w:rPr>
        <w:t>十、本规定自发布之日起执行，原国家经贸委、原国家计委、财政部和国家统计局2003年颁布的《中小企业标准暂行规定》同时废止。</w:t>
      </w:r>
    </w:p>
    <w:p w14:paraId="4DBB12D8">
      <w:pPr>
        <w:pStyle w:val="11"/>
        <w:rPr>
          <w:rFonts w:hAnsi="宋体" w:cs="仿宋"/>
          <w:color w:val="auto"/>
        </w:rPr>
      </w:pPr>
    </w:p>
    <w:p w14:paraId="1CCEC23C">
      <w:pPr>
        <w:pStyle w:val="11"/>
        <w:rPr>
          <w:rFonts w:hAnsi="宋体" w:cs="仿宋"/>
          <w:color w:val="auto"/>
        </w:rPr>
      </w:pPr>
    </w:p>
    <w:p w14:paraId="42FE4280">
      <w:pPr>
        <w:pStyle w:val="11"/>
        <w:rPr>
          <w:rFonts w:hAnsi="宋体" w:cs="仿宋"/>
          <w:color w:val="auto"/>
        </w:rPr>
      </w:pPr>
    </w:p>
    <w:p w14:paraId="2F4A0603">
      <w:pPr>
        <w:pStyle w:val="11"/>
        <w:rPr>
          <w:rFonts w:hAnsi="宋体" w:cs="仿宋"/>
          <w:color w:val="auto"/>
        </w:rPr>
      </w:pPr>
    </w:p>
    <w:p w14:paraId="45D56EF1">
      <w:pPr>
        <w:pStyle w:val="11"/>
        <w:rPr>
          <w:rFonts w:hAnsi="宋体" w:cs="仿宋"/>
          <w:color w:val="auto"/>
        </w:rPr>
      </w:pPr>
    </w:p>
    <w:p w14:paraId="280DE2D4">
      <w:pPr>
        <w:pStyle w:val="11"/>
        <w:rPr>
          <w:rFonts w:hAnsi="宋体" w:cs="仿宋"/>
          <w:color w:val="auto"/>
        </w:rPr>
      </w:pPr>
    </w:p>
    <w:p w14:paraId="37C3993C">
      <w:pPr>
        <w:pStyle w:val="11"/>
        <w:rPr>
          <w:rFonts w:hAnsi="宋体" w:cs="仿宋"/>
          <w:color w:val="auto"/>
        </w:rPr>
      </w:pPr>
    </w:p>
    <w:p w14:paraId="65DA71CE">
      <w:pPr>
        <w:pStyle w:val="11"/>
        <w:rPr>
          <w:rFonts w:hAnsi="宋体" w:cs="仿宋"/>
          <w:color w:val="auto"/>
        </w:rPr>
      </w:pPr>
    </w:p>
    <w:p w14:paraId="084CD1F8">
      <w:pPr>
        <w:pStyle w:val="11"/>
        <w:rPr>
          <w:rFonts w:hAnsi="宋体" w:cs="仿宋"/>
          <w:color w:val="auto"/>
        </w:rPr>
      </w:pPr>
    </w:p>
    <w:p w14:paraId="061FBA50">
      <w:pPr>
        <w:pStyle w:val="11"/>
        <w:rPr>
          <w:rFonts w:hAnsi="宋体" w:cs="仿宋"/>
          <w:color w:val="auto"/>
        </w:rPr>
      </w:pPr>
    </w:p>
    <w:p w14:paraId="0A3B50C7">
      <w:pPr>
        <w:pStyle w:val="11"/>
        <w:rPr>
          <w:rFonts w:hAnsi="宋体" w:cs="仿宋"/>
          <w:color w:val="auto"/>
        </w:rPr>
      </w:pPr>
    </w:p>
    <w:p w14:paraId="2096A13C">
      <w:pPr>
        <w:pStyle w:val="11"/>
        <w:rPr>
          <w:rFonts w:hAnsi="宋体" w:cs="仿宋"/>
          <w:color w:val="auto"/>
        </w:rPr>
      </w:pPr>
    </w:p>
    <w:p w14:paraId="4DB44473">
      <w:pPr>
        <w:pStyle w:val="11"/>
        <w:rPr>
          <w:rFonts w:hAnsi="宋体" w:cs="仿宋"/>
          <w:color w:val="auto"/>
        </w:rPr>
      </w:pPr>
    </w:p>
    <w:p w14:paraId="17B2DED3">
      <w:pPr>
        <w:pStyle w:val="11"/>
        <w:rPr>
          <w:rFonts w:hAnsi="宋体" w:cs="仿宋"/>
          <w:color w:val="auto"/>
        </w:rPr>
      </w:pPr>
    </w:p>
    <w:p w14:paraId="441AFF79">
      <w:pPr>
        <w:pStyle w:val="11"/>
        <w:rPr>
          <w:rFonts w:hAnsi="宋体" w:cs="仿宋"/>
          <w:color w:val="auto"/>
        </w:rPr>
      </w:pPr>
    </w:p>
    <w:p w14:paraId="5AC78EFC">
      <w:pPr>
        <w:pStyle w:val="11"/>
        <w:rPr>
          <w:rFonts w:hAnsi="宋体" w:cs="仿宋"/>
          <w:color w:val="auto"/>
        </w:rPr>
      </w:pPr>
    </w:p>
    <w:p w14:paraId="34C54512">
      <w:pPr>
        <w:pStyle w:val="11"/>
        <w:rPr>
          <w:rFonts w:hAnsi="宋体" w:cs="仿宋"/>
          <w:color w:val="auto"/>
        </w:rPr>
      </w:pPr>
    </w:p>
    <w:p w14:paraId="0EF7901E">
      <w:pPr>
        <w:pStyle w:val="11"/>
        <w:rPr>
          <w:rFonts w:hAnsi="宋体" w:cs="仿宋"/>
          <w:color w:val="auto"/>
        </w:rPr>
      </w:pPr>
    </w:p>
    <w:p w14:paraId="4A609ACD">
      <w:pPr>
        <w:pStyle w:val="11"/>
        <w:rPr>
          <w:rFonts w:hAnsi="宋体" w:cs="仿宋"/>
          <w:color w:val="auto"/>
        </w:rPr>
      </w:pPr>
    </w:p>
    <w:p w14:paraId="771F8462">
      <w:pPr>
        <w:pStyle w:val="11"/>
        <w:rPr>
          <w:rFonts w:hAnsi="宋体" w:cs="仿宋"/>
          <w:color w:val="auto"/>
        </w:rPr>
      </w:pPr>
    </w:p>
    <w:p w14:paraId="0F26A29C">
      <w:pPr>
        <w:pStyle w:val="11"/>
        <w:rPr>
          <w:rFonts w:hAnsi="宋体" w:cs="仿宋"/>
          <w:color w:val="auto"/>
        </w:rPr>
      </w:pPr>
    </w:p>
    <w:p w14:paraId="1EE26096">
      <w:pPr>
        <w:widowControl/>
        <w:jc w:val="left"/>
        <w:rPr>
          <w:rFonts w:ascii="宋体" w:hAnsi="宋体" w:cs="仿宋"/>
          <w:kern w:val="0"/>
          <w:sz w:val="24"/>
        </w:rPr>
      </w:pPr>
      <w:bookmarkStart w:id="57" w:name="_bookmark11"/>
      <w:bookmarkEnd w:id="57"/>
      <w:bookmarkStart w:id="58" w:name="_Toc11551"/>
      <w:bookmarkStart w:id="59" w:name="_Toc9793"/>
      <w:bookmarkStart w:id="60" w:name="_Toc25813"/>
      <w:r>
        <w:rPr>
          <w:rFonts w:cs="仿宋"/>
          <w:b/>
          <w:bCs/>
          <w:sz w:val="24"/>
        </w:rPr>
        <w:br w:type="page"/>
      </w:r>
    </w:p>
    <w:p w14:paraId="1A68813D">
      <w:pPr>
        <w:pStyle w:val="3"/>
        <w:tabs>
          <w:tab w:val="left" w:pos="1284"/>
        </w:tabs>
        <w:spacing w:before="54" w:line="360" w:lineRule="auto"/>
        <w:rPr>
          <w:rFonts w:cs="仿宋"/>
        </w:rPr>
      </w:pPr>
      <w:bookmarkStart w:id="61" w:name="_Toc202949960"/>
      <w:r>
        <w:rPr>
          <w:rFonts w:hint="eastAsia" w:cs="仿宋"/>
          <w:lang w:val="en-US"/>
        </w:rPr>
        <w:t xml:space="preserve">第三章 </w:t>
      </w:r>
      <w:r>
        <w:rPr>
          <w:rFonts w:hint="eastAsia" w:cs="仿宋"/>
        </w:rPr>
        <w:t>评标办法</w:t>
      </w:r>
      <w:bookmarkEnd w:id="58"/>
      <w:bookmarkEnd w:id="59"/>
      <w:bookmarkEnd w:id="60"/>
      <w:bookmarkEnd w:id="61"/>
    </w:p>
    <w:p w14:paraId="3632C545">
      <w:pPr>
        <w:spacing w:line="360" w:lineRule="auto"/>
        <w:ind w:right="16"/>
        <w:jc w:val="center"/>
        <w:rPr>
          <w:rFonts w:ascii="宋体" w:hAnsi="宋体" w:cs="仿宋"/>
          <w:b/>
          <w:sz w:val="24"/>
        </w:rPr>
      </w:pPr>
      <w:r>
        <w:rPr>
          <w:rFonts w:hint="eastAsia" w:ascii="宋体" w:hAnsi="宋体" w:cs="仿宋"/>
          <w:b/>
          <w:sz w:val="24"/>
        </w:rPr>
        <w:t>评标办法前附表</w:t>
      </w:r>
    </w:p>
    <w:p w14:paraId="54C6C62D">
      <w:pPr>
        <w:pStyle w:val="25"/>
        <w:spacing w:line="360" w:lineRule="auto"/>
        <w:ind w:firstLine="482" w:firstLineChars="200"/>
        <w:rPr>
          <w:rFonts w:ascii="宋体" w:hAnsi="宋体" w:cs="仿宋"/>
          <w:b/>
          <w:bCs/>
          <w:sz w:val="24"/>
          <w:szCs w:val="24"/>
          <w:lang w:val="en-US"/>
        </w:rPr>
      </w:pPr>
      <w:r>
        <w:rPr>
          <w:rFonts w:hint="eastAsia" w:ascii="宋体" w:hAnsi="宋体" w:cs="仿宋"/>
          <w:b/>
          <w:bCs/>
          <w:sz w:val="24"/>
          <w:szCs w:val="24"/>
          <w:lang w:val="en-US"/>
        </w:rPr>
        <w:t>初步评审</w:t>
      </w:r>
    </w:p>
    <w:tbl>
      <w:tblPr>
        <w:tblStyle w:val="27"/>
        <w:tblW w:w="9209" w:type="dxa"/>
        <w:jc w:val="center"/>
        <w:tblLayout w:type="fixed"/>
        <w:tblCellMar>
          <w:top w:w="0" w:type="dxa"/>
          <w:left w:w="108" w:type="dxa"/>
          <w:bottom w:w="0" w:type="dxa"/>
          <w:right w:w="108" w:type="dxa"/>
        </w:tblCellMar>
      </w:tblPr>
      <w:tblGrid>
        <w:gridCol w:w="957"/>
        <w:gridCol w:w="1304"/>
        <w:gridCol w:w="2203"/>
        <w:gridCol w:w="4745"/>
      </w:tblGrid>
      <w:tr w14:paraId="396CE923">
        <w:tblPrEx>
          <w:tblCellMar>
            <w:top w:w="0" w:type="dxa"/>
            <w:left w:w="108" w:type="dxa"/>
            <w:bottom w:w="0" w:type="dxa"/>
            <w:right w:w="108" w:type="dxa"/>
          </w:tblCellMar>
        </w:tblPrEx>
        <w:trPr>
          <w:trHeight w:val="543" w:hRule="atLeast"/>
          <w:jc w:val="center"/>
        </w:trPr>
        <w:tc>
          <w:tcPr>
            <w:tcW w:w="2261" w:type="dxa"/>
            <w:gridSpan w:val="2"/>
            <w:tcBorders>
              <w:top w:val="single" w:color="auto" w:sz="4" w:space="0"/>
              <w:left w:val="single" w:color="auto" w:sz="4" w:space="0"/>
              <w:bottom w:val="single" w:color="auto" w:sz="4" w:space="0"/>
              <w:right w:val="single" w:color="auto" w:sz="4" w:space="0"/>
            </w:tcBorders>
            <w:vAlign w:val="center"/>
          </w:tcPr>
          <w:p w14:paraId="68AD8B94">
            <w:pPr>
              <w:adjustRightInd w:val="0"/>
              <w:snapToGrid w:val="0"/>
              <w:spacing w:line="360" w:lineRule="auto"/>
              <w:jc w:val="center"/>
              <w:textAlignment w:val="baseline"/>
              <w:rPr>
                <w:rFonts w:ascii="宋体" w:hAnsi="宋体" w:cs="仿宋"/>
                <w:b/>
                <w:spacing w:val="20"/>
                <w:sz w:val="24"/>
              </w:rPr>
            </w:pPr>
            <w:r>
              <w:rPr>
                <w:rFonts w:hint="eastAsia" w:ascii="宋体" w:hAnsi="宋体" w:cs="仿宋"/>
                <w:b/>
                <w:spacing w:val="20"/>
                <w:sz w:val="24"/>
              </w:rPr>
              <w:t>条款号</w:t>
            </w:r>
          </w:p>
        </w:tc>
        <w:tc>
          <w:tcPr>
            <w:tcW w:w="2203" w:type="dxa"/>
            <w:tcBorders>
              <w:top w:val="single" w:color="auto" w:sz="4" w:space="0"/>
              <w:left w:val="single" w:color="auto" w:sz="4" w:space="0"/>
              <w:bottom w:val="single" w:color="auto" w:sz="4" w:space="0"/>
              <w:right w:val="single" w:color="auto" w:sz="4" w:space="0"/>
            </w:tcBorders>
            <w:vAlign w:val="center"/>
          </w:tcPr>
          <w:p w14:paraId="64D0A7CC">
            <w:pPr>
              <w:adjustRightInd w:val="0"/>
              <w:snapToGrid w:val="0"/>
              <w:spacing w:line="360" w:lineRule="auto"/>
              <w:jc w:val="center"/>
              <w:textAlignment w:val="baseline"/>
              <w:rPr>
                <w:rFonts w:ascii="宋体" w:hAnsi="宋体" w:cs="仿宋"/>
                <w:b/>
                <w:spacing w:val="20"/>
                <w:sz w:val="24"/>
              </w:rPr>
            </w:pPr>
            <w:r>
              <w:rPr>
                <w:rFonts w:hint="eastAsia" w:ascii="宋体" w:hAnsi="宋体" w:cs="仿宋"/>
                <w:b/>
                <w:spacing w:val="20"/>
                <w:sz w:val="24"/>
              </w:rPr>
              <w:t>评审因素</w:t>
            </w:r>
          </w:p>
        </w:tc>
        <w:tc>
          <w:tcPr>
            <w:tcW w:w="4745" w:type="dxa"/>
            <w:tcBorders>
              <w:top w:val="single" w:color="auto" w:sz="4" w:space="0"/>
              <w:left w:val="single" w:color="auto" w:sz="4" w:space="0"/>
              <w:bottom w:val="single" w:color="auto" w:sz="4" w:space="0"/>
              <w:right w:val="single" w:color="auto" w:sz="4" w:space="0"/>
            </w:tcBorders>
            <w:vAlign w:val="center"/>
          </w:tcPr>
          <w:p w14:paraId="33C220B1">
            <w:pPr>
              <w:adjustRightInd w:val="0"/>
              <w:snapToGrid w:val="0"/>
              <w:spacing w:line="360" w:lineRule="auto"/>
              <w:jc w:val="center"/>
              <w:textAlignment w:val="baseline"/>
              <w:rPr>
                <w:rFonts w:ascii="宋体" w:hAnsi="宋体" w:cs="仿宋"/>
                <w:b/>
                <w:spacing w:val="20"/>
                <w:sz w:val="24"/>
              </w:rPr>
            </w:pPr>
            <w:r>
              <w:rPr>
                <w:rFonts w:hint="eastAsia" w:ascii="宋体" w:hAnsi="宋体" w:cs="仿宋"/>
                <w:b/>
                <w:spacing w:val="20"/>
                <w:sz w:val="24"/>
              </w:rPr>
              <w:t>评审标准</w:t>
            </w:r>
          </w:p>
        </w:tc>
      </w:tr>
      <w:tr w14:paraId="76B2A70F">
        <w:tblPrEx>
          <w:tblCellMar>
            <w:top w:w="0" w:type="dxa"/>
            <w:left w:w="108" w:type="dxa"/>
            <w:bottom w:w="0" w:type="dxa"/>
            <w:right w:w="108" w:type="dxa"/>
          </w:tblCellMar>
        </w:tblPrEx>
        <w:trPr>
          <w:trHeight w:val="90" w:hRule="atLeast"/>
          <w:jc w:val="center"/>
        </w:trPr>
        <w:tc>
          <w:tcPr>
            <w:tcW w:w="957" w:type="dxa"/>
            <w:vMerge w:val="restart"/>
            <w:tcBorders>
              <w:top w:val="single" w:color="auto" w:sz="4" w:space="0"/>
              <w:left w:val="single" w:color="auto" w:sz="4" w:space="0"/>
              <w:bottom w:val="single" w:color="auto" w:sz="4" w:space="0"/>
              <w:right w:val="single" w:color="auto" w:sz="4" w:space="0"/>
            </w:tcBorders>
            <w:vAlign w:val="center"/>
          </w:tcPr>
          <w:p w14:paraId="2238BE75">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2.1.1</w:t>
            </w:r>
          </w:p>
        </w:tc>
        <w:tc>
          <w:tcPr>
            <w:tcW w:w="1304" w:type="dxa"/>
            <w:vMerge w:val="restart"/>
            <w:tcBorders>
              <w:top w:val="single" w:color="auto" w:sz="4" w:space="0"/>
              <w:left w:val="single" w:color="auto" w:sz="4" w:space="0"/>
              <w:bottom w:val="single" w:color="auto" w:sz="4" w:space="0"/>
              <w:right w:val="single" w:color="auto" w:sz="4" w:space="0"/>
            </w:tcBorders>
            <w:vAlign w:val="center"/>
          </w:tcPr>
          <w:p w14:paraId="75EF40B4">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资格评</w:t>
            </w:r>
          </w:p>
          <w:p w14:paraId="60FDA1E1">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审标准</w:t>
            </w:r>
          </w:p>
        </w:tc>
        <w:tc>
          <w:tcPr>
            <w:tcW w:w="2203" w:type="dxa"/>
            <w:tcBorders>
              <w:top w:val="single" w:color="auto" w:sz="4" w:space="0"/>
              <w:left w:val="single" w:color="auto" w:sz="4" w:space="0"/>
              <w:bottom w:val="single" w:color="auto" w:sz="4" w:space="0"/>
              <w:right w:val="single" w:color="auto" w:sz="4" w:space="0"/>
            </w:tcBorders>
            <w:vAlign w:val="center"/>
          </w:tcPr>
          <w:p w14:paraId="7D3829FF">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营业执照</w:t>
            </w:r>
          </w:p>
        </w:tc>
        <w:tc>
          <w:tcPr>
            <w:tcW w:w="4745" w:type="dxa"/>
            <w:tcBorders>
              <w:top w:val="single" w:color="auto" w:sz="4" w:space="0"/>
              <w:left w:val="single" w:color="auto" w:sz="4" w:space="0"/>
              <w:bottom w:val="single" w:color="auto" w:sz="4" w:space="0"/>
              <w:right w:val="single" w:color="auto" w:sz="4" w:space="0"/>
            </w:tcBorders>
            <w:vAlign w:val="center"/>
          </w:tcPr>
          <w:p w14:paraId="6EB0261A">
            <w:pPr>
              <w:adjustRightInd w:val="0"/>
              <w:snapToGrid w:val="0"/>
              <w:spacing w:line="360" w:lineRule="auto"/>
              <w:jc w:val="center"/>
              <w:textAlignment w:val="baseline"/>
              <w:rPr>
                <w:rFonts w:ascii="宋体" w:hAnsi="宋体" w:cs="仿宋"/>
                <w:spacing w:val="20"/>
                <w:sz w:val="24"/>
              </w:rPr>
            </w:pPr>
            <w:r>
              <w:rPr>
                <w:rFonts w:hint="eastAsia" w:ascii="宋体" w:hAnsi="宋体" w:cs="仿宋"/>
                <w:bCs/>
                <w:kern w:val="0"/>
                <w:sz w:val="24"/>
              </w:rPr>
              <w:t>有效的营业执照，也可提供电子营业执照</w:t>
            </w:r>
          </w:p>
        </w:tc>
      </w:tr>
      <w:tr w14:paraId="445F6CF9">
        <w:tblPrEx>
          <w:tblCellMar>
            <w:top w:w="0" w:type="dxa"/>
            <w:left w:w="108" w:type="dxa"/>
            <w:bottom w:w="0" w:type="dxa"/>
            <w:right w:w="108" w:type="dxa"/>
          </w:tblCellMar>
        </w:tblPrEx>
        <w:trPr>
          <w:trHeight w:val="90" w:hRule="atLeast"/>
          <w:jc w:val="center"/>
        </w:trPr>
        <w:tc>
          <w:tcPr>
            <w:tcW w:w="957" w:type="dxa"/>
            <w:vMerge w:val="continue"/>
            <w:tcBorders>
              <w:left w:val="single" w:color="auto" w:sz="4" w:space="0"/>
              <w:right w:val="single" w:color="auto" w:sz="4" w:space="0"/>
            </w:tcBorders>
            <w:vAlign w:val="center"/>
          </w:tcPr>
          <w:p w14:paraId="3EBFCEC7">
            <w:pPr>
              <w:adjustRightInd w:val="0"/>
              <w:snapToGrid w:val="0"/>
              <w:spacing w:line="360" w:lineRule="auto"/>
              <w:jc w:val="center"/>
              <w:textAlignment w:val="baseline"/>
              <w:rPr>
                <w:rFonts w:ascii="宋体" w:hAnsi="宋体" w:cs="仿宋"/>
                <w:spacing w:val="20"/>
                <w:sz w:val="24"/>
              </w:rPr>
            </w:pPr>
          </w:p>
        </w:tc>
        <w:tc>
          <w:tcPr>
            <w:tcW w:w="1304" w:type="dxa"/>
            <w:vMerge w:val="continue"/>
            <w:tcBorders>
              <w:left w:val="single" w:color="auto" w:sz="4" w:space="0"/>
              <w:right w:val="single" w:color="auto" w:sz="4" w:space="0"/>
            </w:tcBorders>
            <w:vAlign w:val="center"/>
          </w:tcPr>
          <w:p w14:paraId="5F6C8A86">
            <w:pPr>
              <w:adjustRightInd w:val="0"/>
              <w:snapToGrid w:val="0"/>
              <w:spacing w:line="360" w:lineRule="auto"/>
              <w:jc w:val="center"/>
              <w:textAlignment w:val="baseline"/>
              <w:rPr>
                <w:rFonts w:ascii="宋体" w:hAnsi="宋体" w:cs="仿宋"/>
                <w:spacing w:val="20"/>
                <w:sz w:val="24"/>
              </w:rPr>
            </w:pPr>
          </w:p>
        </w:tc>
        <w:tc>
          <w:tcPr>
            <w:tcW w:w="2203" w:type="dxa"/>
            <w:tcBorders>
              <w:top w:val="single" w:color="auto" w:sz="4" w:space="0"/>
              <w:left w:val="single" w:color="auto" w:sz="4" w:space="0"/>
              <w:bottom w:val="single" w:color="auto" w:sz="4" w:space="0"/>
              <w:right w:val="single" w:color="auto" w:sz="4" w:space="0"/>
            </w:tcBorders>
            <w:vAlign w:val="center"/>
          </w:tcPr>
          <w:p w14:paraId="620B158A">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信用查询</w:t>
            </w:r>
          </w:p>
        </w:tc>
        <w:tc>
          <w:tcPr>
            <w:tcW w:w="4745" w:type="dxa"/>
            <w:tcBorders>
              <w:top w:val="single" w:color="auto" w:sz="4" w:space="0"/>
              <w:left w:val="single" w:color="auto" w:sz="4" w:space="0"/>
              <w:bottom w:val="single" w:color="auto" w:sz="4" w:space="0"/>
              <w:right w:val="single" w:color="auto" w:sz="4" w:space="0"/>
            </w:tcBorders>
            <w:vAlign w:val="center"/>
          </w:tcPr>
          <w:p w14:paraId="5E462752">
            <w:pPr>
              <w:pStyle w:val="13"/>
              <w:spacing w:line="360" w:lineRule="auto"/>
              <w:ind w:left="0" w:leftChars="0" w:firstLine="0" w:firstLineChars="0"/>
              <w:jc w:val="center"/>
              <w:rPr>
                <w:rFonts w:cs="仿宋"/>
                <w:bCs/>
                <w:sz w:val="24"/>
              </w:rPr>
            </w:pPr>
            <w:r>
              <w:rPr>
                <w:rFonts w:hint="eastAsia" w:cs="仿宋"/>
                <w:spacing w:val="20"/>
                <w:sz w:val="24"/>
              </w:rPr>
              <w:t>符合第二章“投标人须知前附表”中投标人资格要求</w:t>
            </w:r>
          </w:p>
        </w:tc>
      </w:tr>
      <w:tr w14:paraId="038BD52B">
        <w:tblPrEx>
          <w:tblCellMar>
            <w:top w:w="0" w:type="dxa"/>
            <w:left w:w="108" w:type="dxa"/>
            <w:bottom w:w="0" w:type="dxa"/>
            <w:right w:w="108" w:type="dxa"/>
          </w:tblCellMar>
        </w:tblPrEx>
        <w:trPr>
          <w:trHeight w:val="866" w:hRule="exact"/>
          <w:jc w:val="center"/>
        </w:trPr>
        <w:tc>
          <w:tcPr>
            <w:tcW w:w="957" w:type="dxa"/>
            <w:vMerge w:val="continue"/>
            <w:tcBorders>
              <w:top w:val="single" w:color="auto" w:sz="4" w:space="0"/>
              <w:left w:val="single" w:color="auto" w:sz="4" w:space="0"/>
              <w:bottom w:val="single" w:color="auto" w:sz="4" w:space="0"/>
              <w:right w:val="single" w:color="auto" w:sz="4" w:space="0"/>
            </w:tcBorders>
          </w:tcPr>
          <w:p w14:paraId="1BE473C9">
            <w:pPr>
              <w:adjustRightInd w:val="0"/>
              <w:snapToGrid w:val="0"/>
              <w:spacing w:line="360" w:lineRule="auto"/>
              <w:textAlignment w:val="baseline"/>
              <w:rPr>
                <w:rFonts w:ascii="宋体" w:hAnsi="宋体" w:cs="仿宋"/>
                <w:spacing w:val="20"/>
                <w:sz w:val="24"/>
              </w:rPr>
            </w:pPr>
          </w:p>
        </w:tc>
        <w:tc>
          <w:tcPr>
            <w:tcW w:w="1304" w:type="dxa"/>
            <w:vMerge w:val="continue"/>
            <w:tcBorders>
              <w:top w:val="single" w:color="auto" w:sz="4" w:space="0"/>
              <w:left w:val="single" w:color="auto" w:sz="4" w:space="0"/>
              <w:bottom w:val="single" w:color="auto" w:sz="4" w:space="0"/>
              <w:right w:val="single" w:color="auto" w:sz="4" w:space="0"/>
            </w:tcBorders>
          </w:tcPr>
          <w:p w14:paraId="263AAC01">
            <w:pPr>
              <w:adjustRightInd w:val="0"/>
              <w:snapToGrid w:val="0"/>
              <w:spacing w:line="360" w:lineRule="auto"/>
              <w:textAlignment w:val="baseline"/>
              <w:rPr>
                <w:rFonts w:ascii="宋体" w:hAnsi="宋体" w:cs="仿宋"/>
                <w:spacing w:val="20"/>
                <w:sz w:val="24"/>
              </w:rPr>
            </w:pPr>
          </w:p>
        </w:tc>
        <w:tc>
          <w:tcPr>
            <w:tcW w:w="2203" w:type="dxa"/>
            <w:tcBorders>
              <w:top w:val="single" w:color="auto" w:sz="4" w:space="0"/>
              <w:left w:val="single" w:color="auto" w:sz="4" w:space="0"/>
              <w:bottom w:val="single" w:color="auto" w:sz="4" w:space="0"/>
              <w:right w:val="single" w:color="auto" w:sz="4" w:space="0"/>
            </w:tcBorders>
            <w:vAlign w:val="center"/>
          </w:tcPr>
          <w:p w14:paraId="33E56EDE">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其他条款</w:t>
            </w:r>
          </w:p>
        </w:tc>
        <w:tc>
          <w:tcPr>
            <w:tcW w:w="4745" w:type="dxa"/>
            <w:tcBorders>
              <w:top w:val="single" w:color="auto" w:sz="4" w:space="0"/>
              <w:left w:val="single" w:color="auto" w:sz="4" w:space="0"/>
              <w:bottom w:val="single" w:color="auto" w:sz="4" w:space="0"/>
              <w:right w:val="single" w:color="auto" w:sz="4" w:space="0"/>
            </w:tcBorders>
            <w:vAlign w:val="center"/>
          </w:tcPr>
          <w:p w14:paraId="03DAFF96">
            <w:pPr>
              <w:pStyle w:val="13"/>
              <w:spacing w:line="360" w:lineRule="auto"/>
              <w:ind w:left="0" w:leftChars="0" w:firstLine="0" w:firstLineChars="0"/>
              <w:jc w:val="center"/>
              <w:rPr>
                <w:rFonts w:cs="仿宋"/>
                <w:sz w:val="24"/>
              </w:rPr>
            </w:pPr>
            <w:r>
              <w:rPr>
                <w:rFonts w:hint="eastAsia" w:cs="仿宋"/>
                <w:spacing w:val="20"/>
                <w:sz w:val="24"/>
              </w:rPr>
              <w:t>符合第二章“投标</w:t>
            </w:r>
            <w:r>
              <w:rPr>
                <w:rFonts w:hint="eastAsia" w:cs="仿宋"/>
                <w:spacing w:val="20"/>
                <w:sz w:val="24"/>
                <w:lang w:val="en-US"/>
              </w:rPr>
              <w:t>人</w:t>
            </w:r>
            <w:r>
              <w:rPr>
                <w:rFonts w:hint="eastAsia" w:cs="仿宋"/>
                <w:spacing w:val="20"/>
                <w:sz w:val="24"/>
              </w:rPr>
              <w:t>须知前附表”中投标人资格要求</w:t>
            </w:r>
          </w:p>
        </w:tc>
      </w:tr>
      <w:tr w14:paraId="3851E178">
        <w:tblPrEx>
          <w:tblCellMar>
            <w:top w:w="0" w:type="dxa"/>
            <w:left w:w="108" w:type="dxa"/>
            <w:bottom w:w="0" w:type="dxa"/>
            <w:right w:w="108" w:type="dxa"/>
          </w:tblCellMar>
        </w:tblPrEx>
        <w:trPr>
          <w:trHeight w:val="1476" w:hRule="exact"/>
          <w:jc w:val="center"/>
        </w:trPr>
        <w:tc>
          <w:tcPr>
            <w:tcW w:w="9209" w:type="dxa"/>
            <w:gridSpan w:val="4"/>
            <w:tcBorders>
              <w:top w:val="single" w:color="auto" w:sz="4" w:space="0"/>
              <w:left w:val="single" w:color="auto" w:sz="4" w:space="0"/>
              <w:bottom w:val="single" w:color="auto" w:sz="4" w:space="0"/>
              <w:right w:val="single" w:color="auto" w:sz="4" w:space="0"/>
            </w:tcBorders>
          </w:tcPr>
          <w:p w14:paraId="267D8486">
            <w:pPr>
              <w:pStyle w:val="13"/>
              <w:spacing w:line="360" w:lineRule="auto"/>
              <w:ind w:left="0" w:leftChars="0" w:firstLine="0" w:firstLineChars="0"/>
              <w:rPr>
                <w:rFonts w:cs="仿宋"/>
                <w:spacing w:val="20"/>
                <w:sz w:val="24"/>
              </w:rPr>
            </w:pPr>
            <w:r>
              <w:rPr>
                <w:rFonts w:hint="eastAsia" w:cs="仿宋"/>
                <w:b/>
                <w:sz w:val="24"/>
              </w:rPr>
              <w:t>注：参照财政部87号令—《政府采购货物和服务招标投标管理办法》第四十四条：“公开招标采购项目开标结束后，招标人或者采购代理机构应当依法对投标人的资格进行审查。</w:t>
            </w:r>
          </w:p>
        </w:tc>
      </w:tr>
      <w:tr w14:paraId="23D4B513">
        <w:tblPrEx>
          <w:tblCellMar>
            <w:top w:w="0" w:type="dxa"/>
            <w:left w:w="108" w:type="dxa"/>
            <w:bottom w:w="0" w:type="dxa"/>
            <w:right w:w="108" w:type="dxa"/>
          </w:tblCellMar>
        </w:tblPrEx>
        <w:trPr>
          <w:trHeight w:val="776" w:hRule="exact"/>
          <w:jc w:val="center"/>
        </w:trPr>
        <w:tc>
          <w:tcPr>
            <w:tcW w:w="957" w:type="dxa"/>
            <w:vMerge w:val="restart"/>
            <w:tcBorders>
              <w:left w:val="single" w:color="auto" w:sz="4" w:space="0"/>
              <w:right w:val="single" w:color="auto" w:sz="4" w:space="0"/>
            </w:tcBorders>
          </w:tcPr>
          <w:p w14:paraId="38439BCD">
            <w:pPr>
              <w:adjustRightInd w:val="0"/>
              <w:snapToGrid w:val="0"/>
              <w:spacing w:line="360" w:lineRule="auto"/>
              <w:textAlignment w:val="baseline"/>
              <w:rPr>
                <w:rFonts w:ascii="宋体" w:hAnsi="宋体" w:cs="仿宋"/>
                <w:spacing w:val="20"/>
                <w:sz w:val="24"/>
              </w:rPr>
            </w:pPr>
            <w:r>
              <w:rPr>
                <w:rFonts w:hint="eastAsia" w:ascii="宋体" w:hAnsi="宋体" w:cs="仿宋"/>
                <w:spacing w:val="20"/>
                <w:sz w:val="24"/>
              </w:rPr>
              <w:t>2.1.2</w:t>
            </w:r>
          </w:p>
        </w:tc>
        <w:tc>
          <w:tcPr>
            <w:tcW w:w="1304" w:type="dxa"/>
            <w:vMerge w:val="restart"/>
            <w:tcBorders>
              <w:left w:val="single" w:color="auto" w:sz="4" w:space="0"/>
              <w:right w:val="single" w:color="auto" w:sz="4" w:space="0"/>
            </w:tcBorders>
            <w:vAlign w:val="center"/>
          </w:tcPr>
          <w:p w14:paraId="14BCCDD5">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形式评</w:t>
            </w:r>
          </w:p>
          <w:p w14:paraId="2A312D5C">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审标准</w:t>
            </w:r>
          </w:p>
        </w:tc>
        <w:tc>
          <w:tcPr>
            <w:tcW w:w="2203" w:type="dxa"/>
            <w:tcBorders>
              <w:top w:val="single" w:color="auto" w:sz="4" w:space="0"/>
              <w:left w:val="single" w:color="auto" w:sz="4" w:space="0"/>
              <w:bottom w:val="single" w:color="auto" w:sz="4" w:space="0"/>
              <w:right w:val="single" w:color="auto" w:sz="4" w:space="0"/>
            </w:tcBorders>
            <w:vAlign w:val="center"/>
          </w:tcPr>
          <w:p w14:paraId="3BA5F91D">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投标人名称</w:t>
            </w:r>
          </w:p>
        </w:tc>
        <w:tc>
          <w:tcPr>
            <w:tcW w:w="4745" w:type="dxa"/>
            <w:tcBorders>
              <w:top w:val="single" w:color="auto" w:sz="4" w:space="0"/>
              <w:left w:val="single" w:color="auto" w:sz="4" w:space="0"/>
              <w:bottom w:val="single" w:color="auto" w:sz="4" w:space="0"/>
              <w:right w:val="single" w:color="auto" w:sz="4" w:space="0"/>
            </w:tcBorders>
            <w:vAlign w:val="center"/>
          </w:tcPr>
          <w:p w14:paraId="6952AD71">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与营业执照一致</w:t>
            </w:r>
          </w:p>
        </w:tc>
      </w:tr>
      <w:tr w14:paraId="03542D23">
        <w:tblPrEx>
          <w:tblCellMar>
            <w:top w:w="0" w:type="dxa"/>
            <w:left w:w="108" w:type="dxa"/>
            <w:bottom w:w="0" w:type="dxa"/>
            <w:right w:w="108" w:type="dxa"/>
          </w:tblCellMar>
        </w:tblPrEx>
        <w:trPr>
          <w:trHeight w:val="851" w:hRule="exact"/>
          <w:jc w:val="center"/>
        </w:trPr>
        <w:tc>
          <w:tcPr>
            <w:tcW w:w="957" w:type="dxa"/>
            <w:vMerge w:val="continue"/>
            <w:tcBorders>
              <w:left w:val="single" w:color="auto" w:sz="4" w:space="0"/>
              <w:right w:val="single" w:color="auto" w:sz="4" w:space="0"/>
            </w:tcBorders>
          </w:tcPr>
          <w:p w14:paraId="32335865">
            <w:pPr>
              <w:adjustRightInd w:val="0"/>
              <w:snapToGrid w:val="0"/>
              <w:spacing w:line="360" w:lineRule="auto"/>
              <w:textAlignment w:val="baseline"/>
              <w:rPr>
                <w:rFonts w:ascii="宋体" w:hAnsi="宋体" w:cs="仿宋"/>
                <w:spacing w:val="20"/>
                <w:sz w:val="24"/>
              </w:rPr>
            </w:pPr>
          </w:p>
        </w:tc>
        <w:tc>
          <w:tcPr>
            <w:tcW w:w="1304" w:type="dxa"/>
            <w:vMerge w:val="continue"/>
            <w:tcBorders>
              <w:left w:val="single" w:color="auto" w:sz="4" w:space="0"/>
              <w:right w:val="single" w:color="auto" w:sz="4" w:space="0"/>
            </w:tcBorders>
          </w:tcPr>
          <w:p w14:paraId="76D2E0E5">
            <w:pPr>
              <w:adjustRightInd w:val="0"/>
              <w:snapToGrid w:val="0"/>
              <w:spacing w:line="360" w:lineRule="auto"/>
              <w:textAlignment w:val="baseline"/>
              <w:rPr>
                <w:rFonts w:ascii="宋体" w:hAnsi="宋体" w:cs="仿宋"/>
                <w:spacing w:val="20"/>
                <w:sz w:val="24"/>
              </w:rPr>
            </w:pPr>
          </w:p>
        </w:tc>
        <w:tc>
          <w:tcPr>
            <w:tcW w:w="2203" w:type="dxa"/>
            <w:tcBorders>
              <w:top w:val="single" w:color="auto" w:sz="4" w:space="0"/>
              <w:left w:val="single" w:color="auto" w:sz="4" w:space="0"/>
              <w:bottom w:val="single" w:color="auto" w:sz="4" w:space="0"/>
              <w:right w:val="single" w:color="auto" w:sz="4" w:space="0"/>
            </w:tcBorders>
            <w:vAlign w:val="center"/>
          </w:tcPr>
          <w:p w14:paraId="130AB8F7">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投标函电子签章</w:t>
            </w:r>
          </w:p>
        </w:tc>
        <w:tc>
          <w:tcPr>
            <w:tcW w:w="4745" w:type="dxa"/>
            <w:tcBorders>
              <w:top w:val="single" w:color="auto" w:sz="4" w:space="0"/>
              <w:left w:val="single" w:color="auto" w:sz="4" w:space="0"/>
              <w:bottom w:val="single" w:color="auto" w:sz="4" w:space="0"/>
              <w:right w:val="single" w:color="auto" w:sz="4" w:space="0"/>
            </w:tcBorders>
            <w:vAlign w:val="center"/>
          </w:tcPr>
          <w:p w14:paraId="1D66944E">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按照招标文件要求具有电子签章</w:t>
            </w:r>
          </w:p>
        </w:tc>
      </w:tr>
      <w:tr w14:paraId="71B4DB19">
        <w:tblPrEx>
          <w:tblCellMar>
            <w:top w:w="0" w:type="dxa"/>
            <w:left w:w="108" w:type="dxa"/>
            <w:bottom w:w="0" w:type="dxa"/>
            <w:right w:w="108" w:type="dxa"/>
          </w:tblCellMar>
        </w:tblPrEx>
        <w:trPr>
          <w:trHeight w:val="761" w:hRule="exact"/>
          <w:jc w:val="center"/>
        </w:trPr>
        <w:tc>
          <w:tcPr>
            <w:tcW w:w="957" w:type="dxa"/>
            <w:vMerge w:val="continue"/>
            <w:tcBorders>
              <w:left w:val="single" w:color="auto" w:sz="4" w:space="0"/>
              <w:right w:val="single" w:color="auto" w:sz="4" w:space="0"/>
            </w:tcBorders>
          </w:tcPr>
          <w:p w14:paraId="4F543F0D">
            <w:pPr>
              <w:adjustRightInd w:val="0"/>
              <w:snapToGrid w:val="0"/>
              <w:spacing w:line="360" w:lineRule="auto"/>
              <w:textAlignment w:val="baseline"/>
              <w:rPr>
                <w:rFonts w:ascii="宋体" w:hAnsi="宋体" w:cs="仿宋"/>
                <w:spacing w:val="20"/>
                <w:sz w:val="24"/>
              </w:rPr>
            </w:pPr>
          </w:p>
        </w:tc>
        <w:tc>
          <w:tcPr>
            <w:tcW w:w="1304" w:type="dxa"/>
            <w:vMerge w:val="continue"/>
            <w:tcBorders>
              <w:left w:val="single" w:color="auto" w:sz="4" w:space="0"/>
              <w:right w:val="single" w:color="auto" w:sz="4" w:space="0"/>
            </w:tcBorders>
          </w:tcPr>
          <w:p w14:paraId="6E03BD6C">
            <w:pPr>
              <w:adjustRightInd w:val="0"/>
              <w:snapToGrid w:val="0"/>
              <w:spacing w:line="360" w:lineRule="auto"/>
              <w:textAlignment w:val="baseline"/>
              <w:rPr>
                <w:rFonts w:ascii="宋体" w:hAnsi="宋体" w:cs="仿宋"/>
                <w:spacing w:val="20"/>
                <w:sz w:val="24"/>
              </w:rPr>
            </w:pPr>
          </w:p>
        </w:tc>
        <w:tc>
          <w:tcPr>
            <w:tcW w:w="2203" w:type="dxa"/>
            <w:tcBorders>
              <w:top w:val="single" w:color="auto" w:sz="4" w:space="0"/>
              <w:left w:val="single" w:color="auto" w:sz="4" w:space="0"/>
              <w:bottom w:val="single" w:color="auto" w:sz="4" w:space="0"/>
              <w:right w:val="single" w:color="auto" w:sz="4" w:space="0"/>
            </w:tcBorders>
            <w:vAlign w:val="center"/>
          </w:tcPr>
          <w:p w14:paraId="2086D810">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投标文件格式</w:t>
            </w:r>
          </w:p>
        </w:tc>
        <w:tc>
          <w:tcPr>
            <w:tcW w:w="4745" w:type="dxa"/>
            <w:tcBorders>
              <w:top w:val="single" w:color="auto" w:sz="4" w:space="0"/>
              <w:left w:val="single" w:color="auto" w:sz="4" w:space="0"/>
              <w:bottom w:val="single" w:color="auto" w:sz="4" w:space="0"/>
              <w:right w:val="single" w:color="auto" w:sz="4" w:space="0"/>
            </w:tcBorders>
            <w:vAlign w:val="center"/>
          </w:tcPr>
          <w:p w14:paraId="701BB327">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符合招标文件中“投标文件格式”的要求</w:t>
            </w:r>
          </w:p>
        </w:tc>
      </w:tr>
      <w:tr w14:paraId="59339D3A">
        <w:tblPrEx>
          <w:tblCellMar>
            <w:top w:w="0" w:type="dxa"/>
            <w:left w:w="108" w:type="dxa"/>
            <w:bottom w:w="0" w:type="dxa"/>
            <w:right w:w="108" w:type="dxa"/>
          </w:tblCellMar>
        </w:tblPrEx>
        <w:trPr>
          <w:trHeight w:val="636" w:hRule="exact"/>
          <w:jc w:val="center"/>
        </w:trPr>
        <w:tc>
          <w:tcPr>
            <w:tcW w:w="957" w:type="dxa"/>
            <w:vMerge w:val="continue"/>
            <w:tcBorders>
              <w:left w:val="single" w:color="auto" w:sz="4" w:space="0"/>
              <w:bottom w:val="single" w:color="auto" w:sz="4" w:space="0"/>
              <w:right w:val="single" w:color="auto" w:sz="4" w:space="0"/>
            </w:tcBorders>
          </w:tcPr>
          <w:p w14:paraId="424638B5">
            <w:pPr>
              <w:adjustRightInd w:val="0"/>
              <w:snapToGrid w:val="0"/>
              <w:spacing w:line="360" w:lineRule="auto"/>
              <w:textAlignment w:val="baseline"/>
              <w:rPr>
                <w:rFonts w:ascii="宋体" w:hAnsi="宋体" w:cs="仿宋"/>
                <w:spacing w:val="20"/>
                <w:sz w:val="24"/>
              </w:rPr>
            </w:pPr>
          </w:p>
        </w:tc>
        <w:tc>
          <w:tcPr>
            <w:tcW w:w="1304" w:type="dxa"/>
            <w:vMerge w:val="continue"/>
            <w:tcBorders>
              <w:left w:val="single" w:color="auto" w:sz="4" w:space="0"/>
              <w:bottom w:val="single" w:color="auto" w:sz="4" w:space="0"/>
              <w:right w:val="single" w:color="auto" w:sz="4" w:space="0"/>
            </w:tcBorders>
          </w:tcPr>
          <w:p w14:paraId="1AFA3D84">
            <w:pPr>
              <w:adjustRightInd w:val="0"/>
              <w:snapToGrid w:val="0"/>
              <w:spacing w:line="360" w:lineRule="auto"/>
              <w:textAlignment w:val="baseline"/>
              <w:rPr>
                <w:rFonts w:ascii="宋体" w:hAnsi="宋体" w:cs="仿宋"/>
                <w:spacing w:val="20"/>
                <w:sz w:val="24"/>
              </w:rPr>
            </w:pPr>
          </w:p>
        </w:tc>
        <w:tc>
          <w:tcPr>
            <w:tcW w:w="2203" w:type="dxa"/>
            <w:tcBorders>
              <w:top w:val="single" w:color="auto" w:sz="4" w:space="0"/>
              <w:left w:val="single" w:color="auto" w:sz="4" w:space="0"/>
              <w:bottom w:val="single" w:color="auto" w:sz="4" w:space="0"/>
              <w:right w:val="single" w:color="auto" w:sz="4" w:space="0"/>
            </w:tcBorders>
            <w:vAlign w:val="center"/>
          </w:tcPr>
          <w:p w14:paraId="0D16A88E">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报价唯一</w:t>
            </w:r>
          </w:p>
        </w:tc>
        <w:tc>
          <w:tcPr>
            <w:tcW w:w="4745" w:type="dxa"/>
            <w:tcBorders>
              <w:top w:val="single" w:color="auto" w:sz="4" w:space="0"/>
              <w:left w:val="single" w:color="auto" w:sz="4" w:space="0"/>
              <w:bottom w:val="single" w:color="auto" w:sz="4" w:space="0"/>
              <w:right w:val="single" w:color="auto" w:sz="4" w:space="0"/>
            </w:tcBorders>
            <w:vAlign w:val="center"/>
          </w:tcPr>
          <w:p w14:paraId="394CFA85">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符合“报价唯一”要求</w:t>
            </w:r>
          </w:p>
        </w:tc>
      </w:tr>
      <w:tr w14:paraId="1C8D2CBD">
        <w:tblPrEx>
          <w:tblCellMar>
            <w:top w:w="0" w:type="dxa"/>
            <w:left w:w="108" w:type="dxa"/>
            <w:bottom w:w="0" w:type="dxa"/>
            <w:right w:w="108" w:type="dxa"/>
          </w:tblCellMar>
        </w:tblPrEx>
        <w:trPr>
          <w:trHeight w:val="602" w:hRule="atLeast"/>
          <w:jc w:val="center"/>
        </w:trPr>
        <w:tc>
          <w:tcPr>
            <w:tcW w:w="957" w:type="dxa"/>
            <w:vMerge w:val="restart"/>
            <w:tcBorders>
              <w:top w:val="single" w:color="auto" w:sz="4" w:space="0"/>
              <w:left w:val="single" w:color="auto" w:sz="4" w:space="0"/>
              <w:right w:val="single" w:color="auto" w:sz="4" w:space="0"/>
            </w:tcBorders>
            <w:vAlign w:val="center"/>
          </w:tcPr>
          <w:p w14:paraId="2C239CE7">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2.1.3</w:t>
            </w:r>
          </w:p>
        </w:tc>
        <w:tc>
          <w:tcPr>
            <w:tcW w:w="1304" w:type="dxa"/>
            <w:vMerge w:val="restart"/>
            <w:tcBorders>
              <w:top w:val="single" w:color="auto" w:sz="4" w:space="0"/>
              <w:left w:val="single" w:color="auto" w:sz="4" w:space="0"/>
              <w:right w:val="single" w:color="auto" w:sz="4" w:space="0"/>
            </w:tcBorders>
            <w:vAlign w:val="center"/>
          </w:tcPr>
          <w:p w14:paraId="6D4713CB">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符合性</w:t>
            </w:r>
          </w:p>
          <w:p w14:paraId="5ACF56B2">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评审</w:t>
            </w:r>
          </w:p>
          <w:p w14:paraId="5F3DBF8E">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标准</w:t>
            </w:r>
          </w:p>
        </w:tc>
        <w:tc>
          <w:tcPr>
            <w:tcW w:w="2203" w:type="dxa"/>
            <w:tcBorders>
              <w:top w:val="single" w:color="auto" w:sz="4" w:space="0"/>
              <w:left w:val="single" w:color="auto" w:sz="4" w:space="0"/>
              <w:right w:val="single" w:color="auto" w:sz="4" w:space="0"/>
            </w:tcBorders>
            <w:vAlign w:val="center"/>
          </w:tcPr>
          <w:p w14:paraId="5EEAA312">
            <w:pPr>
              <w:adjustRightInd w:val="0"/>
              <w:snapToGrid w:val="0"/>
              <w:spacing w:line="360" w:lineRule="auto"/>
              <w:jc w:val="center"/>
              <w:textAlignment w:val="baseline"/>
              <w:rPr>
                <w:rFonts w:ascii="宋体" w:hAnsi="宋体" w:cs="仿宋"/>
                <w:spacing w:val="20"/>
                <w:sz w:val="24"/>
              </w:rPr>
            </w:pPr>
            <w:r>
              <w:rPr>
                <w:rFonts w:hint="eastAsia" w:ascii="宋体" w:hAnsi="宋体" w:cs="仿宋"/>
                <w:sz w:val="24"/>
              </w:rPr>
              <w:t>投标报价</w:t>
            </w:r>
          </w:p>
        </w:tc>
        <w:tc>
          <w:tcPr>
            <w:tcW w:w="4745" w:type="dxa"/>
            <w:tcBorders>
              <w:top w:val="single" w:color="auto" w:sz="4" w:space="0"/>
              <w:left w:val="single" w:color="auto" w:sz="4" w:space="0"/>
              <w:right w:val="single" w:color="auto" w:sz="4" w:space="0"/>
            </w:tcBorders>
            <w:vAlign w:val="center"/>
          </w:tcPr>
          <w:p w14:paraId="6A7EC65F">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符合第二章“投标须知前附表”</w:t>
            </w:r>
          </w:p>
        </w:tc>
      </w:tr>
      <w:tr w14:paraId="1995F2E6">
        <w:tblPrEx>
          <w:tblCellMar>
            <w:top w:w="0" w:type="dxa"/>
            <w:left w:w="108" w:type="dxa"/>
            <w:bottom w:w="0" w:type="dxa"/>
            <w:right w:w="108" w:type="dxa"/>
          </w:tblCellMar>
        </w:tblPrEx>
        <w:trPr>
          <w:trHeight w:val="630" w:hRule="atLeast"/>
          <w:jc w:val="center"/>
        </w:trPr>
        <w:tc>
          <w:tcPr>
            <w:tcW w:w="957" w:type="dxa"/>
            <w:vMerge w:val="continue"/>
            <w:tcBorders>
              <w:left w:val="single" w:color="auto" w:sz="4" w:space="0"/>
              <w:bottom w:val="single" w:color="auto" w:sz="4" w:space="0"/>
              <w:right w:val="single" w:color="auto" w:sz="4" w:space="0"/>
            </w:tcBorders>
            <w:vAlign w:val="center"/>
          </w:tcPr>
          <w:p w14:paraId="6EFA1CA8">
            <w:pPr>
              <w:adjustRightInd w:val="0"/>
              <w:snapToGrid w:val="0"/>
              <w:spacing w:line="360" w:lineRule="auto"/>
              <w:jc w:val="center"/>
              <w:textAlignment w:val="baseline"/>
              <w:rPr>
                <w:rFonts w:ascii="宋体" w:hAnsi="宋体" w:cs="仿宋"/>
                <w:spacing w:val="20"/>
                <w:sz w:val="24"/>
              </w:rPr>
            </w:pPr>
          </w:p>
        </w:tc>
        <w:tc>
          <w:tcPr>
            <w:tcW w:w="1304" w:type="dxa"/>
            <w:vMerge w:val="continue"/>
            <w:tcBorders>
              <w:left w:val="single" w:color="auto" w:sz="4" w:space="0"/>
              <w:bottom w:val="single" w:color="auto" w:sz="4" w:space="0"/>
              <w:right w:val="single" w:color="auto" w:sz="4" w:space="0"/>
            </w:tcBorders>
            <w:vAlign w:val="center"/>
          </w:tcPr>
          <w:p w14:paraId="0C2A5C9C">
            <w:pPr>
              <w:adjustRightInd w:val="0"/>
              <w:snapToGrid w:val="0"/>
              <w:spacing w:line="360" w:lineRule="auto"/>
              <w:jc w:val="center"/>
              <w:textAlignment w:val="baseline"/>
              <w:rPr>
                <w:rFonts w:ascii="宋体" w:hAnsi="宋体" w:cs="仿宋"/>
                <w:spacing w:val="20"/>
                <w:sz w:val="24"/>
              </w:rPr>
            </w:pPr>
          </w:p>
        </w:tc>
        <w:tc>
          <w:tcPr>
            <w:tcW w:w="2203" w:type="dxa"/>
            <w:tcBorders>
              <w:top w:val="single" w:color="auto" w:sz="4" w:space="0"/>
              <w:left w:val="single" w:color="auto" w:sz="4" w:space="0"/>
              <w:bottom w:val="single" w:color="auto" w:sz="4" w:space="0"/>
              <w:right w:val="single" w:color="auto" w:sz="4" w:space="0"/>
            </w:tcBorders>
            <w:vAlign w:val="center"/>
          </w:tcPr>
          <w:p w14:paraId="502F7EA6">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投标内容</w:t>
            </w:r>
          </w:p>
        </w:tc>
        <w:tc>
          <w:tcPr>
            <w:tcW w:w="4745" w:type="dxa"/>
            <w:tcBorders>
              <w:top w:val="single" w:color="auto" w:sz="4" w:space="0"/>
              <w:left w:val="single" w:color="auto" w:sz="4" w:space="0"/>
              <w:bottom w:val="single" w:color="auto" w:sz="4" w:space="0"/>
              <w:right w:val="single" w:color="auto" w:sz="4" w:space="0"/>
            </w:tcBorders>
            <w:vAlign w:val="center"/>
          </w:tcPr>
          <w:p w14:paraId="491A8610">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符合第二章“投标须知前附表”</w:t>
            </w:r>
          </w:p>
        </w:tc>
      </w:tr>
      <w:tr w14:paraId="6227E80F">
        <w:tblPrEx>
          <w:tblCellMar>
            <w:top w:w="0" w:type="dxa"/>
            <w:left w:w="108" w:type="dxa"/>
            <w:bottom w:w="0" w:type="dxa"/>
            <w:right w:w="108" w:type="dxa"/>
          </w:tblCellMar>
        </w:tblPrEx>
        <w:trPr>
          <w:trHeight w:val="604" w:hRule="atLeast"/>
          <w:jc w:val="center"/>
        </w:trPr>
        <w:tc>
          <w:tcPr>
            <w:tcW w:w="957" w:type="dxa"/>
            <w:vMerge w:val="continue"/>
            <w:tcBorders>
              <w:left w:val="single" w:color="auto" w:sz="4" w:space="0"/>
              <w:bottom w:val="single" w:color="auto" w:sz="4" w:space="0"/>
              <w:right w:val="single" w:color="auto" w:sz="4" w:space="0"/>
            </w:tcBorders>
            <w:vAlign w:val="center"/>
          </w:tcPr>
          <w:p w14:paraId="2894284A">
            <w:pPr>
              <w:adjustRightInd w:val="0"/>
              <w:snapToGrid w:val="0"/>
              <w:spacing w:line="360" w:lineRule="auto"/>
              <w:jc w:val="center"/>
              <w:textAlignment w:val="baseline"/>
              <w:rPr>
                <w:rFonts w:ascii="宋体" w:hAnsi="宋体" w:cs="仿宋"/>
                <w:spacing w:val="20"/>
                <w:sz w:val="24"/>
              </w:rPr>
            </w:pPr>
          </w:p>
        </w:tc>
        <w:tc>
          <w:tcPr>
            <w:tcW w:w="1304" w:type="dxa"/>
            <w:vMerge w:val="continue"/>
            <w:tcBorders>
              <w:left w:val="single" w:color="auto" w:sz="4" w:space="0"/>
              <w:bottom w:val="single" w:color="auto" w:sz="4" w:space="0"/>
              <w:right w:val="single" w:color="auto" w:sz="4" w:space="0"/>
            </w:tcBorders>
            <w:vAlign w:val="center"/>
          </w:tcPr>
          <w:p w14:paraId="56DA6457">
            <w:pPr>
              <w:adjustRightInd w:val="0"/>
              <w:snapToGrid w:val="0"/>
              <w:spacing w:line="360" w:lineRule="auto"/>
              <w:jc w:val="center"/>
              <w:textAlignment w:val="baseline"/>
              <w:rPr>
                <w:rFonts w:ascii="宋体" w:hAnsi="宋体" w:cs="仿宋"/>
                <w:spacing w:val="20"/>
                <w:sz w:val="24"/>
              </w:rPr>
            </w:pPr>
          </w:p>
        </w:tc>
        <w:tc>
          <w:tcPr>
            <w:tcW w:w="2203" w:type="dxa"/>
            <w:tcBorders>
              <w:top w:val="single" w:color="auto" w:sz="4" w:space="0"/>
              <w:left w:val="single" w:color="auto" w:sz="4" w:space="0"/>
              <w:bottom w:val="single" w:color="auto" w:sz="4" w:space="0"/>
              <w:right w:val="single" w:color="auto" w:sz="4" w:space="0"/>
            </w:tcBorders>
            <w:vAlign w:val="center"/>
          </w:tcPr>
          <w:p w14:paraId="1348460F">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服务期限</w:t>
            </w:r>
          </w:p>
        </w:tc>
        <w:tc>
          <w:tcPr>
            <w:tcW w:w="4745" w:type="dxa"/>
            <w:tcBorders>
              <w:top w:val="single" w:color="auto" w:sz="4" w:space="0"/>
              <w:left w:val="single" w:color="auto" w:sz="4" w:space="0"/>
              <w:bottom w:val="single" w:color="auto" w:sz="4" w:space="0"/>
              <w:right w:val="single" w:color="auto" w:sz="4" w:space="0"/>
            </w:tcBorders>
            <w:vAlign w:val="center"/>
          </w:tcPr>
          <w:p w14:paraId="56B468DE">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符合第二章“投标须知前附表”</w:t>
            </w:r>
          </w:p>
        </w:tc>
      </w:tr>
      <w:tr w14:paraId="5FE99FC3">
        <w:tblPrEx>
          <w:tblCellMar>
            <w:top w:w="0" w:type="dxa"/>
            <w:left w:w="108" w:type="dxa"/>
            <w:bottom w:w="0" w:type="dxa"/>
            <w:right w:w="108" w:type="dxa"/>
          </w:tblCellMar>
        </w:tblPrEx>
        <w:trPr>
          <w:trHeight w:val="775" w:hRule="exact"/>
          <w:jc w:val="center"/>
        </w:trPr>
        <w:tc>
          <w:tcPr>
            <w:tcW w:w="957" w:type="dxa"/>
            <w:vMerge w:val="continue"/>
            <w:tcBorders>
              <w:top w:val="single" w:color="auto" w:sz="4" w:space="0"/>
              <w:left w:val="single" w:color="auto" w:sz="4" w:space="0"/>
              <w:right w:val="single" w:color="auto" w:sz="4" w:space="0"/>
            </w:tcBorders>
          </w:tcPr>
          <w:p w14:paraId="2FFE785E">
            <w:pPr>
              <w:adjustRightInd w:val="0"/>
              <w:snapToGrid w:val="0"/>
              <w:spacing w:line="360" w:lineRule="auto"/>
              <w:textAlignment w:val="baseline"/>
              <w:rPr>
                <w:rFonts w:ascii="宋体" w:hAnsi="宋体" w:cs="仿宋"/>
                <w:spacing w:val="20"/>
                <w:sz w:val="24"/>
              </w:rPr>
            </w:pPr>
          </w:p>
        </w:tc>
        <w:tc>
          <w:tcPr>
            <w:tcW w:w="1304" w:type="dxa"/>
            <w:vMerge w:val="continue"/>
            <w:tcBorders>
              <w:top w:val="single" w:color="auto" w:sz="4" w:space="0"/>
              <w:left w:val="single" w:color="auto" w:sz="4" w:space="0"/>
              <w:right w:val="single" w:color="auto" w:sz="4" w:space="0"/>
            </w:tcBorders>
          </w:tcPr>
          <w:p w14:paraId="505C7DB9">
            <w:pPr>
              <w:adjustRightInd w:val="0"/>
              <w:snapToGrid w:val="0"/>
              <w:spacing w:line="360" w:lineRule="auto"/>
              <w:textAlignment w:val="baseline"/>
              <w:rPr>
                <w:rFonts w:ascii="宋体" w:hAnsi="宋体" w:cs="仿宋"/>
                <w:spacing w:val="20"/>
                <w:sz w:val="24"/>
              </w:rPr>
            </w:pPr>
          </w:p>
        </w:tc>
        <w:tc>
          <w:tcPr>
            <w:tcW w:w="2203" w:type="dxa"/>
            <w:tcBorders>
              <w:top w:val="single" w:color="auto" w:sz="4" w:space="0"/>
              <w:left w:val="single" w:color="auto" w:sz="4" w:space="0"/>
              <w:bottom w:val="single" w:color="auto" w:sz="4" w:space="0"/>
              <w:right w:val="single" w:color="auto" w:sz="4" w:space="0"/>
            </w:tcBorders>
            <w:vAlign w:val="center"/>
          </w:tcPr>
          <w:p w14:paraId="074FF84E">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服务质量要求</w:t>
            </w:r>
          </w:p>
        </w:tc>
        <w:tc>
          <w:tcPr>
            <w:tcW w:w="4745" w:type="dxa"/>
            <w:tcBorders>
              <w:top w:val="single" w:color="auto" w:sz="4" w:space="0"/>
              <w:left w:val="single" w:color="auto" w:sz="4" w:space="0"/>
              <w:bottom w:val="single" w:color="auto" w:sz="4" w:space="0"/>
              <w:right w:val="single" w:color="auto" w:sz="4" w:space="0"/>
            </w:tcBorders>
            <w:vAlign w:val="center"/>
          </w:tcPr>
          <w:p w14:paraId="21F57080">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符合第二章“投标须知前附表”</w:t>
            </w:r>
          </w:p>
        </w:tc>
      </w:tr>
      <w:tr w14:paraId="6B37C83C">
        <w:tblPrEx>
          <w:tblCellMar>
            <w:top w:w="0" w:type="dxa"/>
            <w:left w:w="108" w:type="dxa"/>
            <w:bottom w:w="0" w:type="dxa"/>
            <w:right w:w="108" w:type="dxa"/>
          </w:tblCellMar>
        </w:tblPrEx>
        <w:trPr>
          <w:trHeight w:val="588" w:hRule="exact"/>
          <w:jc w:val="center"/>
        </w:trPr>
        <w:tc>
          <w:tcPr>
            <w:tcW w:w="957" w:type="dxa"/>
            <w:vMerge w:val="continue"/>
            <w:tcBorders>
              <w:top w:val="single" w:color="auto" w:sz="4" w:space="0"/>
              <w:left w:val="single" w:color="auto" w:sz="4" w:space="0"/>
              <w:right w:val="single" w:color="auto" w:sz="4" w:space="0"/>
            </w:tcBorders>
          </w:tcPr>
          <w:p w14:paraId="20A2DDB3">
            <w:pPr>
              <w:adjustRightInd w:val="0"/>
              <w:snapToGrid w:val="0"/>
              <w:spacing w:line="360" w:lineRule="auto"/>
              <w:textAlignment w:val="baseline"/>
              <w:rPr>
                <w:rFonts w:ascii="宋体" w:hAnsi="宋体" w:cs="仿宋"/>
                <w:spacing w:val="20"/>
                <w:sz w:val="24"/>
              </w:rPr>
            </w:pPr>
          </w:p>
        </w:tc>
        <w:tc>
          <w:tcPr>
            <w:tcW w:w="1304" w:type="dxa"/>
            <w:vMerge w:val="continue"/>
            <w:tcBorders>
              <w:top w:val="single" w:color="auto" w:sz="4" w:space="0"/>
              <w:left w:val="single" w:color="auto" w:sz="4" w:space="0"/>
              <w:right w:val="single" w:color="auto" w:sz="4" w:space="0"/>
            </w:tcBorders>
          </w:tcPr>
          <w:p w14:paraId="231FD80C">
            <w:pPr>
              <w:adjustRightInd w:val="0"/>
              <w:snapToGrid w:val="0"/>
              <w:spacing w:line="360" w:lineRule="auto"/>
              <w:textAlignment w:val="baseline"/>
              <w:rPr>
                <w:rFonts w:ascii="宋体" w:hAnsi="宋体" w:cs="仿宋"/>
                <w:spacing w:val="20"/>
                <w:sz w:val="24"/>
              </w:rPr>
            </w:pPr>
          </w:p>
        </w:tc>
        <w:tc>
          <w:tcPr>
            <w:tcW w:w="2203" w:type="dxa"/>
            <w:tcBorders>
              <w:top w:val="single" w:color="auto" w:sz="4" w:space="0"/>
              <w:left w:val="single" w:color="auto" w:sz="4" w:space="0"/>
              <w:bottom w:val="single" w:color="auto" w:sz="4" w:space="0"/>
              <w:right w:val="single" w:color="auto" w:sz="4" w:space="0"/>
            </w:tcBorders>
            <w:vAlign w:val="center"/>
          </w:tcPr>
          <w:p w14:paraId="17B00ACB">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投标有效期</w:t>
            </w:r>
          </w:p>
        </w:tc>
        <w:tc>
          <w:tcPr>
            <w:tcW w:w="4745" w:type="dxa"/>
            <w:tcBorders>
              <w:top w:val="single" w:color="auto" w:sz="4" w:space="0"/>
              <w:left w:val="single" w:color="auto" w:sz="4" w:space="0"/>
              <w:bottom w:val="single" w:color="auto" w:sz="4" w:space="0"/>
              <w:right w:val="single" w:color="auto" w:sz="4" w:space="0"/>
            </w:tcBorders>
            <w:vAlign w:val="center"/>
          </w:tcPr>
          <w:p w14:paraId="579ADDB2">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符合第二章“投标须知前附表</w:t>
            </w:r>
          </w:p>
        </w:tc>
      </w:tr>
      <w:tr w14:paraId="7BA4C1B5">
        <w:tblPrEx>
          <w:tblCellMar>
            <w:top w:w="0" w:type="dxa"/>
            <w:left w:w="108" w:type="dxa"/>
            <w:bottom w:w="0" w:type="dxa"/>
            <w:right w:w="108" w:type="dxa"/>
          </w:tblCellMar>
        </w:tblPrEx>
        <w:trPr>
          <w:trHeight w:val="613" w:hRule="exact"/>
          <w:jc w:val="center"/>
        </w:trPr>
        <w:tc>
          <w:tcPr>
            <w:tcW w:w="957" w:type="dxa"/>
            <w:vMerge w:val="continue"/>
            <w:tcBorders>
              <w:left w:val="single" w:color="auto" w:sz="4" w:space="0"/>
              <w:bottom w:val="single" w:color="auto" w:sz="4" w:space="0"/>
              <w:right w:val="single" w:color="auto" w:sz="4" w:space="0"/>
            </w:tcBorders>
          </w:tcPr>
          <w:p w14:paraId="56098614">
            <w:pPr>
              <w:adjustRightInd w:val="0"/>
              <w:snapToGrid w:val="0"/>
              <w:spacing w:line="360" w:lineRule="auto"/>
              <w:textAlignment w:val="baseline"/>
              <w:rPr>
                <w:rFonts w:ascii="宋体" w:hAnsi="宋体" w:cs="仿宋"/>
                <w:spacing w:val="20"/>
                <w:sz w:val="24"/>
              </w:rPr>
            </w:pPr>
          </w:p>
        </w:tc>
        <w:tc>
          <w:tcPr>
            <w:tcW w:w="1304" w:type="dxa"/>
            <w:vMerge w:val="continue"/>
            <w:tcBorders>
              <w:left w:val="single" w:color="auto" w:sz="4" w:space="0"/>
              <w:bottom w:val="single" w:color="auto" w:sz="4" w:space="0"/>
              <w:right w:val="single" w:color="auto" w:sz="4" w:space="0"/>
            </w:tcBorders>
          </w:tcPr>
          <w:p w14:paraId="466996D7">
            <w:pPr>
              <w:adjustRightInd w:val="0"/>
              <w:snapToGrid w:val="0"/>
              <w:spacing w:line="360" w:lineRule="auto"/>
              <w:textAlignment w:val="baseline"/>
              <w:rPr>
                <w:rFonts w:ascii="宋体" w:hAnsi="宋体" w:cs="仿宋"/>
                <w:spacing w:val="20"/>
                <w:sz w:val="24"/>
              </w:rPr>
            </w:pPr>
          </w:p>
        </w:tc>
        <w:tc>
          <w:tcPr>
            <w:tcW w:w="2203" w:type="dxa"/>
            <w:tcBorders>
              <w:top w:val="single" w:color="auto" w:sz="4" w:space="0"/>
              <w:left w:val="single" w:color="auto" w:sz="4" w:space="0"/>
              <w:bottom w:val="single" w:color="auto" w:sz="4" w:space="0"/>
              <w:right w:val="single" w:color="auto" w:sz="4" w:space="0"/>
            </w:tcBorders>
            <w:vAlign w:val="center"/>
          </w:tcPr>
          <w:p w14:paraId="5BCC8D52">
            <w:pPr>
              <w:adjustRightInd w:val="0"/>
              <w:snapToGrid w:val="0"/>
              <w:spacing w:line="360" w:lineRule="auto"/>
              <w:jc w:val="center"/>
              <w:textAlignment w:val="baseline"/>
              <w:rPr>
                <w:rFonts w:ascii="宋体" w:hAnsi="宋体" w:cs="仿宋"/>
                <w:spacing w:val="20"/>
                <w:sz w:val="24"/>
              </w:rPr>
            </w:pPr>
            <w:r>
              <w:rPr>
                <w:rFonts w:hint="eastAsia" w:ascii="宋体" w:hAnsi="宋体" w:cs="仿宋"/>
                <w:sz w:val="24"/>
              </w:rPr>
              <w:t>其它实质性要求</w:t>
            </w:r>
          </w:p>
        </w:tc>
        <w:tc>
          <w:tcPr>
            <w:tcW w:w="4745" w:type="dxa"/>
            <w:tcBorders>
              <w:top w:val="single" w:color="auto" w:sz="4" w:space="0"/>
              <w:left w:val="single" w:color="auto" w:sz="4" w:space="0"/>
              <w:bottom w:val="single" w:color="auto" w:sz="4" w:space="0"/>
              <w:right w:val="single" w:color="auto" w:sz="4" w:space="0"/>
            </w:tcBorders>
            <w:vAlign w:val="center"/>
          </w:tcPr>
          <w:p w14:paraId="51566D1D">
            <w:pPr>
              <w:adjustRightInd w:val="0"/>
              <w:snapToGrid w:val="0"/>
              <w:spacing w:line="360" w:lineRule="auto"/>
              <w:jc w:val="center"/>
              <w:textAlignment w:val="baseline"/>
              <w:rPr>
                <w:rFonts w:ascii="宋体" w:hAnsi="宋体" w:cs="仿宋"/>
                <w:spacing w:val="20"/>
                <w:sz w:val="24"/>
              </w:rPr>
            </w:pPr>
            <w:r>
              <w:rPr>
                <w:rFonts w:hint="eastAsia" w:ascii="宋体" w:hAnsi="宋体" w:cs="仿宋"/>
                <w:spacing w:val="20"/>
                <w:sz w:val="24"/>
              </w:rPr>
              <w:t>招标文件中规定的其他实质性要求</w:t>
            </w:r>
          </w:p>
        </w:tc>
      </w:tr>
    </w:tbl>
    <w:p w14:paraId="7AA8243A">
      <w:pPr>
        <w:pStyle w:val="25"/>
        <w:spacing w:line="360" w:lineRule="auto"/>
        <w:ind w:firstLine="0" w:firstLineChars="0"/>
        <w:rPr>
          <w:rFonts w:ascii="宋体" w:hAnsi="宋体" w:cs="仿宋"/>
          <w:sz w:val="24"/>
          <w:szCs w:val="24"/>
          <w:lang w:val="en-US"/>
        </w:rPr>
      </w:pPr>
    </w:p>
    <w:p w14:paraId="2947B066">
      <w:pPr>
        <w:widowControl/>
        <w:jc w:val="left"/>
        <w:rPr>
          <w:rFonts w:ascii="宋体" w:hAnsi="宋体" w:cs="仿宋"/>
          <w:b/>
          <w:bCs/>
          <w:kern w:val="0"/>
          <w:sz w:val="24"/>
        </w:rPr>
      </w:pPr>
      <w:r>
        <w:rPr>
          <w:rFonts w:ascii="宋体" w:hAnsi="宋体" w:cs="仿宋"/>
          <w:b/>
          <w:bCs/>
          <w:sz w:val="24"/>
        </w:rPr>
        <w:br w:type="page"/>
      </w:r>
    </w:p>
    <w:p w14:paraId="75F6AA43">
      <w:pPr>
        <w:pStyle w:val="25"/>
        <w:spacing w:line="360" w:lineRule="auto"/>
        <w:ind w:firstLine="0" w:firstLineChars="0"/>
        <w:rPr>
          <w:rFonts w:ascii="宋体" w:hAnsi="宋体" w:cs="仿宋"/>
          <w:b/>
          <w:bCs/>
          <w:sz w:val="24"/>
          <w:szCs w:val="24"/>
          <w:lang w:val="en-US"/>
        </w:rPr>
      </w:pPr>
      <w:r>
        <w:rPr>
          <w:rFonts w:hint="eastAsia" w:ascii="宋体" w:hAnsi="宋体" w:cs="仿宋"/>
          <w:b/>
          <w:bCs/>
          <w:sz w:val="24"/>
          <w:szCs w:val="24"/>
          <w:lang w:val="en-US"/>
        </w:rPr>
        <w:t>详细评审</w:t>
      </w:r>
    </w:p>
    <w:p w14:paraId="12EEBB3D">
      <w:pPr>
        <w:snapToGrid w:val="0"/>
        <w:spacing w:line="360" w:lineRule="auto"/>
        <w:rPr>
          <w:rFonts w:ascii="宋体" w:hAnsi="宋体" w:cs="仿宋"/>
          <w:sz w:val="24"/>
        </w:rPr>
      </w:pPr>
      <w:r>
        <w:rPr>
          <w:rFonts w:hint="eastAsia" w:ascii="宋体" w:hAnsi="宋体" w:cs="仿宋"/>
          <w:b/>
          <w:sz w:val="24"/>
        </w:rPr>
        <w:t>分值构成：商务部分：10分  技术部分：78分  综合部分：12分</w:t>
      </w:r>
    </w:p>
    <w:tbl>
      <w:tblPr>
        <w:tblStyle w:val="27"/>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915"/>
        <w:gridCol w:w="1200"/>
        <w:gridCol w:w="6377"/>
      </w:tblGrid>
      <w:tr w14:paraId="6558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85" w:type="dxa"/>
            <w:gridSpan w:val="2"/>
            <w:vAlign w:val="center"/>
          </w:tcPr>
          <w:p w14:paraId="6B91C00A">
            <w:pPr>
              <w:snapToGrid w:val="0"/>
              <w:spacing w:line="360" w:lineRule="auto"/>
              <w:jc w:val="center"/>
              <w:rPr>
                <w:rFonts w:ascii="宋体" w:hAnsi="宋体" w:cs="仿宋"/>
                <w:b/>
                <w:sz w:val="24"/>
              </w:rPr>
            </w:pPr>
            <w:r>
              <w:rPr>
                <w:rFonts w:hint="eastAsia" w:ascii="宋体" w:hAnsi="宋体" w:cs="仿宋"/>
                <w:b/>
                <w:sz w:val="24"/>
              </w:rPr>
              <w:t>条款号</w:t>
            </w:r>
          </w:p>
        </w:tc>
        <w:tc>
          <w:tcPr>
            <w:tcW w:w="7577" w:type="dxa"/>
            <w:gridSpan w:val="2"/>
            <w:vAlign w:val="center"/>
          </w:tcPr>
          <w:p w14:paraId="51813844">
            <w:pPr>
              <w:snapToGrid w:val="0"/>
              <w:spacing w:line="360" w:lineRule="auto"/>
              <w:jc w:val="center"/>
              <w:rPr>
                <w:rFonts w:ascii="宋体" w:hAnsi="宋体" w:cs="仿宋"/>
                <w:b/>
                <w:sz w:val="24"/>
              </w:rPr>
            </w:pPr>
            <w:r>
              <w:rPr>
                <w:rFonts w:hint="eastAsia" w:ascii="宋体" w:hAnsi="宋体" w:cs="仿宋"/>
                <w:b/>
                <w:sz w:val="24"/>
              </w:rPr>
              <w:t>评分标准</w:t>
            </w:r>
          </w:p>
        </w:tc>
      </w:tr>
      <w:tr w14:paraId="5148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70" w:type="dxa"/>
            <w:tcBorders>
              <w:bottom w:val="single" w:color="auto" w:sz="4" w:space="0"/>
            </w:tcBorders>
            <w:vAlign w:val="center"/>
          </w:tcPr>
          <w:p w14:paraId="0D58A2AF">
            <w:pPr>
              <w:snapToGrid w:val="0"/>
              <w:spacing w:line="360" w:lineRule="auto"/>
              <w:jc w:val="center"/>
              <w:rPr>
                <w:rFonts w:ascii="宋体" w:hAnsi="宋体" w:cs="仿宋"/>
                <w:b/>
                <w:bCs/>
                <w:sz w:val="24"/>
              </w:rPr>
            </w:pPr>
            <w:r>
              <w:rPr>
                <w:rFonts w:hint="eastAsia" w:ascii="宋体" w:hAnsi="宋体" w:cs="仿宋"/>
                <w:b/>
                <w:bCs/>
                <w:sz w:val="24"/>
              </w:rPr>
              <w:t>2.1.1（1）</w:t>
            </w:r>
          </w:p>
        </w:tc>
        <w:tc>
          <w:tcPr>
            <w:tcW w:w="915" w:type="dxa"/>
            <w:tcBorders>
              <w:bottom w:val="single" w:color="auto" w:sz="4" w:space="0"/>
            </w:tcBorders>
            <w:vAlign w:val="center"/>
          </w:tcPr>
          <w:p w14:paraId="1C65DA16">
            <w:pPr>
              <w:snapToGrid w:val="0"/>
              <w:spacing w:line="360" w:lineRule="auto"/>
              <w:jc w:val="center"/>
              <w:rPr>
                <w:rFonts w:ascii="宋体" w:hAnsi="宋体" w:cs="仿宋"/>
                <w:b/>
                <w:bCs/>
                <w:sz w:val="24"/>
              </w:rPr>
            </w:pPr>
          </w:p>
          <w:p w14:paraId="0A6C2E8D">
            <w:pPr>
              <w:snapToGrid w:val="0"/>
              <w:spacing w:line="360" w:lineRule="auto"/>
              <w:jc w:val="center"/>
              <w:rPr>
                <w:rFonts w:ascii="宋体" w:hAnsi="宋体" w:cs="仿宋"/>
                <w:b/>
                <w:bCs/>
                <w:sz w:val="24"/>
              </w:rPr>
            </w:pPr>
            <w:r>
              <w:rPr>
                <w:rFonts w:hint="eastAsia" w:ascii="宋体" w:hAnsi="宋体" w:cs="仿宋"/>
                <w:b/>
                <w:bCs/>
                <w:sz w:val="24"/>
              </w:rPr>
              <w:t>商务</w:t>
            </w:r>
          </w:p>
          <w:p w14:paraId="73427F4E">
            <w:pPr>
              <w:snapToGrid w:val="0"/>
              <w:spacing w:line="360" w:lineRule="auto"/>
              <w:jc w:val="center"/>
              <w:rPr>
                <w:rFonts w:ascii="宋体" w:hAnsi="宋体" w:cs="仿宋"/>
                <w:b/>
                <w:bCs/>
                <w:sz w:val="24"/>
              </w:rPr>
            </w:pPr>
            <w:r>
              <w:rPr>
                <w:rFonts w:hint="eastAsia" w:ascii="宋体" w:hAnsi="宋体" w:cs="仿宋"/>
                <w:b/>
                <w:bCs/>
                <w:sz w:val="24"/>
              </w:rPr>
              <w:t>部分</w:t>
            </w:r>
          </w:p>
          <w:p w14:paraId="591ADA5B">
            <w:pPr>
              <w:snapToGrid w:val="0"/>
              <w:spacing w:line="360" w:lineRule="auto"/>
              <w:jc w:val="center"/>
              <w:rPr>
                <w:rFonts w:ascii="宋体" w:hAnsi="宋体" w:cs="仿宋"/>
                <w:b/>
                <w:bCs/>
                <w:sz w:val="24"/>
              </w:rPr>
            </w:pPr>
            <w:r>
              <w:rPr>
                <w:rFonts w:hint="eastAsia" w:ascii="宋体" w:hAnsi="宋体" w:cs="仿宋"/>
                <w:b/>
                <w:bCs/>
                <w:sz w:val="24"/>
              </w:rPr>
              <w:t>10分</w:t>
            </w:r>
          </w:p>
          <w:p w14:paraId="7637BB2F">
            <w:pPr>
              <w:snapToGrid w:val="0"/>
              <w:spacing w:line="360" w:lineRule="auto"/>
              <w:jc w:val="center"/>
              <w:rPr>
                <w:rFonts w:ascii="宋体" w:hAnsi="宋体" w:cs="仿宋"/>
                <w:sz w:val="24"/>
              </w:rPr>
            </w:pPr>
          </w:p>
        </w:tc>
        <w:tc>
          <w:tcPr>
            <w:tcW w:w="1200" w:type="dxa"/>
            <w:tcBorders>
              <w:bottom w:val="single" w:color="auto" w:sz="4" w:space="0"/>
            </w:tcBorders>
            <w:vAlign w:val="center"/>
          </w:tcPr>
          <w:p w14:paraId="5314EA04">
            <w:pPr>
              <w:adjustRightInd w:val="0"/>
              <w:snapToGrid w:val="0"/>
              <w:jc w:val="center"/>
              <w:rPr>
                <w:rFonts w:ascii="宋体" w:hAnsi="宋体" w:cs="仿宋"/>
                <w:szCs w:val="21"/>
              </w:rPr>
            </w:pPr>
            <w:r>
              <w:rPr>
                <w:rFonts w:hint="eastAsia" w:ascii="宋体" w:hAnsi="宋体" w:cs="仿宋"/>
                <w:szCs w:val="21"/>
              </w:rPr>
              <w:t>投标</w:t>
            </w:r>
          </w:p>
          <w:p w14:paraId="646283AD">
            <w:pPr>
              <w:adjustRightInd w:val="0"/>
              <w:snapToGrid w:val="0"/>
              <w:jc w:val="center"/>
              <w:rPr>
                <w:rFonts w:ascii="宋体" w:hAnsi="宋体" w:cs="仿宋"/>
                <w:szCs w:val="21"/>
              </w:rPr>
            </w:pPr>
            <w:r>
              <w:rPr>
                <w:rFonts w:hint="eastAsia" w:ascii="宋体" w:hAnsi="宋体" w:cs="仿宋"/>
                <w:szCs w:val="21"/>
              </w:rPr>
              <w:t>报价</w:t>
            </w:r>
          </w:p>
          <w:p w14:paraId="32627717">
            <w:pPr>
              <w:adjustRightInd w:val="0"/>
              <w:snapToGrid w:val="0"/>
              <w:jc w:val="center"/>
              <w:rPr>
                <w:rFonts w:ascii="宋体" w:hAnsi="宋体" w:cs="仿宋"/>
                <w:szCs w:val="21"/>
              </w:rPr>
            </w:pPr>
            <w:r>
              <w:rPr>
                <w:rFonts w:hint="eastAsia" w:ascii="宋体" w:hAnsi="宋体" w:cs="仿宋"/>
                <w:szCs w:val="21"/>
              </w:rPr>
              <w:t>（10分）</w:t>
            </w:r>
          </w:p>
        </w:tc>
        <w:tc>
          <w:tcPr>
            <w:tcW w:w="6377" w:type="dxa"/>
            <w:tcBorders>
              <w:bottom w:val="single" w:color="auto" w:sz="4" w:space="0"/>
            </w:tcBorders>
            <w:vAlign w:val="center"/>
          </w:tcPr>
          <w:p w14:paraId="067F6EC6">
            <w:pPr>
              <w:adjustRightInd w:val="0"/>
              <w:snapToGrid w:val="0"/>
              <w:rPr>
                <w:rFonts w:ascii="宋体" w:hAnsi="宋体" w:cs="仿宋"/>
                <w:szCs w:val="21"/>
              </w:rPr>
            </w:pPr>
            <w:r>
              <w:rPr>
                <w:rFonts w:hint="eastAsia" w:ascii="宋体" w:hAnsi="宋体" w:cs="仿宋"/>
                <w:szCs w:val="21"/>
              </w:rPr>
              <w:t>1.综合评分法中的价格分统一采用低价优先法计算，即满足招标文件要求且投标价格最低的报价为评标基准价，其价格分为满分。其他投标人的价格分统一按以下公式计算：</w:t>
            </w:r>
          </w:p>
          <w:p w14:paraId="61C944FF">
            <w:pPr>
              <w:adjustRightInd w:val="0"/>
              <w:snapToGrid w:val="0"/>
              <w:rPr>
                <w:rFonts w:ascii="宋体" w:hAnsi="宋体" w:cs="仿宋"/>
                <w:szCs w:val="21"/>
              </w:rPr>
            </w:pPr>
            <w:r>
              <w:rPr>
                <w:rFonts w:hint="eastAsia" w:ascii="宋体" w:hAnsi="宋体" w:cs="仿宋"/>
                <w:szCs w:val="21"/>
              </w:rPr>
              <w:t>投标报价得分=（评标基准价／投标报价）×10</w:t>
            </w:r>
          </w:p>
          <w:p w14:paraId="0168C4C8">
            <w:pPr>
              <w:numPr>
                <w:ilvl w:val="0"/>
                <w:numId w:val="6"/>
              </w:numPr>
              <w:adjustRightInd w:val="0"/>
              <w:snapToGrid w:val="0"/>
              <w:rPr>
                <w:rFonts w:ascii="宋体" w:hAnsi="宋体" w:cs="仿宋"/>
                <w:szCs w:val="21"/>
              </w:rPr>
            </w:pPr>
            <w:r>
              <w:rPr>
                <w:rFonts w:hint="eastAsia" w:ascii="宋体" w:hAnsi="宋体" w:cs="仿宋"/>
                <w:szCs w:val="21"/>
              </w:rPr>
              <w:t>投标人的报价超出最高投标限价的，按无效标处理。</w:t>
            </w:r>
          </w:p>
          <w:p w14:paraId="2B51CD7A">
            <w:pPr>
              <w:adjustRightInd w:val="0"/>
              <w:snapToGrid w:val="0"/>
              <w:rPr>
                <w:rFonts w:ascii="宋体" w:hAnsi="宋体" w:cs="仿宋"/>
                <w:szCs w:val="21"/>
              </w:rPr>
            </w:pPr>
            <w:r>
              <w:rPr>
                <w:rFonts w:hint="eastAsia" w:ascii="宋体" w:hAnsi="宋体" w:cs="仿宋"/>
                <w:szCs w:val="21"/>
              </w:rPr>
              <w:t>3.评标委员会认为投标人的报价明显低于其他通过符合性审查投标人的报价，有可能影响产品质量或者不能诚信履约的，应当要求其在电子交易系统中合理的时间内提供书面说明，必要时提交相关证明材料；投标人不能证明其报价合理性的，评标委员会应当将其作为无效投标处理。</w:t>
            </w:r>
          </w:p>
          <w:p w14:paraId="7C448A39">
            <w:pPr>
              <w:adjustRightInd w:val="0"/>
              <w:snapToGrid w:val="0"/>
              <w:rPr>
                <w:rFonts w:ascii="宋体" w:hAnsi="宋体" w:cs="仿宋"/>
                <w:b/>
                <w:bCs/>
                <w:szCs w:val="21"/>
              </w:rPr>
            </w:pPr>
            <w:r>
              <w:rPr>
                <w:rFonts w:hint="eastAsia" w:ascii="宋体" w:hAnsi="宋体" w:cs="仿宋"/>
                <w:szCs w:val="21"/>
              </w:rPr>
              <w:t>（1）</w:t>
            </w:r>
            <w:r>
              <w:rPr>
                <w:rFonts w:hint="eastAsia" w:ascii="宋体" w:hAnsi="宋体" w:cs="仿宋"/>
                <w:b/>
                <w:bCs/>
                <w:szCs w:val="21"/>
              </w:rPr>
              <w:t>根据财政部、工业和信息化部印发的《政府采购促进中小企业发展管理办法》（财库[2020]46号）的规定，对小型和微型企业产品的价格给予20%的扣除（工程项目为5%），用扣除后的价格参与评审。本项目中小企业行业划分为软件和信息技术服务业。</w:t>
            </w:r>
          </w:p>
          <w:p w14:paraId="6C77AE4B">
            <w:pPr>
              <w:adjustRightInd w:val="0"/>
              <w:snapToGrid w:val="0"/>
              <w:rPr>
                <w:rFonts w:ascii="宋体" w:hAnsi="宋体" w:cs="仿宋"/>
                <w:szCs w:val="21"/>
              </w:rPr>
            </w:pPr>
            <w:r>
              <w:rPr>
                <w:rFonts w:hint="eastAsia" w:ascii="宋体" w:hAnsi="宋体" w:cs="仿宋"/>
                <w:szCs w:val="21"/>
              </w:rPr>
              <w:t>（2）在政府采购活动中，供应商提供的货物、工程或者服务符合下列情形的，享受本办法规定的中小企业扶持政策：</w:t>
            </w:r>
          </w:p>
          <w:p w14:paraId="466665F6">
            <w:pPr>
              <w:adjustRightInd w:val="0"/>
              <w:snapToGrid w:val="0"/>
              <w:rPr>
                <w:rFonts w:ascii="宋体" w:hAnsi="宋体" w:cs="仿宋"/>
                <w:szCs w:val="21"/>
              </w:rPr>
            </w:pPr>
            <w:r>
              <w:rPr>
                <w:rFonts w:hint="eastAsia" w:ascii="宋体" w:hAnsi="宋体" w:cs="仿宋"/>
                <w:szCs w:val="21"/>
              </w:rPr>
              <w:t>（一）在货物采购项目中，货物由中小企业制造，即货物由中小企业生产且使用该中小企业商号或者注册商标；</w:t>
            </w:r>
          </w:p>
          <w:p w14:paraId="61626BCD">
            <w:pPr>
              <w:adjustRightInd w:val="0"/>
              <w:snapToGrid w:val="0"/>
              <w:rPr>
                <w:rFonts w:ascii="宋体" w:hAnsi="宋体" w:cs="仿宋"/>
                <w:szCs w:val="21"/>
              </w:rPr>
            </w:pPr>
            <w:r>
              <w:rPr>
                <w:rFonts w:hint="eastAsia" w:ascii="宋体" w:hAnsi="宋体" w:cs="仿宋"/>
                <w:szCs w:val="21"/>
              </w:rPr>
              <w:t>（二）在工程采购项目中，工程由中小企业承建，即工程施工单位为中小企业；</w:t>
            </w:r>
          </w:p>
          <w:p w14:paraId="17CE84B9">
            <w:pPr>
              <w:adjustRightInd w:val="0"/>
              <w:snapToGrid w:val="0"/>
              <w:rPr>
                <w:rFonts w:ascii="宋体" w:hAnsi="宋体" w:cs="仿宋"/>
                <w:szCs w:val="21"/>
              </w:rPr>
            </w:pPr>
            <w:r>
              <w:rPr>
                <w:rFonts w:hint="eastAsia" w:ascii="宋体" w:hAnsi="宋体" w:cs="仿宋"/>
                <w:szCs w:val="21"/>
              </w:rPr>
              <w:t>（三）在服务采购项目中，服务由中小企业承接，即提供服务的人员为中小企业依照《中华人民共和国劳动合同法》订立劳动合同的从业人员。</w:t>
            </w:r>
          </w:p>
          <w:p w14:paraId="68C65A3D">
            <w:pPr>
              <w:adjustRightInd w:val="0"/>
              <w:snapToGrid w:val="0"/>
              <w:rPr>
                <w:rFonts w:ascii="宋体" w:hAnsi="宋体" w:cs="仿宋"/>
                <w:szCs w:val="21"/>
              </w:rPr>
            </w:pPr>
            <w:r>
              <w:rPr>
                <w:rFonts w:hint="eastAsia" w:ascii="宋体" w:hAnsi="宋体" w:cs="仿宋"/>
                <w:szCs w:val="21"/>
              </w:rPr>
              <w:t>在货物采购项目中，供应商提供的货物既有中小企业制造货物，也有大型企业制造货物的，不享受本办法规定的中小企业扶持政策。</w:t>
            </w:r>
          </w:p>
          <w:p w14:paraId="1C80B65F">
            <w:pPr>
              <w:adjustRightInd w:val="0"/>
              <w:snapToGrid w:val="0"/>
              <w:rPr>
                <w:rFonts w:ascii="宋体" w:hAnsi="宋体" w:cs="仿宋"/>
                <w:szCs w:val="21"/>
              </w:rPr>
            </w:pPr>
            <w:r>
              <w:rPr>
                <w:rFonts w:hint="eastAsia" w:ascii="宋体" w:hAnsi="宋体" w:cs="仿宋"/>
                <w:szCs w:val="21"/>
              </w:rPr>
              <w:t>以联合体形式参加政府采购活动，联合体各方均为中小企业的，联合体视同中小企业。其中，联合体各方均为小微企业的，联合体视同小微企业。</w:t>
            </w:r>
          </w:p>
          <w:p w14:paraId="10E116AF">
            <w:pPr>
              <w:adjustRightInd w:val="0"/>
              <w:snapToGrid w:val="0"/>
              <w:rPr>
                <w:rFonts w:ascii="宋体" w:hAnsi="宋体" w:cs="仿宋"/>
                <w:szCs w:val="21"/>
              </w:rPr>
            </w:pPr>
            <w:r>
              <w:rPr>
                <w:rFonts w:hint="eastAsia" w:ascii="宋体" w:hAnsi="宋体" w:cs="仿宋"/>
                <w:szCs w:val="21"/>
              </w:rPr>
              <w:t>中小企业参加政府采购活动，应当出具《中小企业声明函》，否则不得享受相关中小企业扶持政策。任何单位和个人不得要求供应商提供《中小企业声明函》之外的中小企业身份证明文件。</w:t>
            </w:r>
          </w:p>
          <w:p w14:paraId="262FE595">
            <w:pPr>
              <w:adjustRightInd w:val="0"/>
              <w:snapToGrid w:val="0"/>
              <w:rPr>
                <w:rFonts w:ascii="宋体" w:hAnsi="宋体" w:cs="仿宋"/>
                <w:szCs w:val="21"/>
              </w:rPr>
            </w:pPr>
            <w:r>
              <w:rPr>
                <w:rFonts w:hint="eastAsia" w:ascii="宋体" w:hAnsi="宋体" w:cs="仿宋"/>
                <w:szCs w:val="21"/>
              </w:rPr>
              <w:t>（四）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14:paraId="16874CD7">
            <w:pPr>
              <w:adjustRightInd w:val="0"/>
              <w:snapToGrid w:val="0"/>
              <w:rPr>
                <w:rFonts w:ascii="宋体" w:hAnsi="宋体" w:cs="仿宋"/>
                <w:szCs w:val="21"/>
              </w:rPr>
            </w:pPr>
            <w:r>
              <w:rPr>
                <w:rFonts w:hint="eastAsia" w:ascii="宋体" w:hAnsi="宋体" w:cs="仿宋"/>
                <w:szCs w:val="21"/>
              </w:rPr>
              <w:t>（五）残疾人福利性单位视同小型或微型企业（投标人若为残疾人福利性单位，须按规定提供《残疾人福利性单位声明函》（见投标文件格式部分），并对其真实性负责；）</w:t>
            </w:r>
          </w:p>
          <w:p w14:paraId="5F9B8110">
            <w:pPr>
              <w:adjustRightInd w:val="0"/>
              <w:snapToGrid w:val="0"/>
              <w:rPr>
                <w:rFonts w:ascii="宋体" w:hAnsi="宋体" w:cs="仿宋"/>
                <w:szCs w:val="21"/>
              </w:rPr>
            </w:pPr>
            <w:r>
              <w:rPr>
                <w:rFonts w:hint="eastAsia" w:ascii="宋体" w:hAnsi="宋体" w:cs="仿宋"/>
                <w:szCs w:val="21"/>
              </w:rPr>
              <w:t>同一投标人，小型企业或微型企业、监狱企业、残疾人福利性单位价格扣除优惠只享受一次，不得重复享受。</w:t>
            </w:r>
          </w:p>
          <w:p w14:paraId="6BB31C0D">
            <w:pPr>
              <w:adjustRightInd w:val="0"/>
              <w:snapToGrid w:val="0"/>
              <w:rPr>
                <w:rFonts w:ascii="宋体" w:hAnsi="宋体" w:cs="仿宋"/>
                <w:szCs w:val="21"/>
              </w:rPr>
            </w:pPr>
            <w:r>
              <w:rPr>
                <w:rFonts w:hint="eastAsia" w:ascii="宋体" w:hAnsi="宋体" w:cs="仿宋"/>
                <w:szCs w:val="21"/>
              </w:rPr>
              <w:t>（六）根据上述要求计算得出的价格仅限于评标时使用，对中标价格没有任何影响。</w:t>
            </w:r>
          </w:p>
        </w:tc>
      </w:tr>
      <w:tr w14:paraId="2C2E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70" w:type="dxa"/>
            <w:vMerge w:val="restart"/>
            <w:tcBorders>
              <w:top w:val="single" w:color="auto" w:sz="4" w:space="0"/>
              <w:left w:val="single" w:color="auto" w:sz="4" w:space="0"/>
            </w:tcBorders>
            <w:vAlign w:val="center"/>
          </w:tcPr>
          <w:p w14:paraId="53030805">
            <w:pPr>
              <w:spacing w:line="360" w:lineRule="auto"/>
              <w:jc w:val="center"/>
              <w:rPr>
                <w:rFonts w:ascii="宋体" w:hAnsi="宋体" w:cs="仿宋"/>
                <w:b/>
                <w:bCs/>
                <w:sz w:val="24"/>
              </w:rPr>
            </w:pPr>
            <w:r>
              <w:rPr>
                <w:rFonts w:hint="eastAsia" w:ascii="宋体" w:hAnsi="宋体" w:cs="仿宋"/>
                <w:b/>
                <w:bCs/>
                <w:sz w:val="24"/>
              </w:rPr>
              <w:t>2.2.1（2）</w:t>
            </w:r>
          </w:p>
        </w:tc>
        <w:tc>
          <w:tcPr>
            <w:tcW w:w="915" w:type="dxa"/>
            <w:vMerge w:val="restart"/>
            <w:tcBorders>
              <w:top w:val="single" w:color="auto" w:sz="4" w:space="0"/>
            </w:tcBorders>
            <w:vAlign w:val="center"/>
          </w:tcPr>
          <w:p w14:paraId="365780FB">
            <w:pPr>
              <w:spacing w:line="360" w:lineRule="auto"/>
              <w:jc w:val="center"/>
              <w:rPr>
                <w:rFonts w:ascii="宋体" w:hAnsi="宋体" w:cs="仿宋"/>
                <w:b/>
                <w:bCs/>
                <w:sz w:val="24"/>
              </w:rPr>
            </w:pPr>
            <w:r>
              <w:rPr>
                <w:rFonts w:hint="eastAsia" w:ascii="宋体" w:hAnsi="宋体" w:cs="仿宋"/>
                <w:b/>
                <w:bCs/>
                <w:sz w:val="24"/>
              </w:rPr>
              <w:t>技术</w:t>
            </w:r>
          </w:p>
          <w:p w14:paraId="55FBFCDE">
            <w:pPr>
              <w:spacing w:line="360" w:lineRule="auto"/>
              <w:jc w:val="center"/>
              <w:rPr>
                <w:rFonts w:ascii="宋体" w:hAnsi="宋体" w:cs="仿宋"/>
                <w:b/>
                <w:bCs/>
                <w:sz w:val="24"/>
              </w:rPr>
            </w:pPr>
            <w:r>
              <w:rPr>
                <w:rFonts w:hint="eastAsia" w:ascii="宋体" w:hAnsi="宋体" w:cs="仿宋"/>
                <w:b/>
                <w:bCs/>
                <w:sz w:val="24"/>
              </w:rPr>
              <w:t>部分</w:t>
            </w:r>
          </w:p>
          <w:p w14:paraId="3F20A8C4">
            <w:pPr>
              <w:spacing w:line="360" w:lineRule="auto"/>
              <w:jc w:val="center"/>
              <w:rPr>
                <w:rFonts w:ascii="宋体" w:hAnsi="宋体" w:cs="仿宋"/>
                <w:b/>
                <w:bCs/>
                <w:sz w:val="24"/>
              </w:rPr>
            </w:pPr>
            <w:r>
              <w:rPr>
                <w:rFonts w:hint="eastAsia" w:ascii="宋体" w:hAnsi="宋体" w:cs="仿宋"/>
                <w:b/>
                <w:bCs/>
                <w:sz w:val="24"/>
              </w:rPr>
              <w:t>78分</w:t>
            </w:r>
          </w:p>
        </w:tc>
        <w:tc>
          <w:tcPr>
            <w:tcW w:w="1200" w:type="dxa"/>
            <w:tcBorders>
              <w:top w:val="single" w:color="auto" w:sz="4" w:space="0"/>
            </w:tcBorders>
            <w:vAlign w:val="center"/>
          </w:tcPr>
          <w:p w14:paraId="62F7320E">
            <w:pPr>
              <w:adjustRightInd w:val="0"/>
              <w:snapToGrid w:val="0"/>
              <w:jc w:val="center"/>
              <w:rPr>
                <w:rFonts w:ascii="宋体" w:hAnsi="宋体" w:cs="仿宋"/>
                <w:szCs w:val="21"/>
              </w:rPr>
            </w:pPr>
            <w:r>
              <w:rPr>
                <w:rFonts w:hint="eastAsia" w:ascii="宋体" w:hAnsi="宋体" w:cs="仿宋"/>
                <w:szCs w:val="21"/>
              </w:rPr>
              <w:t>1、技术参数响应情况（30分）</w:t>
            </w:r>
          </w:p>
        </w:tc>
        <w:tc>
          <w:tcPr>
            <w:tcW w:w="6377" w:type="dxa"/>
            <w:tcBorders>
              <w:top w:val="single" w:color="auto" w:sz="4" w:space="0"/>
              <w:right w:val="single" w:color="auto" w:sz="4" w:space="0"/>
            </w:tcBorders>
            <w:vAlign w:val="center"/>
          </w:tcPr>
          <w:p w14:paraId="7DCF519E">
            <w:pPr>
              <w:adjustRightInd w:val="0"/>
              <w:snapToGrid w:val="0"/>
              <w:rPr>
                <w:rFonts w:ascii="宋体" w:hAnsi="宋体" w:cs="仿宋"/>
                <w:szCs w:val="21"/>
              </w:rPr>
            </w:pPr>
            <w:r>
              <w:rPr>
                <w:rFonts w:hint="eastAsia" w:ascii="宋体" w:hAnsi="宋体" w:cs="仿宋"/>
                <w:szCs w:val="21"/>
              </w:rPr>
              <w:t>本项目基本分30分，投标人提供的软硬件，完全满足或优于招标文件技术参数要求的得基本分30分；</w:t>
            </w:r>
          </w:p>
          <w:p w14:paraId="157B03C0">
            <w:pPr>
              <w:adjustRightInd w:val="0"/>
              <w:snapToGrid w:val="0"/>
              <w:rPr>
                <w:rFonts w:ascii="宋体" w:hAnsi="宋体" w:cs="仿宋"/>
                <w:szCs w:val="21"/>
              </w:rPr>
            </w:pPr>
            <w:r>
              <w:rPr>
                <w:rFonts w:hint="eastAsia" w:ascii="宋体" w:hAnsi="宋体" w:cs="仿宋"/>
                <w:szCs w:val="21"/>
              </w:rPr>
              <w:t>产品参数中带“★”号项为重要参数，每有1条不满足，在基本分的基础数上扣2分，扣完为止；</w:t>
            </w:r>
          </w:p>
          <w:p w14:paraId="2B4B9F37">
            <w:pPr>
              <w:adjustRightInd w:val="0"/>
              <w:snapToGrid w:val="0"/>
              <w:rPr>
                <w:rFonts w:ascii="宋体" w:hAnsi="宋体" w:cs="仿宋"/>
                <w:szCs w:val="21"/>
              </w:rPr>
            </w:pPr>
            <w:r>
              <w:rPr>
                <w:rFonts w:hint="eastAsia" w:ascii="宋体" w:hAnsi="宋体" w:cs="仿宋"/>
                <w:szCs w:val="21"/>
              </w:rPr>
              <w:t>产品参数中非带“★”号项为一般参数，每有1条不满足，在基本分的基础数上扣1分，扣完为止；</w:t>
            </w:r>
          </w:p>
          <w:p w14:paraId="40482E89">
            <w:pPr>
              <w:adjustRightInd w:val="0"/>
              <w:snapToGrid w:val="0"/>
              <w:rPr>
                <w:rFonts w:ascii="宋体" w:hAnsi="宋体" w:cs="仿宋"/>
                <w:szCs w:val="21"/>
              </w:rPr>
            </w:pPr>
            <w:r>
              <w:rPr>
                <w:rFonts w:hint="eastAsia" w:ascii="宋体" w:hAnsi="宋体" w:cs="仿宋"/>
                <w:szCs w:val="21"/>
              </w:rPr>
              <w:t>技术条款必须如实响应，如发现虚假响应，则取消投标资格。备注:参数中要求提供相关证明材料未提供者视为不满足，相关证明材料包括但不限于软件著作权、产品说明书、产品彩页等。</w:t>
            </w:r>
          </w:p>
        </w:tc>
      </w:tr>
      <w:tr w14:paraId="7680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70" w:type="dxa"/>
            <w:vMerge w:val="continue"/>
            <w:tcBorders>
              <w:left w:val="single" w:color="auto" w:sz="4" w:space="0"/>
            </w:tcBorders>
            <w:vAlign w:val="center"/>
          </w:tcPr>
          <w:p w14:paraId="3A2DC47B">
            <w:pPr>
              <w:spacing w:line="360" w:lineRule="auto"/>
              <w:jc w:val="center"/>
              <w:rPr>
                <w:rFonts w:ascii="宋体" w:hAnsi="宋体" w:cs="仿宋"/>
                <w:b/>
                <w:bCs/>
                <w:sz w:val="24"/>
              </w:rPr>
            </w:pPr>
          </w:p>
        </w:tc>
        <w:tc>
          <w:tcPr>
            <w:tcW w:w="915" w:type="dxa"/>
            <w:vMerge w:val="continue"/>
            <w:vAlign w:val="center"/>
          </w:tcPr>
          <w:p w14:paraId="08D76945">
            <w:pPr>
              <w:spacing w:line="360" w:lineRule="auto"/>
              <w:jc w:val="center"/>
              <w:rPr>
                <w:rFonts w:ascii="宋体" w:hAnsi="宋体" w:cs="仿宋"/>
                <w:b/>
                <w:bCs/>
                <w:sz w:val="24"/>
              </w:rPr>
            </w:pPr>
          </w:p>
        </w:tc>
        <w:tc>
          <w:tcPr>
            <w:tcW w:w="1200" w:type="dxa"/>
            <w:tcBorders>
              <w:top w:val="single" w:color="auto" w:sz="4" w:space="0"/>
            </w:tcBorders>
            <w:vAlign w:val="center"/>
          </w:tcPr>
          <w:p w14:paraId="4AEE3397">
            <w:pPr>
              <w:adjustRightInd w:val="0"/>
              <w:snapToGrid w:val="0"/>
              <w:jc w:val="center"/>
              <w:rPr>
                <w:rFonts w:ascii="宋体" w:hAnsi="宋体" w:cs="仿宋"/>
                <w:szCs w:val="21"/>
              </w:rPr>
            </w:pPr>
            <w:r>
              <w:rPr>
                <w:rFonts w:hint="eastAsia" w:ascii="宋体" w:hAnsi="宋体" w:cs="仿宋"/>
                <w:szCs w:val="21"/>
              </w:rPr>
              <w:t>2、需求理解和分析（10分）</w:t>
            </w:r>
          </w:p>
        </w:tc>
        <w:tc>
          <w:tcPr>
            <w:tcW w:w="6377" w:type="dxa"/>
            <w:tcBorders>
              <w:top w:val="single" w:color="auto" w:sz="4" w:space="0"/>
              <w:right w:val="single" w:color="auto" w:sz="4" w:space="0"/>
            </w:tcBorders>
            <w:vAlign w:val="center"/>
          </w:tcPr>
          <w:p w14:paraId="77705A38">
            <w:pPr>
              <w:adjustRightInd w:val="0"/>
              <w:snapToGrid w:val="0"/>
              <w:rPr>
                <w:rFonts w:ascii="宋体" w:hAnsi="宋体" w:cs="仿宋"/>
                <w:szCs w:val="21"/>
              </w:rPr>
            </w:pPr>
            <w:r>
              <w:rPr>
                <w:rFonts w:hint="eastAsia" w:ascii="宋体" w:hAnsi="宋体" w:cs="仿宋"/>
                <w:szCs w:val="21"/>
              </w:rPr>
              <w:t>评委根据投标人提供的需求理解和分析(包括对本项目建设背景、可行性分析、建设目标、建设内容、功能需求等)进行综合评分：</w:t>
            </w:r>
          </w:p>
          <w:p w14:paraId="2C421C18">
            <w:pPr>
              <w:adjustRightInd w:val="0"/>
              <w:snapToGrid w:val="0"/>
              <w:rPr>
                <w:rFonts w:ascii="宋体" w:hAnsi="宋体" w:cs="仿宋"/>
                <w:szCs w:val="21"/>
              </w:rPr>
            </w:pPr>
            <w:r>
              <w:rPr>
                <w:rFonts w:hint="eastAsia" w:ascii="宋体" w:hAnsi="宋体" w:cs="仿宋"/>
                <w:szCs w:val="21"/>
              </w:rPr>
              <w:t>（1）需求分析内容完整，分析到位，且分析的具体情况和本次招标项目的契合度高，有针对性的得10分；</w:t>
            </w:r>
          </w:p>
          <w:p w14:paraId="7F3C8108">
            <w:pPr>
              <w:adjustRightInd w:val="0"/>
              <w:snapToGrid w:val="0"/>
              <w:rPr>
                <w:rFonts w:ascii="宋体" w:hAnsi="宋体" w:cs="仿宋"/>
                <w:szCs w:val="21"/>
              </w:rPr>
            </w:pPr>
            <w:r>
              <w:rPr>
                <w:rFonts w:hint="eastAsia" w:ascii="宋体" w:hAnsi="宋体" w:cs="仿宋"/>
                <w:szCs w:val="21"/>
              </w:rPr>
              <w:t>（2）需求分析内容完整，分析的具体情况和本次招标项目的契合度一般，得5分；</w:t>
            </w:r>
          </w:p>
          <w:p w14:paraId="4F2F1893">
            <w:pPr>
              <w:adjustRightInd w:val="0"/>
              <w:snapToGrid w:val="0"/>
              <w:rPr>
                <w:rFonts w:ascii="宋体" w:hAnsi="宋体" w:cs="仿宋"/>
                <w:szCs w:val="21"/>
              </w:rPr>
            </w:pPr>
            <w:r>
              <w:rPr>
                <w:rFonts w:hint="eastAsia" w:ascii="宋体" w:hAnsi="宋体" w:cs="仿宋"/>
                <w:szCs w:val="21"/>
              </w:rPr>
              <w:t>（3）需求理解和分析内容基本全面的，得2分；</w:t>
            </w:r>
          </w:p>
          <w:p w14:paraId="2F3DF230">
            <w:pPr>
              <w:adjustRightInd w:val="0"/>
              <w:snapToGrid w:val="0"/>
              <w:rPr>
                <w:rFonts w:ascii="宋体" w:hAnsi="宋体" w:cs="仿宋"/>
                <w:szCs w:val="21"/>
              </w:rPr>
            </w:pPr>
            <w:r>
              <w:rPr>
                <w:rFonts w:hint="eastAsia" w:ascii="宋体" w:hAnsi="宋体" w:cs="仿宋"/>
                <w:szCs w:val="21"/>
              </w:rPr>
              <w:t>（4）需求理解和分析内容不全面或未提供的，不得分。</w:t>
            </w:r>
          </w:p>
        </w:tc>
      </w:tr>
      <w:tr w14:paraId="1611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70" w:type="dxa"/>
            <w:vMerge w:val="continue"/>
            <w:tcBorders>
              <w:left w:val="single" w:color="auto" w:sz="4" w:space="0"/>
            </w:tcBorders>
            <w:vAlign w:val="center"/>
          </w:tcPr>
          <w:p w14:paraId="2FD84B52">
            <w:pPr>
              <w:spacing w:line="360" w:lineRule="auto"/>
              <w:jc w:val="center"/>
              <w:rPr>
                <w:rFonts w:ascii="宋体" w:hAnsi="宋体" w:cs="仿宋"/>
                <w:b/>
                <w:bCs/>
                <w:sz w:val="24"/>
              </w:rPr>
            </w:pPr>
          </w:p>
        </w:tc>
        <w:tc>
          <w:tcPr>
            <w:tcW w:w="915" w:type="dxa"/>
            <w:vMerge w:val="continue"/>
            <w:vAlign w:val="center"/>
          </w:tcPr>
          <w:p w14:paraId="17CE46C2">
            <w:pPr>
              <w:spacing w:line="360" w:lineRule="auto"/>
              <w:jc w:val="center"/>
              <w:rPr>
                <w:rFonts w:ascii="宋体" w:hAnsi="宋体" w:cs="仿宋"/>
                <w:b/>
                <w:bCs/>
                <w:sz w:val="24"/>
              </w:rPr>
            </w:pPr>
          </w:p>
        </w:tc>
        <w:tc>
          <w:tcPr>
            <w:tcW w:w="1200" w:type="dxa"/>
            <w:tcBorders>
              <w:top w:val="single" w:color="auto" w:sz="4" w:space="0"/>
            </w:tcBorders>
            <w:vAlign w:val="center"/>
          </w:tcPr>
          <w:p w14:paraId="5F7D3C45">
            <w:pPr>
              <w:adjustRightInd w:val="0"/>
              <w:snapToGrid w:val="0"/>
              <w:jc w:val="center"/>
              <w:rPr>
                <w:rFonts w:ascii="宋体" w:hAnsi="宋体" w:cs="仿宋"/>
                <w:szCs w:val="21"/>
              </w:rPr>
            </w:pPr>
            <w:r>
              <w:rPr>
                <w:rFonts w:hint="eastAsia" w:ascii="宋体" w:hAnsi="宋体" w:cs="仿宋"/>
                <w:szCs w:val="21"/>
              </w:rPr>
              <w:t>3、专项设计方案（10分）</w:t>
            </w:r>
          </w:p>
        </w:tc>
        <w:tc>
          <w:tcPr>
            <w:tcW w:w="6377" w:type="dxa"/>
            <w:tcBorders>
              <w:top w:val="single" w:color="auto" w:sz="4" w:space="0"/>
              <w:right w:val="single" w:color="auto" w:sz="4" w:space="0"/>
            </w:tcBorders>
            <w:vAlign w:val="center"/>
          </w:tcPr>
          <w:p w14:paraId="7EA59C80">
            <w:pPr>
              <w:adjustRightInd w:val="0"/>
              <w:snapToGrid w:val="0"/>
              <w:rPr>
                <w:rFonts w:ascii="宋体" w:hAnsi="宋体" w:cs="仿宋"/>
                <w:szCs w:val="21"/>
              </w:rPr>
            </w:pPr>
            <w:r>
              <w:rPr>
                <w:rFonts w:hint="eastAsia" w:ascii="宋体" w:hAnsi="宋体" w:cs="仿宋"/>
                <w:szCs w:val="21"/>
              </w:rPr>
              <w:t>投标人应制定具体的专项技术方案，列明技术架构，设计原则、逻辑层次，功能介绍等，评委根据各投标人提供的方案综合评价后按以下标准进行综合打分：</w:t>
            </w:r>
          </w:p>
          <w:p w14:paraId="3271D310">
            <w:pPr>
              <w:adjustRightInd w:val="0"/>
              <w:snapToGrid w:val="0"/>
              <w:rPr>
                <w:rFonts w:ascii="宋体" w:hAnsi="宋体" w:cs="仿宋"/>
                <w:szCs w:val="21"/>
              </w:rPr>
            </w:pPr>
            <w:r>
              <w:rPr>
                <w:rFonts w:hint="eastAsia" w:ascii="宋体" w:hAnsi="宋体" w:cs="仿宋"/>
                <w:szCs w:val="21"/>
              </w:rPr>
              <w:t>（1）设计方案科学、合理、可行的，得10分；</w:t>
            </w:r>
          </w:p>
          <w:p w14:paraId="53BACA54">
            <w:pPr>
              <w:adjustRightInd w:val="0"/>
              <w:snapToGrid w:val="0"/>
              <w:rPr>
                <w:rFonts w:ascii="宋体" w:hAnsi="宋体" w:cs="仿宋"/>
                <w:szCs w:val="21"/>
              </w:rPr>
            </w:pPr>
            <w:r>
              <w:rPr>
                <w:rFonts w:hint="eastAsia" w:ascii="宋体" w:hAnsi="宋体" w:cs="仿宋"/>
                <w:szCs w:val="21"/>
              </w:rPr>
              <w:t>（2）设计方案比较合理、可行的，得5分；</w:t>
            </w:r>
          </w:p>
          <w:p w14:paraId="3FF0D73A">
            <w:pPr>
              <w:adjustRightInd w:val="0"/>
              <w:snapToGrid w:val="0"/>
              <w:rPr>
                <w:rFonts w:ascii="宋体" w:hAnsi="宋体" w:cs="仿宋"/>
                <w:szCs w:val="21"/>
              </w:rPr>
            </w:pPr>
            <w:r>
              <w:rPr>
                <w:rFonts w:hint="eastAsia" w:ascii="宋体" w:hAnsi="宋体" w:cs="仿宋"/>
                <w:szCs w:val="21"/>
              </w:rPr>
              <w:t>（3）设计方案基本合理的，得2分；</w:t>
            </w:r>
          </w:p>
          <w:p w14:paraId="627DFAF5">
            <w:pPr>
              <w:adjustRightInd w:val="0"/>
              <w:snapToGrid w:val="0"/>
              <w:rPr>
                <w:rFonts w:ascii="宋体" w:hAnsi="宋体" w:cs="仿宋"/>
                <w:szCs w:val="21"/>
              </w:rPr>
            </w:pPr>
            <w:r>
              <w:rPr>
                <w:rFonts w:hint="eastAsia" w:ascii="宋体" w:hAnsi="宋体" w:cs="仿宋"/>
                <w:szCs w:val="21"/>
              </w:rPr>
              <w:t>（4）设计方案不可行或未提供的，不得分。</w:t>
            </w:r>
          </w:p>
        </w:tc>
      </w:tr>
      <w:tr w14:paraId="5B04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70" w:type="dxa"/>
            <w:vMerge w:val="continue"/>
            <w:tcBorders>
              <w:left w:val="single" w:color="auto" w:sz="4" w:space="0"/>
            </w:tcBorders>
            <w:vAlign w:val="center"/>
          </w:tcPr>
          <w:p w14:paraId="3C075AA1">
            <w:pPr>
              <w:spacing w:line="360" w:lineRule="auto"/>
              <w:jc w:val="center"/>
              <w:rPr>
                <w:rFonts w:ascii="宋体" w:hAnsi="宋体" w:cs="仿宋"/>
                <w:b/>
                <w:bCs/>
                <w:sz w:val="24"/>
              </w:rPr>
            </w:pPr>
          </w:p>
        </w:tc>
        <w:tc>
          <w:tcPr>
            <w:tcW w:w="915" w:type="dxa"/>
            <w:vMerge w:val="continue"/>
            <w:vAlign w:val="center"/>
          </w:tcPr>
          <w:p w14:paraId="012CA450">
            <w:pPr>
              <w:spacing w:line="360" w:lineRule="auto"/>
              <w:jc w:val="center"/>
              <w:rPr>
                <w:rFonts w:ascii="宋体" w:hAnsi="宋体" w:cs="仿宋"/>
                <w:b/>
                <w:bCs/>
                <w:sz w:val="24"/>
              </w:rPr>
            </w:pPr>
          </w:p>
        </w:tc>
        <w:tc>
          <w:tcPr>
            <w:tcW w:w="1200" w:type="dxa"/>
            <w:tcBorders>
              <w:top w:val="single" w:color="auto" w:sz="4" w:space="0"/>
            </w:tcBorders>
            <w:vAlign w:val="center"/>
          </w:tcPr>
          <w:p w14:paraId="28A85207">
            <w:pPr>
              <w:adjustRightInd w:val="0"/>
              <w:snapToGrid w:val="0"/>
              <w:jc w:val="center"/>
              <w:rPr>
                <w:rFonts w:ascii="宋体" w:hAnsi="宋体" w:cs="仿宋"/>
                <w:szCs w:val="21"/>
              </w:rPr>
            </w:pPr>
            <w:r>
              <w:rPr>
                <w:rFonts w:hint="eastAsia" w:ascii="宋体" w:hAnsi="宋体" w:cs="仿宋"/>
                <w:szCs w:val="21"/>
              </w:rPr>
              <w:t>4、项目管理方案（8分）</w:t>
            </w:r>
          </w:p>
        </w:tc>
        <w:tc>
          <w:tcPr>
            <w:tcW w:w="6377" w:type="dxa"/>
            <w:tcBorders>
              <w:top w:val="single" w:color="auto" w:sz="4" w:space="0"/>
              <w:right w:val="single" w:color="auto" w:sz="4" w:space="0"/>
            </w:tcBorders>
            <w:vAlign w:val="center"/>
          </w:tcPr>
          <w:p w14:paraId="0DFCC838">
            <w:pPr>
              <w:adjustRightInd w:val="0"/>
              <w:snapToGrid w:val="0"/>
              <w:rPr>
                <w:rFonts w:ascii="宋体" w:hAnsi="宋体" w:cs="仿宋"/>
                <w:szCs w:val="21"/>
              </w:rPr>
            </w:pPr>
            <w:r>
              <w:rPr>
                <w:rFonts w:hint="eastAsia" w:ascii="宋体" w:hAnsi="宋体" w:cs="仿宋"/>
                <w:szCs w:val="21"/>
              </w:rPr>
              <w:t>评委根据投标人编写的项目实施方案(包括项目进度管理、项目质量管理、项目沟通管理、项目变更管理、项目风险管理及人员安排等)进行综合评分：</w:t>
            </w:r>
          </w:p>
          <w:p w14:paraId="3599CC8F">
            <w:pPr>
              <w:adjustRightInd w:val="0"/>
              <w:snapToGrid w:val="0"/>
              <w:rPr>
                <w:rFonts w:ascii="宋体" w:hAnsi="宋体" w:cs="仿宋"/>
                <w:szCs w:val="21"/>
              </w:rPr>
            </w:pPr>
            <w:r>
              <w:rPr>
                <w:rFonts w:hint="eastAsia" w:ascii="宋体" w:hAnsi="宋体" w:cs="仿宋"/>
                <w:szCs w:val="21"/>
              </w:rPr>
              <w:t>（1）实施方案进度安排合理可行，有明确的阶段划分，目标明确，计划细致，得8分；</w:t>
            </w:r>
          </w:p>
          <w:p w14:paraId="684956F9">
            <w:pPr>
              <w:adjustRightInd w:val="0"/>
              <w:snapToGrid w:val="0"/>
              <w:rPr>
                <w:rFonts w:ascii="宋体" w:hAnsi="宋体" w:cs="仿宋"/>
                <w:szCs w:val="21"/>
              </w:rPr>
            </w:pPr>
            <w:r>
              <w:rPr>
                <w:rFonts w:hint="eastAsia" w:ascii="宋体" w:hAnsi="宋体" w:cs="仿宋"/>
                <w:szCs w:val="21"/>
              </w:rPr>
              <w:t>（2）实施方案进度安排较合理可行，有较明确的阶段划分，目标较明确，计划较细致，得4分；</w:t>
            </w:r>
          </w:p>
          <w:p w14:paraId="609A842B">
            <w:pPr>
              <w:adjustRightInd w:val="0"/>
              <w:snapToGrid w:val="0"/>
              <w:rPr>
                <w:rFonts w:ascii="宋体" w:hAnsi="宋体" w:cs="仿宋"/>
                <w:szCs w:val="21"/>
              </w:rPr>
            </w:pPr>
            <w:r>
              <w:rPr>
                <w:rFonts w:hint="eastAsia" w:ascii="宋体" w:hAnsi="宋体" w:cs="仿宋"/>
                <w:szCs w:val="21"/>
              </w:rPr>
              <w:t>（3）实施方案进度安排、阶段划分、计划基本可行的，得2分；</w:t>
            </w:r>
          </w:p>
          <w:p w14:paraId="5C5F9C87">
            <w:pPr>
              <w:adjustRightInd w:val="0"/>
              <w:snapToGrid w:val="0"/>
              <w:rPr>
                <w:rFonts w:ascii="宋体" w:hAnsi="宋体" w:cs="仿宋"/>
                <w:szCs w:val="21"/>
              </w:rPr>
            </w:pPr>
            <w:r>
              <w:rPr>
                <w:rFonts w:hint="eastAsia" w:ascii="宋体" w:hAnsi="宋体" w:cs="仿宋"/>
                <w:szCs w:val="21"/>
              </w:rPr>
              <w:t>（4）实施方案不可行或未提供的，不得分。</w:t>
            </w:r>
          </w:p>
        </w:tc>
      </w:tr>
      <w:tr w14:paraId="3C76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70" w:type="dxa"/>
            <w:vMerge w:val="continue"/>
            <w:tcBorders>
              <w:left w:val="single" w:color="auto" w:sz="4" w:space="0"/>
            </w:tcBorders>
            <w:vAlign w:val="center"/>
          </w:tcPr>
          <w:p w14:paraId="6C09B6E2">
            <w:pPr>
              <w:spacing w:line="360" w:lineRule="auto"/>
              <w:jc w:val="center"/>
              <w:rPr>
                <w:rFonts w:ascii="宋体" w:hAnsi="宋体" w:cs="仿宋"/>
                <w:b/>
                <w:bCs/>
                <w:sz w:val="24"/>
              </w:rPr>
            </w:pPr>
          </w:p>
        </w:tc>
        <w:tc>
          <w:tcPr>
            <w:tcW w:w="915" w:type="dxa"/>
            <w:vMerge w:val="continue"/>
            <w:vAlign w:val="center"/>
          </w:tcPr>
          <w:p w14:paraId="4BB9F470">
            <w:pPr>
              <w:spacing w:line="360" w:lineRule="auto"/>
              <w:jc w:val="center"/>
              <w:rPr>
                <w:rFonts w:ascii="宋体" w:hAnsi="宋体" w:cs="仿宋"/>
                <w:b/>
                <w:bCs/>
                <w:sz w:val="24"/>
              </w:rPr>
            </w:pPr>
          </w:p>
        </w:tc>
        <w:tc>
          <w:tcPr>
            <w:tcW w:w="1200" w:type="dxa"/>
            <w:tcBorders>
              <w:top w:val="single" w:color="auto" w:sz="4" w:space="0"/>
            </w:tcBorders>
            <w:vAlign w:val="center"/>
          </w:tcPr>
          <w:p w14:paraId="37E33BBD">
            <w:pPr>
              <w:adjustRightInd w:val="0"/>
              <w:snapToGrid w:val="0"/>
              <w:jc w:val="center"/>
              <w:rPr>
                <w:rFonts w:ascii="宋体" w:hAnsi="宋体" w:cs="仿宋"/>
                <w:szCs w:val="21"/>
              </w:rPr>
            </w:pPr>
            <w:r>
              <w:rPr>
                <w:rFonts w:hint="eastAsia" w:ascii="宋体" w:hAnsi="宋体" w:cs="仿宋"/>
                <w:szCs w:val="21"/>
              </w:rPr>
              <w:t>5、运维方案（8分）</w:t>
            </w:r>
          </w:p>
        </w:tc>
        <w:tc>
          <w:tcPr>
            <w:tcW w:w="6377" w:type="dxa"/>
            <w:tcBorders>
              <w:top w:val="single" w:color="auto" w:sz="4" w:space="0"/>
              <w:right w:val="single" w:color="auto" w:sz="4" w:space="0"/>
            </w:tcBorders>
            <w:vAlign w:val="center"/>
          </w:tcPr>
          <w:p w14:paraId="39166BE0">
            <w:pPr>
              <w:adjustRightInd w:val="0"/>
              <w:snapToGrid w:val="0"/>
              <w:rPr>
                <w:rFonts w:ascii="宋体" w:hAnsi="宋体" w:cs="仿宋"/>
                <w:szCs w:val="21"/>
              </w:rPr>
            </w:pPr>
            <w:r>
              <w:rPr>
                <w:rFonts w:hint="eastAsia" w:ascii="宋体" w:hAnsi="宋体" w:cs="仿宋"/>
                <w:szCs w:val="21"/>
              </w:rPr>
              <w:t>评委根据投标人编写的运维服务方案（包括服务措施、应急举措、服务流程及服务保障体系等内容）综合评分：</w:t>
            </w:r>
          </w:p>
          <w:p w14:paraId="2C353084">
            <w:pPr>
              <w:adjustRightInd w:val="0"/>
              <w:snapToGrid w:val="0"/>
              <w:rPr>
                <w:rFonts w:ascii="宋体" w:hAnsi="宋体" w:cs="仿宋"/>
                <w:szCs w:val="21"/>
              </w:rPr>
            </w:pPr>
            <w:r>
              <w:rPr>
                <w:rFonts w:hint="eastAsia" w:ascii="宋体" w:hAnsi="宋体" w:cs="仿宋"/>
                <w:szCs w:val="21"/>
              </w:rPr>
              <w:t>（1）方案完整、合理性、操作性强的，得8分；</w:t>
            </w:r>
          </w:p>
          <w:p w14:paraId="0F92FE04">
            <w:pPr>
              <w:adjustRightInd w:val="0"/>
              <w:snapToGrid w:val="0"/>
              <w:rPr>
                <w:rFonts w:ascii="宋体" w:hAnsi="宋体" w:cs="仿宋"/>
                <w:szCs w:val="21"/>
              </w:rPr>
            </w:pPr>
            <w:r>
              <w:rPr>
                <w:rFonts w:hint="eastAsia" w:ascii="宋体" w:hAnsi="宋体" w:cs="仿宋"/>
                <w:szCs w:val="21"/>
              </w:rPr>
              <w:t>（2）方案较完整、较为合理，具有一定操作性的，得4分；</w:t>
            </w:r>
          </w:p>
          <w:p w14:paraId="15278C90">
            <w:pPr>
              <w:adjustRightInd w:val="0"/>
              <w:snapToGrid w:val="0"/>
              <w:rPr>
                <w:rFonts w:ascii="宋体" w:hAnsi="宋体" w:cs="仿宋"/>
                <w:szCs w:val="21"/>
              </w:rPr>
            </w:pPr>
            <w:r>
              <w:rPr>
                <w:rFonts w:hint="eastAsia" w:ascii="宋体" w:hAnsi="宋体" w:cs="仿宋"/>
                <w:szCs w:val="21"/>
              </w:rPr>
              <w:t>（2）方案基本完整、基本合理，有可操作性的，得2分；</w:t>
            </w:r>
          </w:p>
          <w:p w14:paraId="23778D57">
            <w:pPr>
              <w:adjustRightInd w:val="0"/>
              <w:snapToGrid w:val="0"/>
              <w:rPr>
                <w:rFonts w:ascii="宋体" w:hAnsi="宋体" w:cs="仿宋"/>
                <w:szCs w:val="21"/>
              </w:rPr>
            </w:pPr>
            <w:r>
              <w:rPr>
                <w:rFonts w:hint="eastAsia" w:ascii="宋体" w:hAnsi="宋体" w:cs="仿宋"/>
                <w:szCs w:val="21"/>
              </w:rPr>
              <w:t>（4）方案不完整、不科学合理、不具可操作性或未提供的不得分。</w:t>
            </w:r>
          </w:p>
        </w:tc>
      </w:tr>
      <w:tr w14:paraId="09E6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0" w:type="dxa"/>
            <w:vMerge w:val="continue"/>
            <w:tcBorders>
              <w:left w:val="single" w:color="auto" w:sz="4" w:space="0"/>
            </w:tcBorders>
            <w:vAlign w:val="center"/>
          </w:tcPr>
          <w:p w14:paraId="5AE9C488">
            <w:pPr>
              <w:spacing w:line="360" w:lineRule="auto"/>
              <w:jc w:val="center"/>
              <w:rPr>
                <w:rFonts w:ascii="宋体" w:hAnsi="宋体" w:cs="仿宋"/>
                <w:b/>
                <w:bCs/>
                <w:sz w:val="24"/>
              </w:rPr>
            </w:pPr>
          </w:p>
        </w:tc>
        <w:tc>
          <w:tcPr>
            <w:tcW w:w="915" w:type="dxa"/>
            <w:vMerge w:val="continue"/>
            <w:vAlign w:val="center"/>
          </w:tcPr>
          <w:p w14:paraId="552578D6">
            <w:pPr>
              <w:spacing w:line="360" w:lineRule="auto"/>
              <w:jc w:val="center"/>
              <w:rPr>
                <w:rFonts w:ascii="宋体" w:hAnsi="宋体" w:cs="仿宋"/>
                <w:b/>
                <w:bCs/>
                <w:sz w:val="24"/>
              </w:rPr>
            </w:pPr>
          </w:p>
        </w:tc>
        <w:tc>
          <w:tcPr>
            <w:tcW w:w="1200" w:type="dxa"/>
            <w:tcBorders>
              <w:top w:val="single" w:color="auto" w:sz="4" w:space="0"/>
            </w:tcBorders>
            <w:vAlign w:val="center"/>
          </w:tcPr>
          <w:p w14:paraId="19998502">
            <w:pPr>
              <w:adjustRightInd w:val="0"/>
              <w:snapToGrid w:val="0"/>
              <w:jc w:val="center"/>
              <w:rPr>
                <w:rFonts w:ascii="宋体" w:hAnsi="宋体" w:cs="仿宋"/>
                <w:szCs w:val="21"/>
              </w:rPr>
            </w:pPr>
            <w:r>
              <w:rPr>
                <w:rFonts w:hint="eastAsia" w:ascii="宋体" w:hAnsi="宋体" w:cs="仿宋"/>
                <w:szCs w:val="21"/>
              </w:rPr>
              <w:t>6、网络安全保障措施（6分）</w:t>
            </w:r>
          </w:p>
        </w:tc>
        <w:tc>
          <w:tcPr>
            <w:tcW w:w="6377" w:type="dxa"/>
            <w:tcBorders>
              <w:top w:val="single" w:color="auto" w:sz="4" w:space="0"/>
              <w:right w:val="single" w:color="auto" w:sz="4" w:space="0"/>
            </w:tcBorders>
            <w:vAlign w:val="center"/>
          </w:tcPr>
          <w:p w14:paraId="51917709">
            <w:pPr>
              <w:adjustRightInd w:val="0"/>
              <w:snapToGrid w:val="0"/>
              <w:rPr>
                <w:rFonts w:ascii="宋体" w:hAnsi="宋体" w:cs="仿宋"/>
                <w:szCs w:val="21"/>
              </w:rPr>
            </w:pPr>
            <w:r>
              <w:rPr>
                <w:rFonts w:hint="eastAsia" w:ascii="宋体" w:hAnsi="宋体" w:cs="仿宋"/>
                <w:szCs w:val="21"/>
              </w:rPr>
              <w:t>投标人需提供安全保障措施，确保提供服务的安全保障措施的科学性、安全保障措施的科学性、可操作性，不出现任何情形的失误，评委根据响应文件此部分的响应情况进行评分：</w:t>
            </w:r>
          </w:p>
          <w:p w14:paraId="54906903">
            <w:pPr>
              <w:adjustRightInd w:val="0"/>
              <w:snapToGrid w:val="0"/>
              <w:rPr>
                <w:rFonts w:ascii="宋体" w:hAnsi="宋体" w:cs="仿宋"/>
                <w:szCs w:val="21"/>
              </w:rPr>
            </w:pPr>
            <w:r>
              <w:rPr>
                <w:rFonts w:hint="eastAsia" w:ascii="宋体" w:hAnsi="宋体" w:cs="仿宋"/>
                <w:szCs w:val="21"/>
              </w:rPr>
              <w:t>（1）方案内容完整、科学性、可执行性强，列明了多项保障措施、具有明确的保障方案、完全满足服务要求的得6分；</w:t>
            </w:r>
          </w:p>
          <w:p w14:paraId="431982A3">
            <w:pPr>
              <w:adjustRightInd w:val="0"/>
              <w:snapToGrid w:val="0"/>
              <w:rPr>
                <w:rFonts w:ascii="宋体" w:hAnsi="宋体" w:cs="仿宋"/>
                <w:szCs w:val="21"/>
              </w:rPr>
            </w:pPr>
            <w:r>
              <w:rPr>
                <w:rFonts w:hint="eastAsia" w:ascii="宋体" w:hAnsi="宋体" w:cs="仿宋"/>
                <w:szCs w:val="21"/>
              </w:rPr>
              <w:t>（2）方案内容较完整、科学性、可执行性较强，保障措施和保障方案详实性和完善性、较能满足服务要求的得4分；</w:t>
            </w:r>
          </w:p>
          <w:p w14:paraId="44B58C4B">
            <w:pPr>
              <w:adjustRightInd w:val="0"/>
              <w:snapToGrid w:val="0"/>
              <w:rPr>
                <w:rFonts w:ascii="宋体" w:hAnsi="宋体" w:cs="仿宋"/>
                <w:szCs w:val="21"/>
              </w:rPr>
            </w:pPr>
            <w:r>
              <w:rPr>
                <w:rFonts w:hint="eastAsia" w:ascii="宋体" w:hAnsi="宋体" w:cs="仿宋"/>
                <w:szCs w:val="21"/>
              </w:rPr>
              <w:t>（3）方案内容基本完整、科学性、可执行性一般，保障措施和保障方案基本详实、完善、能基本满足服务要求的得2分；</w:t>
            </w:r>
          </w:p>
          <w:p w14:paraId="31905A58">
            <w:pPr>
              <w:adjustRightInd w:val="0"/>
              <w:snapToGrid w:val="0"/>
              <w:rPr>
                <w:rFonts w:ascii="宋体" w:hAnsi="宋体" w:cs="仿宋"/>
                <w:szCs w:val="21"/>
              </w:rPr>
            </w:pPr>
            <w:r>
              <w:rPr>
                <w:rFonts w:hint="eastAsia" w:ascii="宋体" w:hAnsi="宋体" w:cs="仿宋"/>
                <w:szCs w:val="21"/>
              </w:rPr>
              <w:t>（4）方案没有针对性或未提供方案的不得分。</w:t>
            </w:r>
          </w:p>
        </w:tc>
      </w:tr>
      <w:tr w14:paraId="0607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70" w:type="dxa"/>
            <w:vMerge w:val="continue"/>
            <w:tcBorders>
              <w:left w:val="single" w:color="auto" w:sz="4" w:space="0"/>
            </w:tcBorders>
            <w:vAlign w:val="center"/>
          </w:tcPr>
          <w:p w14:paraId="491EDCCB">
            <w:pPr>
              <w:spacing w:line="360" w:lineRule="auto"/>
              <w:jc w:val="center"/>
              <w:rPr>
                <w:rFonts w:ascii="宋体" w:hAnsi="宋体" w:cs="仿宋"/>
                <w:b/>
                <w:bCs/>
                <w:sz w:val="24"/>
              </w:rPr>
            </w:pPr>
          </w:p>
        </w:tc>
        <w:tc>
          <w:tcPr>
            <w:tcW w:w="915" w:type="dxa"/>
            <w:vMerge w:val="continue"/>
            <w:vAlign w:val="center"/>
          </w:tcPr>
          <w:p w14:paraId="40093974">
            <w:pPr>
              <w:spacing w:line="360" w:lineRule="auto"/>
              <w:jc w:val="center"/>
              <w:rPr>
                <w:rFonts w:ascii="宋体" w:hAnsi="宋体" w:cs="仿宋"/>
                <w:b/>
                <w:bCs/>
                <w:sz w:val="24"/>
              </w:rPr>
            </w:pPr>
          </w:p>
        </w:tc>
        <w:tc>
          <w:tcPr>
            <w:tcW w:w="1200" w:type="dxa"/>
            <w:tcBorders>
              <w:top w:val="single" w:color="auto" w:sz="4" w:space="0"/>
            </w:tcBorders>
            <w:vAlign w:val="center"/>
          </w:tcPr>
          <w:p w14:paraId="3CEDEB96">
            <w:pPr>
              <w:adjustRightInd w:val="0"/>
              <w:snapToGrid w:val="0"/>
              <w:jc w:val="center"/>
              <w:rPr>
                <w:rFonts w:ascii="宋体" w:hAnsi="宋体" w:cs="仿宋"/>
                <w:szCs w:val="21"/>
              </w:rPr>
            </w:pPr>
            <w:r>
              <w:rPr>
                <w:rFonts w:hint="eastAsia" w:ascii="宋体" w:hAnsi="宋体" w:cs="仿宋"/>
                <w:szCs w:val="21"/>
              </w:rPr>
              <w:t>7、培训方案（6分）</w:t>
            </w:r>
          </w:p>
        </w:tc>
        <w:tc>
          <w:tcPr>
            <w:tcW w:w="6377" w:type="dxa"/>
            <w:tcBorders>
              <w:top w:val="single" w:color="auto" w:sz="4" w:space="0"/>
              <w:right w:val="single" w:color="auto" w:sz="4" w:space="0"/>
            </w:tcBorders>
            <w:vAlign w:val="center"/>
          </w:tcPr>
          <w:p w14:paraId="75524276">
            <w:pPr>
              <w:adjustRightInd w:val="0"/>
              <w:snapToGrid w:val="0"/>
              <w:rPr>
                <w:rFonts w:ascii="宋体" w:hAnsi="宋体" w:cs="仿宋"/>
                <w:szCs w:val="21"/>
              </w:rPr>
            </w:pPr>
            <w:r>
              <w:rPr>
                <w:rFonts w:hint="eastAsia" w:ascii="宋体" w:hAnsi="宋体" w:cs="仿宋"/>
                <w:szCs w:val="21"/>
              </w:rPr>
              <w:t>评委根据投标人提供的项目培训方案（包括培训计划、培训内容及师资力量等内容）综合评分：</w:t>
            </w:r>
          </w:p>
          <w:p w14:paraId="6FCCAF49">
            <w:pPr>
              <w:adjustRightInd w:val="0"/>
              <w:snapToGrid w:val="0"/>
              <w:rPr>
                <w:rFonts w:ascii="宋体" w:hAnsi="宋体" w:cs="仿宋"/>
                <w:szCs w:val="21"/>
              </w:rPr>
            </w:pPr>
            <w:r>
              <w:rPr>
                <w:rFonts w:hint="eastAsia" w:ascii="宋体" w:hAnsi="宋体" w:cs="仿宋"/>
                <w:szCs w:val="21"/>
              </w:rPr>
              <w:t>（1）方案完整、合理性、操作性强的，得6分；</w:t>
            </w:r>
          </w:p>
          <w:p w14:paraId="1A6D7EA1">
            <w:pPr>
              <w:adjustRightInd w:val="0"/>
              <w:snapToGrid w:val="0"/>
              <w:rPr>
                <w:rFonts w:ascii="宋体" w:hAnsi="宋体" w:cs="仿宋"/>
                <w:szCs w:val="21"/>
              </w:rPr>
            </w:pPr>
            <w:r>
              <w:rPr>
                <w:rFonts w:hint="eastAsia" w:ascii="宋体" w:hAnsi="宋体" w:cs="仿宋"/>
                <w:szCs w:val="21"/>
              </w:rPr>
              <w:t>（2）方案较完整、较为合理，具有一定操作性的，得4分；</w:t>
            </w:r>
          </w:p>
          <w:p w14:paraId="759FAABF">
            <w:pPr>
              <w:adjustRightInd w:val="0"/>
              <w:snapToGrid w:val="0"/>
              <w:rPr>
                <w:rFonts w:ascii="宋体" w:hAnsi="宋体" w:cs="仿宋"/>
                <w:szCs w:val="21"/>
              </w:rPr>
            </w:pPr>
            <w:r>
              <w:rPr>
                <w:rFonts w:hint="eastAsia" w:ascii="宋体" w:hAnsi="宋体" w:cs="仿宋"/>
                <w:szCs w:val="21"/>
              </w:rPr>
              <w:t>（2）方案基本完整、基本合理，有可操作性的，得2分；</w:t>
            </w:r>
          </w:p>
          <w:p w14:paraId="0E73A82C">
            <w:pPr>
              <w:adjustRightInd w:val="0"/>
              <w:snapToGrid w:val="0"/>
              <w:rPr>
                <w:rFonts w:ascii="宋体" w:hAnsi="宋体" w:cs="仿宋"/>
                <w:szCs w:val="21"/>
              </w:rPr>
            </w:pPr>
            <w:r>
              <w:rPr>
                <w:rFonts w:hint="eastAsia" w:ascii="宋体" w:hAnsi="宋体" w:cs="仿宋"/>
                <w:szCs w:val="21"/>
              </w:rPr>
              <w:t>（4）方案不完整、不科学合理、不具可操作性或未提供的不得分。</w:t>
            </w:r>
          </w:p>
        </w:tc>
      </w:tr>
      <w:tr w14:paraId="0B91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870" w:type="dxa"/>
            <w:vMerge w:val="restart"/>
            <w:tcBorders>
              <w:top w:val="single" w:color="auto" w:sz="4" w:space="0"/>
              <w:left w:val="single" w:color="auto" w:sz="4" w:space="0"/>
            </w:tcBorders>
            <w:vAlign w:val="center"/>
          </w:tcPr>
          <w:p w14:paraId="7C447042">
            <w:pPr>
              <w:spacing w:line="360" w:lineRule="auto"/>
              <w:jc w:val="center"/>
              <w:rPr>
                <w:rFonts w:ascii="宋体" w:hAnsi="宋体" w:cs="仿宋"/>
                <w:b/>
                <w:bCs/>
                <w:sz w:val="24"/>
              </w:rPr>
            </w:pPr>
            <w:r>
              <w:rPr>
                <w:rFonts w:hint="eastAsia" w:ascii="宋体" w:hAnsi="宋体" w:cs="仿宋"/>
                <w:b/>
                <w:bCs/>
                <w:sz w:val="24"/>
              </w:rPr>
              <w:t>2.2.1（3）</w:t>
            </w:r>
          </w:p>
        </w:tc>
        <w:tc>
          <w:tcPr>
            <w:tcW w:w="915" w:type="dxa"/>
            <w:vMerge w:val="restart"/>
            <w:tcBorders>
              <w:top w:val="single" w:color="auto" w:sz="4" w:space="0"/>
            </w:tcBorders>
            <w:vAlign w:val="center"/>
          </w:tcPr>
          <w:p w14:paraId="689393E1">
            <w:pPr>
              <w:spacing w:line="360" w:lineRule="auto"/>
              <w:jc w:val="center"/>
              <w:rPr>
                <w:rFonts w:ascii="宋体" w:hAnsi="宋体" w:cs="仿宋"/>
                <w:b/>
                <w:bCs/>
                <w:sz w:val="24"/>
              </w:rPr>
            </w:pPr>
            <w:r>
              <w:rPr>
                <w:rFonts w:hint="eastAsia" w:ascii="宋体" w:hAnsi="宋体" w:cs="仿宋"/>
                <w:b/>
                <w:bCs/>
                <w:sz w:val="24"/>
              </w:rPr>
              <w:t>综合</w:t>
            </w:r>
          </w:p>
          <w:p w14:paraId="009CFAFB">
            <w:pPr>
              <w:spacing w:line="360" w:lineRule="auto"/>
              <w:jc w:val="center"/>
              <w:rPr>
                <w:rFonts w:ascii="宋体" w:hAnsi="宋体" w:cs="仿宋"/>
                <w:b/>
                <w:bCs/>
                <w:sz w:val="24"/>
              </w:rPr>
            </w:pPr>
            <w:r>
              <w:rPr>
                <w:rFonts w:hint="eastAsia" w:ascii="宋体" w:hAnsi="宋体" w:cs="仿宋"/>
                <w:b/>
                <w:bCs/>
                <w:sz w:val="24"/>
              </w:rPr>
              <w:t>部分</w:t>
            </w:r>
          </w:p>
          <w:p w14:paraId="2155134D">
            <w:pPr>
              <w:spacing w:line="360" w:lineRule="auto"/>
              <w:jc w:val="center"/>
              <w:rPr>
                <w:rFonts w:ascii="宋体" w:hAnsi="宋体" w:cs="仿宋"/>
                <w:b/>
                <w:bCs/>
                <w:sz w:val="24"/>
              </w:rPr>
            </w:pPr>
            <w:r>
              <w:rPr>
                <w:rFonts w:hint="eastAsia" w:ascii="宋体" w:hAnsi="宋体" w:cs="仿宋"/>
                <w:b/>
                <w:bCs/>
                <w:sz w:val="24"/>
              </w:rPr>
              <w:t>12分</w:t>
            </w:r>
          </w:p>
        </w:tc>
        <w:tc>
          <w:tcPr>
            <w:tcW w:w="1200" w:type="dxa"/>
            <w:tcBorders>
              <w:top w:val="single" w:color="auto" w:sz="4" w:space="0"/>
            </w:tcBorders>
            <w:vAlign w:val="center"/>
          </w:tcPr>
          <w:p w14:paraId="36F7C87B">
            <w:pPr>
              <w:adjustRightInd w:val="0"/>
              <w:snapToGrid w:val="0"/>
              <w:rPr>
                <w:rFonts w:ascii="宋体" w:hAnsi="宋体" w:cs="仿宋"/>
                <w:szCs w:val="21"/>
              </w:rPr>
            </w:pPr>
            <w:r>
              <w:rPr>
                <w:rFonts w:hint="eastAsia" w:ascii="宋体" w:hAnsi="宋体" w:cs="仿宋"/>
                <w:szCs w:val="21"/>
              </w:rPr>
              <w:t>1、业绩（6分）</w:t>
            </w:r>
          </w:p>
        </w:tc>
        <w:tc>
          <w:tcPr>
            <w:tcW w:w="6377" w:type="dxa"/>
            <w:tcBorders>
              <w:top w:val="single" w:color="auto" w:sz="4" w:space="0"/>
              <w:bottom w:val="single" w:color="auto" w:sz="4" w:space="0"/>
              <w:right w:val="single" w:color="auto" w:sz="4" w:space="0"/>
            </w:tcBorders>
            <w:vAlign w:val="center"/>
          </w:tcPr>
          <w:p w14:paraId="6F46D61F">
            <w:pPr>
              <w:widowControl/>
              <w:adjustRightInd w:val="0"/>
              <w:snapToGrid w:val="0"/>
              <w:jc w:val="left"/>
              <w:textAlignment w:val="center"/>
              <w:rPr>
                <w:rFonts w:ascii="宋体" w:hAnsi="宋体" w:cs="仿宋"/>
                <w:szCs w:val="21"/>
              </w:rPr>
            </w:pPr>
            <w:r>
              <w:rPr>
                <w:rFonts w:hint="eastAsia" w:ascii="宋体" w:hAnsi="宋体" w:cs="仿宋"/>
                <w:szCs w:val="21"/>
              </w:rPr>
              <w:t>投标人提供 2022年1月1日(含，以合同签订日期为准)以来类似项目业绩，每提供 1个得 3 分，最多6分，未提供不得分。(提供合同扫描件)</w:t>
            </w:r>
          </w:p>
        </w:tc>
      </w:tr>
      <w:tr w14:paraId="0C52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70" w:type="dxa"/>
            <w:vMerge w:val="continue"/>
            <w:tcBorders>
              <w:left w:val="single" w:color="auto" w:sz="4" w:space="0"/>
            </w:tcBorders>
            <w:vAlign w:val="center"/>
          </w:tcPr>
          <w:p w14:paraId="63EF3A8F">
            <w:pPr>
              <w:spacing w:line="360" w:lineRule="auto"/>
              <w:jc w:val="center"/>
              <w:rPr>
                <w:rFonts w:ascii="宋体" w:hAnsi="宋体" w:cs="仿宋"/>
                <w:b/>
                <w:bCs/>
                <w:sz w:val="24"/>
              </w:rPr>
            </w:pPr>
          </w:p>
        </w:tc>
        <w:tc>
          <w:tcPr>
            <w:tcW w:w="915" w:type="dxa"/>
            <w:vMerge w:val="continue"/>
            <w:vAlign w:val="center"/>
          </w:tcPr>
          <w:p w14:paraId="6BA66B18">
            <w:pPr>
              <w:spacing w:line="360" w:lineRule="auto"/>
              <w:jc w:val="center"/>
              <w:rPr>
                <w:rFonts w:ascii="宋体" w:hAnsi="宋体" w:cs="仿宋"/>
                <w:b/>
                <w:bCs/>
                <w:sz w:val="24"/>
              </w:rPr>
            </w:pPr>
          </w:p>
        </w:tc>
        <w:tc>
          <w:tcPr>
            <w:tcW w:w="1200" w:type="dxa"/>
            <w:tcBorders>
              <w:top w:val="single" w:color="auto" w:sz="4" w:space="0"/>
            </w:tcBorders>
            <w:vAlign w:val="center"/>
          </w:tcPr>
          <w:p w14:paraId="6A676E2E">
            <w:pPr>
              <w:adjustRightInd w:val="0"/>
              <w:snapToGrid w:val="0"/>
              <w:rPr>
                <w:rFonts w:ascii="宋体" w:hAnsi="宋体" w:cs="仿宋"/>
                <w:szCs w:val="21"/>
              </w:rPr>
            </w:pPr>
            <w:r>
              <w:rPr>
                <w:rFonts w:hint="eastAsia" w:ascii="宋体" w:hAnsi="宋体" w:cs="仿宋"/>
                <w:szCs w:val="21"/>
              </w:rPr>
              <w:t>2、其他（6分）</w:t>
            </w:r>
          </w:p>
        </w:tc>
        <w:tc>
          <w:tcPr>
            <w:tcW w:w="6377" w:type="dxa"/>
            <w:tcBorders>
              <w:top w:val="single" w:color="auto" w:sz="4" w:space="0"/>
              <w:bottom w:val="single" w:color="auto" w:sz="4" w:space="0"/>
              <w:right w:val="single" w:color="auto" w:sz="4" w:space="0"/>
            </w:tcBorders>
            <w:vAlign w:val="center"/>
          </w:tcPr>
          <w:p w14:paraId="592C1C9A">
            <w:pPr>
              <w:pStyle w:val="4"/>
              <w:autoSpaceDE/>
              <w:autoSpaceDN/>
              <w:adjustRightInd w:val="0"/>
              <w:snapToGrid w:val="0"/>
              <w:ind w:left="0"/>
              <w:jc w:val="both"/>
              <w:rPr>
                <w:rFonts w:ascii="宋体" w:hAnsi="宋体" w:eastAsia="宋体" w:cs="仿宋"/>
                <w:kern w:val="2"/>
                <w:sz w:val="21"/>
                <w:szCs w:val="21"/>
                <w:lang w:val="en-US"/>
              </w:rPr>
            </w:pPr>
            <w:r>
              <w:rPr>
                <w:rFonts w:hint="eastAsia" w:ascii="宋体" w:hAnsi="宋体" w:eastAsia="宋体" w:cs="仿宋"/>
                <w:kern w:val="2"/>
                <w:sz w:val="21"/>
                <w:szCs w:val="21"/>
                <w:lang w:val="en-US"/>
              </w:rPr>
              <w:t>投标人具有CCRC信息系统安全运维、CCIA信息系统安全服务、ISO27001信息系统安全管理体系等资质得6分，每缺一项少2分，没有不得分。</w:t>
            </w:r>
          </w:p>
        </w:tc>
      </w:tr>
      <w:tr w14:paraId="58D6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2" w:type="dxa"/>
            <w:gridSpan w:val="4"/>
            <w:tcBorders>
              <w:top w:val="single" w:color="auto" w:sz="4" w:space="0"/>
            </w:tcBorders>
            <w:vAlign w:val="center"/>
          </w:tcPr>
          <w:p w14:paraId="3F4518D8">
            <w:pPr>
              <w:pStyle w:val="4"/>
              <w:autoSpaceDE/>
              <w:autoSpaceDN/>
              <w:adjustRightInd w:val="0"/>
              <w:snapToGrid w:val="0"/>
              <w:ind w:left="0"/>
              <w:jc w:val="both"/>
              <w:rPr>
                <w:rFonts w:ascii="宋体" w:hAnsi="宋体" w:eastAsia="宋体" w:cs="仿宋"/>
                <w:kern w:val="2"/>
                <w:sz w:val="21"/>
                <w:szCs w:val="21"/>
                <w:lang w:val="en-US"/>
              </w:rPr>
            </w:pPr>
            <w:r>
              <w:rPr>
                <w:rFonts w:hint="eastAsia" w:ascii="宋体" w:hAnsi="宋体" w:eastAsia="宋体" w:cs="仿宋"/>
                <w:kern w:val="2"/>
                <w:sz w:val="21"/>
                <w:szCs w:val="21"/>
                <w:lang w:val="en-US"/>
              </w:rPr>
              <w:t>注：本项目所涉及到的各种证明材料等须在投标文件中提供证明文件扫描件，因证明材料不清晰造成的后果，投标人自负。</w:t>
            </w:r>
          </w:p>
        </w:tc>
      </w:tr>
    </w:tbl>
    <w:p w14:paraId="09FABD95">
      <w:pPr>
        <w:pStyle w:val="4"/>
        <w:spacing w:line="360" w:lineRule="auto"/>
        <w:ind w:left="0" w:right="76"/>
        <w:rPr>
          <w:rFonts w:ascii="宋体" w:hAnsi="宋体" w:eastAsia="宋体" w:cs="仿宋"/>
          <w:b/>
          <w:bCs/>
          <w:sz w:val="24"/>
          <w:szCs w:val="24"/>
        </w:rPr>
      </w:pPr>
      <w:bookmarkStart w:id="62" w:name="_Toc4306"/>
      <w:bookmarkStart w:id="63" w:name="_Toc19420"/>
      <w:r>
        <w:rPr>
          <w:rFonts w:hint="eastAsia" w:ascii="宋体" w:hAnsi="宋体" w:eastAsia="宋体" w:cs="仿宋"/>
          <w:b/>
          <w:bCs/>
          <w:sz w:val="24"/>
          <w:szCs w:val="24"/>
        </w:rPr>
        <w:t>1.评标方法</w:t>
      </w:r>
    </w:p>
    <w:p w14:paraId="7347AFB4">
      <w:pPr>
        <w:pStyle w:val="10"/>
        <w:adjustRightInd w:val="0"/>
        <w:snapToGrid w:val="0"/>
        <w:spacing w:line="360" w:lineRule="auto"/>
        <w:ind w:firstLine="456" w:firstLineChars="200"/>
        <w:rPr>
          <w:rFonts w:cs="仿宋"/>
          <w:spacing w:val="-6"/>
          <w:sz w:val="24"/>
          <w:szCs w:val="24"/>
        </w:rPr>
      </w:pPr>
      <w:r>
        <w:rPr>
          <w:rFonts w:hint="eastAsia" w:cs="仿宋"/>
          <w:spacing w:val="-6"/>
          <w:sz w:val="24"/>
          <w:szCs w:val="24"/>
        </w:rPr>
        <w:t>本次评</w:t>
      </w:r>
      <w:r>
        <w:rPr>
          <w:rFonts w:hint="eastAsia" w:cs="仿宋"/>
          <w:sz w:val="24"/>
          <w:szCs w:val="24"/>
        </w:rPr>
        <w:t>标采用综合评估</w:t>
      </w:r>
      <w:r>
        <w:rPr>
          <w:rFonts w:hint="eastAsia" w:cs="仿宋"/>
          <w:spacing w:val="-6"/>
          <w:sz w:val="24"/>
          <w:szCs w:val="24"/>
        </w:rPr>
        <w:t>法。评标委员会对满足招标文件实质性要求的投标文件，按照本章规定的评分标准进行打分，并按得分由高到低顺序推荐</w:t>
      </w:r>
      <w:r>
        <w:rPr>
          <w:rFonts w:hint="eastAsia" w:cs="仿宋"/>
          <w:spacing w:val="-6"/>
          <w:sz w:val="24"/>
          <w:szCs w:val="24"/>
          <w:u w:val="single"/>
        </w:rPr>
        <w:t xml:space="preserve"> 3 </w:t>
      </w:r>
      <w:r>
        <w:rPr>
          <w:rFonts w:hint="eastAsia" w:cs="仿宋"/>
          <w:spacing w:val="-6"/>
          <w:sz w:val="24"/>
          <w:szCs w:val="24"/>
        </w:rPr>
        <w:t>名中标候选人，但投标报价低于其成本的除外。综合评分相等时，按投标报价由低到高顺序排列；得分且投标报价相同的并列，投标文件满足招标文件全部实质性要求，且按照评审因素的量化指标评审得分最高的投标人为排名第一的中标候选人。</w:t>
      </w:r>
    </w:p>
    <w:p w14:paraId="202C7D89">
      <w:pPr>
        <w:pStyle w:val="4"/>
        <w:spacing w:line="360" w:lineRule="auto"/>
        <w:ind w:left="0" w:right="76"/>
        <w:rPr>
          <w:rFonts w:ascii="宋体" w:hAnsi="宋体" w:eastAsia="宋体" w:cs="仿宋"/>
          <w:b/>
          <w:bCs/>
          <w:sz w:val="24"/>
          <w:szCs w:val="24"/>
        </w:rPr>
      </w:pPr>
      <w:r>
        <w:rPr>
          <w:rFonts w:hint="eastAsia" w:ascii="宋体" w:hAnsi="宋体" w:eastAsia="宋体" w:cs="仿宋"/>
          <w:b/>
          <w:bCs/>
          <w:sz w:val="24"/>
          <w:szCs w:val="24"/>
        </w:rPr>
        <w:t>2.评审标准</w:t>
      </w:r>
    </w:p>
    <w:p w14:paraId="65D8AF08">
      <w:pPr>
        <w:pStyle w:val="37"/>
        <w:tabs>
          <w:tab w:val="left" w:pos="1436"/>
        </w:tabs>
        <w:adjustRightInd w:val="0"/>
        <w:snapToGrid w:val="0"/>
        <w:spacing w:line="360" w:lineRule="auto"/>
        <w:ind w:left="0" w:firstLine="458" w:firstLineChars="200"/>
        <w:rPr>
          <w:rFonts w:cs="仿宋"/>
          <w:b/>
          <w:bCs/>
          <w:spacing w:val="-6"/>
          <w:sz w:val="24"/>
          <w:lang w:val="en-US"/>
        </w:rPr>
      </w:pPr>
      <w:r>
        <w:rPr>
          <w:rFonts w:hint="eastAsia" w:cs="仿宋"/>
          <w:b/>
          <w:bCs/>
          <w:spacing w:val="-6"/>
          <w:sz w:val="24"/>
          <w:lang w:val="en-US"/>
        </w:rPr>
        <w:t>2.1 初步评审标准</w:t>
      </w:r>
    </w:p>
    <w:p w14:paraId="44BFC3F0">
      <w:pPr>
        <w:pStyle w:val="37"/>
        <w:tabs>
          <w:tab w:val="left" w:pos="1436"/>
        </w:tabs>
        <w:adjustRightInd w:val="0"/>
        <w:snapToGrid w:val="0"/>
        <w:spacing w:line="360" w:lineRule="auto"/>
        <w:ind w:left="0" w:firstLine="456" w:firstLineChars="200"/>
        <w:rPr>
          <w:rFonts w:cs="仿宋"/>
          <w:spacing w:val="-6"/>
          <w:sz w:val="24"/>
        </w:rPr>
      </w:pPr>
      <w:r>
        <w:rPr>
          <w:rFonts w:hint="eastAsia" w:cs="仿宋"/>
          <w:spacing w:val="-6"/>
          <w:sz w:val="24"/>
          <w:lang w:val="en-US"/>
        </w:rPr>
        <w:t>2.1.1</w:t>
      </w:r>
      <w:r>
        <w:rPr>
          <w:rFonts w:hint="eastAsia" w:cs="仿宋"/>
          <w:spacing w:val="-6"/>
          <w:sz w:val="24"/>
        </w:rPr>
        <w:t>资格评审标准：见评标办法前附表</w:t>
      </w:r>
    </w:p>
    <w:p w14:paraId="0BCC9599">
      <w:pPr>
        <w:pStyle w:val="37"/>
        <w:tabs>
          <w:tab w:val="left" w:pos="1436"/>
        </w:tabs>
        <w:adjustRightInd w:val="0"/>
        <w:snapToGrid w:val="0"/>
        <w:spacing w:line="360" w:lineRule="auto"/>
        <w:ind w:left="0" w:firstLine="456" w:firstLineChars="200"/>
        <w:rPr>
          <w:rFonts w:cs="仿宋"/>
          <w:spacing w:val="-6"/>
          <w:sz w:val="24"/>
        </w:rPr>
      </w:pPr>
      <w:r>
        <w:rPr>
          <w:rFonts w:hint="eastAsia" w:cs="仿宋"/>
          <w:spacing w:val="-6"/>
          <w:sz w:val="24"/>
          <w:lang w:val="en-US"/>
        </w:rPr>
        <w:t>2.1.2</w:t>
      </w:r>
      <w:r>
        <w:rPr>
          <w:rFonts w:hint="eastAsia" w:cs="仿宋"/>
          <w:spacing w:val="-6"/>
          <w:sz w:val="24"/>
        </w:rPr>
        <w:t>形式评审标准：见评标办法前附表</w:t>
      </w:r>
    </w:p>
    <w:p w14:paraId="4293C607">
      <w:pPr>
        <w:pStyle w:val="37"/>
        <w:tabs>
          <w:tab w:val="left" w:pos="1436"/>
        </w:tabs>
        <w:adjustRightInd w:val="0"/>
        <w:snapToGrid w:val="0"/>
        <w:spacing w:line="360" w:lineRule="auto"/>
        <w:ind w:left="0" w:firstLine="456" w:firstLineChars="200"/>
        <w:rPr>
          <w:rFonts w:cs="仿宋"/>
          <w:spacing w:val="-6"/>
          <w:sz w:val="24"/>
        </w:rPr>
      </w:pPr>
      <w:r>
        <w:rPr>
          <w:rFonts w:hint="eastAsia" w:cs="仿宋"/>
          <w:spacing w:val="-6"/>
          <w:sz w:val="24"/>
          <w:lang w:val="en-US"/>
        </w:rPr>
        <w:t>2.1.3</w:t>
      </w:r>
      <w:r>
        <w:rPr>
          <w:rFonts w:hint="eastAsia" w:cs="仿宋"/>
          <w:spacing w:val="-6"/>
          <w:sz w:val="24"/>
        </w:rPr>
        <w:t>符合性评审标准：见评标办法前附表</w:t>
      </w:r>
    </w:p>
    <w:p w14:paraId="3A20E444">
      <w:pPr>
        <w:pStyle w:val="37"/>
        <w:tabs>
          <w:tab w:val="left" w:pos="1436"/>
        </w:tabs>
        <w:adjustRightInd w:val="0"/>
        <w:snapToGrid w:val="0"/>
        <w:spacing w:line="360" w:lineRule="auto"/>
        <w:ind w:left="0" w:firstLine="458" w:firstLineChars="200"/>
        <w:rPr>
          <w:rFonts w:cs="仿宋"/>
          <w:b/>
          <w:bCs/>
          <w:spacing w:val="-6"/>
          <w:sz w:val="24"/>
          <w:lang w:val="en-US"/>
        </w:rPr>
      </w:pPr>
      <w:r>
        <w:rPr>
          <w:rFonts w:hint="eastAsia" w:cs="仿宋"/>
          <w:b/>
          <w:bCs/>
          <w:spacing w:val="-6"/>
          <w:sz w:val="24"/>
          <w:lang w:val="en-US"/>
        </w:rPr>
        <w:t>2.2 分值构成与评分标准</w:t>
      </w:r>
    </w:p>
    <w:p w14:paraId="1AE1E9DC">
      <w:pPr>
        <w:pStyle w:val="37"/>
        <w:tabs>
          <w:tab w:val="left" w:pos="1436"/>
        </w:tabs>
        <w:adjustRightInd w:val="0"/>
        <w:snapToGrid w:val="0"/>
        <w:spacing w:line="360" w:lineRule="auto"/>
        <w:ind w:left="0" w:firstLine="456" w:firstLineChars="200"/>
        <w:rPr>
          <w:rFonts w:cs="仿宋"/>
          <w:spacing w:val="-6"/>
          <w:sz w:val="24"/>
          <w:lang w:val="en-US"/>
        </w:rPr>
      </w:pPr>
      <w:r>
        <w:rPr>
          <w:rFonts w:hint="eastAsia" w:cs="仿宋"/>
          <w:spacing w:val="-6"/>
          <w:sz w:val="24"/>
          <w:lang w:val="en-US"/>
        </w:rPr>
        <w:t>2.2.1分值构成</w:t>
      </w:r>
    </w:p>
    <w:p w14:paraId="67D558A3">
      <w:pPr>
        <w:pStyle w:val="37"/>
        <w:tabs>
          <w:tab w:val="left" w:pos="1436"/>
        </w:tabs>
        <w:adjustRightInd w:val="0"/>
        <w:snapToGrid w:val="0"/>
        <w:spacing w:line="360" w:lineRule="auto"/>
        <w:ind w:left="0" w:firstLine="456" w:firstLineChars="200"/>
        <w:rPr>
          <w:rFonts w:cs="仿宋"/>
          <w:spacing w:val="-6"/>
          <w:sz w:val="24"/>
          <w:lang w:val="en-US"/>
        </w:rPr>
      </w:pPr>
      <w:r>
        <w:rPr>
          <w:rFonts w:hint="eastAsia" w:cs="仿宋"/>
          <w:spacing w:val="-6"/>
          <w:sz w:val="24"/>
          <w:lang w:val="en-US"/>
        </w:rPr>
        <w:t>（1）商务部分：见评标办法前附表</w:t>
      </w:r>
    </w:p>
    <w:p w14:paraId="7EB65C7F">
      <w:pPr>
        <w:pStyle w:val="37"/>
        <w:tabs>
          <w:tab w:val="left" w:pos="1436"/>
        </w:tabs>
        <w:adjustRightInd w:val="0"/>
        <w:snapToGrid w:val="0"/>
        <w:spacing w:line="360" w:lineRule="auto"/>
        <w:ind w:left="0" w:firstLine="456" w:firstLineChars="200"/>
        <w:rPr>
          <w:rFonts w:cs="仿宋"/>
          <w:spacing w:val="-6"/>
          <w:sz w:val="24"/>
          <w:lang w:val="en-US"/>
        </w:rPr>
      </w:pPr>
      <w:r>
        <w:rPr>
          <w:rFonts w:hint="eastAsia" w:cs="仿宋"/>
          <w:spacing w:val="-6"/>
          <w:sz w:val="24"/>
          <w:lang w:val="en-US"/>
        </w:rPr>
        <w:t>（2）技术部分：见评标办法前附表</w:t>
      </w:r>
    </w:p>
    <w:p w14:paraId="35077AEF">
      <w:pPr>
        <w:pStyle w:val="37"/>
        <w:tabs>
          <w:tab w:val="left" w:pos="1436"/>
        </w:tabs>
        <w:adjustRightInd w:val="0"/>
        <w:snapToGrid w:val="0"/>
        <w:spacing w:line="360" w:lineRule="auto"/>
        <w:ind w:left="0" w:firstLine="456" w:firstLineChars="200"/>
        <w:rPr>
          <w:rFonts w:cs="仿宋"/>
          <w:spacing w:val="-6"/>
          <w:sz w:val="24"/>
          <w:lang w:val="en-US"/>
        </w:rPr>
      </w:pPr>
      <w:r>
        <w:rPr>
          <w:rFonts w:hint="eastAsia" w:cs="仿宋"/>
          <w:spacing w:val="-6"/>
          <w:sz w:val="24"/>
          <w:lang w:val="en-US"/>
        </w:rPr>
        <w:t>（3）综合部分：见评标办法前附表</w:t>
      </w:r>
    </w:p>
    <w:p w14:paraId="7B03F3F8">
      <w:pPr>
        <w:pStyle w:val="37"/>
        <w:tabs>
          <w:tab w:val="left" w:pos="1436"/>
        </w:tabs>
        <w:adjustRightInd w:val="0"/>
        <w:snapToGrid w:val="0"/>
        <w:spacing w:line="360" w:lineRule="auto"/>
        <w:ind w:left="0" w:firstLine="456" w:firstLineChars="200"/>
        <w:rPr>
          <w:rFonts w:cs="仿宋"/>
          <w:spacing w:val="-6"/>
          <w:sz w:val="24"/>
          <w:lang w:val="en-US"/>
        </w:rPr>
      </w:pPr>
      <w:r>
        <w:rPr>
          <w:rFonts w:hint="eastAsia" w:cs="仿宋"/>
          <w:spacing w:val="-6"/>
          <w:sz w:val="24"/>
          <w:lang w:val="en-US"/>
        </w:rPr>
        <w:t>2.2.2评标基准价计算</w:t>
      </w:r>
    </w:p>
    <w:p w14:paraId="61B3666E">
      <w:pPr>
        <w:pStyle w:val="37"/>
        <w:tabs>
          <w:tab w:val="left" w:pos="1436"/>
        </w:tabs>
        <w:adjustRightInd w:val="0"/>
        <w:snapToGrid w:val="0"/>
        <w:spacing w:line="360" w:lineRule="auto"/>
        <w:ind w:left="0" w:firstLine="456" w:firstLineChars="200"/>
        <w:rPr>
          <w:rFonts w:cs="仿宋"/>
          <w:spacing w:val="-6"/>
          <w:sz w:val="24"/>
          <w:lang w:val="en-US"/>
        </w:rPr>
      </w:pPr>
      <w:r>
        <w:rPr>
          <w:rFonts w:hint="eastAsia" w:cs="仿宋"/>
          <w:spacing w:val="-6"/>
          <w:sz w:val="24"/>
          <w:lang w:val="en-US"/>
        </w:rPr>
        <w:t>评标基准价计算方法：见评标办法前附表</w:t>
      </w:r>
    </w:p>
    <w:p w14:paraId="3A6D752F">
      <w:pPr>
        <w:pStyle w:val="37"/>
        <w:tabs>
          <w:tab w:val="left" w:pos="1436"/>
        </w:tabs>
        <w:adjustRightInd w:val="0"/>
        <w:snapToGrid w:val="0"/>
        <w:spacing w:line="360" w:lineRule="auto"/>
        <w:ind w:left="0" w:firstLine="456" w:firstLineChars="200"/>
        <w:rPr>
          <w:rFonts w:cs="仿宋"/>
          <w:spacing w:val="-6"/>
          <w:sz w:val="24"/>
          <w:lang w:val="en-US"/>
        </w:rPr>
      </w:pPr>
      <w:r>
        <w:rPr>
          <w:rFonts w:hint="eastAsia" w:cs="仿宋"/>
          <w:spacing w:val="-6"/>
          <w:sz w:val="24"/>
          <w:lang w:val="en-US"/>
        </w:rPr>
        <w:t>2.2.3评分标准</w:t>
      </w:r>
    </w:p>
    <w:p w14:paraId="14356325">
      <w:pPr>
        <w:pStyle w:val="37"/>
        <w:tabs>
          <w:tab w:val="left" w:pos="1436"/>
        </w:tabs>
        <w:adjustRightInd w:val="0"/>
        <w:snapToGrid w:val="0"/>
        <w:spacing w:line="360" w:lineRule="auto"/>
        <w:ind w:left="0" w:firstLine="456" w:firstLineChars="200"/>
        <w:rPr>
          <w:rFonts w:cs="仿宋"/>
          <w:spacing w:val="-6"/>
          <w:sz w:val="24"/>
          <w:lang w:val="en-US"/>
        </w:rPr>
      </w:pPr>
      <w:r>
        <w:rPr>
          <w:rFonts w:hint="eastAsia" w:cs="仿宋"/>
          <w:spacing w:val="-6"/>
          <w:sz w:val="24"/>
          <w:lang w:val="en-US"/>
        </w:rPr>
        <w:t>（1）商务部分评分标准：见评标办法前附表</w:t>
      </w:r>
    </w:p>
    <w:p w14:paraId="5F293877">
      <w:pPr>
        <w:pStyle w:val="37"/>
        <w:tabs>
          <w:tab w:val="left" w:pos="1436"/>
        </w:tabs>
        <w:adjustRightInd w:val="0"/>
        <w:snapToGrid w:val="0"/>
        <w:spacing w:line="360" w:lineRule="auto"/>
        <w:ind w:left="0" w:firstLine="456" w:firstLineChars="200"/>
        <w:rPr>
          <w:rFonts w:cs="仿宋"/>
          <w:spacing w:val="-6"/>
          <w:sz w:val="24"/>
          <w:lang w:val="en-US"/>
        </w:rPr>
      </w:pPr>
      <w:r>
        <w:rPr>
          <w:rFonts w:hint="eastAsia" w:cs="仿宋"/>
          <w:spacing w:val="-6"/>
          <w:sz w:val="24"/>
          <w:lang w:val="en-US"/>
        </w:rPr>
        <w:t>（2）技术部分评分标准：见评标办法前附表</w:t>
      </w:r>
    </w:p>
    <w:p w14:paraId="4B6805A5">
      <w:pPr>
        <w:pStyle w:val="37"/>
        <w:tabs>
          <w:tab w:val="left" w:pos="1436"/>
        </w:tabs>
        <w:adjustRightInd w:val="0"/>
        <w:snapToGrid w:val="0"/>
        <w:spacing w:line="360" w:lineRule="auto"/>
        <w:ind w:left="0" w:firstLine="456" w:firstLineChars="200"/>
        <w:rPr>
          <w:rFonts w:cs="仿宋"/>
          <w:spacing w:val="-6"/>
          <w:sz w:val="24"/>
          <w:lang w:val="en-US"/>
        </w:rPr>
      </w:pPr>
      <w:r>
        <w:rPr>
          <w:rFonts w:hint="eastAsia" w:cs="仿宋"/>
          <w:spacing w:val="-6"/>
          <w:sz w:val="24"/>
          <w:lang w:val="en-US"/>
        </w:rPr>
        <w:t>（3）综合部分评分标准：见评标办法前附表</w:t>
      </w:r>
    </w:p>
    <w:p w14:paraId="70AD71AA">
      <w:pPr>
        <w:pStyle w:val="4"/>
        <w:spacing w:line="360" w:lineRule="auto"/>
        <w:ind w:left="0" w:right="76"/>
        <w:rPr>
          <w:rFonts w:ascii="宋体" w:hAnsi="宋体" w:eastAsia="宋体" w:cs="仿宋"/>
          <w:b/>
          <w:bCs/>
          <w:sz w:val="24"/>
          <w:szCs w:val="24"/>
        </w:rPr>
      </w:pPr>
      <w:r>
        <w:rPr>
          <w:rFonts w:hint="eastAsia" w:ascii="宋体" w:hAnsi="宋体" w:eastAsia="宋体" w:cs="仿宋"/>
          <w:b/>
          <w:bCs/>
          <w:sz w:val="24"/>
          <w:szCs w:val="24"/>
        </w:rPr>
        <w:t>3.评标程序</w:t>
      </w:r>
    </w:p>
    <w:p w14:paraId="48EE8815">
      <w:pPr>
        <w:pStyle w:val="37"/>
        <w:tabs>
          <w:tab w:val="left" w:pos="1436"/>
        </w:tabs>
        <w:adjustRightInd w:val="0"/>
        <w:snapToGrid w:val="0"/>
        <w:spacing w:line="360" w:lineRule="auto"/>
        <w:ind w:left="0" w:firstLine="458" w:firstLineChars="200"/>
        <w:rPr>
          <w:rFonts w:cs="仿宋"/>
          <w:b/>
          <w:bCs/>
          <w:spacing w:val="-6"/>
          <w:sz w:val="24"/>
          <w:lang w:val="en-US"/>
        </w:rPr>
      </w:pPr>
      <w:r>
        <w:rPr>
          <w:rFonts w:hint="eastAsia" w:cs="仿宋"/>
          <w:b/>
          <w:bCs/>
          <w:spacing w:val="-6"/>
          <w:sz w:val="24"/>
          <w:lang w:val="en-US"/>
        </w:rPr>
        <w:t>3.1 初步评审</w:t>
      </w:r>
    </w:p>
    <w:p w14:paraId="01E77B41">
      <w:pPr>
        <w:pStyle w:val="37"/>
        <w:tabs>
          <w:tab w:val="left" w:pos="1436"/>
        </w:tabs>
        <w:adjustRightInd w:val="0"/>
        <w:snapToGrid w:val="0"/>
        <w:spacing w:line="360" w:lineRule="auto"/>
        <w:ind w:left="0" w:firstLine="456" w:firstLineChars="200"/>
        <w:rPr>
          <w:rFonts w:cs="仿宋"/>
          <w:spacing w:val="-6"/>
          <w:sz w:val="24"/>
          <w:lang w:val="en-US"/>
        </w:rPr>
      </w:pPr>
      <w:r>
        <w:rPr>
          <w:rFonts w:hint="eastAsia" w:cs="仿宋"/>
          <w:spacing w:val="-6"/>
          <w:sz w:val="24"/>
          <w:lang w:val="en-US"/>
        </w:rPr>
        <w:t>3.1.1资格审查小组根据投标人提交的第二章“投标人须知前附表12项”规定的有关证明材料，审查其资格。评标委员会依据本章第2.1款初步评审标准中形式评审标准、符合性评审标准对投标文件进行评审，具体评审标准详见评标办法前附表2.1.1、2.1.3，投标文件有一项不符合评审标准的，则不再进行下一步评审。</w:t>
      </w:r>
    </w:p>
    <w:p w14:paraId="28701620">
      <w:pPr>
        <w:pStyle w:val="37"/>
        <w:tabs>
          <w:tab w:val="left" w:pos="1435"/>
        </w:tabs>
        <w:adjustRightInd w:val="0"/>
        <w:snapToGrid w:val="0"/>
        <w:spacing w:line="360" w:lineRule="auto"/>
        <w:ind w:left="420" w:leftChars="200" w:firstLine="0"/>
        <w:rPr>
          <w:rFonts w:cs="仿宋"/>
          <w:b/>
          <w:bCs/>
          <w:sz w:val="24"/>
          <w:lang w:val="en-US"/>
        </w:rPr>
      </w:pPr>
      <w:r>
        <w:rPr>
          <w:rFonts w:hint="eastAsia" w:cs="仿宋"/>
          <w:b/>
          <w:bCs/>
          <w:sz w:val="24"/>
          <w:lang w:val="en-US"/>
        </w:rPr>
        <w:t>3.1.2 参与同一个标段（包）的供应商存在下列情形之一的，投标文件无效：</w:t>
      </w:r>
    </w:p>
    <w:p w14:paraId="6F0D953A">
      <w:pPr>
        <w:pStyle w:val="37"/>
        <w:numPr>
          <w:ilvl w:val="0"/>
          <w:numId w:val="7"/>
        </w:numPr>
        <w:tabs>
          <w:tab w:val="left" w:pos="1435"/>
        </w:tabs>
        <w:adjustRightInd w:val="0"/>
        <w:snapToGrid w:val="0"/>
        <w:spacing w:line="360" w:lineRule="auto"/>
        <w:ind w:left="0" w:firstLine="482" w:firstLineChars="200"/>
        <w:rPr>
          <w:rFonts w:cs="仿宋"/>
          <w:b/>
          <w:bCs/>
          <w:spacing w:val="-3"/>
          <w:sz w:val="24"/>
        </w:rPr>
      </w:pPr>
      <w:r>
        <w:rPr>
          <w:rFonts w:hint="eastAsia" w:cs="仿宋"/>
          <w:b/>
          <w:bCs/>
          <w:sz w:val="24"/>
        </w:rPr>
        <w:t>第二章“</w:t>
      </w:r>
      <w:r>
        <w:rPr>
          <w:rFonts w:hint="eastAsia" w:cs="仿宋"/>
          <w:b/>
          <w:bCs/>
          <w:sz w:val="24"/>
          <w:lang w:val="en-US"/>
        </w:rPr>
        <w:t>1 总则</w:t>
      </w:r>
      <w:r>
        <w:rPr>
          <w:rFonts w:hint="eastAsia" w:cs="仿宋"/>
          <w:b/>
          <w:bCs/>
          <w:sz w:val="24"/>
        </w:rPr>
        <w:t>”第1.4.</w:t>
      </w:r>
      <w:r>
        <w:rPr>
          <w:rFonts w:hint="eastAsia" w:cs="仿宋"/>
          <w:b/>
          <w:bCs/>
          <w:sz w:val="24"/>
          <w:lang w:val="en-US"/>
        </w:rPr>
        <w:t>2</w:t>
      </w:r>
      <w:r>
        <w:rPr>
          <w:rFonts w:hint="eastAsia" w:cs="仿宋"/>
          <w:b/>
          <w:bCs/>
          <w:sz w:val="24"/>
        </w:rPr>
        <w:t>项规定的任何一种情形的；</w:t>
      </w:r>
    </w:p>
    <w:p w14:paraId="7722CD79">
      <w:pPr>
        <w:pStyle w:val="37"/>
        <w:numPr>
          <w:ilvl w:val="0"/>
          <w:numId w:val="7"/>
        </w:numPr>
        <w:tabs>
          <w:tab w:val="left" w:pos="1435"/>
        </w:tabs>
        <w:adjustRightInd w:val="0"/>
        <w:snapToGrid w:val="0"/>
        <w:spacing w:line="360" w:lineRule="auto"/>
        <w:ind w:left="0" w:firstLine="470" w:firstLineChars="200"/>
        <w:rPr>
          <w:rFonts w:cs="仿宋"/>
          <w:b/>
          <w:bCs/>
          <w:spacing w:val="-3"/>
          <w:sz w:val="24"/>
        </w:rPr>
      </w:pPr>
      <w:r>
        <w:rPr>
          <w:rFonts w:hint="eastAsia" w:cs="仿宋"/>
          <w:b/>
          <w:bCs/>
          <w:spacing w:val="-3"/>
          <w:sz w:val="24"/>
        </w:rPr>
        <w:t>串通投标或弄虚作假或有其他违法行为的；</w:t>
      </w:r>
    </w:p>
    <w:p w14:paraId="0D31A175">
      <w:pPr>
        <w:pStyle w:val="37"/>
        <w:numPr>
          <w:ilvl w:val="0"/>
          <w:numId w:val="7"/>
        </w:numPr>
        <w:tabs>
          <w:tab w:val="left" w:pos="1435"/>
        </w:tabs>
        <w:adjustRightInd w:val="0"/>
        <w:snapToGrid w:val="0"/>
        <w:spacing w:line="360" w:lineRule="auto"/>
        <w:ind w:left="0" w:firstLine="482" w:firstLineChars="200"/>
        <w:rPr>
          <w:rFonts w:cs="仿宋"/>
          <w:b/>
          <w:bCs/>
          <w:sz w:val="24"/>
        </w:rPr>
      </w:pPr>
      <w:r>
        <w:rPr>
          <w:rFonts w:hint="eastAsia" w:cs="仿宋"/>
          <w:b/>
          <w:bCs/>
          <w:sz w:val="24"/>
        </w:rPr>
        <w:t>投标文件（投标书）无投标人电子签章；</w:t>
      </w:r>
    </w:p>
    <w:p w14:paraId="440BBAC7">
      <w:pPr>
        <w:pStyle w:val="37"/>
        <w:numPr>
          <w:ilvl w:val="0"/>
          <w:numId w:val="7"/>
        </w:numPr>
        <w:tabs>
          <w:tab w:val="left" w:pos="1435"/>
        </w:tabs>
        <w:adjustRightInd w:val="0"/>
        <w:snapToGrid w:val="0"/>
        <w:spacing w:line="360" w:lineRule="auto"/>
        <w:ind w:left="0" w:firstLine="482" w:firstLineChars="200"/>
        <w:rPr>
          <w:rFonts w:cs="仿宋"/>
          <w:b/>
          <w:bCs/>
          <w:sz w:val="24"/>
          <w:lang w:val="en-US"/>
        </w:rPr>
      </w:pPr>
      <w:r>
        <w:rPr>
          <w:rFonts w:hint="eastAsia" w:cs="仿宋"/>
          <w:b/>
          <w:bCs/>
          <w:sz w:val="24"/>
        </w:rPr>
        <w:t>投标人递交两份或多份内容不同的投标文件，或在一份投标文件中对同一招标项目报有两个或多个报价，且未声明哪一个有效的；</w:t>
      </w:r>
    </w:p>
    <w:p w14:paraId="110943C1">
      <w:pPr>
        <w:pStyle w:val="37"/>
        <w:numPr>
          <w:ilvl w:val="0"/>
          <w:numId w:val="7"/>
        </w:numPr>
        <w:tabs>
          <w:tab w:val="left" w:pos="1435"/>
        </w:tabs>
        <w:adjustRightInd w:val="0"/>
        <w:snapToGrid w:val="0"/>
        <w:spacing w:line="360" w:lineRule="auto"/>
        <w:ind w:left="0" w:firstLine="482" w:firstLineChars="200"/>
        <w:rPr>
          <w:rFonts w:cs="仿宋"/>
          <w:b/>
          <w:bCs/>
          <w:sz w:val="24"/>
          <w:lang w:val="en-US"/>
        </w:rPr>
      </w:pPr>
      <w:r>
        <w:rPr>
          <w:rFonts w:hint="eastAsia" w:cs="仿宋"/>
          <w:b/>
          <w:bCs/>
          <w:sz w:val="24"/>
          <w:lang w:val="en-US"/>
        </w:rPr>
        <w:t>不同供应商的电子投标文件上传计算机的网卡MAC地址、CPU序列号和硬盘序列号等硬件信息相同的；</w:t>
      </w:r>
    </w:p>
    <w:p w14:paraId="2B790653">
      <w:pPr>
        <w:pStyle w:val="37"/>
        <w:numPr>
          <w:ilvl w:val="0"/>
          <w:numId w:val="7"/>
        </w:numPr>
        <w:tabs>
          <w:tab w:val="left" w:pos="1435"/>
        </w:tabs>
        <w:adjustRightInd w:val="0"/>
        <w:snapToGrid w:val="0"/>
        <w:spacing w:line="360" w:lineRule="auto"/>
        <w:ind w:left="0" w:firstLine="482" w:firstLineChars="200"/>
        <w:rPr>
          <w:rFonts w:cs="仿宋"/>
          <w:b/>
          <w:bCs/>
          <w:sz w:val="24"/>
          <w:lang w:val="en-US"/>
        </w:rPr>
      </w:pPr>
      <w:r>
        <w:rPr>
          <w:rFonts w:hint="eastAsia" w:cs="仿宋"/>
          <w:b/>
          <w:bCs/>
          <w:sz w:val="24"/>
          <w:lang w:val="en-US"/>
        </w:rPr>
        <w:t>不同供应商的投标文件由同一电子设备编制、打印加密或者上传。</w:t>
      </w:r>
    </w:p>
    <w:p w14:paraId="5CF4755E">
      <w:pPr>
        <w:pStyle w:val="37"/>
        <w:numPr>
          <w:ilvl w:val="0"/>
          <w:numId w:val="7"/>
        </w:numPr>
        <w:tabs>
          <w:tab w:val="left" w:pos="1435"/>
        </w:tabs>
        <w:adjustRightInd w:val="0"/>
        <w:snapToGrid w:val="0"/>
        <w:spacing w:line="360" w:lineRule="auto"/>
        <w:ind w:left="0" w:firstLine="482" w:firstLineChars="200"/>
        <w:rPr>
          <w:rFonts w:cs="仿宋"/>
          <w:b/>
          <w:bCs/>
          <w:sz w:val="24"/>
          <w:lang w:val="en-US"/>
        </w:rPr>
      </w:pPr>
      <w:r>
        <w:rPr>
          <w:rFonts w:hint="eastAsia" w:cs="仿宋"/>
          <w:b/>
          <w:bCs/>
          <w:sz w:val="24"/>
          <w:lang w:val="en-US"/>
        </w:rPr>
        <w:t>不同供应商的投标文件由同一电子设备打印、复印；</w:t>
      </w:r>
    </w:p>
    <w:p w14:paraId="29478179">
      <w:pPr>
        <w:pStyle w:val="37"/>
        <w:numPr>
          <w:ilvl w:val="0"/>
          <w:numId w:val="7"/>
        </w:numPr>
        <w:tabs>
          <w:tab w:val="left" w:pos="1435"/>
        </w:tabs>
        <w:adjustRightInd w:val="0"/>
        <w:snapToGrid w:val="0"/>
        <w:spacing w:line="360" w:lineRule="auto"/>
        <w:ind w:left="0" w:firstLine="482" w:firstLineChars="200"/>
        <w:rPr>
          <w:rFonts w:cs="仿宋"/>
          <w:b/>
          <w:bCs/>
          <w:sz w:val="24"/>
          <w:lang w:val="en-US"/>
        </w:rPr>
      </w:pPr>
      <w:r>
        <w:rPr>
          <w:rFonts w:hint="eastAsia" w:cs="仿宋"/>
          <w:b/>
          <w:bCs/>
          <w:sz w:val="24"/>
          <w:lang w:val="en-US"/>
        </w:rPr>
        <w:t>不同供应商联系人为同一人或不同联系人的联系电话一致的；</w:t>
      </w:r>
    </w:p>
    <w:p w14:paraId="373ECF22">
      <w:pPr>
        <w:pStyle w:val="37"/>
        <w:numPr>
          <w:ilvl w:val="0"/>
          <w:numId w:val="7"/>
        </w:numPr>
        <w:tabs>
          <w:tab w:val="left" w:pos="1435"/>
        </w:tabs>
        <w:adjustRightInd w:val="0"/>
        <w:snapToGrid w:val="0"/>
        <w:spacing w:line="360" w:lineRule="auto"/>
        <w:ind w:left="0" w:firstLine="482" w:firstLineChars="200"/>
        <w:rPr>
          <w:rFonts w:cs="仿宋"/>
          <w:b/>
          <w:bCs/>
          <w:sz w:val="24"/>
          <w:lang w:val="en-US"/>
        </w:rPr>
      </w:pPr>
      <w:r>
        <w:rPr>
          <w:rFonts w:hint="eastAsia" w:cs="仿宋"/>
          <w:b/>
          <w:bCs/>
          <w:sz w:val="24"/>
          <w:lang w:val="en-US"/>
        </w:rPr>
        <w:t>不同供应商的投标文件的内容存在两处以上细节错误一致；</w:t>
      </w:r>
    </w:p>
    <w:p w14:paraId="7F9D0C76">
      <w:pPr>
        <w:pStyle w:val="37"/>
        <w:numPr>
          <w:ilvl w:val="0"/>
          <w:numId w:val="7"/>
        </w:numPr>
        <w:tabs>
          <w:tab w:val="left" w:pos="1435"/>
        </w:tabs>
        <w:adjustRightInd w:val="0"/>
        <w:snapToGrid w:val="0"/>
        <w:spacing w:line="360" w:lineRule="auto"/>
        <w:ind w:left="0" w:firstLine="482" w:firstLineChars="200"/>
        <w:rPr>
          <w:rFonts w:cs="仿宋"/>
          <w:b/>
          <w:bCs/>
          <w:sz w:val="24"/>
          <w:lang w:val="en-US"/>
        </w:rPr>
      </w:pPr>
      <w:r>
        <w:rPr>
          <w:rFonts w:hint="eastAsia" w:cs="仿宋"/>
          <w:b/>
          <w:bCs/>
          <w:sz w:val="24"/>
          <w:lang w:val="en-US"/>
        </w:rPr>
        <w:t>不同供应商的法定代表人、委托代理人、项目经理、项目负责人等由同一单位缴纳社会保险或者领取报酬的；</w:t>
      </w:r>
    </w:p>
    <w:p w14:paraId="46F40526">
      <w:pPr>
        <w:pStyle w:val="37"/>
        <w:numPr>
          <w:ilvl w:val="0"/>
          <w:numId w:val="7"/>
        </w:numPr>
        <w:tabs>
          <w:tab w:val="left" w:pos="1435"/>
        </w:tabs>
        <w:adjustRightInd w:val="0"/>
        <w:snapToGrid w:val="0"/>
        <w:spacing w:line="360" w:lineRule="auto"/>
        <w:ind w:left="0" w:firstLine="482" w:firstLineChars="200"/>
        <w:rPr>
          <w:rFonts w:cs="仿宋"/>
          <w:b/>
          <w:bCs/>
          <w:sz w:val="24"/>
          <w:lang w:val="en-US"/>
        </w:rPr>
      </w:pPr>
      <w:r>
        <w:rPr>
          <w:rFonts w:hint="eastAsia" w:cs="仿宋"/>
          <w:b/>
          <w:bCs/>
          <w:sz w:val="24"/>
          <w:lang w:val="en-US"/>
        </w:rPr>
        <w:t>不同供应商投标文件中法定代表人或者负责人签字出自同一人之手；</w:t>
      </w:r>
    </w:p>
    <w:p w14:paraId="1A766D6E">
      <w:pPr>
        <w:pStyle w:val="37"/>
        <w:numPr>
          <w:ilvl w:val="0"/>
          <w:numId w:val="7"/>
        </w:numPr>
        <w:tabs>
          <w:tab w:val="left" w:pos="1435"/>
        </w:tabs>
        <w:adjustRightInd w:val="0"/>
        <w:snapToGrid w:val="0"/>
        <w:spacing w:line="360" w:lineRule="auto"/>
        <w:ind w:left="0" w:firstLine="482" w:firstLineChars="200"/>
        <w:rPr>
          <w:rFonts w:cs="仿宋"/>
          <w:b/>
          <w:bCs/>
          <w:sz w:val="24"/>
        </w:rPr>
      </w:pPr>
      <w:r>
        <w:rPr>
          <w:rFonts w:hint="eastAsia" w:cs="仿宋"/>
          <w:b/>
          <w:bCs/>
          <w:sz w:val="24"/>
        </w:rPr>
        <w:t>招标文件中规定的其他情形。</w:t>
      </w:r>
    </w:p>
    <w:p w14:paraId="4C50DAA5">
      <w:pPr>
        <w:pStyle w:val="37"/>
        <w:tabs>
          <w:tab w:val="left" w:pos="1435"/>
        </w:tabs>
        <w:adjustRightInd w:val="0"/>
        <w:snapToGrid w:val="0"/>
        <w:spacing w:line="360" w:lineRule="auto"/>
        <w:ind w:left="0" w:firstLine="480" w:firstLineChars="200"/>
        <w:rPr>
          <w:rFonts w:cs="仿宋"/>
          <w:sz w:val="24"/>
        </w:rPr>
      </w:pPr>
      <w:r>
        <w:rPr>
          <w:rFonts w:hint="eastAsia" w:cs="仿宋"/>
          <w:sz w:val="24"/>
          <w:lang w:val="en-US"/>
        </w:rPr>
        <w:t>3.1.3</w:t>
      </w:r>
      <w:r>
        <w:rPr>
          <w:rFonts w:hint="eastAsia" w:cs="仿宋"/>
          <w:sz w:val="24"/>
        </w:rPr>
        <w:t>投标报价有算术错误的，评标委员会按以下原则对投标报价进行修正，修正的价格经投标人书面确认后具有约束力。投标人不接受修正价格的，否决其投标。</w:t>
      </w:r>
    </w:p>
    <w:p w14:paraId="54E0C2EF">
      <w:pPr>
        <w:pStyle w:val="37"/>
        <w:tabs>
          <w:tab w:val="left" w:pos="1435"/>
        </w:tabs>
        <w:adjustRightInd w:val="0"/>
        <w:snapToGrid w:val="0"/>
        <w:spacing w:line="360" w:lineRule="auto"/>
        <w:ind w:left="0" w:firstLine="480" w:firstLineChars="200"/>
        <w:rPr>
          <w:rFonts w:cs="仿宋"/>
          <w:sz w:val="24"/>
        </w:rPr>
      </w:pPr>
      <w:r>
        <w:rPr>
          <w:rFonts w:hint="eastAsia" w:cs="仿宋"/>
          <w:sz w:val="24"/>
        </w:rPr>
        <w:t>（</w:t>
      </w:r>
      <w:r>
        <w:rPr>
          <w:rFonts w:hint="eastAsia" w:cs="仿宋"/>
          <w:sz w:val="24"/>
          <w:lang w:val="en-US"/>
        </w:rPr>
        <w:t>1</w:t>
      </w:r>
      <w:r>
        <w:rPr>
          <w:rFonts w:hint="eastAsia" w:cs="仿宋"/>
          <w:sz w:val="24"/>
        </w:rPr>
        <w:t>）投标文件中开标一览表（报价表）内容与投标文件中相应内容不一致的，以开标一览表（报价表）为准。</w:t>
      </w:r>
    </w:p>
    <w:p w14:paraId="4DA3203E">
      <w:pPr>
        <w:pStyle w:val="37"/>
        <w:tabs>
          <w:tab w:val="left" w:pos="1435"/>
        </w:tabs>
        <w:adjustRightInd w:val="0"/>
        <w:snapToGrid w:val="0"/>
        <w:spacing w:line="360" w:lineRule="auto"/>
        <w:ind w:left="0" w:firstLine="480" w:firstLineChars="200"/>
        <w:rPr>
          <w:rFonts w:cs="仿宋"/>
          <w:sz w:val="24"/>
        </w:rPr>
      </w:pPr>
      <w:r>
        <w:rPr>
          <w:rFonts w:hint="eastAsia" w:cs="仿宋"/>
          <w:sz w:val="24"/>
        </w:rPr>
        <w:t>（2）投标文件中的大写金额与小写金额不一致的，以大写金额为准；</w:t>
      </w:r>
    </w:p>
    <w:p w14:paraId="0618C710">
      <w:pPr>
        <w:pStyle w:val="37"/>
        <w:tabs>
          <w:tab w:val="left" w:pos="1435"/>
        </w:tabs>
        <w:adjustRightInd w:val="0"/>
        <w:snapToGrid w:val="0"/>
        <w:spacing w:line="360" w:lineRule="auto"/>
        <w:ind w:left="0" w:firstLine="480" w:firstLineChars="200"/>
        <w:rPr>
          <w:rFonts w:cs="仿宋"/>
          <w:sz w:val="24"/>
        </w:rPr>
      </w:pPr>
      <w:r>
        <w:rPr>
          <w:rFonts w:hint="eastAsia" w:cs="仿宋"/>
          <w:sz w:val="24"/>
        </w:rPr>
        <w:t>（3）总价金额与按单价汇总金额不一致的，以单价金额计算结果为准。单价金额小数点或者百分比有明显错位的，以开标一览表（投标函）的总价为准，并修改单价。</w:t>
      </w:r>
    </w:p>
    <w:p w14:paraId="7F9970CC">
      <w:pPr>
        <w:pStyle w:val="37"/>
        <w:tabs>
          <w:tab w:val="left" w:pos="1435"/>
        </w:tabs>
        <w:adjustRightInd w:val="0"/>
        <w:snapToGrid w:val="0"/>
        <w:spacing w:line="360" w:lineRule="auto"/>
        <w:ind w:left="0" w:firstLine="480" w:firstLineChars="200"/>
        <w:rPr>
          <w:rFonts w:cs="仿宋"/>
          <w:sz w:val="24"/>
        </w:rPr>
      </w:pPr>
      <w:r>
        <w:rPr>
          <w:rFonts w:hint="eastAsia" w:cs="仿宋"/>
          <w:sz w:val="24"/>
        </w:rPr>
        <w:t>（4）如果分项报价中存在缺漏项，则视为缺漏项价格已包含在其他分项报价之中。</w:t>
      </w:r>
    </w:p>
    <w:p w14:paraId="3C8946F5">
      <w:pPr>
        <w:pStyle w:val="37"/>
        <w:tabs>
          <w:tab w:val="left" w:pos="1436"/>
        </w:tabs>
        <w:adjustRightInd w:val="0"/>
        <w:snapToGrid w:val="0"/>
        <w:spacing w:line="360" w:lineRule="auto"/>
        <w:ind w:left="0" w:firstLine="458" w:firstLineChars="200"/>
        <w:rPr>
          <w:rFonts w:cs="仿宋"/>
          <w:b/>
          <w:bCs/>
          <w:spacing w:val="-6"/>
          <w:sz w:val="24"/>
          <w:lang w:val="en-US"/>
        </w:rPr>
      </w:pPr>
      <w:r>
        <w:rPr>
          <w:rFonts w:hint="eastAsia" w:cs="仿宋"/>
          <w:b/>
          <w:bCs/>
          <w:spacing w:val="-6"/>
          <w:sz w:val="24"/>
          <w:lang w:val="en-US"/>
        </w:rPr>
        <w:t>3.2 详细评审</w:t>
      </w:r>
    </w:p>
    <w:p w14:paraId="797400CA">
      <w:pPr>
        <w:pStyle w:val="37"/>
        <w:tabs>
          <w:tab w:val="left" w:pos="1701"/>
        </w:tabs>
        <w:adjustRightInd w:val="0"/>
        <w:snapToGrid w:val="0"/>
        <w:spacing w:line="360" w:lineRule="auto"/>
        <w:ind w:left="0" w:firstLine="480" w:firstLineChars="200"/>
        <w:jc w:val="both"/>
        <w:rPr>
          <w:rFonts w:cs="仿宋"/>
          <w:sz w:val="24"/>
          <w:lang w:val="en-US"/>
        </w:rPr>
      </w:pPr>
      <w:r>
        <w:rPr>
          <w:rFonts w:hint="eastAsia" w:cs="仿宋"/>
          <w:sz w:val="24"/>
          <w:lang w:val="en-US"/>
        </w:rPr>
        <w:t>3.2.1评标委员会按招标文件要求对所有投标文件进行检查，并进行综合比较与独立评分并按本章第 2.2 款分值构成与评分标准中规定的量化因素和分值进行打分，计算出综合评估得分。中标价和合同签约价仍以其投标文件中的一次报价为准。</w:t>
      </w:r>
    </w:p>
    <w:p w14:paraId="724F32C6">
      <w:pPr>
        <w:pStyle w:val="37"/>
        <w:tabs>
          <w:tab w:val="left" w:pos="1701"/>
        </w:tabs>
        <w:adjustRightInd w:val="0"/>
        <w:snapToGrid w:val="0"/>
        <w:spacing w:line="360" w:lineRule="auto"/>
        <w:ind w:left="0" w:firstLine="468" w:firstLineChars="200"/>
        <w:rPr>
          <w:rFonts w:cs="仿宋"/>
          <w:sz w:val="24"/>
        </w:rPr>
      </w:pPr>
      <w:r>
        <w:rPr>
          <w:rFonts w:hint="eastAsia" w:cs="仿宋"/>
          <w:spacing w:val="-3"/>
          <w:sz w:val="24"/>
        </w:rPr>
        <w:t>（</w:t>
      </w:r>
      <w:r>
        <w:rPr>
          <w:rFonts w:hint="eastAsia" w:cs="仿宋"/>
          <w:spacing w:val="-3"/>
          <w:sz w:val="24"/>
          <w:lang w:val="en-US"/>
        </w:rPr>
        <w:t>1</w:t>
      </w:r>
      <w:r>
        <w:rPr>
          <w:rFonts w:hint="eastAsia" w:cs="仿宋"/>
          <w:spacing w:val="-3"/>
          <w:sz w:val="24"/>
        </w:rPr>
        <w:t xml:space="preserve">）按本章规定的评审因素和分值对商务部分计算出得分 </w:t>
      </w:r>
      <w:r>
        <w:rPr>
          <w:rFonts w:hint="eastAsia" w:cs="仿宋"/>
          <w:sz w:val="24"/>
        </w:rPr>
        <w:t>A；</w:t>
      </w:r>
    </w:p>
    <w:p w14:paraId="635BDD9F">
      <w:pPr>
        <w:pStyle w:val="37"/>
        <w:tabs>
          <w:tab w:val="left" w:pos="1582"/>
        </w:tabs>
        <w:adjustRightInd w:val="0"/>
        <w:snapToGrid w:val="0"/>
        <w:spacing w:line="360" w:lineRule="auto"/>
        <w:ind w:left="0" w:firstLine="468" w:firstLineChars="200"/>
        <w:rPr>
          <w:rFonts w:cs="仿宋"/>
          <w:sz w:val="24"/>
        </w:rPr>
      </w:pPr>
      <w:r>
        <w:rPr>
          <w:rFonts w:hint="eastAsia" w:cs="仿宋"/>
          <w:spacing w:val="-3"/>
          <w:sz w:val="24"/>
        </w:rPr>
        <w:t>（</w:t>
      </w:r>
      <w:r>
        <w:rPr>
          <w:rFonts w:hint="eastAsia" w:cs="仿宋"/>
          <w:spacing w:val="-3"/>
          <w:sz w:val="24"/>
          <w:lang w:val="en-US"/>
        </w:rPr>
        <w:t>2</w:t>
      </w:r>
      <w:r>
        <w:rPr>
          <w:rFonts w:hint="eastAsia" w:cs="仿宋"/>
          <w:spacing w:val="-3"/>
          <w:sz w:val="24"/>
        </w:rPr>
        <w:t xml:space="preserve">）按本章规定的评审因素和分值对技术部分计算出得分 </w:t>
      </w:r>
      <w:r>
        <w:rPr>
          <w:rFonts w:hint="eastAsia" w:cs="仿宋"/>
          <w:sz w:val="24"/>
        </w:rPr>
        <w:t>B；</w:t>
      </w:r>
    </w:p>
    <w:p w14:paraId="56521B2A">
      <w:pPr>
        <w:pStyle w:val="37"/>
        <w:tabs>
          <w:tab w:val="left" w:pos="1582"/>
        </w:tabs>
        <w:adjustRightInd w:val="0"/>
        <w:snapToGrid w:val="0"/>
        <w:spacing w:line="360" w:lineRule="auto"/>
        <w:ind w:left="0" w:firstLine="468" w:firstLineChars="200"/>
        <w:rPr>
          <w:rFonts w:cs="仿宋"/>
          <w:sz w:val="24"/>
        </w:rPr>
      </w:pPr>
      <w:r>
        <w:rPr>
          <w:rFonts w:hint="eastAsia" w:cs="仿宋"/>
          <w:spacing w:val="-3"/>
          <w:sz w:val="24"/>
        </w:rPr>
        <w:t>（</w:t>
      </w:r>
      <w:r>
        <w:rPr>
          <w:rFonts w:hint="eastAsia" w:cs="仿宋"/>
          <w:spacing w:val="-3"/>
          <w:sz w:val="24"/>
          <w:lang w:val="en-US"/>
        </w:rPr>
        <w:t>3</w:t>
      </w:r>
      <w:r>
        <w:rPr>
          <w:rFonts w:hint="eastAsia" w:cs="仿宋"/>
          <w:spacing w:val="-3"/>
          <w:sz w:val="24"/>
        </w:rPr>
        <w:t xml:space="preserve">）按本章规定的评审因素和分值对综合部分计算出得分 </w:t>
      </w:r>
      <w:r>
        <w:rPr>
          <w:rFonts w:hint="eastAsia" w:cs="仿宋"/>
          <w:sz w:val="24"/>
        </w:rPr>
        <w:t>C；</w:t>
      </w:r>
    </w:p>
    <w:p w14:paraId="26E90482">
      <w:pPr>
        <w:pStyle w:val="37"/>
        <w:tabs>
          <w:tab w:val="left" w:pos="1701"/>
        </w:tabs>
        <w:adjustRightInd w:val="0"/>
        <w:snapToGrid w:val="0"/>
        <w:spacing w:line="360" w:lineRule="auto"/>
        <w:ind w:left="0" w:firstLine="480" w:firstLineChars="200"/>
        <w:rPr>
          <w:rFonts w:cs="仿宋"/>
          <w:sz w:val="24"/>
        </w:rPr>
      </w:pPr>
      <w:r>
        <w:rPr>
          <w:rFonts w:hint="eastAsia" w:cs="仿宋"/>
          <w:sz w:val="24"/>
        </w:rPr>
        <w:t>（</w:t>
      </w:r>
      <w:r>
        <w:rPr>
          <w:rFonts w:hint="eastAsia" w:cs="仿宋"/>
          <w:sz w:val="24"/>
          <w:lang w:val="en-US"/>
        </w:rPr>
        <w:t>4</w:t>
      </w:r>
      <w:r>
        <w:rPr>
          <w:rFonts w:hint="eastAsia" w:cs="仿宋"/>
          <w:sz w:val="24"/>
        </w:rPr>
        <w:t>）评分分值计算保留小数点后两位，小数点后第三位“四舍五入”。</w:t>
      </w:r>
    </w:p>
    <w:p w14:paraId="545EB86E">
      <w:pPr>
        <w:pStyle w:val="37"/>
        <w:tabs>
          <w:tab w:val="left" w:pos="1701"/>
        </w:tabs>
        <w:adjustRightInd w:val="0"/>
        <w:snapToGrid w:val="0"/>
        <w:spacing w:line="360" w:lineRule="auto"/>
        <w:ind w:left="0" w:firstLine="480" w:firstLineChars="200"/>
        <w:rPr>
          <w:rFonts w:cs="仿宋"/>
          <w:sz w:val="24"/>
        </w:rPr>
      </w:pPr>
      <w:r>
        <w:rPr>
          <w:rFonts w:hint="eastAsia" w:cs="仿宋"/>
          <w:sz w:val="24"/>
        </w:rPr>
        <w:t>（</w:t>
      </w:r>
      <w:r>
        <w:rPr>
          <w:rFonts w:hint="eastAsia" w:cs="仿宋"/>
          <w:sz w:val="24"/>
          <w:lang w:val="en-US"/>
        </w:rPr>
        <w:t>5</w:t>
      </w:r>
      <w:r>
        <w:rPr>
          <w:rFonts w:hint="eastAsia" w:cs="仿宋"/>
          <w:sz w:val="24"/>
        </w:rPr>
        <w:t>）投标人得分=A+B+C。</w:t>
      </w:r>
    </w:p>
    <w:p w14:paraId="50D63F8F">
      <w:pPr>
        <w:pStyle w:val="37"/>
        <w:tabs>
          <w:tab w:val="left" w:pos="1701"/>
        </w:tabs>
        <w:adjustRightInd w:val="0"/>
        <w:snapToGrid w:val="0"/>
        <w:spacing w:line="360" w:lineRule="auto"/>
        <w:ind w:left="0" w:firstLine="480" w:firstLineChars="200"/>
        <w:jc w:val="both"/>
        <w:rPr>
          <w:rFonts w:cs="仿宋"/>
          <w:sz w:val="24"/>
        </w:rPr>
      </w:pPr>
      <w:r>
        <w:rPr>
          <w:rFonts w:hint="eastAsia" w:cs="仿宋"/>
          <w:sz w:val="24"/>
        </w:rPr>
        <w:t>（</w:t>
      </w:r>
      <w:r>
        <w:rPr>
          <w:rFonts w:hint="eastAsia" w:cs="仿宋"/>
          <w:sz w:val="24"/>
          <w:lang w:val="en-US"/>
        </w:rPr>
        <w:t>6</w:t>
      </w:r>
      <w:r>
        <w:rPr>
          <w:rFonts w:hint="eastAsia" w:cs="仿宋"/>
          <w:sz w:val="24"/>
        </w:rPr>
        <w:t>）投标人最终得分：最终得分为各评委打分之和的算术平均值。</w:t>
      </w:r>
    </w:p>
    <w:p w14:paraId="4651247F">
      <w:pPr>
        <w:pStyle w:val="37"/>
        <w:tabs>
          <w:tab w:val="left" w:pos="1701"/>
        </w:tabs>
        <w:adjustRightInd w:val="0"/>
        <w:snapToGrid w:val="0"/>
        <w:spacing w:line="360" w:lineRule="auto"/>
        <w:ind w:left="0" w:firstLine="480" w:firstLineChars="200"/>
        <w:jc w:val="both"/>
        <w:rPr>
          <w:rFonts w:cs="仿宋"/>
          <w:sz w:val="24"/>
        </w:rPr>
      </w:pPr>
      <w:r>
        <w:rPr>
          <w:rFonts w:hint="eastAsia" w:cs="仿宋"/>
          <w:sz w:val="24"/>
        </w:rPr>
        <w:t>（</w:t>
      </w:r>
      <w:r>
        <w:rPr>
          <w:rFonts w:hint="eastAsia" w:cs="仿宋"/>
          <w:sz w:val="24"/>
          <w:lang w:val="en-US"/>
        </w:rPr>
        <w:t>7</w:t>
      </w:r>
      <w:r>
        <w:rPr>
          <w:rFonts w:hint="eastAsia" w:cs="仿宋"/>
          <w:sz w:val="24"/>
        </w:rPr>
        <w:t>）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将被否决。</w:t>
      </w:r>
    </w:p>
    <w:p w14:paraId="31F1E3EB">
      <w:pPr>
        <w:pStyle w:val="37"/>
        <w:tabs>
          <w:tab w:val="left" w:pos="1436"/>
        </w:tabs>
        <w:adjustRightInd w:val="0"/>
        <w:snapToGrid w:val="0"/>
        <w:spacing w:line="360" w:lineRule="auto"/>
        <w:ind w:left="0" w:firstLine="458" w:firstLineChars="200"/>
        <w:rPr>
          <w:rFonts w:cs="仿宋"/>
          <w:b/>
          <w:bCs/>
          <w:spacing w:val="-6"/>
          <w:sz w:val="24"/>
          <w:lang w:val="en-US"/>
        </w:rPr>
      </w:pPr>
      <w:r>
        <w:rPr>
          <w:rFonts w:hint="eastAsia" w:cs="仿宋"/>
          <w:b/>
          <w:bCs/>
          <w:spacing w:val="-6"/>
          <w:sz w:val="24"/>
          <w:lang w:val="en-US"/>
        </w:rPr>
        <w:t>3.3 投标文件的澄清和补正</w:t>
      </w:r>
    </w:p>
    <w:p w14:paraId="27C188A9">
      <w:pPr>
        <w:pStyle w:val="37"/>
        <w:tabs>
          <w:tab w:val="left" w:pos="1701"/>
        </w:tabs>
        <w:adjustRightInd w:val="0"/>
        <w:snapToGrid w:val="0"/>
        <w:spacing w:line="360" w:lineRule="auto"/>
        <w:ind w:left="0" w:firstLine="480" w:firstLineChars="200"/>
        <w:jc w:val="both"/>
        <w:rPr>
          <w:rFonts w:cs="仿宋"/>
          <w:sz w:val="24"/>
        </w:rPr>
      </w:pPr>
      <w:r>
        <w:rPr>
          <w:rFonts w:hint="eastAsia" w:cs="仿宋"/>
          <w:sz w:val="24"/>
          <w:lang w:val="en-US"/>
        </w:rPr>
        <w:t>3.3.1</w:t>
      </w:r>
      <w:r>
        <w:rPr>
          <w:rFonts w:hint="eastAsia" w:cs="仿宋"/>
          <w:sz w:val="24"/>
        </w:rPr>
        <w:t>在评标过程中，评标委员会可以在电子交易系统中要求投标人对所提交投标文件中不明确的内容进行澄清或说明，或者对细微偏差进行补正。评标委员会不接受投标人主动提出的澄清、说明或补正。</w:t>
      </w:r>
    </w:p>
    <w:p w14:paraId="46A49083">
      <w:pPr>
        <w:pStyle w:val="37"/>
        <w:tabs>
          <w:tab w:val="left" w:pos="1701"/>
        </w:tabs>
        <w:adjustRightInd w:val="0"/>
        <w:snapToGrid w:val="0"/>
        <w:spacing w:line="360" w:lineRule="auto"/>
        <w:ind w:left="0" w:firstLine="480" w:firstLineChars="200"/>
        <w:jc w:val="both"/>
        <w:rPr>
          <w:rFonts w:cs="仿宋"/>
          <w:sz w:val="24"/>
        </w:rPr>
      </w:pPr>
      <w:r>
        <w:rPr>
          <w:rFonts w:hint="eastAsia" w:cs="仿宋"/>
          <w:sz w:val="24"/>
          <w:lang w:val="en-US"/>
        </w:rPr>
        <w:t>3.3.2</w:t>
      </w:r>
      <w:r>
        <w:rPr>
          <w:rFonts w:hint="eastAsia" w:cs="仿宋"/>
          <w:sz w:val="24"/>
        </w:rPr>
        <w:t>澄清、说明和补正不得改变投标文件的实质性内容（算术性错误修正的除外）。投标人的澄清、说明和补正属于投标文件的组成部分。</w:t>
      </w:r>
    </w:p>
    <w:p w14:paraId="3248D89E">
      <w:pPr>
        <w:pStyle w:val="37"/>
        <w:tabs>
          <w:tab w:val="left" w:pos="1701"/>
        </w:tabs>
        <w:adjustRightInd w:val="0"/>
        <w:snapToGrid w:val="0"/>
        <w:spacing w:line="360" w:lineRule="auto"/>
        <w:ind w:left="0" w:firstLine="480" w:firstLineChars="200"/>
        <w:jc w:val="both"/>
        <w:rPr>
          <w:rFonts w:cs="仿宋"/>
          <w:sz w:val="24"/>
        </w:rPr>
      </w:pPr>
      <w:r>
        <w:rPr>
          <w:rFonts w:hint="eastAsia" w:cs="仿宋"/>
          <w:sz w:val="24"/>
          <w:lang w:val="en-US"/>
        </w:rPr>
        <w:t>3.3.3</w:t>
      </w:r>
      <w:r>
        <w:rPr>
          <w:rFonts w:hint="eastAsia" w:cs="仿宋"/>
          <w:sz w:val="24"/>
        </w:rPr>
        <w:t>评标委员会对投标人提交的澄清、说明或补正有疑问的，可以要求投标人进一步澄清、说明或补正，直至满足评标委员会的要求。</w:t>
      </w:r>
    </w:p>
    <w:p w14:paraId="2FAAF5DF">
      <w:pPr>
        <w:pStyle w:val="37"/>
        <w:tabs>
          <w:tab w:val="left" w:pos="1436"/>
        </w:tabs>
        <w:adjustRightInd w:val="0"/>
        <w:snapToGrid w:val="0"/>
        <w:spacing w:line="360" w:lineRule="auto"/>
        <w:ind w:left="0" w:firstLine="458" w:firstLineChars="200"/>
        <w:rPr>
          <w:rFonts w:cs="仿宋"/>
          <w:b/>
          <w:bCs/>
          <w:spacing w:val="-6"/>
          <w:sz w:val="24"/>
          <w:lang w:val="en-US"/>
        </w:rPr>
      </w:pPr>
      <w:r>
        <w:rPr>
          <w:rFonts w:hint="eastAsia" w:cs="仿宋"/>
          <w:b/>
          <w:bCs/>
          <w:spacing w:val="-6"/>
          <w:sz w:val="24"/>
          <w:lang w:val="en-US"/>
        </w:rPr>
        <w:t>3.4 评标结果</w:t>
      </w:r>
    </w:p>
    <w:p w14:paraId="4CA748FF">
      <w:pPr>
        <w:pStyle w:val="37"/>
        <w:tabs>
          <w:tab w:val="left" w:pos="1641"/>
        </w:tabs>
        <w:adjustRightInd w:val="0"/>
        <w:snapToGrid w:val="0"/>
        <w:spacing w:line="360" w:lineRule="auto"/>
        <w:ind w:left="0" w:firstLine="464" w:firstLineChars="200"/>
        <w:rPr>
          <w:rFonts w:cs="仿宋"/>
          <w:sz w:val="24"/>
        </w:rPr>
      </w:pPr>
      <w:r>
        <w:rPr>
          <w:rFonts w:hint="eastAsia" w:cs="仿宋"/>
          <w:spacing w:val="-4"/>
          <w:sz w:val="24"/>
          <w:lang w:val="en-US"/>
        </w:rPr>
        <w:t>3.4.1</w:t>
      </w:r>
      <w:r>
        <w:rPr>
          <w:rFonts w:hint="eastAsia" w:cs="仿宋"/>
          <w:spacing w:val="-4"/>
          <w:sz w:val="24"/>
        </w:rPr>
        <w:t>评标委员会按照得分由高到低的顺序推荐</w:t>
      </w:r>
      <w:r>
        <w:rPr>
          <w:rFonts w:hint="eastAsia" w:cs="仿宋"/>
          <w:sz w:val="24"/>
        </w:rPr>
        <w:t>3</w:t>
      </w:r>
      <w:r>
        <w:rPr>
          <w:rFonts w:hint="eastAsia" w:cs="仿宋"/>
          <w:spacing w:val="-60"/>
          <w:sz w:val="24"/>
        </w:rPr>
        <w:t xml:space="preserve"> </w:t>
      </w:r>
      <w:r>
        <w:rPr>
          <w:rFonts w:hint="eastAsia" w:cs="仿宋"/>
          <w:sz w:val="24"/>
        </w:rPr>
        <w:t>名中标候选人。</w:t>
      </w:r>
    </w:p>
    <w:p w14:paraId="252E3240">
      <w:pPr>
        <w:pStyle w:val="37"/>
        <w:tabs>
          <w:tab w:val="left" w:pos="1761"/>
        </w:tabs>
        <w:adjustRightInd w:val="0"/>
        <w:snapToGrid w:val="0"/>
        <w:spacing w:line="360" w:lineRule="auto"/>
        <w:ind w:left="0" w:firstLine="480" w:firstLineChars="200"/>
        <w:rPr>
          <w:rFonts w:cs="仿宋"/>
          <w:szCs w:val="21"/>
        </w:rPr>
      </w:pPr>
      <w:r>
        <w:rPr>
          <w:rFonts w:hint="eastAsia" w:cs="仿宋"/>
          <w:sz w:val="24"/>
          <w:lang w:val="en-US"/>
        </w:rPr>
        <w:t>3.4.2</w:t>
      </w:r>
      <w:r>
        <w:rPr>
          <w:rFonts w:hint="eastAsia" w:cs="仿宋"/>
          <w:sz w:val="24"/>
        </w:rPr>
        <w:t>评标委员会完成评标后，应当向采购人提交书面评标报告。</w:t>
      </w:r>
      <w:bookmarkStart w:id="64" w:name="_bookmark12"/>
      <w:bookmarkEnd w:id="64"/>
      <w:bookmarkStart w:id="65" w:name="_Toc31506"/>
      <w:r>
        <w:rPr>
          <w:rFonts w:cs="仿宋"/>
          <w:b/>
          <w:bCs/>
          <w:sz w:val="21"/>
          <w:szCs w:val="21"/>
        </w:rPr>
        <w:br w:type="page"/>
      </w:r>
    </w:p>
    <w:p w14:paraId="784A8DF9">
      <w:pPr>
        <w:pStyle w:val="3"/>
        <w:tabs>
          <w:tab w:val="left" w:pos="4513"/>
        </w:tabs>
        <w:spacing w:before="55" w:line="360" w:lineRule="auto"/>
        <w:ind w:right="0"/>
        <w:rPr>
          <w:rFonts w:cs="仿宋"/>
        </w:rPr>
      </w:pPr>
      <w:bookmarkStart w:id="66" w:name="_Toc202949961"/>
      <w:r>
        <w:rPr>
          <w:rFonts w:hint="eastAsia" w:cs="仿宋"/>
        </w:rPr>
        <w:t>第四章</w:t>
      </w:r>
      <w:r>
        <w:rPr>
          <w:rFonts w:hint="eastAsia" w:cs="仿宋"/>
          <w:lang w:val="en-US"/>
        </w:rPr>
        <w:t xml:space="preserve"> </w:t>
      </w:r>
      <w:r>
        <w:rPr>
          <w:rFonts w:hint="eastAsia" w:cs="仿宋"/>
        </w:rPr>
        <w:t>合同条款及格式</w:t>
      </w:r>
      <w:bookmarkEnd w:id="62"/>
      <w:bookmarkEnd w:id="63"/>
      <w:bookmarkEnd w:id="65"/>
      <w:bookmarkEnd w:id="66"/>
    </w:p>
    <w:p w14:paraId="53132DBC">
      <w:pPr>
        <w:spacing w:before="156" w:beforeLines="50" w:after="156" w:afterLines="50"/>
        <w:ind w:firstLine="643"/>
        <w:jc w:val="center"/>
        <w:rPr>
          <w:rFonts w:ascii="宋体" w:hAnsi="宋体"/>
          <w:b/>
          <w:sz w:val="24"/>
        </w:rPr>
      </w:pPr>
      <w:r>
        <w:rPr>
          <w:rFonts w:hint="eastAsia" w:ascii="宋体" w:hAnsi="宋体"/>
          <w:b/>
          <w:sz w:val="24"/>
        </w:rPr>
        <w:t>（以实际签订为准）</w:t>
      </w:r>
    </w:p>
    <w:p w14:paraId="21CE70F9">
      <w:pPr>
        <w:spacing w:before="156" w:beforeLines="50" w:after="156" w:afterLines="50" w:line="360" w:lineRule="auto"/>
        <w:ind w:firstLine="480" w:firstLineChars="200"/>
        <w:jc w:val="left"/>
        <w:rPr>
          <w:rFonts w:ascii="宋体" w:hAnsi="宋体" w:cs="仿宋"/>
          <w:sz w:val="24"/>
        </w:rPr>
      </w:pPr>
      <w:r>
        <w:rPr>
          <w:rFonts w:hint="eastAsia" w:ascii="宋体" w:hAnsi="宋体" w:cs="仿宋"/>
          <w:sz w:val="24"/>
          <w:u w:val="single"/>
        </w:rPr>
        <w:t>甲方：</w:t>
      </w:r>
      <w:r>
        <w:rPr>
          <w:rFonts w:hint="eastAsia" w:ascii="宋体" w:hAnsi="宋体" w:cs="仿宋"/>
          <w:bCs/>
          <w:sz w:val="24"/>
          <w:u w:val="single"/>
        </w:rPr>
        <w:t xml:space="preserve">                           </w:t>
      </w:r>
      <w:r>
        <w:rPr>
          <w:rFonts w:hint="eastAsia" w:ascii="宋体" w:hAnsi="宋体" w:cs="仿宋"/>
          <w:sz w:val="24"/>
          <w:u w:val="single"/>
        </w:rPr>
        <w:t xml:space="preserve"> </w:t>
      </w:r>
      <w:r>
        <w:rPr>
          <w:rFonts w:hint="eastAsia" w:ascii="宋体" w:hAnsi="宋体" w:cs="仿宋"/>
          <w:sz w:val="24"/>
        </w:rPr>
        <w:t>（以下简称甲方）</w:t>
      </w:r>
    </w:p>
    <w:p w14:paraId="07D0B49C">
      <w:pPr>
        <w:spacing w:before="156" w:beforeLines="50" w:after="156" w:afterLines="50" w:line="360" w:lineRule="auto"/>
        <w:ind w:firstLine="480" w:firstLineChars="200"/>
        <w:jc w:val="left"/>
        <w:rPr>
          <w:rFonts w:ascii="宋体" w:hAnsi="宋体" w:cs="仿宋"/>
          <w:sz w:val="24"/>
        </w:rPr>
      </w:pPr>
      <w:r>
        <w:rPr>
          <w:rFonts w:hint="eastAsia" w:ascii="宋体" w:hAnsi="宋体" w:cs="仿宋"/>
          <w:sz w:val="24"/>
          <w:u w:val="single"/>
        </w:rPr>
        <w:t xml:space="preserve">乙方：                          </w:t>
      </w:r>
      <w:r>
        <w:rPr>
          <w:rFonts w:hint="eastAsia" w:ascii="宋体" w:hAnsi="宋体" w:cs="仿宋"/>
          <w:bCs/>
          <w:sz w:val="24"/>
          <w:u w:val="single"/>
        </w:rPr>
        <w:t xml:space="preserve"> </w:t>
      </w:r>
      <w:r>
        <w:rPr>
          <w:rFonts w:hint="eastAsia" w:ascii="宋体" w:hAnsi="宋体" w:cs="仿宋"/>
          <w:sz w:val="24"/>
          <w:u w:val="single"/>
        </w:rPr>
        <w:t xml:space="preserve"> </w:t>
      </w:r>
      <w:r>
        <w:rPr>
          <w:rFonts w:hint="eastAsia" w:ascii="宋体" w:hAnsi="宋体" w:cs="仿宋"/>
          <w:sz w:val="24"/>
        </w:rPr>
        <w:t>（以下简称乙方）</w:t>
      </w:r>
    </w:p>
    <w:p w14:paraId="6CAD8854">
      <w:pPr>
        <w:spacing w:before="156" w:beforeLines="50" w:after="156" w:afterLines="50" w:line="360" w:lineRule="auto"/>
        <w:ind w:firstLine="480" w:firstLineChars="200"/>
        <w:jc w:val="left"/>
        <w:rPr>
          <w:rFonts w:ascii="宋体" w:hAnsi="宋体" w:cs="仿宋"/>
          <w:sz w:val="24"/>
        </w:rPr>
      </w:pPr>
      <w:r>
        <w:rPr>
          <w:rFonts w:hint="eastAsia" w:ascii="宋体" w:hAnsi="宋体" w:cs="仿宋"/>
          <w:sz w:val="24"/>
        </w:rPr>
        <w:t>根据项目名称：</w:t>
      </w:r>
      <w:r>
        <w:rPr>
          <w:rFonts w:hint="eastAsia" w:ascii="宋体" w:hAnsi="宋体" w:cs="仿宋"/>
          <w:sz w:val="24"/>
          <w:u w:val="single"/>
        </w:rPr>
        <w:t xml:space="preserve">  </w:t>
      </w:r>
      <w:r>
        <w:rPr>
          <w:rFonts w:hint="eastAsia" w:ascii="宋体" w:hAnsi="宋体" w:cs="仿宋"/>
          <w:b/>
          <w:bCs/>
          <w:kern w:val="0"/>
          <w:sz w:val="24"/>
          <w:u w:val="single"/>
        </w:rPr>
        <w:t xml:space="preserve">                </w:t>
      </w:r>
      <w:r>
        <w:rPr>
          <w:rFonts w:hint="eastAsia" w:ascii="宋体" w:hAnsi="宋体" w:cs="仿宋"/>
          <w:sz w:val="24"/>
        </w:rPr>
        <w:t>（采购编号：</w:t>
      </w:r>
      <w:r>
        <w:rPr>
          <w:rFonts w:hint="eastAsia" w:ascii="宋体" w:hAnsi="宋体" w:cs="仿宋"/>
          <w:b/>
          <w:bCs/>
          <w:kern w:val="0"/>
          <w:sz w:val="24"/>
          <w:u w:val="single"/>
        </w:rPr>
        <w:t xml:space="preserve">            </w:t>
      </w:r>
      <w:r>
        <w:rPr>
          <w:rFonts w:hint="eastAsia" w:ascii="宋体" w:hAnsi="宋体" w:cs="仿宋"/>
          <w:sz w:val="24"/>
        </w:rPr>
        <w:t xml:space="preserve"> ）的采购结果，按照《中华人民共和国政府采购法》和财政部、民政部、工商总局《关于印发&lt;政府购买服务管理办法（暂行）&gt;的通知》（财综〔2014]96号）之规定，经甲乙双方协商，本着平等互利和诚实信用的原则，双方一致同意，签订本合同，共同遵守如下条款：</w:t>
      </w:r>
    </w:p>
    <w:p w14:paraId="5853FF8A">
      <w:pPr>
        <w:rPr>
          <w:b/>
          <w:bCs/>
          <w:sz w:val="24"/>
        </w:rPr>
      </w:pPr>
      <w:bookmarkStart w:id="67" w:name="_Toc8195"/>
      <w:bookmarkStart w:id="68" w:name="_Toc27112"/>
      <w:bookmarkStart w:id="69" w:name="_Toc10516"/>
      <w:r>
        <w:rPr>
          <w:rFonts w:hint="eastAsia"/>
          <w:b/>
          <w:bCs/>
          <w:sz w:val="24"/>
        </w:rPr>
        <w:t>一、购买服务的内容及期限</w:t>
      </w:r>
      <w:bookmarkEnd w:id="67"/>
      <w:bookmarkEnd w:id="68"/>
      <w:bookmarkEnd w:id="69"/>
    </w:p>
    <w:p w14:paraId="297F493F">
      <w:pPr>
        <w:tabs>
          <w:tab w:val="left" w:pos="993"/>
          <w:tab w:val="left" w:pos="1418"/>
        </w:tabs>
        <w:spacing w:before="156" w:beforeLines="50" w:after="156" w:afterLines="50" w:line="360" w:lineRule="auto"/>
        <w:ind w:firstLine="480" w:firstLineChars="200"/>
        <w:rPr>
          <w:rFonts w:ascii="宋体" w:hAnsi="宋体" w:cs="仿宋"/>
          <w:sz w:val="24"/>
          <w:lang w:val="zh-TW"/>
        </w:rPr>
      </w:pPr>
      <w:r>
        <w:rPr>
          <w:rFonts w:hint="eastAsia" w:ascii="宋体" w:hAnsi="宋体" w:cs="仿宋"/>
          <w:sz w:val="24"/>
          <w:lang w:val="zh-TW"/>
        </w:rPr>
        <w:t>1、甲方公开招标采购方式采购乙方提</w:t>
      </w:r>
      <w:r>
        <w:rPr>
          <w:rFonts w:hint="eastAsia" w:ascii="宋体" w:hAnsi="宋体" w:cs="仿宋"/>
          <w:sz w:val="24"/>
        </w:rPr>
        <w:t>供的以下服务</w:t>
      </w:r>
      <w:r>
        <w:rPr>
          <w:rFonts w:hint="eastAsia" w:ascii="宋体" w:hAnsi="宋体" w:cs="仿宋"/>
          <w:sz w:val="24"/>
          <w:lang w:val="zh-TW"/>
        </w:rPr>
        <w:t>：</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lang w:val="zh-TW"/>
        </w:rPr>
        <w:t>。</w:t>
      </w:r>
    </w:p>
    <w:p w14:paraId="1329AFE2">
      <w:pPr>
        <w:tabs>
          <w:tab w:val="left" w:pos="993"/>
          <w:tab w:val="left" w:pos="1418"/>
        </w:tabs>
        <w:spacing w:before="156" w:beforeLines="50" w:after="156" w:afterLines="50" w:line="360" w:lineRule="auto"/>
        <w:ind w:firstLine="480" w:firstLineChars="200"/>
        <w:rPr>
          <w:rFonts w:ascii="宋体" w:hAnsi="宋体" w:cs="仿宋"/>
          <w:sz w:val="24"/>
          <w:lang w:val="zh-TW"/>
        </w:rPr>
      </w:pPr>
      <w:r>
        <w:rPr>
          <w:rFonts w:hint="eastAsia" w:ascii="宋体" w:hAnsi="宋体" w:cs="仿宋"/>
          <w:sz w:val="24"/>
          <w:lang w:val="zh-TW"/>
        </w:rPr>
        <w:t>2、服务地点：</w:t>
      </w:r>
      <w:r>
        <w:rPr>
          <w:rFonts w:hint="eastAsia" w:ascii="宋体" w:hAnsi="宋体" w:cs="仿宋"/>
          <w:sz w:val="24"/>
          <w:u w:val="single"/>
          <w:lang w:val="zh-TW"/>
        </w:rPr>
        <w:t xml:space="preserve">                      </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lang w:val="zh-TW"/>
        </w:rPr>
        <w:t>。</w:t>
      </w:r>
    </w:p>
    <w:p w14:paraId="414D3B35">
      <w:pPr>
        <w:rPr>
          <w:b/>
          <w:bCs/>
          <w:sz w:val="24"/>
        </w:rPr>
      </w:pPr>
      <w:bookmarkStart w:id="70" w:name="_Toc11217"/>
      <w:bookmarkStart w:id="71" w:name="_Toc26588"/>
      <w:bookmarkStart w:id="72" w:name="_Toc7563"/>
      <w:r>
        <w:rPr>
          <w:rFonts w:hint="eastAsia"/>
          <w:b/>
          <w:bCs/>
          <w:sz w:val="24"/>
        </w:rPr>
        <w:t>二、合同金额</w:t>
      </w:r>
      <w:bookmarkEnd w:id="70"/>
      <w:bookmarkEnd w:id="71"/>
      <w:bookmarkEnd w:id="72"/>
    </w:p>
    <w:p w14:paraId="4AE52C61">
      <w:pPr>
        <w:tabs>
          <w:tab w:val="left" w:pos="993"/>
          <w:tab w:val="left" w:pos="1418"/>
        </w:tabs>
        <w:spacing w:before="156" w:beforeLines="50" w:after="156" w:afterLines="50" w:line="360" w:lineRule="auto"/>
        <w:ind w:firstLine="480" w:firstLineChars="200"/>
        <w:jc w:val="left"/>
        <w:rPr>
          <w:rFonts w:ascii="宋体" w:hAnsi="宋体" w:cs="仿宋"/>
          <w:sz w:val="24"/>
          <w:lang w:val="zh-TW"/>
        </w:rPr>
      </w:pPr>
      <w:r>
        <w:rPr>
          <w:rFonts w:hint="eastAsia" w:ascii="宋体" w:hAnsi="宋体" w:cs="仿宋"/>
          <w:sz w:val="24"/>
          <w:lang w:val="zh-TW"/>
        </w:rPr>
        <w:t>大写</w:t>
      </w:r>
      <w:r>
        <w:rPr>
          <w:rFonts w:hint="eastAsia" w:ascii="宋体" w:hAnsi="宋体" w:cs="仿宋"/>
          <w:sz w:val="24"/>
          <w:u w:val="single"/>
          <w:lang w:val="zh-TW"/>
        </w:rPr>
        <w:t xml:space="preserve"> </w:t>
      </w:r>
      <w:r>
        <w:rPr>
          <w:rFonts w:hint="eastAsia" w:ascii="宋体" w:hAnsi="宋体" w:cs="仿宋"/>
          <w:sz w:val="24"/>
          <w:u w:val="single"/>
        </w:rPr>
        <w:t xml:space="preserve">                                </w:t>
      </w:r>
      <w:r>
        <w:rPr>
          <w:rFonts w:hint="eastAsia" w:ascii="宋体" w:hAnsi="宋体" w:cs="仿宋"/>
          <w:sz w:val="24"/>
          <w:lang w:val="zh-TW"/>
        </w:rPr>
        <w:t>（小写：</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lang w:val="zh-TW"/>
        </w:rPr>
        <w:t>）</w:t>
      </w:r>
    </w:p>
    <w:p w14:paraId="54E4740E">
      <w:pPr>
        <w:rPr>
          <w:b/>
          <w:bCs/>
          <w:sz w:val="24"/>
        </w:rPr>
      </w:pPr>
      <w:bookmarkStart w:id="73" w:name="_Toc15544"/>
      <w:bookmarkStart w:id="74" w:name="_Toc16378"/>
      <w:bookmarkStart w:id="75" w:name="_Toc21688"/>
      <w:r>
        <w:rPr>
          <w:rFonts w:hint="eastAsia"/>
          <w:b/>
          <w:bCs/>
          <w:sz w:val="24"/>
        </w:rPr>
        <w:t>三、服务期限</w:t>
      </w:r>
      <w:bookmarkEnd w:id="73"/>
      <w:bookmarkEnd w:id="74"/>
      <w:bookmarkEnd w:id="75"/>
    </w:p>
    <w:p w14:paraId="5B452FBA">
      <w:pPr>
        <w:tabs>
          <w:tab w:val="left" w:pos="993"/>
          <w:tab w:val="left" w:pos="1418"/>
        </w:tabs>
        <w:spacing w:before="156" w:beforeLines="50" w:after="156" w:afterLines="50" w:line="360" w:lineRule="auto"/>
        <w:ind w:firstLine="480" w:firstLineChars="200"/>
        <w:rPr>
          <w:rFonts w:ascii="宋体" w:hAnsi="宋体" w:cs="仿宋"/>
          <w:sz w:val="24"/>
          <w:lang w:val="zh-TW"/>
        </w:rPr>
      </w:pPr>
      <w:r>
        <w:rPr>
          <w:rFonts w:hint="eastAsia" w:ascii="宋体" w:hAnsi="宋体" w:cs="仿宋"/>
          <w:sz w:val="24"/>
          <w:u w:val="single"/>
        </w:rPr>
        <w:t xml:space="preserve">                     </w:t>
      </w:r>
      <w:r>
        <w:rPr>
          <w:rFonts w:hint="eastAsia" w:ascii="宋体" w:hAnsi="宋体" w:cs="仿宋"/>
          <w:sz w:val="24"/>
        </w:rPr>
        <w:t>，</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日至</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lang w:val="zh-TW"/>
        </w:rPr>
        <w:t>。</w:t>
      </w:r>
    </w:p>
    <w:p w14:paraId="0844C8F7">
      <w:pPr>
        <w:rPr>
          <w:b/>
          <w:bCs/>
          <w:sz w:val="24"/>
        </w:rPr>
      </w:pPr>
      <w:bookmarkStart w:id="76" w:name="_Toc25211"/>
      <w:bookmarkStart w:id="77" w:name="_Toc1496"/>
      <w:bookmarkStart w:id="78" w:name="_Toc23554"/>
      <w:r>
        <w:rPr>
          <w:rFonts w:hint="eastAsia"/>
          <w:b/>
          <w:bCs/>
          <w:sz w:val="24"/>
        </w:rPr>
        <w:t>四、服务内容、标准、实施工期及服务开始时间</w:t>
      </w:r>
      <w:bookmarkEnd w:id="76"/>
      <w:bookmarkEnd w:id="77"/>
      <w:bookmarkEnd w:id="78"/>
    </w:p>
    <w:p w14:paraId="51DE6FC4">
      <w:pPr>
        <w:tabs>
          <w:tab w:val="left" w:pos="993"/>
          <w:tab w:val="left" w:pos="1418"/>
        </w:tabs>
        <w:spacing w:before="156" w:beforeLines="50" w:after="156" w:afterLines="50" w:line="360" w:lineRule="auto"/>
        <w:ind w:firstLine="480" w:firstLineChars="200"/>
        <w:jc w:val="left"/>
        <w:rPr>
          <w:rFonts w:ascii="宋体" w:hAnsi="宋体" w:cs="仿宋"/>
          <w:sz w:val="24"/>
          <w:lang w:val="zh-TW"/>
        </w:rPr>
      </w:pPr>
      <w:r>
        <w:rPr>
          <w:rFonts w:hint="eastAsia" w:ascii="宋体" w:hAnsi="宋体" w:cs="仿宋"/>
          <w:sz w:val="24"/>
          <w:lang w:val="zh-TW"/>
        </w:rPr>
        <w:t>1、具体服务内容见附件</w:t>
      </w:r>
    </w:p>
    <w:p w14:paraId="5D728958">
      <w:pPr>
        <w:tabs>
          <w:tab w:val="left" w:pos="993"/>
          <w:tab w:val="left" w:pos="1418"/>
        </w:tabs>
        <w:spacing w:before="156" w:beforeLines="50" w:after="156" w:afterLines="50" w:line="360" w:lineRule="auto"/>
        <w:ind w:firstLine="480" w:firstLineChars="200"/>
        <w:jc w:val="left"/>
        <w:rPr>
          <w:rFonts w:ascii="宋体" w:hAnsi="宋体" w:cs="仿宋"/>
          <w:sz w:val="24"/>
          <w:lang w:val="zh-TW"/>
        </w:rPr>
      </w:pPr>
      <w:r>
        <w:rPr>
          <w:rFonts w:hint="eastAsia" w:ascii="宋体" w:hAnsi="宋体" w:cs="仿宋"/>
          <w:sz w:val="24"/>
          <w:lang w:val="zh-TW"/>
        </w:rPr>
        <w:t>2、服务标准：</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lang w:val="zh-TW"/>
        </w:rPr>
        <w:t>。</w:t>
      </w:r>
    </w:p>
    <w:p w14:paraId="0E0BD854">
      <w:pPr>
        <w:rPr>
          <w:b/>
          <w:bCs/>
          <w:sz w:val="24"/>
        </w:rPr>
      </w:pPr>
      <w:bookmarkStart w:id="79" w:name="_Toc11439"/>
      <w:bookmarkStart w:id="80" w:name="_Toc3166"/>
      <w:bookmarkStart w:id="81" w:name="_Toc3022"/>
      <w:r>
        <w:rPr>
          <w:rFonts w:hint="eastAsia"/>
          <w:b/>
          <w:bCs/>
          <w:sz w:val="24"/>
        </w:rPr>
        <w:t>五、服务内容的调整</w:t>
      </w:r>
      <w:bookmarkEnd w:id="79"/>
      <w:bookmarkEnd w:id="80"/>
      <w:bookmarkEnd w:id="81"/>
    </w:p>
    <w:p w14:paraId="7776BC72">
      <w:pPr>
        <w:tabs>
          <w:tab w:val="left" w:pos="993"/>
          <w:tab w:val="left" w:pos="1418"/>
        </w:tabs>
        <w:spacing w:before="156" w:beforeLines="50" w:after="156" w:afterLines="50" w:line="360" w:lineRule="auto"/>
        <w:ind w:firstLine="480" w:firstLineChars="200"/>
        <w:jc w:val="left"/>
        <w:rPr>
          <w:rFonts w:ascii="宋体" w:hAnsi="宋体" w:cs="仿宋"/>
          <w:sz w:val="24"/>
          <w:lang w:val="zh-TW"/>
        </w:rPr>
      </w:pPr>
      <w:r>
        <w:rPr>
          <w:rFonts w:hint="eastAsia" w:ascii="宋体" w:hAnsi="宋体" w:cs="仿宋"/>
          <w:sz w:val="24"/>
          <w:lang w:val="zh-TW"/>
        </w:rPr>
        <w:t>随着甲方需求增加和业务应用的变化，服务内容确需增加调整的，签署补充协议。</w:t>
      </w:r>
    </w:p>
    <w:p w14:paraId="21284885">
      <w:pPr>
        <w:rPr>
          <w:b/>
          <w:bCs/>
          <w:sz w:val="24"/>
        </w:rPr>
      </w:pPr>
      <w:bookmarkStart w:id="82" w:name="_Toc3825"/>
      <w:bookmarkStart w:id="83" w:name="_Toc2163"/>
      <w:bookmarkStart w:id="84" w:name="_Toc25757"/>
      <w:r>
        <w:rPr>
          <w:rFonts w:hint="eastAsia"/>
          <w:b/>
          <w:bCs/>
          <w:sz w:val="24"/>
        </w:rPr>
        <w:t>六、双方权利和义务</w:t>
      </w:r>
      <w:bookmarkEnd w:id="82"/>
      <w:bookmarkEnd w:id="83"/>
      <w:bookmarkEnd w:id="84"/>
    </w:p>
    <w:p w14:paraId="2172C766">
      <w:pPr>
        <w:tabs>
          <w:tab w:val="left" w:pos="993"/>
          <w:tab w:val="left" w:pos="1418"/>
        </w:tabs>
        <w:spacing w:before="156" w:beforeLines="50" w:after="156" w:afterLines="50" w:line="360" w:lineRule="auto"/>
        <w:ind w:firstLine="482" w:firstLineChars="200"/>
        <w:jc w:val="left"/>
        <w:rPr>
          <w:rFonts w:ascii="宋体" w:hAnsi="宋体" w:cs="仿宋"/>
          <w:b/>
          <w:bCs/>
          <w:sz w:val="24"/>
          <w:lang w:val="zh-TW"/>
        </w:rPr>
      </w:pPr>
      <w:r>
        <w:rPr>
          <w:rFonts w:hint="eastAsia" w:ascii="宋体" w:hAnsi="宋体" w:cs="仿宋"/>
          <w:b/>
          <w:bCs/>
          <w:sz w:val="24"/>
          <w:lang w:val="zh-TW"/>
        </w:rPr>
        <w:t>1、甲方的权利和义务：</w:t>
      </w:r>
    </w:p>
    <w:p w14:paraId="14979FC3">
      <w:pPr>
        <w:tabs>
          <w:tab w:val="left" w:pos="993"/>
          <w:tab w:val="left" w:pos="1418"/>
        </w:tabs>
        <w:spacing w:before="156" w:beforeLines="50" w:after="156" w:afterLines="50" w:line="360" w:lineRule="auto"/>
        <w:ind w:firstLine="480" w:firstLineChars="200"/>
        <w:jc w:val="left"/>
        <w:rPr>
          <w:rFonts w:ascii="宋体" w:hAnsi="宋体" w:cs="仿宋"/>
          <w:sz w:val="24"/>
          <w:lang w:val="zh-TW"/>
        </w:rPr>
      </w:pPr>
      <w:r>
        <w:rPr>
          <w:rFonts w:hint="eastAsia" w:ascii="宋体" w:hAnsi="宋体" w:cs="仿宋"/>
          <w:sz w:val="24"/>
          <w:lang w:val="zh-TW"/>
        </w:rPr>
        <w:t>1）甲方为本次项目相关设备的安全提供必要的基础设施环境条件</w:t>
      </w:r>
      <w:r>
        <w:rPr>
          <w:rFonts w:hint="eastAsia" w:ascii="宋体" w:hAnsi="宋体" w:cs="仿宋"/>
          <w:sz w:val="24"/>
        </w:rPr>
        <w:t>（比如：稳定的电力、水、建筑物等）</w:t>
      </w:r>
      <w:r>
        <w:rPr>
          <w:rFonts w:hint="eastAsia" w:ascii="宋体" w:hAnsi="宋体" w:cs="仿宋"/>
          <w:sz w:val="24"/>
          <w:lang w:val="zh-TW"/>
        </w:rPr>
        <w:t>。</w:t>
      </w:r>
    </w:p>
    <w:p w14:paraId="17D8BE14">
      <w:pPr>
        <w:tabs>
          <w:tab w:val="left" w:pos="993"/>
          <w:tab w:val="left" w:pos="1418"/>
        </w:tabs>
        <w:spacing w:before="156" w:beforeLines="50" w:after="156" w:afterLines="50" w:line="360" w:lineRule="auto"/>
        <w:ind w:firstLine="480" w:firstLineChars="200"/>
        <w:jc w:val="left"/>
        <w:rPr>
          <w:rFonts w:ascii="宋体" w:hAnsi="宋体" w:cs="仿宋"/>
          <w:sz w:val="24"/>
          <w:lang w:val="zh-TW"/>
        </w:rPr>
      </w:pPr>
      <w:r>
        <w:rPr>
          <w:rFonts w:hint="eastAsia" w:ascii="宋体" w:hAnsi="宋体" w:cs="仿宋"/>
          <w:sz w:val="24"/>
          <w:lang w:val="zh-TW"/>
        </w:rPr>
        <w:t>2）甲方协调项目相关的人员使用和推广过程中第三方使用人员工作的配合事宜。</w:t>
      </w:r>
    </w:p>
    <w:p w14:paraId="62212C8F">
      <w:pPr>
        <w:pStyle w:val="2"/>
        <w:snapToGrid/>
        <w:spacing w:before="156" w:beforeLines="50" w:after="156" w:afterLines="50" w:line="360" w:lineRule="auto"/>
        <w:ind w:firstLine="480" w:firstLineChars="200"/>
        <w:rPr>
          <w:lang w:val="zh-TW"/>
        </w:rPr>
      </w:pPr>
      <w:r>
        <w:rPr>
          <w:rFonts w:hint="eastAsia" w:ascii="宋体" w:hAnsi="宋体" w:cs="仿宋"/>
          <w:sz w:val="24"/>
          <w:lang w:val="zh-TW"/>
        </w:rPr>
        <w:t>3）其他：</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lang w:val="zh-TW"/>
        </w:rPr>
        <w:t>。</w:t>
      </w:r>
    </w:p>
    <w:p w14:paraId="7100CE9E">
      <w:pPr>
        <w:tabs>
          <w:tab w:val="left" w:pos="993"/>
          <w:tab w:val="left" w:pos="1418"/>
        </w:tabs>
        <w:spacing w:before="156" w:beforeLines="50" w:after="156" w:afterLines="50" w:line="360" w:lineRule="auto"/>
        <w:ind w:firstLine="482" w:firstLineChars="200"/>
        <w:jc w:val="left"/>
        <w:rPr>
          <w:rFonts w:ascii="宋体" w:hAnsi="宋体" w:cs="仿宋"/>
          <w:b/>
          <w:bCs/>
          <w:sz w:val="24"/>
          <w:lang w:val="zh-TW"/>
        </w:rPr>
      </w:pPr>
      <w:r>
        <w:rPr>
          <w:rFonts w:hint="eastAsia" w:ascii="宋体" w:hAnsi="宋体" w:cs="仿宋"/>
          <w:b/>
          <w:bCs/>
          <w:sz w:val="24"/>
          <w:lang w:val="zh-TW"/>
        </w:rPr>
        <w:t>2、乙方的权利和义务；</w:t>
      </w:r>
    </w:p>
    <w:p w14:paraId="47037CEF">
      <w:pPr>
        <w:tabs>
          <w:tab w:val="left" w:pos="993"/>
          <w:tab w:val="left" w:pos="1418"/>
        </w:tabs>
        <w:spacing w:before="156" w:beforeLines="50" w:after="156" w:afterLines="50" w:line="360" w:lineRule="auto"/>
        <w:ind w:firstLine="480" w:firstLineChars="200"/>
        <w:jc w:val="left"/>
        <w:rPr>
          <w:rFonts w:ascii="宋体" w:hAnsi="宋体" w:cs="仿宋"/>
          <w:sz w:val="24"/>
          <w:lang w:val="zh-TW"/>
        </w:rPr>
      </w:pPr>
      <w:r>
        <w:rPr>
          <w:rFonts w:hint="eastAsia" w:ascii="宋体" w:hAnsi="宋体" w:cs="仿宋"/>
          <w:sz w:val="24"/>
          <w:lang w:val="zh-TW"/>
        </w:rPr>
        <w:t>1）乙方负责服务的准备工作，根据服务内容并结合甲方实际需要，在合同约定的服务范围内为甲方提供服务，乙方负责项目本身的设施建设工作，建设过程中未经甲方允许不得更改甲方物业的设计和基础设施，如需调整须经甲方同意后，方可实施。</w:t>
      </w:r>
    </w:p>
    <w:p w14:paraId="6BDCA846">
      <w:pPr>
        <w:tabs>
          <w:tab w:val="left" w:pos="993"/>
          <w:tab w:val="left" w:pos="1418"/>
        </w:tabs>
        <w:spacing w:before="156" w:beforeLines="50" w:after="156" w:afterLines="50" w:line="360" w:lineRule="auto"/>
        <w:ind w:firstLine="480" w:firstLineChars="200"/>
        <w:jc w:val="left"/>
        <w:rPr>
          <w:rFonts w:ascii="宋体" w:hAnsi="宋体" w:cs="仿宋"/>
          <w:sz w:val="24"/>
          <w:lang w:val="zh-TW"/>
        </w:rPr>
      </w:pPr>
      <w:r>
        <w:rPr>
          <w:rFonts w:hint="eastAsia" w:ascii="宋体" w:hAnsi="宋体" w:cs="仿宋"/>
          <w:sz w:val="24"/>
          <w:lang w:val="zh-TW"/>
        </w:rPr>
        <w:t>2）非因甲方过错，</w:t>
      </w:r>
      <w:r>
        <w:rPr>
          <w:rFonts w:hint="eastAsia" w:ascii="宋体" w:hAnsi="宋体" w:cs="仿宋"/>
          <w:sz w:val="24"/>
        </w:rPr>
        <w:t>在服务有效期内乙方投资建设的</w:t>
      </w:r>
      <w:r>
        <w:rPr>
          <w:rFonts w:hint="eastAsia" w:ascii="宋体" w:hAnsi="宋体" w:cs="仿宋"/>
          <w:sz w:val="24"/>
          <w:lang w:val="zh-TW"/>
        </w:rPr>
        <w:t>设施出现故障导致无法提供服务的，由乙方负责免费维修、更新和升级。</w:t>
      </w:r>
    </w:p>
    <w:p w14:paraId="0B308244">
      <w:pPr>
        <w:tabs>
          <w:tab w:val="left" w:pos="993"/>
          <w:tab w:val="left" w:pos="1418"/>
        </w:tabs>
        <w:spacing w:before="156" w:beforeLines="50" w:after="156" w:afterLines="50" w:line="360" w:lineRule="auto"/>
        <w:ind w:firstLine="480" w:firstLineChars="200"/>
        <w:jc w:val="left"/>
        <w:rPr>
          <w:rFonts w:ascii="宋体" w:hAnsi="宋体" w:cs="仿宋"/>
          <w:sz w:val="24"/>
          <w:lang w:val="zh-TW"/>
        </w:rPr>
      </w:pPr>
      <w:r>
        <w:rPr>
          <w:rFonts w:hint="eastAsia" w:ascii="宋体" w:hAnsi="宋体" w:cs="仿宋"/>
          <w:sz w:val="24"/>
          <w:lang w:val="zh-TW"/>
        </w:rPr>
        <w:t>3）乙方应负责本项目采购的服务内容的日常运行维护和技术保障</w:t>
      </w:r>
      <w:r>
        <w:rPr>
          <w:rFonts w:hint="eastAsia" w:ascii="宋体" w:hAnsi="宋体" w:cs="仿宋"/>
          <w:sz w:val="24"/>
        </w:rPr>
        <w:t>网络安全等</w:t>
      </w:r>
      <w:r>
        <w:rPr>
          <w:rFonts w:hint="eastAsia" w:ascii="宋体" w:hAnsi="宋体" w:cs="仿宋"/>
          <w:sz w:val="24"/>
          <w:lang w:val="zh-TW"/>
        </w:rPr>
        <w:t>，维修响应时间不得超过</w:t>
      </w:r>
      <w:r>
        <w:rPr>
          <w:rFonts w:hint="eastAsia" w:ascii="宋体" w:hAnsi="宋体" w:cs="仿宋"/>
          <w:sz w:val="24"/>
          <w:u w:val="single"/>
          <w:lang w:val="zh-TW"/>
        </w:rPr>
        <w:t xml:space="preserve"> </w:t>
      </w:r>
      <w:r>
        <w:rPr>
          <w:rFonts w:hint="eastAsia" w:ascii="宋体" w:hAnsi="宋体" w:cs="仿宋"/>
          <w:sz w:val="24"/>
          <w:u w:val="single"/>
        </w:rPr>
        <w:t>2</w:t>
      </w:r>
      <w:r>
        <w:rPr>
          <w:rFonts w:hint="eastAsia" w:ascii="宋体" w:hAnsi="宋体" w:cs="仿宋"/>
          <w:sz w:val="24"/>
          <w:u w:val="single"/>
          <w:lang w:val="zh-TW"/>
        </w:rPr>
        <w:t xml:space="preserve"> </w:t>
      </w:r>
      <w:r>
        <w:rPr>
          <w:rFonts w:hint="eastAsia" w:ascii="宋体" w:hAnsi="宋体" w:cs="仿宋"/>
          <w:sz w:val="24"/>
          <w:lang w:val="zh-TW"/>
        </w:rPr>
        <w:t>小时。乙方应承担人员培训和技术支持工作。</w:t>
      </w:r>
    </w:p>
    <w:p w14:paraId="5F020F7E">
      <w:pPr>
        <w:tabs>
          <w:tab w:val="left" w:pos="993"/>
          <w:tab w:val="left" w:pos="1418"/>
        </w:tabs>
        <w:spacing w:before="156" w:beforeLines="50" w:after="156" w:afterLines="50" w:line="360" w:lineRule="auto"/>
        <w:ind w:firstLine="480" w:firstLineChars="200"/>
        <w:jc w:val="left"/>
        <w:rPr>
          <w:rFonts w:ascii="宋体" w:hAnsi="宋体" w:cs="仿宋"/>
          <w:sz w:val="24"/>
          <w:lang w:val="zh-TW"/>
        </w:rPr>
      </w:pPr>
      <w:r>
        <w:rPr>
          <w:rFonts w:hint="eastAsia" w:ascii="宋体" w:hAnsi="宋体" w:cs="仿宋"/>
          <w:sz w:val="24"/>
          <w:lang w:val="zh-TW"/>
        </w:rPr>
        <w:t>4）乙方负责联合电信运营商对相关通信网络进行运行维护，保障甲方所使用产品和业务的稳定性和准确性。</w:t>
      </w:r>
    </w:p>
    <w:p w14:paraId="6D1935BA">
      <w:pPr>
        <w:tabs>
          <w:tab w:val="left" w:pos="993"/>
          <w:tab w:val="left" w:pos="1418"/>
        </w:tabs>
        <w:spacing w:before="156" w:beforeLines="50" w:after="156" w:afterLines="50" w:line="360" w:lineRule="auto"/>
        <w:ind w:firstLine="480" w:firstLineChars="200"/>
        <w:jc w:val="left"/>
        <w:rPr>
          <w:rFonts w:ascii="宋体" w:hAnsi="宋体" w:cs="仿宋"/>
          <w:sz w:val="24"/>
          <w:lang w:val="zh-TW"/>
        </w:rPr>
      </w:pPr>
      <w:r>
        <w:rPr>
          <w:rFonts w:hint="eastAsia" w:ascii="宋体" w:hAnsi="宋体" w:cs="仿宋"/>
          <w:sz w:val="24"/>
          <w:lang w:val="zh-TW"/>
        </w:rPr>
        <w:t>5）乙方负责安排专人面向甲方处理由于乙方原因引起的用户投诉和客户服务。</w:t>
      </w:r>
    </w:p>
    <w:p w14:paraId="6A956879">
      <w:pPr>
        <w:pStyle w:val="2"/>
        <w:snapToGrid/>
        <w:spacing w:before="156" w:beforeLines="50" w:after="156" w:afterLines="50" w:line="360" w:lineRule="auto"/>
        <w:ind w:firstLine="480" w:firstLineChars="200"/>
        <w:rPr>
          <w:lang w:val="zh-TW" w:eastAsia="zh-TW"/>
        </w:rPr>
      </w:pPr>
      <w:r>
        <w:rPr>
          <w:rFonts w:hint="eastAsia" w:ascii="宋体" w:hAnsi="宋体" w:cs="仿宋"/>
          <w:sz w:val="24"/>
          <w:lang w:val="zh-TW" w:eastAsia="zh-TW"/>
        </w:rPr>
        <w:t>6）其他：</w:t>
      </w:r>
      <w:r>
        <w:rPr>
          <w:rFonts w:hint="eastAsia" w:ascii="宋体" w:hAnsi="宋体" w:cs="仿宋"/>
          <w:sz w:val="24"/>
          <w:u w:val="single"/>
          <w:lang w:eastAsia="zh-TW"/>
        </w:rPr>
        <w:t xml:space="preserve"> </w:t>
      </w:r>
      <w:r>
        <w:rPr>
          <w:rFonts w:hint="eastAsia" w:ascii="宋体" w:hAnsi="宋体" w:cs="仿宋"/>
          <w:sz w:val="24"/>
          <w:u w:val="single"/>
          <w:lang w:val="zh-TW" w:eastAsia="zh-TW"/>
        </w:rPr>
        <w:t xml:space="preserve"> </w:t>
      </w:r>
      <w:r>
        <w:rPr>
          <w:rFonts w:hint="eastAsia" w:ascii="宋体" w:hAnsi="宋体" w:cs="仿宋"/>
          <w:sz w:val="24"/>
          <w:u w:val="single"/>
          <w:lang w:eastAsia="zh-TW"/>
        </w:rPr>
        <w:t xml:space="preserve">                                                       </w:t>
      </w:r>
      <w:r>
        <w:rPr>
          <w:rFonts w:hint="eastAsia" w:ascii="宋体" w:hAnsi="宋体" w:cs="仿宋"/>
          <w:sz w:val="24"/>
          <w:u w:val="single"/>
          <w:lang w:val="zh-TW" w:eastAsia="zh-TW"/>
        </w:rPr>
        <w:t xml:space="preserve"> </w:t>
      </w:r>
      <w:r>
        <w:rPr>
          <w:rFonts w:hint="eastAsia" w:ascii="宋体" w:hAnsi="宋体" w:cs="仿宋"/>
          <w:sz w:val="24"/>
          <w:lang w:val="zh-TW" w:eastAsia="zh-TW"/>
        </w:rPr>
        <w:t>。</w:t>
      </w:r>
    </w:p>
    <w:p w14:paraId="23AE6B10">
      <w:pPr>
        <w:pStyle w:val="2"/>
        <w:snapToGrid/>
        <w:spacing w:before="156" w:beforeLines="50" w:after="156" w:afterLines="50" w:line="360" w:lineRule="auto"/>
        <w:rPr>
          <w:lang w:val="zh-TW" w:eastAsia="zh-TW"/>
        </w:rPr>
      </w:pPr>
      <w:bookmarkStart w:id="85" w:name="_Toc2953"/>
      <w:bookmarkStart w:id="86" w:name="_Toc26455"/>
      <w:bookmarkStart w:id="87" w:name="_Toc11222"/>
      <w:r>
        <w:rPr>
          <w:rFonts w:hint="eastAsia"/>
          <w:b/>
          <w:bCs/>
          <w:sz w:val="24"/>
          <w:szCs w:val="24"/>
          <w:lang w:eastAsia="zh-TW"/>
        </w:rPr>
        <w:t>七、付款方式</w:t>
      </w:r>
      <w:bookmarkEnd w:id="85"/>
      <w:bookmarkEnd w:id="86"/>
      <w:bookmarkEnd w:id="87"/>
      <w:bookmarkStart w:id="88" w:name="_Toc12603"/>
      <w:bookmarkStart w:id="89" w:name="_Toc29849"/>
      <w:bookmarkStart w:id="90" w:name="_Toc8544"/>
      <w:r>
        <w:rPr>
          <w:rFonts w:hint="eastAsia" w:ascii="宋体" w:hAnsi="宋体" w:cs="仿宋"/>
          <w:sz w:val="24"/>
          <w:lang w:val="zh-TW" w:eastAsia="zh-TW"/>
        </w:rPr>
        <w:t>：</w:t>
      </w:r>
      <w:r>
        <w:rPr>
          <w:rFonts w:hint="eastAsia" w:ascii="宋体" w:hAnsi="宋体" w:cs="仿宋"/>
          <w:sz w:val="24"/>
          <w:u w:val="single"/>
          <w:lang w:eastAsia="zh-TW"/>
        </w:rPr>
        <w:t xml:space="preserve"> </w:t>
      </w:r>
      <w:r>
        <w:rPr>
          <w:rFonts w:hint="eastAsia" w:ascii="宋体" w:hAnsi="宋体" w:cs="仿宋"/>
          <w:sz w:val="24"/>
          <w:u w:val="single"/>
          <w:lang w:val="zh-TW" w:eastAsia="zh-TW"/>
        </w:rPr>
        <w:t xml:space="preserve"> </w:t>
      </w:r>
      <w:r>
        <w:rPr>
          <w:rFonts w:hint="eastAsia" w:ascii="宋体" w:hAnsi="宋体" w:cs="仿宋"/>
          <w:sz w:val="24"/>
          <w:u w:val="single"/>
          <w:lang w:eastAsia="zh-TW"/>
        </w:rPr>
        <w:t xml:space="preserve">                                                       </w:t>
      </w:r>
      <w:r>
        <w:rPr>
          <w:rFonts w:hint="eastAsia" w:ascii="宋体" w:hAnsi="宋体" w:cs="仿宋"/>
          <w:sz w:val="24"/>
          <w:u w:val="single"/>
          <w:lang w:val="zh-TW" w:eastAsia="zh-TW"/>
        </w:rPr>
        <w:t xml:space="preserve"> </w:t>
      </w:r>
      <w:r>
        <w:rPr>
          <w:rFonts w:hint="eastAsia" w:ascii="宋体" w:hAnsi="宋体" w:cs="仿宋"/>
          <w:sz w:val="24"/>
          <w:lang w:val="zh-TW" w:eastAsia="zh-TW"/>
        </w:rPr>
        <w:t>。</w:t>
      </w:r>
    </w:p>
    <w:p w14:paraId="24D16FE0">
      <w:pPr>
        <w:rPr>
          <w:b/>
          <w:bCs/>
          <w:sz w:val="24"/>
        </w:rPr>
      </w:pPr>
      <w:r>
        <w:rPr>
          <w:rFonts w:hint="eastAsia"/>
          <w:b/>
          <w:bCs/>
          <w:sz w:val="24"/>
        </w:rPr>
        <w:t>八、产权归属</w:t>
      </w:r>
      <w:bookmarkEnd w:id="88"/>
      <w:bookmarkEnd w:id="89"/>
      <w:bookmarkEnd w:id="90"/>
    </w:p>
    <w:p w14:paraId="3722F68F">
      <w:pPr>
        <w:tabs>
          <w:tab w:val="left" w:pos="993"/>
          <w:tab w:val="left" w:pos="1418"/>
        </w:tabs>
        <w:spacing w:before="156" w:beforeLines="50" w:after="156" w:afterLines="50" w:line="360" w:lineRule="auto"/>
        <w:ind w:firstLine="480" w:firstLineChars="200"/>
        <w:jc w:val="left"/>
        <w:rPr>
          <w:rFonts w:ascii="宋体" w:hAnsi="宋体" w:cs="仿宋"/>
          <w:sz w:val="24"/>
          <w:lang w:val="zh-TW"/>
        </w:rPr>
      </w:pPr>
      <w:r>
        <w:rPr>
          <w:rFonts w:hint="eastAsia" w:ascii="宋体" w:hAnsi="宋体" w:cs="仿宋"/>
          <w:sz w:val="24"/>
          <w:lang w:val="zh-TW"/>
        </w:rPr>
        <w:t>1、甲方因使用乙方的软硬件设备所产生的业务数据归甲方所有，乙方不得私自泄露和复制。</w:t>
      </w:r>
    </w:p>
    <w:p w14:paraId="15B84B03">
      <w:pPr>
        <w:pStyle w:val="2"/>
        <w:snapToGrid/>
        <w:spacing w:before="156" w:beforeLines="50" w:after="156" w:afterLines="50" w:line="360" w:lineRule="auto"/>
        <w:ind w:firstLine="480" w:firstLineChars="200"/>
        <w:rPr>
          <w:lang w:val="zh-TW"/>
        </w:rPr>
      </w:pPr>
      <w:r>
        <w:rPr>
          <w:rFonts w:hint="eastAsia" w:ascii="宋体" w:hAnsi="宋体" w:cs="仿宋"/>
          <w:sz w:val="24"/>
          <w:lang w:val="zh-TW"/>
        </w:rPr>
        <w:t>2、其他：</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lang w:val="zh-TW"/>
        </w:rPr>
        <w:t>。</w:t>
      </w:r>
    </w:p>
    <w:p w14:paraId="53599BD2">
      <w:pPr>
        <w:rPr>
          <w:b/>
          <w:bCs/>
          <w:sz w:val="24"/>
        </w:rPr>
      </w:pPr>
      <w:bookmarkStart w:id="91" w:name="_Toc28434"/>
      <w:bookmarkStart w:id="92" w:name="_Toc530"/>
      <w:bookmarkStart w:id="93" w:name="_Toc12181"/>
      <w:r>
        <w:rPr>
          <w:rFonts w:hint="eastAsia"/>
          <w:b/>
          <w:bCs/>
          <w:sz w:val="24"/>
        </w:rPr>
        <w:t>九、保密条款</w:t>
      </w:r>
      <w:bookmarkEnd w:id="91"/>
      <w:bookmarkEnd w:id="92"/>
      <w:bookmarkEnd w:id="93"/>
    </w:p>
    <w:p w14:paraId="2FBBB942">
      <w:pPr>
        <w:tabs>
          <w:tab w:val="left" w:pos="993"/>
          <w:tab w:val="left" w:pos="1418"/>
        </w:tabs>
        <w:spacing w:before="156" w:beforeLines="50" w:after="156" w:afterLines="50" w:line="360" w:lineRule="auto"/>
        <w:ind w:firstLine="480" w:firstLineChars="200"/>
        <w:jc w:val="left"/>
        <w:rPr>
          <w:rFonts w:ascii="宋体" w:hAnsi="宋体" w:cs="仿宋"/>
          <w:sz w:val="24"/>
          <w:lang w:val="zh-CN"/>
        </w:rPr>
      </w:pPr>
      <w:r>
        <w:rPr>
          <w:rFonts w:hint="eastAsia" w:ascii="宋体" w:hAnsi="宋体" w:cs="仿宋"/>
          <w:sz w:val="24"/>
          <w:lang w:val="zh-CN"/>
        </w:rPr>
        <w:t>1、乙方对甲方提供的资料负有保密义务，未经甲方同意，不得向项目无关单位和个人提供有关资料。如发生以上情况，甲方有权索赔。</w:t>
      </w:r>
    </w:p>
    <w:p w14:paraId="4FBED704">
      <w:pPr>
        <w:tabs>
          <w:tab w:val="left" w:pos="993"/>
          <w:tab w:val="left" w:pos="1418"/>
        </w:tabs>
        <w:spacing w:before="156" w:beforeLines="50" w:after="156" w:afterLines="50" w:line="360" w:lineRule="auto"/>
        <w:ind w:firstLine="480" w:firstLineChars="200"/>
        <w:jc w:val="left"/>
        <w:rPr>
          <w:rFonts w:ascii="宋体" w:hAnsi="宋体" w:cs="仿宋"/>
          <w:sz w:val="24"/>
          <w:lang w:val="zh-CN"/>
        </w:rPr>
      </w:pPr>
      <w:r>
        <w:rPr>
          <w:rFonts w:hint="eastAsia" w:ascii="宋体" w:hAnsi="宋体" w:cs="仿宋"/>
          <w:sz w:val="24"/>
          <w:lang w:val="zh-CN"/>
        </w:rPr>
        <w:t>2、甲方有义务保护乙方的知识产权，未经乙方同意，甲方对工程单位交付的成果文件、资料不得向第三方转让或用于本合同以外的项目。如发生以上情况，乙方有权索赔。</w:t>
      </w:r>
    </w:p>
    <w:p w14:paraId="11F2C38F">
      <w:pPr>
        <w:pStyle w:val="2"/>
        <w:snapToGrid/>
        <w:spacing w:before="156" w:beforeLines="50" w:after="156" w:afterLines="50" w:line="360" w:lineRule="auto"/>
        <w:ind w:firstLine="480" w:firstLineChars="200"/>
        <w:rPr>
          <w:lang w:val="zh-TW"/>
        </w:rPr>
      </w:pPr>
      <w:r>
        <w:rPr>
          <w:rFonts w:hint="eastAsia" w:ascii="宋体" w:hAnsi="宋体" w:cs="仿宋"/>
          <w:sz w:val="24"/>
          <w:lang w:val="zh-TW"/>
        </w:rPr>
        <w:t>3、其他：</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lang w:val="zh-TW"/>
        </w:rPr>
        <w:t>。</w:t>
      </w:r>
    </w:p>
    <w:p w14:paraId="38C3554E">
      <w:pPr>
        <w:pStyle w:val="2"/>
        <w:snapToGrid/>
        <w:spacing w:before="156" w:beforeLines="50" w:after="156" w:afterLines="50" w:line="360" w:lineRule="auto"/>
        <w:rPr>
          <w:lang w:val="zh-TW"/>
        </w:rPr>
      </w:pPr>
      <w:bookmarkStart w:id="94" w:name="_Toc20151"/>
      <w:bookmarkStart w:id="95" w:name="_Toc4122"/>
      <w:bookmarkStart w:id="96" w:name="_Toc28137"/>
      <w:r>
        <w:rPr>
          <w:rFonts w:hint="eastAsia"/>
          <w:b/>
          <w:bCs/>
          <w:sz w:val="24"/>
          <w:szCs w:val="24"/>
        </w:rPr>
        <w:t>十、争议解决</w:t>
      </w:r>
      <w:bookmarkEnd w:id="94"/>
      <w:bookmarkEnd w:id="95"/>
      <w:bookmarkEnd w:id="96"/>
      <w:r>
        <w:rPr>
          <w:rFonts w:hint="eastAsia"/>
          <w:b/>
          <w:bCs/>
          <w:sz w:val="24"/>
          <w:szCs w:val="24"/>
        </w:rPr>
        <w:t>：</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lang w:val="zh-TW"/>
        </w:rPr>
        <w:t>。</w:t>
      </w:r>
    </w:p>
    <w:p w14:paraId="52CA4EA2">
      <w:pPr>
        <w:pStyle w:val="2"/>
        <w:snapToGrid/>
        <w:spacing w:before="156" w:beforeLines="50" w:after="156" w:afterLines="50" w:line="360" w:lineRule="auto"/>
        <w:rPr>
          <w:lang w:val="zh-TW"/>
        </w:rPr>
      </w:pPr>
      <w:bookmarkStart w:id="97" w:name="_Toc8441"/>
      <w:bookmarkStart w:id="98" w:name="_Toc20823"/>
      <w:bookmarkStart w:id="99" w:name="_Toc22527"/>
      <w:r>
        <w:rPr>
          <w:rFonts w:hint="eastAsia"/>
          <w:b/>
          <w:bCs/>
          <w:sz w:val="24"/>
          <w:szCs w:val="24"/>
        </w:rPr>
        <w:t>十一、不可抗力</w:t>
      </w:r>
      <w:bookmarkEnd w:id="97"/>
      <w:bookmarkEnd w:id="98"/>
      <w:bookmarkEnd w:id="99"/>
      <w:r>
        <w:rPr>
          <w:rFonts w:hint="eastAsia"/>
          <w:b/>
          <w:bCs/>
          <w:sz w:val="24"/>
          <w:szCs w:val="24"/>
        </w:rPr>
        <w:t>的约定</w:t>
      </w:r>
      <w:bookmarkStart w:id="100" w:name="_Toc24469"/>
      <w:bookmarkStart w:id="101" w:name="_Toc31817"/>
      <w:bookmarkStart w:id="102" w:name="_Toc12028"/>
      <w:r>
        <w:rPr>
          <w:rFonts w:hint="eastAsia"/>
          <w:b/>
          <w:bCs/>
          <w:sz w:val="24"/>
        </w:rPr>
        <w:t>：</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lang w:val="zh-TW"/>
        </w:rPr>
        <w:t>。</w:t>
      </w:r>
    </w:p>
    <w:p w14:paraId="1A4F4635">
      <w:pPr>
        <w:rPr>
          <w:b/>
          <w:bCs/>
          <w:sz w:val="24"/>
        </w:rPr>
      </w:pPr>
      <w:r>
        <w:rPr>
          <w:rFonts w:hint="eastAsia"/>
          <w:b/>
          <w:bCs/>
          <w:sz w:val="24"/>
        </w:rPr>
        <w:t>十二、税费</w:t>
      </w:r>
      <w:bookmarkEnd w:id="100"/>
      <w:bookmarkEnd w:id="101"/>
      <w:bookmarkEnd w:id="102"/>
    </w:p>
    <w:p w14:paraId="6E45155A">
      <w:pPr>
        <w:autoSpaceDE w:val="0"/>
        <w:autoSpaceDN w:val="0"/>
        <w:spacing w:before="156" w:beforeLines="50" w:after="156" w:afterLines="50" w:line="360" w:lineRule="auto"/>
        <w:ind w:firstLine="480" w:firstLineChars="200"/>
        <w:rPr>
          <w:rFonts w:ascii="宋体" w:hAnsi="宋体" w:cs="仿宋"/>
          <w:sz w:val="24"/>
          <w:lang w:val="zh-CN"/>
        </w:rPr>
      </w:pPr>
      <w:r>
        <w:rPr>
          <w:rFonts w:hint="eastAsia" w:ascii="宋体" w:hAnsi="宋体" w:cs="仿宋"/>
          <w:sz w:val="24"/>
          <w:lang w:val="zh-CN"/>
        </w:rPr>
        <w:t>此项目发生的与本合同执行有关的一切税费均由乙方负担。</w:t>
      </w:r>
    </w:p>
    <w:p w14:paraId="6B50FD14">
      <w:pPr>
        <w:rPr>
          <w:b/>
          <w:bCs/>
          <w:sz w:val="24"/>
        </w:rPr>
      </w:pPr>
      <w:bookmarkStart w:id="103" w:name="_Toc11662"/>
      <w:bookmarkStart w:id="104" w:name="_Toc12917"/>
      <w:bookmarkStart w:id="105" w:name="_Toc17201"/>
      <w:r>
        <w:rPr>
          <w:rFonts w:hint="eastAsia"/>
          <w:b/>
          <w:bCs/>
          <w:sz w:val="24"/>
        </w:rPr>
        <w:t>十三、其它</w:t>
      </w:r>
      <w:bookmarkEnd w:id="103"/>
      <w:bookmarkEnd w:id="104"/>
      <w:bookmarkEnd w:id="105"/>
      <w:r>
        <w:rPr>
          <w:rFonts w:hint="eastAsia"/>
          <w:b/>
          <w:bCs/>
          <w:sz w:val="24"/>
        </w:rPr>
        <w:t>：</w:t>
      </w:r>
    </w:p>
    <w:p w14:paraId="1D09CAF3">
      <w:pPr>
        <w:autoSpaceDE w:val="0"/>
        <w:autoSpaceDN w:val="0"/>
        <w:spacing w:before="156" w:beforeLines="50" w:after="156" w:afterLines="50" w:line="360" w:lineRule="auto"/>
        <w:ind w:firstLine="480" w:firstLineChars="200"/>
        <w:rPr>
          <w:rFonts w:ascii="宋体" w:hAnsi="宋体" w:cs="仿宋"/>
          <w:sz w:val="24"/>
          <w:lang w:val="zh-CN"/>
        </w:rPr>
      </w:pPr>
      <w:r>
        <w:rPr>
          <w:rFonts w:hint="eastAsia" w:ascii="宋体" w:hAnsi="宋体" w:cs="仿宋"/>
          <w:sz w:val="24"/>
          <w:lang w:val="zh-CN"/>
        </w:rPr>
        <w:t>1、本合同所有附件及政府采购招投标文件均为合同的有效组成部分，与本合同具有同等法律效力。</w:t>
      </w:r>
    </w:p>
    <w:p w14:paraId="1BBB884C">
      <w:pPr>
        <w:autoSpaceDE w:val="0"/>
        <w:autoSpaceDN w:val="0"/>
        <w:spacing w:before="156" w:beforeLines="50" w:after="156" w:afterLines="50" w:line="360" w:lineRule="auto"/>
        <w:ind w:firstLine="480" w:firstLineChars="200"/>
        <w:rPr>
          <w:rFonts w:ascii="宋体" w:hAnsi="宋体" w:cs="仿宋"/>
          <w:sz w:val="24"/>
          <w:lang w:val="zh-CN"/>
        </w:rPr>
      </w:pPr>
      <w:r>
        <w:rPr>
          <w:rFonts w:hint="eastAsia" w:ascii="宋体" w:hAnsi="宋体" w:cs="仿宋"/>
          <w:sz w:val="24"/>
          <w:lang w:val="zh-CN"/>
        </w:rPr>
        <w:t>2、在执行本合同的过程中，所有经双方签署确认的文件（包括会议纪要、补充协议、往来信函）即成为本合同的有效组成部分。</w:t>
      </w:r>
    </w:p>
    <w:p w14:paraId="0468920C">
      <w:pPr>
        <w:autoSpaceDE w:val="0"/>
        <w:autoSpaceDN w:val="0"/>
        <w:spacing w:before="156" w:beforeLines="50" w:after="156" w:afterLines="50" w:line="360" w:lineRule="auto"/>
        <w:ind w:firstLine="480" w:firstLineChars="200"/>
        <w:rPr>
          <w:rFonts w:ascii="宋体" w:hAnsi="宋体" w:cs="仿宋"/>
          <w:sz w:val="24"/>
          <w:lang w:val="zh-CN"/>
        </w:rPr>
      </w:pPr>
      <w:r>
        <w:rPr>
          <w:rFonts w:hint="eastAsia" w:ascii="宋体" w:hAnsi="宋体" w:cs="仿宋"/>
          <w:sz w:val="24"/>
          <w:lang w:val="zh-CN"/>
        </w:rPr>
        <w:t>3、如一方地址、电话、传真号码有变更，应在变更当日内书面通知对方，否则，应承担相应责任。</w:t>
      </w:r>
    </w:p>
    <w:p w14:paraId="3AB77FF2">
      <w:pPr>
        <w:autoSpaceDE w:val="0"/>
        <w:autoSpaceDN w:val="0"/>
        <w:spacing w:before="156" w:beforeLines="50" w:after="156" w:afterLines="50" w:line="360" w:lineRule="auto"/>
        <w:ind w:firstLine="480" w:firstLineChars="200"/>
        <w:rPr>
          <w:rFonts w:ascii="宋体" w:hAnsi="宋体" w:cs="仿宋"/>
          <w:sz w:val="24"/>
          <w:lang w:val="zh-CN"/>
        </w:rPr>
      </w:pPr>
      <w:r>
        <w:rPr>
          <w:rFonts w:hint="eastAsia" w:ascii="宋体" w:hAnsi="宋体" w:cs="仿宋"/>
          <w:sz w:val="24"/>
          <w:lang w:val="zh-CN"/>
        </w:rPr>
        <w:t>4、如乙方在履行合同过程中服务能力丧失的，乙方应本着保护政府和公众设施的原则进行后续处理工作，同时应及时将能够承担该项工作的后续接续服务的企业报甲方同意后，变更合同。乙方在接续服务过程中应及时备份、转移和移交有关数据，直至系统平稳过度为止，工作过程中如因乙方原因造成甲方重大损失的，乙方应根据实际损失赔偿甲方。</w:t>
      </w:r>
    </w:p>
    <w:p w14:paraId="4A6AFF37">
      <w:pPr>
        <w:pStyle w:val="2"/>
        <w:snapToGrid/>
        <w:spacing w:before="156" w:beforeLines="50" w:after="156" w:afterLines="50" w:line="360" w:lineRule="auto"/>
        <w:ind w:firstLine="480" w:firstLineChars="200"/>
        <w:rPr>
          <w:lang w:val="zh-TW"/>
        </w:rPr>
      </w:pPr>
      <w:r>
        <w:rPr>
          <w:rFonts w:hint="eastAsia" w:ascii="宋体" w:hAnsi="宋体" w:cs="仿宋"/>
          <w:sz w:val="24"/>
          <w:lang w:val="zh-TW"/>
        </w:rPr>
        <w:t>5、其他：</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u w:val="single"/>
        </w:rPr>
        <w:t xml:space="preserve">                                         </w:t>
      </w:r>
      <w:r>
        <w:rPr>
          <w:rFonts w:hint="eastAsia" w:ascii="宋体" w:hAnsi="宋体" w:cs="仿宋"/>
          <w:sz w:val="24"/>
          <w:u w:val="single"/>
          <w:lang w:val="zh-TW"/>
        </w:rPr>
        <w:t xml:space="preserve"> </w:t>
      </w:r>
      <w:r>
        <w:rPr>
          <w:rFonts w:hint="eastAsia" w:ascii="宋体" w:hAnsi="宋体" w:cs="仿宋"/>
          <w:sz w:val="24"/>
          <w:lang w:val="zh-TW"/>
        </w:rPr>
        <w:t>。</w:t>
      </w:r>
    </w:p>
    <w:p w14:paraId="190E2A55">
      <w:pPr>
        <w:autoSpaceDE w:val="0"/>
        <w:autoSpaceDN w:val="0"/>
        <w:spacing w:before="156" w:beforeLines="50" w:after="156" w:afterLines="50" w:line="360" w:lineRule="auto"/>
        <w:ind w:firstLine="560"/>
        <w:jc w:val="left"/>
        <w:rPr>
          <w:rFonts w:ascii="宋体" w:hAnsi="宋体" w:cs="仿宋"/>
          <w:sz w:val="24"/>
          <w:lang w:val="zh-CN"/>
        </w:rPr>
      </w:pPr>
      <w:r>
        <w:rPr>
          <w:rFonts w:hint="eastAsia" w:ascii="宋体" w:hAnsi="宋体" w:cs="仿宋"/>
          <w:sz w:val="24"/>
          <w:lang w:val="zh-CN"/>
        </w:rPr>
        <w:t>甲方（盖章）：                    乙方（盖章）：</w:t>
      </w:r>
    </w:p>
    <w:p w14:paraId="4F7AC204">
      <w:pPr>
        <w:autoSpaceDE w:val="0"/>
        <w:autoSpaceDN w:val="0"/>
        <w:spacing w:before="156" w:beforeLines="50" w:after="156" w:afterLines="50" w:line="360" w:lineRule="auto"/>
        <w:ind w:firstLine="480" w:firstLineChars="200"/>
        <w:jc w:val="left"/>
        <w:rPr>
          <w:rFonts w:ascii="宋体" w:hAnsi="宋体" w:cs="仿宋"/>
          <w:sz w:val="24"/>
          <w:lang w:val="zh-CN"/>
        </w:rPr>
      </w:pPr>
      <w:r>
        <w:rPr>
          <w:rFonts w:hint="eastAsia" w:ascii="宋体" w:hAnsi="宋体" w:cs="仿宋"/>
          <w:sz w:val="24"/>
          <w:lang w:val="zh-CN"/>
        </w:rPr>
        <w:t>法人或委托代理人：                法人或委托代理人：</w:t>
      </w:r>
    </w:p>
    <w:p w14:paraId="3371E3B4">
      <w:pPr>
        <w:autoSpaceDE w:val="0"/>
        <w:autoSpaceDN w:val="0"/>
        <w:spacing w:before="156" w:beforeLines="50" w:after="156" w:afterLines="50" w:line="360" w:lineRule="auto"/>
        <w:ind w:firstLine="480" w:firstLineChars="200"/>
        <w:jc w:val="left"/>
        <w:rPr>
          <w:rFonts w:ascii="宋体" w:hAnsi="宋体" w:cs="仿宋"/>
          <w:sz w:val="24"/>
          <w:lang w:val="zh-CN"/>
        </w:rPr>
      </w:pPr>
      <w:r>
        <w:rPr>
          <w:rFonts w:hint="eastAsia" w:ascii="宋体" w:hAnsi="宋体" w:cs="仿宋"/>
          <w:sz w:val="24"/>
          <w:lang w:val="zh-CN"/>
        </w:rPr>
        <w:t>（盖章或签字）                    盖章或签字</w:t>
      </w:r>
    </w:p>
    <w:p w14:paraId="7F4C71D1">
      <w:pPr>
        <w:autoSpaceDE w:val="0"/>
        <w:autoSpaceDN w:val="0"/>
        <w:spacing w:before="156" w:beforeLines="50" w:after="156" w:afterLines="50" w:line="360" w:lineRule="auto"/>
        <w:ind w:firstLine="480" w:firstLineChars="200"/>
        <w:jc w:val="left"/>
        <w:rPr>
          <w:rFonts w:ascii="宋体" w:hAnsi="宋体" w:cs="仿宋"/>
          <w:b/>
          <w:bCs/>
          <w:sz w:val="28"/>
          <w:szCs w:val="28"/>
        </w:rPr>
      </w:pPr>
      <w:r>
        <w:rPr>
          <w:rFonts w:hint="eastAsia" w:ascii="宋体" w:hAnsi="宋体" w:cs="仿宋"/>
          <w:sz w:val="24"/>
          <w:lang w:val="zh-CN"/>
        </w:rPr>
        <w:t xml:space="preserve">日期： </w:t>
      </w:r>
      <w:r>
        <w:rPr>
          <w:rFonts w:hint="eastAsia" w:ascii="宋体" w:hAnsi="宋体" w:cs="仿宋"/>
          <w:sz w:val="24"/>
        </w:rPr>
        <w:t xml:space="preserve">  </w:t>
      </w:r>
      <w:r>
        <w:rPr>
          <w:rFonts w:hint="eastAsia" w:ascii="宋体" w:hAnsi="宋体" w:cs="仿宋"/>
          <w:sz w:val="24"/>
          <w:lang w:val="zh-CN"/>
        </w:rPr>
        <w:t xml:space="preserve"> 年   月   日       </w:t>
      </w:r>
      <w:r>
        <w:rPr>
          <w:rFonts w:hint="eastAsia" w:ascii="宋体" w:hAnsi="宋体" w:cs="仿宋"/>
          <w:sz w:val="24"/>
        </w:rPr>
        <w:t xml:space="preserve"> </w:t>
      </w:r>
      <w:r>
        <w:rPr>
          <w:rFonts w:hint="eastAsia" w:ascii="宋体" w:hAnsi="宋体" w:cs="仿宋"/>
          <w:sz w:val="24"/>
          <w:lang w:val="zh-CN"/>
        </w:rPr>
        <w:t xml:space="preserve">  </w:t>
      </w:r>
      <w:r>
        <w:rPr>
          <w:rFonts w:hint="eastAsia" w:ascii="宋体" w:hAnsi="宋体" w:cs="仿宋"/>
          <w:sz w:val="24"/>
        </w:rPr>
        <w:t xml:space="preserve"> </w:t>
      </w:r>
      <w:r>
        <w:rPr>
          <w:rFonts w:hint="eastAsia" w:ascii="宋体" w:hAnsi="宋体" w:cs="仿宋"/>
          <w:sz w:val="24"/>
          <w:lang w:val="zh-CN"/>
        </w:rPr>
        <w:t xml:space="preserve">日期： </w:t>
      </w:r>
      <w:r>
        <w:rPr>
          <w:rFonts w:hint="eastAsia" w:ascii="宋体" w:hAnsi="宋体" w:cs="仿宋"/>
          <w:sz w:val="24"/>
        </w:rPr>
        <w:t xml:space="preserve">  </w:t>
      </w:r>
      <w:r>
        <w:rPr>
          <w:rFonts w:hint="eastAsia" w:ascii="宋体" w:hAnsi="宋体" w:cs="仿宋"/>
          <w:sz w:val="24"/>
          <w:lang w:val="zh-CN"/>
        </w:rPr>
        <w:t>年   月   日</w:t>
      </w:r>
      <w:r>
        <w:rPr>
          <w:rFonts w:cs="仿宋"/>
          <w:sz w:val="28"/>
          <w:szCs w:val="28"/>
        </w:rPr>
        <w:br w:type="page"/>
      </w:r>
    </w:p>
    <w:p w14:paraId="5A257EE7">
      <w:pPr>
        <w:pStyle w:val="3"/>
        <w:rPr>
          <w:rFonts w:cs="仿宋"/>
          <w:lang w:val="en-US"/>
        </w:rPr>
      </w:pPr>
      <w:bookmarkStart w:id="106" w:name="_Toc202949962"/>
      <w:r>
        <w:rPr>
          <w:rFonts w:hint="eastAsia" w:cs="仿宋"/>
        </w:rPr>
        <w:t>第五章 采购</w:t>
      </w:r>
      <w:r>
        <w:rPr>
          <w:rFonts w:hint="eastAsia" w:cs="仿宋"/>
          <w:lang w:val="en-US"/>
        </w:rPr>
        <w:t>内容及服务要求</w:t>
      </w:r>
      <w:bookmarkEnd w:id="106"/>
    </w:p>
    <w:p w14:paraId="003F74BB">
      <w:pPr>
        <w:pStyle w:val="4"/>
        <w:spacing w:line="360" w:lineRule="auto"/>
        <w:ind w:left="0" w:right="76"/>
        <w:rPr>
          <w:rFonts w:ascii="宋体" w:hAnsi="宋体" w:eastAsia="宋体" w:cs="仿宋"/>
          <w:bCs/>
          <w:sz w:val="24"/>
          <w:szCs w:val="24"/>
        </w:rPr>
      </w:pPr>
      <w:bookmarkStart w:id="107" w:name="_Toc24143"/>
      <w:bookmarkStart w:id="108" w:name="_Toc3421"/>
      <w:bookmarkStart w:id="109" w:name="_Toc1403"/>
      <w:bookmarkStart w:id="110" w:name="_Toc17652"/>
      <w:bookmarkStart w:id="111" w:name="_Toc7464_WPSOffice_Level1"/>
      <w:bookmarkStart w:id="112" w:name="_Toc15890856"/>
      <w:bookmarkStart w:id="113" w:name="_Toc3890"/>
      <w:bookmarkStart w:id="114" w:name="_Toc1877"/>
      <w:bookmarkStart w:id="115" w:name="_Toc10585"/>
      <w:bookmarkStart w:id="116" w:name="_Toc8184"/>
      <w:r>
        <w:rPr>
          <w:rFonts w:hint="eastAsia" w:ascii="宋体" w:hAnsi="宋体" w:eastAsia="宋体" w:cs="仿宋"/>
          <w:b/>
          <w:bCs/>
          <w:sz w:val="24"/>
          <w:szCs w:val="24"/>
        </w:rPr>
        <w:t>一、采购内容清单</w:t>
      </w:r>
    </w:p>
    <w:p w14:paraId="1D6DDB3D">
      <w:pPr>
        <w:spacing w:line="360" w:lineRule="auto"/>
        <w:ind w:firstLine="482" w:firstLineChars="200"/>
        <w:outlineLvl w:val="2"/>
        <w:rPr>
          <w:b/>
          <w:bCs/>
          <w:sz w:val="24"/>
        </w:rPr>
      </w:pPr>
      <w:r>
        <w:rPr>
          <w:rFonts w:hint="eastAsia"/>
          <w:b/>
          <w:bCs/>
          <w:sz w:val="24"/>
        </w:rPr>
        <w:t>（一）</w:t>
      </w:r>
      <w:r>
        <w:rPr>
          <w:b/>
          <w:bCs/>
          <w:sz w:val="24"/>
        </w:rPr>
        <w:t>服务清单</w:t>
      </w:r>
    </w:p>
    <w:tbl>
      <w:tblPr>
        <w:tblStyle w:val="27"/>
        <w:tblW w:w="4878" w:type="pct"/>
        <w:jc w:val="center"/>
        <w:tblLayout w:type="autofit"/>
        <w:tblCellMar>
          <w:top w:w="0" w:type="dxa"/>
          <w:left w:w="108" w:type="dxa"/>
          <w:bottom w:w="0" w:type="dxa"/>
          <w:right w:w="108" w:type="dxa"/>
        </w:tblCellMar>
      </w:tblPr>
      <w:tblGrid>
        <w:gridCol w:w="754"/>
        <w:gridCol w:w="2883"/>
        <w:gridCol w:w="5140"/>
        <w:gridCol w:w="942"/>
      </w:tblGrid>
      <w:tr w14:paraId="103DC16E">
        <w:tblPrEx>
          <w:tblCellMar>
            <w:top w:w="0" w:type="dxa"/>
            <w:left w:w="108" w:type="dxa"/>
            <w:bottom w:w="0" w:type="dxa"/>
            <w:right w:w="108" w:type="dxa"/>
          </w:tblCellMar>
        </w:tblPrEx>
        <w:trPr>
          <w:trHeight w:val="300" w:hRule="atLeast"/>
          <w:jc w:val="center"/>
        </w:trPr>
        <w:tc>
          <w:tcPr>
            <w:tcW w:w="388" w:type="pct"/>
            <w:tcBorders>
              <w:top w:val="single" w:color="000000" w:sz="8" w:space="0"/>
              <w:left w:val="single" w:color="000000" w:sz="8" w:space="0"/>
              <w:bottom w:val="single" w:color="000000" w:sz="8" w:space="0"/>
              <w:right w:val="single" w:color="000000" w:sz="8" w:space="0"/>
            </w:tcBorders>
            <w:vAlign w:val="center"/>
          </w:tcPr>
          <w:p w14:paraId="14588BD0">
            <w:pPr>
              <w:widowControl/>
              <w:jc w:val="center"/>
              <w:textAlignment w:val="center"/>
              <w:rPr>
                <w:rFonts w:ascii="宋体" w:hAnsi="宋体" w:cs="宋体"/>
                <w:sz w:val="24"/>
              </w:rPr>
            </w:pPr>
            <w:r>
              <w:rPr>
                <w:rFonts w:hint="eastAsia" w:ascii="宋体" w:hAnsi="宋体" w:cs="宋体"/>
                <w:kern w:val="0"/>
                <w:sz w:val="24"/>
                <w:lang w:bidi="ar"/>
              </w:rPr>
              <w:t>序号</w:t>
            </w:r>
          </w:p>
        </w:tc>
        <w:tc>
          <w:tcPr>
            <w:tcW w:w="1483" w:type="pct"/>
            <w:tcBorders>
              <w:top w:val="single" w:color="000000" w:sz="8" w:space="0"/>
              <w:left w:val="single" w:color="000000" w:sz="8" w:space="0"/>
              <w:bottom w:val="single" w:color="000000" w:sz="8" w:space="0"/>
              <w:right w:val="single" w:color="000000" w:sz="8" w:space="0"/>
            </w:tcBorders>
            <w:vAlign w:val="center"/>
          </w:tcPr>
          <w:p w14:paraId="23F869BB">
            <w:pPr>
              <w:widowControl/>
              <w:jc w:val="center"/>
              <w:textAlignment w:val="center"/>
              <w:rPr>
                <w:rFonts w:ascii="宋体" w:hAnsi="宋体" w:cs="宋体"/>
                <w:sz w:val="24"/>
              </w:rPr>
            </w:pPr>
            <w:r>
              <w:rPr>
                <w:rFonts w:hint="eastAsia" w:ascii="宋体" w:hAnsi="宋体" w:cs="宋体"/>
                <w:kern w:val="0"/>
                <w:sz w:val="24"/>
                <w:lang w:bidi="ar"/>
              </w:rPr>
              <w:t>名称</w:t>
            </w:r>
          </w:p>
        </w:tc>
        <w:tc>
          <w:tcPr>
            <w:tcW w:w="2644" w:type="pct"/>
            <w:tcBorders>
              <w:top w:val="single" w:color="000000" w:sz="8" w:space="0"/>
              <w:left w:val="single" w:color="000000" w:sz="8" w:space="0"/>
              <w:bottom w:val="single" w:color="000000" w:sz="8" w:space="0"/>
              <w:right w:val="single" w:color="000000" w:sz="8" w:space="0"/>
            </w:tcBorders>
            <w:vAlign w:val="center"/>
          </w:tcPr>
          <w:p w14:paraId="0BFCE322">
            <w:pPr>
              <w:widowControl/>
              <w:jc w:val="center"/>
              <w:textAlignment w:val="center"/>
              <w:rPr>
                <w:rFonts w:ascii="宋体" w:hAnsi="宋体" w:cs="宋体"/>
                <w:sz w:val="24"/>
              </w:rPr>
            </w:pPr>
            <w:r>
              <w:rPr>
                <w:rFonts w:hint="eastAsia" w:ascii="宋体" w:hAnsi="宋体" w:cs="宋体"/>
                <w:kern w:val="0"/>
                <w:sz w:val="24"/>
                <w:lang w:bidi="ar"/>
              </w:rPr>
              <w:t>内容</w:t>
            </w:r>
          </w:p>
        </w:tc>
        <w:tc>
          <w:tcPr>
            <w:tcW w:w="484" w:type="pct"/>
            <w:tcBorders>
              <w:top w:val="single" w:color="000000" w:sz="8" w:space="0"/>
              <w:left w:val="single" w:color="000000" w:sz="8" w:space="0"/>
              <w:bottom w:val="single" w:color="auto" w:sz="4" w:space="0"/>
              <w:right w:val="single" w:color="000000" w:sz="8" w:space="0"/>
            </w:tcBorders>
            <w:vAlign w:val="center"/>
          </w:tcPr>
          <w:p w14:paraId="7FA24BAA">
            <w:pPr>
              <w:widowControl/>
              <w:jc w:val="center"/>
              <w:textAlignment w:val="center"/>
              <w:rPr>
                <w:rFonts w:ascii="宋体" w:hAnsi="宋体" w:cs="宋体"/>
                <w:sz w:val="24"/>
              </w:rPr>
            </w:pPr>
            <w:r>
              <w:rPr>
                <w:rFonts w:hint="eastAsia" w:ascii="宋体" w:hAnsi="宋体" w:cs="宋体"/>
                <w:sz w:val="24"/>
              </w:rPr>
              <w:t>服务期限</w:t>
            </w:r>
          </w:p>
        </w:tc>
      </w:tr>
      <w:tr w14:paraId="5CAC612C">
        <w:tblPrEx>
          <w:tblCellMar>
            <w:top w:w="0" w:type="dxa"/>
            <w:left w:w="108" w:type="dxa"/>
            <w:bottom w:w="0" w:type="dxa"/>
            <w:right w:w="108" w:type="dxa"/>
          </w:tblCellMar>
        </w:tblPrEx>
        <w:trPr>
          <w:trHeight w:val="1655" w:hRule="atLeast"/>
          <w:jc w:val="center"/>
        </w:trPr>
        <w:tc>
          <w:tcPr>
            <w:tcW w:w="388" w:type="pct"/>
            <w:tcBorders>
              <w:top w:val="nil"/>
              <w:left w:val="single" w:color="000000" w:sz="8" w:space="0"/>
              <w:bottom w:val="single" w:color="000000" w:sz="8" w:space="0"/>
              <w:right w:val="single" w:color="000000" w:sz="8" w:space="0"/>
            </w:tcBorders>
            <w:vAlign w:val="center"/>
          </w:tcPr>
          <w:p w14:paraId="2C32586D">
            <w:pPr>
              <w:widowControl/>
              <w:jc w:val="center"/>
              <w:textAlignment w:val="center"/>
              <w:rPr>
                <w:rFonts w:ascii="宋体" w:hAnsi="宋体" w:cs="宋体"/>
                <w:sz w:val="24"/>
              </w:rPr>
            </w:pPr>
            <w:r>
              <w:rPr>
                <w:rFonts w:hint="eastAsia" w:ascii="宋体" w:hAnsi="宋体" w:cs="宋体"/>
                <w:kern w:val="0"/>
                <w:sz w:val="24"/>
                <w:lang w:bidi="ar"/>
              </w:rPr>
              <w:t>1</w:t>
            </w:r>
          </w:p>
        </w:tc>
        <w:tc>
          <w:tcPr>
            <w:tcW w:w="1483" w:type="pct"/>
            <w:tcBorders>
              <w:top w:val="nil"/>
              <w:left w:val="single" w:color="000000" w:sz="8" w:space="0"/>
              <w:bottom w:val="single" w:color="000000" w:sz="8" w:space="0"/>
              <w:right w:val="single" w:color="000000" w:sz="8" w:space="0"/>
            </w:tcBorders>
            <w:vAlign w:val="center"/>
          </w:tcPr>
          <w:p w14:paraId="227721AB">
            <w:pPr>
              <w:widowControl/>
              <w:jc w:val="left"/>
              <w:textAlignment w:val="center"/>
              <w:rPr>
                <w:rFonts w:ascii="宋体" w:hAnsi="宋体" w:cs="宋体"/>
                <w:sz w:val="24"/>
              </w:rPr>
            </w:pPr>
            <w:r>
              <w:rPr>
                <w:rFonts w:hint="eastAsia" w:ascii="宋体" w:hAnsi="宋体" w:cs="宋体"/>
                <w:kern w:val="0"/>
                <w:sz w:val="24"/>
                <w:lang w:bidi="ar"/>
              </w:rPr>
              <w:t>区电子政务外网基础网络服务</w:t>
            </w:r>
          </w:p>
        </w:tc>
        <w:tc>
          <w:tcPr>
            <w:tcW w:w="2644" w:type="pct"/>
            <w:tcBorders>
              <w:top w:val="nil"/>
              <w:left w:val="single" w:color="000000" w:sz="8" w:space="0"/>
              <w:bottom w:val="single" w:color="000000" w:sz="8" w:space="0"/>
              <w:right w:val="single" w:color="auto" w:sz="4" w:space="0"/>
            </w:tcBorders>
            <w:vAlign w:val="center"/>
          </w:tcPr>
          <w:p w14:paraId="4F536F51">
            <w:pPr>
              <w:widowControl/>
              <w:textAlignment w:val="center"/>
              <w:rPr>
                <w:rFonts w:ascii="宋体" w:hAnsi="宋体" w:cs="宋体"/>
                <w:sz w:val="24"/>
              </w:rPr>
            </w:pPr>
            <w:r>
              <w:rPr>
                <w:rFonts w:hint="eastAsia" w:ascii="宋体" w:hAnsi="宋体" w:cs="宋体"/>
                <w:kern w:val="0"/>
                <w:sz w:val="24"/>
                <w:lang w:bidi="ar"/>
              </w:rPr>
              <w:t>区电子政务中心平台</w:t>
            </w:r>
            <w:r>
              <w:rPr>
                <w:rFonts w:ascii="宋体" w:hAnsi="宋体" w:cs="宋体"/>
                <w:kern w:val="0"/>
                <w:sz w:val="24"/>
                <w:lang w:bidi="ar"/>
              </w:rPr>
              <w:t>至</w:t>
            </w:r>
            <w:r>
              <w:rPr>
                <w:rFonts w:hint="eastAsia" w:ascii="宋体" w:hAnsi="宋体" w:cs="宋体"/>
                <w:kern w:val="0"/>
                <w:sz w:val="24"/>
                <w:lang w:bidi="ar"/>
              </w:rPr>
              <w:t>区直局委办和乡镇街道办的电子政务外网</w:t>
            </w:r>
            <w:r>
              <w:rPr>
                <w:rFonts w:ascii="宋体" w:hAnsi="宋体" w:cs="宋体"/>
                <w:kern w:val="0"/>
                <w:sz w:val="24"/>
                <w:lang w:bidi="ar"/>
              </w:rPr>
              <w:t>专</w:t>
            </w:r>
            <w:r>
              <w:rPr>
                <w:rFonts w:hint="eastAsia" w:ascii="宋体" w:hAnsi="宋体" w:cs="宋体"/>
                <w:kern w:val="0"/>
                <w:sz w:val="24"/>
                <w:lang w:bidi="ar"/>
              </w:rPr>
              <w:t>线</w:t>
            </w:r>
            <w:r>
              <w:rPr>
                <w:rFonts w:ascii="宋体" w:hAnsi="宋体" w:cs="宋体"/>
                <w:kern w:val="0"/>
                <w:sz w:val="24"/>
                <w:lang w:bidi="ar"/>
              </w:rPr>
              <w:t>线路</w:t>
            </w:r>
            <w:r>
              <w:rPr>
                <w:rFonts w:hint="eastAsia" w:ascii="宋体" w:hAnsi="宋体" w:cs="宋体"/>
                <w:kern w:val="0"/>
                <w:sz w:val="24"/>
                <w:lang w:bidi="ar"/>
              </w:rPr>
              <w:t>。线路带宽为50Mbps，线路接入</w:t>
            </w:r>
            <w:r>
              <w:rPr>
                <w:rFonts w:ascii="宋体" w:hAnsi="宋体" w:cs="宋体"/>
                <w:kern w:val="0"/>
                <w:sz w:val="24"/>
                <w:lang w:bidi="ar"/>
              </w:rPr>
              <w:t>点位</w:t>
            </w:r>
            <w:r>
              <w:rPr>
                <w:rFonts w:hint="eastAsia" w:ascii="宋体" w:hAnsi="宋体" w:cs="宋体"/>
                <w:kern w:val="0"/>
                <w:sz w:val="24"/>
                <w:lang w:bidi="ar"/>
              </w:rPr>
              <w:t>为24个。互联网运营商专线线路2条</w:t>
            </w:r>
            <w:r>
              <w:rPr>
                <w:rFonts w:ascii="宋体" w:hAnsi="宋体" w:cs="宋体"/>
                <w:kern w:val="0"/>
                <w:sz w:val="24"/>
                <w:lang w:bidi="ar"/>
              </w:rPr>
              <w:t>，</w:t>
            </w:r>
            <w:r>
              <w:rPr>
                <w:rFonts w:hint="eastAsia" w:ascii="宋体" w:hAnsi="宋体" w:cs="宋体"/>
                <w:kern w:val="0"/>
                <w:sz w:val="24"/>
                <w:lang w:bidi="ar"/>
              </w:rPr>
              <w:t>线路带宽为500Mbps。</w:t>
            </w:r>
            <w:r>
              <w:rPr>
                <w:rFonts w:ascii="宋体" w:hAnsi="宋体" w:cs="宋体"/>
                <w:kern w:val="0"/>
                <w:sz w:val="24"/>
                <w:lang w:bidi="ar"/>
              </w:rPr>
              <w:t>提供核心路由器、核心交换机、出口防火墙、NAT设备、堡垒机、运维服务器、日志审计等服务。</w:t>
            </w:r>
          </w:p>
        </w:tc>
        <w:tc>
          <w:tcPr>
            <w:tcW w:w="484" w:type="pct"/>
            <w:vMerge w:val="restart"/>
            <w:tcBorders>
              <w:top w:val="single" w:color="auto" w:sz="4" w:space="0"/>
              <w:left w:val="single" w:color="auto" w:sz="4" w:space="0"/>
              <w:bottom w:val="single" w:color="auto" w:sz="4" w:space="0"/>
              <w:right w:val="single" w:color="auto" w:sz="4" w:space="0"/>
            </w:tcBorders>
            <w:vAlign w:val="center"/>
          </w:tcPr>
          <w:p w14:paraId="4EE25A3B">
            <w:pPr>
              <w:widowControl/>
              <w:jc w:val="center"/>
              <w:textAlignment w:val="center"/>
              <w:rPr>
                <w:rFonts w:ascii="宋体" w:hAnsi="宋体" w:cs="宋体"/>
                <w:sz w:val="24"/>
              </w:rPr>
            </w:pPr>
            <w:r>
              <w:rPr>
                <w:rFonts w:hint="eastAsia" w:ascii="宋体" w:hAnsi="宋体" w:cs="宋体"/>
                <w:sz w:val="24"/>
              </w:rPr>
              <w:t>3年</w:t>
            </w:r>
          </w:p>
        </w:tc>
      </w:tr>
      <w:tr w14:paraId="163FF36F">
        <w:tblPrEx>
          <w:tblCellMar>
            <w:top w:w="0" w:type="dxa"/>
            <w:left w:w="108" w:type="dxa"/>
            <w:bottom w:w="0" w:type="dxa"/>
            <w:right w:w="108" w:type="dxa"/>
          </w:tblCellMar>
        </w:tblPrEx>
        <w:trPr>
          <w:trHeight w:val="1025" w:hRule="atLeast"/>
          <w:jc w:val="center"/>
        </w:trPr>
        <w:tc>
          <w:tcPr>
            <w:tcW w:w="388" w:type="pct"/>
            <w:tcBorders>
              <w:top w:val="nil"/>
              <w:left w:val="single" w:color="000000" w:sz="8" w:space="0"/>
              <w:bottom w:val="single" w:color="000000" w:sz="8" w:space="0"/>
              <w:right w:val="single" w:color="000000" w:sz="8" w:space="0"/>
            </w:tcBorders>
            <w:vAlign w:val="center"/>
          </w:tcPr>
          <w:p w14:paraId="5C18C9B9">
            <w:pPr>
              <w:widowControl/>
              <w:jc w:val="center"/>
              <w:textAlignment w:val="center"/>
              <w:rPr>
                <w:rFonts w:ascii="宋体" w:hAnsi="宋体" w:cs="宋体"/>
                <w:sz w:val="24"/>
              </w:rPr>
            </w:pPr>
            <w:r>
              <w:rPr>
                <w:rFonts w:hint="eastAsia" w:ascii="宋体" w:hAnsi="宋体" w:cs="宋体"/>
                <w:kern w:val="0"/>
                <w:sz w:val="24"/>
                <w:lang w:bidi="ar"/>
              </w:rPr>
              <w:t>2</w:t>
            </w:r>
          </w:p>
        </w:tc>
        <w:tc>
          <w:tcPr>
            <w:tcW w:w="1483" w:type="pct"/>
            <w:tcBorders>
              <w:top w:val="nil"/>
              <w:left w:val="single" w:color="000000" w:sz="8" w:space="0"/>
              <w:bottom w:val="single" w:color="000000" w:sz="8" w:space="0"/>
              <w:right w:val="single" w:color="000000" w:sz="8" w:space="0"/>
            </w:tcBorders>
            <w:vAlign w:val="center"/>
          </w:tcPr>
          <w:p w14:paraId="3DFF97E6">
            <w:pPr>
              <w:widowControl/>
              <w:textAlignment w:val="center"/>
              <w:rPr>
                <w:rFonts w:ascii="宋体" w:hAnsi="宋体" w:cs="宋体"/>
                <w:kern w:val="0"/>
                <w:sz w:val="24"/>
                <w:lang w:bidi="ar"/>
              </w:rPr>
            </w:pPr>
            <w:r>
              <w:rPr>
                <w:rFonts w:hint="eastAsia" w:ascii="宋体" w:hAnsi="宋体" w:cs="宋体"/>
                <w:kern w:val="0"/>
                <w:sz w:val="24"/>
                <w:lang w:bidi="ar"/>
              </w:rPr>
              <w:t>区电子政务外网机房环境及设施服务和机房运维服务</w:t>
            </w:r>
          </w:p>
        </w:tc>
        <w:tc>
          <w:tcPr>
            <w:tcW w:w="2644" w:type="pct"/>
            <w:tcBorders>
              <w:top w:val="nil"/>
              <w:left w:val="single" w:color="000000" w:sz="8" w:space="0"/>
              <w:bottom w:val="single" w:color="000000" w:sz="8" w:space="0"/>
              <w:right w:val="single" w:color="auto" w:sz="4" w:space="0"/>
            </w:tcBorders>
            <w:vAlign w:val="center"/>
          </w:tcPr>
          <w:p w14:paraId="1173164B">
            <w:pPr>
              <w:widowControl/>
              <w:textAlignment w:val="center"/>
              <w:rPr>
                <w:rFonts w:ascii="宋体" w:hAnsi="宋体" w:cs="宋体"/>
                <w:kern w:val="0"/>
                <w:sz w:val="24"/>
                <w:lang w:bidi="ar"/>
              </w:rPr>
            </w:pPr>
            <w:r>
              <w:rPr>
                <w:rFonts w:hint="eastAsia" w:ascii="宋体" w:hAnsi="宋体" w:cs="宋体"/>
                <w:kern w:val="0"/>
                <w:sz w:val="24"/>
                <w:lang w:bidi="ar"/>
              </w:rPr>
              <w:t>提供满足区电子政务外网网络基础设施的运维所提供的机房环境及设施服务（包括配电系统、不间断电源、监控系统、暖通系统、消防门禁系统设施)服务期内的设备质保及相关运行维护服务。</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072AF685">
            <w:pPr>
              <w:widowControl/>
              <w:jc w:val="center"/>
              <w:textAlignment w:val="center"/>
              <w:rPr>
                <w:rFonts w:ascii="宋体" w:hAnsi="宋体" w:cs="宋体"/>
                <w:sz w:val="24"/>
              </w:rPr>
            </w:pPr>
          </w:p>
        </w:tc>
      </w:tr>
      <w:tr w14:paraId="3385B887">
        <w:tblPrEx>
          <w:tblCellMar>
            <w:top w:w="0" w:type="dxa"/>
            <w:left w:w="108" w:type="dxa"/>
            <w:bottom w:w="0" w:type="dxa"/>
            <w:right w:w="108" w:type="dxa"/>
          </w:tblCellMar>
        </w:tblPrEx>
        <w:trPr>
          <w:trHeight w:val="1230" w:hRule="atLeast"/>
          <w:jc w:val="center"/>
        </w:trPr>
        <w:tc>
          <w:tcPr>
            <w:tcW w:w="388" w:type="pct"/>
            <w:tcBorders>
              <w:top w:val="nil"/>
              <w:left w:val="single" w:color="000000" w:sz="8" w:space="0"/>
              <w:bottom w:val="single" w:color="000000" w:sz="8" w:space="0"/>
              <w:right w:val="single" w:color="000000" w:sz="8" w:space="0"/>
            </w:tcBorders>
            <w:vAlign w:val="center"/>
          </w:tcPr>
          <w:p w14:paraId="2E6A95C2">
            <w:pPr>
              <w:widowControl/>
              <w:jc w:val="center"/>
              <w:textAlignment w:val="center"/>
              <w:rPr>
                <w:rFonts w:ascii="宋体" w:hAnsi="宋体" w:cs="宋体"/>
                <w:sz w:val="24"/>
              </w:rPr>
            </w:pPr>
            <w:r>
              <w:rPr>
                <w:rFonts w:hint="eastAsia" w:ascii="宋体" w:hAnsi="宋体" w:cs="宋体"/>
                <w:kern w:val="0"/>
                <w:sz w:val="24"/>
                <w:lang w:bidi="ar"/>
              </w:rPr>
              <w:t>3</w:t>
            </w:r>
          </w:p>
        </w:tc>
        <w:tc>
          <w:tcPr>
            <w:tcW w:w="1483" w:type="pct"/>
            <w:tcBorders>
              <w:top w:val="nil"/>
              <w:left w:val="single" w:color="000000" w:sz="8" w:space="0"/>
              <w:bottom w:val="single" w:color="000000" w:sz="8" w:space="0"/>
              <w:right w:val="single" w:color="000000" w:sz="8" w:space="0"/>
            </w:tcBorders>
            <w:vAlign w:val="center"/>
          </w:tcPr>
          <w:p w14:paraId="4A00024D">
            <w:pPr>
              <w:widowControl/>
              <w:jc w:val="left"/>
              <w:textAlignment w:val="center"/>
              <w:rPr>
                <w:rFonts w:ascii="宋体" w:hAnsi="宋体" w:cs="宋体"/>
                <w:sz w:val="24"/>
              </w:rPr>
            </w:pPr>
            <w:r>
              <w:rPr>
                <w:rFonts w:hint="eastAsia" w:ascii="宋体" w:hAnsi="宋体" w:cs="宋体"/>
                <w:kern w:val="0"/>
                <w:sz w:val="24"/>
                <w:lang w:bidi="ar"/>
              </w:rPr>
              <w:t>区电子政务外网城域网接入边界网关及防火墙服务</w:t>
            </w:r>
          </w:p>
        </w:tc>
        <w:tc>
          <w:tcPr>
            <w:tcW w:w="2644" w:type="pct"/>
            <w:tcBorders>
              <w:top w:val="nil"/>
              <w:left w:val="single" w:color="000000" w:sz="8" w:space="0"/>
              <w:bottom w:val="single" w:color="000000" w:sz="8" w:space="0"/>
              <w:right w:val="single" w:color="auto" w:sz="4" w:space="0"/>
            </w:tcBorders>
            <w:vAlign w:val="center"/>
          </w:tcPr>
          <w:p w14:paraId="7D65211B">
            <w:pPr>
              <w:widowControl/>
              <w:textAlignment w:val="center"/>
              <w:rPr>
                <w:rFonts w:ascii="宋体" w:hAnsi="宋体" w:cs="宋体"/>
                <w:sz w:val="24"/>
              </w:rPr>
            </w:pPr>
            <w:r>
              <w:rPr>
                <w:rFonts w:hint="eastAsia" w:ascii="宋体" w:hAnsi="宋体" w:cs="宋体"/>
                <w:kern w:val="0"/>
                <w:sz w:val="24"/>
                <w:lang w:bidi="ar"/>
              </w:rPr>
              <w:t>提供24</w:t>
            </w:r>
            <w:r>
              <w:rPr>
                <w:rFonts w:ascii="宋体" w:hAnsi="宋体" w:cs="宋体"/>
                <w:kern w:val="0"/>
                <w:sz w:val="24"/>
                <w:lang w:bidi="ar"/>
              </w:rPr>
              <w:t>个</w:t>
            </w:r>
            <w:r>
              <w:rPr>
                <w:rFonts w:hint="eastAsia" w:ascii="宋体" w:hAnsi="宋体" w:cs="宋体"/>
                <w:kern w:val="0"/>
                <w:sz w:val="24"/>
                <w:lang w:bidi="ar"/>
              </w:rPr>
              <w:t>接入</w:t>
            </w:r>
            <w:r>
              <w:rPr>
                <w:rFonts w:ascii="宋体" w:hAnsi="宋体" w:cs="宋体"/>
                <w:kern w:val="0"/>
                <w:sz w:val="24"/>
                <w:lang w:bidi="ar"/>
              </w:rPr>
              <w:t>点位的</w:t>
            </w:r>
            <w:r>
              <w:rPr>
                <w:rFonts w:hint="eastAsia" w:ascii="宋体" w:hAnsi="宋体" w:cs="宋体"/>
                <w:kern w:val="0"/>
                <w:sz w:val="24"/>
                <w:lang w:bidi="ar"/>
              </w:rPr>
              <w:t>电子政务外网安全域及防火墙设备运维服务。日常至少1周进行一次例行运维保障巡检。出现故障5分钟内响应，30分钟内恢复系统正常或给出应急处理办法；1小时内分析故障原因，提出问题分析及解决办法等。</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2BB4008C">
            <w:pPr>
              <w:widowControl/>
              <w:jc w:val="center"/>
              <w:textAlignment w:val="center"/>
              <w:rPr>
                <w:rFonts w:ascii="宋体" w:hAnsi="宋体" w:cs="宋体"/>
                <w:sz w:val="24"/>
              </w:rPr>
            </w:pPr>
          </w:p>
        </w:tc>
      </w:tr>
      <w:tr w14:paraId="06ED0DE7">
        <w:tblPrEx>
          <w:tblCellMar>
            <w:top w:w="0" w:type="dxa"/>
            <w:left w:w="108" w:type="dxa"/>
            <w:bottom w:w="0" w:type="dxa"/>
            <w:right w:w="108" w:type="dxa"/>
          </w:tblCellMar>
        </w:tblPrEx>
        <w:trPr>
          <w:trHeight w:val="870" w:hRule="atLeast"/>
          <w:jc w:val="center"/>
        </w:trPr>
        <w:tc>
          <w:tcPr>
            <w:tcW w:w="388" w:type="pct"/>
            <w:tcBorders>
              <w:top w:val="nil"/>
              <w:left w:val="single" w:color="000000" w:sz="8" w:space="0"/>
              <w:bottom w:val="single" w:color="000000" w:sz="8" w:space="0"/>
              <w:right w:val="single" w:color="000000" w:sz="8" w:space="0"/>
            </w:tcBorders>
            <w:vAlign w:val="center"/>
          </w:tcPr>
          <w:p w14:paraId="2C04D954">
            <w:pPr>
              <w:widowControl/>
              <w:jc w:val="center"/>
              <w:textAlignment w:val="center"/>
              <w:rPr>
                <w:rFonts w:ascii="宋体" w:hAnsi="宋体" w:cs="宋体"/>
                <w:kern w:val="0"/>
                <w:sz w:val="24"/>
                <w:lang w:bidi="ar"/>
              </w:rPr>
            </w:pPr>
            <w:r>
              <w:rPr>
                <w:rFonts w:hint="eastAsia" w:ascii="宋体" w:hAnsi="宋体" w:cs="宋体"/>
                <w:kern w:val="0"/>
                <w:sz w:val="24"/>
                <w:lang w:bidi="ar"/>
              </w:rPr>
              <w:t>4</w:t>
            </w:r>
          </w:p>
        </w:tc>
        <w:tc>
          <w:tcPr>
            <w:tcW w:w="1483" w:type="pct"/>
            <w:tcBorders>
              <w:top w:val="nil"/>
              <w:left w:val="single" w:color="000000" w:sz="8" w:space="0"/>
              <w:bottom w:val="single" w:color="000000" w:sz="8" w:space="0"/>
              <w:right w:val="single" w:color="000000" w:sz="8" w:space="0"/>
            </w:tcBorders>
            <w:vAlign w:val="center"/>
          </w:tcPr>
          <w:p w14:paraId="51122D87">
            <w:pPr>
              <w:widowControl/>
              <w:jc w:val="left"/>
              <w:textAlignment w:val="center"/>
              <w:rPr>
                <w:rFonts w:ascii="宋体" w:hAnsi="宋体" w:cs="宋体"/>
                <w:kern w:val="0"/>
                <w:sz w:val="24"/>
                <w:lang w:bidi="ar"/>
              </w:rPr>
            </w:pPr>
            <w:r>
              <w:rPr>
                <w:rFonts w:hint="eastAsia" w:ascii="宋体" w:hAnsi="宋体" w:cs="宋体"/>
                <w:kern w:val="0"/>
                <w:sz w:val="24"/>
                <w:lang w:bidi="ar"/>
              </w:rPr>
              <w:t>区电子政务外网VPN服务</w:t>
            </w:r>
          </w:p>
        </w:tc>
        <w:tc>
          <w:tcPr>
            <w:tcW w:w="2644" w:type="pct"/>
            <w:tcBorders>
              <w:top w:val="nil"/>
              <w:left w:val="single" w:color="000000" w:sz="8" w:space="0"/>
              <w:bottom w:val="single" w:color="000000" w:sz="8" w:space="0"/>
              <w:right w:val="single" w:color="auto" w:sz="4" w:space="0"/>
            </w:tcBorders>
            <w:vAlign w:val="center"/>
          </w:tcPr>
          <w:p w14:paraId="41696EDB">
            <w:pPr>
              <w:widowControl/>
              <w:textAlignment w:val="center"/>
              <w:rPr>
                <w:rFonts w:ascii="宋体" w:hAnsi="宋体" w:cs="宋体"/>
                <w:kern w:val="0"/>
                <w:sz w:val="24"/>
                <w:lang w:bidi="ar"/>
              </w:rPr>
            </w:pPr>
            <w:r>
              <w:rPr>
                <w:rFonts w:hint="eastAsia" w:ascii="宋体" w:hAnsi="宋体" w:cs="宋体"/>
                <w:kern w:val="0"/>
                <w:sz w:val="24"/>
                <w:lang w:bidi="ar"/>
              </w:rPr>
              <w:t>支持</w:t>
            </w:r>
            <w:r>
              <w:rPr>
                <w:rFonts w:ascii="宋体" w:hAnsi="宋体" w:cs="宋体"/>
                <w:kern w:val="0"/>
                <w:sz w:val="24"/>
                <w:lang w:bidi="ar"/>
              </w:rPr>
              <w:t>各</w:t>
            </w:r>
            <w:r>
              <w:rPr>
                <w:rFonts w:hint="eastAsia" w:ascii="宋体" w:hAnsi="宋体" w:cs="宋体"/>
                <w:kern w:val="0"/>
                <w:sz w:val="24"/>
                <w:lang w:bidi="ar"/>
              </w:rPr>
              <w:t>乡镇街道办VPN接入</w:t>
            </w:r>
            <w:r>
              <w:rPr>
                <w:rFonts w:ascii="宋体" w:hAnsi="宋体" w:cs="宋体"/>
                <w:kern w:val="0"/>
                <w:sz w:val="24"/>
                <w:lang w:bidi="ar"/>
              </w:rPr>
              <w:t>，</w:t>
            </w:r>
            <w:r>
              <w:rPr>
                <w:rFonts w:hint="eastAsia" w:ascii="宋体" w:hAnsi="宋体" w:cs="宋体"/>
                <w:kern w:val="0"/>
                <w:sz w:val="24"/>
                <w:lang w:bidi="ar"/>
              </w:rPr>
              <w:t>含60个终端授权。</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04CEA719">
            <w:pPr>
              <w:widowControl/>
              <w:jc w:val="center"/>
              <w:textAlignment w:val="center"/>
              <w:rPr>
                <w:rFonts w:ascii="宋体" w:hAnsi="宋体" w:cs="宋体"/>
                <w:sz w:val="24"/>
              </w:rPr>
            </w:pPr>
          </w:p>
        </w:tc>
      </w:tr>
      <w:tr w14:paraId="334AB6F2">
        <w:tblPrEx>
          <w:tblCellMar>
            <w:top w:w="0" w:type="dxa"/>
            <w:left w:w="108" w:type="dxa"/>
            <w:bottom w:w="0" w:type="dxa"/>
            <w:right w:w="108" w:type="dxa"/>
          </w:tblCellMar>
        </w:tblPrEx>
        <w:trPr>
          <w:trHeight w:val="870" w:hRule="atLeast"/>
          <w:jc w:val="center"/>
        </w:trPr>
        <w:tc>
          <w:tcPr>
            <w:tcW w:w="388" w:type="pct"/>
            <w:tcBorders>
              <w:top w:val="nil"/>
              <w:left w:val="single" w:color="000000" w:sz="8" w:space="0"/>
              <w:bottom w:val="single" w:color="000000" w:sz="8" w:space="0"/>
              <w:right w:val="single" w:color="000000" w:sz="8" w:space="0"/>
            </w:tcBorders>
            <w:vAlign w:val="center"/>
          </w:tcPr>
          <w:p w14:paraId="4F3B03A6">
            <w:pPr>
              <w:widowControl/>
              <w:jc w:val="center"/>
              <w:textAlignment w:val="center"/>
              <w:rPr>
                <w:rFonts w:ascii="宋体" w:hAnsi="宋体" w:cs="宋体"/>
                <w:sz w:val="24"/>
              </w:rPr>
            </w:pPr>
            <w:r>
              <w:rPr>
                <w:rFonts w:hint="eastAsia" w:ascii="宋体" w:hAnsi="宋体" w:cs="宋体"/>
                <w:kern w:val="0"/>
                <w:sz w:val="24"/>
                <w:lang w:bidi="ar"/>
              </w:rPr>
              <w:t>5</w:t>
            </w:r>
          </w:p>
        </w:tc>
        <w:tc>
          <w:tcPr>
            <w:tcW w:w="1483" w:type="pct"/>
            <w:tcBorders>
              <w:top w:val="nil"/>
              <w:left w:val="single" w:color="000000" w:sz="8" w:space="0"/>
              <w:bottom w:val="single" w:color="000000" w:sz="8" w:space="0"/>
              <w:right w:val="single" w:color="000000" w:sz="8" w:space="0"/>
            </w:tcBorders>
            <w:vAlign w:val="center"/>
          </w:tcPr>
          <w:p w14:paraId="2607E201">
            <w:pPr>
              <w:widowControl/>
              <w:jc w:val="left"/>
              <w:textAlignment w:val="center"/>
              <w:rPr>
                <w:rFonts w:ascii="宋体" w:hAnsi="宋体" w:cs="宋体"/>
                <w:sz w:val="24"/>
              </w:rPr>
            </w:pPr>
            <w:r>
              <w:rPr>
                <w:rFonts w:hint="eastAsia" w:ascii="宋体" w:hAnsi="宋体" w:cs="宋体"/>
                <w:kern w:val="0"/>
                <w:sz w:val="24"/>
                <w:lang w:bidi="ar"/>
              </w:rPr>
              <w:t>区电子政务外网《等保测评》服务</w:t>
            </w:r>
          </w:p>
        </w:tc>
        <w:tc>
          <w:tcPr>
            <w:tcW w:w="2644" w:type="pct"/>
            <w:tcBorders>
              <w:top w:val="nil"/>
              <w:left w:val="single" w:color="000000" w:sz="8" w:space="0"/>
              <w:bottom w:val="single" w:color="000000" w:sz="8" w:space="0"/>
              <w:right w:val="single" w:color="auto" w:sz="4" w:space="0"/>
            </w:tcBorders>
            <w:vAlign w:val="center"/>
          </w:tcPr>
          <w:p w14:paraId="17760D05">
            <w:pPr>
              <w:widowControl/>
              <w:textAlignment w:val="center"/>
              <w:rPr>
                <w:rFonts w:ascii="宋体" w:hAnsi="宋体" w:cs="宋体"/>
                <w:sz w:val="24"/>
              </w:rPr>
            </w:pPr>
            <w:r>
              <w:rPr>
                <w:rFonts w:hint="eastAsia" w:ascii="宋体" w:hAnsi="宋体" w:cs="宋体"/>
                <w:kern w:val="0"/>
                <w:sz w:val="24"/>
                <w:lang w:bidi="ar"/>
              </w:rPr>
              <w:t>按照《网络安全等级保护条例》要求，对区电子政务外网网络系统进行等级保护三级测评，并将取得相关部门的备案证书。</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26DE2553">
            <w:pPr>
              <w:widowControl/>
              <w:jc w:val="center"/>
              <w:textAlignment w:val="center"/>
              <w:rPr>
                <w:rFonts w:ascii="宋体" w:hAnsi="宋体" w:cs="宋体"/>
                <w:sz w:val="24"/>
              </w:rPr>
            </w:pPr>
          </w:p>
        </w:tc>
      </w:tr>
      <w:tr w14:paraId="0BF53CF3">
        <w:tblPrEx>
          <w:tblCellMar>
            <w:top w:w="0" w:type="dxa"/>
            <w:left w:w="108" w:type="dxa"/>
            <w:bottom w:w="0" w:type="dxa"/>
            <w:right w:w="108" w:type="dxa"/>
          </w:tblCellMar>
        </w:tblPrEx>
        <w:trPr>
          <w:trHeight w:val="1480" w:hRule="atLeast"/>
          <w:jc w:val="center"/>
        </w:trPr>
        <w:tc>
          <w:tcPr>
            <w:tcW w:w="388" w:type="pct"/>
            <w:tcBorders>
              <w:top w:val="nil"/>
              <w:left w:val="single" w:color="000000" w:sz="8" w:space="0"/>
              <w:bottom w:val="single" w:color="auto" w:sz="4" w:space="0"/>
              <w:right w:val="single" w:color="000000" w:sz="8" w:space="0"/>
            </w:tcBorders>
            <w:vAlign w:val="center"/>
          </w:tcPr>
          <w:p w14:paraId="54593AEE">
            <w:pPr>
              <w:widowControl/>
              <w:jc w:val="center"/>
              <w:textAlignment w:val="center"/>
              <w:rPr>
                <w:rFonts w:ascii="宋体" w:hAnsi="宋体" w:cs="宋体"/>
                <w:kern w:val="0"/>
                <w:sz w:val="24"/>
                <w:lang w:bidi="ar"/>
              </w:rPr>
            </w:pPr>
            <w:r>
              <w:rPr>
                <w:rFonts w:hint="eastAsia" w:ascii="宋体" w:hAnsi="宋体" w:cs="宋体"/>
                <w:kern w:val="0"/>
                <w:sz w:val="24"/>
                <w:lang w:bidi="ar"/>
              </w:rPr>
              <w:t>6</w:t>
            </w:r>
          </w:p>
        </w:tc>
        <w:tc>
          <w:tcPr>
            <w:tcW w:w="1483" w:type="pct"/>
            <w:tcBorders>
              <w:top w:val="nil"/>
              <w:left w:val="single" w:color="000000" w:sz="8" w:space="0"/>
              <w:bottom w:val="single" w:color="auto" w:sz="4" w:space="0"/>
              <w:right w:val="single" w:color="000000" w:sz="8" w:space="0"/>
            </w:tcBorders>
            <w:vAlign w:val="center"/>
          </w:tcPr>
          <w:p w14:paraId="7E368E34">
            <w:pPr>
              <w:pStyle w:val="24"/>
              <w:textAlignment w:val="center"/>
              <w:rPr>
                <w:rFonts w:ascii="宋体" w:hAnsi="宋体" w:cs="宋体"/>
                <w:kern w:val="2"/>
              </w:rPr>
            </w:pPr>
            <w:r>
              <w:rPr>
                <w:rFonts w:hint="eastAsia" w:ascii="宋体" w:hAnsi="宋体" w:eastAsia="宋体" w:cs="宋体"/>
                <w:lang w:bidi="ar"/>
              </w:rPr>
              <w:t>区电子政务外网安全监测平台</w:t>
            </w:r>
            <w:r>
              <w:rPr>
                <w:rFonts w:ascii="宋体" w:hAnsi="宋体" w:eastAsia="宋体" w:cs="宋体"/>
                <w:lang w:bidi="ar"/>
              </w:rPr>
              <w:t>设施及</w:t>
            </w:r>
            <w:r>
              <w:rPr>
                <w:rFonts w:hint="eastAsia" w:ascii="宋体" w:hAnsi="宋体" w:eastAsia="宋体" w:cs="宋体"/>
                <w:lang w:bidi="ar"/>
              </w:rPr>
              <w:t xml:space="preserve">运维服务 </w:t>
            </w:r>
          </w:p>
        </w:tc>
        <w:tc>
          <w:tcPr>
            <w:tcW w:w="2644" w:type="pct"/>
            <w:tcBorders>
              <w:top w:val="nil"/>
              <w:left w:val="single" w:color="000000" w:sz="8" w:space="0"/>
              <w:bottom w:val="single" w:color="auto" w:sz="4" w:space="0"/>
              <w:right w:val="single" w:color="auto" w:sz="4" w:space="0"/>
            </w:tcBorders>
            <w:vAlign w:val="center"/>
          </w:tcPr>
          <w:p w14:paraId="0DFA679D">
            <w:pPr>
              <w:widowControl/>
              <w:textAlignment w:val="center"/>
              <w:rPr>
                <w:rFonts w:ascii="宋体" w:hAnsi="宋体" w:cs="宋体"/>
                <w:sz w:val="24"/>
              </w:rPr>
            </w:pPr>
            <w:r>
              <w:rPr>
                <w:rFonts w:ascii="宋体" w:hAnsi="宋体" w:cs="宋体"/>
                <w:sz w:val="24"/>
              </w:rPr>
              <w:t>提供态势感知流量收集探针服务，安全事件报送服务、常规巡检服务、应急响应服务、安全培训服务、安全检查支撑服务</w:t>
            </w:r>
            <w:r>
              <w:rPr>
                <w:rFonts w:hint="eastAsia" w:ascii="宋体" w:hAnsi="宋体" w:cs="宋体"/>
                <w:sz w:val="24"/>
              </w:rPr>
              <w:t>、漏洞扫描服务</w:t>
            </w:r>
            <w:r>
              <w:rPr>
                <w:rFonts w:ascii="宋体" w:hAnsi="宋体" w:cs="宋体"/>
                <w:sz w:val="24"/>
              </w:rPr>
              <w:t>。</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5A65BC4A">
            <w:pPr>
              <w:widowControl/>
              <w:jc w:val="center"/>
              <w:textAlignment w:val="center"/>
              <w:rPr>
                <w:rFonts w:ascii="宋体" w:hAnsi="宋体" w:cs="宋体"/>
                <w:sz w:val="24"/>
              </w:rPr>
            </w:pPr>
          </w:p>
        </w:tc>
      </w:tr>
      <w:tr w14:paraId="1FF0B0F1">
        <w:tblPrEx>
          <w:tblCellMar>
            <w:top w:w="0" w:type="dxa"/>
            <w:left w:w="108" w:type="dxa"/>
            <w:bottom w:w="0" w:type="dxa"/>
            <w:right w:w="108" w:type="dxa"/>
          </w:tblCellMar>
        </w:tblPrEx>
        <w:trPr>
          <w:trHeight w:val="1100" w:hRule="atLeast"/>
          <w:jc w:val="center"/>
        </w:trPr>
        <w:tc>
          <w:tcPr>
            <w:tcW w:w="388" w:type="pct"/>
            <w:tcBorders>
              <w:top w:val="nil"/>
              <w:left w:val="single" w:color="000000" w:sz="8" w:space="0"/>
              <w:bottom w:val="single" w:color="auto" w:sz="4" w:space="0"/>
              <w:right w:val="single" w:color="000000" w:sz="8" w:space="0"/>
            </w:tcBorders>
            <w:vAlign w:val="center"/>
          </w:tcPr>
          <w:p w14:paraId="5A2FF67D">
            <w:pPr>
              <w:widowControl/>
              <w:jc w:val="center"/>
              <w:textAlignment w:val="center"/>
              <w:rPr>
                <w:rFonts w:ascii="宋体" w:hAnsi="宋体" w:cs="宋体"/>
                <w:sz w:val="24"/>
              </w:rPr>
            </w:pPr>
            <w:r>
              <w:rPr>
                <w:rFonts w:hint="eastAsia" w:ascii="宋体" w:hAnsi="宋体" w:cs="宋体"/>
                <w:kern w:val="0"/>
                <w:sz w:val="24"/>
                <w:lang w:bidi="ar"/>
              </w:rPr>
              <w:t>7</w:t>
            </w:r>
          </w:p>
        </w:tc>
        <w:tc>
          <w:tcPr>
            <w:tcW w:w="1483" w:type="pct"/>
            <w:tcBorders>
              <w:top w:val="nil"/>
              <w:left w:val="single" w:color="000000" w:sz="8" w:space="0"/>
              <w:bottom w:val="single" w:color="auto" w:sz="4" w:space="0"/>
              <w:right w:val="single" w:color="000000" w:sz="8" w:space="0"/>
            </w:tcBorders>
            <w:vAlign w:val="center"/>
          </w:tcPr>
          <w:p w14:paraId="7D100CCC">
            <w:pPr>
              <w:widowControl/>
              <w:jc w:val="left"/>
              <w:textAlignment w:val="center"/>
              <w:rPr>
                <w:rFonts w:ascii="宋体" w:hAnsi="宋体" w:cs="宋体"/>
                <w:sz w:val="24"/>
              </w:rPr>
            </w:pPr>
            <w:r>
              <w:rPr>
                <w:rFonts w:ascii="宋体" w:hAnsi="宋体" w:cs="宋体"/>
                <w:sz w:val="24"/>
              </w:rPr>
              <w:t>区</w:t>
            </w:r>
            <w:r>
              <w:rPr>
                <w:rFonts w:hint="eastAsia" w:ascii="宋体" w:hAnsi="宋体" w:cs="宋体"/>
                <w:sz w:val="24"/>
              </w:rPr>
              <w:t>政府门户网站服务</w:t>
            </w:r>
          </w:p>
        </w:tc>
        <w:tc>
          <w:tcPr>
            <w:tcW w:w="2644" w:type="pct"/>
            <w:tcBorders>
              <w:top w:val="nil"/>
              <w:left w:val="single" w:color="000000" w:sz="8" w:space="0"/>
              <w:bottom w:val="single" w:color="auto" w:sz="4" w:space="0"/>
              <w:right w:val="single" w:color="auto" w:sz="4" w:space="0"/>
            </w:tcBorders>
            <w:vAlign w:val="center"/>
          </w:tcPr>
          <w:p w14:paraId="6BC7E3D2">
            <w:pPr>
              <w:widowControl/>
              <w:textAlignment w:val="center"/>
              <w:rPr>
                <w:rFonts w:ascii="宋体" w:hAnsi="宋体" w:cs="宋体"/>
                <w:sz w:val="24"/>
              </w:rPr>
            </w:pPr>
            <w:r>
              <w:rPr>
                <w:rFonts w:ascii="宋体" w:hAnsi="宋体" w:cs="宋体"/>
                <w:sz w:val="24"/>
              </w:rPr>
              <w:t>区政府门户网站系统软硬件服务、区政府门户网站群系统符合国办新要求网站检测改版服务。</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6E7BD6EA">
            <w:pPr>
              <w:widowControl/>
              <w:jc w:val="center"/>
              <w:textAlignment w:val="center"/>
              <w:rPr>
                <w:rFonts w:ascii="宋体" w:hAnsi="宋体" w:cs="宋体"/>
                <w:sz w:val="24"/>
              </w:rPr>
            </w:pPr>
          </w:p>
        </w:tc>
      </w:tr>
      <w:tr w14:paraId="75F786F1">
        <w:tblPrEx>
          <w:tblCellMar>
            <w:top w:w="0" w:type="dxa"/>
            <w:left w:w="108" w:type="dxa"/>
            <w:bottom w:w="0" w:type="dxa"/>
            <w:right w:w="108" w:type="dxa"/>
          </w:tblCellMar>
        </w:tblPrEx>
        <w:trPr>
          <w:trHeight w:val="87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6FC0D09C">
            <w:pPr>
              <w:widowControl/>
              <w:jc w:val="center"/>
              <w:textAlignment w:val="center"/>
              <w:rPr>
                <w:rFonts w:ascii="宋体" w:hAnsi="宋体" w:cs="宋体"/>
                <w:kern w:val="0"/>
                <w:sz w:val="24"/>
                <w:lang w:bidi="ar"/>
              </w:rPr>
            </w:pPr>
            <w:r>
              <w:rPr>
                <w:rFonts w:hint="eastAsia" w:ascii="宋体" w:hAnsi="宋体" w:cs="宋体"/>
                <w:kern w:val="0"/>
                <w:sz w:val="24"/>
                <w:lang w:bidi="ar"/>
              </w:rPr>
              <w:t>8</w:t>
            </w:r>
          </w:p>
        </w:tc>
        <w:tc>
          <w:tcPr>
            <w:tcW w:w="1483" w:type="pct"/>
            <w:tcBorders>
              <w:top w:val="single" w:color="auto" w:sz="4" w:space="0"/>
              <w:left w:val="single" w:color="auto" w:sz="4" w:space="0"/>
              <w:bottom w:val="single" w:color="auto" w:sz="4" w:space="0"/>
              <w:right w:val="single" w:color="auto" w:sz="4" w:space="0"/>
            </w:tcBorders>
            <w:vAlign w:val="center"/>
          </w:tcPr>
          <w:p w14:paraId="530FE050">
            <w:pPr>
              <w:widowControl/>
              <w:jc w:val="left"/>
              <w:textAlignment w:val="center"/>
              <w:rPr>
                <w:rFonts w:ascii="宋体" w:hAnsi="宋体" w:cs="宋体"/>
                <w:sz w:val="24"/>
              </w:rPr>
            </w:pPr>
            <w:r>
              <w:rPr>
                <w:rFonts w:hint="eastAsia" w:ascii="宋体" w:hAnsi="宋体" w:cs="宋体"/>
                <w:kern w:val="0"/>
                <w:sz w:val="24"/>
                <w:lang w:bidi="ar"/>
              </w:rPr>
              <w:t>区政府门户网站《等保测评》服务</w:t>
            </w:r>
          </w:p>
        </w:tc>
        <w:tc>
          <w:tcPr>
            <w:tcW w:w="2644" w:type="pct"/>
            <w:tcBorders>
              <w:top w:val="single" w:color="auto" w:sz="4" w:space="0"/>
              <w:left w:val="single" w:color="auto" w:sz="4" w:space="0"/>
              <w:bottom w:val="single" w:color="auto" w:sz="4" w:space="0"/>
              <w:right w:val="single" w:color="auto" w:sz="4" w:space="0"/>
            </w:tcBorders>
            <w:vAlign w:val="center"/>
          </w:tcPr>
          <w:p w14:paraId="231D4FC8">
            <w:pPr>
              <w:widowControl/>
              <w:textAlignment w:val="center"/>
              <w:rPr>
                <w:rFonts w:ascii="宋体" w:hAnsi="宋体" w:cs="宋体"/>
                <w:sz w:val="24"/>
              </w:rPr>
            </w:pPr>
            <w:r>
              <w:rPr>
                <w:rFonts w:hint="eastAsia" w:ascii="宋体" w:hAnsi="宋体" w:cs="宋体"/>
                <w:kern w:val="0"/>
                <w:sz w:val="24"/>
                <w:lang w:bidi="ar"/>
              </w:rPr>
              <w:t>按照《网络安全等级保护条例》要求，对区门户网站系统进行等级保护三级测评，并将取得相关部门的备案证书。</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368A62A8">
            <w:pPr>
              <w:widowControl/>
              <w:jc w:val="center"/>
              <w:textAlignment w:val="center"/>
              <w:rPr>
                <w:rFonts w:ascii="宋体" w:hAnsi="宋体" w:cs="宋体"/>
                <w:sz w:val="24"/>
              </w:rPr>
            </w:pPr>
          </w:p>
        </w:tc>
      </w:tr>
      <w:tr w14:paraId="51863894">
        <w:tblPrEx>
          <w:tblCellMar>
            <w:top w:w="0" w:type="dxa"/>
            <w:left w:w="108" w:type="dxa"/>
            <w:bottom w:w="0" w:type="dxa"/>
            <w:right w:w="108" w:type="dxa"/>
          </w:tblCellMar>
        </w:tblPrEx>
        <w:trPr>
          <w:trHeight w:val="87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3400C96E">
            <w:pPr>
              <w:widowControl/>
              <w:jc w:val="center"/>
              <w:textAlignment w:val="center"/>
              <w:rPr>
                <w:rFonts w:ascii="宋体" w:hAnsi="宋体" w:cs="宋体"/>
                <w:kern w:val="0"/>
                <w:sz w:val="24"/>
                <w:lang w:bidi="ar"/>
              </w:rPr>
            </w:pPr>
            <w:r>
              <w:rPr>
                <w:rFonts w:hint="eastAsia" w:ascii="宋体" w:hAnsi="宋体" w:cs="宋体"/>
                <w:kern w:val="0"/>
                <w:sz w:val="24"/>
                <w:lang w:bidi="ar"/>
              </w:rPr>
              <w:t>9</w:t>
            </w:r>
          </w:p>
        </w:tc>
        <w:tc>
          <w:tcPr>
            <w:tcW w:w="1483" w:type="pct"/>
            <w:tcBorders>
              <w:top w:val="single" w:color="auto" w:sz="4" w:space="0"/>
              <w:left w:val="single" w:color="auto" w:sz="4" w:space="0"/>
              <w:bottom w:val="single" w:color="auto" w:sz="4" w:space="0"/>
              <w:right w:val="single" w:color="auto" w:sz="4" w:space="0"/>
            </w:tcBorders>
            <w:vAlign w:val="center"/>
          </w:tcPr>
          <w:p w14:paraId="1D3C60CC">
            <w:pPr>
              <w:widowControl/>
              <w:jc w:val="left"/>
              <w:textAlignment w:val="center"/>
              <w:rPr>
                <w:rFonts w:ascii="宋体" w:hAnsi="宋体" w:cs="宋体"/>
                <w:sz w:val="24"/>
              </w:rPr>
            </w:pPr>
            <w:r>
              <w:rPr>
                <w:rFonts w:ascii="宋体" w:hAnsi="宋体" w:cs="宋体"/>
                <w:sz w:val="24"/>
              </w:rPr>
              <w:t>撤线组网改造服务</w:t>
            </w:r>
          </w:p>
        </w:tc>
        <w:tc>
          <w:tcPr>
            <w:tcW w:w="2644" w:type="pct"/>
            <w:tcBorders>
              <w:top w:val="single" w:color="auto" w:sz="4" w:space="0"/>
              <w:left w:val="single" w:color="auto" w:sz="4" w:space="0"/>
              <w:bottom w:val="single" w:color="auto" w:sz="4" w:space="0"/>
              <w:right w:val="single" w:color="auto" w:sz="4" w:space="0"/>
            </w:tcBorders>
            <w:vAlign w:val="center"/>
          </w:tcPr>
          <w:p w14:paraId="305A31CD">
            <w:pPr>
              <w:widowControl/>
              <w:jc w:val="left"/>
              <w:textAlignment w:val="center"/>
              <w:rPr>
                <w:rFonts w:ascii="宋体" w:hAnsi="宋体" w:cs="宋体"/>
                <w:sz w:val="24"/>
              </w:rPr>
            </w:pPr>
            <w:r>
              <w:rPr>
                <w:rFonts w:ascii="宋体" w:hAnsi="宋体" w:cs="宋体"/>
                <w:sz w:val="24"/>
              </w:rPr>
              <w:t>根据要求完成</w:t>
            </w:r>
            <w:r>
              <w:rPr>
                <w:rFonts w:hint="eastAsia" w:ascii="宋体" w:hAnsi="宋体" w:cs="宋体"/>
                <w:sz w:val="24"/>
              </w:rPr>
              <w:t>新城区</w:t>
            </w:r>
            <w:r>
              <w:rPr>
                <w:rFonts w:ascii="宋体" w:hAnsi="宋体" w:cs="宋体"/>
                <w:sz w:val="24"/>
              </w:rPr>
              <w:t xml:space="preserve">现有办公业务资源网撤线组网的改造实施工作， 并根据要求投建响应的必备设备（资源管控平台、多网融合网关、 </w:t>
            </w:r>
          </w:p>
          <w:p w14:paraId="0F354816">
            <w:pPr>
              <w:widowControl/>
              <w:jc w:val="left"/>
              <w:textAlignment w:val="center"/>
              <w:rPr>
                <w:rFonts w:ascii="宋体" w:hAnsi="宋体" w:cs="宋体"/>
                <w:sz w:val="24"/>
              </w:rPr>
            </w:pPr>
            <w:r>
              <w:rPr>
                <w:rFonts w:ascii="宋体" w:hAnsi="宋体" w:cs="宋体"/>
                <w:sz w:val="24"/>
              </w:rPr>
              <w:t>身份认证平台），所投建设备必须满足与市级平台的对接要求，实现办公业务资源网虚拟专网资源访问、身份鉴别、跨域切换等权限与市级平台的联动和对接，确保虚拟专网的安全。</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0A1B39D4">
            <w:pPr>
              <w:widowControl/>
              <w:jc w:val="center"/>
              <w:textAlignment w:val="center"/>
              <w:rPr>
                <w:rFonts w:ascii="宋体" w:hAnsi="宋体" w:cs="宋体"/>
                <w:sz w:val="24"/>
              </w:rPr>
            </w:pPr>
          </w:p>
        </w:tc>
      </w:tr>
      <w:tr w14:paraId="24BF48CF">
        <w:tblPrEx>
          <w:tblCellMar>
            <w:top w:w="0" w:type="dxa"/>
            <w:left w:w="108" w:type="dxa"/>
            <w:bottom w:w="0" w:type="dxa"/>
            <w:right w:w="108" w:type="dxa"/>
          </w:tblCellMar>
        </w:tblPrEx>
        <w:trPr>
          <w:trHeight w:val="87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2535794F">
            <w:pPr>
              <w:widowControl/>
              <w:jc w:val="center"/>
              <w:textAlignment w:val="center"/>
              <w:rPr>
                <w:rFonts w:ascii="宋体" w:hAnsi="宋体" w:cs="宋体"/>
                <w:kern w:val="0"/>
                <w:sz w:val="24"/>
                <w:lang w:bidi="ar"/>
              </w:rPr>
            </w:pPr>
            <w:r>
              <w:rPr>
                <w:rFonts w:hint="eastAsia" w:ascii="宋体" w:hAnsi="宋体" w:cs="宋体"/>
                <w:kern w:val="0"/>
                <w:sz w:val="24"/>
                <w:lang w:bidi="ar"/>
              </w:rPr>
              <w:t>10</w:t>
            </w:r>
          </w:p>
        </w:tc>
        <w:tc>
          <w:tcPr>
            <w:tcW w:w="1483" w:type="pct"/>
            <w:tcBorders>
              <w:top w:val="single" w:color="auto" w:sz="4" w:space="0"/>
              <w:left w:val="single" w:color="auto" w:sz="4" w:space="0"/>
              <w:bottom w:val="single" w:color="auto" w:sz="4" w:space="0"/>
              <w:right w:val="single" w:color="auto" w:sz="4" w:space="0"/>
            </w:tcBorders>
            <w:vAlign w:val="center"/>
          </w:tcPr>
          <w:p w14:paraId="0F7B82A0">
            <w:pPr>
              <w:widowControl/>
              <w:jc w:val="left"/>
              <w:textAlignment w:val="center"/>
              <w:rPr>
                <w:rFonts w:ascii="宋体" w:hAnsi="宋体" w:cs="宋体"/>
                <w:sz w:val="24"/>
              </w:rPr>
            </w:pPr>
            <w:r>
              <w:rPr>
                <w:rFonts w:hint="eastAsia" w:ascii="宋体" w:hAnsi="宋体" w:cs="宋体"/>
                <w:sz w:val="24"/>
              </w:rPr>
              <w:t>撤线组网改造线路铺设</w:t>
            </w:r>
            <w:r>
              <w:rPr>
                <w:rFonts w:ascii="宋体" w:hAnsi="宋体" w:cs="宋体"/>
                <w:sz w:val="24"/>
              </w:rPr>
              <w:t>服务</w:t>
            </w:r>
          </w:p>
        </w:tc>
        <w:tc>
          <w:tcPr>
            <w:tcW w:w="2644" w:type="pct"/>
            <w:tcBorders>
              <w:top w:val="single" w:color="auto" w:sz="4" w:space="0"/>
              <w:left w:val="single" w:color="auto" w:sz="4" w:space="0"/>
              <w:bottom w:val="single" w:color="auto" w:sz="4" w:space="0"/>
              <w:right w:val="single" w:color="auto" w:sz="4" w:space="0"/>
            </w:tcBorders>
            <w:vAlign w:val="center"/>
          </w:tcPr>
          <w:p w14:paraId="104EED13">
            <w:pPr>
              <w:widowControl/>
              <w:textAlignment w:val="center"/>
              <w:rPr>
                <w:rFonts w:ascii="宋体" w:hAnsi="宋体" w:cs="宋体"/>
                <w:sz w:val="24"/>
              </w:rPr>
            </w:pPr>
            <w:r>
              <w:rPr>
                <w:rFonts w:hint="eastAsia" w:ascii="宋体" w:hAnsi="宋体" w:cs="宋体"/>
                <w:sz w:val="24"/>
              </w:rPr>
              <w:t>包含30条电子政务外网接入网关的办公业务资源网业务至一台终端线路铺设。</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3EE9A72D">
            <w:pPr>
              <w:widowControl/>
              <w:jc w:val="center"/>
              <w:textAlignment w:val="center"/>
              <w:rPr>
                <w:rFonts w:ascii="宋体" w:hAnsi="宋体" w:cs="宋体"/>
                <w:sz w:val="24"/>
              </w:rPr>
            </w:pPr>
          </w:p>
        </w:tc>
      </w:tr>
      <w:tr w14:paraId="685A026C">
        <w:tblPrEx>
          <w:tblCellMar>
            <w:top w:w="0" w:type="dxa"/>
            <w:left w:w="108" w:type="dxa"/>
            <w:bottom w:w="0" w:type="dxa"/>
            <w:right w:w="108" w:type="dxa"/>
          </w:tblCellMar>
        </w:tblPrEx>
        <w:trPr>
          <w:trHeight w:val="87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5958F069">
            <w:pPr>
              <w:widowControl/>
              <w:jc w:val="center"/>
              <w:textAlignment w:val="center"/>
              <w:rPr>
                <w:rFonts w:ascii="宋体" w:hAnsi="宋体" w:cs="宋体"/>
                <w:kern w:val="0"/>
                <w:sz w:val="24"/>
                <w:lang w:bidi="ar"/>
              </w:rPr>
            </w:pPr>
            <w:r>
              <w:rPr>
                <w:rFonts w:hint="eastAsia" w:ascii="宋体" w:hAnsi="宋体" w:cs="宋体"/>
                <w:kern w:val="0"/>
                <w:sz w:val="24"/>
                <w:lang w:bidi="ar"/>
              </w:rPr>
              <w:t>11</w:t>
            </w:r>
          </w:p>
        </w:tc>
        <w:tc>
          <w:tcPr>
            <w:tcW w:w="1483" w:type="pct"/>
            <w:tcBorders>
              <w:top w:val="single" w:color="auto" w:sz="4" w:space="0"/>
              <w:left w:val="single" w:color="auto" w:sz="4" w:space="0"/>
              <w:bottom w:val="single" w:color="auto" w:sz="4" w:space="0"/>
              <w:right w:val="single" w:color="auto" w:sz="4" w:space="0"/>
            </w:tcBorders>
            <w:vAlign w:val="center"/>
          </w:tcPr>
          <w:p w14:paraId="440BC35C">
            <w:pPr>
              <w:widowControl/>
              <w:jc w:val="left"/>
              <w:textAlignment w:val="center"/>
              <w:rPr>
                <w:rFonts w:ascii="宋体" w:hAnsi="宋体" w:cs="宋体"/>
                <w:kern w:val="0"/>
                <w:sz w:val="24"/>
                <w:lang w:bidi="ar"/>
              </w:rPr>
            </w:pPr>
            <w:r>
              <w:rPr>
                <w:rFonts w:hint="eastAsia" w:ascii="宋体" w:hAnsi="宋体" w:cs="宋体"/>
                <w:sz w:val="24"/>
              </w:rPr>
              <w:t>办公业务资源网终端安全管理</w:t>
            </w:r>
            <w:r>
              <w:rPr>
                <w:rFonts w:ascii="宋体" w:hAnsi="宋体" w:cs="宋体"/>
                <w:sz w:val="24"/>
              </w:rPr>
              <w:t>授权服务</w:t>
            </w:r>
          </w:p>
        </w:tc>
        <w:tc>
          <w:tcPr>
            <w:tcW w:w="2644" w:type="pct"/>
            <w:tcBorders>
              <w:top w:val="single" w:color="auto" w:sz="4" w:space="0"/>
              <w:left w:val="single" w:color="auto" w:sz="4" w:space="0"/>
              <w:bottom w:val="single" w:color="auto" w:sz="4" w:space="0"/>
              <w:right w:val="single" w:color="auto" w:sz="4" w:space="0"/>
            </w:tcBorders>
            <w:vAlign w:val="center"/>
          </w:tcPr>
          <w:p w14:paraId="12528AC0">
            <w:pPr>
              <w:widowControl/>
              <w:textAlignment w:val="center"/>
              <w:rPr>
                <w:rFonts w:ascii="宋体" w:hAnsi="宋体" w:cs="宋体"/>
                <w:sz w:val="24"/>
              </w:rPr>
            </w:pPr>
            <w:r>
              <w:rPr>
                <w:rFonts w:ascii="宋体" w:hAnsi="宋体" w:cs="宋体"/>
                <w:sz w:val="24"/>
              </w:rPr>
              <w:t>含</w:t>
            </w:r>
            <w:r>
              <w:rPr>
                <w:rFonts w:hint="eastAsia" w:ascii="宋体" w:hAnsi="宋体" w:cs="宋体"/>
                <w:sz w:val="24"/>
              </w:rPr>
              <w:t>100</w:t>
            </w:r>
            <w:r>
              <w:rPr>
                <w:rFonts w:ascii="宋体" w:hAnsi="宋体" w:cs="宋体"/>
                <w:sz w:val="24"/>
              </w:rPr>
              <w:t>个</w:t>
            </w:r>
            <w:r>
              <w:rPr>
                <w:rFonts w:hint="eastAsia" w:ascii="宋体" w:hAnsi="宋体" w:cs="宋体"/>
                <w:sz w:val="24"/>
              </w:rPr>
              <w:t>防病毒</w:t>
            </w:r>
            <w:r>
              <w:rPr>
                <w:rFonts w:ascii="宋体" w:hAnsi="宋体" w:cs="宋体"/>
                <w:sz w:val="24"/>
              </w:rPr>
              <w:t>客户端授权，</w:t>
            </w:r>
            <w:r>
              <w:rPr>
                <w:rFonts w:hint="eastAsia" w:ascii="宋体" w:hAnsi="宋体" w:cs="宋体"/>
                <w:sz w:val="24"/>
              </w:rPr>
              <w:t>100个零信任客户端授权，为办公业务资源网终端提供防病毒功能、统一管控等；</w:t>
            </w:r>
            <w:r>
              <w:rPr>
                <w:rFonts w:ascii="宋体" w:hAnsi="宋体" w:cs="宋体"/>
                <w:sz w:val="24"/>
              </w:rPr>
              <w:t>支持并实现与市级接入授权认证对接，实现一体化的运维和接入授权监控。接入办公业务资源网虚拟专网必备的安全和运维要求。</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03A19190">
            <w:pPr>
              <w:widowControl/>
              <w:jc w:val="center"/>
              <w:textAlignment w:val="center"/>
              <w:rPr>
                <w:rFonts w:ascii="宋体" w:hAnsi="宋体" w:cs="宋体"/>
                <w:sz w:val="24"/>
              </w:rPr>
            </w:pPr>
          </w:p>
        </w:tc>
      </w:tr>
      <w:tr w14:paraId="480087FB">
        <w:tblPrEx>
          <w:tblCellMar>
            <w:top w:w="0" w:type="dxa"/>
            <w:left w:w="108" w:type="dxa"/>
            <w:bottom w:w="0" w:type="dxa"/>
            <w:right w:w="108" w:type="dxa"/>
          </w:tblCellMar>
        </w:tblPrEx>
        <w:trPr>
          <w:trHeight w:val="87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601BE384">
            <w:pPr>
              <w:widowControl/>
              <w:jc w:val="center"/>
              <w:textAlignment w:val="center"/>
              <w:rPr>
                <w:rFonts w:ascii="宋体" w:hAnsi="宋体" w:cs="宋体"/>
                <w:kern w:val="0"/>
                <w:sz w:val="24"/>
                <w:lang w:bidi="ar"/>
              </w:rPr>
            </w:pPr>
            <w:r>
              <w:rPr>
                <w:rFonts w:hint="eastAsia" w:ascii="宋体" w:hAnsi="宋体" w:cs="宋体"/>
                <w:kern w:val="0"/>
                <w:sz w:val="24"/>
                <w:lang w:bidi="ar"/>
              </w:rPr>
              <w:t>13</w:t>
            </w:r>
          </w:p>
        </w:tc>
        <w:tc>
          <w:tcPr>
            <w:tcW w:w="1483" w:type="pct"/>
            <w:tcBorders>
              <w:top w:val="single" w:color="auto" w:sz="4" w:space="0"/>
              <w:left w:val="single" w:color="auto" w:sz="4" w:space="0"/>
              <w:bottom w:val="single" w:color="auto" w:sz="4" w:space="0"/>
              <w:right w:val="single" w:color="auto" w:sz="4" w:space="0"/>
            </w:tcBorders>
            <w:vAlign w:val="center"/>
          </w:tcPr>
          <w:p w14:paraId="28F42994">
            <w:pPr>
              <w:widowControl/>
              <w:jc w:val="left"/>
              <w:textAlignment w:val="center"/>
              <w:rPr>
                <w:rFonts w:ascii="宋体" w:hAnsi="宋体" w:cs="宋体"/>
                <w:sz w:val="24"/>
              </w:rPr>
            </w:pPr>
            <w:r>
              <w:rPr>
                <w:rFonts w:hint="eastAsia" w:ascii="宋体" w:hAnsi="宋体" w:cs="宋体"/>
                <w:sz w:val="24"/>
              </w:rPr>
              <w:t xml:space="preserve">区政府办公业务资源网 </w:t>
            </w:r>
          </w:p>
          <w:p w14:paraId="39EBD873">
            <w:pPr>
              <w:widowControl/>
              <w:jc w:val="left"/>
              <w:textAlignment w:val="center"/>
              <w:rPr>
                <w:rFonts w:ascii="宋体" w:hAnsi="宋体" w:cs="宋体"/>
                <w:sz w:val="24"/>
              </w:rPr>
            </w:pPr>
            <w:r>
              <w:rPr>
                <w:rFonts w:hint="eastAsia" w:ascii="宋体" w:hAnsi="宋体" w:cs="宋体"/>
                <w:sz w:val="24"/>
              </w:rPr>
              <w:t>办公OA</w:t>
            </w:r>
            <w:r>
              <w:rPr>
                <w:rFonts w:ascii="宋体" w:hAnsi="宋体" w:cs="宋体"/>
                <w:sz w:val="24"/>
              </w:rPr>
              <w:t>平台运维服务</w:t>
            </w:r>
          </w:p>
          <w:p w14:paraId="27DB8AC5">
            <w:pPr>
              <w:widowControl/>
              <w:jc w:val="center"/>
              <w:textAlignment w:val="center"/>
              <w:rPr>
                <w:rFonts w:ascii="宋体" w:hAnsi="宋体" w:cs="宋体"/>
                <w:kern w:val="0"/>
                <w:sz w:val="24"/>
                <w:lang w:bidi="ar"/>
              </w:rPr>
            </w:pPr>
          </w:p>
        </w:tc>
        <w:tc>
          <w:tcPr>
            <w:tcW w:w="2644" w:type="pct"/>
            <w:tcBorders>
              <w:top w:val="single" w:color="auto" w:sz="4" w:space="0"/>
              <w:left w:val="single" w:color="auto" w:sz="4" w:space="0"/>
              <w:bottom w:val="single" w:color="auto" w:sz="4" w:space="0"/>
              <w:right w:val="single" w:color="auto" w:sz="4" w:space="0"/>
            </w:tcBorders>
            <w:vAlign w:val="center"/>
          </w:tcPr>
          <w:p w14:paraId="2C677CFC">
            <w:pPr>
              <w:widowControl/>
              <w:textAlignment w:val="center"/>
              <w:rPr>
                <w:rFonts w:ascii="宋体" w:hAnsi="宋体" w:cs="宋体"/>
                <w:sz w:val="24"/>
              </w:rPr>
            </w:pPr>
            <w:r>
              <w:rPr>
                <w:rFonts w:ascii="宋体" w:hAnsi="宋体" w:cs="宋体"/>
                <w:sz w:val="24"/>
              </w:rPr>
              <w:t>针对全区</w:t>
            </w:r>
            <w:r>
              <w:rPr>
                <w:rFonts w:hint="eastAsia" w:ascii="宋体" w:hAnsi="宋体" w:cs="宋体"/>
                <w:sz w:val="24"/>
              </w:rPr>
              <w:t>办公业务资源网</w:t>
            </w:r>
            <w:r>
              <w:rPr>
                <w:rFonts w:ascii="宋体" w:hAnsi="宋体" w:cs="宋体"/>
                <w:sz w:val="24"/>
              </w:rPr>
              <w:t>项目53个政府平台运维点位涉及的软硬件设施的日常运维服务，日常至少1周进行一次例行运维保障巡检。出现故障即时响应，2小时内安排人员加急处理。</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1932AC16">
            <w:pPr>
              <w:widowControl/>
              <w:jc w:val="center"/>
              <w:textAlignment w:val="center"/>
              <w:rPr>
                <w:rFonts w:ascii="宋体" w:hAnsi="宋体" w:cs="宋体"/>
                <w:sz w:val="24"/>
              </w:rPr>
            </w:pPr>
          </w:p>
        </w:tc>
      </w:tr>
      <w:tr w14:paraId="2811F0C3">
        <w:tblPrEx>
          <w:tblCellMar>
            <w:top w:w="0" w:type="dxa"/>
            <w:left w:w="108" w:type="dxa"/>
            <w:bottom w:w="0" w:type="dxa"/>
            <w:right w:w="108" w:type="dxa"/>
          </w:tblCellMar>
        </w:tblPrEx>
        <w:trPr>
          <w:trHeight w:val="87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576D86AB">
            <w:pPr>
              <w:widowControl/>
              <w:jc w:val="center"/>
              <w:textAlignment w:val="center"/>
              <w:rPr>
                <w:rFonts w:ascii="宋体" w:hAnsi="宋体" w:cs="宋体"/>
                <w:kern w:val="0"/>
                <w:sz w:val="24"/>
                <w:lang w:bidi="ar"/>
              </w:rPr>
            </w:pPr>
            <w:r>
              <w:rPr>
                <w:rFonts w:hint="eastAsia" w:ascii="宋体" w:hAnsi="宋体" w:cs="宋体"/>
                <w:kern w:val="0"/>
                <w:sz w:val="24"/>
                <w:lang w:bidi="ar"/>
              </w:rPr>
              <w:t>14</w:t>
            </w:r>
          </w:p>
        </w:tc>
        <w:tc>
          <w:tcPr>
            <w:tcW w:w="1483" w:type="pct"/>
            <w:tcBorders>
              <w:top w:val="single" w:color="auto" w:sz="4" w:space="0"/>
              <w:left w:val="single" w:color="auto" w:sz="4" w:space="0"/>
              <w:bottom w:val="single" w:color="auto" w:sz="4" w:space="0"/>
              <w:right w:val="single" w:color="auto" w:sz="4" w:space="0"/>
            </w:tcBorders>
            <w:vAlign w:val="center"/>
          </w:tcPr>
          <w:p w14:paraId="1FD429D6">
            <w:pPr>
              <w:widowControl/>
              <w:jc w:val="left"/>
              <w:textAlignment w:val="center"/>
              <w:rPr>
                <w:rFonts w:ascii="宋体" w:hAnsi="宋体" w:cs="宋体"/>
                <w:sz w:val="24"/>
              </w:rPr>
            </w:pPr>
            <w:r>
              <w:rPr>
                <w:rFonts w:hint="eastAsia" w:ascii="宋体" w:hAnsi="宋体" w:cs="宋体"/>
                <w:sz w:val="24"/>
              </w:rPr>
              <w:t>区政务办公业务资源网OA平台软硬件</w:t>
            </w:r>
            <w:r>
              <w:rPr>
                <w:rFonts w:ascii="宋体" w:hAnsi="宋体" w:cs="宋体"/>
                <w:sz w:val="24"/>
              </w:rPr>
              <w:t>支撑平台服务</w:t>
            </w:r>
          </w:p>
          <w:p w14:paraId="2955B6CF">
            <w:pPr>
              <w:widowControl/>
              <w:jc w:val="center"/>
              <w:textAlignment w:val="center"/>
              <w:rPr>
                <w:rFonts w:ascii="宋体" w:hAnsi="宋体" w:cs="宋体"/>
                <w:kern w:val="0"/>
                <w:sz w:val="24"/>
                <w:lang w:bidi="ar"/>
              </w:rPr>
            </w:pPr>
          </w:p>
        </w:tc>
        <w:tc>
          <w:tcPr>
            <w:tcW w:w="2644" w:type="pct"/>
            <w:tcBorders>
              <w:top w:val="single" w:color="auto" w:sz="4" w:space="0"/>
              <w:left w:val="single" w:color="auto" w:sz="4" w:space="0"/>
              <w:bottom w:val="single" w:color="auto" w:sz="4" w:space="0"/>
              <w:right w:val="single" w:color="auto" w:sz="4" w:space="0"/>
            </w:tcBorders>
            <w:vAlign w:val="center"/>
          </w:tcPr>
          <w:p w14:paraId="5852E24A">
            <w:pPr>
              <w:widowControl/>
              <w:textAlignment w:val="center"/>
              <w:rPr>
                <w:rFonts w:ascii="宋体" w:hAnsi="宋体" w:cs="宋体"/>
                <w:sz w:val="24"/>
              </w:rPr>
            </w:pPr>
            <w:r>
              <w:rPr>
                <w:rFonts w:hint="eastAsia" w:ascii="宋体" w:hAnsi="宋体"/>
                <w:kern w:val="0"/>
                <w:sz w:val="24"/>
              </w:rPr>
              <w:t>提供政府政务办公云平台运行所需的软硬件支撑服务，服务包括计算、存储、运行内存、数据库、中间件等软硬件基础支撑资源，其中，基础支撑软硬件要按照相关国家标准要求，符合国产化的适配要求。</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7EC00878">
            <w:pPr>
              <w:widowControl/>
              <w:jc w:val="center"/>
              <w:textAlignment w:val="center"/>
              <w:rPr>
                <w:rFonts w:ascii="宋体" w:hAnsi="宋体" w:cs="宋体"/>
                <w:sz w:val="24"/>
              </w:rPr>
            </w:pPr>
          </w:p>
        </w:tc>
      </w:tr>
      <w:tr w14:paraId="26FBBF8D">
        <w:tblPrEx>
          <w:tblCellMar>
            <w:top w:w="0" w:type="dxa"/>
            <w:left w:w="108" w:type="dxa"/>
            <w:bottom w:w="0" w:type="dxa"/>
            <w:right w:w="108" w:type="dxa"/>
          </w:tblCellMar>
        </w:tblPrEx>
        <w:trPr>
          <w:trHeight w:val="87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534E2468">
            <w:pPr>
              <w:widowControl/>
              <w:jc w:val="center"/>
              <w:textAlignment w:val="center"/>
              <w:rPr>
                <w:rFonts w:ascii="宋体" w:hAnsi="宋体" w:cs="宋体"/>
                <w:kern w:val="0"/>
                <w:sz w:val="24"/>
                <w:lang w:bidi="ar"/>
              </w:rPr>
            </w:pPr>
            <w:r>
              <w:rPr>
                <w:rFonts w:hint="eastAsia" w:ascii="宋体" w:hAnsi="宋体" w:cs="宋体"/>
                <w:kern w:val="0"/>
                <w:sz w:val="24"/>
                <w:lang w:bidi="ar"/>
              </w:rPr>
              <w:t>15</w:t>
            </w:r>
          </w:p>
        </w:tc>
        <w:tc>
          <w:tcPr>
            <w:tcW w:w="1483" w:type="pct"/>
            <w:tcBorders>
              <w:top w:val="single" w:color="auto" w:sz="4" w:space="0"/>
              <w:left w:val="single" w:color="auto" w:sz="4" w:space="0"/>
              <w:bottom w:val="single" w:color="auto" w:sz="4" w:space="0"/>
              <w:right w:val="single" w:color="auto" w:sz="4" w:space="0"/>
            </w:tcBorders>
            <w:vAlign w:val="center"/>
          </w:tcPr>
          <w:p w14:paraId="77D79321">
            <w:pPr>
              <w:widowControl/>
              <w:jc w:val="center"/>
              <w:textAlignment w:val="center"/>
              <w:rPr>
                <w:rFonts w:ascii="宋体" w:hAnsi="宋体" w:cs="宋体"/>
                <w:kern w:val="0"/>
                <w:sz w:val="24"/>
                <w:lang w:bidi="ar"/>
              </w:rPr>
            </w:pPr>
            <w:r>
              <w:rPr>
                <w:rFonts w:hint="eastAsia" w:ascii="宋体" w:hAnsi="宋体" w:cs="宋体"/>
                <w:kern w:val="0"/>
                <w:sz w:val="24"/>
                <w:lang w:bidi="ar"/>
              </w:rPr>
              <w:t xml:space="preserve">区政务办公平台应用软件授权服务 </w:t>
            </w:r>
          </w:p>
        </w:tc>
        <w:tc>
          <w:tcPr>
            <w:tcW w:w="2644" w:type="pct"/>
            <w:tcBorders>
              <w:top w:val="single" w:color="auto" w:sz="4" w:space="0"/>
              <w:left w:val="single" w:color="auto" w:sz="4" w:space="0"/>
              <w:bottom w:val="single" w:color="auto" w:sz="4" w:space="0"/>
              <w:right w:val="single" w:color="auto" w:sz="4" w:space="0"/>
            </w:tcBorders>
            <w:vAlign w:val="center"/>
          </w:tcPr>
          <w:p w14:paraId="243441AA">
            <w:pPr>
              <w:widowControl/>
              <w:textAlignment w:val="center"/>
              <w:rPr>
                <w:rFonts w:ascii="宋体" w:hAnsi="宋体" w:cs="宋体"/>
                <w:sz w:val="24"/>
              </w:rPr>
            </w:pPr>
            <w:r>
              <w:rPr>
                <w:rFonts w:ascii="宋体" w:hAnsi="宋体" w:cs="宋体"/>
                <w:sz w:val="24"/>
              </w:rPr>
              <w:t>政务办公平台应用软件服务，包括一体化协同办公平台、公文传输平台、督察督办平台、信息采编平台、移动办公平台、</w:t>
            </w:r>
            <w:r>
              <w:rPr>
                <w:rFonts w:hint="eastAsia" w:ascii="宋体" w:hAnsi="宋体" w:cs="宋体"/>
                <w:sz w:val="24"/>
              </w:rPr>
              <w:t>办公业务资源网</w:t>
            </w:r>
            <w:r>
              <w:rPr>
                <w:rFonts w:ascii="宋体" w:hAnsi="宋体" w:cs="宋体"/>
                <w:sz w:val="24"/>
              </w:rPr>
              <w:t>网站平台、会议通知平台、</w:t>
            </w:r>
            <w:r>
              <w:rPr>
                <w:rFonts w:hint="eastAsia" w:ascii="宋体" w:hAnsi="宋体" w:cs="宋体"/>
                <w:sz w:val="24"/>
              </w:rPr>
              <w:t>协同办公</w:t>
            </w:r>
            <w:r>
              <w:rPr>
                <w:rFonts w:ascii="宋体" w:hAnsi="宋体" w:cs="宋体"/>
                <w:sz w:val="24"/>
              </w:rPr>
              <w:t>电子邮件系统等，含对应接入单位的用户账户授权。并与市政务一体化办公平台无缝对接。实现公文、会议、信息、督查等传输和报送等功能。</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03C7E729">
            <w:pPr>
              <w:widowControl/>
              <w:jc w:val="center"/>
              <w:textAlignment w:val="center"/>
              <w:rPr>
                <w:rFonts w:ascii="宋体" w:hAnsi="宋体" w:cs="宋体"/>
                <w:sz w:val="24"/>
              </w:rPr>
            </w:pPr>
          </w:p>
        </w:tc>
      </w:tr>
      <w:tr w14:paraId="1221E6D4">
        <w:tblPrEx>
          <w:tblCellMar>
            <w:top w:w="0" w:type="dxa"/>
            <w:left w:w="108" w:type="dxa"/>
            <w:bottom w:w="0" w:type="dxa"/>
            <w:right w:w="108" w:type="dxa"/>
          </w:tblCellMar>
        </w:tblPrEx>
        <w:trPr>
          <w:trHeight w:val="87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22F04BC8">
            <w:pPr>
              <w:widowControl/>
              <w:jc w:val="center"/>
              <w:textAlignment w:val="center"/>
              <w:rPr>
                <w:rFonts w:ascii="宋体" w:hAnsi="宋体" w:cs="宋体"/>
                <w:kern w:val="0"/>
                <w:sz w:val="24"/>
                <w:lang w:bidi="ar"/>
              </w:rPr>
            </w:pPr>
            <w:r>
              <w:rPr>
                <w:rFonts w:hint="eastAsia" w:ascii="宋体" w:hAnsi="宋体" w:cs="宋体"/>
                <w:kern w:val="0"/>
                <w:sz w:val="24"/>
                <w:lang w:bidi="ar"/>
              </w:rPr>
              <w:t>16</w:t>
            </w:r>
          </w:p>
        </w:tc>
        <w:tc>
          <w:tcPr>
            <w:tcW w:w="1483" w:type="pct"/>
            <w:tcBorders>
              <w:top w:val="single" w:color="auto" w:sz="4" w:space="0"/>
              <w:left w:val="single" w:color="auto" w:sz="4" w:space="0"/>
              <w:bottom w:val="single" w:color="auto" w:sz="4" w:space="0"/>
              <w:right w:val="single" w:color="auto" w:sz="4" w:space="0"/>
            </w:tcBorders>
            <w:vAlign w:val="center"/>
          </w:tcPr>
          <w:p w14:paraId="7797FD09">
            <w:pPr>
              <w:widowControl/>
              <w:jc w:val="left"/>
              <w:textAlignment w:val="center"/>
              <w:rPr>
                <w:rFonts w:ascii="宋体" w:hAnsi="宋体" w:cs="宋体"/>
                <w:sz w:val="24"/>
              </w:rPr>
            </w:pPr>
            <w:r>
              <w:rPr>
                <w:rFonts w:ascii="宋体" w:hAnsi="宋体" w:cs="宋体"/>
                <w:sz w:val="24"/>
              </w:rPr>
              <w:t>电子签章授权服务</w:t>
            </w:r>
          </w:p>
        </w:tc>
        <w:tc>
          <w:tcPr>
            <w:tcW w:w="2644" w:type="pct"/>
            <w:tcBorders>
              <w:top w:val="single" w:color="auto" w:sz="4" w:space="0"/>
              <w:left w:val="single" w:color="auto" w:sz="4" w:space="0"/>
              <w:bottom w:val="single" w:color="auto" w:sz="4" w:space="0"/>
              <w:right w:val="single" w:color="auto" w:sz="4" w:space="0"/>
            </w:tcBorders>
            <w:vAlign w:val="center"/>
          </w:tcPr>
          <w:p w14:paraId="1CD34A1E">
            <w:pPr>
              <w:widowControl/>
              <w:textAlignment w:val="center"/>
              <w:rPr>
                <w:rFonts w:ascii="宋体" w:hAnsi="宋体" w:cs="宋体"/>
                <w:sz w:val="24"/>
              </w:rPr>
            </w:pPr>
            <w:r>
              <w:rPr>
                <w:rFonts w:ascii="宋体" w:hAnsi="宋体" w:cs="宋体"/>
                <w:sz w:val="24"/>
              </w:rPr>
              <w:t>含53个电子印章客户端及对应CA证书的授权；</w:t>
            </w:r>
          </w:p>
          <w:p w14:paraId="70CF2083">
            <w:pPr>
              <w:widowControl/>
              <w:textAlignment w:val="center"/>
              <w:rPr>
                <w:rFonts w:ascii="宋体" w:hAnsi="宋体" w:cs="宋体"/>
                <w:sz w:val="24"/>
              </w:rPr>
            </w:pPr>
            <w:r>
              <w:rPr>
                <w:rFonts w:ascii="宋体" w:hAnsi="宋体" w:cs="宋体"/>
                <w:sz w:val="24"/>
              </w:rPr>
              <w:t>提供国标OES接口、能支持基于移动端且符合国密要求的电子印章；</w:t>
            </w:r>
          </w:p>
          <w:p w14:paraId="551F2398">
            <w:pPr>
              <w:widowControl/>
              <w:textAlignment w:val="center"/>
              <w:rPr>
                <w:rFonts w:ascii="宋体" w:hAnsi="宋体" w:cs="宋体"/>
                <w:sz w:val="24"/>
              </w:rPr>
            </w:pPr>
            <w:r>
              <w:rPr>
                <w:rFonts w:ascii="宋体" w:hAnsi="宋体" w:cs="宋体"/>
                <w:sz w:val="24"/>
              </w:rPr>
              <w:t>采用B/S架构，实现管理人员对每一个电子印章进行整个生命周期的管理，包括电子印章制作、印章信息管理、印章发放、印章挂失、印章停用、印章重新生成的全过程的记录和管理；对客户端签章实现日志管理，实现对签章人、签章文件、签章操作、签章用户、签章时间等信息记录；</w:t>
            </w:r>
          </w:p>
          <w:p w14:paraId="26A56E8A">
            <w:pPr>
              <w:widowControl/>
              <w:textAlignment w:val="center"/>
              <w:rPr>
                <w:rFonts w:ascii="宋体" w:hAnsi="宋体" w:cs="宋体"/>
                <w:sz w:val="24"/>
              </w:rPr>
            </w:pPr>
            <w:r>
              <w:rPr>
                <w:rFonts w:ascii="宋体" w:hAnsi="宋体" w:cs="宋体"/>
                <w:sz w:val="24"/>
              </w:rPr>
              <w:t>使用基于PKI体系标准的数字签名技术对印章及文件提供保护和验证，采用的数字签名技术须符合《中华人民共和国电子签名法》关于电子签名的要求，采用的签名算法支持RSA和国产密码算法；</w:t>
            </w:r>
          </w:p>
          <w:p w14:paraId="338E6253">
            <w:pPr>
              <w:widowControl/>
              <w:textAlignment w:val="center"/>
              <w:rPr>
                <w:rFonts w:ascii="宋体" w:hAnsi="宋体" w:cs="宋体"/>
                <w:sz w:val="24"/>
              </w:rPr>
            </w:pPr>
            <w:r>
              <w:rPr>
                <w:rFonts w:ascii="宋体" w:hAnsi="宋体" w:cs="宋体"/>
                <w:sz w:val="24"/>
              </w:rPr>
              <w:t>能对所签文档内容进行完整性认证，确定其是否被篡改。如果签署后的文档发生了变更，验证时则会提示文档验证不通过（即文档验证失败）；</w:t>
            </w:r>
          </w:p>
          <w:p w14:paraId="785EDAD9">
            <w:pPr>
              <w:widowControl/>
              <w:textAlignment w:val="center"/>
              <w:rPr>
                <w:rFonts w:ascii="宋体" w:hAnsi="宋体" w:cs="宋体"/>
                <w:sz w:val="24"/>
              </w:rPr>
            </w:pPr>
            <w:r>
              <w:rPr>
                <w:rFonts w:ascii="宋体" w:hAnsi="宋体" w:cs="宋体"/>
                <w:sz w:val="24"/>
              </w:rPr>
              <w:t>多种格式文档签章支持：电子印章软件支持对常见的Office文档、PDF文档、HTML网页wps文档、OFD文档等进行签章。</w:t>
            </w:r>
          </w:p>
          <w:p w14:paraId="69FEA8B9">
            <w:pPr>
              <w:widowControl/>
              <w:textAlignment w:val="center"/>
              <w:rPr>
                <w:rFonts w:ascii="宋体" w:hAnsi="宋体" w:cs="宋体"/>
                <w:sz w:val="24"/>
              </w:rPr>
            </w:pPr>
            <w:r>
              <w:rPr>
                <w:rFonts w:ascii="宋体" w:hAnsi="宋体" w:cs="宋体"/>
                <w:sz w:val="24"/>
              </w:rPr>
              <w:t>与市政府统一身份认证和组织管理平台无缝对接。</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699B9EA4">
            <w:pPr>
              <w:widowControl/>
              <w:jc w:val="center"/>
              <w:textAlignment w:val="center"/>
              <w:rPr>
                <w:rFonts w:ascii="宋体" w:hAnsi="宋体" w:cs="宋体"/>
                <w:sz w:val="24"/>
              </w:rPr>
            </w:pPr>
          </w:p>
        </w:tc>
      </w:tr>
      <w:tr w14:paraId="1B21D3B4">
        <w:tblPrEx>
          <w:tblCellMar>
            <w:top w:w="0" w:type="dxa"/>
            <w:left w:w="108" w:type="dxa"/>
            <w:bottom w:w="0" w:type="dxa"/>
            <w:right w:w="108" w:type="dxa"/>
          </w:tblCellMar>
        </w:tblPrEx>
        <w:trPr>
          <w:trHeight w:val="87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39A1000C">
            <w:pPr>
              <w:widowControl/>
              <w:jc w:val="center"/>
              <w:textAlignment w:val="center"/>
              <w:rPr>
                <w:rFonts w:ascii="宋体" w:hAnsi="宋体" w:cs="宋体"/>
                <w:kern w:val="0"/>
                <w:sz w:val="24"/>
                <w:lang w:bidi="ar"/>
              </w:rPr>
            </w:pPr>
            <w:r>
              <w:rPr>
                <w:rFonts w:hint="eastAsia" w:ascii="宋体" w:hAnsi="宋体" w:cs="宋体"/>
                <w:kern w:val="0"/>
                <w:sz w:val="24"/>
                <w:lang w:bidi="ar"/>
              </w:rPr>
              <w:t>17</w:t>
            </w:r>
          </w:p>
        </w:tc>
        <w:tc>
          <w:tcPr>
            <w:tcW w:w="1483" w:type="pct"/>
            <w:tcBorders>
              <w:top w:val="single" w:color="auto" w:sz="4" w:space="0"/>
              <w:left w:val="single" w:color="auto" w:sz="4" w:space="0"/>
              <w:bottom w:val="single" w:color="auto" w:sz="4" w:space="0"/>
              <w:right w:val="single" w:color="auto" w:sz="4" w:space="0"/>
            </w:tcBorders>
            <w:vAlign w:val="center"/>
          </w:tcPr>
          <w:p w14:paraId="708BAC91">
            <w:pPr>
              <w:widowControl/>
              <w:jc w:val="left"/>
              <w:textAlignment w:val="center"/>
              <w:rPr>
                <w:rFonts w:ascii="宋体" w:hAnsi="宋体" w:cs="宋体"/>
                <w:sz w:val="24"/>
              </w:rPr>
            </w:pPr>
            <w:r>
              <w:rPr>
                <w:rFonts w:ascii="宋体" w:hAnsi="宋体" w:cs="宋体"/>
                <w:sz w:val="24"/>
              </w:rPr>
              <w:t>移动办公政务GPN接口服务</w:t>
            </w:r>
          </w:p>
        </w:tc>
        <w:tc>
          <w:tcPr>
            <w:tcW w:w="2644" w:type="pct"/>
            <w:tcBorders>
              <w:top w:val="single" w:color="auto" w:sz="4" w:space="0"/>
              <w:left w:val="single" w:color="auto" w:sz="4" w:space="0"/>
              <w:bottom w:val="single" w:color="auto" w:sz="4" w:space="0"/>
              <w:right w:val="single" w:color="auto" w:sz="4" w:space="0"/>
            </w:tcBorders>
            <w:vAlign w:val="center"/>
          </w:tcPr>
          <w:p w14:paraId="39681935">
            <w:pPr>
              <w:widowControl/>
              <w:textAlignment w:val="center"/>
              <w:rPr>
                <w:rFonts w:ascii="宋体" w:hAnsi="宋体" w:cs="宋体"/>
                <w:sz w:val="24"/>
              </w:rPr>
            </w:pPr>
            <w:r>
              <w:rPr>
                <w:rFonts w:ascii="宋体" w:hAnsi="宋体" w:cs="宋体"/>
                <w:sz w:val="24"/>
              </w:rPr>
              <w:t>实现移动办公安全可靠的对接接口，依托平顶山全市政务移动办公统一出口进行授权访问。</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699BDAB2">
            <w:pPr>
              <w:widowControl/>
              <w:jc w:val="center"/>
              <w:textAlignment w:val="center"/>
              <w:rPr>
                <w:rFonts w:ascii="宋体" w:hAnsi="宋体" w:cs="宋体"/>
                <w:sz w:val="24"/>
              </w:rPr>
            </w:pPr>
          </w:p>
        </w:tc>
      </w:tr>
      <w:tr w14:paraId="10C15F79">
        <w:tblPrEx>
          <w:tblCellMar>
            <w:top w:w="0" w:type="dxa"/>
            <w:left w:w="108" w:type="dxa"/>
            <w:bottom w:w="0" w:type="dxa"/>
            <w:right w:w="108" w:type="dxa"/>
          </w:tblCellMar>
        </w:tblPrEx>
        <w:trPr>
          <w:trHeight w:val="870"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7BC36F96">
            <w:pPr>
              <w:widowControl/>
              <w:jc w:val="center"/>
              <w:textAlignment w:val="center"/>
              <w:rPr>
                <w:rFonts w:ascii="宋体" w:hAnsi="宋体" w:cs="宋体"/>
                <w:kern w:val="0"/>
                <w:sz w:val="24"/>
                <w:lang w:bidi="ar"/>
              </w:rPr>
            </w:pPr>
            <w:r>
              <w:rPr>
                <w:rFonts w:hint="eastAsia" w:ascii="宋体" w:hAnsi="宋体" w:cs="宋体"/>
                <w:kern w:val="0"/>
                <w:sz w:val="24"/>
                <w:lang w:bidi="ar"/>
              </w:rPr>
              <w:t>18</w:t>
            </w:r>
          </w:p>
        </w:tc>
        <w:tc>
          <w:tcPr>
            <w:tcW w:w="1483" w:type="pct"/>
            <w:tcBorders>
              <w:top w:val="single" w:color="auto" w:sz="4" w:space="0"/>
              <w:left w:val="single" w:color="auto" w:sz="4" w:space="0"/>
              <w:bottom w:val="single" w:color="auto" w:sz="4" w:space="0"/>
              <w:right w:val="single" w:color="auto" w:sz="4" w:space="0"/>
            </w:tcBorders>
            <w:vAlign w:val="center"/>
          </w:tcPr>
          <w:p w14:paraId="139CCD79">
            <w:pPr>
              <w:widowControl/>
              <w:jc w:val="left"/>
              <w:textAlignment w:val="center"/>
              <w:rPr>
                <w:rFonts w:ascii="宋体" w:hAnsi="宋体" w:cs="宋体"/>
                <w:sz w:val="24"/>
              </w:rPr>
            </w:pPr>
            <w:r>
              <w:rPr>
                <w:rFonts w:ascii="宋体" w:hAnsi="宋体" w:cs="宋体"/>
                <w:sz w:val="24"/>
              </w:rPr>
              <w:t>平台对接服务</w:t>
            </w:r>
          </w:p>
        </w:tc>
        <w:tc>
          <w:tcPr>
            <w:tcW w:w="2644" w:type="pct"/>
            <w:tcBorders>
              <w:top w:val="single" w:color="auto" w:sz="4" w:space="0"/>
              <w:left w:val="single" w:color="auto" w:sz="4" w:space="0"/>
              <w:bottom w:val="single" w:color="auto" w:sz="4" w:space="0"/>
              <w:right w:val="single" w:color="auto" w:sz="4" w:space="0"/>
            </w:tcBorders>
            <w:vAlign w:val="center"/>
          </w:tcPr>
          <w:p w14:paraId="018357BA">
            <w:pPr>
              <w:widowControl/>
              <w:textAlignment w:val="center"/>
              <w:rPr>
                <w:rFonts w:ascii="宋体" w:hAnsi="宋体" w:cs="宋体"/>
                <w:sz w:val="24"/>
              </w:rPr>
            </w:pPr>
            <w:r>
              <w:rPr>
                <w:rFonts w:ascii="宋体" w:hAnsi="宋体" w:cs="宋体"/>
                <w:sz w:val="24"/>
              </w:rPr>
              <w:t>根据文件要求实现与平顶山市办公业务资源网以及政务办公平台的无缝对接，以及</w:t>
            </w:r>
            <w:r>
              <w:rPr>
                <w:rFonts w:hint="eastAsia" w:ascii="宋体" w:hAnsi="宋体" w:cs="宋体"/>
                <w:sz w:val="24"/>
              </w:rPr>
              <w:t>撤线</w:t>
            </w:r>
            <w:r>
              <w:rPr>
                <w:rFonts w:ascii="宋体" w:hAnsi="宋体" w:cs="宋体"/>
                <w:sz w:val="24"/>
              </w:rPr>
              <w:t>组网的适配改造技术支撑服务等。</w:t>
            </w:r>
          </w:p>
        </w:tc>
        <w:tc>
          <w:tcPr>
            <w:tcW w:w="484" w:type="pct"/>
            <w:vMerge w:val="continue"/>
            <w:tcBorders>
              <w:top w:val="single" w:color="auto" w:sz="4" w:space="0"/>
              <w:left w:val="single" w:color="auto" w:sz="4" w:space="0"/>
              <w:bottom w:val="single" w:color="auto" w:sz="4" w:space="0"/>
              <w:right w:val="single" w:color="auto" w:sz="4" w:space="0"/>
            </w:tcBorders>
            <w:vAlign w:val="center"/>
          </w:tcPr>
          <w:p w14:paraId="26C939F6">
            <w:pPr>
              <w:widowControl/>
              <w:jc w:val="center"/>
              <w:textAlignment w:val="center"/>
              <w:rPr>
                <w:rFonts w:ascii="宋体" w:hAnsi="宋体" w:cs="宋体"/>
                <w:sz w:val="24"/>
              </w:rPr>
            </w:pPr>
          </w:p>
        </w:tc>
      </w:tr>
    </w:tbl>
    <w:p w14:paraId="3E6940A6">
      <w:pPr>
        <w:adjustRightInd w:val="0"/>
        <w:snapToGrid w:val="0"/>
        <w:spacing w:line="360" w:lineRule="auto"/>
      </w:pPr>
    </w:p>
    <w:p w14:paraId="4E35D383">
      <w:pPr>
        <w:pStyle w:val="2"/>
      </w:pPr>
      <w:r>
        <w:br w:type="page"/>
      </w:r>
    </w:p>
    <w:p w14:paraId="4B97D3CD">
      <w:pPr>
        <w:spacing w:line="360" w:lineRule="auto"/>
        <w:ind w:firstLine="482" w:firstLineChars="200"/>
        <w:outlineLvl w:val="2"/>
        <w:rPr>
          <w:b/>
          <w:bCs/>
          <w:sz w:val="24"/>
        </w:rPr>
      </w:pPr>
      <w:r>
        <w:rPr>
          <w:rFonts w:hint="eastAsia"/>
          <w:b/>
          <w:bCs/>
          <w:sz w:val="24"/>
        </w:rPr>
        <w:t>（二）</w:t>
      </w:r>
      <w:r>
        <w:rPr>
          <w:b/>
          <w:bCs/>
          <w:sz w:val="24"/>
        </w:rPr>
        <w:t>软硬件清单</w:t>
      </w:r>
    </w:p>
    <w:tbl>
      <w:tblPr>
        <w:tblStyle w:val="27"/>
        <w:tblW w:w="5250" w:type="pct"/>
        <w:tblInd w:w="0" w:type="dxa"/>
        <w:tblLayout w:type="fixed"/>
        <w:tblCellMar>
          <w:top w:w="0" w:type="dxa"/>
          <w:left w:w="108" w:type="dxa"/>
          <w:bottom w:w="0" w:type="dxa"/>
          <w:right w:w="108" w:type="dxa"/>
        </w:tblCellMar>
      </w:tblPr>
      <w:tblGrid>
        <w:gridCol w:w="1001"/>
        <w:gridCol w:w="6119"/>
        <w:gridCol w:w="1740"/>
        <w:gridCol w:w="1600"/>
      </w:tblGrid>
      <w:tr w14:paraId="32F0B62B">
        <w:tblPrEx>
          <w:tblCellMar>
            <w:top w:w="0" w:type="dxa"/>
            <w:left w:w="108" w:type="dxa"/>
            <w:bottom w:w="0" w:type="dxa"/>
            <w:right w:w="108" w:type="dxa"/>
          </w:tblCellMar>
        </w:tblPrEx>
        <w:trPr>
          <w:trHeight w:val="390" w:hRule="atLeast"/>
        </w:trPr>
        <w:tc>
          <w:tcPr>
            <w:tcW w:w="478" w:type="pct"/>
            <w:tcBorders>
              <w:top w:val="single" w:color="auto" w:sz="4" w:space="0"/>
              <w:left w:val="single" w:color="auto" w:sz="4" w:space="0"/>
              <w:bottom w:val="single" w:color="auto" w:sz="4" w:space="0"/>
              <w:right w:val="single" w:color="auto" w:sz="4" w:space="0"/>
            </w:tcBorders>
            <w:noWrap/>
            <w:vAlign w:val="center"/>
          </w:tcPr>
          <w:p w14:paraId="59974E42">
            <w:pPr>
              <w:widowControl/>
              <w:jc w:val="center"/>
              <w:rPr>
                <w:rFonts w:ascii="宋体" w:hAnsi="宋体" w:cs="宋体"/>
                <w:b/>
                <w:bCs/>
                <w:kern w:val="0"/>
                <w:sz w:val="24"/>
              </w:rPr>
            </w:pPr>
            <w:r>
              <w:rPr>
                <w:rFonts w:hint="eastAsia" w:ascii="宋体" w:hAnsi="宋体" w:cs="宋体"/>
                <w:b/>
                <w:bCs/>
                <w:kern w:val="0"/>
                <w:sz w:val="24"/>
              </w:rPr>
              <w:t>序号</w:t>
            </w:r>
          </w:p>
        </w:tc>
        <w:tc>
          <w:tcPr>
            <w:tcW w:w="2925" w:type="pct"/>
            <w:tcBorders>
              <w:top w:val="single" w:color="auto" w:sz="4" w:space="0"/>
              <w:left w:val="nil"/>
              <w:bottom w:val="single" w:color="auto" w:sz="4" w:space="0"/>
              <w:right w:val="single" w:color="auto" w:sz="4" w:space="0"/>
            </w:tcBorders>
            <w:noWrap/>
            <w:vAlign w:val="center"/>
          </w:tcPr>
          <w:p w14:paraId="1CA23131">
            <w:pPr>
              <w:widowControl/>
              <w:jc w:val="center"/>
              <w:rPr>
                <w:rFonts w:ascii="宋体" w:hAnsi="宋体" w:cs="宋体"/>
                <w:b/>
                <w:bCs/>
                <w:kern w:val="0"/>
                <w:sz w:val="24"/>
              </w:rPr>
            </w:pPr>
            <w:r>
              <w:rPr>
                <w:rFonts w:hint="eastAsia" w:ascii="宋体" w:hAnsi="宋体" w:cs="宋体"/>
                <w:b/>
                <w:bCs/>
                <w:kern w:val="0"/>
                <w:sz w:val="24"/>
              </w:rPr>
              <w:t>类别</w:t>
            </w:r>
          </w:p>
        </w:tc>
        <w:tc>
          <w:tcPr>
            <w:tcW w:w="832" w:type="pct"/>
            <w:tcBorders>
              <w:top w:val="single" w:color="auto" w:sz="4" w:space="0"/>
              <w:left w:val="nil"/>
              <w:bottom w:val="single" w:color="auto" w:sz="4" w:space="0"/>
              <w:right w:val="single" w:color="auto" w:sz="4" w:space="0"/>
            </w:tcBorders>
            <w:noWrap/>
            <w:vAlign w:val="center"/>
          </w:tcPr>
          <w:p w14:paraId="1545D7E8">
            <w:pPr>
              <w:widowControl/>
              <w:jc w:val="center"/>
              <w:rPr>
                <w:rFonts w:ascii="宋体" w:hAnsi="宋体" w:cs="宋体"/>
                <w:b/>
                <w:bCs/>
                <w:kern w:val="0"/>
                <w:sz w:val="24"/>
              </w:rPr>
            </w:pPr>
            <w:r>
              <w:rPr>
                <w:rFonts w:hint="eastAsia" w:ascii="宋体" w:hAnsi="宋体" w:cs="宋体"/>
                <w:b/>
                <w:bCs/>
                <w:kern w:val="0"/>
                <w:sz w:val="24"/>
              </w:rPr>
              <w:t>单位</w:t>
            </w:r>
          </w:p>
        </w:tc>
        <w:tc>
          <w:tcPr>
            <w:tcW w:w="765" w:type="pct"/>
            <w:tcBorders>
              <w:top w:val="single" w:color="auto" w:sz="4" w:space="0"/>
              <w:left w:val="nil"/>
              <w:bottom w:val="single" w:color="auto" w:sz="4" w:space="0"/>
              <w:right w:val="single" w:color="auto" w:sz="4" w:space="0"/>
            </w:tcBorders>
            <w:noWrap/>
            <w:vAlign w:val="center"/>
          </w:tcPr>
          <w:p w14:paraId="33788E1D">
            <w:pPr>
              <w:widowControl/>
              <w:jc w:val="center"/>
              <w:rPr>
                <w:rFonts w:ascii="宋体" w:hAnsi="宋体" w:cs="宋体"/>
                <w:b/>
                <w:bCs/>
                <w:kern w:val="0"/>
                <w:sz w:val="24"/>
              </w:rPr>
            </w:pPr>
            <w:r>
              <w:rPr>
                <w:rFonts w:hint="eastAsia" w:ascii="宋体" w:hAnsi="宋体" w:cs="宋体"/>
                <w:b/>
                <w:bCs/>
                <w:kern w:val="0"/>
                <w:sz w:val="24"/>
              </w:rPr>
              <w:t>数量</w:t>
            </w:r>
          </w:p>
        </w:tc>
      </w:tr>
      <w:tr w14:paraId="319A739E">
        <w:tblPrEx>
          <w:tblCellMar>
            <w:top w:w="0" w:type="dxa"/>
            <w:left w:w="108" w:type="dxa"/>
            <w:bottom w:w="0" w:type="dxa"/>
            <w:right w:w="108" w:type="dxa"/>
          </w:tblCellMar>
        </w:tblPrEx>
        <w:trPr>
          <w:trHeight w:val="390" w:hRule="atLeast"/>
        </w:trPr>
        <w:tc>
          <w:tcPr>
            <w:tcW w:w="478" w:type="pct"/>
            <w:tcBorders>
              <w:top w:val="nil"/>
              <w:left w:val="single" w:color="auto" w:sz="4" w:space="0"/>
              <w:bottom w:val="single" w:color="auto" w:sz="4" w:space="0"/>
              <w:right w:val="single" w:color="auto" w:sz="4" w:space="0"/>
            </w:tcBorders>
            <w:noWrap/>
            <w:vAlign w:val="center"/>
          </w:tcPr>
          <w:p w14:paraId="57895BF9">
            <w:pPr>
              <w:widowControl/>
              <w:jc w:val="center"/>
              <w:rPr>
                <w:rFonts w:ascii="宋体" w:hAnsi="宋体" w:cs="宋体"/>
                <w:kern w:val="0"/>
                <w:sz w:val="24"/>
              </w:rPr>
            </w:pPr>
            <w:r>
              <w:rPr>
                <w:rFonts w:hint="eastAsia" w:ascii="宋体" w:hAnsi="宋体" w:cs="宋体"/>
                <w:kern w:val="0"/>
                <w:sz w:val="24"/>
              </w:rPr>
              <w:t>1</w:t>
            </w:r>
          </w:p>
        </w:tc>
        <w:tc>
          <w:tcPr>
            <w:tcW w:w="2925" w:type="pct"/>
            <w:tcBorders>
              <w:top w:val="nil"/>
              <w:left w:val="nil"/>
              <w:bottom w:val="single" w:color="auto" w:sz="4" w:space="0"/>
              <w:right w:val="single" w:color="auto" w:sz="4" w:space="0"/>
            </w:tcBorders>
            <w:noWrap/>
            <w:vAlign w:val="center"/>
          </w:tcPr>
          <w:p w14:paraId="4B9A3CD1">
            <w:pPr>
              <w:widowControl/>
              <w:jc w:val="left"/>
              <w:rPr>
                <w:rFonts w:ascii="宋体" w:hAnsi="宋体" w:cs="宋体"/>
                <w:kern w:val="0"/>
                <w:sz w:val="24"/>
              </w:rPr>
            </w:pPr>
            <w:r>
              <w:rPr>
                <w:rFonts w:hint="eastAsia" w:ascii="宋体" w:hAnsi="宋体" w:cs="宋体"/>
                <w:kern w:val="0"/>
                <w:sz w:val="24"/>
              </w:rPr>
              <w:t>核心路由器</w:t>
            </w:r>
          </w:p>
        </w:tc>
        <w:tc>
          <w:tcPr>
            <w:tcW w:w="832" w:type="pct"/>
            <w:tcBorders>
              <w:top w:val="nil"/>
              <w:left w:val="nil"/>
              <w:bottom w:val="single" w:color="auto" w:sz="4" w:space="0"/>
              <w:right w:val="single" w:color="auto" w:sz="4" w:space="0"/>
            </w:tcBorders>
            <w:noWrap/>
            <w:vAlign w:val="center"/>
          </w:tcPr>
          <w:p w14:paraId="771C0433">
            <w:pPr>
              <w:widowControl/>
              <w:jc w:val="center"/>
              <w:rPr>
                <w:rFonts w:ascii="宋体" w:hAnsi="宋体" w:cs="宋体"/>
                <w:kern w:val="0"/>
                <w:sz w:val="24"/>
              </w:rPr>
            </w:pPr>
            <w:r>
              <w:rPr>
                <w:rFonts w:hint="eastAsia" w:ascii="宋体" w:hAnsi="宋体" w:cs="宋体"/>
                <w:kern w:val="0"/>
                <w:sz w:val="24"/>
              </w:rPr>
              <w:t>台</w:t>
            </w:r>
          </w:p>
        </w:tc>
        <w:tc>
          <w:tcPr>
            <w:tcW w:w="765" w:type="pct"/>
            <w:tcBorders>
              <w:top w:val="nil"/>
              <w:left w:val="nil"/>
              <w:bottom w:val="single" w:color="auto" w:sz="4" w:space="0"/>
              <w:right w:val="single" w:color="auto" w:sz="4" w:space="0"/>
            </w:tcBorders>
            <w:noWrap/>
            <w:vAlign w:val="center"/>
          </w:tcPr>
          <w:p w14:paraId="08DA1669">
            <w:pPr>
              <w:widowControl/>
              <w:jc w:val="center"/>
              <w:rPr>
                <w:rFonts w:ascii="宋体" w:hAnsi="宋体" w:cs="宋体"/>
                <w:kern w:val="0"/>
                <w:sz w:val="24"/>
              </w:rPr>
            </w:pPr>
            <w:r>
              <w:rPr>
                <w:rFonts w:hint="eastAsia" w:ascii="宋体" w:hAnsi="宋体" w:cs="宋体"/>
                <w:kern w:val="0"/>
                <w:sz w:val="24"/>
              </w:rPr>
              <w:t>1</w:t>
            </w:r>
          </w:p>
        </w:tc>
      </w:tr>
      <w:tr w14:paraId="32DB1DB8">
        <w:tblPrEx>
          <w:tblCellMar>
            <w:top w:w="0" w:type="dxa"/>
            <w:left w:w="108" w:type="dxa"/>
            <w:bottom w:w="0" w:type="dxa"/>
            <w:right w:w="108" w:type="dxa"/>
          </w:tblCellMar>
        </w:tblPrEx>
        <w:trPr>
          <w:trHeight w:val="390" w:hRule="atLeast"/>
        </w:trPr>
        <w:tc>
          <w:tcPr>
            <w:tcW w:w="478" w:type="pct"/>
            <w:tcBorders>
              <w:top w:val="nil"/>
              <w:left w:val="single" w:color="auto" w:sz="4" w:space="0"/>
              <w:bottom w:val="single" w:color="auto" w:sz="4" w:space="0"/>
              <w:right w:val="single" w:color="auto" w:sz="4" w:space="0"/>
            </w:tcBorders>
            <w:noWrap/>
            <w:vAlign w:val="center"/>
          </w:tcPr>
          <w:p w14:paraId="0D523417">
            <w:pPr>
              <w:widowControl/>
              <w:jc w:val="center"/>
              <w:rPr>
                <w:rFonts w:ascii="宋体" w:hAnsi="宋体" w:cs="宋体"/>
                <w:kern w:val="0"/>
                <w:sz w:val="24"/>
              </w:rPr>
            </w:pPr>
            <w:r>
              <w:rPr>
                <w:rFonts w:hint="eastAsia" w:ascii="宋体" w:hAnsi="宋体" w:cs="宋体"/>
                <w:kern w:val="0"/>
                <w:sz w:val="24"/>
              </w:rPr>
              <w:t>2</w:t>
            </w:r>
          </w:p>
        </w:tc>
        <w:tc>
          <w:tcPr>
            <w:tcW w:w="2925" w:type="pct"/>
            <w:tcBorders>
              <w:top w:val="nil"/>
              <w:left w:val="nil"/>
              <w:bottom w:val="single" w:color="auto" w:sz="4" w:space="0"/>
              <w:right w:val="single" w:color="auto" w:sz="4" w:space="0"/>
            </w:tcBorders>
            <w:noWrap/>
            <w:vAlign w:val="center"/>
          </w:tcPr>
          <w:p w14:paraId="25A518F8">
            <w:pPr>
              <w:widowControl/>
              <w:jc w:val="left"/>
              <w:rPr>
                <w:rFonts w:ascii="宋体" w:hAnsi="宋体" w:cs="宋体"/>
                <w:kern w:val="0"/>
                <w:sz w:val="24"/>
              </w:rPr>
            </w:pPr>
            <w:r>
              <w:rPr>
                <w:rFonts w:hint="eastAsia" w:ascii="宋体" w:hAnsi="宋体" w:cs="宋体"/>
                <w:kern w:val="0"/>
                <w:sz w:val="24"/>
              </w:rPr>
              <w:t>核心交换机</w:t>
            </w:r>
          </w:p>
        </w:tc>
        <w:tc>
          <w:tcPr>
            <w:tcW w:w="832" w:type="pct"/>
            <w:tcBorders>
              <w:top w:val="nil"/>
              <w:left w:val="nil"/>
              <w:bottom w:val="single" w:color="auto" w:sz="4" w:space="0"/>
              <w:right w:val="single" w:color="auto" w:sz="4" w:space="0"/>
            </w:tcBorders>
            <w:noWrap/>
            <w:vAlign w:val="center"/>
          </w:tcPr>
          <w:p w14:paraId="49BBA7ED">
            <w:pPr>
              <w:widowControl/>
              <w:jc w:val="center"/>
              <w:rPr>
                <w:rFonts w:ascii="宋体" w:hAnsi="宋体" w:cs="宋体"/>
                <w:kern w:val="0"/>
                <w:sz w:val="24"/>
              </w:rPr>
            </w:pPr>
            <w:r>
              <w:rPr>
                <w:rFonts w:hint="eastAsia" w:ascii="宋体" w:hAnsi="宋体" w:cs="宋体"/>
                <w:kern w:val="0"/>
                <w:sz w:val="24"/>
              </w:rPr>
              <w:t>台</w:t>
            </w:r>
          </w:p>
        </w:tc>
        <w:tc>
          <w:tcPr>
            <w:tcW w:w="765" w:type="pct"/>
            <w:tcBorders>
              <w:top w:val="nil"/>
              <w:left w:val="nil"/>
              <w:bottom w:val="single" w:color="auto" w:sz="4" w:space="0"/>
              <w:right w:val="single" w:color="auto" w:sz="4" w:space="0"/>
            </w:tcBorders>
            <w:noWrap/>
            <w:vAlign w:val="center"/>
          </w:tcPr>
          <w:p w14:paraId="3F261407">
            <w:pPr>
              <w:widowControl/>
              <w:jc w:val="center"/>
              <w:rPr>
                <w:rFonts w:ascii="宋体" w:hAnsi="宋体" w:cs="宋体"/>
                <w:kern w:val="0"/>
                <w:sz w:val="24"/>
              </w:rPr>
            </w:pPr>
            <w:r>
              <w:rPr>
                <w:rFonts w:hint="eastAsia" w:ascii="宋体" w:hAnsi="宋体" w:cs="宋体"/>
                <w:kern w:val="0"/>
                <w:sz w:val="24"/>
              </w:rPr>
              <w:t>1</w:t>
            </w:r>
          </w:p>
        </w:tc>
      </w:tr>
      <w:tr w14:paraId="4A7BFE8B">
        <w:tblPrEx>
          <w:tblCellMar>
            <w:top w:w="0" w:type="dxa"/>
            <w:left w:w="108" w:type="dxa"/>
            <w:bottom w:w="0" w:type="dxa"/>
            <w:right w:w="108" w:type="dxa"/>
          </w:tblCellMar>
        </w:tblPrEx>
        <w:trPr>
          <w:trHeight w:val="390" w:hRule="atLeast"/>
        </w:trPr>
        <w:tc>
          <w:tcPr>
            <w:tcW w:w="478" w:type="pct"/>
            <w:tcBorders>
              <w:top w:val="nil"/>
              <w:left w:val="single" w:color="auto" w:sz="4" w:space="0"/>
              <w:bottom w:val="single" w:color="auto" w:sz="4" w:space="0"/>
              <w:right w:val="single" w:color="auto" w:sz="4" w:space="0"/>
            </w:tcBorders>
            <w:noWrap/>
            <w:vAlign w:val="center"/>
          </w:tcPr>
          <w:p w14:paraId="1B0FF922">
            <w:pPr>
              <w:widowControl/>
              <w:jc w:val="center"/>
              <w:rPr>
                <w:rFonts w:ascii="宋体" w:hAnsi="宋体" w:cs="宋体"/>
                <w:kern w:val="0"/>
                <w:sz w:val="24"/>
              </w:rPr>
            </w:pPr>
            <w:r>
              <w:rPr>
                <w:rFonts w:hint="eastAsia" w:ascii="宋体" w:hAnsi="宋体" w:cs="宋体"/>
                <w:kern w:val="0"/>
                <w:sz w:val="24"/>
              </w:rPr>
              <w:t>3</w:t>
            </w:r>
          </w:p>
        </w:tc>
        <w:tc>
          <w:tcPr>
            <w:tcW w:w="2925" w:type="pct"/>
            <w:tcBorders>
              <w:top w:val="nil"/>
              <w:left w:val="nil"/>
              <w:bottom w:val="single" w:color="auto" w:sz="4" w:space="0"/>
              <w:right w:val="single" w:color="auto" w:sz="4" w:space="0"/>
            </w:tcBorders>
            <w:noWrap/>
            <w:vAlign w:val="center"/>
          </w:tcPr>
          <w:p w14:paraId="4ED5464C">
            <w:pPr>
              <w:widowControl/>
              <w:jc w:val="left"/>
              <w:rPr>
                <w:rFonts w:ascii="宋体" w:hAnsi="宋体" w:cs="宋体"/>
                <w:kern w:val="0"/>
                <w:sz w:val="24"/>
              </w:rPr>
            </w:pPr>
            <w:r>
              <w:rPr>
                <w:rFonts w:hint="eastAsia" w:ascii="宋体" w:hAnsi="宋体" w:cs="宋体"/>
                <w:kern w:val="0"/>
                <w:sz w:val="24"/>
              </w:rPr>
              <w:t>出口防火墙</w:t>
            </w:r>
          </w:p>
        </w:tc>
        <w:tc>
          <w:tcPr>
            <w:tcW w:w="832" w:type="pct"/>
            <w:tcBorders>
              <w:top w:val="nil"/>
              <w:left w:val="nil"/>
              <w:bottom w:val="single" w:color="auto" w:sz="4" w:space="0"/>
              <w:right w:val="single" w:color="auto" w:sz="4" w:space="0"/>
            </w:tcBorders>
            <w:noWrap/>
            <w:vAlign w:val="center"/>
          </w:tcPr>
          <w:p w14:paraId="66F6AD3F">
            <w:pPr>
              <w:widowControl/>
              <w:jc w:val="center"/>
              <w:rPr>
                <w:rFonts w:ascii="宋体" w:hAnsi="宋体" w:cs="宋体"/>
                <w:kern w:val="0"/>
                <w:sz w:val="24"/>
              </w:rPr>
            </w:pPr>
            <w:r>
              <w:rPr>
                <w:rFonts w:hint="eastAsia" w:ascii="宋体" w:hAnsi="宋体" w:cs="宋体"/>
                <w:kern w:val="0"/>
                <w:sz w:val="24"/>
              </w:rPr>
              <w:t>台</w:t>
            </w:r>
          </w:p>
        </w:tc>
        <w:tc>
          <w:tcPr>
            <w:tcW w:w="765" w:type="pct"/>
            <w:tcBorders>
              <w:top w:val="nil"/>
              <w:left w:val="nil"/>
              <w:bottom w:val="single" w:color="auto" w:sz="4" w:space="0"/>
              <w:right w:val="single" w:color="auto" w:sz="4" w:space="0"/>
            </w:tcBorders>
            <w:noWrap/>
            <w:vAlign w:val="center"/>
          </w:tcPr>
          <w:p w14:paraId="20612959">
            <w:pPr>
              <w:widowControl/>
              <w:jc w:val="center"/>
              <w:rPr>
                <w:rFonts w:ascii="宋体" w:hAnsi="宋体" w:cs="宋体"/>
                <w:kern w:val="0"/>
                <w:sz w:val="24"/>
              </w:rPr>
            </w:pPr>
            <w:r>
              <w:rPr>
                <w:rFonts w:hint="eastAsia" w:ascii="宋体" w:hAnsi="宋体" w:cs="宋体"/>
                <w:kern w:val="0"/>
                <w:sz w:val="24"/>
              </w:rPr>
              <w:t>1</w:t>
            </w:r>
          </w:p>
        </w:tc>
      </w:tr>
      <w:tr w14:paraId="1912B0BD">
        <w:tblPrEx>
          <w:tblCellMar>
            <w:top w:w="0" w:type="dxa"/>
            <w:left w:w="108" w:type="dxa"/>
            <w:bottom w:w="0" w:type="dxa"/>
            <w:right w:w="108" w:type="dxa"/>
          </w:tblCellMar>
        </w:tblPrEx>
        <w:trPr>
          <w:trHeight w:val="390" w:hRule="atLeast"/>
        </w:trPr>
        <w:tc>
          <w:tcPr>
            <w:tcW w:w="478" w:type="pct"/>
            <w:tcBorders>
              <w:top w:val="nil"/>
              <w:left w:val="single" w:color="auto" w:sz="4" w:space="0"/>
              <w:bottom w:val="single" w:color="auto" w:sz="4" w:space="0"/>
              <w:right w:val="single" w:color="auto" w:sz="4" w:space="0"/>
            </w:tcBorders>
            <w:noWrap/>
            <w:vAlign w:val="center"/>
          </w:tcPr>
          <w:p w14:paraId="11E0F1B7">
            <w:pPr>
              <w:widowControl/>
              <w:jc w:val="center"/>
              <w:rPr>
                <w:rFonts w:ascii="宋体" w:hAnsi="宋体" w:cs="宋体"/>
                <w:kern w:val="0"/>
                <w:sz w:val="24"/>
              </w:rPr>
            </w:pPr>
            <w:r>
              <w:rPr>
                <w:rFonts w:hint="eastAsia" w:ascii="宋体" w:hAnsi="宋体" w:cs="宋体"/>
                <w:kern w:val="0"/>
                <w:sz w:val="24"/>
              </w:rPr>
              <w:t>4</w:t>
            </w:r>
          </w:p>
        </w:tc>
        <w:tc>
          <w:tcPr>
            <w:tcW w:w="2925" w:type="pct"/>
            <w:tcBorders>
              <w:top w:val="nil"/>
              <w:left w:val="nil"/>
              <w:bottom w:val="single" w:color="auto" w:sz="4" w:space="0"/>
              <w:right w:val="single" w:color="auto" w:sz="4" w:space="0"/>
            </w:tcBorders>
            <w:noWrap/>
            <w:vAlign w:val="center"/>
          </w:tcPr>
          <w:p w14:paraId="7DA5BD70">
            <w:pPr>
              <w:widowControl/>
              <w:jc w:val="left"/>
              <w:rPr>
                <w:rFonts w:ascii="宋体" w:hAnsi="宋体" w:cs="宋体"/>
                <w:kern w:val="0"/>
                <w:sz w:val="24"/>
              </w:rPr>
            </w:pPr>
            <w:r>
              <w:rPr>
                <w:rFonts w:hint="eastAsia" w:ascii="宋体" w:hAnsi="宋体" w:cs="宋体"/>
                <w:kern w:val="0"/>
                <w:sz w:val="24"/>
              </w:rPr>
              <w:t>NAT设备</w:t>
            </w:r>
          </w:p>
        </w:tc>
        <w:tc>
          <w:tcPr>
            <w:tcW w:w="832" w:type="pct"/>
            <w:tcBorders>
              <w:top w:val="nil"/>
              <w:left w:val="nil"/>
              <w:bottom w:val="single" w:color="auto" w:sz="4" w:space="0"/>
              <w:right w:val="single" w:color="auto" w:sz="4" w:space="0"/>
            </w:tcBorders>
            <w:noWrap/>
            <w:vAlign w:val="center"/>
          </w:tcPr>
          <w:p w14:paraId="5A616839">
            <w:pPr>
              <w:widowControl/>
              <w:jc w:val="center"/>
              <w:rPr>
                <w:rFonts w:ascii="宋体" w:hAnsi="宋体" w:cs="宋体"/>
                <w:kern w:val="0"/>
                <w:sz w:val="24"/>
              </w:rPr>
            </w:pPr>
            <w:r>
              <w:rPr>
                <w:rFonts w:hint="eastAsia" w:ascii="宋体" w:hAnsi="宋体" w:cs="宋体"/>
                <w:kern w:val="0"/>
                <w:sz w:val="24"/>
              </w:rPr>
              <w:t>台</w:t>
            </w:r>
          </w:p>
        </w:tc>
        <w:tc>
          <w:tcPr>
            <w:tcW w:w="765" w:type="pct"/>
            <w:tcBorders>
              <w:top w:val="nil"/>
              <w:left w:val="nil"/>
              <w:bottom w:val="single" w:color="auto" w:sz="4" w:space="0"/>
              <w:right w:val="single" w:color="auto" w:sz="4" w:space="0"/>
            </w:tcBorders>
            <w:noWrap/>
            <w:vAlign w:val="center"/>
          </w:tcPr>
          <w:p w14:paraId="65E83A55">
            <w:pPr>
              <w:widowControl/>
              <w:jc w:val="center"/>
              <w:rPr>
                <w:rFonts w:ascii="宋体" w:hAnsi="宋体" w:cs="宋体"/>
                <w:kern w:val="0"/>
                <w:sz w:val="24"/>
              </w:rPr>
            </w:pPr>
            <w:r>
              <w:rPr>
                <w:rFonts w:hint="eastAsia" w:ascii="宋体" w:hAnsi="宋体" w:cs="宋体"/>
                <w:kern w:val="0"/>
                <w:sz w:val="24"/>
              </w:rPr>
              <w:t>1</w:t>
            </w:r>
          </w:p>
        </w:tc>
      </w:tr>
      <w:tr w14:paraId="6F573E7C">
        <w:tblPrEx>
          <w:tblCellMar>
            <w:top w:w="0" w:type="dxa"/>
            <w:left w:w="108" w:type="dxa"/>
            <w:bottom w:w="0" w:type="dxa"/>
            <w:right w:w="108" w:type="dxa"/>
          </w:tblCellMar>
        </w:tblPrEx>
        <w:trPr>
          <w:trHeight w:val="390" w:hRule="atLeast"/>
        </w:trPr>
        <w:tc>
          <w:tcPr>
            <w:tcW w:w="478" w:type="pct"/>
            <w:tcBorders>
              <w:top w:val="nil"/>
              <w:left w:val="single" w:color="auto" w:sz="4" w:space="0"/>
              <w:bottom w:val="single" w:color="auto" w:sz="4" w:space="0"/>
              <w:right w:val="single" w:color="auto" w:sz="4" w:space="0"/>
            </w:tcBorders>
            <w:noWrap/>
            <w:vAlign w:val="center"/>
          </w:tcPr>
          <w:p w14:paraId="7D12FEAD">
            <w:pPr>
              <w:widowControl/>
              <w:jc w:val="center"/>
              <w:rPr>
                <w:rFonts w:ascii="宋体" w:hAnsi="宋体" w:cs="宋体"/>
                <w:kern w:val="0"/>
                <w:sz w:val="24"/>
              </w:rPr>
            </w:pPr>
            <w:r>
              <w:rPr>
                <w:rFonts w:hint="eastAsia" w:ascii="宋体" w:hAnsi="宋体" w:cs="宋体"/>
                <w:kern w:val="0"/>
                <w:sz w:val="24"/>
              </w:rPr>
              <w:t>5</w:t>
            </w:r>
          </w:p>
        </w:tc>
        <w:tc>
          <w:tcPr>
            <w:tcW w:w="2925" w:type="pct"/>
            <w:tcBorders>
              <w:top w:val="nil"/>
              <w:left w:val="nil"/>
              <w:bottom w:val="single" w:color="auto" w:sz="4" w:space="0"/>
              <w:right w:val="single" w:color="auto" w:sz="4" w:space="0"/>
            </w:tcBorders>
            <w:noWrap/>
            <w:vAlign w:val="center"/>
          </w:tcPr>
          <w:p w14:paraId="5CC11FA4">
            <w:pPr>
              <w:widowControl/>
              <w:jc w:val="left"/>
              <w:rPr>
                <w:rFonts w:ascii="宋体" w:hAnsi="宋体" w:cs="宋体"/>
                <w:kern w:val="0"/>
                <w:sz w:val="24"/>
              </w:rPr>
            </w:pPr>
            <w:r>
              <w:rPr>
                <w:rFonts w:hint="eastAsia" w:ascii="宋体" w:hAnsi="宋体" w:cs="宋体"/>
                <w:kern w:val="0"/>
                <w:sz w:val="24"/>
              </w:rPr>
              <w:t>堡垒机</w:t>
            </w:r>
          </w:p>
        </w:tc>
        <w:tc>
          <w:tcPr>
            <w:tcW w:w="832" w:type="pct"/>
            <w:tcBorders>
              <w:top w:val="nil"/>
              <w:left w:val="nil"/>
              <w:bottom w:val="single" w:color="auto" w:sz="4" w:space="0"/>
              <w:right w:val="single" w:color="auto" w:sz="4" w:space="0"/>
            </w:tcBorders>
            <w:noWrap/>
            <w:vAlign w:val="center"/>
          </w:tcPr>
          <w:p w14:paraId="77E7CCE3">
            <w:pPr>
              <w:widowControl/>
              <w:jc w:val="center"/>
              <w:rPr>
                <w:rFonts w:ascii="宋体" w:hAnsi="宋体" w:cs="宋体"/>
                <w:kern w:val="0"/>
                <w:sz w:val="24"/>
              </w:rPr>
            </w:pPr>
            <w:r>
              <w:rPr>
                <w:rFonts w:hint="eastAsia" w:ascii="宋体" w:hAnsi="宋体" w:cs="宋体"/>
                <w:kern w:val="0"/>
                <w:sz w:val="24"/>
              </w:rPr>
              <w:t>台</w:t>
            </w:r>
          </w:p>
        </w:tc>
        <w:tc>
          <w:tcPr>
            <w:tcW w:w="765" w:type="pct"/>
            <w:tcBorders>
              <w:top w:val="nil"/>
              <w:left w:val="nil"/>
              <w:bottom w:val="single" w:color="auto" w:sz="4" w:space="0"/>
              <w:right w:val="single" w:color="auto" w:sz="4" w:space="0"/>
            </w:tcBorders>
            <w:noWrap/>
            <w:vAlign w:val="center"/>
          </w:tcPr>
          <w:p w14:paraId="12AC1967">
            <w:pPr>
              <w:widowControl/>
              <w:jc w:val="center"/>
              <w:rPr>
                <w:rFonts w:ascii="宋体" w:hAnsi="宋体" w:cs="宋体"/>
                <w:kern w:val="0"/>
                <w:sz w:val="24"/>
              </w:rPr>
            </w:pPr>
            <w:r>
              <w:rPr>
                <w:rFonts w:hint="eastAsia" w:ascii="宋体" w:hAnsi="宋体" w:cs="宋体"/>
                <w:kern w:val="0"/>
                <w:sz w:val="24"/>
              </w:rPr>
              <w:t>1</w:t>
            </w:r>
          </w:p>
        </w:tc>
      </w:tr>
      <w:tr w14:paraId="0C444C66">
        <w:tblPrEx>
          <w:tblCellMar>
            <w:top w:w="0" w:type="dxa"/>
            <w:left w:w="108" w:type="dxa"/>
            <w:bottom w:w="0" w:type="dxa"/>
            <w:right w:w="108" w:type="dxa"/>
          </w:tblCellMar>
        </w:tblPrEx>
        <w:trPr>
          <w:trHeight w:val="390" w:hRule="atLeast"/>
        </w:trPr>
        <w:tc>
          <w:tcPr>
            <w:tcW w:w="478" w:type="pct"/>
            <w:tcBorders>
              <w:top w:val="nil"/>
              <w:left w:val="single" w:color="auto" w:sz="4" w:space="0"/>
              <w:bottom w:val="single" w:color="auto" w:sz="4" w:space="0"/>
              <w:right w:val="single" w:color="auto" w:sz="4" w:space="0"/>
            </w:tcBorders>
            <w:noWrap/>
            <w:vAlign w:val="center"/>
          </w:tcPr>
          <w:p w14:paraId="0105127D">
            <w:pPr>
              <w:widowControl/>
              <w:jc w:val="center"/>
              <w:rPr>
                <w:rFonts w:ascii="宋体" w:hAnsi="宋体" w:cs="宋体"/>
                <w:kern w:val="0"/>
                <w:sz w:val="24"/>
              </w:rPr>
            </w:pPr>
            <w:r>
              <w:rPr>
                <w:rFonts w:hint="eastAsia" w:ascii="宋体" w:hAnsi="宋体" w:cs="宋体"/>
                <w:kern w:val="0"/>
                <w:sz w:val="24"/>
              </w:rPr>
              <w:t>6</w:t>
            </w:r>
          </w:p>
        </w:tc>
        <w:tc>
          <w:tcPr>
            <w:tcW w:w="2925" w:type="pct"/>
            <w:tcBorders>
              <w:top w:val="nil"/>
              <w:left w:val="nil"/>
              <w:bottom w:val="single" w:color="auto" w:sz="4" w:space="0"/>
              <w:right w:val="single" w:color="auto" w:sz="4" w:space="0"/>
            </w:tcBorders>
            <w:noWrap/>
            <w:vAlign w:val="center"/>
          </w:tcPr>
          <w:p w14:paraId="3AA2E734">
            <w:pPr>
              <w:widowControl/>
              <w:jc w:val="left"/>
              <w:rPr>
                <w:rFonts w:ascii="宋体" w:hAnsi="宋体" w:cs="宋体"/>
                <w:kern w:val="0"/>
                <w:sz w:val="24"/>
              </w:rPr>
            </w:pPr>
            <w:r>
              <w:rPr>
                <w:rFonts w:hint="eastAsia" w:ascii="宋体" w:hAnsi="宋体" w:cs="宋体"/>
                <w:kern w:val="0"/>
                <w:sz w:val="24"/>
              </w:rPr>
              <w:t>运维服务器</w:t>
            </w:r>
          </w:p>
        </w:tc>
        <w:tc>
          <w:tcPr>
            <w:tcW w:w="832" w:type="pct"/>
            <w:tcBorders>
              <w:top w:val="nil"/>
              <w:left w:val="nil"/>
              <w:bottom w:val="single" w:color="auto" w:sz="4" w:space="0"/>
              <w:right w:val="single" w:color="auto" w:sz="4" w:space="0"/>
            </w:tcBorders>
            <w:noWrap/>
            <w:vAlign w:val="center"/>
          </w:tcPr>
          <w:p w14:paraId="168C8CA9">
            <w:pPr>
              <w:widowControl/>
              <w:jc w:val="center"/>
              <w:rPr>
                <w:rFonts w:ascii="宋体" w:hAnsi="宋体" w:cs="宋体"/>
                <w:kern w:val="0"/>
                <w:sz w:val="24"/>
              </w:rPr>
            </w:pPr>
            <w:r>
              <w:rPr>
                <w:rFonts w:hint="eastAsia" w:ascii="宋体" w:hAnsi="宋体" w:cs="宋体"/>
                <w:kern w:val="0"/>
                <w:sz w:val="24"/>
              </w:rPr>
              <w:t>台</w:t>
            </w:r>
          </w:p>
        </w:tc>
        <w:tc>
          <w:tcPr>
            <w:tcW w:w="765" w:type="pct"/>
            <w:tcBorders>
              <w:top w:val="nil"/>
              <w:left w:val="nil"/>
              <w:bottom w:val="single" w:color="auto" w:sz="4" w:space="0"/>
              <w:right w:val="single" w:color="auto" w:sz="4" w:space="0"/>
            </w:tcBorders>
            <w:noWrap/>
            <w:vAlign w:val="center"/>
          </w:tcPr>
          <w:p w14:paraId="28FCFB60">
            <w:pPr>
              <w:widowControl/>
              <w:jc w:val="center"/>
              <w:rPr>
                <w:rFonts w:ascii="宋体" w:hAnsi="宋体" w:cs="宋体"/>
                <w:kern w:val="0"/>
                <w:sz w:val="24"/>
              </w:rPr>
            </w:pPr>
            <w:r>
              <w:rPr>
                <w:rFonts w:hint="eastAsia" w:ascii="宋体" w:hAnsi="宋体" w:cs="宋体"/>
                <w:kern w:val="0"/>
                <w:sz w:val="24"/>
              </w:rPr>
              <w:t>1</w:t>
            </w:r>
          </w:p>
        </w:tc>
      </w:tr>
      <w:tr w14:paraId="6E36D287">
        <w:tblPrEx>
          <w:tblCellMar>
            <w:top w:w="0" w:type="dxa"/>
            <w:left w:w="108" w:type="dxa"/>
            <w:bottom w:w="0" w:type="dxa"/>
            <w:right w:w="108" w:type="dxa"/>
          </w:tblCellMar>
        </w:tblPrEx>
        <w:trPr>
          <w:trHeight w:val="390" w:hRule="atLeast"/>
        </w:trPr>
        <w:tc>
          <w:tcPr>
            <w:tcW w:w="478" w:type="pct"/>
            <w:tcBorders>
              <w:top w:val="nil"/>
              <w:left w:val="single" w:color="auto" w:sz="4" w:space="0"/>
              <w:bottom w:val="single" w:color="auto" w:sz="4" w:space="0"/>
              <w:right w:val="single" w:color="auto" w:sz="4" w:space="0"/>
            </w:tcBorders>
            <w:noWrap/>
            <w:vAlign w:val="center"/>
          </w:tcPr>
          <w:p w14:paraId="33339336">
            <w:pPr>
              <w:widowControl/>
              <w:jc w:val="center"/>
              <w:rPr>
                <w:rFonts w:ascii="宋体" w:hAnsi="宋体" w:cs="宋体"/>
                <w:kern w:val="0"/>
                <w:sz w:val="24"/>
              </w:rPr>
            </w:pPr>
            <w:r>
              <w:rPr>
                <w:rFonts w:hint="eastAsia" w:ascii="宋体" w:hAnsi="宋体" w:cs="宋体"/>
                <w:kern w:val="0"/>
                <w:sz w:val="24"/>
              </w:rPr>
              <w:t>7</w:t>
            </w:r>
          </w:p>
        </w:tc>
        <w:tc>
          <w:tcPr>
            <w:tcW w:w="2925" w:type="pct"/>
            <w:tcBorders>
              <w:top w:val="nil"/>
              <w:left w:val="nil"/>
              <w:bottom w:val="single" w:color="auto" w:sz="4" w:space="0"/>
              <w:right w:val="single" w:color="auto" w:sz="4" w:space="0"/>
            </w:tcBorders>
            <w:noWrap/>
            <w:vAlign w:val="center"/>
          </w:tcPr>
          <w:p w14:paraId="5CA35442">
            <w:pPr>
              <w:widowControl/>
              <w:jc w:val="left"/>
              <w:rPr>
                <w:rFonts w:ascii="宋体" w:hAnsi="宋体" w:cs="宋体"/>
                <w:kern w:val="0"/>
                <w:sz w:val="24"/>
              </w:rPr>
            </w:pPr>
            <w:r>
              <w:rPr>
                <w:rFonts w:hint="eastAsia" w:ascii="宋体" w:hAnsi="宋体" w:cs="宋体"/>
                <w:kern w:val="0"/>
                <w:sz w:val="24"/>
              </w:rPr>
              <w:t>日志审计</w:t>
            </w:r>
          </w:p>
        </w:tc>
        <w:tc>
          <w:tcPr>
            <w:tcW w:w="832" w:type="pct"/>
            <w:tcBorders>
              <w:top w:val="nil"/>
              <w:left w:val="nil"/>
              <w:bottom w:val="single" w:color="auto" w:sz="4" w:space="0"/>
              <w:right w:val="single" w:color="auto" w:sz="4" w:space="0"/>
            </w:tcBorders>
            <w:noWrap/>
            <w:vAlign w:val="center"/>
          </w:tcPr>
          <w:p w14:paraId="00E4596C">
            <w:pPr>
              <w:widowControl/>
              <w:jc w:val="center"/>
              <w:rPr>
                <w:rFonts w:ascii="宋体" w:hAnsi="宋体" w:cs="宋体"/>
                <w:kern w:val="0"/>
                <w:sz w:val="24"/>
              </w:rPr>
            </w:pPr>
            <w:r>
              <w:rPr>
                <w:rFonts w:hint="eastAsia" w:ascii="宋体" w:hAnsi="宋体" w:cs="宋体"/>
                <w:kern w:val="0"/>
                <w:sz w:val="24"/>
              </w:rPr>
              <w:t>台</w:t>
            </w:r>
          </w:p>
        </w:tc>
        <w:tc>
          <w:tcPr>
            <w:tcW w:w="765" w:type="pct"/>
            <w:tcBorders>
              <w:top w:val="nil"/>
              <w:left w:val="nil"/>
              <w:bottom w:val="single" w:color="auto" w:sz="4" w:space="0"/>
              <w:right w:val="single" w:color="auto" w:sz="4" w:space="0"/>
            </w:tcBorders>
            <w:noWrap/>
            <w:vAlign w:val="center"/>
          </w:tcPr>
          <w:p w14:paraId="534737DC">
            <w:pPr>
              <w:widowControl/>
              <w:jc w:val="center"/>
              <w:rPr>
                <w:rFonts w:ascii="宋体" w:hAnsi="宋体" w:cs="宋体"/>
                <w:kern w:val="0"/>
                <w:sz w:val="24"/>
              </w:rPr>
            </w:pPr>
            <w:r>
              <w:rPr>
                <w:rFonts w:hint="eastAsia" w:ascii="宋体" w:hAnsi="宋体" w:cs="宋体"/>
                <w:kern w:val="0"/>
                <w:sz w:val="24"/>
              </w:rPr>
              <w:t>1</w:t>
            </w:r>
          </w:p>
        </w:tc>
      </w:tr>
      <w:tr w14:paraId="10E390CA">
        <w:tblPrEx>
          <w:tblCellMar>
            <w:top w:w="0" w:type="dxa"/>
            <w:left w:w="108" w:type="dxa"/>
            <w:bottom w:w="0" w:type="dxa"/>
            <w:right w:w="108" w:type="dxa"/>
          </w:tblCellMar>
        </w:tblPrEx>
        <w:trPr>
          <w:trHeight w:val="390" w:hRule="atLeast"/>
        </w:trPr>
        <w:tc>
          <w:tcPr>
            <w:tcW w:w="478" w:type="pct"/>
            <w:tcBorders>
              <w:top w:val="nil"/>
              <w:left w:val="single" w:color="auto" w:sz="4" w:space="0"/>
              <w:bottom w:val="single" w:color="auto" w:sz="4" w:space="0"/>
              <w:right w:val="single" w:color="auto" w:sz="4" w:space="0"/>
            </w:tcBorders>
            <w:noWrap/>
            <w:vAlign w:val="center"/>
          </w:tcPr>
          <w:p w14:paraId="48378804">
            <w:pPr>
              <w:widowControl/>
              <w:jc w:val="center"/>
              <w:rPr>
                <w:rFonts w:ascii="宋体" w:hAnsi="宋体" w:cs="宋体"/>
                <w:kern w:val="0"/>
                <w:sz w:val="24"/>
              </w:rPr>
            </w:pPr>
            <w:r>
              <w:rPr>
                <w:rFonts w:hint="eastAsia" w:ascii="宋体" w:hAnsi="宋体" w:cs="宋体"/>
                <w:kern w:val="0"/>
                <w:sz w:val="24"/>
              </w:rPr>
              <w:t>8</w:t>
            </w:r>
          </w:p>
        </w:tc>
        <w:tc>
          <w:tcPr>
            <w:tcW w:w="2925" w:type="pct"/>
            <w:tcBorders>
              <w:top w:val="nil"/>
              <w:left w:val="nil"/>
              <w:bottom w:val="single" w:color="auto" w:sz="4" w:space="0"/>
              <w:right w:val="single" w:color="auto" w:sz="4" w:space="0"/>
            </w:tcBorders>
            <w:noWrap/>
            <w:vAlign w:val="center"/>
          </w:tcPr>
          <w:p w14:paraId="1569EEC7">
            <w:pPr>
              <w:widowControl/>
              <w:jc w:val="left"/>
              <w:rPr>
                <w:rFonts w:ascii="宋体" w:hAnsi="宋体" w:cs="宋体"/>
                <w:kern w:val="0"/>
                <w:sz w:val="24"/>
              </w:rPr>
            </w:pPr>
            <w:r>
              <w:rPr>
                <w:rFonts w:hint="eastAsia" w:ascii="宋体" w:hAnsi="宋体" w:cs="宋体"/>
                <w:kern w:val="0"/>
                <w:sz w:val="24"/>
              </w:rPr>
              <w:t>安全域接入网</w:t>
            </w:r>
            <w:r>
              <w:rPr>
                <w:rFonts w:ascii="宋体" w:hAnsi="宋体" w:cs="宋体"/>
                <w:kern w:val="0"/>
                <w:sz w:val="24"/>
              </w:rPr>
              <w:t>关</w:t>
            </w:r>
          </w:p>
        </w:tc>
        <w:tc>
          <w:tcPr>
            <w:tcW w:w="832" w:type="pct"/>
            <w:tcBorders>
              <w:top w:val="nil"/>
              <w:left w:val="nil"/>
              <w:bottom w:val="single" w:color="auto" w:sz="4" w:space="0"/>
              <w:right w:val="single" w:color="auto" w:sz="4" w:space="0"/>
            </w:tcBorders>
            <w:noWrap/>
            <w:vAlign w:val="center"/>
          </w:tcPr>
          <w:p w14:paraId="1BF9FC4C">
            <w:pPr>
              <w:widowControl/>
              <w:jc w:val="center"/>
              <w:rPr>
                <w:rFonts w:ascii="宋体" w:hAnsi="宋体" w:cs="宋体"/>
                <w:kern w:val="0"/>
                <w:sz w:val="24"/>
              </w:rPr>
            </w:pPr>
            <w:r>
              <w:rPr>
                <w:rFonts w:hint="eastAsia" w:ascii="宋体" w:hAnsi="宋体" w:cs="宋体"/>
                <w:kern w:val="0"/>
                <w:sz w:val="24"/>
              </w:rPr>
              <w:t>台</w:t>
            </w:r>
          </w:p>
        </w:tc>
        <w:tc>
          <w:tcPr>
            <w:tcW w:w="765" w:type="pct"/>
            <w:tcBorders>
              <w:top w:val="nil"/>
              <w:left w:val="nil"/>
              <w:bottom w:val="single" w:color="auto" w:sz="4" w:space="0"/>
              <w:right w:val="single" w:color="auto" w:sz="4" w:space="0"/>
            </w:tcBorders>
            <w:noWrap/>
            <w:vAlign w:val="center"/>
          </w:tcPr>
          <w:p w14:paraId="6050A555">
            <w:pPr>
              <w:widowControl/>
              <w:jc w:val="center"/>
              <w:rPr>
                <w:rFonts w:ascii="宋体" w:hAnsi="宋体" w:cs="宋体"/>
                <w:kern w:val="0"/>
                <w:sz w:val="24"/>
              </w:rPr>
            </w:pPr>
            <w:r>
              <w:rPr>
                <w:rFonts w:hint="eastAsia" w:ascii="宋体" w:hAnsi="宋体" w:cs="宋体"/>
                <w:kern w:val="0"/>
                <w:sz w:val="24"/>
              </w:rPr>
              <w:t>24</w:t>
            </w:r>
          </w:p>
        </w:tc>
      </w:tr>
      <w:tr w14:paraId="47115A07">
        <w:tblPrEx>
          <w:tblCellMar>
            <w:top w:w="0" w:type="dxa"/>
            <w:left w:w="108" w:type="dxa"/>
            <w:bottom w:w="0" w:type="dxa"/>
            <w:right w:w="108" w:type="dxa"/>
          </w:tblCellMar>
        </w:tblPrEx>
        <w:trPr>
          <w:trHeight w:val="390" w:hRule="atLeast"/>
        </w:trPr>
        <w:tc>
          <w:tcPr>
            <w:tcW w:w="478" w:type="pct"/>
            <w:tcBorders>
              <w:top w:val="nil"/>
              <w:left w:val="single" w:color="auto" w:sz="4" w:space="0"/>
              <w:bottom w:val="single" w:color="auto" w:sz="4" w:space="0"/>
              <w:right w:val="single" w:color="auto" w:sz="4" w:space="0"/>
            </w:tcBorders>
            <w:noWrap/>
            <w:vAlign w:val="center"/>
          </w:tcPr>
          <w:p w14:paraId="05363FDF">
            <w:pPr>
              <w:widowControl/>
              <w:jc w:val="center"/>
              <w:rPr>
                <w:rFonts w:ascii="宋体" w:hAnsi="宋体" w:cs="宋体"/>
                <w:kern w:val="0"/>
                <w:sz w:val="24"/>
              </w:rPr>
            </w:pPr>
            <w:r>
              <w:rPr>
                <w:rFonts w:hint="eastAsia" w:ascii="宋体" w:hAnsi="宋体" w:cs="宋体"/>
                <w:kern w:val="0"/>
                <w:sz w:val="24"/>
              </w:rPr>
              <w:t>9</w:t>
            </w:r>
          </w:p>
        </w:tc>
        <w:tc>
          <w:tcPr>
            <w:tcW w:w="2925" w:type="pct"/>
            <w:tcBorders>
              <w:top w:val="nil"/>
              <w:left w:val="nil"/>
              <w:bottom w:val="single" w:color="auto" w:sz="4" w:space="0"/>
              <w:right w:val="single" w:color="auto" w:sz="4" w:space="0"/>
            </w:tcBorders>
            <w:noWrap/>
            <w:vAlign w:val="center"/>
          </w:tcPr>
          <w:p w14:paraId="0D3D011E">
            <w:pPr>
              <w:widowControl/>
              <w:jc w:val="left"/>
              <w:rPr>
                <w:rFonts w:ascii="宋体" w:hAnsi="宋体" w:cs="宋体"/>
                <w:kern w:val="0"/>
                <w:sz w:val="24"/>
              </w:rPr>
            </w:pPr>
            <w:r>
              <w:rPr>
                <w:rFonts w:hint="eastAsia" w:ascii="宋体" w:hAnsi="宋体" w:cs="宋体"/>
                <w:kern w:val="0"/>
                <w:sz w:val="24"/>
              </w:rPr>
              <w:t>接入防火墙</w:t>
            </w:r>
          </w:p>
        </w:tc>
        <w:tc>
          <w:tcPr>
            <w:tcW w:w="832" w:type="pct"/>
            <w:tcBorders>
              <w:top w:val="nil"/>
              <w:left w:val="nil"/>
              <w:bottom w:val="single" w:color="auto" w:sz="4" w:space="0"/>
              <w:right w:val="single" w:color="auto" w:sz="4" w:space="0"/>
            </w:tcBorders>
            <w:noWrap/>
            <w:vAlign w:val="center"/>
          </w:tcPr>
          <w:p w14:paraId="78608ABA">
            <w:pPr>
              <w:widowControl/>
              <w:jc w:val="center"/>
              <w:rPr>
                <w:rFonts w:ascii="宋体" w:hAnsi="宋体" w:cs="宋体"/>
                <w:kern w:val="0"/>
                <w:sz w:val="24"/>
              </w:rPr>
            </w:pPr>
            <w:r>
              <w:rPr>
                <w:rFonts w:hint="eastAsia" w:ascii="宋体" w:hAnsi="宋体" w:cs="宋体"/>
                <w:kern w:val="0"/>
                <w:sz w:val="24"/>
              </w:rPr>
              <w:t>台</w:t>
            </w:r>
          </w:p>
        </w:tc>
        <w:tc>
          <w:tcPr>
            <w:tcW w:w="765" w:type="pct"/>
            <w:tcBorders>
              <w:top w:val="nil"/>
              <w:left w:val="nil"/>
              <w:bottom w:val="single" w:color="auto" w:sz="4" w:space="0"/>
              <w:right w:val="single" w:color="auto" w:sz="4" w:space="0"/>
            </w:tcBorders>
            <w:noWrap/>
            <w:vAlign w:val="center"/>
          </w:tcPr>
          <w:p w14:paraId="2AB6EF91">
            <w:pPr>
              <w:widowControl/>
              <w:jc w:val="center"/>
              <w:rPr>
                <w:rFonts w:ascii="宋体" w:hAnsi="宋体" w:cs="宋体"/>
                <w:kern w:val="0"/>
                <w:sz w:val="24"/>
              </w:rPr>
            </w:pPr>
            <w:r>
              <w:rPr>
                <w:rFonts w:hint="eastAsia" w:ascii="宋体" w:hAnsi="宋体" w:cs="宋体"/>
                <w:kern w:val="0"/>
                <w:sz w:val="24"/>
              </w:rPr>
              <w:t>24</w:t>
            </w:r>
          </w:p>
        </w:tc>
      </w:tr>
      <w:tr w14:paraId="20849352">
        <w:tblPrEx>
          <w:tblCellMar>
            <w:top w:w="0" w:type="dxa"/>
            <w:left w:w="108" w:type="dxa"/>
            <w:bottom w:w="0" w:type="dxa"/>
            <w:right w:w="108" w:type="dxa"/>
          </w:tblCellMar>
        </w:tblPrEx>
        <w:trPr>
          <w:trHeight w:val="390" w:hRule="atLeast"/>
        </w:trPr>
        <w:tc>
          <w:tcPr>
            <w:tcW w:w="478" w:type="pct"/>
            <w:tcBorders>
              <w:top w:val="nil"/>
              <w:left w:val="single" w:color="auto" w:sz="4" w:space="0"/>
              <w:bottom w:val="single" w:color="auto" w:sz="4" w:space="0"/>
              <w:right w:val="single" w:color="auto" w:sz="4" w:space="0"/>
            </w:tcBorders>
            <w:noWrap/>
            <w:vAlign w:val="center"/>
          </w:tcPr>
          <w:p w14:paraId="54B9BC74">
            <w:pPr>
              <w:widowControl/>
              <w:jc w:val="center"/>
              <w:rPr>
                <w:rFonts w:ascii="宋体" w:hAnsi="宋体" w:cs="宋体"/>
                <w:kern w:val="0"/>
                <w:sz w:val="24"/>
              </w:rPr>
            </w:pPr>
            <w:r>
              <w:rPr>
                <w:rFonts w:hint="eastAsia" w:ascii="宋体" w:hAnsi="宋体" w:cs="宋体"/>
                <w:kern w:val="0"/>
                <w:sz w:val="24"/>
              </w:rPr>
              <w:t>10</w:t>
            </w:r>
          </w:p>
        </w:tc>
        <w:tc>
          <w:tcPr>
            <w:tcW w:w="2925" w:type="pct"/>
            <w:tcBorders>
              <w:top w:val="nil"/>
              <w:left w:val="nil"/>
              <w:bottom w:val="single" w:color="auto" w:sz="4" w:space="0"/>
              <w:right w:val="single" w:color="auto" w:sz="4" w:space="0"/>
            </w:tcBorders>
            <w:noWrap/>
            <w:vAlign w:val="center"/>
          </w:tcPr>
          <w:p w14:paraId="747F96BD">
            <w:pPr>
              <w:widowControl/>
              <w:jc w:val="left"/>
              <w:rPr>
                <w:rFonts w:ascii="宋体" w:hAnsi="宋体" w:cs="宋体"/>
                <w:kern w:val="0"/>
                <w:sz w:val="24"/>
              </w:rPr>
            </w:pPr>
            <w:r>
              <w:rPr>
                <w:rFonts w:hint="eastAsia" w:ascii="宋体" w:hAnsi="宋体" w:cs="宋体"/>
                <w:kern w:val="0"/>
                <w:sz w:val="24"/>
              </w:rPr>
              <w:t>交换机</w:t>
            </w:r>
          </w:p>
        </w:tc>
        <w:tc>
          <w:tcPr>
            <w:tcW w:w="832" w:type="pct"/>
            <w:tcBorders>
              <w:top w:val="nil"/>
              <w:left w:val="nil"/>
              <w:bottom w:val="single" w:color="auto" w:sz="4" w:space="0"/>
              <w:right w:val="single" w:color="auto" w:sz="4" w:space="0"/>
            </w:tcBorders>
            <w:noWrap/>
            <w:vAlign w:val="center"/>
          </w:tcPr>
          <w:p w14:paraId="5DC6C060">
            <w:pPr>
              <w:widowControl/>
              <w:jc w:val="center"/>
              <w:rPr>
                <w:rFonts w:ascii="宋体" w:hAnsi="宋体" w:cs="宋体"/>
                <w:kern w:val="0"/>
                <w:sz w:val="24"/>
              </w:rPr>
            </w:pPr>
            <w:r>
              <w:rPr>
                <w:rFonts w:hint="eastAsia" w:ascii="宋体" w:hAnsi="宋体" w:cs="宋体"/>
                <w:kern w:val="0"/>
                <w:sz w:val="24"/>
              </w:rPr>
              <w:t>台</w:t>
            </w:r>
          </w:p>
        </w:tc>
        <w:tc>
          <w:tcPr>
            <w:tcW w:w="765" w:type="pct"/>
            <w:tcBorders>
              <w:top w:val="nil"/>
              <w:left w:val="nil"/>
              <w:bottom w:val="single" w:color="auto" w:sz="4" w:space="0"/>
              <w:right w:val="single" w:color="auto" w:sz="4" w:space="0"/>
            </w:tcBorders>
            <w:noWrap/>
            <w:vAlign w:val="center"/>
          </w:tcPr>
          <w:p w14:paraId="2CCF1C7C">
            <w:pPr>
              <w:widowControl/>
              <w:jc w:val="center"/>
              <w:rPr>
                <w:rFonts w:ascii="宋体" w:hAnsi="宋体" w:cs="宋体"/>
                <w:kern w:val="0"/>
                <w:sz w:val="24"/>
              </w:rPr>
            </w:pPr>
            <w:r>
              <w:rPr>
                <w:rFonts w:hint="eastAsia" w:ascii="宋体" w:hAnsi="宋体" w:cs="宋体"/>
                <w:kern w:val="0"/>
                <w:sz w:val="24"/>
              </w:rPr>
              <w:t>24</w:t>
            </w:r>
          </w:p>
        </w:tc>
      </w:tr>
      <w:tr w14:paraId="569518F1">
        <w:tblPrEx>
          <w:tblCellMar>
            <w:top w:w="0" w:type="dxa"/>
            <w:left w:w="108" w:type="dxa"/>
            <w:bottom w:w="0" w:type="dxa"/>
            <w:right w:w="108" w:type="dxa"/>
          </w:tblCellMar>
        </w:tblPrEx>
        <w:trPr>
          <w:trHeight w:val="390" w:hRule="atLeast"/>
        </w:trPr>
        <w:tc>
          <w:tcPr>
            <w:tcW w:w="478" w:type="pct"/>
            <w:tcBorders>
              <w:top w:val="nil"/>
              <w:left w:val="single" w:color="auto" w:sz="4" w:space="0"/>
              <w:bottom w:val="single" w:color="auto" w:sz="4" w:space="0"/>
              <w:right w:val="single" w:color="auto" w:sz="4" w:space="0"/>
            </w:tcBorders>
            <w:noWrap/>
            <w:vAlign w:val="center"/>
          </w:tcPr>
          <w:p w14:paraId="7FB79BE6">
            <w:pPr>
              <w:widowControl/>
              <w:jc w:val="center"/>
              <w:rPr>
                <w:rFonts w:ascii="宋体" w:hAnsi="宋体" w:cs="宋体"/>
                <w:kern w:val="0"/>
                <w:sz w:val="24"/>
              </w:rPr>
            </w:pPr>
            <w:r>
              <w:rPr>
                <w:rFonts w:hint="eastAsia" w:ascii="宋体" w:hAnsi="宋体" w:cs="宋体"/>
                <w:kern w:val="0"/>
                <w:sz w:val="24"/>
              </w:rPr>
              <w:t>11</w:t>
            </w:r>
          </w:p>
        </w:tc>
        <w:tc>
          <w:tcPr>
            <w:tcW w:w="2925" w:type="pct"/>
            <w:tcBorders>
              <w:top w:val="nil"/>
              <w:left w:val="nil"/>
              <w:bottom w:val="single" w:color="auto" w:sz="4" w:space="0"/>
              <w:right w:val="single" w:color="auto" w:sz="4" w:space="0"/>
            </w:tcBorders>
            <w:noWrap/>
            <w:vAlign w:val="center"/>
          </w:tcPr>
          <w:p w14:paraId="41E4D332">
            <w:pPr>
              <w:widowControl/>
              <w:jc w:val="left"/>
              <w:rPr>
                <w:rFonts w:ascii="宋体" w:hAnsi="宋体" w:cs="宋体"/>
                <w:kern w:val="0"/>
                <w:sz w:val="24"/>
              </w:rPr>
            </w:pPr>
            <w:r>
              <w:rPr>
                <w:rFonts w:hint="eastAsia" w:ascii="宋体" w:hAnsi="宋体" w:cs="宋体"/>
                <w:kern w:val="0"/>
                <w:sz w:val="24"/>
              </w:rPr>
              <w:t>运维管理软件</w:t>
            </w:r>
          </w:p>
        </w:tc>
        <w:tc>
          <w:tcPr>
            <w:tcW w:w="832" w:type="pct"/>
            <w:tcBorders>
              <w:top w:val="nil"/>
              <w:left w:val="nil"/>
              <w:bottom w:val="single" w:color="auto" w:sz="4" w:space="0"/>
              <w:right w:val="single" w:color="auto" w:sz="4" w:space="0"/>
            </w:tcBorders>
            <w:noWrap/>
            <w:vAlign w:val="center"/>
          </w:tcPr>
          <w:p w14:paraId="0286FCC2">
            <w:pPr>
              <w:widowControl/>
              <w:jc w:val="center"/>
              <w:rPr>
                <w:rFonts w:ascii="宋体" w:hAnsi="宋体" w:cs="宋体"/>
                <w:kern w:val="0"/>
                <w:sz w:val="24"/>
              </w:rPr>
            </w:pPr>
            <w:r>
              <w:rPr>
                <w:rFonts w:hint="eastAsia" w:ascii="宋体" w:hAnsi="宋体" w:cs="宋体"/>
                <w:kern w:val="0"/>
                <w:sz w:val="24"/>
              </w:rPr>
              <w:t>套</w:t>
            </w:r>
          </w:p>
        </w:tc>
        <w:tc>
          <w:tcPr>
            <w:tcW w:w="765" w:type="pct"/>
            <w:tcBorders>
              <w:top w:val="nil"/>
              <w:left w:val="nil"/>
              <w:bottom w:val="single" w:color="auto" w:sz="4" w:space="0"/>
              <w:right w:val="single" w:color="auto" w:sz="4" w:space="0"/>
            </w:tcBorders>
            <w:noWrap/>
            <w:vAlign w:val="center"/>
          </w:tcPr>
          <w:p w14:paraId="0F9B5EEB">
            <w:pPr>
              <w:widowControl/>
              <w:jc w:val="center"/>
              <w:rPr>
                <w:rFonts w:ascii="宋体" w:hAnsi="宋体" w:cs="宋体"/>
                <w:kern w:val="0"/>
                <w:sz w:val="24"/>
              </w:rPr>
            </w:pPr>
            <w:r>
              <w:rPr>
                <w:rFonts w:hint="eastAsia" w:ascii="宋体" w:hAnsi="宋体" w:cs="宋体"/>
                <w:kern w:val="0"/>
                <w:sz w:val="24"/>
              </w:rPr>
              <w:t>1</w:t>
            </w:r>
          </w:p>
        </w:tc>
      </w:tr>
      <w:tr w14:paraId="08406A15">
        <w:tblPrEx>
          <w:tblCellMar>
            <w:top w:w="0" w:type="dxa"/>
            <w:left w:w="108" w:type="dxa"/>
            <w:bottom w:w="0" w:type="dxa"/>
            <w:right w:w="108" w:type="dxa"/>
          </w:tblCellMar>
        </w:tblPrEx>
        <w:trPr>
          <w:trHeight w:val="90" w:hRule="atLeast"/>
        </w:trPr>
        <w:tc>
          <w:tcPr>
            <w:tcW w:w="478" w:type="pct"/>
            <w:tcBorders>
              <w:top w:val="nil"/>
              <w:left w:val="single" w:color="auto" w:sz="4" w:space="0"/>
              <w:bottom w:val="single" w:color="auto" w:sz="4" w:space="0"/>
              <w:right w:val="single" w:color="auto" w:sz="4" w:space="0"/>
            </w:tcBorders>
            <w:noWrap/>
            <w:vAlign w:val="center"/>
          </w:tcPr>
          <w:p w14:paraId="30EAAF8A">
            <w:pPr>
              <w:widowControl/>
              <w:jc w:val="center"/>
              <w:rPr>
                <w:rFonts w:ascii="宋体" w:hAnsi="宋体" w:cs="宋体"/>
                <w:kern w:val="0"/>
                <w:sz w:val="24"/>
              </w:rPr>
            </w:pPr>
            <w:r>
              <w:rPr>
                <w:rFonts w:hint="eastAsia" w:ascii="宋体" w:hAnsi="宋体" w:cs="宋体"/>
                <w:kern w:val="0"/>
                <w:sz w:val="24"/>
              </w:rPr>
              <w:t>12</w:t>
            </w:r>
          </w:p>
        </w:tc>
        <w:tc>
          <w:tcPr>
            <w:tcW w:w="2925" w:type="pct"/>
            <w:tcBorders>
              <w:top w:val="nil"/>
              <w:left w:val="nil"/>
              <w:bottom w:val="single" w:color="auto" w:sz="4" w:space="0"/>
              <w:right w:val="single" w:color="auto" w:sz="4" w:space="0"/>
            </w:tcBorders>
            <w:noWrap/>
            <w:vAlign w:val="center"/>
          </w:tcPr>
          <w:p w14:paraId="365D20BE">
            <w:pPr>
              <w:widowControl/>
              <w:jc w:val="left"/>
              <w:rPr>
                <w:rFonts w:ascii="宋体" w:hAnsi="宋体" w:cs="宋体"/>
                <w:kern w:val="0"/>
                <w:sz w:val="24"/>
              </w:rPr>
            </w:pPr>
            <w:r>
              <w:rPr>
                <w:rFonts w:hint="eastAsia" w:ascii="宋体" w:hAnsi="宋体" w:cs="宋体"/>
                <w:kern w:val="0"/>
                <w:sz w:val="24"/>
              </w:rPr>
              <w:t>VPN软件</w:t>
            </w:r>
          </w:p>
        </w:tc>
        <w:tc>
          <w:tcPr>
            <w:tcW w:w="832" w:type="pct"/>
            <w:tcBorders>
              <w:top w:val="nil"/>
              <w:left w:val="nil"/>
              <w:bottom w:val="single" w:color="auto" w:sz="4" w:space="0"/>
              <w:right w:val="single" w:color="auto" w:sz="4" w:space="0"/>
            </w:tcBorders>
            <w:noWrap/>
            <w:vAlign w:val="center"/>
          </w:tcPr>
          <w:p w14:paraId="2DBDEA2C">
            <w:pPr>
              <w:widowControl/>
              <w:jc w:val="center"/>
              <w:rPr>
                <w:rFonts w:ascii="宋体" w:hAnsi="宋体" w:cs="宋体"/>
                <w:kern w:val="0"/>
                <w:sz w:val="24"/>
              </w:rPr>
            </w:pPr>
            <w:r>
              <w:rPr>
                <w:rFonts w:hint="eastAsia" w:ascii="宋体" w:hAnsi="宋体" w:cs="宋体"/>
                <w:kern w:val="0"/>
                <w:sz w:val="24"/>
              </w:rPr>
              <w:t>套</w:t>
            </w:r>
          </w:p>
        </w:tc>
        <w:tc>
          <w:tcPr>
            <w:tcW w:w="765" w:type="pct"/>
            <w:tcBorders>
              <w:top w:val="nil"/>
              <w:left w:val="nil"/>
              <w:bottom w:val="single" w:color="auto" w:sz="4" w:space="0"/>
              <w:right w:val="single" w:color="auto" w:sz="4" w:space="0"/>
            </w:tcBorders>
            <w:noWrap/>
            <w:vAlign w:val="center"/>
          </w:tcPr>
          <w:p w14:paraId="69CD68F5">
            <w:pPr>
              <w:widowControl/>
              <w:jc w:val="center"/>
              <w:rPr>
                <w:rFonts w:ascii="宋体" w:hAnsi="宋体" w:cs="宋体"/>
                <w:kern w:val="0"/>
                <w:sz w:val="24"/>
              </w:rPr>
            </w:pPr>
            <w:r>
              <w:rPr>
                <w:rFonts w:hint="eastAsia" w:ascii="宋体" w:hAnsi="宋体" w:cs="宋体"/>
                <w:kern w:val="0"/>
                <w:sz w:val="24"/>
              </w:rPr>
              <w:t>1</w:t>
            </w:r>
          </w:p>
        </w:tc>
      </w:tr>
      <w:tr w14:paraId="08DCF175">
        <w:tblPrEx>
          <w:tblCellMar>
            <w:top w:w="0" w:type="dxa"/>
            <w:left w:w="108" w:type="dxa"/>
            <w:bottom w:w="0" w:type="dxa"/>
            <w:right w:w="108" w:type="dxa"/>
          </w:tblCellMar>
        </w:tblPrEx>
        <w:trPr>
          <w:trHeight w:val="390" w:hRule="atLeast"/>
        </w:trPr>
        <w:tc>
          <w:tcPr>
            <w:tcW w:w="478" w:type="pct"/>
            <w:tcBorders>
              <w:top w:val="nil"/>
              <w:left w:val="single" w:color="auto" w:sz="4" w:space="0"/>
              <w:bottom w:val="single" w:color="auto" w:sz="4" w:space="0"/>
              <w:right w:val="single" w:color="auto" w:sz="4" w:space="0"/>
            </w:tcBorders>
            <w:noWrap/>
            <w:vAlign w:val="center"/>
          </w:tcPr>
          <w:p w14:paraId="2A324A66">
            <w:pPr>
              <w:widowControl/>
              <w:jc w:val="center"/>
              <w:rPr>
                <w:rFonts w:ascii="宋体" w:hAnsi="宋体" w:cs="宋体"/>
                <w:kern w:val="0"/>
                <w:sz w:val="24"/>
              </w:rPr>
            </w:pPr>
            <w:r>
              <w:rPr>
                <w:rFonts w:hint="eastAsia" w:ascii="宋体" w:hAnsi="宋体" w:cs="宋体"/>
                <w:kern w:val="0"/>
                <w:sz w:val="24"/>
              </w:rPr>
              <w:t>13</w:t>
            </w:r>
          </w:p>
        </w:tc>
        <w:tc>
          <w:tcPr>
            <w:tcW w:w="2925" w:type="pct"/>
            <w:tcBorders>
              <w:top w:val="nil"/>
              <w:left w:val="nil"/>
              <w:bottom w:val="single" w:color="auto" w:sz="4" w:space="0"/>
              <w:right w:val="single" w:color="auto" w:sz="4" w:space="0"/>
            </w:tcBorders>
            <w:noWrap/>
            <w:vAlign w:val="center"/>
          </w:tcPr>
          <w:p w14:paraId="665CE951">
            <w:pPr>
              <w:widowControl/>
              <w:jc w:val="left"/>
              <w:rPr>
                <w:rFonts w:ascii="宋体" w:hAnsi="宋体" w:cs="宋体"/>
                <w:kern w:val="0"/>
                <w:sz w:val="24"/>
              </w:rPr>
            </w:pPr>
            <w:r>
              <w:rPr>
                <w:rFonts w:hint="eastAsia" w:ascii="宋体" w:hAnsi="宋体" w:cs="宋体"/>
                <w:kern w:val="0"/>
                <w:sz w:val="24"/>
              </w:rPr>
              <w:t>态势感知流量探针</w:t>
            </w:r>
          </w:p>
        </w:tc>
        <w:tc>
          <w:tcPr>
            <w:tcW w:w="832" w:type="pct"/>
            <w:tcBorders>
              <w:top w:val="nil"/>
              <w:left w:val="nil"/>
              <w:bottom w:val="single" w:color="auto" w:sz="4" w:space="0"/>
              <w:right w:val="single" w:color="auto" w:sz="4" w:space="0"/>
            </w:tcBorders>
            <w:noWrap/>
            <w:vAlign w:val="center"/>
          </w:tcPr>
          <w:p w14:paraId="156FC675">
            <w:pPr>
              <w:widowControl/>
              <w:jc w:val="center"/>
              <w:rPr>
                <w:rFonts w:ascii="宋体" w:hAnsi="宋体" w:cs="宋体"/>
                <w:kern w:val="0"/>
                <w:sz w:val="24"/>
              </w:rPr>
            </w:pPr>
            <w:r>
              <w:rPr>
                <w:rFonts w:hint="eastAsia" w:ascii="宋体" w:hAnsi="宋体" w:cs="宋体"/>
                <w:kern w:val="0"/>
                <w:sz w:val="24"/>
              </w:rPr>
              <w:t>台</w:t>
            </w:r>
          </w:p>
        </w:tc>
        <w:tc>
          <w:tcPr>
            <w:tcW w:w="765" w:type="pct"/>
            <w:tcBorders>
              <w:top w:val="nil"/>
              <w:left w:val="nil"/>
              <w:bottom w:val="single" w:color="auto" w:sz="4" w:space="0"/>
              <w:right w:val="single" w:color="auto" w:sz="4" w:space="0"/>
            </w:tcBorders>
            <w:noWrap/>
            <w:vAlign w:val="center"/>
          </w:tcPr>
          <w:p w14:paraId="7C1D3DE8">
            <w:pPr>
              <w:widowControl/>
              <w:jc w:val="center"/>
              <w:rPr>
                <w:rFonts w:ascii="宋体" w:hAnsi="宋体" w:cs="宋体"/>
                <w:kern w:val="0"/>
                <w:sz w:val="24"/>
              </w:rPr>
            </w:pPr>
            <w:r>
              <w:rPr>
                <w:rFonts w:hint="eastAsia" w:ascii="宋体" w:hAnsi="宋体" w:cs="宋体"/>
                <w:kern w:val="0"/>
                <w:sz w:val="24"/>
              </w:rPr>
              <w:t>1</w:t>
            </w:r>
          </w:p>
        </w:tc>
      </w:tr>
      <w:tr w14:paraId="33BEBAD8">
        <w:tblPrEx>
          <w:tblCellMar>
            <w:top w:w="0" w:type="dxa"/>
            <w:left w:w="108" w:type="dxa"/>
            <w:bottom w:w="0" w:type="dxa"/>
            <w:right w:w="108" w:type="dxa"/>
          </w:tblCellMar>
        </w:tblPrEx>
        <w:trPr>
          <w:trHeight w:val="402" w:hRule="atLeast"/>
        </w:trPr>
        <w:tc>
          <w:tcPr>
            <w:tcW w:w="478" w:type="pct"/>
            <w:tcBorders>
              <w:top w:val="single" w:color="auto" w:sz="4" w:space="0"/>
              <w:left w:val="single" w:color="auto" w:sz="4" w:space="0"/>
              <w:bottom w:val="single" w:color="auto" w:sz="4" w:space="0"/>
              <w:right w:val="single" w:color="auto" w:sz="4" w:space="0"/>
            </w:tcBorders>
            <w:noWrap/>
            <w:vAlign w:val="center"/>
          </w:tcPr>
          <w:p w14:paraId="1F27D8DE">
            <w:pPr>
              <w:widowControl/>
              <w:jc w:val="center"/>
              <w:rPr>
                <w:rFonts w:ascii="宋体" w:hAnsi="宋体" w:cs="宋体"/>
                <w:kern w:val="0"/>
                <w:sz w:val="24"/>
              </w:rPr>
            </w:pPr>
            <w:r>
              <w:rPr>
                <w:rFonts w:hint="eastAsia" w:ascii="宋体" w:hAnsi="宋体" w:cs="宋体"/>
                <w:kern w:val="0"/>
                <w:sz w:val="24"/>
              </w:rPr>
              <w:t>14</w:t>
            </w:r>
          </w:p>
        </w:tc>
        <w:tc>
          <w:tcPr>
            <w:tcW w:w="2925" w:type="pct"/>
            <w:tcBorders>
              <w:top w:val="single" w:color="auto" w:sz="4" w:space="0"/>
              <w:left w:val="single" w:color="auto" w:sz="4" w:space="0"/>
              <w:bottom w:val="single" w:color="auto" w:sz="4" w:space="0"/>
              <w:right w:val="single" w:color="auto" w:sz="4" w:space="0"/>
            </w:tcBorders>
            <w:noWrap/>
            <w:vAlign w:val="center"/>
          </w:tcPr>
          <w:p w14:paraId="56B77B70">
            <w:pPr>
              <w:widowControl/>
              <w:jc w:val="left"/>
              <w:rPr>
                <w:rFonts w:ascii="宋体" w:hAnsi="宋体" w:cs="宋体"/>
                <w:kern w:val="0"/>
                <w:sz w:val="24"/>
              </w:rPr>
            </w:pPr>
            <w:r>
              <w:rPr>
                <w:rFonts w:hint="eastAsia" w:ascii="宋体" w:hAnsi="宋体" w:cs="宋体"/>
                <w:kern w:val="0"/>
                <w:sz w:val="24"/>
              </w:rPr>
              <w:t>态势感知平台</w:t>
            </w:r>
          </w:p>
        </w:tc>
        <w:tc>
          <w:tcPr>
            <w:tcW w:w="832" w:type="pct"/>
            <w:tcBorders>
              <w:top w:val="single" w:color="auto" w:sz="4" w:space="0"/>
              <w:left w:val="single" w:color="auto" w:sz="4" w:space="0"/>
              <w:bottom w:val="single" w:color="auto" w:sz="4" w:space="0"/>
              <w:right w:val="single" w:color="auto" w:sz="4" w:space="0"/>
            </w:tcBorders>
            <w:noWrap/>
            <w:vAlign w:val="center"/>
          </w:tcPr>
          <w:p w14:paraId="580759C4">
            <w:pPr>
              <w:widowControl/>
              <w:jc w:val="center"/>
              <w:rPr>
                <w:rFonts w:ascii="宋体" w:hAnsi="宋体" w:cs="宋体"/>
                <w:kern w:val="0"/>
                <w:sz w:val="24"/>
              </w:rPr>
            </w:pPr>
            <w:r>
              <w:rPr>
                <w:rFonts w:hint="eastAsia" w:ascii="宋体" w:hAnsi="宋体" w:cs="宋体"/>
                <w:kern w:val="0"/>
                <w:sz w:val="24"/>
              </w:rPr>
              <w:t>套</w:t>
            </w:r>
          </w:p>
        </w:tc>
        <w:tc>
          <w:tcPr>
            <w:tcW w:w="765" w:type="pct"/>
            <w:tcBorders>
              <w:top w:val="single" w:color="auto" w:sz="4" w:space="0"/>
              <w:left w:val="single" w:color="auto" w:sz="4" w:space="0"/>
              <w:bottom w:val="single" w:color="auto" w:sz="4" w:space="0"/>
              <w:right w:val="single" w:color="auto" w:sz="4" w:space="0"/>
            </w:tcBorders>
            <w:noWrap/>
            <w:vAlign w:val="center"/>
          </w:tcPr>
          <w:p w14:paraId="2D0BAB7E">
            <w:pPr>
              <w:widowControl/>
              <w:jc w:val="center"/>
              <w:rPr>
                <w:rFonts w:ascii="宋体" w:hAnsi="宋体" w:cs="宋体"/>
                <w:kern w:val="0"/>
                <w:sz w:val="24"/>
              </w:rPr>
            </w:pPr>
            <w:r>
              <w:rPr>
                <w:rFonts w:hint="eastAsia" w:ascii="宋体" w:hAnsi="宋体" w:cs="宋体"/>
                <w:kern w:val="0"/>
                <w:sz w:val="24"/>
              </w:rPr>
              <w:t>1</w:t>
            </w:r>
          </w:p>
        </w:tc>
      </w:tr>
      <w:tr w14:paraId="77EED405">
        <w:tblPrEx>
          <w:tblCellMar>
            <w:top w:w="0" w:type="dxa"/>
            <w:left w:w="108" w:type="dxa"/>
            <w:bottom w:w="0" w:type="dxa"/>
            <w:right w:w="108" w:type="dxa"/>
          </w:tblCellMar>
        </w:tblPrEx>
        <w:trPr>
          <w:trHeight w:val="402" w:hRule="atLeast"/>
        </w:trPr>
        <w:tc>
          <w:tcPr>
            <w:tcW w:w="478" w:type="pct"/>
            <w:tcBorders>
              <w:top w:val="single" w:color="auto" w:sz="4" w:space="0"/>
              <w:left w:val="single" w:color="auto" w:sz="4" w:space="0"/>
              <w:bottom w:val="single" w:color="auto" w:sz="4" w:space="0"/>
              <w:right w:val="single" w:color="auto" w:sz="4" w:space="0"/>
            </w:tcBorders>
            <w:noWrap/>
            <w:vAlign w:val="center"/>
          </w:tcPr>
          <w:p w14:paraId="3712C18B">
            <w:pPr>
              <w:widowControl/>
              <w:jc w:val="center"/>
              <w:rPr>
                <w:rFonts w:ascii="宋体" w:hAnsi="宋体" w:cs="宋体"/>
                <w:kern w:val="0"/>
                <w:sz w:val="24"/>
              </w:rPr>
            </w:pPr>
            <w:r>
              <w:rPr>
                <w:rFonts w:hint="eastAsia" w:ascii="宋体" w:hAnsi="宋体" w:cs="宋体"/>
                <w:kern w:val="0"/>
                <w:sz w:val="24"/>
              </w:rPr>
              <w:t>15</w:t>
            </w:r>
          </w:p>
        </w:tc>
        <w:tc>
          <w:tcPr>
            <w:tcW w:w="2925" w:type="pct"/>
            <w:tcBorders>
              <w:top w:val="single" w:color="auto" w:sz="4" w:space="0"/>
              <w:left w:val="single" w:color="auto" w:sz="4" w:space="0"/>
              <w:bottom w:val="single" w:color="auto" w:sz="4" w:space="0"/>
              <w:right w:val="single" w:color="auto" w:sz="4" w:space="0"/>
            </w:tcBorders>
            <w:noWrap/>
            <w:vAlign w:val="center"/>
          </w:tcPr>
          <w:p w14:paraId="6597B980">
            <w:pPr>
              <w:widowControl/>
              <w:jc w:val="left"/>
              <w:rPr>
                <w:rFonts w:ascii="宋体" w:hAnsi="宋体" w:cs="宋体"/>
                <w:kern w:val="0"/>
                <w:sz w:val="24"/>
              </w:rPr>
            </w:pPr>
            <w:r>
              <w:rPr>
                <w:rFonts w:hint="eastAsia" w:ascii="宋体" w:hAnsi="宋体" w:cs="宋体"/>
                <w:kern w:val="0"/>
                <w:sz w:val="24"/>
              </w:rPr>
              <w:t>身份认证软件</w:t>
            </w:r>
          </w:p>
        </w:tc>
        <w:tc>
          <w:tcPr>
            <w:tcW w:w="832" w:type="pct"/>
            <w:tcBorders>
              <w:top w:val="single" w:color="auto" w:sz="4" w:space="0"/>
              <w:left w:val="single" w:color="auto" w:sz="4" w:space="0"/>
              <w:bottom w:val="single" w:color="auto" w:sz="4" w:space="0"/>
              <w:right w:val="single" w:color="auto" w:sz="4" w:space="0"/>
            </w:tcBorders>
            <w:noWrap/>
            <w:vAlign w:val="center"/>
          </w:tcPr>
          <w:p w14:paraId="08B452B3">
            <w:pPr>
              <w:widowControl/>
              <w:jc w:val="center"/>
              <w:rPr>
                <w:rFonts w:ascii="宋体" w:hAnsi="宋体" w:cs="宋体"/>
                <w:kern w:val="0"/>
                <w:sz w:val="24"/>
              </w:rPr>
            </w:pPr>
            <w:r>
              <w:rPr>
                <w:rFonts w:hint="eastAsia" w:ascii="宋体" w:hAnsi="宋体" w:cs="宋体"/>
                <w:kern w:val="0"/>
                <w:sz w:val="24"/>
              </w:rPr>
              <w:t>套</w:t>
            </w:r>
          </w:p>
        </w:tc>
        <w:tc>
          <w:tcPr>
            <w:tcW w:w="765" w:type="pct"/>
            <w:tcBorders>
              <w:top w:val="single" w:color="auto" w:sz="4" w:space="0"/>
              <w:left w:val="single" w:color="auto" w:sz="4" w:space="0"/>
              <w:bottom w:val="single" w:color="auto" w:sz="4" w:space="0"/>
              <w:right w:val="single" w:color="auto" w:sz="4" w:space="0"/>
            </w:tcBorders>
            <w:noWrap/>
            <w:vAlign w:val="center"/>
          </w:tcPr>
          <w:p w14:paraId="08D53F6C">
            <w:pPr>
              <w:widowControl/>
              <w:jc w:val="center"/>
              <w:rPr>
                <w:rFonts w:ascii="宋体" w:hAnsi="宋体" w:cs="宋体"/>
                <w:kern w:val="0"/>
                <w:sz w:val="24"/>
              </w:rPr>
            </w:pPr>
            <w:r>
              <w:rPr>
                <w:rFonts w:hint="eastAsia" w:ascii="宋体" w:hAnsi="宋体" w:cs="宋体"/>
                <w:kern w:val="0"/>
                <w:sz w:val="24"/>
              </w:rPr>
              <w:t>1</w:t>
            </w:r>
          </w:p>
        </w:tc>
      </w:tr>
      <w:tr w14:paraId="5DE6E1D4">
        <w:tblPrEx>
          <w:tblCellMar>
            <w:top w:w="0" w:type="dxa"/>
            <w:left w:w="108" w:type="dxa"/>
            <w:bottom w:w="0" w:type="dxa"/>
            <w:right w:w="108" w:type="dxa"/>
          </w:tblCellMar>
        </w:tblPrEx>
        <w:trPr>
          <w:trHeight w:val="402" w:hRule="atLeast"/>
        </w:trPr>
        <w:tc>
          <w:tcPr>
            <w:tcW w:w="478" w:type="pct"/>
            <w:tcBorders>
              <w:top w:val="single" w:color="auto" w:sz="4" w:space="0"/>
              <w:left w:val="single" w:color="auto" w:sz="4" w:space="0"/>
              <w:bottom w:val="single" w:color="auto" w:sz="4" w:space="0"/>
              <w:right w:val="single" w:color="auto" w:sz="4" w:space="0"/>
            </w:tcBorders>
            <w:noWrap/>
            <w:vAlign w:val="center"/>
          </w:tcPr>
          <w:p w14:paraId="2048B017">
            <w:pPr>
              <w:widowControl/>
              <w:jc w:val="center"/>
              <w:rPr>
                <w:rFonts w:ascii="宋体" w:hAnsi="宋体" w:cs="宋体"/>
                <w:kern w:val="0"/>
                <w:sz w:val="24"/>
              </w:rPr>
            </w:pPr>
            <w:r>
              <w:rPr>
                <w:rFonts w:hint="eastAsia" w:ascii="宋体" w:hAnsi="宋体" w:cs="宋体"/>
                <w:kern w:val="0"/>
                <w:sz w:val="24"/>
              </w:rPr>
              <w:t>16</w:t>
            </w:r>
          </w:p>
        </w:tc>
        <w:tc>
          <w:tcPr>
            <w:tcW w:w="2925" w:type="pct"/>
            <w:tcBorders>
              <w:top w:val="single" w:color="auto" w:sz="4" w:space="0"/>
              <w:left w:val="single" w:color="auto" w:sz="4" w:space="0"/>
              <w:bottom w:val="single" w:color="auto" w:sz="4" w:space="0"/>
              <w:right w:val="single" w:color="auto" w:sz="4" w:space="0"/>
            </w:tcBorders>
            <w:noWrap/>
            <w:vAlign w:val="center"/>
          </w:tcPr>
          <w:p w14:paraId="1F9827F7">
            <w:pPr>
              <w:widowControl/>
              <w:jc w:val="left"/>
              <w:rPr>
                <w:rFonts w:ascii="宋体" w:hAnsi="宋体" w:cs="宋体"/>
                <w:kern w:val="0"/>
                <w:sz w:val="24"/>
              </w:rPr>
            </w:pPr>
            <w:r>
              <w:rPr>
                <w:rFonts w:hint="eastAsia" w:ascii="宋体" w:hAnsi="宋体" w:cs="宋体"/>
                <w:kern w:val="0"/>
                <w:sz w:val="24"/>
              </w:rPr>
              <w:t>资源管控设备</w:t>
            </w:r>
          </w:p>
        </w:tc>
        <w:tc>
          <w:tcPr>
            <w:tcW w:w="832" w:type="pct"/>
            <w:tcBorders>
              <w:top w:val="single" w:color="auto" w:sz="4" w:space="0"/>
              <w:left w:val="single" w:color="auto" w:sz="4" w:space="0"/>
              <w:bottom w:val="single" w:color="auto" w:sz="4" w:space="0"/>
              <w:right w:val="single" w:color="auto" w:sz="4" w:space="0"/>
            </w:tcBorders>
            <w:noWrap/>
            <w:vAlign w:val="center"/>
          </w:tcPr>
          <w:p w14:paraId="2B41FEC1">
            <w:pPr>
              <w:widowControl/>
              <w:jc w:val="center"/>
              <w:rPr>
                <w:rFonts w:ascii="宋体" w:hAnsi="宋体" w:cs="宋体"/>
                <w:kern w:val="0"/>
                <w:sz w:val="24"/>
              </w:rPr>
            </w:pPr>
            <w:r>
              <w:rPr>
                <w:rFonts w:hint="eastAsia" w:ascii="宋体" w:hAnsi="宋体" w:cs="宋体"/>
                <w:kern w:val="0"/>
                <w:sz w:val="24"/>
              </w:rPr>
              <w:t>台</w:t>
            </w:r>
          </w:p>
        </w:tc>
        <w:tc>
          <w:tcPr>
            <w:tcW w:w="765" w:type="pct"/>
            <w:tcBorders>
              <w:top w:val="single" w:color="auto" w:sz="4" w:space="0"/>
              <w:left w:val="single" w:color="auto" w:sz="4" w:space="0"/>
              <w:bottom w:val="single" w:color="auto" w:sz="4" w:space="0"/>
              <w:right w:val="single" w:color="auto" w:sz="4" w:space="0"/>
            </w:tcBorders>
            <w:noWrap/>
            <w:vAlign w:val="center"/>
          </w:tcPr>
          <w:p w14:paraId="1DD70BA8">
            <w:pPr>
              <w:widowControl/>
              <w:jc w:val="center"/>
              <w:rPr>
                <w:rFonts w:ascii="宋体" w:hAnsi="宋体" w:cs="宋体"/>
                <w:kern w:val="0"/>
                <w:sz w:val="24"/>
              </w:rPr>
            </w:pPr>
            <w:r>
              <w:rPr>
                <w:rFonts w:hint="eastAsia" w:ascii="宋体" w:hAnsi="宋体" w:cs="宋体"/>
                <w:kern w:val="0"/>
                <w:sz w:val="24"/>
              </w:rPr>
              <w:t>1</w:t>
            </w:r>
          </w:p>
        </w:tc>
      </w:tr>
      <w:tr w14:paraId="08FA7276">
        <w:tblPrEx>
          <w:tblCellMar>
            <w:top w:w="0" w:type="dxa"/>
            <w:left w:w="108" w:type="dxa"/>
            <w:bottom w:w="0" w:type="dxa"/>
            <w:right w:w="108" w:type="dxa"/>
          </w:tblCellMar>
        </w:tblPrEx>
        <w:trPr>
          <w:trHeight w:val="402" w:hRule="atLeast"/>
        </w:trPr>
        <w:tc>
          <w:tcPr>
            <w:tcW w:w="478" w:type="pct"/>
            <w:tcBorders>
              <w:top w:val="single" w:color="auto" w:sz="4" w:space="0"/>
              <w:left w:val="single" w:color="auto" w:sz="4" w:space="0"/>
              <w:bottom w:val="single" w:color="auto" w:sz="4" w:space="0"/>
              <w:right w:val="single" w:color="auto" w:sz="4" w:space="0"/>
            </w:tcBorders>
            <w:noWrap/>
            <w:vAlign w:val="center"/>
          </w:tcPr>
          <w:p w14:paraId="7D726BE3">
            <w:pPr>
              <w:widowControl/>
              <w:jc w:val="center"/>
              <w:rPr>
                <w:rFonts w:ascii="宋体" w:hAnsi="宋体" w:cs="宋体"/>
                <w:kern w:val="0"/>
                <w:sz w:val="24"/>
              </w:rPr>
            </w:pPr>
            <w:r>
              <w:rPr>
                <w:rFonts w:hint="eastAsia" w:ascii="宋体" w:hAnsi="宋体" w:cs="宋体"/>
                <w:kern w:val="0"/>
                <w:sz w:val="24"/>
              </w:rPr>
              <w:t>17</w:t>
            </w:r>
          </w:p>
        </w:tc>
        <w:tc>
          <w:tcPr>
            <w:tcW w:w="2925" w:type="pct"/>
            <w:tcBorders>
              <w:top w:val="single" w:color="auto" w:sz="4" w:space="0"/>
              <w:left w:val="single" w:color="auto" w:sz="4" w:space="0"/>
              <w:bottom w:val="single" w:color="auto" w:sz="4" w:space="0"/>
              <w:right w:val="single" w:color="auto" w:sz="4" w:space="0"/>
            </w:tcBorders>
            <w:noWrap/>
            <w:vAlign w:val="center"/>
          </w:tcPr>
          <w:p w14:paraId="29A1D68E">
            <w:pPr>
              <w:widowControl/>
              <w:jc w:val="left"/>
              <w:rPr>
                <w:rFonts w:ascii="宋体" w:hAnsi="宋体" w:cs="宋体"/>
                <w:kern w:val="0"/>
                <w:sz w:val="24"/>
              </w:rPr>
            </w:pPr>
            <w:r>
              <w:rPr>
                <w:rFonts w:hint="eastAsia" w:ascii="宋体" w:hAnsi="宋体" w:cs="宋体"/>
                <w:kern w:val="0"/>
                <w:sz w:val="24"/>
              </w:rPr>
              <w:t>多网融合网关</w:t>
            </w:r>
          </w:p>
        </w:tc>
        <w:tc>
          <w:tcPr>
            <w:tcW w:w="832" w:type="pct"/>
            <w:tcBorders>
              <w:top w:val="single" w:color="auto" w:sz="4" w:space="0"/>
              <w:left w:val="single" w:color="auto" w:sz="4" w:space="0"/>
              <w:bottom w:val="single" w:color="auto" w:sz="4" w:space="0"/>
              <w:right w:val="single" w:color="auto" w:sz="4" w:space="0"/>
            </w:tcBorders>
            <w:noWrap/>
            <w:vAlign w:val="center"/>
          </w:tcPr>
          <w:p w14:paraId="40B0DF6D">
            <w:pPr>
              <w:widowControl/>
              <w:jc w:val="center"/>
              <w:rPr>
                <w:rFonts w:ascii="宋体" w:hAnsi="宋体" w:cs="宋体"/>
                <w:kern w:val="0"/>
                <w:sz w:val="24"/>
              </w:rPr>
            </w:pPr>
            <w:r>
              <w:rPr>
                <w:rFonts w:hint="eastAsia" w:ascii="宋体" w:hAnsi="宋体" w:cs="宋体"/>
                <w:kern w:val="0"/>
                <w:sz w:val="24"/>
              </w:rPr>
              <w:t>台</w:t>
            </w:r>
          </w:p>
        </w:tc>
        <w:tc>
          <w:tcPr>
            <w:tcW w:w="765" w:type="pct"/>
            <w:tcBorders>
              <w:top w:val="single" w:color="auto" w:sz="4" w:space="0"/>
              <w:left w:val="single" w:color="auto" w:sz="4" w:space="0"/>
              <w:bottom w:val="single" w:color="auto" w:sz="4" w:space="0"/>
              <w:right w:val="single" w:color="auto" w:sz="4" w:space="0"/>
            </w:tcBorders>
            <w:noWrap/>
            <w:vAlign w:val="center"/>
          </w:tcPr>
          <w:p w14:paraId="5C782A45">
            <w:pPr>
              <w:widowControl/>
              <w:jc w:val="center"/>
              <w:rPr>
                <w:rFonts w:ascii="宋体" w:hAnsi="宋体" w:cs="宋体"/>
                <w:kern w:val="0"/>
                <w:sz w:val="24"/>
              </w:rPr>
            </w:pPr>
            <w:r>
              <w:rPr>
                <w:rFonts w:hint="eastAsia" w:ascii="宋体" w:hAnsi="宋体" w:cs="宋体"/>
                <w:kern w:val="0"/>
                <w:sz w:val="24"/>
              </w:rPr>
              <w:t>1</w:t>
            </w:r>
          </w:p>
        </w:tc>
      </w:tr>
      <w:tr w14:paraId="68EAE416">
        <w:tblPrEx>
          <w:tblCellMar>
            <w:top w:w="0" w:type="dxa"/>
            <w:left w:w="108" w:type="dxa"/>
            <w:bottom w:w="0" w:type="dxa"/>
            <w:right w:w="108" w:type="dxa"/>
          </w:tblCellMar>
        </w:tblPrEx>
        <w:trPr>
          <w:trHeight w:val="402" w:hRule="atLeast"/>
        </w:trPr>
        <w:tc>
          <w:tcPr>
            <w:tcW w:w="478" w:type="pct"/>
            <w:tcBorders>
              <w:top w:val="single" w:color="auto" w:sz="4" w:space="0"/>
              <w:left w:val="single" w:color="auto" w:sz="4" w:space="0"/>
              <w:bottom w:val="single" w:color="auto" w:sz="4" w:space="0"/>
              <w:right w:val="single" w:color="auto" w:sz="4" w:space="0"/>
            </w:tcBorders>
            <w:noWrap/>
            <w:vAlign w:val="center"/>
          </w:tcPr>
          <w:p w14:paraId="0B05C0BC">
            <w:pPr>
              <w:widowControl/>
              <w:jc w:val="center"/>
              <w:rPr>
                <w:rFonts w:ascii="宋体" w:hAnsi="宋体" w:cs="宋体"/>
                <w:kern w:val="0"/>
                <w:sz w:val="24"/>
              </w:rPr>
            </w:pPr>
            <w:r>
              <w:rPr>
                <w:rFonts w:hint="eastAsia" w:ascii="宋体" w:hAnsi="宋体" w:cs="宋体"/>
                <w:kern w:val="0"/>
                <w:sz w:val="24"/>
              </w:rPr>
              <w:t>18</w:t>
            </w:r>
          </w:p>
        </w:tc>
        <w:tc>
          <w:tcPr>
            <w:tcW w:w="2925" w:type="pct"/>
            <w:tcBorders>
              <w:top w:val="single" w:color="auto" w:sz="4" w:space="0"/>
              <w:left w:val="single" w:color="auto" w:sz="4" w:space="0"/>
              <w:bottom w:val="single" w:color="auto" w:sz="4" w:space="0"/>
              <w:right w:val="single" w:color="auto" w:sz="4" w:space="0"/>
            </w:tcBorders>
            <w:noWrap/>
            <w:vAlign w:val="center"/>
          </w:tcPr>
          <w:p w14:paraId="76BF91AF">
            <w:pPr>
              <w:widowControl/>
              <w:jc w:val="left"/>
              <w:rPr>
                <w:rFonts w:ascii="宋体" w:hAnsi="宋体" w:cs="宋体"/>
                <w:kern w:val="0"/>
                <w:sz w:val="24"/>
              </w:rPr>
            </w:pPr>
            <w:r>
              <w:rPr>
                <w:rFonts w:hint="eastAsia" w:ascii="宋体" w:hAnsi="宋体" w:cs="宋体"/>
                <w:kern w:val="0"/>
                <w:sz w:val="24"/>
              </w:rPr>
              <w:t>终端安全管理软件</w:t>
            </w:r>
          </w:p>
        </w:tc>
        <w:tc>
          <w:tcPr>
            <w:tcW w:w="832" w:type="pct"/>
            <w:tcBorders>
              <w:top w:val="single" w:color="auto" w:sz="4" w:space="0"/>
              <w:left w:val="single" w:color="auto" w:sz="4" w:space="0"/>
              <w:bottom w:val="single" w:color="auto" w:sz="4" w:space="0"/>
              <w:right w:val="single" w:color="auto" w:sz="4" w:space="0"/>
            </w:tcBorders>
            <w:noWrap/>
            <w:vAlign w:val="center"/>
          </w:tcPr>
          <w:p w14:paraId="2E44D8EB">
            <w:pPr>
              <w:widowControl/>
              <w:jc w:val="center"/>
              <w:rPr>
                <w:rFonts w:ascii="宋体" w:hAnsi="宋体" w:cs="宋体"/>
                <w:kern w:val="0"/>
                <w:sz w:val="24"/>
              </w:rPr>
            </w:pPr>
            <w:r>
              <w:rPr>
                <w:rFonts w:hint="eastAsia" w:ascii="宋体" w:hAnsi="宋体" w:cs="宋体"/>
                <w:kern w:val="0"/>
                <w:sz w:val="24"/>
              </w:rPr>
              <w:t>套</w:t>
            </w:r>
          </w:p>
        </w:tc>
        <w:tc>
          <w:tcPr>
            <w:tcW w:w="765" w:type="pct"/>
            <w:tcBorders>
              <w:top w:val="single" w:color="auto" w:sz="4" w:space="0"/>
              <w:left w:val="single" w:color="auto" w:sz="4" w:space="0"/>
              <w:bottom w:val="single" w:color="auto" w:sz="4" w:space="0"/>
              <w:right w:val="single" w:color="auto" w:sz="4" w:space="0"/>
            </w:tcBorders>
            <w:noWrap/>
            <w:vAlign w:val="center"/>
          </w:tcPr>
          <w:p w14:paraId="22426A0B">
            <w:pPr>
              <w:widowControl/>
              <w:jc w:val="center"/>
              <w:rPr>
                <w:rFonts w:ascii="宋体" w:hAnsi="宋体" w:cs="宋体"/>
                <w:kern w:val="0"/>
                <w:sz w:val="24"/>
              </w:rPr>
            </w:pPr>
            <w:r>
              <w:rPr>
                <w:rFonts w:hint="eastAsia" w:ascii="宋体" w:hAnsi="宋体" w:cs="宋体"/>
                <w:kern w:val="0"/>
                <w:sz w:val="24"/>
              </w:rPr>
              <w:t>1</w:t>
            </w:r>
          </w:p>
        </w:tc>
      </w:tr>
      <w:tr w14:paraId="63240E43">
        <w:tblPrEx>
          <w:tblCellMar>
            <w:top w:w="0" w:type="dxa"/>
            <w:left w:w="108" w:type="dxa"/>
            <w:bottom w:w="0" w:type="dxa"/>
            <w:right w:w="108" w:type="dxa"/>
          </w:tblCellMar>
        </w:tblPrEx>
        <w:trPr>
          <w:trHeight w:val="402" w:hRule="atLeast"/>
        </w:trPr>
        <w:tc>
          <w:tcPr>
            <w:tcW w:w="478" w:type="pct"/>
            <w:tcBorders>
              <w:top w:val="single" w:color="auto" w:sz="4" w:space="0"/>
              <w:left w:val="single" w:color="auto" w:sz="4" w:space="0"/>
              <w:bottom w:val="single" w:color="auto" w:sz="4" w:space="0"/>
              <w:right w:val="single" w:color="auto" w:sz="4" w:space="0"/>
            </w:tcBorders>
            <w:noWrap/>
            <w:vAlign w:val="center"/>
          </w:tcPr>
          <w:p w14:paraId="163D13C2">
            <w:pPr>
              <w:widowControl/>
              <w:jc w:val="center"/>
              <w:rPr>
                <w:rFonts w:ascii="宋体" w:hAnsi="宋体" w:cs="宋体"/>
                <w:kern w:val="0"/>
                <w:sz w:val="24"/>
              </w:rPr>
            </w:pPr>
            <w:r>
              <w:rPr>
                <w:rFonts w:hint="eastAsia" w:ascii="宋体" w:hAnsi="宋体" w:cs="宋体"/>
                <w:kern w:val="0"/>
                <w:sz w:val="24"/>
              </w:rPr>
              <w:t>19</w:t>
            </w:r>
          </w:p>
        </w:tc>
        <w:tc>
          <w:tcPr>
            <w:tcW w:w="2925" w:type="pct"/>
            <w:tcBorders>
              <w:top w:val="single" w:color="auto" w:sz="4" w:space="0"/>
              <w:left w:val="single" w:color="auto" w:sz="4" w:space="0"/>
              <w:bottom w:val="single" w:color="auto" w:sz="4" w:space="0"/>
              <w:right w:val="single" w:color="auto" w:sz="4" w:space="0"/>
            </w:tcBorders>
            <w:noWrap/>
            <w:vAlign w:val="center"/>
          </w:tcPr>
          <w:p w14:paraId="402BC54E">
            <w:pPr>
              <w:widowControl/>
              <w:jc w:val="left"/>
              <w:rPr>
                <w:rFonts w:ascii="宋体" w:hAnsi="宋体" w:cs="宋体"/>
                <w:kern w:val="0"/>
                <w:sz w:val="24"/>
              </w:rPr>
            </w:pPr>
            <w:r>
              <w:rPr>
                <w:rFonts w:hint="eastAsia" w:ascii="宋体" w:hAnsi="宋体" w:cs="宋体"/>
                <w:kern w:val="0"/>
                <w:sz w:val="24"/>
              </w:rPr>
              <w:t>政务办公业务平台应用软件</w:t>
            </w:r>
          </w:p>
        </w:tc>
        <w:tc>
          <w:tcPr>
            <w:tcW w:w="832" w:type="pct"/>
            <w:tcBorders>
              <w:top w:val="single" w:color="auto" w:sz="4" w:space="0"/>
              <w:left w:val="single" w:color="auto" w:sz="4" w:space="0"/>
              <w:bottom w:val="single" w:color="auto" w:sz="4" w:space="0"/>
              <w:right w:val="single" w:color="auto" w:sz="4" w:space="0"/>
            </w:tcBorders>
            <w:noWrap/>
            <w:vAlign w:val="center"/>
          </w:tcPr>
          <w:p w14:paraId="6A3D1448">
            <w:pPr>
              <w:widowControl/>
              <w:jc w:val="center"/>
              <w:rPr>
                <w:rFonts w:ascii="宋体" w:hAnsi="宋体" w:cs="宋体"/>
                <w:kern w:val="0"/>
                <w:sz w:val="24"/>
              </w:rPr>
            </w:pPr>
            <w:r>
              <w:rPr>
                <w:rFonts w:hint="eastAsia" w:ascii="宋体" w:hAnsi="宋体" w:cs="宋体"/>
                <w:kern w:val="0"/>
                <w:sz w:val="24"/>
              </w:rPr>
              <w:t>项</w:t>
            </w:r>
          </w:p>
        </w:tc>
        <w:tc>
          <w:tcPr>
            <w:tcW w:w="765" w:type="pct"/>
            <w:tcBorders>
              <w:top w:val="single" w:color="auto" w:sz="4" w:space="0"/>
              <w:left w:val="single" w:color="auto" w:sz="4" w:space="0"/>
              <w:bottom w:val="single" w:color="auto" w:sz="4" w:space="0"/>
              <w:right w:val="single" w:color="auto" w:sz="4" w:space="0"/>
            </w:tcBorders>
            <w:noWrap/>
            <w:vAlign w:val="center"/>
          </w:tcPr>
          <w:p w14:paraId="443FEAEB">
            <w:pPr>
              <w:widowControl/>
              <w:jc w:val="center"/>
              <w:rPr>
                <w:rFonts w:ascii="宋体" w:hAnsi="宋体" w:cs="宋体"/>
                <w:kern w:val="0"/>
                <w:sz w:val="24"/>
              </w:rPr>
            </w:pPr>
            <w:r>
              <w:rPr>
                <w:rFonts w:hint="eastAsia" w:ascii="宋体" w:hAnsi="宋体" w:cs="宋体"/>
                <w:kern w:val="0"/>
                <w:sz w:val="24"/>
              </w:rPr>
              <w:t>1</w:t>
            </w:r>
          </w:p>
        </w:tc>
      </w:tr>
      <w:tr w14:paraId="2C7A9037">
        <w:tblPrEx>
          <w:tblCellMar>
            <w:top w:w="0" w:type="dxa"/>
            <w:left w:w="108" w:type="dxa"/>
            <w:bottom w:w="0" w:type="dxa"/>
            <w:right w:w="108" w:type="dxa"/>
          </w:tblCellMar>
        </w:tblPrEx>
        <w:trPr>
          <w:trHeight w:val="402" w:hRule="atLeast"/>
        </w:trPr>
        <w:tc>
          <w:tcPr>
            <w:tcW w:w="478" w:type="pct"/>
            <w:tcBorders>
              <w:top w:val="single" w:color="auto" w:sz="4" w:space="0"/>
              <w:left w:val="single" w:color="auto" w:sz="4" w:space="0"/>
              <w:bottom w:val="single" w:color="auto" w:sz="4" w:space="0"/>
              <w:right w:val="single" w:color="auto" w:sz="4" w:space="0"/>
            </w:tcBorders>
            <w:noWrap/>
            <w:vAlign w:val="center"/>
          </w:tcPr>
          <w:p w14:paraId="794418D2">
            <w:pPr>
              <w:widowControl/>
              <w:jc w:val="center"/>
              <w:rPr>
                <w:rFonts w:ascii="宋体" w:hAnsi="宋体" w:cs="宋体"/>
                <w:kern w:val="0"/>
                <w:sz w:val="24"/>
              </w:rPr>
            </w:pPr>
            <w:r>
              <w:rPr>
                <w:rFonts w:hint="eastAsia" w:ascii="宋体" w:hAnsi="宋体" w:cs="宋体"/>
                <w:kern w:val="0"/>
                <w:sz w:val="24"/>
              </w:rPr>
              <w:t>20</w:t>
            </w:r>
          </w:p>
        </w:tc>
        <w:tc>
          <w:tcPr>
            <w:tcW w:w="2925" w:type="pct"/>
            <w:tcBorders>
              <w:top w:val="single" w:color="auto" w:sz="4" w:space="0"/>
              <w:left w:val="single" w:color="auto" w:sz="4" w:space="0"/>
              <w:bottom w:val="single" w:color="auto" w:sz="4" w:space="0"/>
              <w:right w:val="single" w:color="auto" w:sz="4" w:space="0"/>
            </w:tcBorders>
            <w:noWrap/>
            <w:vAlign w:val="center"/>
          </w:tcPr>
          <w:p w14:paraId="4479337D">
            <w:pPr>
              <w:widowControl/>
              <w:jc w:val="left"/>
              <w:rPr>
                <w:rFonts w:ascii="宋体" w:hAnsi="宋体" w:cs="宋体"/>
                <w:kern w:val="0"/>
                <w:sz w:val="24"/>
              </w:rPr>
            </w:pPr>
            <w:r>
              <w:rPr>
                <w:rFonts w:hint="eastAsia" w:ascii="宋体" w:hAnsi="宋体" w:cs="宋体"/>
                <w:kern w:val="0"/>
                <w:sz w:val="24"/>
              </w:rPr>
              <w:t>政务电子签章系统软件</w:t>
            </w:r>
          </w:p>
        </w:tc>
        <w:tc>
          <w:tcPr>
            <w:tcW w:w="832" w:type="pct"/>
            <w:tcBorders>
              <w:top w:val="single" w:color="auto" w:sz="4" w:space="0"/>
              <w:left w:val="single" w:color="auto" w:sz="4" w:space="0"/>
              <w:bottom w:val="single" w:color="auto" w:sz="4" w:space="0"/>
              <w:right w:val="single" w:color="auto" w:sz="4" w:space="0"/>
            </w:tcBorders>
            <w:noWrap/>
            <w:vAlign w:val="center"/>
          </w:tcPr>
          <w:p w14:paraId="78B91E58">
            <w:pPr>
              <w:widowControl/>
              <w:jc w:val="center"/>
              <w:rPr>
                <w:rFonts w:ascii="宋体" w:hAnsi="宋体" w:cs="宋体"/>
                <w:kern w:val="0"/>
                <w:sz w:val="24"/>
              </w:rPr>
            </w:pPr>
            <w:r>
              <w:rPr>
                <w:rFonts w:hint="eastAsia" w:ascii="宋体" w:hAnsi="宋体" w:cs="宋体"/>
                <w:kern w:val="0"/>
                <w:sz w:val="24"/>
              </w:rPr>
              <w:t>项</w:t>
            </w:r>
          </w:p>
        </w:tc>
        <w:tc>
          <w:tcPr>
            <w:tcW w:w="765" w:type="pct"/>
            <w:tcBorders>
              <w:top w:val="single" w:color="auto" w:sz="4" w:space="0"/>
              <w:left w:val="single" w:color="auto" w:sz="4" w:space="0"/>
              <w:bottom w:val="single" w:color="auto" w:sz="4" w:space="0"/>
              <w:right w:val="single" w:color="auto" w:sz="4" w:space="0"/>
            </w:tcBorders>
            <w:noWrap/>
            <w:vAlign w:val="center"/>
          </w:tcPr>
          <w:p w14:paraId="70CE114C">
            <w:pPr>
              <w:widowControl/>
              <w:jc w:val="center"/>
              <w:rPr>
                <w:rFonts w:ascii="宋体" w:hAnsi="宋体" w:cs="宋体"/>
                <w:kern w:val="0"/>
                <w:sz w:val="24"/>
              </w:rPr>
            </w:pPr>
            <w:r>
              <w:rPr>
                <w:rFonts w:hint="eastAsia" w:ascii="宋体" w:hAnsi="宋体" w:cs="宋体"/>
                <w:kern w:val="0"/>
                <w:sz w:val="24"/>
              </w:rPr>
              <w:t>1</w:t>
            </w:r>
          </w:p>
        </w:tc>
      </w:tr>
    </w:tbl>
    <w:p w14:paraId="1508F0AB">
      <w:pPr>
        <w:pStyle w:val="2"/>
      </w:pPr>
    </w:p>
    <w:p w14:paraId="66E205AE">
      <w:pPr>
        <w:spacing w:line="360" w:lineRule="auto"/>
        <w:outlineLvl w:val="2"/>
        <w:rPr>
          <w:b/>
          <w:bCs/>
          <w:sz w:val="24"/>
        </w:rPr>
      </w:pPr>
      <w:r>
        <w:rPr>
          <w:rFonts w:hint="eastAsia"/>
          <w:b/>
          <w:bCs/>
          <w:sz w:val="24"/>
        </w:rPr>
        <w:br w:type="page"/>
      </w:r>
      <w:r>
        <w:rPr>
          <w:rFonts w:hint="eastAsia"/>
          <w:b/>
          <w:bCs/>
          <w:sz w:val="24"/>
        </w:rPr>
        <w:t>（三）技术参数要求</w:t>
      </w:r>
    </w:p>
    <w:tbl>
      <w:tblPr>
        <w:tblStyle w:val="27"/>
        <w:tblW w:w="5000" w:type="pct"/>
        <w:tblInd w:w="0" w:type="dxa"/>
        <w:tblLayout w:type="fixed"/>
        <w:tblCellMar>
          <w:top w:w="0" w:type="dxa"/>
          <w:left w:w="108" w:type="dxa"/>
          <w:bottom w:w="0" w:type="dxa"/>
          <w:right w:w="108" w:type="dxa"/>
        </w:tblCellMar>
      </w:tblPr>
      <w:tblGrid>
        <w:gridCol w:w="602"/>
        <w:gridCol w:w="651"/>
        <w:gridCol w:w="8709"/>
      </w:tblGrid>
      <w:tr w14:paraId="0AFCD37D">
        <w:tblPrEx>
          <w:tblCellMar>
            <w:top w:w="0" w:type="dxa"/>
            <w:left w:w="108" w:type="dxa"/>
            <w:bottom w:w="0" w:type="dxa"/>
            <w:right w:w="108" w:type="dxa"/>
          </w:tblCellMar>
        </w:tblPrEx>
        <w:trPr>
          <w:trHeight w:val="620" w:hRule="atLeast"/>
        </w:trPr>
        <w:tc>
          <w:tcPr>
            <w:tcW w:w="302" w:type="pct"/>
            <w:tcBorders>
              <w:top w:val="single" w:color="000000" w:sz="8" w:space="0"/>
              <w:left w:val="single" w:color="000000" w:sz="8" w:space="0"/>
              <w:bottom w:val="nil"/>
              <w:right w:val="single" w:color="000000" w:sz="8" w:space="0"/>
            </w:tcBorders>
            <w:vAlign w:val="center"/>
          </w:tcPr>
          <w:p w14:paraId="25AD241F">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序号</w:t>
            </w:r>
          </w:p>
        </w:tc>
        <w:tc>
          <w:tcPr>
            <w:tcW w:w="327" w:type="pct"/>
            <w:tcBorders>
              <w:top w:val="single" w:color="000000" w:sz="8" w:space="0"/>
              <w:left w:val="nil"/>
              <w:bottom w:val="nil"/>
              <w:right w:val="single" w:color="000000" w:sz="8" w:space="0"/>
            </w:tcBorders>
            <w:vAlign w:val="center"/>
          </w:tcPr>
          <w:p w14:paraId="7E4F743A">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服务名称</w:t>
            </w:r>
          </w:p>
        </w:tc>
        <w:tc>
          <w:tcPr>
            <w:tcW w:w="4370" w:type="pct"/>
            <w:tcBorders>
              <w:top w:val="single" w:color="000000" w:sz="8" w:space="0"/>
              <w:left w:val="nil"/>
              <w:bottom w:val="single" w:color="000000" w:sz="8" w:space="0"/>
              <w:right w:val="single" w:color="000000" w:sz="8" w:space="0"/>
            </w:tcBorders>
            <w:vAlign w:val="center"/>
          </w:tcPr>
          <w:p w14:paraId="492AD366">
            <w:pPr>
              <w:widowControl/>
              <w:jc w:val="center"/>
              <w:textAlignment w:val="center"/>
              <w:rPr>
                <w:rFonts w:ascii="宋体" w:hAnsi="宋体" w:cs="宋体"/>
                <w:b/>
                <w:bCs/>
                <w:sz w:val="20"/>
                <w:szCs w:val="20"/>
              </w:rPr>
            </w:pPr>
            <w:r>
              <w:rPr>
                <w:rFonts w:hint="eastAsia" w:ascii="宋体" w:hAnsi="宋体" w:cs="宋体"/>
                <w:b/>
                <w:bCs/>
                <w:kern w:val="0"/>
                <w:sz w:val="20"/>
                <w:szCs w:val="20"/>
                <w:lang w:bidi="ar"/>
              </w:rPr>
              <w:t>产品名称及技术参数要求</w:t>
            </w:r>
          </w:p>
        </w:tc>
      </w:tr>
      <w:tr w14:paraId="457BF4E3">
        <w:tblPrEx>
          <w:tblCellMar>
            <w:top w:w="0" w:type="dxa"/>
            <w:left w:w="108" w:type="dxa"/>
            <w:bottom w:w="0" w:type="dxa"/>
            <w:right w:w="108" w:type="dxa"/>
          </w:tblCellMar>
        </w:tblPrEx>
        <w:trPr>
          <w:trHeight w:val="620" w:hRule="atLeast"/>
        </w:trPr>
        <w:tc>
          <w:tcPr>
            <w:tcW w:w="302" w:type="pct"/>
            <w:vMerge w:val="restart"/>
            <w:tcBorders>
              <w:left w:val="single" w:color="000000" w:sz="4" w:space="0"/>
              <w:right w:val="single" w:color="000000" w:sz="4" w:space="0"/>
            </w:tcBorders>
            <w:noWrap/>
            <w:vAlign w:val="center"/>
          </w:tcPr>
          <w:p w14:paraId="204A1750">
            <w:pPr>
              <w:widowControl/>
              <w:jc w:val="center"/>
              <w:textAlignment w:val="center"/>
              <w:rPr>
                <w:rFonts w:ascii="宋体" w:hAnsi="宋体" w:cs="宋体"/>
                <w:b/>
                <w:bCs/>
                <w:sz w:val="22"/>
                <w:szCs w:val="22"/>
              </w:rPr>
            </w:pPr>
            <w:r>
              <w:rPr>
                <w:rFonts w:hint="eastAsia" w:ascii="宋体" w:hAnsi="宋体" w:cs="宋体"/>
                <w:b/>
                <w:bCs/>
                <w:sz w:val="22"/>
                <w:szCs w:val="22"/>
              </w:rPr>
              <w:t>1</w:t>
            </w:r>
          </w:p>
        </w:tc>
        <w:tc>
          <w:tcPr>
            <w:tcW w:w="327" w:type="pct"/>
            <w:vMerge w:val="restart"/>
            <w:tcBorders>
              <w:left w:val="single" w:color="000000" w:sz="4" w:space="0"/>
              <w:right w:val="single" w:color="000000" w:sz="4" w:space="0"/>
            </w:tcBorders>
            <w:vAlign w:val="center"/>
          </w:tcPr>
          <w:p w14:paraId="556D14AE">
            <w:pPr>
              <w:widowControl/>
              <w:jc w:val="center"/>
              <w:textAlignment w:val="center"/>
              <w:rPr>
                <w:rFonts w:ascii="宋体" w:hAnsi="宋体" w:cs="宋体"/>
                <w:szCs w:val="21"/>
              </w:rPr>
            </w:pPr>
            <w:r>
              <w:rPr>
                <w:rFonts w:hint="eastAsia" w:ascii="宋体" w:hAnsi="宋体" w:cs="宋体"/>
                <w:kern w:val="0"/>
                <w:sz w:val="24"/>
                <w:lang w:bidi="ar"/>
              </w:rPr>
              <w:t>区电子政务外网基础网络服务</w:t>
            </w:r>
          </w:p>
        </w:tc>
        <w:tc>
          <w:tcPr>
            <w:tcW w:w="4370" w:type="pct"/>
            <w:tcBorders>
              <w:top w:val="nil"/>
              <w:left w:val="nil"/>
              <w:bottom w:val="single" w:color="000000" w:sz="8" w:space="0"/>
              <w:right w:val="single" w:color="000000" w:sz="8" w:space="0"/>
            </w:tcBorders>
            <w:vAlign w:val="center"/>
          </w:tcPr>
          <w:p w14:paraId="54BF2F07">
            <w:pPr>
              <w:widowControl/>
              <w:jc w:val="left"/>
              <w:textAlignment w:val="center"/>
              <w:rPr>
                <w:rFonts w:ascii="宋体" w:hAnsi="宋体" w:cs="宋体"/>
                <w:b/>
                <w:bCs/>
                <w:szCs w:val="21"/>
              </w:rPr>
            </w:pPr>
            <w:r>
              <w:rPr>
                <w:rFonts w:hint="eastAsia" w:ascii="宋体" w:hAnsi="宋体" w:cs="宋体"/>
                <w:b/>
                <w:bCs/>
                <w:kern w:val="0"/>
                <w:szCs w:val="21"/>
                <w:lang w:bidi="ar"/>
              </w:rPr>
              <w:t>核心路由器</w:t>
            </w:r>
          </w:p>
        </w:tc>
      </w:tr>
      <w:tr w14:paraId="3B6EDB91">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3F6E7E09">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0CE5E362">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A50DE59">
            <w:pPr>
              <w:widowControl/>
              <w:jc w:val="left"/>
              <w:textAlignment w:val="center"/>
              <w:rPr>
                <w:rFonts w:ascii="Segoe UI Symbol" w:hAnsi="Segoe UI Symbol" w:eastAsia="Segoe UI Symbol" w:cs="Segoe UI Symbol"/>
                <w:szCs w:val="21"/>
              </w:rPr>
            </w:pPr>
            <w:r>
              <w:rPr>
                <w:rFonts w:hint="eastAsia" w:ascii="宋体" w:hAnsi="宋体" w:cs="宋体"/>
                <w:kern w:val="0"/>
                <w:szCs w:val="21"/>
                <w:lang w:bidi="ar"/>
              </w:rPr>
              <w:t>包转发率</w:t>
            </w:r>
            <w:r>
              <w:rPr>
                <w:rFonts w:hint="eastAsia" w:ascii="宋体" w:hAnsi="宋体" w:cs="宋体"/>
                <w:kern w:val="0"/>
                <w:sz w:val="20"/>
                <w:szCs w:val="20"/>
                <w:lang w:bidi="ar"/>
              </w:rPr>
              <w:t>≥</w:t>
            </w:r>
            <w:r>
              <w:rPr>
                <w:rFonts w:ascii="Times New Roman" w:hAnsi="Times New Roman" w:eastAsia="Segoe UI Symbol"/>
                <w:kern w:val="0"/>
                <w:szCs w:val="21"/>
                <w:lang w:bidi="ar"/>
              </w:rPr>
              <w:t>60Mpps</w:t>
            </w:r>
            <w:r>
              <w:rPr>
                <w:rFonts w:hint="eastAsia" w:ascii="宋体" w:hAnsi="宋体" w:cs="宋体"/>
                <w:kern w:val="0"/>
                <w:szCs w:val="21"/>
                <w:lang w:bidi="ar"/>
              </w:rPr>
              <w:t>。</w:t>
            </w:r>
          </w:p>
        </w:tc>
      </w:tr>
      <w:tr w14:paraId="16B96F31">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26EA1E59">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7E9AF98C">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A645910">
            <w:pPr>
              <w:widowControl/>
              <w:jc w:val="left"/>
              <w:textAlignment w:val="center"/>
              <w:rPr>
                <w:rFonts w:ascii="宋体" w:hAnsi="宋体" w:cs="宋体"/>
                <w:sz w:val="20"/>
                <w:szCs w:val="20"/>
              </w:rPr>
            </w:pPr>
            <w:r>
              <w:rPr>
                <w:rFonts w:hint="eastAsia" w:ascii="宋体" w:hAnsi="宋体" w:cs="宋体"/>
                <w:kern w:val="0"/>
                <w:sz w:val="20"/>
                <w:szCs w:val="20"/>
                <w:lang w:bidi="ar"/>
              </w:rPr>
              <w:t>为保证设备功能软件的高可扩展性，要求FLASH≥512M。</w:t>
            </w:r>
          </w:p>
        </w:tc>
      </w:tr>
      <w:tr w14:paraId="76E13789">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62EB5D00">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7A5BBDA9">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2C87F57B">
            <w:pPr>
              <w:widowControl/>
              <w:jc w:val="left"/>
              <w:textAlignment w:val="center"/>
              <w:rPr>
                <w:rFonts w:ascii="宋体" w:hAnsi="宋体" w:cs="宋体"/>
                <w:sz w:val="20"/>
                <w:szCs w:val="20"/>
              </w:rPr>
            </w:pPr>
            <w:r>
              <w:rPr>
                <w:rFonts w:hint="eastAsia" w:ascii="宋体" w:hAnsi="宋体" w:cs="宋体"/>
                <w:kern w:val="0"/>
                <w:sz w:val="20"/>
                <w:szCs w:val="20"/>
                <w:lang w:bidi="ar"/>
              </w:rPr>
              <w:t>支持内置冗余电源模块。</w:t>
            </w:r>
          </w:p>
        </w:tc>
      </w:tr>
      <w:tr w14:paraId="7C592A51">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391C8A64">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16F5EF7A">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3F0EA4B">
            <w:pPr>
              <w:widowControl/>
              <w:jc w:val="left"/>
              <w:textAlignment w:val="center"/>
              <w:rPr>
                <w:rFonts w:ascii="宋体" w:hAnsi="宋体" w:cs="宋体"/>
                <w:sz w:val="20"/>
                <w:szCs w:val="20"/>
              </w:rPr>
            </w:pPr>
            <w:r>
              <w:rPr>
                <w:rFonts w:hint="eastAsia" w:ascii="宋体" w:hAnsi="宋体" w:cs="宋体"/>
                <w:kern w:val="0"/>
                <w:sz w:val="20"/>
                <w:szCs w:val="20"/>
                <w:lang w:bidi="ar"/>
              </w:rPr>
              <w:t>支持主控引擎、业务板卡、电源等关键部件的高可用性热插拔设计。</w:t>
            </w:r>
          </w:p>
        </w:tc>
      </w:tr>
      <w:tr w14:paraId="21FDDCA0">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03B954FF">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77FE7FF1">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97F416D">
            <w:pPr>
              <w:widowControl/>
              <w:jc w:val="left"/>
              <w:textAlignment w:val="center"/>
              <w:rPr>
                <w:rFonts w:ascii="宋体" w:hAnsi="宋体" w:cs="宋体"/>
                <w:sz w:val="20"/>
                <w:szCs w:val="20"/>
              </w:rPr>
            </w:pPr>
            <w:r>
              <w:rPr>
                <w:rFonts w:hint="eastAsia" w:ascii="宋体" w:hAnsi="宋体" w:cs="宋体"/>
                <w:kern w:val="0"/>
                <w:sz w:val="20"/>
                <w:szCs w:val="20"/>
                <w:lang w:bidi="ar"/>
              </w:rPr>
              <w:t>配置GE光口数量≥8，GE电口数量≥9，且非主控自带的接口。</w:t>
            </w:r>
          </w:p>
        </w:tc>
      </w:tr>
      <w:tr w14:paraId="5ECB4E0A">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23059A81">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2904F911">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3ED3CF7A">
            <w:pPr>
              <w:widowControl/>
              <w:jc w:val="left"/>
              <w:textAlignment w:val="center"/>
              <w:rPr>
                <w:rFonts w:ascii="宋体" w:hAnsi="宋体" w:cs="宋体"/>
                <w:sz w:val="20"/>
                <w:szCs w:val="20"/>
              </w:rPr>
            </w:pPr>
            <w:r>
              <w:rPr>
                <w:rFonts w:hint="eastAsia" w:ascii="宋体" w:hAnsi="宋体" w:cs="宋体"/>
                <w:kern w:val="0"/>
                <w:sz w:val="20"/>
                <w:szCs w:val="20"/>
                <w:lang w:bidi="ar"/>
              </w:rPr>
              <w:t>支持并实配支持L2TP、IPSec VPN、GRE VPN、DMVPN功能。</w:t>
            </w:r>
          </w:p>
        </w:tc>
      </w:tr>
      <w:tr w14:paraId="6F88681D">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387DC3DA">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4BCF6374">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E272A23">
            <w:pPr>
              <w:widowControl/>
              <w:jc w:val="left"/>
              <w:textAlignment w:val="center"/>
              <w:rPr>
                <w:rFonts w:ascii="宋体" w:hAnsi="宋体" w:cs="宋体"/>
                <w:sz w:val="20"/>
                <w:szCs w:val="20"/>
              </w:rPr>
            </w:pPr>
            <w:r>
              <w:rPr>
                <w:rFonts w:hint="eastAsia" w:ascii="宋体" w:hAnsi="宋体" w:cs="宋体"/>
                <w:kern w:val="0"/>
                <w:sz w:val="20"/>
                <w:szCs w:val="20"/>
                <w:lang w:bidi="ar"/>
              </w:rPr>
              <w:t>支持并配置静态路由、等价路由、策略路由；支持并可配置RIPv1/v2、BGPv4、BGP4+等路由协议 。</w:t>
            </w:r>
          </w:p>
        </w:tc>
      </w:tr>
      <w:tr w14:paraId="11D40E4F">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5F0F13D9">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60795AA6">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2A9784F2">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支持并配置MPLS L2VPN、MPLS L3VPN、MPLS QoS、MPLS 组播VPN功能。</w:t>
            </w:r>
          </w:p>
        </w:tc>
      </w:tr>
      <w:tr w14:paraId="0154C14B">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0F35B0BD">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19C9F371">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38CF30A">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★为了保障功能实现，所投设备符合国家电子政务外网标准(GW0206-2014)《接入政务外网的局域网安全技术规范》的要求，通过国家数据通讯工程技术研究中心的功能测试，提供检验（功能测试）报告报告复印件。</w:t>
            </w:r>
          </w:p>
        </w:tc>
      </w:tr>
      <w:tr w14:paraId="42D20874">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2B881B10">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1F82ECDD">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CC5942A">
            <w:pPr>
              <w:widowControl/>
              <w:jc w:val="left"/>
              <w:textAlignment w:val="center"/>
              <w:rPr>
                <w:rFonts w:ascii="宋体" w:hAnsi="宋体" w:cs="宋体"/>
                <w:b/>
                <w:bCs/>
                <w:szCs w:val="21"/>
              </w:rPr>
            </w:pPr>
            <w:r>
              <w:rPr>
                <w:rFonts w:hint="eastAsia" w:ascii="宋体" w:hAnsi="宋体" w:cs="宋体"/>
                <w:b/>
                <w:bCs/>
                <w:kern w:val="0"/>
                <w:szCs w:val="21"/>
                <w:lang w:bidi="ar"/>
              </w:rPr>
              <w:t>核心交换机</w:t>
            </w:r>
          </w:p>
        </w:tc>
      </w:tr>
      <w:tr w14:paraId="41B2E736">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0E9B2FAC">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728091AE">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4961A2E4">
            <w:pPr>
              <w:widowControl/>
              <w:textAlignment w:val="center"/>
              <w:rPr>
                <w:rFonts w:ascii="宋体" w:hAnsi="宋体" w:cs="宋体"/>
                <w:sz w:val="20"/>
                <w:szCs w:val="20"/>
              </w:rPr>
            </w:pPr>
            <w:r>
              <w:rPr>
                <w:rFonts w:hint="eastAsia" w:ascii="宋体" w:hAnsi="宋体" w:cs="宋体"/>
                <w:kern w:val="0"/>
                <w:sz w:val="20"/>
                <w:szCs w:val="20"/>
                <w:lang w:bidi="ar"/>
              </w:rPr>
              <w:t>采用无阻塞交换架构，支持主控转发分离；</w:t>
            </w:r>
          </w:p>
        </w:tc>
      </w:tr>
      <w:tr w14:paraId="6172CD5E">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075CC90E">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0D99C7AD">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5F8DE40E">
            <w:pPr>
              <w:widowControl/>
              <w:textAlignment w:val="center"/>
              <w:rPr>
                <w:rFonts w:ascii="宋体" w:hAnsi="宋体" w:cs="宋体"/>
                <w:sz w:val="20"/>
                <w:szCs w:val="20"/>
              </w:rPr>
            </w:pPr>
            <w:r>
              <w:rPr>
                <w:rFonts w:hint="eastAsia" w:ascii="宋体" w:hAnsi="宋体" w:cs="宋体"/>
                <w:kern w:val="0"/>
                <w:sz w:val="20"/>
                <w:szCs w:val="20"/>
                <w:lang w:bidi="ar"/>
              </w:rPr>
              <w:t>机架式设备，高度≥3U，包转发率≥600Mpps，业务插槽数量≥10个；背板交换容量≥4000Gbps，</w:t>
            </w:r>
          </w:p>
        </w:tc>
      </w:tr>
      <w:tr w14:paraId="233A6AEC">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0C3D78A7">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2D4A488E">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5CE37AB">
            <w:pPr>
              <w:widowControl/>
              <w:textAlignment w:val="center"/>
              <w:rPr>
                <w:rFonts w:ascii="Segoe UI Symbol" w:hAnsi="Segoe UI Symbol" w:eastAsia="Segoe UI Symbol" w:cs="Segoe UI Symbol"/>
                <w:sz w:val="20"/>
                <w:szCs w:val="20"/>
              </w:rPr>
            </w:pPr>
            <w:r>
              <w:rPr>
                <w:rFonts w:hint="eastAsia" w:ascii="宋体" w:hAnsi="宋体" w:cs="宋体"/>
                <w:kern w:val="0"/>
                <w:sz w:val="20"/>
                <w:szCs w:val="20"/>
                <w:lang w:bidi="ar"/>
              </w:rPr>
              <w:t>配置</w:t>
            </w:r>
            <w:r>
              <w:rPr>
                <w:rFonts w:ascii="宋体" w:hAnsi="宋体" w:cs="宋体"/>
                <w:kern w:val="0"/>
                <w:sz w:val="20"/>
                <w:szCs w:val="20"/>
                <w:lang w:bidi="ar"/>
              </w:rPr>
              <w:t>GE</w:t>
            </w:r>
            <w:r>
              <w:rPr>
                <w:rFonts w:hint="eastAsia" w:ascii="宋体" w:hAnsi="宋体" w:cs="宋体"/>
                <w:kern w:val="0"/>
                <w:sz w:val="20"/>
                <w:szCs w:val="20"/>
                <w:lang w:bidi="ar"/>
              </w:rPr>
              <w:t>光口数量</w:t>
            </w:r>
            <w:r>
              <w:rPr>
                <w:rFonts w:ascii="宋体" w:hAnsi="宋体" w:cs="宋体"/>
                <w:kern w:val="0"/>
                <w:sz w:val="20"/>
                <w:szCs w:val="20"/>
                <w:lang w:bidi="ar"/>
              </w:rPr>
              <w:t>≥5</w:t>
            </w:r>
            <w:r>
              <w:rPr>
                <w:rFonts w:hint="eastAsia" w:ascii="宋体" w:hAnsi="宋体" w:cs="宋体"/>
                <w:kern w:val="0"/>
                <w:sz w:val="20"/>
                <w:szCs w:val="20"/>
                <w:lang w:bidi="ar"/>
              </w:rPr>
              <w:t>，</w:t>
            </w:r>
            <w:r>
              <w:rPr>
                <w:rFonts w:ascii="宋体" w:hAnsi="宋体" w:cs="宋体"/>
                <w:kern w:val="0"/>
                <w:sz w:val="20"/>
                <w:szCs w:val="20"/>
                <w:lang w:bidi="ar"/>
              </w:rPr>
              <w:t>GE</w:t>
            </w:r>
            <w:r>
              <w:rPr>
                <w:rFonts w:hint="eastAsia" w:ascii="宋体" w:hAnsi="宋体" w:cs="宋体"/>
                <w:kern w:val="0"/>
                <w:sz w:val="20"/>
                <w:szCs w:val="20"/>
                <w:lang w:bidi="ar"/>
              </w:rPr>
              <w:t>电口数量</w:t>
            </w:r>
            <w:r>
              <w:rPr>
                <w:rFonts w:ascii="宋体" w:hAnsi="宋体" w:cs="宋体"/>
                <w:kern w:val="0"/>
                <w:sz w:val="20"/>
                <w:szCs w:val="20"/>
                <w:lang w:bidi="ar"/>
              </w:rPr>
              <w:t>≥20</w:t>
            </w:r>
            <w:r>
              <w:rPr>
                <w:rFonts w:hint="eastAsia" w:ascii="宋体" w:hAnsi="宋体" w:cs="宋体"/>
                <w:kern w:val="0"/>
                <w:sz w:val="20"/>
                <w:szCs w:val="20"/>
                <w:lang w:bidi="ar"/>
              </w:rPr>
              <w:t>。配置冗余电源模块、</w:t>
            </w:r>
            <w:r>
              <w:rPr>
                <w:rFonts w:ascii="宋体" w:hAnsi="宋体" w:cs="宋体"/>
                <w:kern w:val="0"/>
                <w:sz w:val="20"/>
                <w:szCs w:val="20"/>
                <w:lang w:bidi="ar"/>
              </w:rPr>
              <w:t>X86</w:t>
            </w:r>
            <w:r>
              <w:rPr>
                <w:rFonts w:hint="eastAsia" w:ascii="宋体" w:hAnsi="宋体" w:cs="宋体"/>
                <w:kern w:val="0"/>
                <w:sz w:val="20"/>
                <w:szCs w:val="20"/>
                <w:lang w:bidi="ar"/>
              </w:rPr>
              <w:t>子卡硬件模块</w:t>
            </w:r>
            <w:r>
              <w:rPr>
                <w:rFonts w:ascii="宋体" w:hAnsi="宋体" w:cs="宋体"/>
                <w:kern w:val="0"/>
                <w:sz w:val="20"/>
                <w:szCs w:val="20"/>
                <w:lang w:bidi="ar"/>
              </w:rPr>
              <w:t>1</w:t>
            </w:r>
            <w:r>
              <w:rPr>
                <w:rFonts w:hint="eastAsia" w:ascii="宋体" w:hAnsi="宋体" w:cs="宋体"/>
                <w:kern w:val="0"/>
                <w:sz w:val="20"/>
                <w:szCs w:val="20"/>
                <w:lang w:bidi="ar"/>
              </w:rPr>
              <w:t>个；</w:t>
            </w:r>
            <w:r>
              <w:rPr>
                <w:rFonts w:ascii="宋体" w:hAnsi="宋体" w:cs="宋体"/>
                <w:kern w:val="0"/>
                <w:sz w:val="20"/>
                <w:szCs w:val="20"/>
                <w:lang w:bidi="ar"/>
              </w:rPr>
              <w:t>X86</w:t>
            </w:r>
            <w:r>
              <w:rPr>
                <w:rFonts w:hint="eastAsia" w:ascii="宋体" w:hAnsi="宋体" w:cs="宋体"/>
                <w:kern w:val="0"/>
                <w:sz w:val="20"/>
                <w:szCs w:val="20"/>
                <w:lang w:bidi="ar"/>
              </w:rPr>
              <w:t>子卡含</w:t>
            </w:r>
            <w:r>
              <w:rPr>
                <w:rFonts w:ascii="宋体" w:hAnsi="宋体" w:cs="宋体"/>
                <w:kern w:val="0"/>
                <w:sz w:val="20"/>
                <w:szCs w:val="20"/>
                <w:lang w:bidi="ar"/>
              </w:rPr>
              <w:t>16G</w:t>
            </w:r>
            <w:r>
              <w:rPr>
                <w:rFonts w:hint="eastAsia" w:ascii="宋体" w:hAnsi="宋体" w:cs="宋体"/>
                <w:kern w:val="0"/>
                <w:sz w:val="20"/>
                <w:szCs w:val="20"/>
                <w:lang w:bidi="ar"/>
              </w:rPr>
              <w:t>内存、</w:t>
            </w:r>
            <w:r>
              <w:rPr>
                <w:rFonts w:ascii="宋体" w:hAnsi="宋体" w:cs="宋体"/>
                <w:kern w:val="0"/>
                <w:sz w:val="20"/>
                <w:szCs w:val="20"/>
                <w:lang w:bidi="ar"/>
              </w:rPr>
              <w:t>1T</w:t>
            </w:r>
            <w:r>
              <w:rPr>
                <w:rFonts w:hint="eastAsia" w:ascii="宋体" w:hAnsi="宋体" w:cs="宋体"/>
                <w:kern w:val="0"/>
                <w:sz w:val="20"/>
                <w:szCs w:val="20"/>
                <w:lang w:bidi="ar"/>
              </w:rPr>
              <w:t>硬盘、支持</w:t>
            </w:r>
            <w:r>
              <w:rPr>
                <w:rFonts w:ascii="宋体" w:hAnsi="宋体" w:cs="宋体"/>
                <w:kern w:val="0"/>
                <w:sz w:val="20"/>
                <w:szCs w:val="20"/>
                <w:lang w:bidi="ar"/>
              </w:rPr>
              <w:t>16</w:t>
            </w:r>
            <w:r>
              <w:rPr>
                <w:rFonts w:hint="eastAsia" w:ascii="宋体" w:hAnsi="宋体" w:cs="宋体"/>
                <w:kern w:val="0"/>
                <w:sz w:val="20"/>
                <w:szCs w:val="20"/>
                <w:lang w:bidi="ar"/>
              </w:rPr>
              <w:t>个虚拟机、</w:t>
            </w:r>
            <w:r>
              <w:rPr>
                <w:rFonts w:ascii="宋体" w:hAnsi="宋体" w:cs="宋体"/>
                <w:kern w:val="0"/>
                <w:sz w:val="20"/>
                <w:szCs w:val="20"/>
                <w:lang w:bidi="ar"/>
              </w:rPr>
              <w:t>2</w:t>
            </w:r>
            <w:r>
              <w:rPr>
                <w:rFonts w:hint="eastAsia" w:ascii="宋体" w:hAnsi="宋体" w:cs="宋体"/>
                <w:kern w:val="0"/>
                <w:sz w:val="20"/>
                <w:szCs w:val="20"/>
                <w:lang w:bidi="ar"/>
              </w:rPr>
              <w:t>个千兆网口。提供</w:t>
            </w:r>
            <w:r>
              <w:rPr>
                <w:rFonts w:ascii="宋体" w:hAnsi="宋体" w:cs="宋体"/>
                <w:kern w:val="0"/>
                <w:sz w:val="20"/>
                <w:szCs w:val="20"/>
                <w:lang w:bidi="ar"/>
              </w:rPr>
              <w:t>设备参数</w:t>
            </w:r>
            <w:r>
              <w:rPr>
                <w:rFonts w:hint="eastAsia" w:ascii="宋体" w:hAnsi="宋体" w:cs="宋体"/>
                <w:kern w:val="0"/>
                <w:sz w:val="20"/>
                <w:szCs w:val="20"/>
                <w:lang w:bidi="ar"/>
              </w:rPr>
              <w:t>彩页。</w:t>
            </w:r>
          </w:p>
        </w:tc>
      </w:tr>
      <w:tr w14:paraId="19AC0A3E">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1324A45F">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7FC292AB">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681B93B">
            <w:pPr>
              <w:widowControl/>
              <w:textAlignment w:val="center"/>
              <w:rPr>
                <w:rFonts w:ascii="宋体" w:hAnsi="宋体" w:cs="宋体"/>
                <w:sz w:val="20"/>
                <w:szCs w:val="20"/>
              </w:rPr>
            </w:pPr>
            <w:r>
              <w:rPr>
                <w:rFonts w:hint="eastAsia" w:ascii="宋体" w:hAnsi="宋体" w:cs="宋体"/>
                <w:kern w:val="0"/>
                <w:sz w:val="20"/>
                <w:szCs w:val="20"/>
                <w:lang w:bidi="ar"/>
              </w:rPr>
              <w:t>路由、计算、存储一体，集成路由器/WAN优化负载均衡/防火墙/MiniDC，集成邮件/语音/数据/文档服务，降低硬件采购成本，节省机房空间。</w:t>
            </w:r>
          </w:p>
        </w:tc>
      </w:tr>
      <w:tr w14:paraId="28A828D6">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78119F06">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570E935A">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537CC5E">
            <w:pPr>
              <w:widowControl/>
              <w:textAlignment w:val="center"/>
              <w:rPr>
                <w:rFonts w:ascii="宋体" w:hAnsi="宋体" w:cs="宋体"/>
                <w:sz w:val="20"/>
                <w:szCs w:val="20"/>
              </w:rPr>
            </w:pPr>
            <w:r>
              <w:rPr>
                <w:rFonts w:hint="eastAsia" w:ascii="宋体" w:hAnsi="宋体" w:cs="宋体"/>
                <w:kern w:val="0"/>
                <w:sz w:val="20"/>
                <w:szCs w:val="20"/>
                <w:lang w:bidi="ar"/>
              </w:rPr>
              <w:t>支持并实配支持L2TP、IPSec VPN、GRE VPN、DMVPN功能。</w:t>
            </w:r>
          </w:p>
        </w:tc>
      </w:tr>
      <w:tr w14:paraId="1C5CC850">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563368CA">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0D47FF6D">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E1EBD9C">
            <w:pPr>
              <w:widowControl/>
              <w:textAlignment w:val="center"/>
              <w:rPr>
                <w:rFonts w:ascii="宋体" w:hAnsi="宋体" w:cs="宋体"/>
                <w:sz w:val="20"/>
                <w:szCs w:val="20"/>
              </w:rPr>
            </w:pPr>
            <w:r>
              <w:rPr>
                <w:rFonts w:hint="eastAsia" w:ascii="宋体" w:hAnsi="宋体" w:cs="宋体"/>
                <w:kern w:val="0"/>
                <w:sz w:val="20"/>
                <w:szCs w:val="20"/>
                <w:lang w:bidi="ar"/>
              </w:rPr>
              <w:t>支持并实配防火墙功能，状态检测、攻击防御、URL过滤等多种安全特性。</w:t>
            </w:r>
          </w:p>
        </w:tc>
      </w:tr>
      <w:tr w14:paraId="3B825EB4">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2E7D7935">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1E9FBF6C">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17F4B8D">
            <w:pPr>
              <w:widowControl/>
              <w:textAlignment w:val="center"/>
              <w:rPr>
                <w:rFonts w:ascii="宋体" w:hAnsi="宋体" w:cs="宋体"/>
                <w:sz w:val="20"/>
                <w:szCs w:val="20"/>
              </w:rPr>
            </w:pPr>
            <w:r>
              <w:rPr>
                <w:rFonts w:hint="eastAsia" w:ascii="宋体" w:hAnsi="宋体" w:cs="宋体"/>
                <w:kern w:val="0"/>
                <w:sz w:val="20"/>
                <w:szCs w:val="20"/>
                <w:lang w:bidi="ar"/>
              </w:rPr>
              <w:t>支持并配置静态路由、等价路由、策略路由；支持并可配置RIPv1/v2、BGPv4、BGP4+等路由协议</w:t>
            </w:r>
          </w:p>
        </w:tc>
      </w:tr>
      <w:tr w14:paraId="0E3D8947">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1377EA3F">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7A6237F8">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250A1111">
            <w:pPr>
              <w:widowControl/>
              <w:textAlignment w:val="center"/>
              <w:rPr>
                <w:rFonts w:ascii="宋体" w:hAnsi="宋体" w:cs="宋体"/>
                <w:sz w:val="20"/>
                <w:szCs w:val="20"/>
              </w:rPr>
            </w:pPr>
            <w:r>
              <w:rPr>
                <w:rFonts w:hint="eastAsia" w:ascii="宋体" w:hAnsi="宋体" w:cs="宋体"/>
                <w:kern w:val="0"/>
                <w:sz w:val="20"/>
                <w:szCs w:val="20"/>
                <w:lang w:bidi="ar"/>
              </w:rPr>
              <w:t>支持并配置MPLS L2VPN、MPLS L3VPN、MPLS QoS、MPLS 组播VPN功能。</w:t>
            </w:r>
          </w:p>
        </w:tc>
      </w:tr>
      <w:tr w14:paraId="6B9292FE">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69C822EF">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3DF1293B">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7C78051">
            <w:pPr>
              <w:widowControl/>
              <w:textAlignment w:val="center"/>
              <w:rPr>
                <w:rFonts w:ascii="宋体" w:hAnsi="宋体" w:cs="宋体"/>
                <w:sz w:val="20"/>
                <w:szCs w:val="20"/>
              </w:rPr>
            </w:pPr>
            <w:r>
              <w:rPr>
                <w:rFonts w:hint="eastAsia" w:ascii="宋体" w:hAnsi="宋体" w:cs="宋体"/>
                <w:kern w:val="0"/>
                <w:sz w:val="20"/>
                <w:szCs w:val="20"/>
                <w:lang w:bidi="ar"/>
              </w:rPr>
              <w:t>支持并配置Telnet、SSH管理模式；支持并配置CLI、SNMP v1/v2/v3、RMON 1/2/3/9；支持并配置Syslog日志功能。</w:t>
            </w:r>
          </w:p>
        </w:tc>
      </w:tr>
      <w:tr w14:paraId="1009C819">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711E05DE">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27D40F8F">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0D65A8CF">
            <w:pPr>
              <w:widowControl/>
              <w:jc w:val="left"/>
              <w:textAlignment w:val="center"/>
              <w:rPr>
                <w:rFonts w:ascii="宋体" w:hAnsi="宋体" w:cs="宋体"/>
                <w:b/>
                <w:bCs/>
                <w:szCs w:val="21"/>
              </w:rPr>
            </w:pPr>
            <w:r>
              <w:rPr>
                <w:rFonts w:hint="eastAsia" w:ascii="宋体" w:hAnsi="宋体" w:cs="宋体"/>
                <w:b/>
                <w:bCs/>
                <w:kern w:val="0"/>
                <w:szCs w:val="21"/>
                <w:lang w:bidi="ar"/>
              </w:rPr>
              <w:t>出口防火墙</w:t>
            </w:r>
          </w:p>
        </w:tc>
      </w:tr>
      <w:tr w14:paraId="59238077">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624E11B7">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680A80E1">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5FF2B0D">
            <w:pPr>
              <w:widowControl/>
              <w:jc w:val="left"/>
              <w:textAlignment w:val="center"/>
              <w:rPr>
                <w:rFonts w:ascii="宋体" w:hAnsi="宋体" w:cs="宋体"/>
                <w:sz w:val="20"/>
                <w:szCs w:val="20"/>
              </w:rPr>
            </w:pPr>
            <w:r>
              <w:rPr>
                <w:rFonts w:hint="eastAsia" w:ascii="宋体" w:hAnsi="宋体" w:cs="宋体"/>
                <w:kern w:val="0"/>
                <w:sz w:val="20"/>
                <w:szCs w:val="20"/>
                <w:lang w:bidi="ar"/>
              </w:rPr>
              <w:t>4个千兆Combo接口（光电复用），10个千兆电接口，1U标准机架，标配1TB监控级硬盘，冗余电源，支持2扩展槽，网络层吞吐9G，并发连接：100万，提供2个扩展槽，可支持扩展卡类型：4千兆光+4千兆电接口卡、4万兆光接口卡、8千兆电接口卡（可选bypass）、8千兆光接口卡、4万兆接口卡、2*40G接口卡、4万兆bypass接口卡。含一年防病毒、防攻击、上网行为管理、Web安全防护等增强特性授权；</w:t>
            </w:r>
          </w:p>
        </w:tc>
      </w:tr>
      <w:tr w14:paraId="2069679E">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4204410D">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3840782C">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C4F11C5">
            <w:pPr>
              <w:widowControl/>
              <w:jc w:val="left"/>
              <w:textAlignment w:val="center"/>
              <w:rPr>
                <w:rFonts w:ascii="宋体" w:hAnsi="宋体" w:cs="宋体"/>
                <w:sz w:val="20"/>
                <w:szCs w:val="20"/>
              </w:rPr>
            </w:pPr>
            <w:r>
              <w:rPr>
                <w:rFonts w:hint="eastAsia" w:ascii="宋体" w:hAnsi="宋体" w:cs="宋体"/>
                <w:kern w:val="0"/>
                <w:sz w:val="20"/>
                <w:szCs w:val="20"/>
                <w:lang w:bidi="ar"/>
              </w:rPr>
              <w:t>支持IPv6/v4双栈，支持IPv6安全策略包括审计策略、NAT策略、流量控制策略等；</w:t>
            </w:r>
          </w:p>
        </w:tc>
      </w:tr>
      <w:tr w14:paraId="5880B580">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06B8E2F5">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7DE77A36">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34486613">
            <w:pPr>
              <w:widowControl/>
              <w:jc w:val="left"/>
              <w:textAlignment w:val="center"/>
              <w:rPr>
                <w:rFonts w:ascii="宋体" w:hAnsi="宋体" w:cs="宋体"/>
                <w:sz w:val="20"/>
                <w:szCs w:val="20"/>
              </w:rPr>
            </w:pPr>
            <w:r>
              <w:rPr>
                <w:rFonts w:hint="eastAsia" w:ascii="宋体" w:hAnsi="宋体" w:cs="宋体"/>
                <w:kern w:val="0"/>
                <w:sz w:val="20"/>
                <w:szCs w:val="20"/>
                <w:lang w:bidi="ar"/>
              </w:rPr>
              <w:t>支持IPv6入侵防御、病毒防护、Web防护、风险扫描、安全分析、资产发现、弱密码防护等安全功能；</w:t>
            </w:r>
          </w:p>
        </w:tc>
      </w:tr>
      <w:tr w14:paraId="137FEA78">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5CBFDE18">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47B81C74">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D2870E5">
            <w:pPr>
              <w:widowControl/>
              <w:jc w:val="left"/>
              <w:textAlignment w:val="center"/>
              <w:rPr>
                <w:rFonts w:ascii="宋体" w:hAnsi="宋体" w:cs="宋体"/>
                <w:sz w:val="20"/>
                <w:szCs w:val="20"/>
              </w:rPr>
            </w:pPr>
            <w:r>
              <w:rPr>
                <w:rFonts w:hint="eastAsia" w:ascii="宋体" w:hAnsi="宋体" w:cs="宋体"/>
                <w:kern w:val="0"/>
                <w:sz w:val="20"/>
                <w:szCs w:val="20"/>
                <w:lang w:bidi="ar"/>
              </w:rPr>
              <w:t>支持端口镜像功能，支持入流量、出流量和双向流量等维度镜像。</w:t>
            </w:r>
          </w:p>
        </w:tc>
      </w:tr>
      <w:tr w14:paraId="7A8FF671">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2D52B903">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59908380">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811B66B">
            <w:pPr>
              <w:widowControl/>
              <w:jc w:val="left"/>
              <w:textAlignment w:val="center"/>
              <w:rPr>
                <w:rFonts w:ascii="宋体" w:hAnsi="宋体" w:cs="宋体"/>
                <w:sz w:val="20"/>
                <w:szCs w:val="20"/>
              </w:rPr>
            </w:pPr>
            <w:r>
              <w:rPr>
                <w:rFonts w:hint="eastAsia" w:ascii="宋体" w:hAnsi="宋体" w:cs="宋体"/>
                <w:kern w:val="0"/>
                <w:sz w:val="20"/>
                <w:szCs w:val="20"/>
                <w:lang w:bidi="ar"/>
              </w:rPr>
              <w:t>针对私接网络行为，惩罚方式包括但不限于无操作、阻断和限速，阻断和限速支持自定义惩罚时长。</w:t>
            </w:r>
          </w:p>
        </w:tc>
      </w:tr>
      <w:tr w14:paraId="04242592">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7FEE4981">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7386CED3">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5B96353">
            <w:pPr>
              <w:widowControl/>
              <w:jc w:val="left"/>
              <w:textAlignment w:val="center"/>
              <w:rPr>
                <w:rFonts w:ascii="宋体" w:hAnsi="宋体" w:cs="宋体"/>
                <w:sz w:val="20"/>
                <w:szCs w:val="20"/>
              </w:rPr>
            </w:pPr>
            <w:r>
              <w:rPr>
                <w:rFonts w:hint="eastAsia" w:ascii="宋体" w:hAnsi="宋体" w:cs="宋体"/>
                <w:kern w:val="0"/>
                <w:sz w:val="20"/>
                <w:szCs w:val="20"/>
                <w:lang w:bidi="ar"/>
              </w:rPr>
              <w:t>支持链路负载均衡和服务器负载均衡</w:t>
            </w:r>
          </w:p>
        </w:tc>
      </w:tr>
      <w:tr w14:paraId="0CE286E3">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79C21146">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251DB653">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FE8466B">
            <w:pPr>
              <w:widowControl/>
              <w:jc w:val="left"/>
              <w:textAlignment w:val="center"/>
              <w:rPr>
                <w:rFonts w:ascii="宋体" w:hAnsi="宋体" w:cs="宋体"/>
                <w:sz w:val="20"/>
                <w:szCs w:val="20"/>
              </w:rPr>
            </w:pPr>
            <w:r>
              <w:rPr>
                <w:rFonts w:hint="eastAsia" w:ascii="宋体" w:hAnsi="宋体" w:cs="宋体"/>
                <w:kern w:val="0"/>
                <w:sz w:val="20"/>
                <w:szCs w:val="20"/>
                <w:lang w:bidi="ar"/>
              </w:rPr>
              <w:t>支持多种控制策略的匹配条件配置，支持用户、接口、源地址/区域、目的地址/区域、源目的地理、应用、服务、终端类型等维度；</w:t>
            </w:r>
          </w:p>
        </w:tc>
      </w:tr>
      <w:tr w14:paraId="742A4D78">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695D6A6F">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3FC91877">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20BC558A">
            <w:pPr>
              <w:widowControl/>
              <w:jc w:val="left"/>
              <w:textAlignment w:val="center"/>
              <w:rPr>
                <w:rFonts w:ascii="宋体" w:hAnsi="宋体" w:cs="宋体"/>
                <w:sz w:val="20"/>
                <w:szCs w:val="20"/>
              </w:rPr>
            </w:pPr>
            <w:r>
              <w:rPr>
                <w:rFonts w:hint="eastAsia" w:ascii="宋体" w:hAnsi="宋体" w:cs="宋体"/>
                <w:kern w:val="0"/>
                <w:sz w:val="20"/>
                <w:szCs w:val="20"/>
                <w:lang w:bidi="ar"/>
              </w:rPr>
              <w:t>支持网络黑名单，支持IP/域名/MAC匹配，支持匹配HTTP协议报文中的X-Forwarded-For字段内的IP地址；</w:t>
            </w:r>
          </w:p>
        </w:tc>
      </w:tr>
      <w:tr w14:paraId="6881DA9A">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15EAF998">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7275FF94">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33DAB5EB">
            <w:pPr>
              <w:widowControl/>
              <w:jc w:val="left"/>
              <w:textAlignment w:val="center"/>
              <w:rPr>
                <w:rFonts w:ascii="宋体" w:hAnsi="宋体" w:cs="宋体"/>
                <w:sz w:val="20"/>
                <w:szCs w:val="20"/>
              </w:rPr>
            </w:pPr>
            <w:r>
              <w:rPr>
                <w:rFonts w:hint="eastAsia" w:ascii="宋体" w:hAnsi="宋体" w:cs="宋体"/>
                <w:kern w:val="0"/>
                <w:sz w:val="20"/>
                <w:szCs w:val="20"/>
                <w:lang w:bidi="ar"/>
              </w:rPr>
              <w:t>支持数据下钻至单资产风险详情，可自动关联该资产所有安全信息，安全信息包括但不少于：入侵防御、威胁情报、WEB防护、病毒防护、防暴力破解、非法外联防护、弱密码防护、扫描攻击防御和行为模型等，支持以趋势图方式按时间展示各类安全事件的趋势，方便管理员快速了解资产安全状况，以便进行准确的进行安全防护；</w:t>
            </w:r>
          </w:p>
        </w:tc>
      </w:tr>
      <w:tr w14:paraId="0602E01D">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58AC24CE">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5F0CCB06">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08D59D5E">
            <w:pPr>
              <w:widowControl/>
              <w:jc w:val="left"/>
              <w:textAlignment w:val="center"/>
              <w:rPr>
                <w:rFonts w:ascii="宋体" w:hAnsi="宋体" w:cs="宋体"/>
                <w:b/>
                <w:bCs/>
                <w:szCs w:val="21"/>
              </w:rPr>
            </w:pPr>
            <w:r>
              <w:rPr>
                <w:rFonts w:hint="eastAsia" w:ascii="宋体" w:hAnsi="宋体" w:cs="宋体"/>
                <w:b/>
                <w:bCs/>
                <w:kern w:val="0"/>
                <w:szCs w:val="21"/>
                <w:lang w:bidi="ar"/>
              </w:rPr>
              <w:t>NAT设备</w:t>
            </w:r>
          </w:p>
        </w:tc>
      </w:tr>
      <w:tr w14:paraId="787811BD">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375C7E85">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726E80D1">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450BD3A">
            <w:pPr>
              <w:widowControl/>
              <w:jc w:val="left"/>
              <w:textAlignment w:val="center"/>
              <w:rPr>
                <w:rFonts w:ascii="宋体" w:hAnsi="宋体" w:cs="宋体"/>
                <w:sz w:val="20"/>
                <w:szCs w:val="20"/>
              </w:rPr>
            </w:pPr>
            <w:r>
              <w:rPr>
                <w:rFonts w:hint="eastAsia" w:ascii="宋体" w:hAnsi="宋体" w:cs="宋体"/>
                <w:kern w:val="0"/>
                <w:sz w:val="20"/>
                <w:szCs w:val="20"/>
                <w:lang w:bidi="ar"/>
              </w:rPr>
              <w:t>提供三层千兆WAN口数量≥3个，其中电口数量≥2个、光口数量≥1个，二层千兆以太LAN口（电口）数量≥4个，且通过线卡可扩展到最大16个</w:t>
            </w:r>
          </w:p>
        </w:tc>
      </w:tr>
      <w:tr w14:paraId="2F06A271">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314D7E4A">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04F2B5D4">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E362A6E">
            <w:pPr>
              <w:widowControl/>
              <w:jc w:val="left"/>
              <w:textAlignment w:val="center"/>
              <w:rPr>
                <w:rFonts w:ascii="宋体" w:hAnsi="宋体" w:cs="宋体"/>
                <w:sz w:val="20"/>
                <w:szCs w:val="20"/>
              </w:rPr>
            </w:pPr>
            <w:r>
              <w:rPr>
                <w:rFonts w:hint="eastAsia" w:ascii="宋体" w:hAnsi="宋体" w:cs="宋体"/>
                <w:kern w:val="0"/>
                <w:sz w:val="20"/>
                <w:szCs w:val="20"/>
                <w:lang w:bidi="ar"/>
              </w:rPr>
              <w:t>转发性能≥600Kpps</w:t>
            </w:r>
          </w:p>
        </w:tc>
      </w:tr>
      <w:tr w14:paraId="746D7EA9">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2C9292DB">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0E18B22E">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4784149">
            <w:pPr>
              <w:widowControl/>
              <w:jc w:val="left"/>
              <w:textAlignment w:val="center"/>
              <w:rPr>
                <w:rFonts w:ascii="宋体" w:hAnsi="宋体" w:cs="宋体"/>
                <w:sz w:val="20"/>
                <w:szCs w:val="20"/>
              </w:rPr>
            </w:pPr>
            <w:r>
              <w:rPr>
                <w:rFonts w:hint="eastAsia" w:ascii="宋体" w:hAnsi="宋体" w:cs="宋体"/>
                <w:kern w:val="0"/>
                <w:sz w:val="20"/>
                <w:szCs w:val="20"/>
                <w:lang w:bidi="ar"/>
              </w:rPr>
              <w:t>支持冗余电源模块，冗余电源模块支持热插拔</w:t>
            </w:r>
          </w:p>
        </w:tc>
      </w:tr>
      <w:tr w14:paraId="6767C274">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27A0FDE0">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6638442D">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79C6F55">
            <w:pPr>
              <w:widowControl/>
              <w:jc w:val="left"/>
              <w:textAlignment w:val="center"/>
              <w:rPr>
                <w:rFonts w:ascii="宋体" w:hAnsi="宋体" w:cs="宋体"/>
                <w:sz w:val="20"/>
                <w:szCs w:val="20"/>
              </w:rPr>
            </w:pPr>
            <w:r>
              <w:rPr>
                <w:rFonts w:hint="eastAsia" w:ascii="宋体" w:hAnsi="宋体" w:cs="宋体"/>
                <w:kern w:val="0"/>
                <w:sz w:val="20"/>
                <w:szCs w:val="20"/>
                <w:lang w:bidi="ar"/>
              </w:rPr>
              <w:t>扩展模块插槽≥2个，可扩展4G模块，5G模块，E1/CE1模块、国密局加密模块等，且为了方便部署，无槽位使用限制</w:t>
            </w:r>
          </w:p>
        </w:tc>
      </w:tr>
      <w:tr w14:paraId="1CFA5091">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129BCD49">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7E1F27A2">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0C4061F3">
            <w:pPr>
              <w:widowControl/>
              <w:jc w:val="left"/>
              <w:textAlignment w:val="center"/>
              <w:rPr>
                <w:rFonts w:ascii="宋体" w:hAnsi="宋体" w:cs="宋体"/>
                <w:sz w:val="20"/>
                <w:szCs w:val="20"/>
              </w:rPr>
            </w:pPr>
            <w:r>
              <w:rPr>
                <w:rFonts w:hint="eastAsia" w:ascii="宋体" w:hAnsi="宋体" w:cs="宋体"/>
                <w:kern w:val="0"/>
                <w:sz w:val="20"/>
                <w:szCs w:val="20"/>
                <w:lang w:bidi="ar"/>
              </w:rPr>
              <w:t>支持静态路由、RIPv1/v2、OSPF、BGP4等路由协议</w:t>
            </w:r>
          </w:p>
        </w:tc>
      </w:tr>
      <w:tr w14:paraId="4E69A315">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49F18160">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50FD0A47">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6802DCC">
            <w:pPr>
              <w:widowControl/>
              <w:jc w:val="left"/>
              <w:textAlignment w:val="center"/>
              <w:rPr>
                <w:rFonts w:ascii="宋体" w:hAnsi="宋体" w:cs="宋体"/>
                <w:sz w:val="20"/>
                <w:szCs w:val="20"/>
              </w:rPr>
            </w:pPr>
            <w:r>
              <w:rPr>
                <w:rFonts w:hint="eastAsia" w:ascii="宋体" w:hAnsi="宋体" w:cs="宋体"/>
                <w:kern w:val="0"/>
                <w:sz w:val="20"/>
                <w:szCs w:val="20"/>
                <w:lang w:bidi="ar"/>
              </w:rPr>
              <w:t>提供L2TP、IPSec VPN、GRE VPN、DMVPN功能</w:t>
            </w:r>
          </w:p>
        </w:tc>
      </w:tr>
      <w:tr w14:paraId="5ECF9B4C">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45A22A68">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7941A015">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5A750B2">
            <w:pPr>
              <w:widowControl/>
              <w:jc w:val="left"/>
              <w:textAlignment w:val="center"/>
              <w:rPr>
                <w:rFonts w:ascii="宋体" w:hAnsi="宋体" w:cs="宋体"/>
                <w:sz w:val="20"/>
                <w:szCs w:val="20"/>
              </w:rPr>
            </w:pPr>
            <w:r>
              <w:rPr>
                <w:rFonts w:hint="eastAsia" w:ascii="宋体" w:hAnsi="宋体" w:cs="宋体"/>
                <w:kern w:val="0"/>
                <w:sz w:val="20"/>
                <w:szCs w:val="20"/>
                <w:lang w:bidi="ar"/>
              </w:rPr>
              <w:t>支持设备管理，路由器面板提供多功能复原键 ，支持FUNC复位按钮、一键配置导入、软件升级功能，提供产品配置手册或硬件安装手册说明复位功能、一键配置导入、软件升级功能的相关操作流程</w:t>
            </w:r>
          </w:p>
        </w:tc>
      </w:tr>
      <w:tr w14:paraId="5E31ECA1">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5D859C42">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69C86E29">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49370119">
            <w:pPr>
              <w:widowControl/>
              <w:jc w:val="left"/>
              <w:textAlignment w:val="center"/>
              <w:rPr>
                <w:rFonts w:ascii="宋体" w:hAnsi="宋体" w:cs="宋体"/>
                <w:sz w:val="20"/>
                <w:szCs w:val="20"/>
              </w:rPr>
            </w:pPr>
            <w:r>
              <w:rPr>
                <w:rFonts w:hint="eastAsia" w:ascii="宋体" w:hAnsi="宋体" w:cs="宋体"/>
                <w:kern w:val="0"/>
                <w:sz w:val="20"/>
                <w:szCs w:val="20"/>
                <w:lang w:bidi="ar"/>
              </w:rPr>
              <w:t>为保证网络安全，产品支持国家密码管理局商密SM1/2/3/4加密算法，支持SM1硬件加密；为节省客户成本，SM2/3/4无需额外硬件模块</w:t>
            </w:r>
          </w:p>
        </w:tc>
      </w:tr>
      <w:tr w14:paraId="3EA7B69D">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3C4FC071">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5A9694BA">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5DD49011">
            <w:pPr>
              <w:widowControl/>
              <w:jc w:val="left"/>
              <w:textAlignment w:val="center"/>
              <w:rPr>
                <w:rFonts w:ascii="宋体" w:hAnsi="宋体" w:cs="宋体"/>
                <w:b/>
                <w:bCs/>
                <w:szCs w:val="21"/>
              </w:rPr>
            </w:pPr>
            <w:r>
              <w:rPr>
                <w:rFonts w:hint="eastAsia" w:ascii="宋体" w:hAnsi="宋体" w:cs="宋体"/>
                <w:b/>
                <w:bCs/>
                <w:kern w:val="0"/>
                <w:szCs w:val="21"/>
                <w:lang w:bidi="ar"/>
              </w:rPr>
              <w:t>堡垒机</w:t>
            </w:r>
          </w:p>
        </w:tc>
      </w:tr>
      <w:tr w14:paraId="19023EEB">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43158817">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2C12B924">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5556B4C">
            <w:pPr>
              <w:widowControl/>
              <w:textAlignment w:val="center"/>
              <w:rPr>
                <w:rFonts w:ascii="宋体" w:hAnsi="宋体" w:cs="宋体"/>
                <w:sz w:val="20"/>
                <w:szCs w:val="20"/>
              </w:rPr>
            </w:pPr>
            <w:r>
              <w:rPr>
                <w:rFonts w:hint="eastAsia" w:ascii="宋体" w:hAnsi="宋体" w:cs="宋体"/>
                <w:kern w:val="0"/>
                <w:sz w:val="20"/>
                <w:szCs w:val="20"/>
                <w:lang w:bidi="ar"/>
              </w:rPr>
              <w:t>1U机型，1个console口，2个USB口，4个千兆电口 ，单电源</w:t>
            </w:r>
          </w:p>
        </w:tc>
      </w:tr>
      <w:tr w14:paraId="5D62CB52">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06347DF7">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26D10FE0">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3D5ABF1F">
            <w:pPr>
              <w:widowControl/>
              <w:jc w:val="left"/>
              <w:textAlignment w:val="center"/>
              <w:rPr>
                <w:rFonts w:ascii="宋体" w:hAnsi="宋体" w:cs="宋体"/>
                <w:b/>
                <w:bCs/>
                <w:szCs w:val="21"/>
              </w:rPr>
            </w:pPr>
            <w:r>
              <w:rPr>
                <w:rFonts w:hint="eastAsia" w:ascii="宋体" w:hAnsi="宋体" w:cs="宋体"/>
                <w:b/>
                <w:bCs/>
                <w:kern w:val="0"/>
                <w:szCs w:val="21"/>
                <w:lang w:bidi="ar"/>
              </w:rPr>
              <w:t>运维服务器</w:t>
            </w:r>
          </w:p>
        </w:tc>
      </w:tr>
      <w:tr w14:paraId="08479BC1">
        <w:tblPrEx>
          <w:tblCellMar>
            <w:top w:w="0" w:type="dxa"/>
            <w:left w:w="108" w:type="dxa"/>
            <w:bottom w:w="0" w:type="dxa"/>
            <w:right w:w="108" w:type="dxa"/>
          </w:tblCellMar>
        </w:tblPrEx>
        <w:trPr>
          <w:trHeight w:val="661" w:hRule="atLeast"/>
        </w:trPr>
        <w:tc>
          <w:tcPr>
            <w:tcW w:w="302" w:type="pct"/>
            <w:vMerge w:val="continue"/>
            <w:tcBorders>
              <w:left w:val="single" w:color="000000" w:sz="4" w:space="0"/>
              <w:right w:val="single" w:color="000000" w:sz="4" w:space="0"/>
            </w:tcBorders>
            <w:noWrap/>
            <w:vAlign w:val="center"/>
          </w:tcPr>
          <w:p w14:paraId="321EF86F">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692D8686">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28EB878">
            <w:pPr>
              <w:widowControl/>
              <w:textAlignment w:val="center"/>
              <w:rPr>
                <w:rFonts w:ascii="宋体" w:hAnsi="宋体" w:cs="宋体"/>
                <w:sz w:val="20"/>
                <w:szCs w:val="20"/>
              </w:rPr>
            </w:pPr>
            <w:r>
              <w:rPr>
                <w:rFonts w:hint="eastAsia" w:ascii="宋体" w:hAnsi="宋体" w:cs="宋体"/>
                <w:kern w:val="0"/>
                <w:sz w:val="20"/>
                <w:szCs w:val="20"/>
                <w:lang w:bidi="ar"/>
              </w:rPr>
              <w:t>硬件配置：2U ,CPU≥2.20 GHz、内存≥256、硬盘≥96G SSD、≥16T SATA、网口≥1G；</w:t>
            </w:r>
          </w:p>
        </w:tc>
      </w:tr>
      <w:tr w14:paraId="6ABA043C">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3E2EEB84">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290E0DD5">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B3566EB">
            <w:pPr>
              <w:widowControl/>
              <w:jc w:val="left"/>
              <w:textAlignment w:val="center"/>
              <w:rPr>
                <w:rFonts w:ascii="宋体" w:hAnsi="宋体" w:cs="宋体"/>
                <w:b/>
                <w:bCs/>
                <w:szCs w:val="21"/>
              </w:rPr>
            </w:pPr>
            <w:r>
              <w:rPr>
                <w:rFonts w:hint="eastAsia" w:ascii="宋体" w:hAnsi="宋体" w:cs="宋体"/>
                <w:b/>
                <w:bCs/>
                <w:kern w:val="0"/>
                <w:szCs w:val="21"/>
                <w:lang w:bidi="ar"/>
              </w:rPr>
              <w:t>日志审计</w:t>
            </w:r>
          </w:p>
        </w:tc>
      </w:tr>
      <w:tr w14:paraId="646A86D0">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shd w:val="clear" w:color="auto" w:fill="auto"/>
            <w:noWrap/>
            <w:vAlign w:val="center"/>
          </w:tcPr>
          <w:p w14:paraId="7D415AD8">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shd w:val="clear" w:color="auto" w:fill="auto"/>
            <w:vAlign w:val="center"/>
          </w:tcPr>
          <w:p w14:paraId="4F4703A2">
            <w:pPr>
              <w:jc w:val="center"/>
              <w:rPr>
                <w:rFonts w:ascii="宋体" w:hAnsi="宋体" w:cs="宋体"/>
                <w:szCs w:val="21"/>
              </w:rPr>
            </w:pPr>
          </w:p>
        </w:tc>
        <w:tc>
          <w:tcPr>
            <w:tcW w:w="4370" w:type="pct"/>
            <w:tcBorders>
              <w:top w:val="nil"/>
              <w:left w:val="nil"/>
              <w:bottom w:val="single" w:color="000000" w:sz="8" w:space="0"/>
              <w:right w:val="single" w:color="000000" w:sz="8" w:space="0"/>
            </w:tcBorders>
            <w:shd w:val="clear" w:color="auto" w:fill="FFFFFF"/>
            <w:vAlign w:val="center"/>
          </w:tcPr>
          <w:p w14:paraId="72633EBB">
            <w:pPr>
              <w:widowControl/>
              <w:jc w:val="left"/>
              <w:textAlignment w:val="center"/>
              <w:rPr>
                <w:rFonts w:ascii="宋体" w:hAnsi="宋体" w:cs="宋体"/>
                <w:sz w:val="20"/>
                <w:szCs w:val="20"/>
              </w:rPr>
            </w:pPr>
            <w:r>
              <w:rPr>
                <w:rFonts w:hint="eastAsia" w:ascii="宋体" w:hAnsi="宋体" w:cs="宋体"/>
                <w:kern w:val="0"/>
                <w:sz w:val="20"/>
                <w:szCs w:val="20"/>
                <w:lang w:bidi="ar"/>
              </w:rPr>
              <w:t>硬件配置：机箱：</w:t>
            </w:r>
            <w:r>
              <w:rPr>
                <w:rFonts w:ascii="Times New Roman" w:hAnsi="Times New Roman"/>
                <w:kern w:val="0"/>
                <w:sz w:val="20"/>
                <w:szCs w:val="20"/>
                <w:lang w:bidi="ar"/>
              </w:rPr>
              <w:t>1U</w:t>
            </w:r>
            <w:r>
              <w:rPr>
                <w:rFonts w:hint="eastAsia" w:ascii="宋体" w:hAnsi="宋体" w:cs="宋体"/>
                <w:kern w:val="0"/>
                <w:sz w:val="20"/>
                <w:szCs w:val="20"/>
                <w:lang w:bidi="ar"/>
              </w:rPr>
              <w:t>，内存≥</w:t>
            </w:r>
            <w:r>
              <w:rPr>
                <w:rFonts w:ascii="Times New Roman" w:hAnsi="Times New Roman"/>
                <w:kern w:val="0"/>
                <w:sz w:val="20"/>
                <w:szCs w:val="20"/>
                <w:lang w:bidi="ar"/>
              </w:rPr>
              <w:t>16G</w:t>
            </w:r>
            <w:r>
              <w:rPr>
                <w:rFonts w:hint="eastAsia" w:ascii="宋体" w:hAnsi="宋体" w:cs="宋体"/>
                <w:kern w:val="0"/>
                <w:sz w:val="20"/>
                <w:szCs w:val="20"/>
                <w:lang w:bidi="ar"/>
              </w:rPr>
              <w:t>，硬盘≥</w:t>
            </w:r>
            <w:r>
              <w:rPr>
                <w:rFonts w:ascii="Times New Roman" w:hAnsi="Times New Roman"/>
                <w:kern w:val="0"/>
                <w:sz w:val="20"/>
                <w:szCs w:val="20"/>
                <w:lang w:bidi="ar"/>
              </w:rPr>
              <w:t>1T</w:t>
            </w:r>
            <w:r>
              <w:rPr>
                <w:rFonts w:hint="eastAsia" w:ascii="宋体" w:hAnsi="宋体" w:cs="宋体"/>
                <w:kern w:val="0"/>
                <w:sz w:val="20"/>
                <w:szCs w:val="20"/>
                <w:lang w:bidi="ar"/>
              </w:rPr>
              <w:t>，网≥卡</w:t>
            </w:r>
            <w:r>
              <w:rPr>
                <w:rFonts w:ascii="Times New Roman" w:hAnsi="Times New Roman"/>
                <w:kern w:val="0"/>
                <w:sz w:val="20"/>
                <w:szCs w:val="20"/>
                <w:lang w:bidi="ar"/>
              </w:rPr>
              <w:t>6</w:t>
            </w:r>
            <w:r>
              <w:rPr>
                <w:rFonts w:hint="eastAsia" w:ascii="宋体" w:hAnsi="宋体" w:cs="宋体"/>
                <w:kern w:val="0"/>
                <w:sz w:val="20"/>
                <w:szCs w:val="20"/>
                <w:lang w:bidi="ar"/>
              </w:rPr>
              <w:t>个千兆电口，电源≥</w:t>
            </w:r>
            <w:r>
              <w:rPr>
                <w:rFonts w:ascii="Times New Roman" w:hAnsi="Times New Roman"/>
                <w:kern w:val="0"/>
                <w:sz w:val="20"/>
                <w:szCs w:val="20"/>
                <w:lang w:bidi="ar"/>
              </w:rPr>
              <w:t>250W</w:t>
            </w:r>
            <w:r>
              <w:rPr>
                <w:rFonts w:hint="eastAsia" w:ascii="Times New Roman" w:hAnsi="Times New Roman"/>
                <w:kern w:val="0"/>
                <w:sz w:val="20"/>
                <w:szCs w:val="20"/>
                <w:lang w:bidi="ar"/>
              </w:rPr>
              <w:t>，</w:t>
            </w:r>
            <w:r>
              <w:rPr>
                <w:rFonts w:hint="eastAsia" w:ascii="宋体" w:hAnsi="宋体" w:cs="宋体"/>
                <w:kern w:val="0"/>
                <w:sz w:val="20"/>
                <w:szCs w:val="20"/>
                <w:lang w:bidi="ar"/>
              </w:rPr>
              <w:t>≥</w:t>
            </w:r>
            <w:r>
              <w:rPr>
                <w:rFonts w:ascii="Times New Roman" w:hAnsi="Times New Roman"/>
                <w:kern w:val="0"/>
                <w:sz w:val="20"/>
                <w:szCs w:val="20"/>
                <w:lang w:bidi="ar"/>
              </w:rPr>
              <w:t>50</w:t>
            </w:r>
            <w:r>
              <w:rPr>
                <w:rFonts w:hint="eastAsia" w:ascii="宋体" w:hAnsi="宋体" w:cs="宋体"/>
                <w:kern w:val="0"/>
                <w:sz w:val="20"/>
                <w:szCs w:val="20"/>
                <w:lang w:bidi="ar"/>
              </w:rPr>
              <w:t>个日志源，日志处理性能≥</w:t>
            </w:r>
            <w:r>
              <w:rPr>
                <w:rFonts w:ascii="Times New Roman" w:hAnsi="Times New Roman"/>
                <w:kern w:val="0"/>
                <w:sz w:val="20"/>
                <w:szCs w:val="20"/>
                <w:lang w:bidi="ar"/>
              </w:rPr>
              <w:t>1500EPS</w:t>
            </w:r>
            <w:r>
              <w:rPr>
                <w:rFonts w:hint="eastAsia" w:ascii="宋体" w:hAnsi="宋体" w:cs="宋体"/>
                <w:kern w:val="0"/>
                <w:sz w:val="20"/>
                <w:szCs w:val="20"/>
                <w:lang w:bidi="ar"/>
              </w:rPr>
              <w:t>；</w:t>
            </w:r>
          </w:p>
        </w:tc>
      </w:tr>
      <w:tr w14:paraId="00F71127">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shd w:val="clear" w:color="auto" w:fill="auto"/>
            <w:noWrap/>
            <w:vAlign w:val="center"/>
          </w:tcPr>
          <w:p w14:paraId="65C2D591">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shd w:val="clear" w:color="auto" w:fill="auto"/>
            <w:vAlign w:val="center"/>
          </w:tcPr>
          <w:p w14:paraId="7E880D1D">
            <w:pPr>
              <w:jc w:val="center"/>
              <w:rPr>
                <w:rFonts w:ascii="宋体" w:hAnsi="宋体" w:cs="宋体"/>
                <w:szCs w:val="21"/>
              </w:rPr>
            </w:pPr>
          </w:p>
        </w:tc>
        <w:tc>
          <w:tcPr>
            <w:tcW w:w="4370" w:type="pct"/>
            <w:tcBorders>
              <w:top w:val="nil"/>
              <w:left w:val="nil"/>
              <w:bottom w:val="single" w:color="000000" w:sz="8" w:space="0"/>
              <w:right w:val="single" w:color="000000" w:sz="8" w:space="0"/>
            </w:tcBorders>
            <w:shd w:val="clear" w:color="auto" w:fill="FFFFFF"/>
            <w:vAlign w:val="center"/>
          </w:tcPr>
          <w:p w14:paraId="446C11E3">
            <w:pPr>
              <w:widowControl/>
              <w:jc w:val="left"/>
              <w:textAlignment w:val="center"/>
              <w:rPr>
                <w:rFonts w:ascii="宋体" w:hAnsi="宋体" w:cs="宋体"/>
                <w:sz w:val="20"/>
                <w:szCs w:val="20"/>
              </w:rPr>
            </w:pPr>
            <w:r>
              <w:rPr>
                <w:rFonts w:hint="eastAsia" w:ascii="宋体" w:hAnsi="宋体" w:cs="宋体"/>
                <w:kern w:val="0"/>
                <w:sz w:val="20"/>
                <w:szCs w:val="20"/>
                <w:lang w:bidi="ar"/>
              </w:rPr>
              <w:t>支持</w:t>
            </w:r>
            <w:r>
              <w:rPr>
                <w:rFonts w:ascii="Times New Roman" w:hAnsi="Times New Roman"/>
                <w:kern w:val="0"/>
                <w:sz w:val="20"/>
                <w:szCs w:val="20"/>
                <w:lang w:bidi="ar"/>
              </w:rPr>
              <w:t>Syslog(UDP</w:t>
            </w:r>
            <w:r>
              <w:rPr>
                <w:rFonts w:hint="eastAsia" w:ascii="宋体" w:hAnsi="宋体" w:cs="宋体"/>
                <w:kern w:val="0"/>
                <w:sz w:val="20"/>
                <w:szCs w:val="20"/>
                <w:lang w:bidi="ar"/>
              </w:rPr>
              <w:t>、</w:t>
            </w:r>
            <w:r>
              <w:rPr>
                <w:rFonts w:ascii="Times New Roman" w:hAnsi="Times New Roman"/>
                <w:kern w:val="0"/>
                <w:sz w:val="20"/>
                <w:szCs w:val="20"/>
                <w:lang w:bidi="ar"/>
              </w:rPr>
              <w:t>TCP</w:t>
            </w:r>
            <w:r>
              <w:rPr>
                <w:rFonts w:hint="eastAsia" w:ascii="宋体" w:hAnsi="宋体" w:cs="宋体"/>
                <w:kern w:val="0"/>
                <w:sz w:val="20"/>
                <w:szCs w:val="20"/>
                <w:lang w:bidi="ar"/>
              </w:rPr>
              <w:t>）、目录、远端软件（</w:t>
            </w:r>
            <w:r>
              <w:rPr>
                <w:rFonts w:ascii="Times New Roman" w:hAnsi="Times New Roman"/>
                <w:kern w:val="0"/>
                <w:sz w:val="20"/>
                <w:szCs w:val="20"/>
                <w:lang w:bidi="ar"/>
              </w:rPr>
              <w:t>FTP</w:t>
            </w:r>
            <w:r>
              <w:rPr>
                <w:rFonts w:hint="eastAsia" w:ascii="宋体" w:hAnsi="宋体" w:cs="宋体"/>
                <w:kern w:val="0"/>
                <w:sz w:val="20"/>
                <w:szCs w:val="20"/>
                <w:lang w:bidi="ar"/>
              </w:rPr>
              <w:t>、</w:t>
            </w:r>
            <w:r>
              <w:rPr>
                <w:rFonts w:ascii="Times New Roman" w:hAnsi="Times New Roman"/>
                <w:kern w:val="0"/>
                <w:sz w:val="20"/>
                <w:szCs w:val="20"/>
                <w:lang w:bidi="ar"/>
              </w:rPr>
              <w:t>SFTP</w:t>
            </w:r>
            <w:r>
              <w:rPr>
                <w:rFonts w:hint="eastAsia" w:ascii="宋体" w:hAnsi="宋体" w:cs="宋体"/>
                <w:kern w:val="0"/>
                <w:sz w:val="20"/>
                <w:szCs w:val="20"/>
                <w:lang w:bidi="ar"/>
              </w:rPr>
              <w:t>、</w:t>
            </w:r>
            <w:r>
              <w:rPr>
                <w:rFonts w:ascii="Times New Roman" w:hAnsi="Times New Roman"/>
                <w:kern w:val="0"/>
                <w:sz w:val="20"/>
                <w:szCs w:val="20"/>
                <w:lang w:bidi="ar"/>
              </w:rPr>
              <w:t>HDFS</w:t>
            </w:r>
            <w:r>
              <w:rPr>
                <w:rFonts w:hint="eastAsia" w:ascii="宋体" w:hAnsi="宋体" w:cs="宋体"/>
                <w:kern w:val="0"/>
                <w:sz w:val="20"/>
                <w:szCs w:val="20"/>
                <w:lang w:bidi="ar"/>
              </w:rPr>
              <w:t>、</w:t>
            </w:r>
            <w:r>
              <w:rPr>
                <w:rFonts w:ascii="Times New Roman" w:hAnsi="Times New Roman"/>
                <w:kern w:val="0"/>
                <w:sz w:val="20"/>
                <w:szCs w:val="20"/>
                <w:lang w:bidi="ar"/>
              </w:rPr>
              <w:t>LOCAL</w:t>
            </w:r>
            <w:r>
              <w:rPr>
                <w:rFonts w:hint="eastAsia" w:ascii="宋体" w:hAnsi="宋体" w:cs="宋体"/>
                <w:kern w:val="0"/>
                <w:sz w:val="20"/>
                <w:szCs w:val="20"/>
                <w:lang w:bidi="ar"/>
              </w:rPr>
              <w:t>）、</w:t>
            </w:r>
            <w:r>
              <w:rPr>
                <w:rFonts w:ascii="Times New Roman" w:hAnsi="Times New Roman"/>
                <w:kern w:val="0"/>
                <w:sz w:val="20"/>
                <w:szCs w:val="20"/>
                <w:lang w:bidi="ar"/>
              </w:rPr>
              <w:t>WMI</w:t>
            </w:r>
            <w:r>
              <w:rPr>
                <w:rFonts w:hint="eastAsia" w:ascii="宋体" w:hAnsi="宋体" w:cs="宋体"/>
                <w:kern w:val="0"/>
                <w:sz w:val="20"/>
                <w:szCs w:val="20"/>
                <w:lang w:bidi="ar"/>
              </w:rPr>
              <w:t>、</w:t>
            </w:r>
            <w:r>
              <w:rPr>
                <w:rFonts w:ascii="Times New Roman" w:hAnsi="Times New Roman"/>
                <w:kern w:val="0"/>
                <w:sz w:val="20"/>
                <w:szCs w:val="20"/>
                <w:lang w:bidi="ar"/>
              </w:rPr>
              <w:t>SNMP</w:t>
            </w:r>
            <w:r>
              <w:rPr>
                <w:rFonts w:hint="eastAsia" w:ascii="宋体" w:hAnsi="宋体" w:cs="宋体"/>
                <w:kern w:val="0"/>
                <w:sz w:val="20"/>
                <w:szCs w:val="20"/>
                <w:lang w:bidi="ar"/>
              </w:rPr>
              <w:t>（</w:t>
            </w:r>
            <w:r>
              <w:rPr>
                <w:rFonts w:ascii="Times New Roman" w:hAnsi="Times New Roman"/>
                <w:kern w:val="0"/>
                <w:sz w:val="20"/>
                <w:szCs w:val="20"/>
                <w:lang w:bidi="ar"/>
              </w:rPr>
              <w:t>Trap</w:t>
            </w:r>
            <w:r>
              <w:rPr>
                <w:rFonts w:hint="eastAsia" w:ascii="宋体" w:hAnsi="宋体" w:cs="宋体"/>
                <w:kern w:val="0"/>
                <w:sz w:val="20"/>
                <w:szCs w:val="20"/>
                <w:lang w:bidi="ar"/>
              </w:rPr>
              <w:t>）、数据库（</w:t>
            </w:r>
            <w:r>
              <w:rPr>
                <w:rFonts w:ascii="Times New Roman" w:hAnsi="Times New Roman"/>
                <w:kern w:val="0"/>
                <w:sz w:val="20"/>
                <w:szCs w:val="20"/>
                <w:lang w:bidi="ar"/>
              </w:rPr>
              <w:t>ORACLE</w:t>
            </w:r>
            <w:r>
              <w:rPr>
                <w:rFonts w:hint="eastAsia" w:ascii="宋体" w:hAnsi="宋体" w:cs="宋体"/>
                <w:kern w:val="0"/>
                <w:sz w:val="20"/>
                <w:szCs w:val="20"/>
                <w:lang w:bidi="ar"/>
              </w:rPr>
              <w:t>、</w:t>
            </w:r>
            <w:r>
              <w:rPr>
                <w:rFonts w:ascii="Times New Roman" w:hAnsi="Times New Roman"/>
                <w:kern w:val="0"/>
                <w:sz w:val="20"/>
                <w:szCs w:val="20"/>
                <w:lang w:bidi="ar"/>
              </w:rPr>
              <w:t>DB2</w:t>
            </w:r>
            <w:r>
              <w:rPr>
                <w:rFonts w:hint="eastAsia" w:ascii="宋体" w:hAnsi="宋体" w:cs="宋体"/>
                <w:kern w:val="0"/>
                <w:sz w:val="20"/>
                <w:szCs w:val="20"/>
                <w:lang w:bidi="ar"/>
              </w:rPr>
              <w:t>、</w:t>
            </w:r>
            <w:r>
              <w:rPr>
                <w:rFonts w:ascii="Times New Roman" w:hAnsi="Times New Roman"/>
                <w:kern w:val="0"/>
                <w:sz w:val="20"/>
                <w:szCs w:val="20"/>
                <w:lang w:bidi="ar"/>
              </w:rPr>
              <w:t>MYSQL</w:t>
            </w:r>
            <w:r>
              <w:rPr>
                <w:rFonts w:hint="eastAsia" w:ascii="宋体" w:hAnsi="宋体" w:cs="宋体"/>
                <w:kern w:val="0"/>
                <w:sz w:val="20"/>
                <w:szCs w:val="20"/>
                <w:lang w:bidi="ar"/>
              </w:rPr>
              <w:t>、</w:t>
            </w:r>
            <w:r>
              <w:rPr>
                <w:rFonts w:ascii="Times New Roman" w:hAnsi="Times New Roman"/>
                <w:kern w:val="0"/>
                <w:sz w:val="20"/>
                <w:szCs w:val="20"/>
                <w:lang w:bidi="ar"/>
              </w:rPr>
              <w:t>SQLITE</w:t>
            </w:r>
            <w:r>
              <w:rPr>
                <w:rFonts w:hint="eastAsia" w:ascii="宋体" w:hAnsi="宋体" w:cs="宋体"/>
                <w:kern w:val="0"/>
                <w:sz w:val="20"/>
                <w:szCs w:val="20"/>
                <w:lang w:bidi="ar"/>
              </w:rPr>
              <w:t>、</w:t>
            </w:r>
            <w:r>
              <w:rPr>
                <w:rFonts w:ascii="Times New Roman" w:hAnsi="Times New Roman"/>
                <w:kern w:val="0"/>
                <w:sz w:val="20"/>
                <w:szCs w:val="20"/>
                <w:lang w:bidi="ar"/>
              </w:rPr>
              <w:t>POSTGRES</w:t>
            </w:r>
            <w:r>
              <w:rPr>
                <w:rFonts w:hint="eastAsia" w:ascii="宋体" w:hAnsi="宋体" w:cs="宋体"/>
                <w:kern w:val="0"/>
                <w:sz w:val="20"/>
                <w:szCs w:val="20"/>
                <w:lang w:bidi="ar"/>
              </w:rPr>
              <w:t>、</w:t>
            </w:r>
            <w:r>
              <w:rPr>
                <w:rFonts w:ascii="Times New Roman" w:hAnsi="Times New Roman"/>
                <w:kern w:val="0"/>
                <w:sz w:val="20"/>
                <w:szCs w:val="20"/>
                <w:lang w:bidi="ar"/>
              </w:rPr>
              <w:t>SQLSERVER</w:t>
            </w:r>
            <w:r>
              <w:rPr>
                <w:rFonts w:hint="eastAsia" w:ascii="宋体" w:hAnsi="宋体" w:cs="宋体"/>
                <w:kern w:val="0"/>
                <w:sz w:val="20"/>
                <w:szCs w:val="20"/>
                <w:lang w:bidi="ar"/>
              </w:rPr>
              <w:t>）协议日志收集</w:t>
            </w:r>
          </w:p>
        </w:tc>
      </w:tr>
      <w:tr w14:paraId="370BC64F">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shd w:val="clear" w:color="auto" w:fill="auto"/>
            <w:noWrap/>
            <w:vAlign w:val="center"/>
          </w:tcPr>
          <w:p w14:paraId="2159B6EC">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shd w:val="clear" w:color="auto" w:fill="auto"/>
            <w:vAlign w:val="center"/>
          </w:tcPr>
          <w:p w14:paraId="09CB4698">
            <w:pPr>
              <w:jc w:val="center"/>
              <w:rPr>
                <w:rFonts w:ascii="宋体" w:hAnsi="宋体" w:cs="宋体"/>
                <w:szCs w:val="21"/>
              </w:rPr>
            </w:pPr>
          </w:p>
        </w:tc>
        <w:tc>
          <w:tcPr>
            <w:tcW w:w="4370" w:type="pct"/>
            <w:tcBorders>
              <w:top w:val="nil"/>
              <w:left w:val="nil"/>
              <w:bottom w:val="single" w:color="000000" w:sz="8" w:space="0"/>
              <w:right w:val="single" w:color="000000" w:sz="8" w:space="0"/>
            </w:tcBorders>
            <w:shd w:val="clear" w:color="auto" w:fill="FFFFFF"/>
            <w:vAlign w:val="center"/>
          </w:tcPr>
          <w:p w14:paraId="565FDF71">
            <w:pPr>
              <w:widowControl/>
              <w:jc w:val="left"/>
              <w:textAlignment w:val="center"/>
              <w:rPr>
                <w:rFonts w:ascii="宋体" w:hAnsi="宋体" w:cs="宋体"/>
                <w:sz w:val="20"/>
                <w:szCs w:val="20"/>
              </w:rPr>
            </w:pPr>
            <w:r>
              <w:rPr>
                <w:rFonts w:hint="eastAsia" w:ascii="宋体" w:hAnsi="宋体" w:cs="宋体"/>
                <w:kern w:val="0"/>
                <w:sz w:val="20"/>
                <w:szCs w:val="20"/>
                <w:lang w:bidi="ar"/>
              </w:rPr>
              <w:t>支持多种品牌、型号的设备日志的格式解析，包括：各类</w:t>
            </w:r>
            <w:r>
              <w:rPr>
                <w:rFonts w:ascii="Times New Roman" w:hAnsi="Times New Roman"/>
                <w:kern w:val="0"/>
                <w:sz w:val="20"/>
                <w:szCs w:val="20"/>
                <w:lang w:bidi="ar"/>
              </w:rPr>
              <w:t>Unix</w:t>
            </w:r>
            <w:r>
              <w:rPr>
                <w:rFonts w:hint="eastAsia" w:ascii="宋体" w:hAnsi="宋体" w:cs="宋体"/>
                <w:kern w:val="0"/>
                <w:sz w:val="20"/>
                <w:szCs w:val="20"/>
                <w:lang w:bidi="ar"/>
              </w:rPr>
              <w:t>、</w:t>
            </w:r>
            <w:r>
              <w:rPr>
                <w:rFonts w:ascii="Times New Roman" w:hAnsi="Times New Roman"/>
                <w:kern w:val="0"/>
                <w:sz w:val="20"/>
                <w:szCs w:val="20"/>
                <w:lang w:bidi="ar"/>
              </w:rPr>
              <w:t>Windows</w:t>
            </w:r>
            <w:r>
              <w:rPr>
                <w:rFonts w:hint="eastAsia" w:ascii="宋体" w:hAnsi="宋体" w:cs="宋体"/>
                <w:kern w:val="0"/>
                <w:sz w:val="20"/>
                <w:szCs w:val="20"/>
                <w:lang w:bidi="ar"/>
              </w:rPr>
              <w:t>、堡垒机、</w:t>
            </w:r>
            <w:r>
              <w:rPr>
                <w:rFonts w:ascii="Times New Roman" w:hAnsi="Times New Roman"/>
                <w:kern w:val="0"/>
                <w:sz w:val="20"/>
                <w:szCs w:val="20"/>
                <w:lang w:bidi="ar"/>
              </w:rPr>
              <w:t>IDS</w:t>
            </w:r>
            <w:r>
              <w:rPr>
                <w:rFonts w:hint="eastAsia" w:ascii="宋体" w:hAnsi="宋体" w:cs="宋体"/>
                <w:kern w:val="0"/>
                <w:sz w:val="20"/>
                <w:szCs w:val="20"/>
                <w:lang w:bidi="ar"/>
              </w:rPr>
              <w:t>、</w:t>
            </w:r>
            <w:r>
              <w:rPr>
                <w:rFonts w:ascii="Times New Roman" w:hAnsi="Times New Roman"/>
                <w:kern w:val="0"/>
                <w:sz w:val="20"/>
                <w:szCs w:val="20"/>
                <w:lang w:bidi="ar"/>
              </w:rPr>
              <w:t>WAF</w:t>
            </w:r>
            <w:r>
              <w:rPr>
                <w:rFonts w:hint="eastAsia" w:ascii="宋体" w:hAnsi="宋体" w:cs="宋体"/>
                <w:kern w:val="0"/>
                <w:sz w:val="20"/>
                <w:szCs w:val="20"/>
                <w:lang w:bidi="ar"/>
              </w:rPr>
              <w:t>、</w:t>
            </w:r>
            <w:r>
              <w:rPr>
                <w:rFonts w:ascii="Times New Roman" w:hAnsi="Times New Roman"/>
                <w:kern w:val="0"/>
                <w:sz w:val="20"/>
                <w:szCs w:val="20"/>
                <w:lang w:bidi="ar"/>
              </w:rPr>
              <w:t>IPS</w:t>
            </w:r>
            <w:r>
              <w:rPr>
                <w:rFonts w:hint="eastAsia" w:ascii="宋体" w:hAnsi="宋体" w:cs="宋体"/>
                <w:kern w:val="0"/>
                <w:sz w:val="20"/>
                <w:szCs w:val="20"/>
                <w:lang w:bidi="ar"/>
              </w:rPr>
              <w:t>、防绕行、防火墙、</w:t>
            </w:r>
            <w:r>
              <w:rPr>
                <w:rFonts w:ascii="Times New Roman" w:hAnsi="Times New Roman"/>
                <w:kern w:val="0"/>
                <w:sz w:val="20"/>
                <w:szCs w:val="20"/>
                <w:lang w:bidi="ar"/>
              </w:rPr>
              <w:t>SSLVPN</w:t>
            </w:r>
            <w:r>
              <w:rPr>
                <w:rFonts w:hint="eastAsia" w:ascii="宋体" w:hAnsi="宋体" w:cs="宋体"/>
                <w:kern w:val="0"/>
                <w:sz w:val="20"/>
                <w:szCs w:val="20"/>
                <w:lang w:bidi="ar"/>
              </w:rPr>
              <w:t>、服务器、数据库、路由器、流量设备等；</w:t>
            </w:r>
          </w:p>
        </w:tc>
      </w:tr>
      <w:tr w14:paraId="7255FAF2">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59C3952C">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3F3E95F9">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5F0C34E4">
            <w:pPr>
              <w:widowControl/>
              <w:jc w:val="left"/>
              <w:textAlignment w:val="center"/>
              <w:rPr>
                <w:rFonts w:ascii="宋体" w:hAnsi="宋体" w:cs="宋体"/>
                <w:sz w:val="20"/>
                <w:szCs w:val="20"/>
              </w:rPr>
            </w:pPr>
            <w:r>
              <w:rPr>
                <w:rFonts w:hint="eastAsia" w:ascii="宋体" w:hAnsi="宋体" w:cs="宋体"/>
                <w:kern w:val="0"/>
                <w:sz w:val="20"/>
                <w:szCs w:val="20"/>
                <w:lang w:bidi="ar"/>
              </w:rPr>
              <w:t>支持使用代理</w:t>
            </w:r>
            <w:r>
              <w:rPr>
                <w:rFonts w:ascii="Times New Roman" w:hAnsi="Times New Roman"/>
                <w:kern w:val="0"/>
                <w:sz w:val="20"/>
                <w:szCs w:val="20"/>
                <w:lang w:bidi="ar"/>
              </w:rPr>
              <w:t>(Agent)</w:t>
            </w:r>
            <w:r>
              <w:rPr>
                <w:rFonts w:hint="eastAsia" w:ascii="宋体" w:hAnsi="宋体" w:cs="宋体"/>
                <w:kern w:val="0"/>
                <w:sz w:val="20"/>
                <w:szCs w:val="20"/>
                <w:lang w:bidi="ar"/>
              </w:rPr>
              <w:t>方式提取日志并收集；</w:t>
            </w:r>
          </w:p>
        </w:tc>
      </w:tr>
      <w:tr w14:paraId="29CE291F">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shd w:val="clear" w:color="auto" w:fill="auto"/>
            <w:noWrap/>
            <w:vAlign w:val="center"/>
          </w:tcPr>
          <w:p w14:paraId="67891A3C">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shd w:val="clear" w:color="auto" w:fill="auto"/>
            <w:vAlign w:val="center"/>
          </w:tcPr>
          <w:p w14:paraId="11C0679C">
            <w:pPr>
              <w:jc w:val="center"/>
              <w:rPr>
                <w:rFonts w:ascii="宋体" w:hAnsi="宋体" w:cs="宋体"/>
                <w:szCs w:val="21"/>
              </w:rPr>
            </w:pPr>
          </w:p>
        </w:tc>
        <w:tc>
          <w:tcPr>
            <w:tcW w:w="4370" w:type="pct"/>
            <w:tcBorders>
              <w:top w:val="nil"/>
              <w:left w:val="nil"/>
              <w:bottom w:val="single" w:color="000000" w:sz="8" w:space="0"/>
              <w:right w:val="single" w:color="000000" w:sz="8" w:space="0"/>
            </w:tcBorders>
            <w:shd w:val="clear" w:color="auto" w:fill="FFFFFF"/>
            <w:vAlign w:val="center"/>
          </w:tcPr>
          <w:p w14:paraId="1D539029">
            <w:pPr>
              <w:widowControl/>
              <w:jc w:val="left"/>
              <w:textAlignment w:val="center"/>
              <w:rPr>
                <w:rFonts w:ascii="宋体" w:hAnsi="宋体" w:cs="宋体"/>
                <w:sz w:val="20"/>
                <w:szCs w:val="20"/>
              </w:rPr>
            </w:pPr>
            <w:r>
              <w:rPr>
                <w:rFonts w:hint="eastAsia" w:ascii="宋体" w:hAnsi="宋体" w:cs="宋体"/>
                <w:kern w:val="0"/>
                <w:sz w:val="20"/>
                <w:szCs w:val="20"/>
                <w:lang w:bidi="ar"/>
              </w:rPr>
              <w:t>支持基于策略的多日志源海量日志实时关联分析，发现安全事件实时告警；</w:t>
            </w:r>
          </w:p>
        </w:tc>
      </w:tr>
      <w:tr w14:paraId="1989E6F3">
        <w:tblPrEx>
          <w:tblCellMar>
            <w:top w:w="0" w:type="dxa"/>
            <w:left w:w="108" w:type="dxa"/>
            <w:bottom w:w="0" w:type="dxa"/>
            <w:right w:w="108" w:type="dxa"/>
          </w:tblCellMar>
        </w:tblPrEx>
        <w:trPr>
          <w:trHeight w:val="640" w:hRule="atLeast"/>
        </w:trPr>
        <w:tc>
          <w:tcPr>
            <w:tcW w:w="302" w:type="pct"/>
            <w:vMerge w:val="continue"/>
            <w:tcBorders>
              <w:left w:val="single" w:color="000000" w:sz="4" w:space="0"/>
              <w:right w:val="single" w:color="000000" w:sz="4" w:space="0"/>
            </w:tcBorders>
            <w:noWrap/>
            <w:vAlign w:val="center"/>
          </w:tcPr>
          <w:p w14:paraId="650C54E3">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2521855F">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2065F7D">
            <w:pPr>
              <w:widowControl/>
              <w:jc w:val="left"/>
              <w:textAlignment w:val="center"/>
              <w:rPr>
                <w:rFonts w:ascii="宋体" w:hAnsi="宋体" w:cs="宋体"/>
                <w:sz w:val="20"/>
                <w:szCs w:val="20"/>
              </w:rPr>
            </w:pPr>
            <w:r>
              <w:rPr>
                <w:rFonts w:hint="eastAsia" w:ascii="宋体" w:hAnsi="宋体" w:cs="宋体"/>
                <w:kern w:val="0"/>
                <w:sz w:val="20"/>
                <w:szCs w:val="20"/>
                <w:lang w:bidi="ar"/>
              </w:rPr>
              <w:t>支持</w:t>
            </w:r>
            <w:r>
              <w:rPr>
                <w:rFonts w:ascii="Times New Roman" w:hAnsi="Times New Roman"/>
                <w:kern w:val="0"/>
                <w:sz w:val="20"/>
                <w:szCs w:val="20"/>
                <w:lang w:bidi="ar"/>
              </w:rPr>
              <w:t>WEB</w:t>
            </w:r>
            <w:r>
              <w:rPr>
                <w:rFonts w:hint="eastAsia" w:ascii="宋体" w:hAnsi="宋体" w:cs="宋体"/>
                <w:kern w:val="0"/>
                <w:sz w:val="20"/>
                <w:szCs w:val="20"/>
                <w:lang w:bidi="ar"/>
              </w:rPr>
              <w:t>访问分析包含</w:t>
            </w:r>
            <w:r>
              <w:rPr>
                <w:rFonts w:ascii="Times New Roman" w:hAnsi="Times New Roman"/>
                <w:kern w:val="0"/>
                <w:sz w:val="20"/>
                <w:szCs w:val="20"/>
                <w:lang w:bidi="ar"/>
              </w:rPr>
              <w:t>WEB</w:t>
            </w:r>
            <w:r>
              <w:rPr>
                <w:rFonts w:hint="eastAsia" w:ascii="宋体" w:hAnsi="宋体" w:cs="宋体"/>
                <w:kern w:val="0"/>
                <w:sz w:val="20"/>
                <w:szCs w:val="20"/>
                <w:lang w:bidi="ar"/>
              </w:rPr>
              <w:t>访问概况、</w:t>
            </w:r>
            <w:r>
              <w:rPr>
                <w:rFonts w:ascii="Times New Roman" w:hAnsi="Times New Roman"/>
                <w:kern w:val="0"/>
                <w:sz w:val="20"/>
                <w:szCs w:val="20"/>
                <w:lang w:bidi="ar"/>
              </w:rPr>
              <w:t>WEB</w:t>
            </w:r>
            <w:r>
              <w:rPr>
                <w:rFonts w:hint="eastAsia" w:ascii="宋体" w:hAnsi="宋体" w:cs="宋体"/>
                <w:kern w:val="0"/>
                <w:sz w:val="20"/>
                <w:szCs w:val="20"/>
                <w:lang w:bidi="ar"/>
              </w:rPr>
              <w:t>访问客户端分析、</w:t>
            </w:r>
            <w:r>
              <w:rPr>
                <w:rFonts w:ascii="Times New Roman" w:hAnsi="Times New Roman"/>
                <w:kern w:val="0"/>
                <w:sz w:val="20"/>
                <w:szCs w:val="20"/>
                <w:lang w:bidi="ar"/>
              </w:rPr>
              <w:t>WEB</w:t>
            </w:r>
            <w:r>
              <w:rPr>
                <w:rFonts w:hint="eastAsia" w:ascii="宋体" w:hAnsi="宋体" w:cs="宋体"/>
                <w:kern w:val="0"/>
                <w:sz w:val="20"/>
                <w:szCs w:val="20"/>
                <w:lang w:bidi="ar"/>
              </w:rPr>
              <w:t>访问地区分析、</w:t>
            </w:r>
            <w:r>
              <w:rPr>
                <w:rFonts w:ascii="Times New Roman" w:hAnsi="Times New Roman"/>
                <w:kern w:val="0"/>
                <w:sz w:val="20"/>
                <w:szCs w:val="20"/>
                <w:lang w:bidi="ar"/>
              </w:rPr>
              <w:t>WEB</w:t>
            </w:r>
            <w:r>
              <w:rPr>
                <w:rFonts w:hint="eastAsia" w:ascii="宋体" w:hAnsi="宋体" w:cs="宋体"/>
                <w:kern w:val="0"/>
                <w:sz w:val="20"/>
                <w:szCs w:val="20"/>
                <w:lang w:bidi="ar"/>
              </w:rPr>
              <w:t>异常访问分析；（提供功能截图并加盖原厂商公章）</w:t>
            </w:r>
          </w:p>
        </w:tc>
      </w:tr>
      <w:tr w14:paraId="286A4A27">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5A6DB604">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3DECAB11">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3B6B8F6E">
            <w:pPr>
              <w:widowControl/>
              <w:jc w:val="left"/>
              <w:textAlignment w:val="center"/>
              <w:rPr>
                <w:rFonts w:ascii="宋体" w:hAnsi="宋体" w:cs="宋体"/>
                <w:sz w:val="20"/>
                <w:szCs w:val="20"/>
              </w:rPr>
            </w:pPr>
            <w:r>
              <w:rPr>
                <w:rFonts w:hint="eastAsia" w:ascii="宋体" w:hAnsi="宋体" w:cs="宋体"/>
                <w:kern w:val="0"/>
                <w:sz w:val="20"/>
                <w:szCs w:val="20"/>
                <w:lang w:bidi="ar"/>
              </w:rPr>
              <w:t>支持对</w:t>
            </w:r>
            <w:r>
              <w:rPr>
                <w:rFonts w:ascii="Times New Roman" w:hAnsi="Times New Roman"/>
                <w:kern w:val="0"/>
                <w:sz w:val="20"/>
                <w:szCs w:val="20"/>
                <w:lang w:bidi="ar"/>
              </w:rPr>
              <w:t>HDFS</w:t>
            </w:r>
            <w:r>
              <w:rPr>
                <w:rFonts w:hint="eastAsia" w:ascii="宋体" w:hAnsi="宋体" w:cs="宋体"/>
                <w:kern w:val="0"/>
                <w:sz w:val="20"/>
                <w:szCs w:val="20"/>
                <w:lang w:bidi="ar"/>
              </w:rPr>
              <w:t>、</w:t>
            </w:r>
            <w:r>
              <w:rPr>
                <w:rFonts w:ascii="Times New Roman" w:hAnsi="Times New Roman"/>
                <w:kern w:val="0"/>
                <w:sz w:val="20"/>
                <w:szCs w:val="20"/>
                <w:lang w:bidi="ar"/>
              </w:rPr>
              <w:t>KAFKA</w:t>
            </w:r>
            <w:r>
              <w:rPr>
                <w:rFonts w:hint="eastAsia" w:ascii="宋体" w:hAnsi="宋体" w:cs="宋体"/>
                <w:kern w:val="0"/>
                <w:sz w:val="20"/>
                <w:szCs w:val="20"/>
                <w:lang w:bidi="ar"/>
              </w:rPr>
              <w:t>、</w:t>
            </w:r>
            <w:r>
              <w:rPr>
                <w:rFonts w:ascii="Times New Roman" w:hAnsi="Times New Roman"/>
                <w:kern w:val="0"/>
                <w:sz w:val="20"/>
                <w:szCs w:val="20"/>
                <w:lang w:bidi="ar"/>
              </w:rPr>
              <w:t>FTP</w:t>
            </w:r>
            <w:r>
              <w:rPr>
                <w:rFonts w:hint="eastAsia" w:ascii="宋体" w:hAnsi="宋体" w:cs="宋体"/>
                <w:kern w:val="0"/>
                <w:sz w:val="20"/>
                <w:szCs w:val="20"/>
                <w:lang w:bidi="ar"/>
              </w:rPr>
              <w:t>、本地等采集维度进行监控，提供采集速度曲线；（提供功能截图并加盖原厂商公章）</w:t>
            </w:r>
          </w:p>
        </w:tc>
      </w:tr>
      <w:tr w14:paraId="11D35DB5">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10AB6FD2">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1BED80DE">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01757342">
            <w:pPr>
              <w:widowControl/>
              <w:jc w:val="left"/>
              <w:textAlignment w:val="center"/>
              <w:rPr>
                <w:rFonts w:ascii="宋体" w:hAnsi="宋体" w:cs="宋体"/>
                <w:sz w:val="20"/>
                <w:szCs w:val="20"/>
              </w:rPr>
            </w:pPr>
            <w:r>
              <w:rPr>
                <w:rFonts w:hint="eastAsia" w:ascii="宋体" w:hAnsi="宋体" w:cs="宋体"/>
                <w:kern w:val="0"/>
                <w:sz w:val="20"/>
                <w:szCs w:val="20"/>
                <w:lang w:bidi="ar"/>
              </w:rPr>
              <w:t>支持按日期、时间、设备类型、日志类型、日志来源、威胁值、源地址、目的地址、事件类型、时间范围、地理城市等参数进行过滤查询；</w:t>
            </w:r>
          </w:p>
        </w:tc>
      </w:tr>
      <w:tr w14:paraId="7E597BBB">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74BE9B1B">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4F51428C">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B72CE18">
            <w:pPr>
              <w:widowControl/>
              <w:jc w:val="left"/>
              <w:textAlignment w:val="center"/>
              <w:rPr>
                <w:rFonts w:ascii="宋体" w:hAnsi="宋体" w:cs="宋体"/>
                <w:sz w:val="20"/>
                <w:szCs w:val="20"/>
              </w:rPr>
            </w:pPr>
            <w:r>
              <w:rPr>
                <w:rFonts w:hint="eastAsia" w:ascii="宋体" w:hAnsi="宋体" w:cs="宋体"/>
                <w:kern w:val="0"/>
                <w:sz w:val="20"/>
                <w:szCs w:val="20"/>
                <w:lang w:bidi="ar"/>
              </w:rPr>
              <w:t>为提升数据查询效率，要求能够自定义快捷菜单，并能够对菜单进行拖拽排序</w:t>
            </w:r>
          </w:p>
        </w:tc>
      </w:tr>
      <w:tr w14:paraId="18C7B7C4">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49ECAF71">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18135B4B">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39A20C89">
            <w:pPr>
              <w:widowControl/>
              <w:jc w:val="left"/>
              <w:textAlignment w:val="center"/>
              <w:rPr>
                <w:rFonts w:ascii="宋体" w:hAnsi="宋体" w:cs="宋体"/>
                <w:sz w:val="20"/>
                <w:szCs w:val="20"/>
              </w:rPr>
            </w:pPr>
            <w:r>
              <w:rPr>
                <w:rFonts w:hint="eastAsia" w:ascii="宋体" w:hAnsi="宋体" w:cs="宋体"/>
                <w:kern w:val="0"/>
                <w:sz w:val="20"/>
                <w:szCs w:val="20"/>
                <w:lang w:bidi="ar"/>
              </w:rPr>
              <w:t>支持自身系统监控，包括：</w:t>
            </w:r>
            <w:r>
              <w:rPr>
                <w:rFonts w:ascii="Times New Roman" w:hAnsi="Times New Roman"/>
                <w:kern w:val="0"/>
                <w:sz w:val="20"/>
                <w:szCs w:val="20"/>
                <w:lang w:bidi="ar"/>
              </w:rPr>
              <w:t>CPU</w:t>
            </w:r>
            <w:r>
              <w:rPr>
                <w:rFonts w:hint="eastAsia" w:ascii="宋体" w:hAnsi="宋体" w:cs="宋体"/>
                <w:kern w:val="0"/>
                <w:sz w:val="20"/>
                <w:szCs w:val="20"/>
                <w:lang w:bidi="ar"/>
              </w:rPr>
              <w:t>、内存、磁盘的利用率；</w:t>
            </w:r>
          </w:p>
        </w:tc>
      </w:tr>
      <w:tr w14:paraId="552E4046">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40E1A56E">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2B9454E3">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4895FD4">
            <w:pPr>
              <w:widowControl/>
              <w:jc w:val="left"/>
              <w:textAlignment w:val="center"/>
              <w:rPr>
                <w:rFonts w:ascii="宋体" w:hAnsi="宋体" w:cs="宋体"/>
                <w:sz w:val="20"/>
                <w:szCs w:val="20"/>
              </w:rPr>
            </w:pPr>
            <w:r>
              <w:rPr>
                <w:rFonts w:hint="eastAsia" w:ascii="宋体" w:hAnsi="宋体" w:cs="宋体"/>
                <w:kern w:val="0"/>
                <w:sz w:val="20"/>
                <w:szCs w:val="20"/>
                <w:lang w:bidi="ar"/>
              </w:rPr>
              <w:t>支持自定义告警策略，增加日志分析能力；</w:t>
            </w:r>
          </w:p>
        </w:tc>
      </w:tr>
      <w:tr w14:paraId="71DEEF81">
        <w:tblPrEx>
          <w:tblCellMar>
            <w:top w:w="0" w:type="dxa"/>
            <w:left w:w="108" w:type="dxa"/>
            <w:bottom w:w="0" w:type="dxa"/>
            <w:right w:w="108" w:type="dxa"/>
          </w:tblCellMar>
        </w:tblPrEx>
        <w:trPr>
          <w:trHeight w:val="620" w:hRule="atLeast"/>
        </w:trPr>
        <w:tc>
          <w:tcPr>
            <w:tcW w:w="302" w:type="pct"/>
            <w:vMerge w:val="continue"/>
            <w:tcBorders>
              <w:left w:val="single" w:color="000000" w:sz="4" w:space="0"/>
              <w:bottom w:val="single" w:color="000000" w:sz="4" w:space="0"/>
              <w:right w:val="single" w:color="000000" w:sz="4" w:space="0"/>
            </w:tcBorders>
            <w:noWrap/>
            <w:vAlign w:val="center"/>
          </w:tcPr>
          <w:p w14:paraId="6A64ABCC">
            <w:pPr>
              <w:jc w:val="center"/>
              <w:rPr>
                <w:rFonts w:ascii="宋体" w:hAnsi="宋体" w:cs="宋体"/>
                <w:b/>
                <w:bCs/>
                <w:sz w:val="22"/>
                <w:szCs w:val="22"/>
              </w:rPr>
            </w:pPr>
          </w:p>
        </w:tc>
        <w:tc>
          <w:tcPr>
            <w:tcW w:w="327" w:type="pct"/>
            <w:vMerge w:val="continue"/>
            <w:tcBorders>
              <w:left w:val="single" w:color="000000" w:sz="4" w:space="0"/>
              <w:bottom w:val="single" w:color="000000" w:sz="4" w:space="0"/>
              <w:right w:val="single" w:color="000000" w:sz="4" w:space="0"/>
            </w:tcBorders>
            <w:vAlign w:val="center"/>
          </w:tcPr>
          <w:p w14:paraId="331FA04E">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5F559917">
            <w:pPr>
              <w:widowControl/>
              <w:jc w:val="left"/>
              <w:textAlignment w:val="center"/>
              <w:rPr>
                <w:rFonts w:ascii="宋体" w:hAnsi="宋体" w:cs="宋体"/>
                <w:sz w:val="20"/>
                <w:szCs w:val="20"/>
              </w:rPr>
            </w:pPr>
            <w:r>
              <w:rPr>
                <w:rFonts w:hint="eastAsia" w:ascii="宋体" w:hAnsi="宋体" w:cs="宋体"/>
                <w:kern w:val="0"/>
                <w:sz w:val="20"/>
                <w:szCs w:val="20"/>
                <w:lang w:bidi="ar"/>
              </w:rPr>
              <w:t>支持</w:t>
            </w:r>
            <w:r>
              <w:rPr>
                <w:rFonts w:ascii="Times New Roman" w:hAnsi="Times New Roman"/>
                <w:kern w:val="0"/>
                <w:sz w:val="20"/>
                <w:szCs w:val="20"/>
                <w:lang w:bidi="ar"/>
              </w:rPr>
              <w:t>ISO27001</w:t>
            </w:r>
            <w:r>
              <w:rPr>
                <w:rFonts w:hint="eastAsia" w:ascii="宋体" w:hAnsi="宋体" w:cs="宋体"/>
                <w:kern w:val="0"/>
                <w:sz w:val="20"/>
                <w:szCs w:val="20"/>
                <w:lang w:bidi="ar"/>
              </w:rPr>
              <w:t>、</w:t>
            </w:r>
            <w:r>
              <w:rPr>
                <w:rFonts w:ascii="Times New Roman" w:hAnsi="Times New Roman"/>
                <w:kern w:val="0"/>
                <w:sz w:val="20"/>
                <w:szCs w:val="20"/>
                <w:lang w:bidi="ar"/>
              </w:rPr>
              <w:t>SOX</w:t>
            </w:r>
            <w:r>
              <w:rPr>
                <w:rFonts w:hint="eastAsia" w:ascii="宋体" w:hAnsi="宋体" w:cs="宋体"/>
                <w:kern w:val="0"/>
                <w:sz w:val="20"/>
                <w:szCs w:val="20"/>
                <w:lang w:bidi="ar"/>
              </w:rPr>
              <w:t>、</w:t>
            </w:r>
            <w:r>
              <w:rPr>
                <w:rFonts w:ascii="Times New Roman" w:hAnsi="Times New Roman"/>
                <w:kern w:val="0"/>
                <w:sz w:val="20"/>
                <w:szCs w:val="20"/>
                <w:lang w:bidi="ar"/>
              </w:rPr>
              <w:t>PCI</w:t>
            </w:r>
            <w:r>
              <w:rPr>
                <w:rFonts w:hint="eastAsia" w:ascii="宋体" w:hAnsi="宋体" w:cs="宋体"/>
                <w:kern w:val="0"/>
                <w:sz w:val="20"/>
                <w:szCs w:val="20"/>
                <w:lang w:bidi="ar"/>
              </w:rPr>
              <w:t>等多种合规审计报表；</w:t>
            </w:r>
          </w:p>
        </w:tc>
      </w:tr>
      <w:tr w14:paraId="136C5FE4">
        <w:tblPrEx>
          <w:tblCellMar>
            <w:top w:w="0" w:type="dxa"/>
            <w:left w:w="108" w:type="dxa"/>
            <w:bottom w:w="0" w:type="dxa"/>
            <w:right w:w="108" w:type="dxa"/>
          </w:tblCellMar>
        </w:tblPrEx>
        <w:trPr>
          <w:trHeight w:val="620" w:hRule="atLeast"/>
        </w:trPr>
        <w:tc>
          <w:tcPr>
            <w:tcW w:w="302" w:type="pct"/>
            <w:vMerge w:val="restart"/>
            <w:tcBorders>
              <w:left w:val="single" w:color="000000" w:sz="4" w:space="0"/>
              <w:right w:val="single" w:color="000000" w:sz="4" w:space="0"/>
            </w:tcBorders>
            <w:noWrap/>
            <w:vAlign w:val="center"/>
          </w:tcPr>
          <w:p w14:paraId="10971423">
            <w:pPr>
              <w:jc w:val="center"/>
              <w:rPr>
                <w:rFonts w:ascii="宋体" w:hAnsi="宋体" w:cs="宋体"/>
                <w:b/>
                <w:bCs/>
                <w:sz w:val="22"/>
                <w:szCs w:val="22"/>
              </w:rPr>
            </w:pPr>
            <w:r>
              <w:rPr>
                <w:rFonts w:hint="eastAsia" w:ascii="宋体" w:hAnsi="宋体" w:cs="宋体"/>
                <w:b/>
                <w:bCs/>
                <w:sz w:val="22"/>
                <w:szCs w:val="22"/>
              </w:rPr>
              <w:t>2</w:t>
            </w:r>
          </w:p>
        </w:tc>
        <w:tc>
          <w:tcPr>
            <w:tcW w:w="327" w:type="pct"/>
            <w:vMerge w:val="restart"/>
            <w:tcBorders>
              <w:left w:val="single" w:color="000000" w:sz="4" w:space="0"/>
              <w:right w:val="single" w:color="000000" w:sz="4" w:space="0"/>
            </w:tcBorders>
            <w:vAlign w:val="center"/>
          </w:tcPr>
          <w:p w14:paraId="0EEC4854">
            <w:pPr>
              <w:jc w:val="center"/>
              <w:rPr>
                <w:rFonts w:ascii="宋体" w:hAnsi="宋体" w:cs="宋体"/>
                <w:szCs w:val="21"/>
              </w:rPr>
            </w:pPr>
            <w:r>
              <w:rPr>
                <w:rFonts w:hint="eastAsia" w:ascii="宋体" w:hAnsi="宋体" w:cs="宋体"/>
                <w:kern w:val="0"/>
                <w:sz w:val="24"/>
                <w:lang w:bidi="ar"/>
              </w:rPr>
              <w:t>区电子政务外网机房环境及设施服务和机房运维服务</w:t>
            </w:r>
          </w:p>
        </w:tc>
        <w:tc>
          <w:tcPr>
            <w:tcW w:w="4370" w:type="pct"/>
            <w:tcBorders>
              <w:top w:val="nil"/>
              <w:left w:val="nil"/>
              <w:bottom w:val="single" w:color="000000" w:sz="8" w:space="0"/>
              <w:right w:val="single" w:color="000000" w:sz="8" w:space="0"/>
            </w:tcBorders>
            <w:vAlign w:val="center"/>
          </w:tcPr>
          <w:p w14:paraId="199F682E">
            <w:pPr>
              <w:widowControl/>
              <w:jc w:val="left"/>
              <w:textAlignment w:val="center"/>
              <w:rPr>
                <w:rFonts w:ascii="宋体" w:hAnsi="宋体" w:cs="宋体"/>
                <w:b/>
                <w:bCs/>
                <w:kern w:val="0"/>
                <w:szCs w:val="21"/>
                <w:lang w:bidi="ar"/>
              </w:rPr>
            </w:pPr>
            <w:r>
              <w:rPr>
                <w:rFonts w:hint="eastAsia" w:ascii="宋体" w:hAnsi="宋体" w:cs="宋体"/>
                <w:b/>
                <w:bCs/>
                <w:kern w:val="0"/>
                <w:szCs w:val="21"/>
                <w:lang w:bidi="ar"/>
              </w:rPr>
              <w:t>机房环境</w:t>
            </w:r>
          </w:p>
        </w:tc>
      </w:tr>
      <w:tr w14:paraId="19FEC869">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3FA763A1">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13A5DB00">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5CCF5BBA">
            <w:pPr>
              <w:widowControl/>
              <w:jc w:val="left"/>
              <w:textAlignment w:val="center"/>
              <w:rPr>
                <w:rFonts w:ascii="宋体" w:hAnsi="宋体" w:cs="宋体"/>
                <w:b/>
                <w:bCs/>
                <w:kern w:val="0"/>
                <w:szCs w:val="21"/>
                <w:lang w:bidi="ar"/>
              </w:rPr>
            </w:pPr>
            <w:r>
              <w:rPr>
                <w:rFonts w:hint="eastAsia" w:ascii="宋体" w:hAnsi="宋体" w:cs="宋体"/>
                <w:kern w:val="0"/>
                <w:sz w:val="20"/>
                <w:szCs w:val="20"/>
                <w:lang w:bidi="ar"/>
              </w:rPr>
              <w:t>按照国家标准数据中心设计规范（GB 50174-2017），提供B类以上机房环境，层高不低于≥4.5M，承重主机房、钢瓶间≥8KN/㎡；电池间≥16KN/㎡，机房上方不得有卫生间，四周不得有消防栓。机房具有双路供电、360度无死角监控设备、烟感、温控设备、气体消防设备等，提供相关证明材料。</w:t>
            </w:r>
          </w:p>
        </w:tc>
      </w:tr>
      <w:tr w14:paraId="75982B6B">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5E5B35D1">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6C2C6C50">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F442DA6">
            <w:pPr>
              <w:widowControl/>
              <w:jc w:val="left"/>
              <w:textAlignment w:val="center"/>
              <w:rPr>
                <w:rFonts w:ascii="Segoe UI Symbol" w:hAnsi="Segoe UI Symbol" w:eastAsia="Segoe UI Symbol" w:cs="Segoe UI Symbol"/>
                <w:kern w:val="0"/>
                <w:sz w:val="20"/>
                <w:szCs w:val="20"/>
                <w:lang w:bidi="ar"/>
              </w:rPr>
            </w:pPr>
            <w:r>
              <w:rPr>
                <w:rFonts w:hint="eastAsia" w:ascii="宋体" w:hAnsi="宋体" w:cs="宋体"/>
                <w:kern w:val="0"/>
                <w:sz w:val="20"/>
                <w:szCs w:val="20"/>
                <w:lang w:bidi="ar"/>
              </w:rPr>
              <w:t>机房楼与附近楼宇间距满足《建筑设计防火规范》GB50016-2006最小防火间距要求。场地内部及周边有环形道路连通，院内道路兼作消防车道。消防道路最小宽度为5m，道路承载力为30T，满足消防扑救、消防车行驶和回车要求。提供相关证明材料。</w:t>
            </w:r>
          </w:p>
        </w:tc>
      </w:tr>
      <w:tr w14:paraId="1573208F">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69C69A49">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0319CA73">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0F784EC9">
            <w:pPr>
              <w:widowControl/>
              <w:jc w:val="left"/>
              <w:textAlignment w:val="center"/>
              <w:rPr>
                <w:rFonts w:ascii="宋体" w:hAnsi="宋体" w:cs="宋体"/>
                <w:b/>
                <w:bCs/>
                <w:kern w:val="0"/>
                <w:szCs w:val="21"/>
                <w:lang w:bidi="ar"/>
              </w:rPr>
            </w:pPr>
            <w:r>
              <w:rPr>
                <w:rFonts w:hint="eastAsia" w:ascii="宋体" w:hAnsi="宋体" w:cs="宋体"/>
                <w:kern w:val="0"/>
                <w:sz w:val="20"/>
                <w:szCs w:val="20"/>
                <w:lang w:bidi="ar"/>
              </w:rPr>
              <w:t>日常配备有专业资质的电力设备维护人员，实行7×24小时值班，每2小时对设备进行巡视一次。</w:t>
            </w:r>
          </w:p>
        </w:tc>
      </w:tr>
      <w:tr w14:paraId="65F43842">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7CB4C684">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3E30BB7A">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E95052B">
            <w:pPr>
              <w:widowControl/>
              <w:jc w:val="left"/>
              <w:textAlignment w:val="center"/>
              <w:rPr>
                <w:rFonts w:ascii="宋体" w:hAnsi="宋体" w:cs="宋体"/>
                <w:b/>
                <w:bCs/>
                <w:kern w:val="0"/>
                <w:szCs w:val="21"/>
                <w:lang w:bidi="ar"/>
              </w:rPr>
            </w:pPr>
            <w:r>
              <w:rPr>
                <w:rFonts w:hint="eastAsia" w:ascii="宋体" w:hAnsi="宋体" w:cs="宋体"/>
                <w:kern w:val="0"/>
                <w:sz w:val="20"/>
                <w:szCs w:val="20"/>
                <w:lang w:bidi="ar"/>
              </w:rPr>
              <w:t>保证在市电或出现供电故障时能在15分钟内给设备恢复供电，保证数据中心设备的安全运行。</w:t>
            </w:r>
          </w:p>
        </w:tc>
      </w:tr>
      <w:tr w14:paraId="0F83C36A">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651F1CB5">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759D38B2">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2B9508EA">
            <w:pPr>
              <w:widowControl/>
              <w:jc w:val="left"/>
              <w:textAlignment w:val="center"/>
              <w:rPr>
                <w:rFonts w:ascii="宋体" w:hAnsi="宋体" w:cs="宋体"/>
                <w:b/>
                <w:bCs/>
                <w:kern w:val="0"/>
                <w:szCs w:val="21"/>
                <w:lang w:bidi="ar"/>
              </w:rPr>
            </w:pPr>
            <w:r>
              <w:rPr>
                <w:rFonts w:hint="eastAsia" w:ascii="宋体" w:hAnsi="宋体" w:cs="宋体"/>
                <w:kern w:val="0"/>
                <w:sz w:val="20"/>
                <w:szCs w:val="20"/>
                <w:lang w:bidi="ar"/>
              </w:rPr>
              <w:t>双路UPS并机供电系统(引入两路供电线路)，能提供满载情况下4小时的持续用电。</w:t>
            </w:r>
          </w:p>
        </w:tc>
      </w:tr>
      <w:tr w14:paraId="1EFB72D9">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4CEC7B25">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273D18C7">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DEC5811">
            <w:pPr>
              <w:widowControl/>
              <w:jc w:val="left"/>
              <w:textAlignment w:val="center"/>
              <w:rPr>
                <w:rFonts w:ascii="宋体" w:hAnsi="宋体" w:cs="宋体"/>
                <w:b/>
                <w:bCs/>
                <w:kern w:val="0"/>
                <w:szCs w:val="21"/>
                <w:lang w:bidi="ar"/>
              </w:rPr>
            </w:pPr>
            <w:r>
              <w:rPr>
                <w:rFonts w:hint="eastAsia" w:ascii="宋体" w:hAnsi="宋体" w:cs="宋体"/>
                <w:kern w:val="0"/>
                <w:sz w:val="20"/>
                <w:szCs w:val="20"/>
                <w:lang w:bidi="ar"/>
              </w:rPr>
              <w:t>机房内安装专用精密空调，保证机房有恒定的温度和湿度，温控设置机房温度夏季22±2°C，冬季20±2°C ，机房相对湿度45%-65%。</w:t>
            </w:r>
          </w:p>
        </w:tc>
      </w:tr>
      <w:tr w14:paraId="66D5DCBF">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2F71AD40">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37102F7E">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02FAB3F1">
            <w:pPr>
              <w:widowControl/>
              <w:jc w:val="left"/>
              <w:textAlignment w:val="center"/>
              <w:rPr>
                <w:rFonts w:ascii="宋体" w:hAnsi="宋体" w:cs="宋体"/>
                <w:b/>
                <w:bCs/>
                <w:kern w:val="0"/>
                <w:szCs w:val="21"/>
                <w:lang w:bidi="ar"/>
              </w:rPr>
            </w:pPr>
            <w:r>
              <w:rPr>
                <w:rFonts w:hint="eastAsia" w:ascii="宋体" w:hAnsi="宋体" w:cs="宋体"/>
                <w:kern w:val="0"/>
                <w:sz w:val="20"/>
                <w:szCs w:val="20"/>
                <w:lang w:bidi="ar"/>
              </w:rPr>
              <w:t>具有</w:t>
            </w:r>
            <w:r>
              <w:rPr>
                <w:rFonts w:hint="eastAsia" w:ascii="宋体" w:hAnsi="宋体" w:cs="宋体"/>
                <w:kern w:val="0"/>
                <w:sz w:val="20"/>
                <w:szCs w:val="20"/>
                <w:lang w:val="zh-CN" w:bidi="ar"/>
              </w:rPr>
              <w:t>CQC1312-2017数据中心场地基础设施认证、GBT51314数据中心基础设施运行维护标准</w:t>
            </w:r>
            <w:r>
              <w:rPr>
                <w:rFonts w:hint="eastAsia" w:ascii="宋体" w:hAnsi="宋体" w:cs="宋体"/>
                <w:kern w:val="0"/>
                <w:sz w:val="20"/>
                <w:szCs w:val="20"/>
                <w:lang w:bidi="ar"/>
              </w:rPr>
              <w:t>认证</w:t>
            </w:r>
          </w:p>
        </w:tc>
      </w:tr>
      <w:tr w14:paraId="2B3A7A18">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35826E12">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67C57B7C">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E1F20CF">
            <w:pPr>
              <w:widowControl/>
              <w:jc w:val="left"/>
              <w:textAlignment w:val="center"/>
              <w:rPr>
                <w:rFonts w:ascii="Segoe UI Symbol" w:hAnsi="Segoe UI Symbol" w:cs="Segoe UI Symbol" w:eastAsiaTheme="minorEastAsia"/>
                <w:kern w:val="0"/>
                <w:sz w:val="20"/>
                <w:szCs w:val="20"/>
                <w:lang w:bidi="ar"/>
              </w:rPr>
            </w:pPr>
            <w:r>
              <w:rPr>
                <w:rFonts w:hint="eastAsia" w:ascii="Segoe UI Symbol" w:hAnsi="Segoe UI Symbol" w:eastAsia="Segoe UI Symbol" w:cs="Segoe UI Symbol"/>
                <w:kern w:val="0"/>
                <w:sz w:val="20"/>
                <w:szCs w:val="20"/>
                <w:lang w:bidi="ar"/>
              </w:rPr>
              <w:t>具有独立机房，</w:t>
            </w:r>
            <w:r>
              <w:rPr>
                <w:rFonts w:hint="eastAsia" w:ascii="宋体" w:hAnsi="宋体" w:cs="宋体"/>
                <w:kern w:val="0"/>
                <w:sz w:val="20"/>
                <w:szCs w:val="20"/>
                <w:lang w:bidi="ar"/>
              </w:rPr>
              <w:t>专属区域，设置门禁监控。</w:t>
            </w:r>
          </w:p>
        </w:tc>
      </w:tr>
      <w:tr w14:paraId="14FE6562">
        <w:tblPrEx>
          <w:tblCellMar>
            <w:top w:w="0" w:type="dxa"/>
            <w:left w:w="108" w:type="dxa"/>
            <w:bottom w:w="0" w:type="dxa"/>
            <w:right w:w="108" w:type="dxa"/>
          </w:tblCellMar>
        </w:tblPrEx>
        <w:trPr>
          <w:trHeight w:val="528" w:hRule="atLeast"/>
        </w:trPr>
        <w:tc>
          <w:tcPr>
            <w:tcW w:w="302" w:type="pct"/>
            <w:vMerge w:val="restart"/>
            <w:tcBorders>
              <w:top w:val="single" w:color="000000" w:sz="4" w:space="0"/>
              <w:left w:val="single" w:color="000000" w:sz="4" w:space="0"/>
              <w:bottom w:val="single" w:color="000000" w:sz="4" w:space="0"/>
              <w:right w:val="single" w:color="000000" w:sz="4" w:space="0"/>
            </w:tcBorders>
            <w:noWrap/>
            <w:vAlign w:val="center"/>
          </w:tcPr>
          <w:p w14:paraId="7D6ABCD6">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3</w:t>
            </w:r>
          </w:p>
        </w:tc>
        <w:tc>
          <w:tcPr>
            <w:tcW w:w="327" w:type="pct"/>
            <w:vMerge w:val="restart"/>
            <w:tcBorders>
              <w:top w:val="single" w:color="000000" w:sz="4" w:space="0"/>
              <w:left w:val="single" w:color="000000" w:sz="4" w:space="0"/>
              <w:bottom w:val="single" w:color="000000" w:sz="4" w:space="0"/>
              <w:right w:val="single" w:color="000000" w:sz="4" w:space="0"/>
            </w:tcBorders>
            <w:vAlign w:val="center"/>
          </w:tcPr>
          <w:p w14:paraId="02DB60F2">
            <w:pPr>
              <w:widowControl/>
              <w:jc w:val="center"/>
              <w:textAlignment w:val="center"/>
              <w:rPr>
                <w:rFonts w:ascii="宋体" w:hAnsi="宋体" w:cs="宋体"/>
                <w:szCs w:val="21"/>
              </w:rPr>
            </w:pPr>
            <w:r>
              <w:rPr>
                <w:rFonts w:hint="eastAsia" w:ascii="宋体" w:hAnsi="宋体" w:cs="宋体"/>
                <w:kern w:val="0"/>
                <w:szCs w:val="21"/>
                <w:lang w:bidi="ar"/>
              </w:rPr>
              <w:t>区政务外网城域网接入边界网关及防火墙服务</w:t>
            </w:r>
          </w:p>
        </w:tc>
        <w:tc>
          <w:tcPr>
            <w:tcW w:w="4370" w:type="pct"/>
            <w:tcBorders>
              <w:top w:val="nil"/>
              <w:left w:val="nil"/>
              <w:bottom w:val="single" w:color="000000" w:sz="8" w:space="0"/>
              <w:right w:val="single" w:color="000000" w:sz="8" w:space="0"/>
            </w:tcBorders>
            <w:vAlign w:val="center"/>
          </w:tcPr>
          <w:p w14:paraId="3522D97D">
            <w:pPr>
              <w:widowControl/>
              <w:jc w:val="left"/>
              <w:textAlignment w:val="center"/>
              <w:rPr>
                <w:rFonts w:ascii="宋体" w:hAnsi="宋体" w:cs="宋体"/>
                <w:b/>
                <w:bCs/>
                <w:szCs w:val="21"/>
              </w:rPr>
            </w:pPr>
            <w:r>
              <w:rPr>
                <w:rFonts w:hint="eastAsia" w:ascii="宋体" w:hAnsi="宋体" w:cs="宋体"/>
                <w:b/>
                <w:bCs/>
                <w:kern w:val="0"/>
                <w:szCs w:val="21"/>
                <w:lang w:bidi="ar"/>
              </w:rPr>
              <w:t>安全域网关</w:t>
            </w:r>
          </w:p>
        </w:tc>
      </w:tr>
      <w:tr w14:paraId="4E792C15">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7E842A54">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2F58CE87">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CF7EE2D">
            <w:pPr>
              <w:widowControl/>
              <w:jc w:val="left"/>
              <w:textAlignment w:val="center"/>
              <w:rPr>
                <w:rFonts w:ascii="宋体" w:hAnsi="宋体" w:cs="宋体"/>
                <w:sz w:val="20"/>
                <w:szCs w:val="20"/>
              </w:rPr>
            </w:pPr>
            <w:r>
              <w:rPr>
                <w:rFonts w:hint="eastAsia" w:ascii="宋体" w:hAnsi="宋体" w:cs="宋体"/>
                <w:kern w:val="0"/>
                <w:sz w:val="20"/>
                <w:szCs w:val="20"/>
                <w:lang w:bidi="ar"/>
              </w:rPr>
              <w:t>提供三层千兆WAN口数量≥3个，其中电口数量≥2个、光口数量≥1个，二层千兆以太LAN口（电口）数量≥4个，且通过线卡可扩展到最大16个</w:t>
            </w:r>
          </w:p>
        </w:tc>
      </w:tr>
      <w:tr w14:paraId="1F268086">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199D05A9">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37EEEAAE">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3ADD739">
            <w:pPr>
              <w:widowControl/>
              <w:jc w:val="left"/>
              <w:textAlignment w:val="center"/>
              <w:rPr>
                <w:rFonts w:ascii="宋体" w:hAnsi="宋体" w:cs="宋体"/>
                <w:sz w:val="20"/>
                <w:szCs w:val="20"/>
              </w:rPr>
            </w:pPr>
            <w:r>
              <w:rPr>
                <w:rFonts w:hint="eastAsia" w:ascii="宋体" w:hAnsi="宋体" w:cs="宋体"/>
                <w:kern w:val="0"/>
                <w:sz w:val="20"/>
                <w:szCs w:val="20"/>
                <w:lang w:bidi="ar"/>
              </w:rPr>
              <w:t>转发性能≥600Kpps</w:t>
            </w:r>
          </w:p>
        </w:tc>
      </w:tr>
      <w:tr w14:paraId="39BEB3CB">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231D4DDA">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36406E60">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0D72BF8">
            <w:pPr>
              <w:widowControl/>
              <w:jc w:val="left"/>
              <w:textAlignment w:val="center"/>
              <w:rPr>
                <w:rFonts w:ascii="宋体" w:hAnsi="宋体" w:cs="宋体"/>
                <w:sz w:val="20"/>
                <w:szCs w:val="20"/>
              </w:rPr>
            </w:pPr>
            <w:r>
              <w:rPr>
                <w:rFonts w:hint="eastAsia" w:ascii="宋体" w:hAnsi="宋体" w:cs="宋体"/>
                <w:kern w:val="0"/>
                <w:sz w:val="20"/>
                <w:szCs w:val="20"/>
                <w:lang w:bidi="ar"/>
              </w:rPr>
              <w:t>支持冗余电源模块，冗余电源模块支持热插拔</w:t>
            </w:r>
          </w:p>
        </w:tc>
      </w:tr>
      <w:tr w14:paraId="0942C6D9">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64043F65">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1200FEEE">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4B409FE4">
            <w:pPr>
              <w:widowControl/>
              <w:jc w:val="left"/>
              <w:textAlignment w:val="center"/>
              <w:rPr>
                <w:rFonts w:ascii="宋体" w:hAnsi="宋体" w:cs="宋体"/>
                <w:sz w:val="20"/>
                <w:szCs w:val="20"/>
              </w:rPr>
            </w:pPr>
            <w:r>
              <w:rPr>
                <w:rFonts w:hint="eastAsia" w:ascii="宋体" w:hAnsi="宋体" w:cs="宋体"/>
                <w:kern w:val="0"/>
                <w:sz w:val="20"/>
                <w:szCs w:val="20"/>
                <w:lang w:bidi="ar"/>
              </w:rPr>
              <w:t>扩展模块插槽≥2个，可扩展4G模块，5G模块，E1/CE1模块、国密局加密模块等，且为了方便部署，无槽位使用限制</w:t>
            </w:r>
          </w:p>
        </w:tc>
      </w:tr>
      <w:tr w14:paraId="1825DD52">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61D31E37">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7B3B0456">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222247B6">
            <w:pPr>
              <w:widowControl/>
              <w:jc w:val="left"/>
              <w:textAlignment w:val="center"/>
              <w:rPr>
                <w:rFonts w:ascii="宋体" w:hAnsi="宋体" w:cs="宋体"/>
                <w:sz w:val="20"/>
                <w:szCs w:val="20"/>
              </w:rPr>
            </w:pPr>
            <w:r>
              <w:rPr>
                <w:rFonts w:hint="eastAsia" w:ascii="宋体" w:hAnsi="宋体" w:cs="宋体"/>
                <w:kern w:val="0"/>
                <w:sz w:val="20"/>
                <w:szCs w:val="20"/>
                <w:lang w:bidi="ar"/>
              </w:rPr>
              <w:t>支持静态路由、RIPv1/v2、OSPF、BGP4等路由协议</w:t>
            </w:r>
          </w:p>
        </w:tc>
      </w:tr>
      <w:tr w14:paraId="339B7682">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7FA86236">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79CCA022">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3A28358F">
            <w:pPr>
              <w:widowControl/>
              <w:jc w:val="left"/>
              <w:textAlignment w:val="center"/>
              <w:rPr>
                <w:rFonts w:ascii="宋体" w:hAnsi="宋体" w:cs="宋体"/>
                <w:sz w:val="20"/>
                <w:szCs w:val="20"/>
              </w:rPr>
            </w:pPr>
            <w:r>
              <w:rPr>
                <w:rFonts w:hint="eastAsia" w:ascii="宋体" w:hAnsi="宋体" w:cs="宋体"/>
                <w:kern w:val="0"/>
                <w:sz w:val="20"/>
                <w:szCs w:val="20"/>
                <w:lang w:bidi="ar"/>
              </w:rPr>
              <w:t>提供L2TP、IPSec VPN、GRE VPN、DMVPN功能</w:t>
            </w:r>
          </w:p>
        </w:tc>
      </w:tr>
      <w:tr w14:paraId="734DDB72">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6E1E1E9C">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14892828">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CD64625">
            <w:pPr>
              <w:widowControl/>
              <w:jc w:val="left"/>
              <w:textAlignment w:val="center"/>
              <w:rPr>
                <w:rFonts w:ascii="宋体" w:hAnsi="宋体" w:cs="宋体"/>
                <w:sz w:val="20"/>
                <w:szCs w:val="20"/>
              </w:rPr>
            </w:pPr>
            <w:r>
              <w:rPr>
                <w:rFonts w:hint="eastAsia" w:ascii="宋体" w:hAnsi="宋体" w:cs="宋体"/>
                <w:kern w:val="0"/>
                <w:sz w:val="20"/>
                <w:szCs w:val="20"/>
                <w:lang w:bidi="ar"/>
              </w:rPr>
              <w:t>为便于设备管理，路由器面板提供多功能复原键 ，支持FUNC复位按钮、一键配置导入、软件升级功能。</w:t>
            </w:r>
          </w:p>
        </w:tc>
      </w:tr>
      <w:tr w14:paraId="20A1E198">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0CE894BC">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519EAE90">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4F9BA1FA">
            <w:pPr>
              <w:widowControl/>
              <w:jc w:val="left"/>
              <w:textAlignment w:val="center"/>
              <w:rPr>
                <w:rFonts w:ascii="宋体" w:hAnsi="宋体" w:cs="宋体"/>
                <w:sz w:val="20"/>
                <w:szCs w:val="20"/>
              </w:rPr>
            </w:pPr>
            <w:r>
              <w:rPr>
                <w:rFonts w:hint="eastAsia" w:ascii="宋体" w:hAnsi="宋体" w:cs="宋体"/>
                <w:kern w:val="0"/>
                <w:sz w:val="20"/>
                <w:szCs w:val="20"/>
                <w:lang w:bidi="ar"/>
              </w:rPr>
              <w:t>为保证网络安全，产品支持国家密码管理局商密SM1/2/3/4加密算法，支持SM1硬件加密；为节省客户成本，SM2/3/4无需额外硬件模块</w:t>
            </w:r>
          </w:p>
        </w:tc>
      </w:tr>
      <w:tr w14:paraId="22EEDCB2">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7D583BAA">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3CF5D27B">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3D989DEA">
            <w:pPr>
              <w:widowControl/>
              <w:jc w:val="left"/>
              <w:textAlignment w:val="center"/>
              <w:rPr>
                <w:rFonts w:ascii="宋体" w:hAnsi="宋体" w:cs="宋体"/>
                <w:b/>
                <w:bCs/>
                <w:szCs w:val="21"/>
              </w:rPr>
            </w:pPr>
            <w:r>
              <w:rPr>
                <w:rFonts w:hint="eastAsia" w:ascii="宋体" w:hAnsi="宋体" w:cs="宋体"/>
                <w:b/>
                <w:bCs/>
                <w:kern w:val="0"/>
                <w:szCs w:val="21"/>
                <w:lang w:bidi="ar"/>
              </w:rPr>
              <w:t>接入防火墙</w:t>
            </w:r>
          </w:p>
        </w:tc>
      </w:tr>
      <w:tr w14:paraId="0901BCD8">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40956577">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3E62670A">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017B82F">
            <w:pPr>
              <w:widowControl/>
              <w:jc w:val="left"/>
              <w:textAlignment w:val="center"/>
              <w:rPr>
                <w:rFonts w:ascii="宋体" w:hAnsi="宋体" w:cs="宋体"/>
                <w:sz w:val="20"/>
                <w:szCs w:val="20"/>
              </w:rPr>
            </w:pPr>
            <w:r>
              <w:rPr>
                <w:rFonts w:hint="eastAsia" w:ascii="宋体" w:hAnsi="宋体" w:cs="宋体"/>
                <w:kern w:val="0"/>
                <w:sz w:val="20"/>
                <w:szCs w:val="20"/>
                <w:lang w:bidi="ar"/>
              </w:rPr>
              <w:t>机架式独立硬件设备,千兆电接口数量≥4；</w:t>
            </w:r>
          </w:p>
        </w:tc>
      </w:tr>
      <w:tr w14:paraId="2960D85F">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22B64ED0">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46FA38B6">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085E6BF9">
            <w:pPr>
              <w:widowControl/>
              <w:jc w:val="left"/>
              <w:textAlignment w:val="center"/>
              <w:rPr>
                <w:rFonts w:ascii="宋体" w:hAnsi="宋体" w:cs="宋体"/>
                <w:sz w:val="20"/>
                <w:szCs w:val="20"/>
              </w:rPr>
            </w:pPr>
            <w:r>
              <w:rPr>
                <w:rFonts w:hint="eastAsia" w:ascii="宋体" w:hAnsi="宋体" w:cs="宋体"/>
                <w:kern w:val="0"/>
                <w:sz w:val="20"/>
                <w:szCs w:val="20"/>
                <w:lang w:bidi="ar"/>
              </w:rPr>
              <w:t>1U高度，2G内存，SOHO机箱，标配500G硬盘，网络吞吐率1G，并发连接：130万，适用于50M场景，可选配防病毒、防攻击、上网行为管理、Web安全防护等增强特性授权；</w:t>
            </w:r>
          </w:p>
        </w:tc>
      </w:tr>
      <w:tr w14:paraId="7A851DCA">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03596EBC">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18F9DAF2">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445135AE">
            <w:pPr>
              <w:widowControl/>
              <w:jc w:val="left"/>
              <w:textAlignment w:val="center"/>
              <w:rPr>
                <w:rFonts w:ascii="宋体" w:hAnsi="宋体" w:cs="宋体"/>
                <w:sz w:val="20"/>
                <w:szCs w:val="20"/>
              </w:rPr>
            </w:pPr>
            <w:r>
              <w:rPr>
                <w:rFonts w:hint="eastAsia" w:ascii="宋体" w:hAnsi="宋体" w:cs="宋体"/>
                <w:kern w:val="0"/>
                <w:sz w:val="20"/>
                <w:szCs w:val="20"/>
                <w:lang w:bidi="ar"/>
              </w:rPr>
              <w:t>支持5元组的负载均衡策略，转换类型支持地址映射或端口映射，负载算法支持权重、源地址散列+权重，支持针对服务器进行连通性探测，支持会话保持；</w:t>
            </w:r>
          </w:p>
        </w:tc>
      </w:tr>
      <w:tr w14:paraId="0CA5FD22">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5FD4B675">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7E688BE1">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0BCB2DBA">
            <w:pPr>
              <w:widowControl/>
              <w:jc w:val="left"/>
              <w:textAlignment w:val="center"/>
              <w:rPr>
                <w:rFonts w:ascii="宋体" w:hAnsi="宋体" w:cs="宋体"/>
                <w:sz w:val="20"/>
                <w:szCs w:val="20"/>
              </w:rPr>
            </w:pPr>
            <w:r>
              <w:rPr>
                <w:rFonts w:hint="eastAsia" w:ascii="宋体" w:hAnsi="宋体" w:cs="宋体"/>
                <w:kern w:val="0"/>
                <w:sz w:val="20"/>
                <w:szCs w:val="20"/>
                <w:lang w:bidi="ar"/>
              </w:rPr>
              <w:t>系统定义超过8500+条主流攻击规则，包含Backdoor、bufferoverflow、dosddos、im、p2p、vulnerability、scan、webcgi、worm、game，入侵防御特征库BPS检出率为85%以上；</w:t>
            </w:r>
          </w:p>
        </w:tc>
      </w:tr>
      <w:tr w14:paraId="4482A8A0">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56ECBC8B">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530A0D5E">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43AFA611">
            <w:pPr>
              <w:widowControl/>
              <w:jc w:val="left"/>
              <w:textAlignment w:val="center"/>
              <w:rPr>
                <w:rFonts w:ascii="宋体" w:hAnsi="宋体" w:cs="宋体"/>
                <w:sz w:val="20"/>
                <w:szCs w:val="20"/>
              </w:rPr>
            </w:pPr>
            <w:r>
              <w:rPr>
                <w:rFonts w:hint="eastAsia" w:ascii="宋体" w:hAnsi="宋体" w:cs="宋体"/>
                <w:kern w:val="0"/>
                <w:sz w:val="20"/>
                <w:szCs w:val="20"/>
                <w:lang w:bidi="ar"/>
              </w:rPr>
              <w:t>支持自定义IPS特征，支持针对8种协议自定义入侵攻击特征，包括IP、UDP、TCP、ICMP、HTTP、FTP、POP3、SMTP等协议；可拓展协议字段，设置数据包中的匹配内容；支持选择包含、等于、不等于、大于、正则匹配等匹配方式；可选择多种匹配条件，支持设置“与”和“或”的匹配顺序。</w:t>
            </w:r>
          </w:p>
        </w:tc>
      </w:tr>
      <w:tr w14:paraId="187701E1">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638BE2C8">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0887F8A3">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35A40DB">
            <w:pPr>
              <w:widowControl/>
              <w:jc w:val="left"/>
              <w:textAlignment w:val="center"/>
              <w:rPr>
                <w:rFonts w:ascii="宋体" w:hAnsi="宋体" w:cs="宋体"/>
                <w:sz w:val="20"/>
                <w:szCs w:val="20"/>
              </w:rPr>
            </w:pPr>
            <w:r>
              <w:rPr>
                <w:rFonts w:hint="eastAsia" w:ascii="宋体" w:hAnsi="宋体" w:cs="宋体"/>
                <w:kern w:val="0"/>
                <w:sz w:val="20"/>
                <w:szCs w:val="20"/>
                <w:lang w:bidi="ar"/>
              </w:rPr>
              <w:t>病毒查杀：支持HTTP，FTP，POP3，SMTP，IMAP协议的病毒查杀；支持ZIP、TAR等压缩打包文件的病毒查杀，压缩：默认5层，最大20层。</w:t>
            </w:r>
          </w:p>
        </w:tc>
      </w:tr>
      <w:tr w14:paraId="665CE9AB">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288FD2EE">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309BC529">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2E7816C">
            <w:pPr>
              <w:widowControl/>
              <w:jc w:val="left"/>
              <w:textAlignment w:val="center"/>
              <w:rPr>
                <w:rFonts w:ascii="宋体" w:hAnsi="宋体" w:cs="宋体"/>
                <w:sz w:val="20"/>
                <w:szCs w:val="20"/>
              </w:rPr>
            </w:pPr>
            <w:r>
              <w:rPr>
                <w:rFonts w:hint="eastAsia" w:ascii="宋体" w:hAnsi="宋体" w:cs="宋体"/>
                <w:kern w:val="0"/>
                <w:sz w:val="20"/>
                <w:szCs w:val="20"/>
                <w:lang w:bidi="ar"/>
              </w:rPr>
              <w:t>支持HTTP协议的精确访问控制，可针对IP、URL、Method、Referer、User-Agent、Cookie、Url-args等字段设置内容，匹配内容包括但不少于：包括、不包含、等于、不等于、属于、不属于、长度小于、长度等于、长度大于、正则匹配等；日志级别包括但不少于：不记录、危急、告警、严重、错误、警告、通知、信息等。</w:t>
            </w:r>
          </w:p>
        </w:tc>
      </w:tr>
      <w:tr w14:paraId="64C62AEB">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157D325F">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7F02138A">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0DB49BB5">
            <w:pPr>
              <w:widowControl/>
              <w:jc w:val="left"/>
              <w:textAlignment w:val="center"/>
              <w:rPr>
                <w:rFonts w:ascii="宋体" w:hAnsi="宋体" w:cs="宋体"/>
                <w:sz w:val="20"/>
                <w:szCs w:val="20"/>
              </w:rPr>
            </w:pPr>
            <w:r>
              <w:rPr>
                <w:rFonts w:hint="eastAsia" w:ascii="宋体" w:hAnsi="宋体" w:cs="宋体"/>
                <w:kern w:val="0"/>
                <w:sz w:val="20"/>
                <w:szCs w:val="20"/>
                <w:lang w:bidi="ar"/>
              </w:rPr>
              <w:t>支持防网络共享行为，针对私接路由器和非法无线热点行为进行识别和阻断。</w:t>
            </w:r>
          </w:p>
        </w:tc>
      </w:tr>
      <w:tr w14:paraId="0B9D94AC">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2169741B">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6597F783">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11FF5647">
            <w:pPr>
              <w:widowControl/>
              <w:jc w:val="left"/>
              <w:textAlignment w:val="center"/>
              <w:rPr>
                <w:rFonts w:ascii="宋体" w:hAnsi="宋体" w:cs="宋体"/>
                <w:sz w:val="20"/>
                <w:szCs w:val="20"/>
              </w:rPr>
            </w:pPr>
            <w:r>
              <w:rPr>
                <w:rFonts w:hint="eastAsia" w:ascii="宋体" w:hAnsi="宋体" w:cs="宋体"/>
                <w:kern w:val="0"/>
                <w:sz w:val="20"/>
                <w:szCs w:val="20"/>
                <w:lang w:bidi="ar"/>
              </w:rPr>
              <w:t>支持针对IP、端口进行端口扫描，可选择立即执行或定期执行；支持呈现扫描结果，包括端口、端口状态、端口服务、程序版本、操作系统、风险状态、设备类型和时间等信息，支持导出功能。</w:t>
            </w:r>
          </w:p>
        </w:tc>
      </w:tr>
      <w:tr w14:paraId="11233415">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375D4AC6">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110A61ED">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565B8C53">
            <w:pPr>
              <w:widowControl/>
              <w:jc w:val="left"/>
              <w:textAlignment w:val="center"/>
              <w:rPr>
                <w:rFonts w:ascii="宋体" w:hAnsi="宋体" w:cs="宋体"/>
                <w:sz w:val="20"/>
                <w:szCs w:val="20"/>
              </w:rPr>
            </w:pPr>
            <w:r>
              <w:rPr>
                <w:rFonts w:hint="eastAsia" w:ascii="宋体" w:hAnsi="宋体" w:cs="宋体"/>
                <w:kern w:val="0"/>
                <w:sz w:val="20"/>
                <w:szCs w:val="20"/>
                <w:lang w:bidi="ar"/>
              </w:rPr>
              <w:t>支持展示风险级别、IP、用户、部门、风险级别、操作系统、重要程度、受攻击总数、风险来源等内容。</w:t>
            </w:r>
          </w:p>
        </w:tc>
      </w:tr>
      <w:tr w14:paraId="2F2DAE70">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0E91BAA3">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07B1AAC0">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45F04FAE">
            <w:pPr>
              <w:widowControl/>
              <w:jc w:val="left"/>
              <w:textAlignment w:val="center"/>
              <w:rPr>
                <w:rFonts w:ascii="宋体" w:hAnsi="宋体" w:cs="宋体"/>
                <w:sz w:val="20"/>
                <w:szCs w:val="20"/>
              </w:rPr>
            </w:pPr>
            <w:r>
              <w:rPr>
                <w:rFonts w:hint="eastAsia" w:ascii="宋体" w:hAnsi="宋体" w:cs="宋体"/>
                <w:kern w:val="0"/>
                <w:sz w:val="20"/>
                <w:szCs w:val="20"/>
                <w:lang w:bidi="ar"/>
              </w:rPr>
              <w:t>支持数据下钻至单资产风险详情，可自动关联该资产所有安全信息，安全信息包括但不少于：入侵防御、威胁情报、WEB防护、病毒防护、防暴力破解、非法外联防护、弱密码防护、扫描攻击防御和行为模型等，支持以趋势图方式按时间展示各类安全事件的趋势，方便管理员快速了解资产安全状况，以便进行准确的进行安全防护。</w:t>
            </w:r>
          </w:p>
        </w:tc>
      </w:tr>
      <w:tr w14:paraId="38BABB29">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0689CB91">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6F533B16">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70EAAC8">
            <w:pPr>
              <w:widowControl/>
              <w:jc w:val="left"/>
              <w:textAlignment w:val="center"/>
              <w:rPr>
                <w:rFonts w:ascii="宋体" w:hAnsi="宋体" w:cs="宋体"/>
                <w:sz w:val="20"/>
                <w:szCs w:val="20"/>
              </w:rPr>
            </w:pPr>
            <w:r>
              <w:rPr>
                <w:rFonts w:hint="eastAsia" w:ascii="宋体" w:hAnsi="宋体" w:cs="宋体"/>
                <w:kern w:val="0"/>
                <w:sz w:val="20"/>
                <w:szCs w:val="20"/>
                <w:lang w:bidi="ar"/>
              </w:rPr>
              <w:t>支持非法外联学习和防护特性，可有效保障服务器安全，可定义外联白名单地址和端口；支持通过流量自学习能获得服务器合法的外联行为，检测流量中的异常访问流量，可以自动拦截。学习时长可选择1小时、12小时、一天、一周等。</w:t>
            </w:r>
          </w:p>
        </w:tc>
      </w:tr>
      <w:tr w14:paraId="15FB9DA8">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6EAADB13">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2BA3572C">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345402C9">
            <w:pPr>
              <w:widowControl/>
              <w:jc w:val="left"/>
              <w:textAlignment w:val="center"/>
              <w:rPr>
                <w:rFonts w:ascii="宋体" w:hAnsi="宋体" w:cs="宋体"/>
                <w:sz w:val="20"/>
                <w:szCs w:val="20"/>
              </w:rPr>
            </w:pPr>
            <w:r>
              <w:rPr>
                <w:rFonts w:hint="eastAsia" w:ascii="宋体" w:hAnsi="宋体" w:cs="宋体"/>
                <w:kern w:val="0"/>
                <w:sz w:val="20"/>
                <w:szCs w:val="20"/>
                <w:lang w:bidi="ar"/>
              </w:rPr>
              <w:t>提供智能策略分析功能，支持策略命中分析、隐藏策略分析、冗余策略分析、冲突策略分析、可合并策略分析、过期策略发现、空策略发现、策略宽松度分析，并在web页面显示分析结果。</w:t>
            </w:r>
          </w:p>
        </w:tc>
      </w:tr>
      <w:tr w14:paraId="6D7F829F">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70DBF831">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41CD588D">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DCAF0A9">
            <w:pPr>
              <w:widowControl/>
              <w:jc w:val="left"/>
              <w:textAlignment w:val="center"/>
              <w:rPr>
                <w:rFonts w:ascii="宋体" w:hAnsi="宋体" w:cs="宋体"/>
                <w:b/>
                <w:bCs/>
                <w:szCs w:val="21"/>
              </w:rPr>
            </w:pPr>
            <w:r>
              <w:rPr>
                <w:rFonts w:hint="eastAsia" w:ascii="宋体" w:hAnsi="宋体" w:cs="宋体"/>
                <w:b/>
                <w:bCs/>
                <w:kern w:val="0"/>
                <w:szCs w:val="21"/>
                <w:lang w:bidi="ar"/>
              </w:rPr>
              <w:t>运维管理软件</w:t>
            </w:r>
          </w:p>
        </w:tc>
      </w:tr>
      <w:tr w14:paraId="09B5681C">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4FC2F816">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05B4343F">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6D44F69A">
            <w:pPr>
              <w:widowControl/>
              <w:jc w:val="left"/>
              <w:textAlignment w:val="center"/>
              <w:rPr>
                <w:rFonts w:ascii="宋体" w:hAnsi="宋体" w:cs="宋体"/>
                <w:sz w:val="20"/>
                <w:szCs w:val="20"/>
              </w:rPr>
            </w:pPr>
            <w:r>
              <w:rPr>
                <w:rFonts w:hint="eastAsia" w:ascii="宋体" w:hAnsi="宋体" w:cs="宋体"/>
                <w:kern w:val="0"/>
                <w:sz w:val="20"/>
                <w:szCs w:val="20"/>
                <w:lang w:bidi="ar"/>
              </w:rPr>
              <w:t>为保证系统平台的统一性，要求软件/模块必须使用同一品牌，所有软件/模块必须拥有完全自主知识产权，能独立研发、自主可控，全中文界面，提供友好、直观、易懂的图形呈现</w:t>
            </w:r>
          </w:p>
        </w:tc>
      </w:tr>
      <w:tr w14:paraId="013F5E7C">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0F67BEE2">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1A12AD3C">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598C9510">
            <w:pPr>
              <w:widowControl/>
              <w:jc w:val="left"/>
              <w:textAlignment w:val="center"/>
              <w:rPr>
                <w:rFonts w:ascii="宋体" w:hAnsi="宋体" w:cs="宋体"/>
                <w:sz w:val="20"/>
                <w:szCs w:val="20"/>
              </w:rPr>
            </w:pPr>
            <w:r>
              <w:rPr>
                <w:rFonts w:hint="eastAsia" w:ascii="宋体" w:hAnsi="宋体" w:cs="宋体"/>
                <w:kern w:val="0"/>
                <w:sz w:val="20"/>
                <w:szCs w:val="20"/>
                <w:lang w:bidi="ar"/>
              </w:rPr>
              <w:t>系统应具备足够的稳定性，能够自监控操作系统、核心服务和组件，并将监控信息在一个页面统一呈现。支持自监控信息一键导出。其中，核心服务必须包括但不限于资源发现和采集服务、资产服务、用户认证和通知服务、web前端服务等；组件必须包括但不限于各类数据库、分布式处理引擎、消息中间件。</w:t>
            </w:r>
          </w:p>
        </w:tc>
      </w:tr>
      <w:tr w14:paraId="76D7AE7E">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77185C16">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7C91BC2A">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DEC8C84">
            <w:pPr>
              <w:widowControl/>
              <w:jc w:val="left"/>
              <w:textAlignment w:val="center"/>
              <w:rPr>
                <w:rFonts w:ascii="宋体" w:hAnsi="宋体" w:cs="宋体"/>
                <w:sz w:val="20"/>
                <w:szCs w:val="20"/>
              </w:rPr>
            </w:pPr>
            <w:r>
              <w:rPr>
                <w:rFonts w:hint="eastAsia" w:ascii="宋体" w:hAnsi="宋体" w:cs="宋体"/>
                <w:kern w:val="0"/>
                <w:sz w:val="20"/>
                <w:szCs w:val="20"/>
                <w:lang w:bidi="ar"/>
              </w:rPr>
              <w:t>为了能按实际资源运维管理维度，对资源进行监控管理，系统应能支持：①应能按多种运维管理维度对资源进行分组划分，分组可按实际管理诉进行创建，如按区域、厂区、组织结构、管理级别等维度进行划分，②应能支持多层级的分组管理能力，最多支持5层，同时实现上层包含下层资源的管理诉求，③每个资源分组应能手工关联多种资源类型的资源，或按动态条件自动关联符合条件的资源，同时支持一个资源属于多个资源分组，④应能按资源分组的维度对资源进行管理，如按资源分组设置资源权限、设置资源监控粒度和告警规则、选择报表统计资源范围，提高维护效率，⑤应能按资源分组的维度查看资源运行情况和告警情况</w:t>
            </w:r>
            <w:r>
              <w:rPr>
                <w:rFonts w:ascii="宋体" w:hAnsi="宋体" w:cs="宋体"/>
                <w:kern w:val="0"/>
                <w:sz w:val="20"/>
                <w:szCs w:val="20"/>
                <w:lang w:bidi="ar"/>
              </w:rPr>
              <w:t>。</w:t>
            </w:r>
          </w:p>
        </w:tc>
      </w:tr>
      <w:tr w14:paraId="46B43E5E">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4B4E126E">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0D25ED24">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03073621">
            <w:pPr>
              <w:widowControl/>
              <w:jc w:val="left"/>
              <w:textAlignment w:val="center"/>
              <w:rPr>
                <w:rFonts w:ascii="宋体" w:hAnsi="宋体" w:cs="宋体"/>
                <w:sz w:val="20"/>
                <w:szCs w:val="20"/>
              </w:rPr>
            </w:pPr>
            <w:r>
              <w:rPr>
                <w:rFonts w:hint="eastAsia" w:ascii="宋体" w:hAnsi="宋体" w:cs="宋体"/>
                <w:kern w:val="0"/>
                <w:sz w:val="20"/>
                <w:szCs w:val="20"/>
                <w:lang w:bidi="ar"/>
              </w:rPr>
              <w:t>为了更高效的使用日志发现深层问题，提升日志告警可读性，系统需支持在页面上用鼠标划选Syslog日志片段，自动生成正则表达式的提取规则，降低运维人员学习成本。</w:t>
            </w:r>
          </w:p>
        </w:tc>
      </w:tr>
      <w:tr w14:paraId="2EBC0B32">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0BC986B4">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4D4156BF">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5EA9AF6F">
            <w:pPr>
              <w:widowControl/>
              <w:jc w:val="left"/>
              <w:textAlignment w:val="center"/>
              <w:rPr>
                <w:rFonts w:ascii="宋体" w:hAnsi="宋体" w:cs="宋体"/>
                <w:sz w:val="20"/>
                <w:szCs w:val="20"/>
              </w:rPr>
            </w:pPr>
            <w:r>
              <w:rPr>
                <w:rFonts w:hint="eastAsia" w:ascii="宋体" w:hAnsi="宋体" w:cs="宋体"/>
                <w:kern w:val="0"/>
                <w:sz w:val="20"/>
                <w:szCs w:val="20"/>
                <w:lang w:bidi="ar"/>
              </w:rPr>
              <w:t>为了方便设备在一张拓扑图中统一管理，查看拓扑图时，需支持将不常关注的资源合并展示：①支持将资源节点放于区域中展示，② 支持将区域收起展示，支持区域的节点一并收起展示，③ 区域收起展开时，需支持区域外资源节点在拓扑图上的展示位置不变，④ 区域内的资源/链路的告警和风险提示展示于收起区域</w:t>
            </w:r>
            <w:r>
              <w:rPr>
                <w:rFonts w:ascii="宋体" w:hAnsi="宋体" w:cs="宋体"/>
                <w:kern w:val="0"/>
                <w:sz w:val="20"/>
                <w:szCs w:val="20"/>
                <w:lang w:bidi="ar"/>
              </w:rPr>
              <w:t>。</w:t>
            </w:r>
          </w:p>
        </w:tc>
      </w:tr>
      <w:tr w14:paraId="7CE9FF6D">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7F0636C8">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2C708AA6">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7483BCAC">
            <w:pPr>
              <w:widowControl/>
              <w:jc w:val="left"/>
              <w:textAlignment w:val="center"/>
              <w:rPr>
                <w:rFonts w:ascii="宋体" w:hAnsi="宋体" w:cs="宋体"/>
                <w:sz w:val="20"/>
                <w:szCs w:val="20"/>
              </w:rPr>
            </w:pPr>
            <w:r>
              <w:rPr>
                <w:rFonts w:hint="eastAsia" w:ascii="宋体" w:hAnsi="宋体" w:cs="宋体"/>
                <w:kern w:val="0"/>
                <w:sz w:val="20"/>
                <w:szCs w:val="20"/>
                <w:lang w:bidi="ar"/>
              </w:rPr>
              <w:t>为了方便网络管理人员选择最合适的拓扑图风格和展示样式，满足拓扑图的多种展示效果，需支持所有拓扑的全套默认图标的一键切换与拓扑图整体样式风格一键切换。</w:t>
            </w:r>
          </w:p>
        </w:tc>
      </w:tr>
      <w:tr w14:paraId="445934DA">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37F8FCFF">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660E9AFA">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595C4894">
            <w:pPr>
              <w:widowControl/>
              <w:jc w:val="left"/>
              <w:textAlignment w:val="center"/>
              <w:rPr>
                <w:rFonts w:ascii="宋体" w:hAnsi="宋体" w:cs="宋体"/>
                <w:sz w:val="20"/>
                <w:szCs w:val="20"/>
              </w:rPr>
            </w:pPr>
            <w:r>
              <w:rPr>
                <w:rFonts w:hint="eastAsia" w:ascii="宋体" w:hAnsi="宋体" w:cs="宋体"/>
                <w:kern w:val="0"/>
                <w:sz w:val="20"/>
                <w:szCs w:val="20"/>
                <w:lang w:bidi="ar"/>
              </w:rPr>
              <w:t>为了能满足各种运维场景对资源详情查看诉求的不同，系统应能具备灵活的详情自定义能力，能提供资源详情定制工具，并可将页面发布到任意关注的资源类型中，实现不同资源可关注到不同的内容，而不是所有详情都一样无法灵活定制。</w:t>
            </w:r>
          </w:p>
        </w:tc>
      </w:tr>
      <w:tr w14:paraId="68266D11">
        <w:tblPrEx>
          <w:tblCellMar>
            <w:top w:w="0" w:type="dxa"/>
            <w:left w:w="108" w:type="dxa"/>
            <w:bottom w:w="0" w:type="dxa"/>
            <w:right w:w="108" w:type="dxa"/>
          </w:tblCellMar>
        </w:tblPrEx>
        <w:trPr>
          <w:trHeight w:val="620" w:hRule="atLeast"/>
        </w:trPr>
        <w:tc>
          <w:tcPr>
            <w:tcW w:w="302" w:type="pct"/>
            <w:vMerge w:val="continue"/>
            <w:tcBorders>
              <w:top w:val="single" w:color="000000" w:sz="4" w:space="0"/>
              <w:left w:val="single" w:color="000000" w:sz="4" w:space="0"/>
              <w:bottom w:val="single" w:color="000000" w:sz="4" w:space="0"/>
              <w:right w:val="single" w:color="000000" w:sz="4" w:space="0"/>
            </w:tcBorders>
            <w:noWrap/>
            <w:vAlign w:val="center"/>
          </w:tcPr>
          <w:p w14:paraId="2D4D55EE">
            <w:pPr>
              <w:jc w:val="center"/>
              <w:rPr>
                <w:rFonts w:ascii="宋体" w:hAnsi="宋体" w:cs="宋体"/>
                <w:b/>
                <w:bCs/>
                <w:sz w:val="22"/>
                <w:szCs w:val="22"/>
              </w:rPr>
            </w:pPr>
          </w:p>
        </w:tc>
        <w:tc>
          <w:tcPr>
            <w:tcW w:w="327" w:type="pct"/>
            <w:vMerge w:val="continue"/>
            <w:tcBorders>
              <w:top w:val="single" w:color="000000" w:sz="4" w:space="0"/>
              <w:left w:val="single" w:color="000000" w:sz="4" w:space="0"/>
              <w:bottom w:val="single" w:color="000000" w:sz="4" w:space="0"/>
              <w:right w:val="single" w:color="000000" w:sz="4" w:space="0"/>
            </w:tcBorders>
            <w:vAlign w:val="center"/>
          </w:tcPr>
          <w:p w14:paraId="0AE650EC">
            <w:pPr>
              <w:jc w:val="center"/>
              <w:rPr>
                <w:rFonts w:ascii="宋体" w:hAnsi="宋体" w:cs="宋体"/>
                <w:szCs w:val="21"/>
              </w:rPr>
            </w:pPr>
          </w:p>
        </w:tc>
        <w:tc>
          <w:tcPr>
            <w:tcW w:w="4370" w:type="pct"/>
            <w:tcBorders>
              <w:top w:val="nil"/>
              <w:left w:val="nil"/>
              <w:bottom w:val="single" w:color="000000" w:sz="8" w:space="0"/>
              <w:right w:val="single" w:color="000000" w:sz="8" w:space="0"/>
            </w:tcBorders>
            <w:vAlign w:val="center"/>
          </w:tcPr>
          <w:p w14:paraId="40BB2FD2">
            <w:pPr>
              <w:widowControl/>
              <w:jc w:val="left"/>
              <w:textAlignment w:val="center"/>
              <w:rPr>
                <w:rFonts w:ascii="宋体" w:hAnsi="宋体" w:cs="宋体"/>
                <w:sz w:val="20"/>
                <w:szCs w:val="20"/>
              </w:rPr>
            </w:pPr>
            <w:r>
              <w:rPr>
                <w:rFonts w:hint="eastAsia" w:ascii="宋体" w:hAnsi="宋体" w:cs="宋体"/>
                <w:kern w:val="0"/>
                <w:sz w:val="20"/>
                <w:szCs w:val="20"/>
                <w:lang w:bidi="ar"/>
              </w:rPr>
              <w:t>为了帮助用户了解系统内可以纳入监控的中间件与数据库，系统应能支持自动识别能力，应能基于操作系统的进程监听端口和命令行，通过匹配规则，自动识别出中间件与数据库；应能支持自定义匹配规则，增加识别的准确度和多样性；应能根据识别出可监控资源的结果，来查看识别对象；需提供系统截图或提供具有CMA或CNAS标志的第三方权威机构出具的检测报告复印件并加盖厂家公章。</w:t>
            </w:r>
          </w:p>
        </w:tc>
      </w:tr>
      <w:tr w14:paraId="259652C1">
        <w:tblPrEx>
          <w:tblCellMar>
            <w:top w:w="0" w:type="dxa"/>
            <w:left w:w="108" w:type="dxa"/>
            <w:bottom w:w="0" w:type="dxa"/>
            <w:right w:w="108" w:type="dxa"/>
          </w:tblCellMar>
        </w:tblPrEx>
        <w:trPr>
          <w:trHeight w:val="620" w:hRule="atLeast"/>
        </w:trPr>
        <w:tc>
          <w:tcPr>
            <w:tcW w:w="302" w:type="pct"/>
            <w:vMerge w:val="restart"/>
            <w:tcBorders>
              <w:top w:val="nil"/>
              <w:left w:val="single" w:color="000000" w:sz="8" w:space="0"/>
              <w:bottom w:val="single" w:color="000000" w:sz="8" w:space="0"/>
              <w:right w:val="single" w:color="000000" w:sz="8" w:space="0"/>
            </w:tcBorders>
            <w:noWrap/>
            <w:vAlign w:val="center"/>
          </w:tcPr>
          <w:p w14:paraId="253326F4">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4</w:t>
            </w:r>
          </w:p>
        </w:tc>
        <w:tc>
          <w:tcPr>
            <w:tcW w:w="327" w:type="pct"/>
            <w:vMerge w:val="restart"/>
            <w:tcBorders>
              <w:top w:val="nil"/>
              <w:left w:val="nil"/>
              <w:bottom w:val="single" w:color="000000" w:sz="8" w:space="0"/>
              <w:right w:val="single" w:color="000000" w:sz="8" w:space="0"/>
            </w:tcBorders>
            <w:noWrap/>
            <w:vAlign w:val="center"/>
          </w:tcPr>
          <w:p w14:paraId="366A2932">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电子政务外网VPN服务</w:t>
            </w:r>
          </w:p>
        </w:tc>
        <w:tc>
          <w:tcPr>
            <w:tcW w:w="4370" w:type="pct"/>
            <w:tcBorders>
              <w:top w:val="nil"/>
              <w:left w:val="nil"/>
              <w:bottom w:val="single" w:color="000000" w:sz="8" w:space="0"/>
              <w:right w:val="single" w:color="000000" w:sz="8" w:space="0"/>
            </w:tcBorders>
            <w:vAlign w:val="center"/>
          </w:tcPr>
          <w:p w14:paraId="21BB32BD">
            <w:pPr>
              <w:widowControl/>
              <w:jc w:val="left"/>
              <w:textAlignment w:val="center"/>
              <w:rPr>
                <w:rFonts w:ascii="宋体" w:hAnsi="宋体" w:cs="宋体"/>
                <w:b/>
                <w:bCs/>
                <w:szCs w:val="21"/>
              </w:rPr>
            </w:pPr>
            <w:r>
              <w:rPr>
                <w:rFonts w:hint="eastAsia" w:ascii="宋体" w:hAnsi="宋体" w:cs="宋体"/>
                <w:b/>
                <w:bCs/>
                <w:kern w:val="0"/>
                <w:szCs w:val="21"/>
                <w:lang w:bidi="ar"/>
              </w:rPr>
              <w:t>VPN软件</w:t>
            </w:r>
          </w:p>
        </w:tc>
      </w:tr>
      <w:tr w14:paraId="11745CC0">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12F184A4">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noWrap/>
            <w:vAlign w:val="center"/>
          </w:tcPr>
          <w:p w14:paraId="567A48D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2C4941F7">
            <w:pPr>
              <w:widowControl/>
              <w:jc w:val="left"/>
              <w:textAlignment w:val="center"/>
              <w:rPr>
                <w:rFonts w:ascii="宋体" w:hAnsi="宋体" w:cs="宋体"/>
                <w:sz w:val="20"/>
                <w:szCs w:val="20"/>
              </w:rPr>
            </w:pPr>
            <w:r>
              <w:rPr>
                <w:rFonts w:hint="eastAsia" w:ascii="宋体" w:hAnsi="宋体" w:cs="宋体"/>
                <w:kern w:val="0"/>
                <w:sz w:val="20"/>
                <w:szCs w:val="20"/>
                <w:lang w:bidi="ar"/>
              </w:rPr>
              <w:t>含60个终端授权。</w:t>
            </w:r>
          </w:p>
        </w:tc>
      </w:tr>
      <w:tr w14:paraId="3AEE4909">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816F82F">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noWrap/>
            <w:vAlign w:val="center"/>
          </w:tcPr>
          <w:p w14:paraId="643BF305">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6AE6FFC0">
            <w:pPr>
              <w:widowControl/>
              <w:jc w:val="left"/>
              <w:textAlignment w:val="center"/>
              <w:rPr>
                <w:rFonts w:ascii="宋体" w:hAnsi="宋体" w:cs="宋体"/>
                <w:sz w:val="20"/>
                <w:szCs w:val="20"/>
              </w:rPr>
            </w:pPr>
            <w:r>
              <w:rPr>
                <w:rFonts w:hint="eastAsia" w:ascii="宋体" w:hAnsi="宋体" w:cs="宋体"/>
                <w:kern w:val="0"/>
                <w:sz w:val="20"/>
                <w:szCs w:val="20"/>
                <w:lang w:bidi="ar"/>
              </w:rPr>
              <w:t>三大模块组件组成，包括零信任客户端、零信任安全网关和零信任管理网关</w:t>
            </w:r>
          </w:p>
        </w:tc>
      </w:tr>
      <w:tr w14:paraId="1D5816EA">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6274A17A">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noWrap/>
            <w:vAlign w:val="center"/>
          </w:tcPr>
          <w:p w14:paraId="2F63C2E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2138DBE1">
            <w:pPr>
              <w:widowControl/>
              <w:jc w:val="left"/>
              <w:textAlignment w:val="center"/>
              <w:rPr>
                <w:rFonts w:ascii="宋体" w:hAnsi="宋体" w:cs="宋体"/>
                <w:sz w:val="20"/>
                <w:szCs w:val="20"/>
              </w:rPr>
            </w:pPr>
            <w:r>
              <w:rPr>
                <w:rFonts w:hint="eastAsia" w:ascii="宋体" w:hAnsi="宋体" w:cs="宋体"/>
                <w:kern w:val="0"/>
                <w:sz w:val="20"/>
                <w:szCs w:val="20"/>
                <w:lang w:bidi="ar"/>
              </w:rPr>
              <w:t>进行集中式的用户、应用、终端、网络管理、统一身份管理，支持第三方账号数据同步。</w:t>
            </w:r>
          </w:p>
        </w:tc>
      </w:tr>
      <w:tr w14:paraId="6FD5ECEC">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773D01F">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noWrap/>
            <w:vAlign w:val="center"/>
          </w:tcPr>
          <w:p w14:paraId="1104092F">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62E11455">
            <w:pPr>
              <w:widowControl/>
              <w:jc w:val="left"/>
              <w:textAlignment w:val="center"/>
              <w:rPr>
                <w:rFonts w:ascii="宋体" w:hAnsi="宋体" w:cs="宋体"/>
                <w:sz w:val="20"/>
                <w:szCs w:val="20"/>
              </w:rPr>
            </w:pPr>
            <w:r>
              <w:rPr>
                <w:rFonts w:hint="eastAsia" w:ascii="宋体" w:hAnsi="宋体" w:cs="宋体"/>
                <w:kern w:val="0"/>
                <w:sz w:val="20"/>
                <w:szCs w:val="20"/>
                <w:lang w:bidi="ar"/>
              </w:rPr>
              <w:t>支持账号安全策略修改，审计功能，可以同时接入多种认证方式，如短信认证、可以同时融合多个SSO，实现单点登录。</w:t>
            </w:r>
          </w:p>
        </w:tc>
      </w:tr>
      <w:tr w14:paraId="24E19F6C">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CEF1716">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noWrap/>
            <w:vAlign w:val="center"/>
          </w:tcPr>
          <w:p w14:paraId="7B55A2D8">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1F55426A">
            <w:pPr>
              <w:widowControl/>
              <w:jc w:val="left"/>
              <w:textAlignment w:val="center"/>
              <w:rPr>
                <w:rFonts w:ascii="宋体" w:hAnsi="宋体" w:cs="宋体"/>
                <w:sz w:val="20"/>
                <w:szCs w:val="20"/>
              </w:rPr>
            </w:pPr>
            <w:r>
              <w:rPr>
                <w:rFonts w:hint="eastAsia" w:ascii="宋体" w:hAnsi="宋体" w:cs="宋体"/>
                <w:kern w:val="0"/>
                <w:sz w:val="20"/>
                <w:szCs w:val="20"/>
                <w:lang w:bidi="ar"/>
              </w:rPr>
              <w:t>支持集群部署，支持双机热备，支持WEB页面可视化管理。与零信任安全网关联动对接。</w:t>
            </w:r>
          </w:p>
        </w:tc>
      </w:tr>
      <w:tr w14:paraId="70596D50">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EADAD93">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noWrap/>
            <w:vAlign w:val="center"/>
          </w:tcPr>
          <w:p w14:paraId="67E8DB35">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6B2E755D">
            <w:pPr>
              <w:widowControl/>
              <w:jc w:val="left"/>
              <w:textAlignment w:val="center"/>
              <w:rPr>
                <w:rFonts w:ascii="宋体" w:hAnsi="宋体" w:cs="宋体"/>
                <w:sz w:val="20"/>
                <w:szCs w:val="20"/>
              </w:rPr>
            </w:pPr>
            <w:r>
              <w:rPr>
                <w:rFonts w:hint="eastAsia" w:ascii="宋体" w:hAnsi="宋体" w:cs="宋体"/>
                <w:kern w:val="0"/>
                <w:sz w:val="20"/>
                <w:szCs w:val="20"/>
                <w:lang w:bidi="ar"/>
              </w:rPr>
              <w:t>支持C/S应用接入功能，支持网络层流量加密，转发，访问控制，基于安全属性的动态授权，基于终端设备访问授权</w:t>
            </w:r>
          </w:p>
        </w:tc>
      </w:tr>
      <w:tr w14:paraId="5C052976">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1C39212">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noWrap/>
            <w:vAlign w:val="center"/>
          </w:tcPr>
          <w:p w14:paraId="36C787B1">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1FAD7243">
            <w:pPr>
              <w:widowControl/>
              <w:jc w:val="left"/>
              <w:textAlignment w:val="center"/>
              <w:rPr>
                <w:rFonts w:ascii="宋体" w:hAnsi="宋体" w:cs="宋体"/>
                <w:sz w:val="20"/>
                <w:szCs w:val="20"/>
              </w:rPr>
            </w:pPr>
            <w:r>
              <w:rPr>
                <w:rFonts w:hint="eastAsia" w:ascii="宋体" w:hAnsi="宋体" w:cs="宋体"/>
                <w:kern w:val="0"/>
                <w:sz w:val="20"/>
                <w:szCs w:val="20"/>
                <w:lang w:bidi="ar"/>
              </w:rPr>
              <w:t>支持Windows、Android等系统访问代理接入功能</w:t>
            </w:r>
          </w:p>
        </w:tc>
      </w:tr>
      <w:tr w14:paraId="60016971">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4D148BC1">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noWrap/>
            <w:vAlign w:val="center"/>
          </w:tcPr>
          <w:p w14:paraId="28423691">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0F342F25">
            <w:pPr>
              <w:widowControl/>
              <w:jc w:val="left"/>
              <w:textAlignment w:val="center"/>
              <w:rPr>
                <w:rFonts w:ascii="宋体" w:hAnsi="宋体" w:cs="宋体"/>
                <w:sz w:val="20"/>
                <w:szCs w:val="20"/>
              </w:rPr>
            </w:pPr>
            <w:r>
              <w:rPr>
                <w:rFonts w:hint="eastAsia" w:ascii="宋体" w:hAnsi="宋体" w:cs="宋体"/>
                <w:kern w:val="0"/>
                <w:sz w:val="20"/>
                <w:szCs w:val="20"/>
                <w:lang w:bidi="ar"/>
              </w:rPr>
              <w:t>支持网页等访问模式，支持分布式多网关访问，可以根据场景和位置部署多个网关，同时实现不同网关访问不同业务</w:t>
            </w:r>
          </w:p>
        </w:tc>
      </w:tr>
      <w:tr w14:paraId="6585E66A">
        <w:tblPrEx>
          <w:tblCellMar>
            <w:top w:w="0" w:type="dxa"/>
            <w:left w:w="108" w:type="dxa"/>
            <w:bottom w:w="0" w:type="dxa"/>
            <w:right w:w="108" w:type="dxa"/>
          </w:tblCellMar>
        </w:tblPrEx>
        <w:trPr>
          <w:trHeight w:val="620" w:hRule="atLeast"/>
        </w:trPr>
        <w:tc>
          <w:tcPr>
            <w:tcW w:w="302" w:type="pct"/>
            <w:vMerge w:val="restart"/>
            <w:tcBorders>
              <w:top w:val="single" w:color="000000" w:sz="4" w:space="0"/>
              <w:left w:val="single" w:color="000000" w:sz="4" w:space="0"/>
              <w:right w:val="single" w:color="000000" w:sz="4" w:space="0"/>
            </w:tcBorders>
            <w:noWrap/>
            <w:vAlign w:val="center"/>
          </w:tcPr>
          <w:p w14:paraId="31370D70">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5</w:t>
            </w:r>
          </w:p>
        </w:tc>
        <w:tc>
          <w:tcPr>
            <w:tcW w:w="327" w:type="pct"/>
            <w:vMerge w:val="restart"/>
            <w:tcBorders>
              <w:top w:val="single" w:color="000000" w:sz="4" w:space="0"/>
              <w:left w:val="single" w:color="000000" w:sz="4" w:space="0"/>
              <w:right w:val="single" w:color="000000" w:sz="4" w:space="0"/>
            </w:tcBorders>
            <w:vAlign w:val="center"/>
          </w:tcPr>
          <w:p w14:paraId="280B3F0E">
            <w:pPr>
              <w:widowControl/>
              <w:jc w:val="center"/>
              <w:textAlignment w:val="center"/>
              <w:rPr>
                <w:rFonts w:ascii="宋体" w:hAnsi="宋体" w:cs="宋体"/>
                <w:b/>
                <w:bCs/>
                <w:sz w:val="22"/>
                <w:szCs w:val="22"/>
              </w:rPr>
            </w:pPr>
            <w:r>
              <w:rPr>
                <w:rFonts w:hint="eastAsia" w:ascii="宋体" w:hAnsi="宋体" w:cs="宋体"/>
                <w:b/>
                <w:bCs/>
                <w:sz w:val="24"/>
              </w:rPr>
              <w:t>区安全检测服务项目</w:t>
            </w:r>
          </w:p>
        </w:tc>
        <w:tc>
          <w:tcPr>
            <w:tcW w:w="4370" w:type="pct"/>
            <w:tcBorders>
              <w:top w:val="nil"/>
              <w:left w:val="nil"/>
              <w:bottom w:val="single" w:color="000000" w:sz="8" w:space="0"/>
              <w:right w:val="single" w:color="000000" w:sz="8" w:space="0"/>
            </w:tcBorders>
            <w:vAlign w:val="center"/>
          </w:tcPr>
          <w:p w14:paraId="527ECCDC">
            <w:pPr>
              <w:widowControl/>
              <w:jc w:val="left"/>
              <w:textAlignment w:val="center"/>
              <w:rPr>
                <w:rFonts w:ascii="宋体" w:hAnsi="宋体" w:cs="宋体"/>
                <w:b/>
                <w:bCs/>
                <w:szCs w:val="21"/>
              </w:rPr>
            </w:pPr>
            <w:r>
              <w:rPr>
                <w:rFonts w:hint="eastAsia" w:ascii="宋体" w:hAnsi="宋体" w:cs="宋体"/>
                <w:b/>
                <w:bCs/>
                <w:kern w:val="0"/>
                <w:szCs w:val="21"/>
                <w:lang w:bidi="ar"/>
              </w:rPr>
              <w:t>态势感知流量探针</w:t>
            </w:r>
          </w:p>
        </w:tc>
      </w:tr>
      <w:tr w14:paraId="3DA26DBC">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5CE5702F">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690DA8B1">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4C0D848A">
            <w:pPr>
              <w:widowControl/>
              <w:textAlignment w:val="center"/>
              <w:rPr>
                <w:rFonts w:ascii="宋体" w:hAnsi="宋体" w:cs="宋体"/>
                <w:sz w:val="20"/>
                <w:szCs w:val="20"/>
              </w:rPr>
            </w:pPr>
            <w:r>
              <w:rPr>
                <w:rFonts w:hint="eastAsia" w:ascii="宋体" w:hAnsi="宋体" w:cs="宋体"/>
                <w:kern w:val="0"/>
                <w:sz w:val="20"/>
                <w:szCs w:val="20"/>
                <w:lang w:bidi="ar"/>
              </w:rPr>
              <w:t>接口数量≥4个千兆电口；吞吐量≥500Mbps；双电源；软硬一体化1U标准机架式设备；硬盘容量≥2T；扩展插槽≥2；</w:t>
            </w:r>
          </w:p>
        </w:tc>
      </w:tr>
      <w:tr w14:paraId="3A1CDBE0">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1B58A9B4">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3373212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62CBA8F0">
            <w:pPr>
              <w:widowControl/>
              <w:textAlignment w:val="center"/>
              <w:rPr>
                <w:rFonts w:ascii="宋体" w:hAnsi="宋体" w:cs="宋体"/>
                <w:sz w:val="20"/>
                <w:szCs w:val="20"/>
              </w:rPr>
            </w:pPr>
            <w:r>
              <w:rPr>
                <w:rFonts w:hint="eastAsia" w:ascii="宋体" w:hAnsi="宋体" w:cs="宋体"/>
                <w:kern w:val="0"/>
                <w:sz w:val="20"/>
                <w:szCs w:val="20"/>
                <w:lang w:bidi="ar"/>
              </w:rPr>
              <w:t>可扫描网络第2层至第7层数据流量；</w:t>
            </w:r>
          </w:p>
        </w:tc>
      </w:tr>
      <w:tr w14:paraId="757354D1">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002BEE4E">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3061D63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463D872">
            <w:pPr>
              <w:widowControl/>
              <w:textAlignment w:val="center"/>
              <w:rPr>
                <w:rFonts w:ascii="宋体" w:hAnsi="宋体" w:cs="宋体"/>
                <w:sz w:val="20"/>
                <w:szCs w:val="20"/>
              </w:rPr>
            </w:pPr>
            <w:r>
              <w:rPr>
                <w:rFonts w:hint="eastAsia" w:ascii="宋体" w:hAnsi="宋体" w:cs="宋体"/>
                <w:kern w:val="0"/>
                <w:sz w:val="20"/>
                <w:szCs w:val="20"/>
                <w:lang w:bidi="ar"/>
              </w:rPr>
              <w:t>支持超过 100 种以上的网络协议支持，如 HTTP, FTP, TFTP, SMTP, POP3, IMAP, SNMP, IRC, DNS, DHCP, P2P, SMB, RDP, VNC, TELNET, TCP, UDP等协议；</w:t>
            </w:r>
          </w:p>
        </w:tc>
      </w:tr>
      <w:tr w14:paraId="3427CCFE">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6489DA19">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1780DACF">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4556F5FD">
            <w:pPr>
              <w:widowControl/>
              <w:textAlignment w:val="center"/>
              <w:rPr>
                <w:rFonts w:ascii="宋体" w:hAnsi="宋体" w:cs="宋体"/>
                <w:sz w:val="20"/>
                <w:szCs w:val="20"/>
              </w:rPr>
            </w:pPr>
            <w:r>
              <w:rPr>
                <w:rFonts w:hint="eastAsia" w:ascii="宋体" w:hAnsi="宋体" w:cs="宋体"/>
                <w:kern w:val="0"/>
                <w:sz w:val="20"/>
                <w:szCs w:val="20"/>
                <w:lang w:bidi="ar"/>
              </w:rPr>
              <w:t>能够侦测各种文件型病毒，如木马、僵尸、后门等；</w:t>
            </w:r>
          </w:p>
        </w:tc>
      </w:tr>
      <w:tr w14:paraId="061499E9">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75EFFD31">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12D1479A">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01B489BC">
            <w:pPr>
              <w:widowControl/>
              <w:textAlignment w:val="center"/>
              <w:rPr>
                <w:rFonts w:ascii="宋体" w:hAnsi="宋体" w:cs="宋体"/>
                <w:sz w:val="20"/>
                <w:szCs w:val="20"/>
              </w:rPr>
            </w:pPr>
            <w:r>
              <w:rPr>
                <w:rFonts w:hint="eastAsia" w:ascii="宋体" w:hAnsi="宋体" w:cs="宋体"/>
                <w:kern w:val="0"/>
                <w:sz w:val="20"/>
                <w:szCs w:val="20"/>
                <w:lang w:bidi="ar"/>
              </w:rPr>
              <w:t>能够以某个恶意文件为中心，溯源整个文件的流转记录，并以图形化方式展示出来，直观展示在不同时间点上该恶意文件在不同主机服务器上的传播路径，支持文件下载。</w:t>
            </w:r>
          </w:p>
        </w:tc>
      </w:tr>
      <w:tr w14:paraId="60C79D16">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5F61445B">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3188372F">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1B9D25A">
            <w:pPr>
              <w:widowControl/>
              <w:textAlignment w:val="center"/>
              <w:rPr>
                <w:rFonts w:ascii="宋体" w:hAnsi="宋体" w:cs="宋体"/>
                <w:sz w:val="20"/>
                <w:szCs w:val="20"/>
              </w:rPr>
            </w:pPr>
            <w:r>
              <w:rPr>
                <w:rFonts w:hint="eastAsia" w:ascii="宋体" w:hAnsi="宋体" w:cs="宋体"/>
                <w:kern w:val="0"/>
                <w:sz w:val="20"/>
                <w:szCs w:val="20"/>
                <w:lang w:bidi="ar"/>
              </w:rPr>
              <w:t>威胁流量与协议异常检测 ，如零日攻击、网络蠕虫、木马、后门、僵尸、间谍软件、网络漏洞、网页威胁（网页漏洞、跨网站攻击）、钓鱼邮件、暴力攻击、数据库注入攻击等</w:t>
            </w:r>
          </w:p>
        </w:tc>
      </w:tr>
      <w:tr w14:paraId="719ECA92">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64E23F63">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56A6B678">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4B2FCF3">
            <w:pPr>
              <w:widowControl/>
              <w:textAlignment w:val="center"/>
              <w:rPr>
                <w:rFonts w:ascii="宋体" w:hAnsi="宋体" w:cs="宋体"/>
                <w:sz w:val="20"/>
                <w:szCs w:val="20"/>
              </w:rPr>
            </w:pPr>
            <w:r>
              <w:rPr>
                <w:rFonts w:hint="eastAsia" w:ascii="宋体" w:hAnsi="宋体" w:cs="宋体"/>
                <w:kern w:val="0"/>
                <w:sz w:val="20"/>
                <w:szCs w:val="20"/>
                <w:lang w:bidi="ar"/>
              </w:rPr>
              <w:t>挖矿告警须提供专项告警页面，独立于其它告警，同时能够自动解析DNS响应的矿池及IP地址</w:t>
            </w:r>
            <w:r>
              <w:rPr>
                <w:rFonts w:ascii="宋体" w:hAnsi="宋体" w:cs="宋体"/>
                <w:kern w:val="0"/>
                <w:sz w:val="20"/>
                <w:szCs w:val="20"/>
                <w:lang w:bidi="ar"/>
              </w:rPr>
              <w:t>。</w:t>
            </w:r>
          </w:p>
        </w:tc>
      </w:tr>
      <w:tr w14:paraId="40FCE7C1">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73CE2A23">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47337E85">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1D898D42">
            <w:pPr>
              <w:widowControl/>
              <w:textAlignment w:val="center"/>
              <w:rPr>
                <w:rFonts w:ascii="宋体" w:hAnsi="宋体" w:cs="宋体"/>
                <w:b/>
                <w:bCs/>
                <w:szCs w:val="21"/>
              </w:rPr>
            </w:pPr>
            <w:r>
              <w:rPr>
                <w:rFonts w:hint="eastAsia" w:ascii="宋体" w:hAnsi="宋体" w:cs="宋体"/>
                <w:b/>
                <w:bCs/>
                <w:kern w:val="0"/>
                <w:szCs w:val="21"/>
                <w:lang w:bidi="ar"/>
              </w:rPr>
              <w:t>态势感知流平台</w:t>
            </w:r>
          </w:p>
        </w:tc>
      </w:tr>
      <w:tr w14:paraId="1C7ECD29">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4153BB98">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44507FF3">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F495CED">
            <w:pPr>
              <w:widowControl/>
              <w:textAlignment w:val="center"/>
              <w:rPr>
                <w:rFonts w:ascii="宋体" w:hAnsi="宋体" w:cs="宋体"/>
                <w:sz w:val="20"/>
                <w:szCs w:val="20"/>
              </w:rPr>
            </w:pPr>
            <w:r>
              <w:rPr>
                <w:rFonts w:hint="eastAsia" w:ascii="宋体" w:hAnsi="宋体" w:cs="宋体"/>
                <w:kern w:val="0"/>
                <w:sz w:val="20"/>
                <w:szCs w:val="20"/>
                <w:lang w:bidi="ar"/>
              </w:rPr>
              <w:t>基于大数据据架构采集安全日志与流量数据，通过内置的引擎，运用规则模型、统计分析、关联分析、情报碰撞等实现对网络攻击、异常行为、安全事件的发现和处置。</w:t>
            </w:r>
          </w:p>
        </w:tc>
      </w:tr>
      <w:tr w14:paraId="3A1AE881">
        <w:tblPrEx>
          <w:tblCellMar>
            <w:top w:w="0" w:type="dxa"/>
            <w:left w:w="108" w:type="dxa"/>
            <w:bottom w:w="0" w:type="dxa"/>
            <w:right w:w="108" w:type="dxa"/>
          </w:tblCellMar>
        </w:tblPrEx>
        <w:trPr>
          <w:trHeight w:val="620" w:hRule="atLeast"/>
        </w:trPr>
        <w:tc>
          <w:tcPr>
            <w:tcW w:w="302" w:type="pct"/>
            <w:vMerge w:val="continue"/>
            <w:tcBorders>
              <w:left w:val="single" w:color="000000" w:sz="4" w:space="0"/>
              <w:right w:val="single" w:color="000000" w:sz="4" w:space="0"/>
            </w:tcBorders>
            <w:noWrap/>
            <w:vAlign w:val="center"/>
          </w:tcPr>
          <w:p w14:paraId="4791684C">
            <w:pPr>
              <w:jc w:val="center"/>
              <w:rPr>
                <w:rFonts w:ascii="宋体" w:hAnsi="宋体" w:cs="宋体"/>
                <w:b/>
                <w:bCs/>
                <w:sz w:val="22"/>
                <w:szCs w:val="22"/>
              </w:rPr>
            </w:pPr>
          </w:p>
        </w:tc>
        <w:tc>
          <w:tcPr>
            <w:tcW w:w="327" w:type="pct"/>
            <w:vMerge w:val="continue"/>
            <w:tcBorders>
              <w:left w:val="single" w:color="000000" w:sz="4" w:space="0"/>
              <w:right w:val="single" w:color="000000" w:sz="4" w:space="0"/>
            </w:tcBorders>
            <w:vAlign w:val="center"/>
          </w:tcPr>
          <w:p w14:paraId="305B139C">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10C2602">
            <w:pPr>
              <w:widowControl/>
              <w:textAlignment w:val="center"/>
              <w:rPr>
                <w:rFonts w:ascii="宋体" w:hAnsi="宋体" w:cs="宋体"/>
                <w:sz w:val="20"/>
                <w:szCs w:val="20"/>
              </w:rPr>
            </w:pPr>
            <w:r>
              <w:rPr>
                <w:rFonts w:hint="eastAsia" w:ascii="宋体" w:hAnsi="宋体" w:cs="宋体"/>
                <w:kern w:val="0"/>
                <w:sz w:val="20"/>
                <w:szCs w:val="20"/>
                <w:lang w:bidi="ar"/>
              </w:rPr>
              <w:t>主要能力如下：网络安全状态、安全事件概览、安全告警概览、失陷资产概览、资产安全感知、风险威胁统计、剧本编排统计、接入情况统计；统一配置：网路配置、菜单管理、主机配置、平台配置、平台升级；统一监管：主机监控、进程监控、平台日志。</w:t>
            </w:r>
          </w:p>
        </w:tc>
      </w:tr>
      <w:tr w14:paraId="3034DDAB">
        <w:tblPrEx>
          <w:tblCellMar>
            <w:top w:w="0" w:type="dxa"/>
            <w:left w:w="108" w:type="dxa"/>
            <w:bottom w:w="0" w:type="dxa"/>
            <w:right w:w="108" w:type="dxa"/>
          </w:tblCellMar>
        </w:tblPrEx>
        <w:trPr>
          <w:trHeight w:val="620" w:hRule="atLeast"/>
        </w:trPr>
        <w:tc>
          <w:tcPr>
            <w:tcW w:w="302" w:type="pct"/>
            <w:vMerge w:val="restart"/>
            <w:tcBorders>
              <w:top w:val="nil"/>
              <w:left w:val="single" w:color="000000" w:sz="8" w:space="0"/>
              <w:bottom w:val="single" w:color="000000" w:sz="8" w:space="0"/>
              <w:right w:val="single" w:color="000000" w:sz="8" w:space="0"/>
            </w:tcBorders>
            <w:noWrap/>
            <w:vAlign w:val="center"/>
          </w:tcPr>
          <w:p w14:paraId="3556652C">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6</w:t>
            </w:r>
          </w:p>
        </w:tc>
        <w:tc>
          <w:tcPr>
            <w:tcW w:w="327" w:type="pct"/>
            <w:vMerge w:val="restart"/>
            <w:tcBorders>
              <w:top w:val="nil"/>
              <w:left w:val="nil"/>
              <w:bottom w:val="single" w:color="000000" w:sz="8" w:space="0"/>
              <w:right w:val="single" w:color="000000" w:sz="8" w:space="0"/>
            </w:tcBorders>
            <w:vAlign w:val="center"/>
          </w:tcPr>
          <w:p w14:paraId="4E740753">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撤线组网改造服务</w:t>
            </w:r>
          </w:p>
        </w:tc>
        <w:tc>
          <w:tcPr>
            <w:tcW w:w="4370" w:type="pct"/>
            <w:tcBorders>
              <w:top w:val="nil"/>
              <w:left w:val="nil"/>
              <w:bottom w:val="single" w:color="000000" w:sz="8" w:space="0"/>
              <w:right w:val="single" w:color="000000" w:sz="8" w:space="0"/>
            </w:tcBorders>
            <w:vAlign w:val="center"/>
          </w:tcPr>
          <w:p w14:paraId="5449D9C9">
            <w:pPr>
              <w:widowControl/>
              <w:jc w:val="left"/>
              <w:textAlignment w:val="center"/>
              <w:rPr>
                <w:rFonts w:ascii="宋体" w:hAnsi="宋体" w:cs="宋体"/>
                <w:b/>
                <w:bCs/>
                <w:szCs w:val="21"/>
              </w:rPr>
            </w:pPr>
            <w:r>
              <w:rPr>
                <w:rFonts w:hint="eastAsia" w:ascii="宋体" w:hAnsi="宋体" w:cs="宋体"/>
                <w:b/>
                <w:bCs/>
                <w:kern w:val="0"/>
                <w:szCs w:val="21"/>
                <w:lang w:bidi="ar"/>
              </w:rPr>
              <w:t>身份认证平台</w:t>
            </w:r>
          </w:p>
        </w:tc>
      </w:tr>
      <w:tr w14:paraId="7A55663D">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728C74E">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7272E189">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C433BAE">
            <w:pPr>
              <w:widowControl/>
              <w:textAlignment w:val="center"/>
              <w:rPr>
                <w:rFonts w:ascii="宋体" w:hAnsi="宋体" w:cs="宋体"/>
                <w:sz w:val="20"/>
                <w:szCs w:val="20"/>
              </w:rPr>
            </w:pPr>
            <w:r>
              <w:rPr>
                <w:rFonts w:hint="eastAsia" w:ascii="宋体" w:hAnsi="宋体" w:cs="宋体"/>
                <w:kern w:val="0"/>
                <w:sz w:val="20"/>
                <w:szCs w:val="20"/>
                <w:lang w:bidi="ar"/>
              </w:rPr>
              <w:t>支持分布式部署。总部部署身份策略中心，统一管理全网的身份信息；分支单位机构部署认证管理系统，可将身份策略信息汇总至身份策略中心，实现各个分布式下认证管理系统之间的用户身份漫游认证；可对分支机构管理员进行分权，分级管理员只能管理本单位的用户。</w:t>
            </w:r>
          </w:p>
        </w:tc>
      </w:tr>
      <w:tr w14:paraId="7A2CEE6C">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9401ECF">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BEAAD5C">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25098B2C">
            <w:pPr>
              <w:widowControl/>
              <w:textAlignment w:val="center"/>
              <w:rPr>
                <w:rFonts w:ascii="宋体" w:hAnsi="宋体" w:cs="宋体"/>
                <w:sz w:val="20"/>
                <w:szCs w:val="20"/>
              </w:rPr>
            </w:pPr>
            <w:r>
              <w:rPr>
                <w:rFonts w:hint="eastAsia" w:ascii="宋体" w:hAnsi="宋体" w:cs="宋体"/>
                <w:kern w:val="0"/>
                <w:sz w:val="20"/>
                <w:szCs w:val="20"/>
                <w:lang w:bidi="ar"/>
              </w:rPr>
              <w:t>为满足多种应用场景，准入方式应支持有线的用户名密码认证（EAP-MD5）、无线的用户名密码认证 （PEAP-MSCHAPV2） 和USB-KEY CA证书认证（EAP-TLS）</w:t>
            </w:r>
          </w:p>
        </w:tc>
      </w:tr>
      <w:tr w14:paraId="483BB815">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8C3A477">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74892D30">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4D9780F9">
            <w:pPr>
              <w:widowControl/>
              <w:textAlignment w:val="center"/>
              <w:rPr>
                <w:rFonts w:ascii="宋体" w:hAnsi="宋体" w:cs="宋体"/>
                <w:sz w:val="20"/>
                <w:szCs w:val="20"/>
              </w:rPr>
            </w:pPr>
            <w:r>
              <w:rPr>
                <w:rFonts w:hint="eastAsia" w:ascii="宋体" w:hAnsi="宋体" w:cs="宋体"/>
                <w:kern w:val="0"/>
                <w:sz w:val="20"/>
                <w:szCs w:val="20"/>
                <w:lang w:bidi="ar"/>
              </w:rPr>
              <w:t>支持已认证的用户使用自己的智能手机为访客终端扫描二维码进行访客入网接入认证授权，支持只有授权指定的用户组才能为访客做二维码授权，且在认证系统后台有访客与授权访客开户的用户账号绑定。</w:t>
            </w:r>
          </w:p>
        </w:tc>
      </w:tr>
      <w:tr w14:paraId="6DA9B6A3">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611DF7C">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6B77A6D">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27E09465">
            <w:pPr>
              <w:widowControl/>
              <w:textAlignment w:val="center"/>
              <w:rPr>
                <w:rFonts w:ascii="宋体" w:hAnsi="宋体" w:cs="宋体"/>
                <w:sz w:val="20"/>
                <w:szCs w:val="20"/>
              </w:rPr>
            </w:pPr>
            <w:r>
              <w:rPr>
                <w:rFonts w:hint="eastAsia" w:ascii="宋体" w:hAnsi="宋体" w:cs="宋体"/>
                <w:kern w:val="0"/>
                <w:sz w:val="20"/>
                <w:szCs w:val="20"/>
                <w:lang w:bidi="ar"/>
              </w:rPr>
              <w:t>支持访客二维码名片/公共二维码注册。</w:t>
            </w:r>
          </w:p>
        </w:tc>
      </w:tr>
      <w:tr w14:paraId="7AFEFCCD">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2D08427">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346A863D">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5ACA33B">
            <w:pPr>
              <w:widowControl/>
              <w:textAlignment w:val="center"/>
              <w:rPr>
                <w:rFonts w:ascii="宋体" w:hAnsi="宋体" w:cs="宋体"/>
                <w:sz w:val="20"/>
                <w:szCs w:val="20"/>
              </w:rPr>
            </w:pPr>
            <w:r>
              <w:rPr>
                <w:rFonts w:hint="eastAsia" w:ascii="宋体" w:hAnsi="宋体" w:cs="宋体"/>
                <w:kern w:val="0"/>
                <w:sz w:val="20"/>
                <w:szCs w:val="20"/>
                <w:lang w:bidi="ar"/>
              </w:rPr>
              <w:t>支持授权码认证，普通用户可生成授权码，访客在Portal认证页面输入授权码认证上网，同时授权码具备有效期</w:t>
            </w:r>
          </w:p>
        </w:tc>
      </w:tr>
      <w:tr w14:paraId="5F5D570B">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33533BE">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B0ECFD2">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1247964A">
            <w:pPr>
              <w:widowControl/>
              <w:textAlignment w:val="center"/>
              <w:rPr>
                <w:rFonts w:ascii="宋体" w:hAnsi="宋体" w:cs="宋体"/>
                <w:sz w:val="20"/>
                <w:szCs w:val="20"/>
              </w:rPr>
            </w:pPr>
            <w:r>
              <w:rPr>
                <w:rFonts w:hint="eastAsia" w:ascii="宋体" w:hAnsi="宋体" w:cs="宋体"/>
                <w:kern w:val="0"/>
                <w:sz w:val="20"/>
                <w:szCs w:val="20"/>
                <w:lang w:bidi="ar"/>
              </w:rPr>
              <w:t>短信URL短码认证，点击短信里面的URL链接即可认证。</w:t>
            </w:r>
          </w:p>
        </w:tc>
      </w:tr>
      <w:tr w14:paraId="703E4A21">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1AE129C0">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B0B5BAE">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0DC8ED25">
            <w:pPr>
              <w:widowControl/>
              <w:textAlignment w:val="center"/>
              <w:rPr>
                <w:rFonts w:ascii="宋体" w:hAnsi="宋体" w:cs="宋体"/>
                <w:sz w:val="20"/>
                <w:szCs w:val="20"/>
              </w:rPr>
            </w:pPr>
            <w:r>
              <w:rPr>
                <w:rFonts w:hint="eastAsia" w:ascii="宋体" w:hAnsi="宋体" w:cs="宋体"/>
                <w:kern w:val="0"/>
                <w:sz w:val="20"/>
                <w:szCs w:val="20"/>
                <w:lang w:bidi="ar"/>
              </w:rPr>
              <w:t>认证页面合并：普通用户、短信、二维码、微信web认证合并。提供相关的功能截图并加盖厂家公章。</w:t>
            </w:r>
          </w:p>
        </w:tc>
      </w:tr>
      <w:tr w14:paraId="6C6BAA70">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0AEBBD7">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A68F7A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7F1A59F">
            <w:pPr>
              <w:widowControl/>
              <w:textAlignment w:val="center"/>
              <w:rPr>
                <w:rFonts w:ascii="宋体" w:hAnsi="宋体" w:cs="宋体"/>
                <w:sz w:val="20"/>
                <w:szCs w:val="20"/>
              </w:rPr>
            </w:pPr>
            <w:r>
              <w:rPr>
                <w:rFonts w:hint="eastAsia" w:ascii="宋体" w:hAnsi="宋体" w:cs="宋体"/>
                <w:kern w:val="0"/>
                <w:sz w:val="20"/>
                <w:szCs w:val="20"/>
                <w:lang w:bidi="ar"/>
              </w:rPr>
              <w:t>支持使用用户名密码+手机号及短信获取的6位数随机校验码作为认证要素进行双因子认证。</w:t>
            </w:r>
          </w:p>
        </w:tc>
      </w:tr>
      <w:tr w14:paraId="18888C99">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976772E">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50C72083">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023724B9">
            <w:pPr>
              <w:widowControl/>
              <w:textAlignment w:val="center"/>
              <w:rPr>
                <w:rFonts w:ascii="宋体" w:hAnsi="宋体" w:cs="宋体"/>
                <w:sz w:val="20"/>
                <w:szCs w:val="20"/>
              </w:rPr>
            </w:pPr>
            <w:r>
              <w:rPr>
                <w:rFonts w:hint="eastAsia" w:ascii="宋体" w:hAnsi="宋体" w:cs="宋体"/>
                <w:kern w:val="0"/>
                <w:sz w:val="20"/>
                <w:szCs w:val="20"/>
                <w:lang w:bidi="ar"/>
              </w:rPr>
              <w:t>支持与第三方Radius联动，将认证信息转发给第三方Radius服务器进行认证，即实现统一身份源。</w:t>
            </w:r>
          </w:p>
        </w:tc>
      </w:tr>
      <w:tr w14:paraId="454286AC">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498696AF">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B4FA4E5">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4975BF8E">
            <w:pPr>
              <w:widowControl/>
              <w:textAlignment w:val="center"/>
              <w:rPr>
                <w:rFonts w:ascii="宋体" w:hAnsi="宋体" w:cs="宋体"/>
                <w:sz w:val="20"/>
                <w:szCs w:val="20"/>
              </w:rPr>
            </w:pPr>
            <w:r>
              <w:rPr>
                <w:rFonts w:hint="eastAsia" w:ascii="宋体" w:hAnsi="宋体" w:cs="宋体"/>
                <w:kern w:val="0"/>
                <w:sz w:val="20"/>
                <w:szCs w:val="20"/>
                <w:lang w:bidi="ar"/>
              </w:rPr>
              <w:t>支持与数据库SQL SERVER、MySQL、ORACLE、DB2、PostgreSQL对接。</w:t>
            </w:r>
          </w:p>
        </w:tc>
      </w:tr>
      <w:tr w14:paraId="31E383C2">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4355764">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D66682D">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4CB75FD0">
            <w:pPr>
              <w:widowControl/>
              <w:textAlignment w:val="center"/>
              <w:rPr>
                <w:rFonts w:ascii="宋体" w:hAnsi="宋体" w:cs="宋体"/>
                <w:sz w:val="20"/>
                <w:szCs w:val="20"/>
              </w:rPr>
            </w:pPr>
            <w:r>
              <w:rPr>
                <w:rFonts w:hint="eastAsia" w:ascii="宋体" w:hAnsi="宋体" w:cs="宋体"/>
                <w:kern w:val="0"/>
                <w:sz w:val="20"/>
                <w:szCs w:val="20"/>
                <w:lang w:bidi="ar"/>
              </w:rPr>
              <w:t>支持用户上线后弹出广播消息、网页；支持设置禁止认证时段，在该时段内用户禁止认证，无法上网。</w:t>
            </w:r>
          </w:p>
        </w:tc>
      </w:tr>
      <w:tr w14:paraId="34640147">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042711D">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FFA0B8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0698F10C">
            <w:pPr>
              <w:widowControl/>
              <w:textAlignment w:val="center"/>
              <w:rPr>
                <w:rFonts w:ascii="宋体" w:hAnsi="宋体" w:cs="宋体"/>
                <w:sz w:val="20"/>
                <w:szCs w:val="20"/>
              </w:rPr>
            </w:pPr>
            <w:r>
              <w:rPr>
                <w:rFonts w:hint="eastAsia" w:ascii="宋体" w:hAnsi="宋体" w:cs="宋体"/>
                <w:kern w:val="0"/>
                <w:sz w:val="20"/>
                <w:szCs w:val="20"/>
                <w:lang w:bidi="ar"/>
              </w:rPr>
              <w:t>首次登陆账号激活，并强制修改密码。·首次进行认证时，强制要求用户设置密保：手机号、邮箱账号、私密问答作为密保凭据任选其一。</w:t>
            </w:r>
          </w:p>
        </w:tc>
      </w:tr>
      <w:tr w14:paraId="1A179916">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B91DB5C">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5995148">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05D0108D">
            <w:pPr>
              <w:widowControl/>
              <w:textAlignment w:val="center"/>
              <w:rPr>
                <w:rFonts w:ascii="宋体" w:hAnsi="宋体" w:cs="宋体"/>
                <w:sz w:val="20"/>
                <w:szCs w:val="20"/>
              </w:rPr>
            </w:pPr>
            <w:r>
              <w:rPr>
                <w:rFonts w:hint="eastAsia" w:ascii="宋体" w:hAnsi="宋体" w:cs="宋体"/>
                <w:kern w:val="0"/>
                <w:sz w:val="20"/>
                <w:szCs w:val="20"/>
                <w:lang w:bidi="ar"/>
              </w:rPr>
              <w:t>防密码暴力破解-随机校验码机制：</w:t>
            </w:r>
          </w:p>
        </w:tc>
      </w:tr>
      <w:tr w14:paraId="256363A4">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1658ACBF">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2E7E75D">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5A3BBAA">
            <w:pPr>
              <w:widowControl/>
              <w:textAlignment w:val="center"/>
              <w:rPr>
                <w:rFonts w:ascii="宋体" w:hAnsi="宋体" w:cs="宋体"/>
                <w:sz w:val="20"/>
                <w:szCs w:val="20"/>
              </w:rPr>
            </w:pPr>
            <w:r>
              <w:rPr>
                <w:rFonts w:hint="eastAsia" w:ascii="宋体" w:hAnsi="宋体" w:cs="宋体"/>
                <w:kern w:val="0"/>
                <w:sz w:val="20"/>
                <w:szCs w:val="20"/>
                <w:lang w:bidi="ar"/>
              </w:rPr>
              <w:t>认证页面输入N（默认3 次）次错误密码后，将需要输入随机校验码，并记录登录者的IP及MAC，以防止用户通过自动化工具暴力破解密码。</w:t>
            </w:r>
          </w:p>
        </w:tc>
      </w:tr>
      <w:tr w14:paraId="78E1FE13">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0F26038">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1D6235CA">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BB63A28">
            <w:pPr>
              <w:widowControl/>
              <w:textAlignment w:val="center"/>
              <w:rPr>
                <w:rFonts w:ascii="宋体" w:hAnsi="宋体" w:cs="宋体"/>
                <w:sz w:val="20"/>
                <w:szCs w:val="20"/>
              </w:rPr>
            </w:pPr>
            <w:r>
              <w:rPr>
                <w:rFonts w:hint="eastAsia" w:ascii="宋体" w:hAnsi="宋体" w:cs="宋体"/>
                <w:kern w:val="0"/>
                <w:sz w:val="20"/>
                <w:szCs w:val="20"/>
                <w:lang w:bidi="ar"/>
              </w:rPr>
              <w:t>自助服务平台登录时默认需要验证码</w:t>
            </w:r>
          </w:p>
        </w:tc>
      </w:tr>
      <w:tr w14:paraId="56F48B31">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10DD0E2D">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B757DC9">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5674CA8">
            <w:pPr>
              <w:widowControl/>
              <w:textAlignment w:val="center"/>
              <w:rPr>
                <w:rFonts w:ascii="宋体" w:hAnsi="宋体" w:cs="宋体"/>
                <w:sz w:val="20"/>
                <w:szCs w:val="20"/>
              </w:rPr>
            </w:pPr>
            <w:r>
              <w:rPr>
                <w:rFonts w:hint="eastAsia" w:ascii="宋体" w:hAnsi="宋体" w:cs="宋体"/>
                <w:kern w:val="0"/>
                <w:sz w:val="20"/>
                <w:szCs w:val="20"/>
                <w:lang w:bidi="ar"/>
              </w:rPr>
              <w:t>支持直接获取用户网卡的物理MAC地址，防止篡改MAC地址。</w:t>
            </w:r>
          </w:p>
        </w:tc>
      </w:tr>
      <w:tr w14:paraId="106E071A">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E8CBF8C">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789D5B83">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47CCA1F5">
            <w:pPr>
              <w:widowControl/>
              <w:textAlignment w:val="center"/>
              <w:rPr>
                <w:rFonts w:ascii="宋体" w:hAnsi="宋体" w:cs="宋体"/>
                <w:sz w:val="20"/>
                <w:szCs w:val="20"/>
              </w:rPr>
            </w:pPr>
            <w:r>
              <w:rPr>
                <w:rFonts w:hint="eastAsia" w:ascii="宋体" w:hAnsi="宋体" w:cs="宋体"/>
                <w:kern w:val="0"/>
                <w:sz w:val="20"/>
                <w:szCs w:val="20"/>
                <w:lang w:bidi="ar"/>
              </w:rPr>
              <w:t>禁止用户非法外连互联网，一旦访问则进行日志记录，并禁用所有网络连接；支持基于网络设备ACL、设备VLAN、主机ACL的网</w:t>
            </w:r>
          </w:p>
        </w:tc>
      </w:tr>
      <w:tr w14:paraId="6433CCD4">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681334C7">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3DCA94F">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03580E93">
            <w:pPr>
              <w:widowControl/>
              <w:jc w:val="left"/>
              <w:textAlignment w:val="center"/>
              <w:rPr>
                <w:rFonts w:ascii="宋体" w:hAnsi="宋体" w:cs="宋体"/>
                <w:b/>
                <w:bCs/>
                <w:szCs w:val="21"/>
              </w:rPr>
            </w:pPr>
            <w:r>
              <w:rPr>
                <w:rFonts w:hint="eastAsia" w:ascii="宋体" w:hAnsi="宋体" w:cs="宋体"/>
                <w:b/>
                <w:bCs/>
                <w:kern w:val="0"/>
                <w:szCs w:val="21"/>
                <w:lang w:bidi="ar"/>
              </w:rPr>
              <w:t>资源访问控制平台</w:t>
            </w:r>
          </w:p>
        </w:tc>
      </w:tr>
      <w:tr w14:paraId="065EEF78">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245E065">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3DBE5470">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49BA2D0C">
            <w:pPr>
              <w:widowControl/>
              <w:textAlignment w:val="center"/>
              <w:rPr>
                <w:rFonts w:ascii="宋体" w:hAnsi="宋体" w:cs="宋体"/>
                <w:sz w:val="20"/>
                <w:szCs w:val="20"/>
              </w:rPr>
            </w:pPr>
            <w:r>
              <w:rPr>
                <w:rFonts w:hint="eastAsia" w:ascii="宋体" w:hAnsi="宋体" w:cs="宋体"/>
                <w:kern w:val="0"/>
                <w:sz w:val="20"/>
                <w:szCs w:val="20"/>
                <w:lang w:bidi="ar"/>
              </w:rPr>
              <w:t>所投产品须整机最少支持6个千兆电口和2个万兆光口，具有1TB的硬盘存储。</w:t>
            </w:r>
          </w:p>
        </w:tc>
      </w:tr>
      <w:tr w14:paraId="647F97D9">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315745D">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91DB5E0">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3D74505">
            <w:pPr>
              <w:widowControl/>
              <w:textAlignment w:val="center"/>
              <w:rPr>
                <w:rFonts w:ascii="宋体" w:hAnsi="宋体" w:cs="宋体"/>
                <w:sz w:val="20"/>
                <w:szCs w:val="20"/>
              </w:rPr>
            </w:pPr>
            <w:r>
              <w:rPr>
                <w:rFonts w:hint="eastAsia" w:ascii="宋体" w:hAnsi="宋体" w:cs="宋体"/>
                <w:kern w:val="0"/>
                <w:sz w:val="20"/>
                <w:szCs w:val="20"/>
                <w:lang w:bidi="ar"/>
              </w:rPr>
              <w:t>设备最大吞吐≥2Gbps，全功能开启审计适用带宽≥400Mbps（双向），要求所投整机最大支持并发连接数50万，要求所投整机每秒新建连接数≥10000/秒。</w:t>
            </w:r>
          </w:p>
        </w:tc>
      </w:tr>
      <w:tr w14:paraId="7385104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DF1412B">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7B5DC038">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6A42DFC">
            <w:pPr>
              <w:widowControl/>
              <w:textAlignment w:val="center"/>
              <w:rPr>
                <w:rFonts w:ascii="宋体" w:hAnsi="宋体" w:cs="宋体"/>
                <w:sz w:val="20"/>
                <w:szCs w:val="20"/>
              </w:rPr>
            </w:pPr>
            <w:r>
              <w:rPr>
                <w:rFonts w:hint="eastAsia" w:ascii="宋体" w:hAnsi="宋体" w:cs="宋体"/>
                <w:kern w:val="0"/>
                <w:sz w:val="20"/>
                <w:szCs w:val="20"/>
                <w:lang w:bidi="ar"/>
              </w:rPr>
              <w:t>ARP表/邻居表支持Web管理ARP表查看，并支持指定静态ARP；支持Web管理IPv6邻居表查看，并支持指定静态。要求提供相关的功能截图并加盖厂家公章。</w:t>
            </w:r>
          </w:p>
        </w:tc>
      </w:tr>
      <w:tr w14:paraId="2A466033">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2CF98E4">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12935C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2500C9B1">
            <w:pPr>
              <w:widowControl/>
              <w:textAlignment w:val="center"/>
              <w:rPr>
                <w:rFonts w:ascii="宋体" w:hAnsi="宋体" w:cs="宋体"/>
                <w:sz w:val="20"/>
                <w:szCs w:val="20"/>
              </w:rPr>
            </w:pPr>
            <w:r>
              <w:rPr>
                <w:rFonts w:hint="eastAsia" w:ascii="宋体" w:hAnsi="宋体" w:cs="宋体"/>
                <w:kern w:val="0"/>
                <w:sz w:val="20"/>
                <w:szCs w:val="20"/>
                <w:lang w:bidi="ar"/>
              </w:rPr>
              <w:t>部署模式支持路由模式，旁路模式、网桥模式、混合模式部署；切换部署模式无需重启，不影响设备正常使用。</w:t>
            </w:r>
          </w:p>
        </w:tc>
      </w:tr>
      <w:tr w14:paraId="11CA5DCC">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68E53BC9">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3D337981">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AC9262C">
            <w:pPr>
              <w:widowControl/>
              <w:textAlignment w:val="center"/>
              <w:rPr>
                <w:rFonts w:ascii="宋体" w:hAnsi="宋体" w:cs="宋体"/>
                <w:sz w:val="20"/>
                <w:szCs w:val="20"/>
              </w:rPr>
            </w:pPr>
            <w:r>
              <w:rPr>
                <w:rFonts w:hint="eastAsia" w:ascii="宋体" w:hAnsi="宋体" w:cs="宋体"/>
                <w:kern w:val="0"/>
                <w:sz w:val="20"/>
                <w:szCs w:val="20"/>
                <w:lang w:bidi="ar"/>
              </w:rPr>
              <w:t>支持PPPoE拨号以及负载均衡；支持基于链路的上行、下行、总流量自动均衡的多链路负载均衡算法，基于固定指派链路的自动均衡算法，基于最佳路径的多链路负载均衡算法；支持基于轮询的多链路负载均衡算法。</w:t>
            </w:r>
          </w:p>
        </w:tc>
      </w:tr>
      <w:tr w14:paraId="109D22C4">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1B7D1FAC">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A34C4AE">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456A0DB8">
            <w:pPr>
              <w:widowControl/>
              <w:textAlignment w:val="center"/>
              <w:rPr>
                <w:rFonts w:ascii="宋体" w:hAnsi="宋体" w:cs="宋体"/>
                <w:sz w:val="20"/>
                <w:szCs w:val="20"/>
              </w:rPr>
            </w:pPr>
            <w:r>
              <w:rPr>
                <w:rFonts w:hint="eastAsia" w:ascii="宋体" w:hAnsi="宋体" w:cs="宋体"/>
                <w:kern w:val="0"/>
                <w:sz w:val="20"/>
                <w:szCs w:val="20"/>
                <w:lang w:bidi="ar"/>
              </w:rPr>
              <w:t>链路聚合支持将多个以太网物理端口捆绑成一条逻辑端口（即将多个端口捆绑成一个逻辑的端口以增加带宽，同时增加链路备份）支持基于主备、哈希、802.3ad负载方式。</w:t>
            </w:r>
          </w:p>
        </w:tc>
      </w:tr>
      <w:tr w14:paraId="5DAE6BEB">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74B6149">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1E0348B">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14C7843">
            <w:pPr>
              <w:widowControl/>
              <w:textAlignment w:val="center"/>
              <w:rPr>
                <w:rFonts w:ascii="宋体" w:hAnsi="宋体" w:cs="宋体"/>
                <w:sz w:val="20"/>
                <w:szCs w:val="20"/>
              </w:rPr>
            </w:pPr>
            <w:r>
              <w:rPr>
                <w:rFonts w:hint="eastAsia" w:ascii="宋体" w:hAnsi="宋体" w:cs="宋体"/>
                <w:kern w:val="0"/>
                <w:sz w:val="20"/>
                <w:szCs w:val="20"/>
                <w:lang w:bidi="ar"/>
              </w:rPr>
              <w:t>支持钉钉对接认证，企业微信对接认证，临时账号支持二维码扫描接入认证。</w:t>
            </w:r>
          </w:p>
        </w:tc>
      </w:tr>
      <w:tr w14:paraId="1E27A32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76EFE73">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82440B8">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1D39C80">
            <w:pPr>
              <w:widowControl/>
              <w:textAlignment w:val="center"/>
              <w:rPr>
                <w:rFonts w:ascii="宋体" w:hAnsi="宋体" w:cs="宋体"/>
                <w:sz w:val="20"/>
                <w:szCs w:val="20"/>
              </w:rPr>
            </w:pPr>
            <w:r>
              <w:rPr>
                <w:rFonts w:hint="eastAsia" w:ascii="宋体" w:hAnsi="宋体" w:cs="宋体"/>
                <w:kern w:val="0"/>
                <w:sz w:val="20"/>
                <w:szCs w:val="20"/>
                <w:lang w:bidi="ar"/>
              </w:rPr>
              <w:t>支持违规网站、违规搜索、违规帖子、违规上传、违规邮件、还有潜在威胁的告警行为。</w:t>
            </w:r>
          </w:p>
        </w:tc>
      </w:tr>
      <w:tr w14:paraId="28CCE34D">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1ABFCE4">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E11A738">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648FADE">
            <w:pPr>
              <w:widowControl/>
              <w:textAlignment w:val="center"/>
              <w:rPr>
                <w:rFonts w:ascii="宋体" w:hAnsi="宋体" w:cs="宋体"/>
                <w:sz w:val="20"/>
                <w:szCs w:val="20"/>
              </w:rPr>
            </w:pPr>
            <w:r>
              <w:rPr>
                <w:rFonts w:hint="eastAsia" w:ascii="宋体" w:hAnsi="宋体" w:cs="宋体"/>
                <w:kern w:val="0"/>
                <w:sz w:val="20"/>
                <w:szCs w:val="20"/>
                <w:lang w:bidi="ar"/>
              </w:rPr>
              <w:t>基于个人的所有行为监控报表，包括：网页标题记录、发贴记录、网页评论记录、在搜索引擎上的搜索记录、网页文件上传记录、URL访问记录、即时通讯的登录信息/聊天内容/文件传输记录、邮件记录（详细内容、附件）、FTP登录信息/上传记录/下载记录。要求提供相关的功能截图并加盖厂家公章。</w:t>
            </w:r>
          </w:p>
        </w:tc>
      </w:tr>
      <w:tr w14:paraId="5BF2DECE">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738D3D8">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3A23DB43">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0C9F725C">
            <w:pPr>
              <w:widowControl/>
              <w:textAlignment w:val="center"/>
              <w:rPr>
                <w:rFonts w:ascii="宋体" w:hAnsi="宋体" w:cs="宋体"/>
                <w:sz w:val="20"/>
                <w:szCs w:val="20"/>
              </w:rPr>
            </w:pPr>
            <w:r>
              <w:rPr>
                <w:rFonts w:hint="eastAsia" w:ascii="宋体" w:hAnsi="宋体" w:cs="宋体"/>
                <w:kern w:val="0"/>
                <w:sz w:val="20"/>
                <w:szCs w:val="20"/>
                <w:lang w:bidi="ar"/>
              </w:rPr>
              <w:t>详细的黑名单、防共享和终端发现日志，查看匹配策略记录和终端等信息。</w:t>
            </w:r>
          </w:p>
        </w:tc>
      </w:tr>
      <w:tr w14:paraId="006E7EA0">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F5A6532">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19E8F945">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19AF9832">
            <w:pPr>
              <w:widowControl/>
              <w:textAlignment w:val="center"/>
              <w:rPr>
                <w:rFonts w:ascii="宋体" w:hAnsi="宋体" w:cs="宋体"/>
                <w:sz w:val="20"/>
                <w:szCs w:val="20"/>
              </w:rPr>
            </w:pPr>
            <w:r>
              <w:rPr>
                <w:rFonts w:hint="eastAsia" w:ascii="宋体" w:hAnsi="宋体" w:cs="宋体"/>
                <w:kern w:val="0"/>
                <w:sz w:val="20"/>
                <w:szCs w:val="20"/>
                <w:lang w:bidi="ar"/>
              </w:rPr>
              <w:t>支持记录合规准入的详细信息，包括用户名、IP/MAC、时间、策略名称、规则类型、违规类型和详情等信息。</w:t>
            </w:r>
          </w:p>
        </w:tc>
      </w:tr>
      <w:tr w14:paraId="0F1E5506">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9FC660A">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52E3640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8813014">
            <w:pPr>
              <w:widowControl/>
              <w:textAlignment w:val="center"/>
              <w:rPr>
                <w:rFonts w:ascii="宋体" w:hAnsi="宋体" w:cs="宋体"/>
                <w:sz w:val="20"/>
                <w:szCs w:val="20"/>
              </w:rPr>
            </w:pPr>
            <w:r>
              <w:rPr>
                <w:rFonts w:hint="eastAsia" w:ascii="宋体" w:hAnsi="宋体" w:cs="宋体"/>
                <w:kern w:val="0"/>
                <w:sz w:val="20"/>
                <w:szCs w:val="20"/>
                <w:lang w:bidi="ar"/>
              </w:rPr>
              <w:t>上网态势分析：从内网整体网络的宏观角度展现网络使用概况、上网目的地分布、热门应用流量分布、网站类型分析、终端类型分析、在线人群趋势、高风险任人群排名、违规行为统计等多维度全方位展现网络的使用综合态势，给网络管理提供依据。要求提供相关的功能截图并加盖厂家公章。</w:t>
            </w:r>
          </w:p>
        </w:tc>
      </w:tr>
      <w:tr w14:paraId="04D63ED2">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19B06E12">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07B666F">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9156526">
            <w:pPr>
              <w:widowControl/>
              <w:textAlignment w:val="center"/>
              <w:rPr>
                <w:rFonts w:ascii="宋体" w:hAnsi="宋体" w:cs="宋体"/>
                <w:sz w:val="20"/>
                <w:szCs w:val="20"/>
              </w:rPr>
            </w:pPr>
            <w:r>
              <w:rPr>
                <w:rFonts w:hint="eastAsia" w:ascii="宋体" w:hAnsi="宋体" w:cs="宋体"/>
                <w:kern w:val="0"/>
                <w:sz w:val="20"/>
                <w:szCs w:val="20"/>
                <w:lang w:bidi="ar"/>
              </w:rPr>
              <w:t>支持基于IP的网管策略，防止恶意IP探测攻击设备，增加设备的安全性。</w:t>
            </w:r>
          </w:p>
        </w:tc>
      </w:tr>
      <w:tr w14:paraId="64FA9A1B">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A34B3DD">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2E4FA41">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656168B3">
            <w:pPr>
              <w:widowControl/>
              <w:jc w:val="left"/>
              <w:textAlignment w:val="center"/>
              <w:rPr>
                <w:rFonts w:ascii="宋体" w:hAnsi="宋体" w:cs="宋体"/>
                <w:b/>
                <w:bCs/>
                <w:szCs w:val="21"/>
              </w:rPr>
            </w:pPr>
            <w:r>
              <w:rPr>
                <w:rFonts w:hint="eastAsia" w:ascii="宋体" w:hAnsi="宋体" w:cs="宋体"/>
                <w:b/>
                <w:bCs/>
                <w:kern w:val="0"/>
                <w:szCs w:val="21"/>
                <w:lang w:bidi="ar"/>
              </w:rPr>
              <w:t>多网融合网关</w:t>
            </w:r>
          </w:p>
        </w:tc>
      </w:tr>
      <w:tr w14:paraId="0EDAE813">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CF6DA0B">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517C8D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1C80A8DD">
            <w:pPr>
              <w:widowControl/>
              <w:textAlignment w:val="center"/>
              <w:rPr>
                <w:rFonts w:ascii="宋体" w:hAnsi="宋体" w:cs="宋体"/>
                <w:sz w:val="20"/>
                <w:szCs w:val="20"/>
              </w:rPr>
            </w:pPr>
            <w:r>
              <w:rPr>
                <w:rFonts w:hint="eastAsia" w:ascii="宋体" w:hAnsi="宋体" w:cs="宋体"/>
                <w:kern w:val="0"/>
                <w:sz w:val="20"/>
                <w:szCs w:val="20"/>
                <w:lang w:bidi="ar"/>
              </w:rPr>
              <w:t>千兆电口≥9个，其中光电复用口≥2个，业务插槽数量≥4个，转发性能≥9Mpps，电源模块支持1+1冗余备份，支持热插拔， 支持交流/直流模块化供电。</w:t>
            </w:r>
          </w:p>
        </w:tc>
      </w:tr>
      <w:tr w14:paraId="227E3B61">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F05E6CF">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0747F19">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03CAB23">
            <w:pPr>
              <w:widowControl/>
              <w:textAlignment w:val="center"/>
              <w:rPr>
                <w:rFonts w:ascii="宋体" w:hAnsi="宋体" w:cs="宋体"/>
                <w:sz w:val="20"/>
                <w:szCs w:val="20"/>
              </w:rPr>
            </w:pPr>
            <w:r>
              <w:rPr>
                <w:rFonts w:hint="eastAsia" w:ascii="宋体" w:hAnsi="宋体" w:cs="宋体"/>
                <w:kern w:val="0"/>
                <w:sz w:val="20"/>
                <w:szCs w:val="20"/>
                <w:lang w:bidi="ar"/>
              </w:rPr>
              <w:t>提供MPLS L2VPN、MPLS L3VPN、MPLS QoS、MPLS 组播VPN功能</w:t>
            </w:r>
          </w:p>
        </w:tc>
      </w:tr>
      <w:tr w14:paraId="6C84B372">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FB8ADA9">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AEB19CA">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8493BB7">
            <w:pPr>
              <w:widowControl/>
              <w:textAlignment w:val="center"/>
              <w:rPr>
                <w:rFonts w:ascii="宋体" w:hAnsi="宋体" w:cs="宋体"/>
                <w:sz w:val="20"/>
                <w:szCs w:val="20"/>
              </w:rPr>
            </w:pPr>
            <w:r>
              <w:rPr>
                <w:rFonts w:hint="eastAsia" w:ascii="宋体" w:hAnsi="宋体" w:cs="宋体"/>
                <w:kern w:val="0"/>
                <w:sz w:val="20"/>
                <w:szCs w:val="20"/>
                <w:lang w:bidi="ar"/>
              </w:rPr>
              <w:t>提供L2TP、IPSec VPN、GRE VPN、组播VPN功能</w:t>
            </w:r>
          </w:p>
        </w:tc>
      </w:tr>
      <w:tr w14:paraId="6971B64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9E4FFB2">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1321D11">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1A91E101">
            <w:pPr>
              <w:widowControl/>
              <w:textAlignment w:val="center"/>
              <w:rPr>
                <w:rFonts w:ascii="宋体" w:hAnsi="宋体" w:cs="宋体"/>
                <w:sz w:val="20"/>
                <w:szCs w:val="20"/>
              </w:rPr>
            </w:pPr>
            <w:r>
              <w:rPr>
                <w:rFonts w:hint="eastAsia" w:ascii="宋体" w:hAnsi="宋体" w:cs="宋体"/>
                <w:kern w:val="0"/>
                <w:sz w:val="20"/>
                <w:szCs w:val="20"/>
                <w:lang w:bidi="ar"/>
              </w:rPr>
              <w:t>支持三级HQos调度功能。</w:t>
            </w:r>
          </w:p>
        </w:tc>
      </w:tr>
      <w:tr w14:paraId="38024C34">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4A6BD176">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54F70C3">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3A5BAF5">
            <w:pPr>
              <w:widowControl/>
              <w:textAlignment w:val="center"/>
              <w:rPr>
                <w:rFonts w:ascii="宋体" w:hAnsi="宋体" w:cs="宋体"/>
                <w:sz w:val="20"/>
                <w:szCs w:val="20"/>
              </w:rPr>
            </w:pPr>
            <w:r>
              <w:rPr>
                <w:rFonts w:hint="eastAsia" w:ascii="宋体" w:hAnsi="宋体" w:cs="宋体"/>
                <w:kern w:val="0"/>
                <w:sz w:val="20"/>
                <w:szCs w:val="20"/>
                <w:lang w:bidi="ar"/>
              </w:rPr>
              <w:t>支持NAT会话容量≥200万，L2TP汇聚容量2K</w:t>
            </w:r>
          </w:p>
        </w:tc>
      </w:tr>
      <w:tr w14:paraId="0B345CE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4B3242D4">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23A93FC">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C4C03A2">
            <w:pPr>
              <w:widowControl/>
              <w:textAlignment w:val="center"/>
              <w:rPr>
                <w:rFonts w:ascii="宋体" w:hAnsi="宋体" w:cs="宋体"/>
                <w:sz w:val="20"/>
                <w:szCs w:val="20"/>
              </w:rPr>
            </w:pPr>
            <w:r>
              <w:rPr>
                <w:rFonts w:hint="eastAsia" w:ascii="宋体" w:hAnsi="宋体" w:cs="宋体"/>
                <w:kern w:val="0"/>
                <w:sz w:val="20"/>
                <w:szCs w:val="20"/>
                <w:lang w:bidi="ar"/>
              </w:rPr>
              <w:t>支持国家密码管理局商密SM1/2/3/4加密算法，其中支持SM1硬件加密，SM2/3/4加密无需独立硬件模块即可支持</w:t>
            </w:r>
          </w:p>
        </w:tc>
      </w:tr>
      <w:tr w14:paraId="0D45DB56">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2DDF2B2">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7B48782">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3BF4EFB">
            <w:pPr>
              <w:widowControl/>
              <w:textAlignment w:val="center"/>
              <w:rPr>
                <w:rFonts w:ascii="宋体" w:hAnsi="宋体" w:cs="宋体"/>
                <w:sz w:val="20"/>
                <w:szCs w:val="20"/>
              </w:rPr>
            </w:pPr>
            <w:r>
              <w:rPr>
                <w:rFonts w:hint="eastAsia" w:ascii="宋体" w:hAnsi="宋体" w:cs="宋体"/>
                <w:kern w:val="0"/>
                <w:sz w:val="20"/>
                <w:szCs w:val="20"/>
                <w:lang w:bidi="ar"/>
              </w:rPr>
              <w:t>要求安全域认证接入网关与安全域认证管理网关、安全域认证管理系统无缝对接实时联动，实现电子政务外网终端通过安全认证系统实现基于策略组的安全域切换功能，实现同时只能访问一个电子政务外网功能区域的功能，域间切换均通过Web界面或者简易插件选择按钮来操作。</w:t>
            </w:r>
          </w:p>
        </w:tc>
      </w:tr>
      <w:tr w14:paraId="38276A7B">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4BFC384D">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608B572">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725973A">
            <w:pPr>
              <w:widowControl/>
              <w:jc w:val="left"/>
              <w:textAlignment w:val="center"/>
              <w:rPr>
                <w:rFonts w:ascii="宋体" w:hAnsi="宋体" w:cs="宋体"/>
                <w:sz w:val="20"/>
                <w:szCs w:val="20"/>
              </w:rPr>
            </w:pPr>
            <w:r>
              <w:rPr>
                <w:rFonts w:hint="eastAsia" w:ascii="宋体" w:hAnsi="宋体" w:cs="宋体"/>
                <w:kern w:val="0"/>
                <w:sz w:val="20"/>
                <w:szCs w:val="20"/>
                <w:lang w:bidi="ar"/>
              </w:rPr>
              <w:t>电子政务外网终端可通过安全域认证接入网关实名认证接入政务外网，每个用户根据实际的实名认证信息进行访问区域的权限识别和管理，可以访问经授权访问的政务外网相应区域或区域内的相对应的信息系统。</w:t>
            </w:r>
            <w:r>
              <w:rPr>
                <w:rFonts w:ascii="宋体" w:hAnsi="宋体" w:cs="宋体"/>
                <w:kern w:val="0"/>
                <w:sz w:val="20"/>
                <w:szCs w:val="20"/>
                <w:lang w:bidi="ar"/>
              </w:rPr>
              <w:t>提</w:t>
            </w:r>
            <w:r>
              <w:rPr>
                <w:rFonts w:hint="eastAsia" w:ascii="宋体" w:hAnsi="宋体" w:cs="宋体"/>
                <w:kern w:val="0"/>
                <w:sz w:val="20"/>
                <w:szCs w:val="20"/>
                <w:lang w:bidi="ar"/>
              </w:rPr>
              <w:t>供</w:t>
            </w:r>
            <w:r>
              <w:rPr>
                <w:rFonts w:ascii="宋体" w:hAnsi="宋体" w:cs="宋体"/>
                <w:kern w:val="0"/>
                <w:sz w:val="20"/>
                <w:szCs w:val="20"/>
                <w:lang w:bidi="ar"/>
              </w:rPr>
              <w:t>功能截图及售后</w:t>
            </w:r>
            <w:r>
              <w:rPr>
                <w:rFonts w:hint="eastAsia" w:ascii="宋体" w:hAnsi="宋体" w:cs="宋体"/>
                <w:kern w:val="0"/>
                <w:sz w:val="20"/>
                <w:szCs w:val="20"/>
                <w:lang w:bidi="ar"/>
              </w:rPr>
              <w:t>承诺函并加盖厂家公章</w:t>
            </w:r>
          </w:p>
        </w:tc>
      </w:tr>
      <w:tr w14:paraId="7072926D">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B2CC56D">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5F9ED125">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6ACA5D84">
            <w:pPr>
              <w:widowControl/>
              <w:textAlignment w:val="center"/>
              <w:rPr>
                <w:rFonts w:ascii="宋体" w:hAnsi="宋体" w:cs="宋体"/>
                <w:sz w:val="20"/>
                <w:szCs w:val="20"/>
              </w:rPr>
            </w:pPr>
            <w:r>
              <w:rPr>
                <w:rFonts w:hint="eastAsia" w:ascii="宋体" w:hAnsi="宋体" w:cs="宋体"/>
                <w:kern w:val="0"/>
                <w:sz w:val="20"/>
                <w:szCs w:val="20"/>
                <w:lang w:bidi="ar"/>
              </w:rPr>
              <w:t>安全域网关访问日志信息等均可以实时通过安全域认证管理系统、日志审计系统实现实名日志推送的收集方式进行日志管理功能，并可以对于非法操作进行识别和阻断。</w:t>
            </w:r>
          </w:p>
        </w:tc>
      </w:tr>
      <w:tr w14:paraId="5E3B7F63">
        <w:tblPrEx>
          <w:tblCellMar>
            <w:top w:w="0" w:type="dxa"/>
            <w:left w:w="108" w:type="dxa"/>
            <w:bottom w:w="0" w:type="dxa"/>
            <w:right w:w="108" w:type="dxa"/>
          </w:tblCellMar>
        </w:tblPrEx>
        <w:trPr>
          <w:trHeight w:val="620" w:hRule="atLeast"/>
        </w:trPr>
        <w:tc>
          <w:tcPr>
            <w:tcW w:w="302" w:type="pct"/>
            <w:vMerge w:val="restart"/>
            <w:tcBorders>
              <w:top w:val="nil"/>
              <w:left w:val="single" w:color="000000" w:sz="8" w:space="0"/>
              <w:bottom w:val="single" w:color="000000" w:sz="8" w:space="0"/>
              <w:right w:val="single" w:color="000000" w:sz="8" w:space="0"/>
            </w:tcBorders>
            <w:noWrap/>
            <w:vAlign w:val="center"/>
          </w:tcPr>
          <w:p w14:paraId="76685B00">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7</w:t>
            </w:r>
          </w:p>
        </w:tc>
        <w:tc>
          <w:tcPr>
            <w:tcW w:w="327" w:type="pct"/>
            <w:vMerge w:val="restart"/>
            <w:tcBorders>
              <w:top w:val="nil"/>
              <w:left w:val="nil"/>
              <w:bottom w:val="single" w:color="000000" w:sz="8" w:space="0"/>
              <w:right w:val="single" w:color="000000" w:sz="8" w:space="0"/>
            </w:tcBorders>
            <w:vAlign w:val="center"/>
          </w:tcPr>
          <w:p w14:paraId="1C781580">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终端安全管理授权服务</w:t>
            </w:r>
          </w:p>
        </w:tc>
        <w:tc>
          <w:tcPr>
            <w:tcW w:w="4370" w:type="pct"/>
            <w:tcBorders>
              <w:top w:val="nil"/>
              <w:left w:val="nil"/>
              <w:bottom w:val="single" w:color="000000" w:sz="8" w:space="0"/>
              <w:right w:val="single" w:color="000000" w:sz="8" w:space="0"/>
            </w:tcBorders>
            <w:vAlign w:val="center"/>
          </w:tcPr>
          <w:p w14:paraId="45DD84C6">
            <w:pPr>
              <w:widowControl/>
              <w:jc w:val="left"/>
              <w:textAlignment w:val="center"/>
              <w:rPr>
                <w:rFonts w:ascii="宋体" w:hAnsi="宋体" w:cs="宋体"/>
                <w:b/>
                <w:bCs/>
                <w:szCs w:val="21"/>
              </w:rPr>
            </w:pPr>
            <w:r>
              <w:rPr>
                <w:rFonts w:hint="eastAsia" w:ascii="宋体" w:hAnsi="宋体" w:cs="宋体"/>
                <w:b/>
                <w:bCs/>
                <w:kern w:val="0"/>
                <w:szCs w:val="21"/>
                <w:lang w:bidi="ar"/>
              </w:rPr>
              <w:t>防病毒及零信任</w:t>
            </w:r>
          </w:p>
        </w:tc>
      </w:tr>
      <w:tr w14:paraId="01201435">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B92E28A">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3D099F5A">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53303A8">
            <w:pPr>
              <w:widowControl/>
              <w:textAlignment w:val="center"/>
              <w:rPr>
                <w:rFonts w:ascii="宋体" w:hAnsi="宋体" w:cs="宋体"/>
                <w:sz w:val="20"/>
                <w:szCs w:val="20"/>
              </w:rPr>
            </w:pPr>
            <w:r>
              <w:rPr>
                <w:rFonts w:hint="eastAsia" w:ascii="宋体" w:hAnsi="宋体" w:cs="宋体"/>
                <w:kern w:val="0"/>
                <w:sz w:val="20"/>
                <w:szCs w:val="20"/>
                <w:lang w:bidi="ar"/>
              </w:rPr>
              <w:t>含200个客户端授权（防病毒授权100个，零信任授权100个）</w:t>
            </w:r>
          </w:p>
        </w:tc>
      </w:tr>
      <w:tr w14:paraId="359CB05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46B3F65E">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0FF4813">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C7CAA43">
            <w:pPr>
              <w:widowControl/>
              <w:textAlignment w:val="center"/>
              <w:rPr>
                <w:rFonts w:ascii="宋体" w:hAnsi="宋体" w:cs="宋体"/>
                <w:sz w:val="20"/>
                <w:szCs w:val="20"/>
              </w:rPr>
            </w:pPr>
            <w:r>
              <w:rPr>
                <w:rFonts w:hint="eastAsia" w:ascii="宋体" w:hAnsi="宋体" w:cs="宋体"/>
                <w:kern w:val="0"/>
                <w:sz w:val="20"/>
                <w:szCs w:val="20"/>
                <w:lang w:bidi="ar"/>
              </w:rPr>
              <w:t>可以抵御病毒、间谍软件、网络钓鱼和其它灰色软件的攻击。支持Web信誉评估及爆发阻止功能。</w:t>
            </w:r>
          </w:p>
        </w:tc>
      </w:tr>
      <w:tr w14:paraId="16E2D576">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726FE42">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DF50A56">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0C9A4F5A">
            <w:pPr>
              <w:widowControl/>
              <w:textAlignment w:val="center"/>
              <w:rPr>
                <w:rFonts w:ascii="宋体" w:hAnsi="宋体" w:cs="宋体"/>
                <w:sz w:val="20"/>
                <w:szCs w:val="20"/>
              </w:rPr>
            </w:pPr>
            <w:r>
              <w:rPr>
                <w:rFonts w:hint="eastAsia" w:ascii="宋体" w:hAnsi="宋体" w:cs="宋体"/>
                <w:kern w:val="0"/>
                <w:sz w:val="20"/>
                <w:szCs w:val="20"/>
                <w:lang w:bidi="ar"/>
              </w:rPr>
              <w:t>支持一个管理控制台同时管理Windows、信创操作系统。</w:t>
            </w:r>
          </w:p>
        </w:tc>
      </w:tr>
      <w:tr w14:paraId="777C8517">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1723D853">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552EB46E">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BCCB65A">
            <w:pPr>
              <w:widowControl/>
              <w:textAlignment w:val="center"/>
              <w:rPr>
                <w:rFonts w:ascii="宋体" w:hAnsi="宋体" w:cs="宋体"/>
                <w:sz w:val="20"/>
                <w:szCs w:val="20"/>
              </w:rPr>
            </w:pPr>
            <w:r>
              <w:rPr>
                <w:rFonts w:hint="eastAsia" w:ascii="宋体" w:hAnsi="宋体" w:cs="宋体"/>
                <w:kern w:val="0"/>
                <w:sz w:val="20"/>
                <w:szCs w:val="20"/>
                <w:lang w:bidi="ar"/>
              </w:rPr>
              <w:t>支持Windows和信创操作系统，支持国产和非国产混合使用授权</w:t>
            </w:r>
          </w:p>
        </w:tc>
      </w:tr>
      <w:tr w14:paraId="1495C7DC">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F0AC0DB">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5A959B5A">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875A709">
            <w:pPr>
              <w:widowControl/>
              <w:textAlignment w:val="center"/>
              <w:rPr>
                <w:rFonts w:ascii="宋体" w:hAnsi="宋体" w:cs="宋体"/>
                <w:sz w:val="20"/>
                <w:szCs w:val="20"/>
              </w:rPr>
            </w:pPr>
            <w:r>
              <w:rPr>
                <w:rFonts w:hint="eastAsia" w:ascii="宋体" w:hAnsi="宋体" w:cs="宋体"/>
                <w:kern w:val="0"/>
                <w:sz w:val="20"/>
                <w:szCs w:val="20"/>
                <w:lang w:bidi="ar"/>
              </w:rPr>
              <w:t>支持并实现与市级接入授权认证对接，实现一体化的安全监控</w:t>
            </w:r>
          </w:p>
        </w:tc>
      </w:tr>
      <w:tr w14:paraId="7BF20B09">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120F041">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77ADC354">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602B65EC">
            <w:pPr>
              <w:widowControl/>
              <w:textAlignment w:val="center"/>
              <w:rPr>
                <w:rFonts w:ascii="宋体" w:hAnsi="宋体" w:cs="宋体"/>
                <w:sz w:val="20"/>
                <w:szCs w:val="20"/>
              </w:rPr>
            </w:pPr>
            <w:r>
              <w:rPr>
                <w:rFonts w:hint="eastAsia" w:ascii="宋体" w:hAnsi="宋体" w:cs="宋体"/>
                <w:kern w:val="0"/>
                <w:sz w:val="20"/>
                <w:szCs w:val="20"/>
                <w:lang w:bidi="ar"/>
              </w:rPr>
              <w:t>实现接入资源网虚拟专网业务平台所需的业务权限认证，确保资源网的业务和数据安全，接入办公业务资源网虚拟专网必备的安全要求</w:t>
            </w:r>
          </w:p>
        </w:tc>
      </w:tr>
      <w:tr w14:paraId="0ED6253B">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F9E6596">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AABF525">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41E87B7C">
            <w:pPr>
              <w:widowControl/>
              <w:textAlignment w:val="center"/>
              <w:rPr>
                <w:rFonts w:ascii="宋体" w:hAnsi="宋体" w:cs="宋体"/>
                <w:sz w:val="20"/>
                <w:szCs w:val="20"/>
              </w:rPr>
            </w:pPr>
            <w:r>
              <w:rPr>
                <w:rFonts w:hint="eastAsia" w:ascii="宋体" w:hAnsi="宋体" w:cs="宋体"/>
                <w:kern w:val="0"/>
                <w:sz w:val="20"/>
                <w:szCs w:val="20"/>
                <w:lang w:bidi="ar"/>
              </w:rPr>
              <w:t>对终端资产进行监控和识别，可以对未知资产进行探测和识别求。</w:t>
            </w:r>
          </w:p>
        </w:tc>
      </w:tr>
      <w:tr w14:paraId="629B7C2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485F1276">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2542465">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104DCE7">
            <w:pPr>
              <w:widowControl/>
              <w:textAlignment w:val="center"/>
              <w:rPr>
                <w:rFonts w:ascii="宋体" w:hAnsi="宋体" w:cs="宋体"/>
                <w:sz w:val="20"/>
                <w:szCs w:val="20"/>
              </w:rPr>
            </w:pPr>
            <w:r>
              <w:rPr>
                <w:rFonts w:hint="eastAsia" w:ascii="宋体" w:hAnsi="宋体" w:cs="宋体"/>
                <w:kern w:val="0"/>
                <w:sz w:val="20"/>
                <w:szCs w:val="20"/>
                <w:lang w:bidi="ar"/>
              </w:rPr>
              <w:t>支持Windows系统、信创系统的漏洞修复；支持弱口令检测、行为审计、进程管理、违规外联、远程运维功能</w:t>
            </w:r>
          </w:p>
        </w:tc>
      </w:tr>
      <w:tr w14:paraId="14EA55A1">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1F807FF">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3576AD9">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6BAADCED">
            <w:pPr>
              <w:widowControl/>
              <w:textAlignment w:val="center"/>
              <w:rPr>
                <w:rFonts w:ascii="宋体" w:hAnsi="宋体" w:cs="宋体"/>
                <w:sz w:val="20"/>
                <w:szCs w:val="20"/>
              </w:rPr>
            </w:pPr>
            <w:r>
              <w:rPr>
                <w:rFonts w:hint="eastAsia" w:ascii="宋体" w:hAnsi="宋体" w:cs="宋体"/>
                <w:kern w:val="0"/>
                <w:sz w:val="20"/>
                <w:szCs w:val="20"/>
                <w:lang w:bidi="ar"/>
              </w:rPr>
              <w:t>支持Windows和信创操作系统，支持国产和非国产混合使用授权</w:t>
            </w:r>
          </w:p>
        </w:tc>
      </w:tr>
      <w:tr w14:paraId="3AAF8925">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CE3B9C2">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75A3120">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6A1B76F5">
            <w:pPr>
              <w:widowControl/>
              <w:textAlignment w:val="center"/>
              <w:rPr>
                <w:rFonts w:ascii="宋体" w:hAnsi="宋体" w:cs="宋体"/>
                <w:sz w:val="20"/>
                <w:szCs w:val="20"/>
              </w:rPr>
            </w:pPr>
            <w:r>
              <w:rPr>
                <w:rFonts w:hint="eastAsia" w:ascii="宋体" w:hAnsi="宋体" w:cs="宋体"/>
                <w:kern w:val="0"/>
                <w:sz w:val="20"/>
                <w:szCs w:val="20"/>
                <w:lang w:bidi="ar"/>
              </w:rPr>
              <w:t>支持并实现与市级接入授权认证对接，实现一体化的运维和接入授权监控</w:t>
            </w:r>
          </w:p>
        </w:tc>
      </w:tr>
      <w:tr w14:paraId="3CADFF8F">
        <w:tblPrEx>
          <w:tblCellMar>
            <w:top w:w="0" w:type="dxa"/>
            <w:left w:w="108" w:type="dxa"/>
            <w:bottom w:w="0" w:type="dxa"/>
            <w:right w:w="108" w:type="dxa"/>
          </w:tblCellMar>
        </w:tblPrEx>
        <w:trPr>
          <w:trHeight w:val="620" w:hRule="atLeast"/>
        </w:trPr>
        <w:tc>
          <w:tcPr>
            <w:tcW w:w="302" w:type="pct"/>
            <w:vMerge w:val="restart"/>
            <w:tcBorders>
              <w:top w:val="nil"/>
              <w:left w:val="single" w:color="000000" w:sz="8" w:space="0"/>
              <w:bottom w:val="single" w:color="000000" w:sz="8" w:space="0"/>
              <w:right w:val="single" w:color="000000" w:sz="8" w:space="0"/>
            </w:tcBorders>
            <w:noWrap/>
            <w:vAlign w:val="center"/>
          </w:tcPr>
          <w:p w14:paraId="7B2D18BE">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8</w:t>
            </w:r>
          </w:p>
        </w:tc>
        <w:tc>
          <w:tcPr>
            <w:tcW w:w="327" w:type="pct"/>
            <w:vMerge w:val="restart"/>
            <w:tcBorders>
              <w:top w:val="nil"/>
              <w:left w:val="nil"/>
              <w:bottom w:val="single" w:color="000000" w:sz="8" w:space="0"/>
              <w:right w:val="single" w:color="000000" w:sz="8" w:space="0"/>
            </w:tcBorders>
            <w:vAlign w:val="center"/>
          </w:tcPr>
          <w:p w14:paraId="0C1B3C18">
            <w:pPr>
              <w:widowControl/>
              <w:jc w:val="center"/>
              <w:textAlignment w:val="center"/>
              <w:rPr>
                <w:rFonts w:ascii="宋体" w:hAnsi="宋体" w:cs="宋体"/>
                <w:b/>
                <w:bCs/>
                <w:sz w:val="22"/>
                <w:szCs w:val="22"/>
              </w:rPr>
            </w:pPr>
            <w:r>
              <w:rPr>
                <w:rFonts w:hint="eastAsia" w:ascii="宋体" w:hAnsi="宋体" w:cs="宋体"/>
                <w:b/>
                <w:bCs/>
                <w:kern w:val="0"/>
                <w:sz w:val="22"/>
                <w:szCs w:val="22"/>
                <w:lang w:bidi="ar"/>
              </w:rPr>
              <w:t>办公业务资源网软件支持</w:t>
            </w:r>
          </w:p>
        </w:tc>
        <w:tc>
          <w:tcPr>
            <w:tcW w:w="4370" w:type="pct"/>
            <w:tcBorders>
              <w:top w:val="nil"/>
              <w:left w:val="nil"/>
              <w:bottom w:val="single" w:color="000000" w:sz="8" w:space="0"/>
              <w:right w:val="single" w:color="000000" w:sz="8" w:space="0"/>
            </w:tcBorders>
            <w:vAlign w:val="center"/>
          </w:tcPr>
          <w:p w14:paraId="0BDD1CFE">
            <w:pPr>
              <w:widowControl/>
              <w:jc w:val="left"/>
              <w:textAlignment w:val="center"/>
              <w:rPr>
                <w:rFonts w:ascii="宋体" w:hAnsi="宋体" w:cs="宋体"/>
                <w:b/>
                <w:bCs/>
                <w:szCs w:val="21"/>
              </w:rPr>
            </w:pPr>
            <w:r>
              <w:rPr>
                <w:rFonts w:hint="eastAsia" w:ascii="宋体" w:hAnsi="宋体" w:cs="宋体"/>
                <w:b/>
                <w:bCs/>
                <w:kern w:val="0"/>
                <w:szCs w:val="21"/>
                <w:lang w:bidi="ar"/>
              </w:rPr>
              <w:t>政府政务办公云平台应用软件</w:t>
            </w:r>
          </w:p>
        </w:tc>
      </w:tr>
      <w:tr w14:paraId="745CCD4E">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A31EF21">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8AFD18D">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C070522">
            <w:pPr>
              <w:widowControl/>
              <w:textAlignment w:val="center"/>
              <w:rPr>
                <w:rFonts w:ascii="宋体" w:hAnsi="宋体" w:cs="宋体"/>
                <w:sz w:val="20"/>
                <w:szCs w:val="20"/>
              </w:rPr>
            </w:pPr>
            <w:r>
              <w:rPr>
                <w:rFonts w:hint="eastAsia" w:ascii="宋体" w:hAnsi="宋体" w:cs="宋体"/>
                <w:kern w:val="0"/>
                <w:sz w:val="20"/>
                <w:szCs w:val="20"/>
                <w:lang w:bidi="ar"/>
              </w:rPr>
              <w:t>遵照平顶山市政府政务办公云平台统一设计要求，提供功能模块服务，服务包括公文流转审批和签发、阅办文的传阅签批、内部考勤、用车申请等流程审阅和签批等功能。并与市政府政务办公云平台完成对接，保障与政府公文的在线签批和流转。</w:t>
            </w:r>
          </w:p>
        </w:tc>
      </w:tr>
      <w:tr w14:paraId="76505D67">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73D0F04">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C75D2A9">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F1F7ECC">
            <w:pPr>
              <w:widowControl/>
              <w:textAlignment w:val="center"/>
              <w:rPr>
                <w:rFonts w:ascii="宋体" w:hAnsi="宋体" w:cs="宋体"/>
                <w:sz w:val="20"/>
                <w:szCs w:val="20"/>
              </w:rPr>
            </w:pPr>
            <w:r>
              <w:rPr>
                <w:rFonts w:hint="eastAsia" w:ascii="宋体" w:hAnsi="宋体" w:cs="宋体"/>
                <w:kern w:val="0"/>
                <w:sz w:val="20"/>
                <w:szCs w:val="20"/>
                <w:lang w:bidi="ar"/>
              </w:rPr>
              <w:t>政务办公云平台是完全依托全市办公业务资源网和政务办公统一技术平台标准而设计和开发的，满足各类政务办公需要，实现政务办公的信息化和自动化，提升政务办公效率，降低政务办公成本。</w:t>
            </w:r>
          </w:p>
        </w:tc>
      </w:tr>
      <w:tr w14:paraId="71C08731">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41C3E05">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A83F432">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433C0CB6">
            <w:pPr>
              <w:widowControl/>
              <w:textAlignment w:val="center"/>
              <w:rPr>
                <w:rFonts w:ascii="宋体" w:hAnsi="宋体" w:cs="宋体"/>
                <w:sz w:val="20"/>
                <w:szCs w:val="20"/>
              </w:rPr>
            </w:pPr>
            <w:r>
              <w:rPr>
                <w:rFonts w:hint="eastAsia" w:ascii="宋体" w:hAnsi="宋体" w:cs="宋体"/>
                <w:kern w:val="0"/>
                <w:sz w:val="20"/>
                <w:szCs w:val="20"/>
                <w:lang w:bidi="ar"/>
              </w:rPr>
              <w:t>其主要功能和各子业务系统有：公文审批系统、公文交换系统、阅办文签批系统、请销假审批系统、公车管理系统、出差申请管理系统、会议通知系统、人事管理系统、督察督办系统、信息采编系统、电子邮件系统等政务办公所需的各类业务子系统。平台支持领导手写签名，原笔迹签批，任务交办以及全流程进度监控等功能。</w:t>
            </w:r>
          </w:p>
        </w:tc>
      </w:tr>
      <w:tr w14:paraId="43B75D12">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20F6448">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386CCD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056D0DCE">
            <w:pPr>
              <w:widowControl/>
              <w:textAlignment w:val="center"/>
              <w:rPr>
                <w:rFonts w:ascii="宋体" w:hAnsi="宋体" w:cs="宋体"/>
                <w:sz w:val="20"/>
                <w:szCs w:val="20"/>
              </w:rPr>
            </w:pPr>
            <w:r>
              <w:rPr>
                <w:rFonts w:hint="eastAsia" w:ascii="宋体" w:hAnsi="宋体" w:cs="宋体"/>
                <w:kern w:val="0"/>
                <w:sz w:val="20"/>
                <w:szCs w:val="20"/>
                <w:lang w:bidi="ar"/>
              </w:rPr>
              <w:t>根据平顶山市政府关于政务办公平台国产化适配的相关要求，办公业务资源网中一体化政务协同办公平台须适配国产服务器，同时支持国产化和非国产化的终端设备，平台支持银河麒麟等各类国产化服务器操作系统和各类国产化和非国产化终端操作系统，适配支持国产化中间件和国产化数据库以及办公软件等，系统功能以及相关组件均兼容国产化的建设要求，且通过国家相关适配认可证书，能确保通过市政府政务办公统一技术平台对接时的标准验收，实现与市级政务办公统一技术平台的无缝对接。</w:t>
            </w:r>
          </w:p>
        </w:tc>
      </w:tr>
      <w:tr w14:paraId="5D331D34">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6C7A4F15">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B38C6C6">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C2E745E">
            <w:pPr>
              <w:widowControl/>
              <w:textAlignment w:val="center"/>
              <w:rPr>
                <w:rFonts w:ascii="宋体" w:hAnsi="宋体" w:cs="宋体"/>
                <w:sz w:val="20"/>
                <w:szCs w:val="20"/>
              </w:rPr>
            </w:pPr>
            <w:r>
              <w:rPr>
                <w:rFonts w:hint="eastAsia" w:ascii="宋体" w:hAnsi="宋体" w:cs="宋体"/>
                <w:kern w:val="0"/>
                <w:sz w:val="20"/>
                <w:szCs w:val="20"/>
                <w:lang w:bidi="ar"/>
              </w:rPr>
              <w:t>可实现与市政务办公云平台的无缝对接，可实现与各区以及市直各接入单位的流程对接，实现市直各单位与区垂直和管理单位的文件等传送，实现公文报送以及公文签收等业务协同办公。</w:t>
            </w:r>
          </w:p>
        </w:tc>
      </w:tr>
      <w:tr w14:paraId="2979E5A3">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CF432AE">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F48E813">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AFBD07B">
            <w:pPr>
              <w:widowControl/>
              <w:textAlignment w:val="center"/>
              <w:rPr>
                <w:rFonts w:ascii="宋体" w:hAnsi="宋体" w:cs="宋体"/>
                <w:sz w:val="20"/>
                <w:szCs w:val="20"/>
              </w:rPr>
            </w:pPr>
            <w:r>
              <w:rPr>
                <w:rFonts w:hint="eastAsia" w:ascii="宋体" w:hAnsi="宋体" w:cs="宋体"/>
                <w:kern w:val="0"/>
                <w:sz w:val="20"/>
                <w:szCs w:val="20"/>
                <w:lang w:bidi="ar"/>
              </w:rPr>
              <w:t>在政务办公平台基础上部署移动办公平台软件模块，提供独立APP，支持主流的安卓和IOS操作系统，提供最核心的服务帮助领导抓住零碎时间，充分满足其随时随地办公的需求。手机移动办公系统界面采用宫格式的界面风格 、操作便捷简洁、提示明确 ，几乎不用培训就能上手。手机移动办公支持收发及时消息，审批流程、门户信息阅读，写工作日记、阅读员工日记，布置任务、汇报任务，安排日程、查看日程等日常移动办公业务。</w:t>
            </w:r>
          </w:p>
        </w:tc>
      </w:tr>
      <w:tr w14:paraId="7537D813">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446B67DF">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77C9EB1">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2E0CD7C">
            <w:pPr>
              <w:widowControl/>
              <w:textAlignment w:val="center"/>
              <w:rPr>
                <w:rFonts w:ascii="宋体" w:hAnsi="宋体" w:cs="宋体"/>
                <w:sz w:val="20"/>
                <w:szCs w:val="20"/>
              </w:rPr>
            </w:pPr>
            <w:r>
              <w:rPr>
                <w:rFonts w:hint="eastAsia" w:ascii="宋体" w:hAnsi="宋体" w:cs="宋体"/>
                <w:kern w:val="0"/>
                <w:sz w:val="20"/>
                <w:szCs w:val="20"/>
                <w:lang w:bidi="ar"/>
              </w:rPr>
              <w:t>政务协同办公系统是通过信息技术、网络以及电子通讯等高科技手段，对各类办公中所形成的信息进行数字化，通过网络环境，实现各类信息有机整合与信息分布式共享，使工作人员可以通过各种办公工具（PC机、手机、Pad等相应的工具）进行办公。达到简化业务流程，随时随地处理业务，加快业务处理过程，提高办公效率的目的。</w:t>
            </w:r>
          </w:p>
        </w:tc>
      </w:tr>
      <w:tr w14:paraId="7EDCBAEC">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A693C6C">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323FEE40">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9A3E032">
            <w:pPr>
              <w:widowControl/>
              <w:textAlignment w:val="center"/>
              <w:rPr>
                <w:rFonts w:ascii="宋体" w:hAnsi="宋体" w:cs="宋体"/>
                <w:sz w:val="20"/>
                <w:szCs w:val="20"/>
              </w:rPr>
            </w:pPr>
            <w:r>
              <w:rPr>
                <w:rFonts w:hint="eastAsia" w:ascii="宋体" w:hAnsi="宋体" w:cs="宋体"/>
                <w:kern w:val="0"/>
                <w:sz w:val="20"/>
                <w:szCs w:val="20"/>
                <w:lang w:bidi="ar"/>
              </w:rPr>
              <w:t>统一工作门户系统政务门户，根据信息内容不同可以分栏目发布，通常栏目有政府动态，内部信息，内部刊物，报刊杂志，政策法规，资料文档，党、团、工会工作，党办、团委、工会的工作信息可在内部网上发布。资料检索个人门户即我的办公页面，个人门户主要的办公组件有：登录入口，快捷工作，通知通告，待办工作，已办工作，日程安排，政策法规，内部论坛，综合查询。</w:t>
            </w:r>
          </w:p>
        </w:tc>
      </w:tr>
      <w:tr w14:paraId="09F907B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4FBEAFD">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7F72E47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5B3B378">
            <w:pPr>
              <w:widowControl/>
              <w:textAlignment w:val="center"/>
              <w:rPr>
                <w:rFonts w:ascii="宋体" w:hAnsi="宋体" w:cs="宋体"/>
                <w:sz w:val="20"/>
                <w:szCs w:val="20"/>
              </w:rPr>
            </w:pPr>
            <w:r>
              <w:rPr>
                <w:rFonts w:hint="eastAsia" w:ascii="宋体" w:hAnsi="宋体" w:cs="宋体"/>
                <w:kern w:val="0"/>
                <w:sz w:val="20"/>
                <w:szCs w:val="20"/>
                <w:lang w:bidi="ar"/>
              </w:rPr>
              <w:t>全文检索，系统应提供了以下的检索功能：</w:t>
            </w:r>
          </w:p>
        </w:tc>
      </w:tr>
      <w:tr w14:paraId="0D0381C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1AAD552">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1C687B4">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850C0DC">
            <w:pPr>
              <w:widowControl/>
              <w:textAlignment w:val="center"/>
              <w:rPr>
                <w:rFonts w:ascii="宋体" w:hAnsi="宋体" w:cs="宋体"/>
                <w:sz w:val="20"/>
                <w:szCs w:val="20"/>
              </w:rPr>
            </w:pPr>
            <w:r>
              <w:rPr>
                <w:rFonts w:hint="eastAsia" w:ascii="宋体" w:hAnsi="宋体" w:cs="宋体"/>
                <w:kern w:val="0"/>
                <w:sz w:val="20"/>
                <w:szCs w:val="20"/>
                <w:lang w:bidi="ar"/>
              </w:rPr>
              <w:t>支持字、词、长句子的混合检索。</w:t>
            </w:r>
          </w:p>
        </w:tc>
      </w:tr>
      <w:tr w14:paraId="0274C08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A978A0F">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2985392">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28CAADA8">
            <w:pPr>
              <w:widowControl/>
              <w:textAlignment w:val="center"/>
              <w:rPr>
                <w:rFonts w:ascii="宋体" w:hAnsi="宋体" w:cs="宋体"/>
                <w:sz w:val="20"/>
                <w:szCs w:val="20"/>
              </w:rPr>
            </w:pPr>
            <w:r>
              <w:rPr>
                <w:rFonts w:hint="eastAsia" w:ascii="宋体" w:hAnsi="宋体" w:cs="宋体"/>
                <w:kern w:val="0"/>
                <w:sz w:val="20"/>
                <w:szCs w:val="20"/>
                <w:lang w:bidi="ar"/>
              </w:rPr>
              <w:t>中英文(全角/半角)混合检索、英文和数字的混合检索。</w:t>
            </w:r>
          </w:p>
        </w:tc>
      </w:tr>
      <w:tr w14:paraId="2088CB11">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40BCCBE">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3BA87F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05FEF1A4">
            <w:pPr>
              <w:widowControl/>
              <w:textAlignment w:val="center"/>
              <w:rPr>
                <w:rFonts w:ascii="宋体" w:hAnsi="宋体" w:cs="宋体"/>
                <w:sz w:val="20"/>
                <w:szCs w:val="20"/>
              </w:rPr>
            </w:pPr>
            <w:r>
              <w:rPr>
                <w:rFonts w:hint="eastAsia" w:ascii="宋体" w:hAnsi="宋体" w:cs="宋体"/>
                <w:kern w:val="0"/>
                <w:sz w:val="20"/>
                <w:szCs w:val="20"/>
                <w:lang w:bidi="ar"/>
              </w:rPr>
              <w:t>布尔查询。具有多个检索词逻辑运算（与、或、非、差、优先、相临、异或）功能。</w:t>
            </w:r>
          </w:p>
        </w:tc>
      </w:tr>
      <w:tr w14:paraId="7AB61BD8">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AE2FE47">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3141BEFD">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4248B78B">
            <w:pPr>
              <w:widowControl/>
              <w:textAlignment w:val="center"/>
              <w:rPr>
                <w:rFonts w:ascii="宋体" w:hAnsi="宋体" w:cs="宋体"/>
                <w:sz w:val="20"/>
                <w:szCs w:val="20"/>
              </w:rPr>
            </w:pPr>
            <w:r>
              <w:rPr>
                <w:rFonts w:hint="eastAsia" w:ascii="宋体" w:hAnsi="宋体" w:cs="宋体"/>
                <w:kern w:val="0"/>
                <w:sz w:val="20"/>
                <w:szCs w:val="20"/>
                <w:lang w:bidi="ar"/>
              </w:rPr>
              <w:t>高级检索。除了向用户提供基于全文的关键词句的检索外，系统还向用户默认提供按照标题、日期、作者、分类和文章关键词的综合检索。</w:t>
            </w:r>
          </w:p>
        </w:tc>
      </w:tr>
      <w:tr w14:paraId="32E30D46">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7573132">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7070B3B">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4469586">
            <w:pPr>
              <w:widowControl/>
              <w:textAlignment w:val="center"/>
              <w:rPr>
                <w:rFonts w:ascii="宋体" w:hAnsi="宋体" w:cs="宋体"/>
                <w:sz w:val="20"/>
                <w:szCs w:val="20"/>
              </w:rPr>
            </w:pPr>
            <w:r>
              <w:rPr>
                <w:rFonts w:hint="eastAsia" w:ascii="宋体" w:hAnsi="宋体" w:cs="宋体"/>
                <w:kern w:val="0"/>
                <w:sz w:val="20"/>
                <w:szCs w:val="20"/>
                <w:lang w:bidi="ar"/>
              </w:rPr>
              <w:t>渐近检索。用户可以在检索结果中检索，不断缩小检索范围，提高检索精度。</w:t>
            </w:r>
          </w:p>
        </w:tc>
      </w:tr>
      <w:tr w14:paraId="6B394035">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4B80F6DE">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D8B8495">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C6A0B1D">
            <w:pPr>
              <w:widowControl/>
              <w:textAlignment w:val="center"/>
              <w:rPr>
                <w:rFonts w:ascii="宋体" w:hAnsi="宋体" w:cs="宋体"/>
                <w:sz w:val="20"/>
                <w:szCs w:val="20"/>
              </w:rPr>
            </w:pPr>
            <w:r>
              <w:rPr>
                <w:rFonts w:hint="eastAsia" w:ascii="宋体" w:hAnsi="宋体" w:cs="宋体"/>
                <w:kern w:val="0"/>
                <w:sz w:val="20"/>
                <w:szCs w:val="20"/>
                <w:lang w:bidi="ar"/>
              </w:rPr>
              <w:t>临近检索。用户即使无法回忆起整个句子，也可通过相邻或者相近关键词的查询查找到准确的结果。</w:t>
            </w:r>
          </w:p>
        </w:tc>
      </w:tr>
      <w:tr w14:paraId="2949D123">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E6127F2">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046179A">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C043A9F">
            <w:pPr>
              <w:widowControl/>
              <w:textAlignment w:val="center"/>
              <w:rPr>
                <w:rFonts w:ascii="宋体" w:hAnsi="宋体" w:cs="宋体"/>
                <w:sz w:val="20"/>
                <w:szCs w:val="20"/>
              </w:rPr>
            </w:pPr>
            <w:r>
              <w:rPr>
                <w:rFonts w:hint="eastAsia" w:ascii="宋体" w:hAnsi="宋体" w:cs="宋体"/>
                <w:kern w:val="0"/>
                <w:sz w:val="20"/>
                <w:szCs w:val="20"/>
                <w:lang w:bidi="ar"/>
              </w:rPr>
              <w:t>模糊查询。支持使用通配符“*”的模糊匹配查询，并支持“?”号的单字符匹配查询。</w:t>
            </w:r>
          </w:p>
        </w:tc>
      </w:tr>
      <w:tr w14:paraId="40E58DEB">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FE8EA5C">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75737933">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69FD990E">
            <w:pPr>
              <w:widowControl/>
              <w:textAlignment w:val="center"/>
              <w:rPr>
                <w:rFonts w:ascii="宋体" w:hAnsi="宋体" w:cs="宋体"/>
                <w:sz w:val="20"/>
                <w:szCs w:val="20"/>
              </w:rPr>
            </w:pPr>
            <w:r>
              <w:rPr>
                <w:rFonts w:hint="eastAsia" w:ascii="宋体" w:hAnsi="宋体" w:cs="宋体"/>
                <w:kern w:val="0"/>
                <w:sz w:val="20"/>
                <w:szCs w:val="20"/>
                <w:lang w:bidi="ar"/>
              </w:rPr>
              <w:t>强大的检索功能</w:t>
            </w:r>
          </w:p>
        </w:tc>
      </w:tr>
      <w:tr w14:paraId="33CBEFB5">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4182566C">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03A5636">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190A1B74">
            <w:pPr>
              <w:widowControl/>
              <w:textAlignment w:val="center"/>
              <w:rPr>
                <w:rFonts w:ascii="宋体" w:hAnsi="宋体" w:cs="宋体"/>
                <w:sz w:val="20"/>
                <w:szCs w:val="20"/>
              </w:rPr>
            </w:pPr>
            <w:r>
              <w:rPr>
                <w:rFonts w:hint="eastAsia" w:ascii="宋体" w:hAnsi="宋体" w:cs="宋体"/>
                <w:kern w:val="0"/>
                <w:sz w:val="20"/>
                <w:szCs w:val="20"/>
                <w:lang w:bidi="ar"/>
              </w:rPr>
              <w:t>在数据量较大时支持多库并行检索技术，以提高检索和数据加载速度。</w:t>
            </w:r>
          </w:p>
        </w:tc>
      </w:tr>
      <w:tr w14:paraId="7A82084C">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1B7BFEE">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714AEABE">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621C80B2">
            <w:pPr>
              <w:widowControl/>
              <w:textAlignment w:val="center"/>
              <w:rPr>
                <w:rFonts w:ascii="宋体" w:hAnsi="宋体" w:cs="宋体"/>
                <w:sz w:val="20"/>
                <w:szCs w:val="20"/>
              </w:rPr>
            </w:pPr>
            <w:r>
              <w:rPr>
                <w:rFonts w:hint="eastAsia" w:ascii="宋体" w:hAnsi="宋体" w:cs="宋体"/>
                <w:kern w:val="0"/>
                <w:sz w:val="20"/>
                <w:szCs w:val="20"/>
                <w:lang w:bidi="ar"/>
              </w:rPr>
              <w:t>支持对MS OFFICE文档 (Word/</w:t>
            </w:r>
            <w:r>
              <w:rPr>
                <w:rFonts w:ascii="宋体" w:hAnsi="宋体" w:cs="宋体"/>
                <w:kern w:val="0"/>
                <w:sz w:val="20"/>
                <w:szCs w:val="20"/>
                <w:lang w:bidi="ar"/>
              </w:rPr>
              <w:t>Excel</w:t>
            </w:r>
            <w:r>
              <w:rPr>
                <w:rFonts w:hint="eastAsia" w:ascii="宋体" w:hAnsi="宋体" w:cs="宋体"/>
                <w:kern w:val="0"/>
                <w:sz w:val="20"/>
                <w:szCs w:val="20"/>
                <w:lang w:bidi="ar"/>
              </w:rPr>
              <w:t>/</w:t>
            </w:r>
            <w:r>
              <w:rPr>
                <w:rFonts w:ascii="宋体" w:hAnsi="宋体" w:cs="宋体"/>
                <w:kern w:val="0"/>
                <w:sz w:val="20"/>
                <w:szCs w:val="20"/>
                <w:lang w:bidi="ar"/>
              </w:rPr>
              <w:t>PowerPoint</w:t>
            </w:r>
            <w:r>
              <w:rPr>
                <w:rFonts w:hint="eastAsia" w:ascii="宋体" w:hAnsi="宋体" w:cs="宋体"/>
                <w:kern w:val="0"/>
                <w:sz w:val="20"/>
                <w:szCs w:val="20"/>
                <w:lang w:bidi="ar"/>
              </w:rPr>
              <w:t>)和PDF文件自动建立索引，不需加工。支持Native-XML全息索引。</w:t>
            </w:r>
          </w:p>
        </w:tc>
      </w:tr>
      <w:tr w14:paraId="195A89A7">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6985516E">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3A91D2AF">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074C68BB">
            <w:pPr>
              <w:widowControl/>
              <w:textAlignment w:val="center"/>
              <w:rPr>
                <w:rFonts w:ascii="宋体" w:hAnsi="宋体" w:cs="宋体"/>
                <w:sz w:val="20"/>
                <w:szCs w:val="20"/>
              </w:rPr>
            </w:pPr>
            <w:r>
              <w:rPr>
                <w:rFonts w:hint="eastAsia" w:ascii="宋体" w:hAnsi="宋体" w:cs="宋体"/>
                <w:kern w:val="0"/>
                <w:sz w:val="20"/>
                <w:szCs w:val="20"/>
                <w:lang w:bidi="ar"/>
              </w:rPr>
              <w:t>内嵌汉语自动分词系统，支持按词索引、按字索引、按关键词索引等多种索引策略。</w:t>
            </w:r>
          </w:p>
        </w:tc>
      </w:tr>
      <w:tr w14:paraId="5005BF02">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415F9C97">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C072D4B">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0A6140F5">
            <w:pPr>
              <w:widowControl/>
              <w:textAlignment w:val="center"/>
              <w:rPr>
                <w:rFonts w:ascii="宋体" w:hAnsi="宋体" w:cs="宋体"/>
                <w:sz w:val="20"/>
                <w:szCs w:val="20"/>
              </w:rPr>
            </w:pPr>
            <w:r>
              <w:rPr>
                <w:rFonts w:hint="eastAsia" w:ascii="宋体" w:hAnsi="宋体" w:cs="宋体"/>
                <w:kern w:val="0"/>
                <w:sz w:val="20"/>
                <w:szCs w:val="20"/>
                <w:lang w:bidi="ar"/>
              </w:rPr>
              <w:t>检索系统核心支持GB2312/GBK/GB18030，BIG5和UTF8，可支持多语言的检索。</w:t>
            </w:r>
          </w:p>
        </w:tc>
      </w:tr>
      <w:tr w14:paraId="69927D5E">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77D9EED">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79468C7D">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22887F90">
            <w:pPr>
              <w:widowControl/>
              <w:textAlignment w:val="center"/>
              <w:rPr>
                <w:rFonts w:ascii="宋体" w:hAnsi="宋体" w:cs="宋体"/>
                <w:sz w:val="20"/>
                <w:szCs w:val="20"/>
              </w:rPr>
            </w:pPr>
            <w:r>
              <w:rPr>
                <w:rFonts w:hint="eastAsia" w:ascii="宋体" w:hAnsi="宋体" w:cs="宋体"/>
                <w:kern w:val="0"/>
                <w:sz w:val="20"/>
                <w:szCs w:val="20"/>
                <w:lang w:bidi="ar"/>
              </w:rPr>
              <w:t>提供词典维护功能，可以设定和维护行业专用的词典，实现行业专业检索。</w:t>
            </w:r>
          </w:p>
        </w:tc>
      </w:tr>
      <w:tr w14:paraId="53E5671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3E078FC">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58E1C5C">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7E2D3D4">
            <w:pPr>
              <w:widowControl/>
              <w:textAlignment w:val="center"/>
              <w:rPr>
                <w:rFonts w:ascii="宋体" w:hAnsi="宋体" w:cs="宋体"/>
                <w:sz w:val="20"/>
                <w:szCs w:val="20"/>
              </w:rPr>
            </w:pPr>
            <w:r>
              <w:rPr>
                <w:rFonts w:hint="eastAsia" w:ascii="宋体" w:hAnsi="宋体" w:cs="宋体"/>
                <w:kern w:val="0"/>
                <w:sz w:val="20"/>
                <w:szCs w:val="20"/>
                <w:lang w:bidi="ar"/>
              </w:rPr>
              <w:t>全文检索应具有较高的安全性，支持系统级、数据库级、记录级和字段级四级安全控制机制，支持数据库远程镜像功能。</w:t>
            </w:r>
          </w:p>
        </w:tc>
      </w:tr>
      <w:tr w14:paraId="10BF4B88">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2B1FAE3">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0F29C26">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165D34CD">
            <w:pPr>
              <w:widowControl/>
              <w:textAlignment w:val="center"/>
              <w:rPr>
                <w:rFonts w:ascii="宋体" w:hAnsi="宋体" w:cs="宋体"/>
                <w:sz w:val="20"/>
                <w:szCs w:val="20"/>
              </w:rPr>
            </w:pPr>
            <w:r>
              <w:rPr>
                <w:rFonts w:hint="eastAsia" w:ascii="宋体" w:hAnsi="宋体" w:cs="宋体"/>
                <w:kern w:val="0"/>
                <w:sz w:val="20"/>
                <w:szCs w:val="20"/>
                <w:lang w:bidi="ar"/>
              </w:rPr>
              <w:t>检索系统支持集群架构的检索结构部署，可以随着系统数据量的增长平滑扩展系统检索能力。</w:t>
            </w:r>
          </w:p>
        </w:tc>
      </w:tr>
      <w:tr w14:paraId="7E7DB64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15C15695">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3523521E">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27122763">
            <w:pPr>
              <w:widowControl/>
              <w:textAlignment w:val="center"/>
              <w:rPr>
                <w:rFonts w:ascii="宋体" w:hAnsi="宋体" w:cs="宋体"/>
                <w:sz w:val="20"/>
                <w:szCs w:val="20"/>
              </w:rPr>
            </w:pPr>
            <w:r>
              <w:rPr>
                <w:rFonts w:hint="eastAsia" w:ascii="宋体" w:hAnsi="宋体" w:cs="宋体"/>
                <w:kern w:val="0"/>
                <w:sz w:val="20"/>
                <w:szCs w:val="20"/>
                <w:lang w:bidi="ar"/>
              </w:rPr>
              <w:t>即时通讯将系统中的人员组织信息同步到即时通讯工具；也可以实现在即时通讯工具传送文件并存储到文档库；待办流程推送到即时通讯工具，建立为相关人员提供在线沟通平台。应用人员可以以消息方式通知下一环节协作人员，协作人员可以在信息门户上以消息对话框方式接收到消息通知，能够实现资料的简便、快捷、有序地传输。</w:t>
            </w:r>
          </w:p>
        </w:tc>
      </w:tr>
      <w:tr w14:paraId="6B298811">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7C8017E">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EEDFDF1">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B33BEBF">
            <w:pPr>
              <w:widowControl/>
              <w:textAlignment w:val="center"/>
              <w:rPr>
                <w:rFonts w:ascii="宋体" w:hAnsi="宋体" w:cs="宋体"/>
                <w:sz w:val="20"/>
                <w:szCs w:val="20"/>
              </w:rPr>
            </w:pPr>
            <w:r>
              <w:rPr>
                <w:rFonts w:hint="eastAsia" w:ascii="宋体" w:hAnsi="宋体" w:cs="宋体"/>
                <w:kern w:val="0"/>
                <w:sz w:val="20"/>
                <w:szCs w:val="20"/>
                <w:lang w:bidi="ar"/>
              </w:rPr>
              <w:t>用户系统管理和设置，通过简单的方式即可实现政务办公平台个人登录页面的系统配置，个人系统管理主要功能包含：密码设置、用户组管理、主题管理、常用批注管理、工作流提醒及显示设置等等，</w:t>
            </w:r>
          </w:p>
        </w:tc>
      </w:tr>
      <w:tr w14:paraId="51C8C8BD">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355D67C">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7F121282">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35CFFA8">
            <w:pPr>
              <w:widowControl/>
              <w:textAlignment w:val="center"/>
              <w:rPr>
                <w:rFonts w:ascii="宋体" w:hAnsi="宋体" w:cs="宋体"/>
                <w:sz w:val="20"/>
                <w:szCs w:val="20"/>
              </w:rPr>
            </w:pPr>
            <w:r>
              <w:rPr>
                <w:rFonts w:hint="eastAsia" w:ascii="宋体" w:hAnsi="宋体" w:cs="宋体"/>
                <w:kern w:val="0"/>
                <w:sz w:val="20"/>
                <w:szCs w:val="20"/>
                <w:lang w:bidi="ar"/>
              </w:rPr>
              <w:t>政务协同办公系统个人办公模块作为日常办公的首页，整合用户日常办公所涉及的主要操作模块和信息，包括日程安排、待办公文、任务安排、消息提醒、通知等等。</w:t>
            </w:r>
          </w:p>
        </w:tc>
      </w:tr>
      <w:tr w14:paraId="6306A2FC">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1EC9EC7B">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381DACA">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67B34262">
            <w:pPr>
              <w:widowControl/>
              <w:textAlignment w:val="center"/>
              <w:rPr>
                <w:rFonts w:ascii="宋体" w:hAnsi="宋体" w:cs="宋体"/>
                <w:sz w:val="20"/>
                <w:szCs w:val="20"/>
              </w:rPr>
            </w:pPr>
            <w:r>
              <w:rPr>
                <w:rFonts w:hint="eastAsia" w:ascii="宋体" w:hAnsi="宋体" w:cs="宋体"/>
                <w:kern w:val="0"/>
                <w:sz w:val="20"/>
                <w:szCs w:val="20"/>
                <w:lang w:bidi="ar"/>
              </w:rPr>
              <w:t>公文主要是发文、收文、签报、请示等。不同的公文类型，流程表单格式、公文样式管理要求都不同。一个发文，发文单主要由表头、表单、正文、附件组成。最后形成发文单要实现国家规范的发文文件，要把表头、表单中的内容加入正文，最终形成一定格式的发文文件。所以在通过协同政务办公平台系统来实现发文管理的时候需要可以灵活自定义公文的类型，并需要可以实现每种类型公文的格式可以对应多个自定义模板，以此达到“规范公文形式、减少纸质公文、提高公文质量”的公文管理要求。</w:t>
            </w:r>
          </w:p>
        </w:tc>
      </w:tr>
      <w:tr w14:paraId="3CAA434D">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10A78148">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5175192">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6AA0FA2B">
            <w:pPr>
              <w:widowControl/>
              <w:textAlignment w:val="center"/>
              <w:rPr>
                <w:rFonts w:ascii="宋体" w:hAnsi="宋体" w:cs="宋体"/>
                <w:sz w:val="20"/>
                <w:szCs w:val="20"/>
              </w:rPr>
            </w:pPr>
            <w:r>
              <w:rPr>
                <w:rFonts w:hint="eastAsia" w:ascii="宋体" w:hAnsi="宋体" w:cs="宋体"/>
                <w:kern w:val="0"/>
                <w:sz w:val="20"/>
                <w:szCs w:val="20"/>
                <w:lang w:bidi="ar"/>
              </w:rPr>
              <w:t>公文管理是以公文流转为核心，实现机关公文处理和管理的电子化。支持电子公文及纸质公文扫描件的流转管理，实现公文的电子起草、审核、会签、签发、分发、登记、拟办、批阅、传阅等工作，自动处理反馈、催办、流程跟踪与统计、查询和归档等任务。</w:t>
            </w:r>
          </w:p>
        </w:tc>
      </w:tr>
      <w:tr w14:paraId="261F6F1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6AE4A83A">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116AF4E">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E503574">
            <w:pPr>
              <w:widowControl/>
              <w:textAlignment w:val="center"/>
              <w:rPr>
                <w:rFonts w:ascii="宋体" w:hAnsi="宋体" w:cs="宋体"/>
                <w:sz w:val="20"/>
                <w:szCs w:val="20"/>
              </w:rPr>
            </w:pPr>
            <w:r>
              <w:rPr>
                <w:rFonts w:hint="eastAsia" w:ascii="宋体" w:hAnsi="宋体" w:cs="宋体"/>
                <w:kern w:val="0"/>
                <w:sz w:val="20"/>
                <w:szCs w:val="20"/>
                <w:lang w:bidi="ar"/>
              </w:rPr>
              <w:t>要求支持公文单自定义和文单模拟，收文支持PDF、OFD格式公文；能够实现自动对外发布功能，能够将公文单中的信息自动带入公文中。</w:t>
            </w:r>
          </w:p>
        </w:tc>
      </w:tr>
      <w:tr w14:paraId="45F6B16D">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1EF6B2C8">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7935772C">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1329CEFE">
            <w:pPr>
              <w:widowControl/>
              <w:textAlignment w:val="center"/>
              <w:rPr>
                <w:rFonts w:ascii="宋体" w:hAnsi="宋体" w:cs="宋体"/>
                <w:sz w:val="20"/>
                <w:szCs w:val="20"/>
              </w:rPr>
            </w:pPr>
            <w:r>
              <w:rPr>
                <w:rFonts w:hint="eastAsia" w:ascii="宋体" w:hAnsi="宋体" w:cs="宋体"/>
                <w:kern w:val="0"/>
                <w:sz w:val="20"/>
                <w:szCs w:val="20"/>
                <w:lang w:bidi="ar"/>
              </w:rPr>
              <w:t>公文管理须实现与电子档案系统的数据集成对接；与政府信息公开系统相关栏目的数据集成对接。公文能够按年度/组织机构进行分类。</w:t>
            </w:r>
          </w:p>
        </w:tc>
      </w:tr>
      <w:tr w14:paraId="3D0DED0D">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401838F">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920BA12">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278F3C6D">
            <w:pPr>
              <w:widowControl/>
              <w:textAlignment w:val="center"/>
              <w:rPr>
                <w:rFonts w:ascii="宋体" w:hAnsi="宋体" w:cs="宋体"/>
                <w:sz w:val="20"/>
                <w:szCs w:val="20"/>
              </w:rPr>
            </w:pPr>
            <w:r>
              <w:rPr>
                <w:rFonts w:hint="eastAsia" w:ascii="宋体" w:hAnsi="宋体" w:cs="宋体"/>
                <w:kern w:val="0"/>
                <w:sz w:val="20"/>
                <w:szCs w:val="20"/>
                <w:lang w:bidi="ar"/>
              </w:rPr>
              <w:t>公文管理系统要求能够对所有的红头文件及非红头文件（内部请示报告、汇报材料等）进行管理，支持加签、转办、签批、修改留痕、智能表单、流程自定义及跟踪等功能。非红头文件可以由发起人自由定义流程。</w:t>
            </w:r>
          </w:p>
        </w:tc>
      </w:tr>
      <w:tr w14:paraId="46471E4A">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A4BE230">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C313CCE">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7F67DDA">
            <w:pPr>
              <w:widowControl/>
              <w:textAlignment w:val="center"/>
              <w:rPr>
                <w:rFonts w:ascii="宋体" w:hAnsi="宋体" w:cs="宋体"/>
                <w:sz w:val="20"/>
                <w:szCs w:val="20"/>
              </w:rPr>
            </w:pPr>
            <w:r>
              <w:rPr>
                <w:rFonts w:hint="eastAsia" w:ascii="宋体" w:hAnsi="宋体" w:cs="宋体"/>
                <w:kern w:val="0"/>
                <w:sz w:val="20"/>
                <w:szCs w:val="20"/>
                <w:lang w:bidi="ar"/>
              </w:rPr>
              <w:t>请假管理。主要半酣请假单模板预置，设计请假单并预置进系统进行管理，请假单录入管理，请假单分类管理，请假单审核管理，请假单归档管理，请假单统计分析，签到管理，签到数据对接，签到数据分析，签到数据报表。</w:t>
            </w:r>
          </w:p>
        </w:tc>
      </w:tr>
      <w:tr w14:paraId="578C5CE1">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161CDBB">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101E586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732163F">
            <w:pPr>
              <w:widowControl/>
              <w:textAlignment w:val="center"/>
              <w:rPr>
                <w:rFonts w:ascii="宋体" w:hAnsi="宋体" w:cs="宋体"/>
                <w:sz w:val="20"/>
                <w:szCs w:val="20"/>
              </w:rPr>
            </w:pPr>
            <w:r>
              <w:rPr>
                <w:rFonts w:hint="eastAsia" w:ascii="宋体" w:hAnsi="宋体" w:cs="宋体"/>
                <w:kern w:val="0"/>
                <w:sz w:val="20"/>
                <w:szCs w:val="20"/>
                <w:lang w:bidi="ar"/>
              </w:rPr>
              <w:t>人员外出管理是政务办公云平台中的辅助管理功能。为了便于新城区区政府内部人员相互联系，了解人员去向，防止因人员外出而影响办文、办事，需要加强对人员外出的管理。外出管理模块具备的功能如下：一、具有查询功能。二、具有权限管理功能。三、具有统计分析功能。四、具有人员去向告示牌的功能。五、具有提醒功能。在录入人员去向时，在“发送提醒给”中选择要提醒的对象。选取“同时保存到日程安排”即可将此保存到日程中。外出信息登记信息展示</w:t>
            </w:r>
          </w:p>
        </w:tc>
      </w:tr>
      <w:tr w14:paraId="6660D2C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ED41674">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96E3D80">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453A3DC7">
            <w:pPr>
              <w:widowControl/>
              <w:textAlignment w:val="center"/>
              <w:rPr>
                <w:rFonts w:ascii="宋体" w:hAnsi="宋体" w:cs="宋体"/>
                <w:sz w:val="20"/>
                <w:szCs w:val="20"/>
              </w:rPr>
            </w:pPr>
            <w:r>
              <w:rPr>
                <w:rFonts w:hint="eastAsia" w:ascii="宋体" w:hAnsi="宋体" w:cs="宋体"/>
                <w:kern w:val="0"/>
                <w:sz w:val="20"/>
                <w:szCs w:val="20"/>
                <w:lang w:bidi="ar"/>
              </w:rPr>
              <w:t>车辆管理主要包含车辆登记，用车申请，车队调度，司机管理，保养记录，车辆信息统计查询。</w:t>
            </w:r>
          </w:p>
        </w:tc>
      </w:tr>
      <w:tr w14:paraId="42E8E904">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B842F09">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90D2BF6">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95C3EFA">
            <w:pPr>
              <w:widowControl/>
              <w:textAlignment w:val="center"/>
              <w:rPr>
                <w:rFonts w:ascii="宋体" w:hAnsi="宋体" w:cs="宋体"/>
                <w:sz w:val="20"/>
                <w:szCs w:val="20"/>
              </w:rPr>
            </w:pPr>
            <w:r>
              <w:rPr>
                <w:rFonts w:hint="eastAsia" w:ascii="宋体" w:hAnsi="宋体" w:cs="宋体"/>
                <w:kern w:val="0"/>
                <w:sz w:val="20"/>
                <w:szCs w:val="20"/>
                <w:lang w:bidi="ar"/>
              </w:rPr>
              <w:t>二、政府政务办公云平台电子签章系统</w:t>
            </w:r>
          </w:p>
        </w:tc>
      </w:tr>
      <w:tr w14:paraId="485D6AD1">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C402361">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39A33C7">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0DC136BB">
            <w:pPr>
              <w:widowControl/>
              <w:textAlignment w:val="center"/>
              <w:rPr>
                <w:rFonts w:ascii="宋体" w:hAnsi="宋体" w:cs="宋体"/>
                <w:sz w:val="20"/>
                <w:szCs w:val="20"/>
              </w:rPr>
            </w:pPr>
            <w:r>
              <w:rPr>
                <w:rFonts w:hint="eastAsia" w:ascii="宋体" w:hAnsi="宋体" w:cs="宋体"/>
                <w:kern w:val="0"/>
                <w:sz w:val="20"/>
                <w:szCs w:val="20"/>
                <w:lang w:bidi="ar"/>
              </w:rPr>
              <w:t>遵照平顶山市政府政务办公云平台统一设计要求，满足印章加密体系要求，实现与市级电子印章加密体系的认证和对接，实现电子印章的制作、保存、查询和统计等功能，使用高强度加密算法或国家机要管理单位认可的硬件加密设备对印章进行加密。提供53个电子印章的授权服务，服务包括对印章进行制作和发放，对印章进行日常维护和更新，保证印章的数据安全。</w:t>
            </w:r>
          </w:p>
        </w:tc>
      </w:tr>
      <w:tr w14:paraId="710DCEFD">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42D7A752">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63AD4FF">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A0A1D2A">
            <w:pPr>
              <w:widowControl/>
              <w:textAlignment w:val="center"/>
              <w:rPr>
                <w:rFonts w:ascii="宋体" w:hAnsi="宋体" w:cs="宋体"/>
                <w:sz w:val="20"/>
                <w:szCs w:val="20"/>
              </w:rPr>
            </w:pPr>
            <w:r>
              <w:rPr>
                <w:rFonts w:hint="eastAsia" w:ascii="宋体" w:hAnsi="宋体" w:cs="宋体"/>
                <w:kern w:val="0"/>
                <w:sz w:val="20"/>
                <w:szCs w:val="20"/>
                <w:lang w:bidi="ar"/>
              </w:rPr>
              <w:t>符合全市统一印章加密认证体系，在办公资源网上实现了电子签章处理后全市办公体系的标准对接以及公文印章的双认证（指国产化和非国产化终端签章后统一的认证标识），电子签章管理中心平台支持基于国产化的硬件服务器架构及国产化的服务器操作系统，也支持非国产的基础平台部署，同时数据库完全实现了国产化数据适配。</w:t>
            </w:r>
          </w:p>
        </w:tc>
      </w:tr>
      <w:tr w14:paraId="67DBDD64">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9CAAE21">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F870952">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6A7D66C1">
            <w:pPr>
              <w:widowControl/>
              <w:textAlignment w:val="center"/>
              <w:rPr>
                <w:rFonts w:ascii="宋体" w:hAnsi="宋体" w:cs="宋体"/>
                <w:sz w:val="20"/>
                <w:szCs w:val="20"/>
              </w:rPr>
            </w:pPr>
            <w:r>
              <w:rPr>
                <w:rFonts w:hint="eastAsia" w:ascii="宋体" w:hAnsi="宋体" w:cs="宋体"/>
                <w:kern w:val="0"/>
                <w:sz w:val="20"/>
                <w:szCs w:val="20"/>
                <w:lang w:bidi="ar"/>
              </w:rPr>
              <w:t>含服务控制中心平台一套，实现与市级电子印章加密体系的认证和对接，以及CA证书的互认，终端客户端支持各类国产化终端设备和非国产化终端设备（注：国产化和非国产化支持统一签名认证，但授权机制各自独立不互通）。电子密钥产品符合国家保密 标准BMB52—2020《安全保密产品 电子签章产品技术要求》。</w:t>
            </w:r>
          </w:p>
        </w:tc>
      </w:tr>
      <w:tr w14:paraId="78C06543">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8C93904">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5A9D39AD">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CBA78FD">
            <w:pPr>
              <w:widowControl/>
              <w:textAlignment w:val="center"/>
              <w:rPr>
                <w:rFonts w:ascii="宋体" w:hAnsi="宋体" w:cs="宋体"/>
                <w:sz w:val="20"/>
                <w:szCs w:val="20"/>
              </w:rPr>
            </w:pPr>
            <w:r>
              <w:rPr>
                <w:rFonts w:hint="eastAsia" w:ascii="宋体" w:hAnsi="宋体" w:cs="宋体"/>
                <w:kern w:val="0"/>
                <w:sz w:val="20"/>
                <w:szCs w:val="20"/>
                <w:lang w:bidi="ar"/>
              </w:rPr>
              <w:t>电子签章管理系统：</w:t>
            </w:r>
          </w:p>
        </w:tc>
      </w:tr>
      <w:tr w14:paraId="2A5AB834">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7F9B600">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11C7DED1">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BBBAFF9">
            <w:pPr>
              <w:widowControl/>
              <w:textAlignment w:val="center"/>
              <w:rPr>
                <w:rFonts w:ascii="宋体" w:hAnsi="宋体" w:cs="宋体"/>
                <w:sz w:val="20"/>
                <w:szCs w:val="20"/>
              </w:rPr>
            </w:pPr>
            <w:r>
              <w:rPr>
                <w:rFonts w:hint="eastAsia" w:ascii="宋体" w:hAnsi="宋体" w:cs="宋体"/>
                <w:kern w:val="0"/>
                <w:sz w:val="20"/>
                <w:szCs w:val="20"/>
                <w:lang w:bidi="ar"/>
              </w:rPr>
              <w:t>（1）签章系统严格遵照公安部相关技术标准与国家法律法规，满足电子签章的法律合规性需求</w:t>
            </w:r>
          </w:p>
        </w:tc>
      </w:tr>
      <w:tr w14:paraId="635C1886">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5596713">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1D428FC">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4335005F">
            <w:pPr>
              <w:widowControl/>
              <w:textAlignment w:val="center"/>
              <w:rPr>
                <w:rFonts w:ascii="宋体" w:hAnsi="宋体" w:cs="宋体"/>
                <w:sz w:val="20"/>
                <w:szCs w:val="20"/>
              </w:rPr>
            </w:pPr>
            <w:r>
              <w:rPr>
                <w:rFonts w:hint="eastAsia" w:ascii="宋体" w:hAnsi="宋体" w:cs="宋体"/>
                <w:kern w:val="0"/>
                <w:sz w:val="20"/>
                <w:szCs w:val="20"/>
                <w:lang w:bidi="ar"/>
              </w:rPr>
              <w:t>（2）审计日志：提供对签章日志的查询、导出等功能。其中日志内容包含密钥盘序号、单位名称、签章名称、日志描述、操作IP等信息。同时能导出到Excel表格，包含的功能应该包括单位名称、签章名称、用户名称、日志类型、加盖类型、日志分类、日志时间、操作IP等。</w:t>
            </w:r>
          </w:p>
        </w:tc>
      </w:tr>
      <w:tr w14:paraId="687D581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F25BF9E">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63502AA">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AB40DAB">
            <w:pPr>
              <w:widowControl/>
              <w:textAlignment w:val="center"/>
              <w:rPr>
                <w:rFonts w:ascii="宋体" w:hAnsi="宋体" w:cs="宋体"/>
                <w:sz w:val="20"/>
                <w:szCs w:val="20"/>
              </w:rPr>
            </w:pPr>
            <w:r>
              <w:rPr>
                <w:rFonts w:hint="eastAsia" w:ascii="宋体" w:hAnsi="宋体" w:cs="宋体"/>
                <w:kern w:val="0"/>
                <w:sz w:val="20"/>
                <w:szCs w:val="20"/>
                <w:lang w:bidi="ar"/>
              </w:rPr>
              <w:t>（3）统计报表：支持签章统计明细报表、密钥盘统计明细报表、持章人用章统计汇总报表、持章人用章统计明细报表、日志时间段等。支持将统计后的Excel报表文件保存到本地。</w:t>
            </w:r>
          </w:p>
        </w:tc>
      </w:tr>
      <w:tr w14:paraId="12B97AC3">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BAA98F8">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ABB37A9">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0B5338DF">
            <w:pPr>
              <w:widowControl/>
              <w:textAlignment w:val="center"/>
              <w:rPr>
                <w:rFonts w:ascii="宋体" w:hAnsi="宋体" w:cs="宋体"/>
                <w:sz w:val="20"/>
                <w:szCs w:val="20"/>
              </w:rPr>
            </w:pPr>
            <w:r>
              <w:rPr>
                <w:rFonts w:hint="eastAsia" w:ascii="宋体" w:hAnsi="宋体" w:cs="宋体"/>
                <w:kern w:val="0"/>
                <w:sz w:val="20"/>
                <w:szCs w:val="20"/>
                <w:lang w:bidi="ar"/>
              </w:rPr>
              <w:t>（4）签章控制：可以对签章日期、签章次数、星期设置、允许IP段、禁止IP段、使用期限等进行控制。</w:t>
            </w:r>
          </w:p>
        </w:tc>
      </w:tr>
      <w:tr w14:paraId="48600986">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0A743B5">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5BDD71C9">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59630FBF">
            <w:pPr>
              <w:widowControl/>
              <w:textAlignment w:val="center"/>
              <w:rPr>
                <w:rFonts w:ascii="宋体" w:hAnsi="宋体" w:cs="宋体"/>
                <w:sz w:val="20"/>
                <w:szCs w:val="20"/>
              </w:rPr>
            </w:pPr>
            <w:r>
              <w:rPr>
                <w:rFonts w:hint="eastAsia" w:ascii="宋体" w:hAnsi="宋体" w:cs="宋体"/>
                <w:kern w:val="0"/>
                <w:sz w:val="20"/>
                <w:szCs w:val="20"/>
                <w:lang w:bidi="ar"/>
              </w:rPr>
              <w:t>（5）打印管理：提供Word/Excel/pdf等格式文档进行打印控制功能，控制内容主要包含控制打印机、控制打印电脑、控制打印份数。签章状态打印方式包括：签章空白打印、签章黑白打印等。</w:t>
            </w:r>
          </w:p>
        </w:tc>
      </w:tr>
      <w:tr w14:paraId="02987155">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75A2C2D">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95D93A9">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25F6A804">
            <w:pPr>
              <w:widowControl/>
              <w:textAlignment w:val="center"/>
              <w:rPr>
                <w:rFonts w:ascii="宋体" w:hAnsi="宋体" w:cs="宋体"/>
                <w:sz w:val="20"/>
                <w:szCs w:val="20"/>
              </w:rPr>
            </w:pPr>
            <w:r>
              <w:rPr>
                <w:rFonts w:hint="eastAsia" w:ascii="宋体" w:hAnsi="宋体" w:cs="宋体"/>
                <w:kern w:val="0"/>
                <w:sz w:val="20"/>
                <w:szCs w:val="20"/>
                <w:lang w:bidi="ar"/>
              </w:rPr>
              <w:t>（6）升级服务：提供客户端升级模块和服务器端升级模块，客户端升级模块，上传客户端升级包，所有连接到签章服务器的客户端自动下载升级更新；服务器端升级模块，上传服务器端升级包输入管理员密码，自动完成升级。</w:t>
            </w:r>
          </w:p>
        </w:tc>
      </w:tr>
      <w:tr w14:paraId="412EB826">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D406F1F">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1BF3B64F">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6FA5A819">
            <w:pPr>
              <w:widowControl/>
              <w:textAlignment w:val="center"/>
              <w:rPr>
                <w:rFonts w:ascii="宋体" w:hAnsi="宋体" w:cs="宋体"/>
                <w:sz w:val="20"/>
                <w:szCs w:val="20"/>
              </w:rPr>
            </w:pPr>
            <w:r>
              <w:rPr>
                <w:rFonts w:hint="eastAsia" w:ascii="宋体" w:hAnsi="宋体" w:cs="宋体"/>
                <w:kern w:val="0"/>
                <w:sz w:val="20"/>
                <w:szCs w:val="20"/>
                <w:lang w:bidi="ar"/>
              </w:rPr>
              <w:t>（7）信息校验：检测数据库中的用户密钥信息、签章信息、日志信息是否被第三方直接从数据中恶意篡改，实现数据安全性验证。校验后将显示已篡改的密钥记录。</w:t>
            </w:r>
          </w:p>
        </w:tc>
      </w:tr>
      <w:tr w14:paraId="57B5BFF6">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85B6764">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59A3C26">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290248F6">
            <w:pPr>
              <w:widowControl/>
              <w:textAlignment w:val="center"/>
              <w:rPr>
                <w:rFonts w:ascii="宋体" w:hAnsi="宋体" w:cs="宋体"/>
                <w:sz w:val="20"/>
                <w:szCs w:val="20"/>
              </w:rPr>
            </w:pPr>
            <w:r>
              <w:rPr>
                <w:rFonts w:hint="eastAsia" w:ascii="宋体" w:hAnsi="宋体" w:cs="宋体"/>
                <w:kern w:val="0"/>
                <w:sz w:val="20"/>
                <w:szCs w:val="20"/>
                <w:lang w:bidi="ar"/>
              </w:rPr>
              <w:t>（8）多语言支持：支持简体中文、繁体中文、英文等其他语言模式。</w:t>
            </w:r>
          </w:p>
        </w:tc>
      </w:tr>
      <w:tr w14:paraId="15BF0B19">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2921BDA">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A437214">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87C5B15">
            <w:pPr>
              <w:widowControl/>
              <w:textAlignment w:val="center"/>
              <w:rPr>
                <w:rFonts w:ascii="宋体" w:hAnsi="宋体" w:cs="宋体"/>
                <w:sz w:val="20"/>
                <w:szCs w:val="20"/>
              </w:rPr>
            </w:pPr>
            <w:r>
              <w:rPr>
                <w:rFonts w:hint="eastAsia" w:ascii="宋体" w:hAnsi="宋体" w:cs="宋体"/>
                <w:kern w:val="0"/>
                <w:sz w:val="20"/>
                <w:szCs w:val="20"/>
                <w:lang w:bidi="ar"/>
              </w:rPr>
              <w:t>（9）支持多种环境：支持MYSQL、ORACLE、SQLSERVER多种数据存储方式保存签章数据，以及Windows、Linux操作系统部署。</w:t>
            </w:r>
          </w:p>
        </w:tc>
      </w:tr>
      <w:tr w14:paraId="60DB8B0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D198915">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37ACE403">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7EB42AD1">
            <w:pPr>
              <w:widowControl/>
              <w:textAlignment w:val="center"/>
              <w:rPr>
                <w:rFonts w:ascii="宋体" w:hAnsi="宋体" w:cs="宋体"/>
                <w:sz w:val="20"/>
                <w:szCs w:val="20"/>
              </w:rPr>
            </w:pPr>
            <w:r>
              <w:rPr>
                <w:rFonts w:hint="eastAsia" w:ascii="宋体" w:hAnsi="宋体" w:cs="宋体"/>
                <w:kern w:val="0"/>
                <w:sz w:val="20"/>
                <w:szCs w:val="20"/>
                <w:lang w:bidi="ar"/>
              </w:rPr>
              <w:t>电子签章客户端：</w:t>
            </w:r>
          </w:p>
        </w:tc>
      </w:tr>
      <w:tr w14:paraId="1D645966">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6172B775">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8F4EAC2">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36DED37E">
            <w:pPr>
              <w:widowControl/>
              <w:textAlignment w:val="center"/>
              <w:rPr>
                <w:rFonts w:ascii="宋体" w:hAnsi="宋体" w:cs="宋体"/>
                <w:sz w:val="20"/>
                <w:szCs w:val="20"/>
              </w:rPr>
            </w:pPr>
            <w:r>
              <w:rPr>
                <w:rFonts w:hint="eastAsia" w:ascii="宋体" w:hAnsi="宋体" w:cs="宋体"/>
                <w:kern w:val="0"/>
                <w:sz w:val="20"/>
                <w:szCs w:val="20"/>
                <w:lang w:bidi="ar"/>
              </w:rPr>
              <w:t>（1）以PKI/PMI技术为基础，采用COM/ActiveX技术开发，应用，将电子印章和数字签名技术完美结合为一体。电子签章加密采用国际标准算法及国内商用密码算法，产品安全可靠。</w:t>
            </w:r>
          </w:p>
        </w:tc>
      </w:tr>
      <w:tr w14:paraId="2DCE817D">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2DC6629E">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EC20298">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noWrap/>
            <w:vAlign w:val="center"/>
          </w:tcPr>
          <w:p w14:paraId="63EA47B9">
            <w:pPr>
              <w:widowControl/>
              <w:textAlignment w:val="center"/>
              <w:rPr>
                <w:rFonts w:ascii="宋体" w:hAnsi="宋体" w:cs="宋体"/>
                <w:sz w:val="20"/>
                <w:szCs w:val="20"/>
              </w:rPr>
            </w:pPr>
            <w:r>
              <w:rPr>
                <w:rFonts w:hint="eastAsia" w:ascii="宋体" w:hAnsi="宋体" w:cs="宋体"/>
                <w:kern w:val="0"/>
                <w:sz w:val="20"/>
                <w:szCs w:val="20"/>
                <w:lang w:bidi="ar"/>
              </w:rPr>
              <w:t>（2）全面支持Microsoft Word\Excel\HTML\PDF电子文档格式应用上的电子签章。支持对微软word/excel，金山wps文字/wps表格文档进行电子签章且微软office文档用金山打开可以做到签章互签互验，反之亦然；</w:t>
            </w:r>
          </w:p>
        </w:tc>
      </w:tr>
      <w:tr w14:paraId="3453D808">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664A66DC">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F58E694">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2092A1BF">
            <w:pPr>
              <w:widowControl/>
              <w:textAlignment w:val="center"/>
              <w:rPr>
                <w:rFonts w:ascii="宋体" w:hAnsi="宋体" w:cs="宋体"/>
                <w:sz w:val="20"/>
                <w:szCs w:val="20"/>
              </w:rPr>
            </w:pPr>
            <w:r>
              <w:rPr>
                <w:rFonts w:hint="eastAsia" w:ascii="宋体" w:hAnsi="宋体" w:cs="宋体"/>
                <w:kern w:val="0"/>
                <w:sz w:val="20"/>
                <w:szCs w:val="20"/>
                <w:lang w:bidi="ar"/>
              </w:rPr>
              <w:t>（3）支持文字批注、手写签名功能，实现业务系统在Word 文档上的联合审批要求，兼容Office2003\2007\2010\2013\2016等版本，同时实现以上版本之间的互验。</w:t>
            </w:r>
          </w:p>
        </w:tc>
      </w:tr>
      <w:tr w14:paraId="05FEA059">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F9374DD">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6F7007A">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6CDA1904">
            <w:pPr>
              <w:widowControl/>
              <w:textAlignment w:val="center"/>
              <w:rPr>
                <w:rFonts w:ascii="宋体" w:hAnsi="宋体" w:cs="宋体"/>
                <w:sz w:val="20"/>
                <w:szCs w:val="20"/>
              </w:rPr>
            </w:pPr>
            <w:r>
              <w:rPr>
                <w:rFonts w:hint="eastAsia" w:ascii="宋体" w:hAnsi="宋体" w:cs="宋体"/>
                <w:kern w:val="0"/>
                <w:sz w:val="20"/>
                <w:szCs w:val="20"/>
                <w:lang w:bidi="ar"/>
              </w:rPr>
              <w:t>（4）签章验证：可验证单个印章或批量验证多个印章的有效性，检测被签名的文件名称、授权单位、 用户名称、签章时间、签章唯一序列号、计算机IP等信息，同时验证文档的内容是否被篡改，篡改后文档的签名自动失效。</w:t>
            </w:r>
          </w:p>
        </w:tc>
      </w:tr>
      <w:tr w14:paraId="7485CE5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145A2D68">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28CB5A9">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4B220E27">
            <w:pPr>
              <w:widowControl/>
              <w:textAlignment w:val="center"/>
              <w:rPr>
                <w:rFonts w:ascii="宋体" w:hAnsi="宋体" w:cs="宋体"/>
                <w:sz w:val="20"/>
                <w:szCs w:val="20"/>
              </w:rPr>
            </w:pPr>
            <w:r>
              <w:rPr>
                <w:rFonts w:hint="eastAsia" w:ascii="宋体" w:hAnsi="宋体" w:cs="宋体"/>
                <w:kern w:val="0"/>
                <w:sz w:val="20"/>
                <w:szCs w:val="20"/>
                <w:lang w:bidi="ar"/>
              </w:rPr>
              <w:t>（5）签章显示：支持OFFICE签章在有电子签章环境下可以显示红色印章，一旦离开签章环境，看到的则是黑章或无章，保证红章文件的安全性。</w:t>
            </w:r>
          </w:p>
        </w:tc>
      </w:tr>
      <w:tr w14:paraId="67F352BC">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4C4B1B68">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78673939">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2B0B34BF">
            <w:pPr>
              <w:widowControl/>
              <w:textAlignment w:val="center"/>
              <w:rPr>
                <w:rFonts w:ascii="宋体" w:hAnsi="宋体" w:cs="宋体"/>
                <w:sz w:val="20"/>
                <w:szCs w:val="20"/>
              </w:rPr>
            </w:pPr>
            <w:r>
              <w:rPr>
                <w:rFonts w:hint="eastAsia" w:ascii="宋体" w:hAnsi="宋体" w:cs="宋体"/>
                <w:kern w:val="0"/>
                <w:sz w:val="20"/>
                <w:szCs w:val="20"/>
                <w:lang w:bidi="ar"/>
              </w:rPr>
              <w:t>（6）盖章模式：支持多模式盖章方式，包括光标定位、鼠标定位、鼠标连续盖章、鼠标连续多页盖章。</w:t>
            </w:r>
          </w:p>
        </w:tc>
      </w:tr>
      <w:tr w14:paraId="7CD2D942">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CB9DDD8">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0180A8B9">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3FD5816C">
            <w:pPr>
              <w:widowControl/>
              <w:textAlignment w:val="center"/>
              <w:rPr>
                <w:rFonts w:ascii="宋体" w:hAnsi="宋体" w:cs="宋体"/>
                <w:sz w:val="20"/>
                <w:szCs w:val="20"/>
              </w:rPr>
            </w:pPr>
            <w:r>
              <w:rPr>
                <w:rFonts w:hint="eastAsia" w:ascii="宋体" w:hAnsi="宋体" w:cs="宋体"/>
                <w:kern w:val="0"/>
                <w:sz w:val="20"/>
                <w:szCs w:val="20"/>
                <w:lang w:bidi="ar"/>
              </w:rPr>
              <w:t>（7）支持文档打印控制，可以控制到打印计算机、打印机、打印份数，打印控制支持盖章人手工设置和签章服务器集中设置两种模式。</w:t>
            </w:r>
          </w:p>
        </w:tc>
      </w:tr>
      <w:tr w14:paraId="021FDC4A">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FE5BA27">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6B2349B3">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43CF4892">
            <w:pPr>
              <w:widowControl/>
              <w:textAlignment w:val="center"/>
              <w:rPr>
                <w:rFonts w:ascii="宋体" w:hAnsi="宋体" w:cs="宋体"/>
                <w:sz w:val="20"/>
                <w:szCs w:val="20"/>
              </w:rPr>
            </w:pPr>
            <w:r>
              <w:rPr>
                <w:rFonts w:hint="eastAsia" w:ascii="宋体" w:hAnsi="宋体" w:cs="宋体"/>
                <w:kern w:val="0"/>
                <w:sz w:val="20"/>
                <w:szCs w:val="20"/>
                <w:lang w:bidi="ar"/>
              </w:rPr>
              <w:t>（8）签章对文档锁定功能：包括：文档锁定模式，锁定后文档无法修改无法复制；批注锁定模式，锁定后文档无法修改，但是内容可以复制。</w:t>
            </w:r>
          </w:p>
        </w:tc>
      </w:tr>
      <w:tr w14:paraId="516D7F37">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1B52AECB">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E086628">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3343F728">
            <w:pPr>
              <w:widowControl/>
              <w:textAlignment w:val="center"/>
              <w:rPr>
                <w:rFonts w:ascii="宋体" w:hAnsi="宋体" w:cs="宋体"/>
                <w:sz w:val="20"/>
                <w:szCs w:val="20"/>
              </w:rPr>
            </w:pPr>
            <w:r>
              <w:rPr>
                <w:rFonts w:hint="eastAsia" w:ascii="宋体" w:hAnsi="宋体" w:cs="宋体"/>
                <w:kern w:val="0"/>
                <w:sz w:val="20"/>
                <w:szCs w:val="20"/>
                <w:lang w:bidi="ar"/>
              </w:rPr>
              <w:t>（8）支持打印签章水印功能，包括设置文字水印和图片水印方式。</w:t>
            </w:r>
          </w:p>
        </w:tc>
      </w:tr>
      <w:tr w14:paraId="3D7289FF">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70B637F8">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198E20E1">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7C900DE8">
            <w:pPr>
              <w:widowControl/>
              <w:textAlignment w:val="center"/>
              <w:rPr>
                <w:rFonts w:ascii="宋体" w:hAnsi="宋体" w:cs="宋体"/>
                <w:sz w:val="20"/>
                <w:szCs w:val="20"/>
              </w:rPr>
            </w:pPr>
            <w:r>
              <w:rPr>
                <w:rFonts w:hint="eastAsia" w:ascii="宋体" w:hAnsi="宋体" w:cs="宋体"/>
                <w:kern w:val="0"/>
                <w:sz w:val="20"/>
                <w:szCs w:val="20"/>
                <w:lang w:bidi="ar"/>
              </w:rPr>
              <w:t>（10）支持OFFICE\PDF签章在加盖印章时同时在印章下方显示印章加盖时间。时间位置包括居中、居上、居下、左上、左下、右上、右下。</w:t>
            </w:r>
          </w:p>
        </w:tc>
      </w:tr>
      <w:tr w14:paraId="425483B4">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6E24DA45">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16D672B8">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3BFBB4D1">
            <w:pPr>
              <w:widowControl/>
              <w:textAlignment w:val="center"/>
              <w:rPr>
                <w:rFonts w:ascii="宋体" w:hAnsi="宋体" w:cs="宋体"/>
                <w:sz w:val="20"/>
                <w:szCs w:val="20"/>
              </w:rPr>
            </w:pPr>
            <w:r>
              <w:rPr>
                <w:rFonts w:hint="eastAsia" w:ascii="宋体" w:hAnsi="宋体" w:cs="宋体"/>
                <w:kern w:val="0"/>
                <w:sz w:val="20"/>
                <w:szCs w:val="20"/>
                <w:lang w:bidi="ar"/>
              </w:rPr>
              <w:t>（11）支持签章雾化，防止签章图片被截图，打印时，签章图案为正常显示。</w:t>
            </w:r>
          </w:p>
        </w:tc>
      </w:tr>
      <w:tr w14:paraId="5C8E174E">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3F4D58B2">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1550895F">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4DB2B9C8">
            <w:pPr>
              <w:widowControl/>
              <w:textAlignment w:val="center"/>
              <w:rPr>
                <w:rFonts w:ascii="宋体" w:hAnsi="宋体" w:cs="宋体"/>
                <w:sz w:val="20"/>
                <w:szCs w:val="20"/>
              </w:rPr>
            </w:pPr>
            <w:r>
              <w:rPr>
                <w:rFonts w:hint="eastAsia" w:ascii="宋体" w:hAnsi="宋体" w:cs="宋体"/>
                <w:kern w:val="0"/>
                <w:sz w:val="20"/>
                <w:szCs w:val="20"/>
                <w:lang w:bidi="ar"/>
              </w:rPr>
              <w:t>（12）HTML签章支持多种主流浏览器，包括IE、Google、Firefox、Safari等，方便用户在多种操作系统环境中不同浏览器中做网页盖章操作。</w:t>
            </w:r>
          </w:p>
        </w:tc>
      </w:tr>
      <w:tr w14:paraId="633E093D">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220E985">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53AB7985">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7461B3DD">
            <w:pPr>
              <w:widowControl/>
              <w:textAlignment w:val="center"/>
              <w:rPr>
                <w:rFonts w:ascii="宋体" w:hAnsi="宋体" w:cs="宋体"/>
                <w:sz w:val="20"/>
                <w:szCs w:val="20"/>
              </w:rPr>
            </w:pPr>
            <w:r>
              <w:rPr>
                <w:rFonts w:hint="eastAsia" w:ascii="宋体" w:hAnsi="宋体" w:cs="宋体"/>
                <w:kern w:val="0"/>
                <w:sz w:val="20"/>
                <w:szCs w:val="20"/>
                <w:lang w:bidi="ar"/>
              </w:rPr>
              <w:t>（13）后台服务器自动批量盖章功能,实现无人值守大批量PDF文档自动盖章：自动PDF盖章、PDF数字签名、PDF加密、PDF域签名和PDF水印等</w:t>
            </w:r>
          </w:p>
        </w:tc>
      </w:tr>
      <w:tr w14:paraId="1101AB0C">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5DF54EFC">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26E413FB">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16DF5662">
            <w:pPr>
              <w:widowControl/>
              <w:textAlignment w:val="center"/>
              <w:rPr>
                <w:rFonts w:ascii="宋体" w:hAnsi="宋体" w:cs="宋体"/>
                <w:sz w:val="20"/>
                <w:szCs w:val="20"/>
              </w:rPr>
            </w:pPr>
            <w:r>
              <w:rPr>
                <w:rFonts w:hint="eastAsia" w:ascii="宋体" w:hAnsi="宋体" w:cs="宋体"/>
                <w:kern w:val="0"/>
                <w:sz w:val="20"/>
                <w:szCs w:val="20"/>
                <w:lang w:bidi="ar"/>
              </w:rPr>
              <w:t>（14）支持多key多CA技术：支持多家CA的数字证书和多家硬件key厂商的对接和电子签章。</w:t>
            </w:r>
          </w:p>
        </w:tc>
      </w:tr>
      <w:tr w14:paraId="2887C01B">
        <w:tblPrEx>
          <w:tblCellMar>
            <w:top w:w="0" w:type="dxa"/>
            <w:left w:w="108" w:type="dxa"/>
            <w:bottom w:w="0" w:type="dxa"/>
            <w:right w:w="108" w:type="dxa"/>
          </w:tblCellMar>
        </w:tblPrEx>
        <w:trPr>
          <w:trHeight w:val="620" w:hRule="atLeast"/>
        </w:trPr>
        <w:tc>
          <w:tcPr>
            <w:tcW w:w="302" w:type="pct"/>
            <w:vMerge w:val="continue"/>
            <w:tcBorders>
              <w:top w:val="nil"/>
              <w:left w:val="single" w:color="000000" w:sz="8" w:space="0"/>
              <w:bottom w:val="single" w:color="000000" w:sz="8" w:space="0"/>
              <w:right w:val="single" w:color="000000" w:sz="8" w:space="0"/>
            </w:tcBorders>
            <w:noWrap/>
            <w:vAlign w:val="center"/>
          </w:tcPr>
          <w:p w14:paraId="080B9CBE">
            <w:pPr>
              <w:jc w:val="center"/>
              <w:rPr>
                <w:rFonts w:ascii="宋体" w:hAnsi="宋体" w:cs="宋体"/>
                <w:b/>
                <w:bCs/>
                <w:sz w:val="22"/>
                <w:szCs w:val="22"/>
              </w:rPr>
            </w:pPr>
          </w:p>
        </w:tc>
        <w:tc>
          <w:tcPr>
            <w:tcW w:w="327" w:type="pct"/>
            <w:vMerge w:val="continue"/>
            <w:tcBorders>
              <w:top w:val="nil"/>
              <w:left w:val="nil"/>
              <w:bottom w:val="single" w:color="000000" w:sz="8" w:space="0"/>
              <w:right w:val="single" w:color="000000" w:sz="8" w:space="0"/>
            </w:tcBorders>
            <w:vAlign w:val="center"/>
          </w:tcPr>
          <w:p w14:paraId="4088CD09">
            <w:pPr>
              <w:jc w:val="center"/>
              <w:rPr>
                <w:rFonts w:ascii="宋体" w:hAnsi="宋体" w:cs="宋体"/>
                <w:b/>
                <w:bCs/>
                <w:sz w:val="22"/>
                <w:szCs w:val="22"/>
              </w:rPr>
            </w:pPr>
          </w:p>
        </w:tc>
        <w:tc>
          <w:tcPr>
            <w:tcW w:w="4370" w:type="pct"/>
            <w:tcBorders>
              <w:top w:val="nil"/>
              <w:left w:val="nil"/>
              <w:bottom w:val="single" w:color="000000" w:sz="8" w:space="0"/>
              <w:right w:val="single" w:color="000000" w:sz="8" w:space="0"/>
            </w:tcBorders>
            <w:vAlign w:val="center"/>
          </w:tcPr>
          <w:p w14:paraId="5B2EABF5">
            <w:pPr>
              <w:widowControl/>
              <w:textAlignment w:val="center"/>
              <w:rPr>
                <w:rFonts w:ascii="宋体" w:hAnsi="宋体" w:cs="宋体"/>
                <w:sz w:val="20"/>
                <w:szCs w:val="20"/>
              </w:rPr>
            </w:pPr>
            <w:r>
              <w:rPr>
                <w:rFonts w:hint="eastAsia" w:ascii="宋体" w:hAnsi="宋体" w:cs="宋体"/>
                <w:kern w:val="0"/>
                <w:sz w:val="20"/>
                <w:szCs w:val="20"/>
                <w:lang w:bidi="ar"/>
              </w:rPr>
              <w:t>（15）提供必要的数据交换接口和二次开发服务，可与第三方业务系统实现无缝集成。</w:t>
            </w:r>
          </w:p>
        </w:tc>
      </w:tr>
    </w:tbl>
    <w:p w14:paraId="45AF92DB">
      <w:pPr>
        <w:pStyle w:val="25"/>
        <w:ind w:firstLine="210"/>
        <w:rPr>
          <w:lang w:val="en-US"/>
        </w:rPr>
      </w:pPr>
    </w:p>
    <w:p w14:paraId="7BA1B23F">
      <w:pPr>
        <w:spacing w:line="360" w:lineRule="auto"/>
        <w:outlineLvl w:val="2"/>
        <w:rPr>
          <w:b/>
          <w:bCs/>
          <w:sz w:val="24"/>
        </w:rPr>
      </w:pPr>
      <w:r>
        <w:rPr>
          <w:rFonts w:hint="eastAsia"/>
          <w:b/>
          <w:bCs/>
          <w:sz w:val="24"/>
        </w:rPr>
        <w:t>（四）其它要求</w:t>
      </w:r>
    </w:p>
    <w:p w14:paraId="0540212A">
      <w:pPr>
        <w:adjustRightInd w:val="0"/>
        <w:snapToGrid w:val="0"/>
        <w:spacing w:line="360" w:lineRule="auto"/>
        <w:ind w:firstLine="480" w:firstLineChars="200"/>
        <w:rPr>
          <w:sz w:val="24"/>
        </w:rPr>
      </w:pPr>
      <w:r>
        <w:rPr>
          <w:rFonts w:hint="eastAsia"/>
          <w:sz w:val="24"/>
        </w:rPr>
        <w:t>1、投标人须明确投标产品的厂家、产地、品牌、型号、详细参数。</w:t>
      </w:r>
    </w:p>
    <w:p w14:paraId="0844E88E">
      <w:pPr>
        <w:adjustRightInd w:val="0"/>
        <w:snapToGrid w:val="0"/>
        <w:spacing w:line="360" w:lineRule="auto"/>
        <w:ind w:firstLine="480" w:firstLineChars="200"/>
        <w:rPr>
          <w:sz w:val="24"/>
        </w:rPr>
      </w:pPr>
      <w:r>
        <w:rPr>
          <w:rFonts w:hint="eastAsia"/>
          <w:sz w:val="24"/>
        </w:rPr>
        <w:t>2、本招标文件所列需求为最低要求，投标人投报货物服务不得低于最低要求。</w:t>
      </w:r>
    </w:p>
    <w:p w14:paraId="569A4E13">
      <w:pPr>
        <w:adjustRightInd w:val="0"/>
        <w:snapToGrid w:val="0"/>
        <w:spacing w:line="360" w:lineRule="auto"/>
        <w:ind w:firstLine="480" w:firstLineChars="200"/>
        <w:rPr>
          <w:sz w:val="24"/>
        </w:rPr>
      </w:pPr>
      <w:r>
        <w:rPr>
          <w:rFonts w:hint="eastAsia"/>
          <w:sz w:val="24"/>
        </w:rPr>
        <w:t>3、中标人须提供驻场服务，安排5名采购人认可的技术咨询服务人员驻场工作，并根据工作需要，随时增派人员力量到岗开展工作。工作期间与采购人业务管理部门同步上下班(回原单位培训学习、汇报工作等除外)，其他时间保证随叫随到，7*24小时手机保持畅通。</w:t>
      </w:r>
    </w:p>
    <w:p w14:paraId="78B21B78">
      <w:pPr>
        <w:adjustRightInd w:val="0"/>
        <w:snapToGrid w:val="0"/>
        <w:spacing w:line="360" w:lineRule="auto"/>
        <w:ind w:firstLine="480" w:firstLineChars="200"/>
        <w:rPr>
          <w:sz w:val="24"/>
        </w:rPr>
      </w:pPr>
      <w:r>
        <w:rPr>
          <w:rFonts w:hint="eastAsia"/>
          <w:sz w:val="24"/>
        </w:rPr>
        <w:t>4、服务期三年内新增的项目，中标人应免费提供。</w:t>
      </w:r>
    </w:p>
    <w:p w14:paraId="1A01D513">
      <w:pPr>
        <w:adjustRightInd w:val="0"/>
        <w:snapToGrid w:val="0"/>
        <w:spacing w:line="360" w:lineRule="auto"/>
        <w:ind w:firstLine="480" w:firstLineChars="200"/>
        <w:rPr>
          <w:sz w:val="24"/>
        </w:rPr>
      </w:pPr>
      <w:r>
        <w:rPr>
          <w:rFonts w:hint="eastAsia"/>
          <w:sz w:val="24"/>
        </w:rPr>
        <w:t>5、各点位终端接入安全域设备（即各点位硬件设备含安全域接入网关、接入防火墙及交换机）三年服务期满后归采购人所有。</w:t>
      </w:r>
    </w:p>
    <w:p w14:paraId="63D4D25D">
      <w:pPr>
        <w:pStyle w:val="26"/>
        <w:ind w:firstLine="385" w:firstLineChars="175"/>
        <w:rPr>
          <w:lang w:val="en-US"/>
        </w:rPr>
      </w:pPr>
    </w:p>
    <w:p w14:paraId="03957A9A">
      <w:pPr>
        <w:pStyle w:val="4"/>
        <w:spacing w:line="360" w:lineRule="auto"/>
        <w:ind w:left="0" w:right="76"/>
        <w:rPr>
          <w:sz w:val="24"/>
        </w:rPr>
      </w:pPr>
      <w:r>
        <w:rPr>
          <w:rFonts w:ascii="宋体" w:hAnsi="宋体" w:eastAsia="宋体" w:cs="仿宋"/>
          <w:b/>
          <w:bCs/>
          <w:sz w:val="24"/>
          <w:szCs w:val="24"/>
        </w:rPr>
        <w:br w:type="page"/>
      </w:r>
      <w:r>
        <w:rPr>
          <w:rFonts w:hint="eastAsia" w:ascii="宋体" w:hAnsi="宋体" w:eastAsia="宋体" w:cs="仿宋"/>
          <w:b/>
          <w:bCs/>
          <w:sz w:val="24"/>
          <w:szCs w:val="24"/>
        </w:rPr>
        <w:t>二、</w:t>
      </w:r>
      <w:r>
        <w:rPr>
          <w:rFonts w:ascii="宋体" w:hAnsi="宋体" w:eastAsia="宋体" w:cs="仿宋"/>
          <w:b/>
          <w:bCs/>
          <w:sz w:val="24"/>
          <w:szCs w:val="24"/>
        </w:rPr>
        <w:t>技术需求描述</w:t>
      </w:r>
      <w:bookmarkEnd w:id="107"/>
      <w:bookmarkEnd w:id="108"/>
      <w:bookmarkEnd w:id="109"/>
      <w:bookmarkEnd w:id="110"/>
      <w:bookmarkEnd w:id="111"/>
      <w:bookmarkEnd w:id="112"/>
      <w:bookmarkEnd w:id="113"/>
      <w:bookmarkEnd w:id="114"/>
      <w:bookmarkEnd w:id="115"/>
      <w:bookmarkEnd w:id="116"/>
    </w:p>
    <w:p w14:paraId="7FFFD944">
      <w:pPr>
        <w:spacing w:line="360" w:lineRule="auto"/>
        <w:outlineLvl w:val="2"/>
        <w:rPr>
          <w:b/>
          <w:bCs/>
          <w:sz w:val="24"/>
        </w:rPr>
      </w:pPr>
      <w:r>
        <w:rPr>
          <w:b/>
          <w:bCs/>
          <w:sz w:val="24"/>
        </w:rPr>
        <w:t>（一）</w:t>
      </w:r>
      <w:r>
        <w:rPr>
          <w:rFonts w:hint="eastAsia"/>
          <w:b/>
          <w:bCs/>
          <w:sz w:val="24"/>
        </w:rPr>
        <w:t>区城域网基础网络服务需求</w:t>
      </w:r>
    </w:p>
    <w:p w14:paraId="153EF6B3">
      <w:pPr>
        <w:pStyle w:val="6"/>
        <w:adjustRightInd w:val="0"/>
        <w:snapToGrid w:val="0"/>
        <w:spacing w:before="240" w:after="180" w:line="360" w:lineRule="auto"/>
      </w:pPr>
      <w:bookmarkStart w:id="117" w:name="_Toc13094"/>
      <w:bookmarkStart w:id="118" w:name="_Toc153"/>
      <w:r>
        <w:t>1、提供基础数据传输网络覆盖</w:t>
      </w:r>
      <w:bookmarkEnd w:id="117"/>
      <w:bookmarkEnd w:id="118"/>
    </w:p>
    <w:p w14:paraId="2B8AE135">
      <w:pPr>
        <w:adjustRightInd w:val="0"/>
        <w:snapToGrid w:val="0"/>
        <w:spacing w:line="360" w:lineRule="auto"/>
        <w:ind w:firstLine="480" w:firstLineChars="200"/>
        <w:rPr>
          <w:sz w:val="24"/>
        </w:rPr>
      </w:pPr>
      <w:r>
        <w:rPr>
          <w:sz w:val="24"/>
        </w:rPr>
        <w:t>基础网络覆盖包括区政府到乡（镇）、街道办和区政府政务外网中心节点到区直各有关单位的电子政务外网城域网。</w:t>
      </w:r>
    </w:p>
    <w:p w14:paraId="09EE803B">
      <w:pPr>
        <w:adjustRightInd w:val="0"/>
        <w:snapToGrid w:val="0"/>
        <w:spacing w:line="360" w:lineRule="auto"/>
        <w:ind w:firstLine="480"/>
        <w:rPr>
          <w:sz w:val="24"/>
        </w:rPr>
      </w:pPr>
      <w:r>
        <w:rPr>
          <w:sz w:val="24"/>
        </w:rPr>
        <w:t>根据国家电子政务外网建设要求，区电子政务外网城域网应采用专网光纤专线接入，且符合国家电子政务外网网络技术相关要求。</w:t>
      </w:r>
    </w:p>
    <w:p w14:paraId="1DB9FFF9">
      <w:pPr>
        <w:adjustRightInd w:val="0"/>
        <w:snapToGrid w:val="0"/>
        <w:spacing w:line="360" w:lineRule="auto"/>
        <w:ind w:firstLine="480"/>
        <w:rPr>
          <w:sz w:val="24"/>
        </w:rPr>
      </w:pPr>
      <w:r>
        <w:rPr>
          <w:sz w:val="24"/>
        </w:rPr>
        <w:t>202</w:t>
      </w:r>
      <w:r>
        <w:rPr>
          <w:rFonts w:hint="eastAsia"/>
          <w:sz w:val="24"/>
        </w:rPr>
        <w:t>5</w:t>
      </w:r>
      <w:r>
        <w:rPr>
          <w:sz w:val="24"/>
        </w:rPr>
        <w:t>年度线路要求为：区政务外网城域网采用</w:t>
      </w:r>
      <w:r>
        <w:rPr>
          <w:rFonts w:hint="eastAsia"/>
          <w:sz w:val="24"/>
        </w:rPr>
        <w:t>专线</w:t>
      </w:r>
      <w:r>
        <w:rPr>
          <w:sz w:val="24"/>
        </w:rPr>
        <w:t>传输线路连接，接入的带宽50M，预计接入点位为</w:t>
      </w:r>
      <w:r>
        <w:rPr>
          <w:rFonts w:hint="eastAsia"/>
          <w:sz w:val="24"/>
        </w:rPr>
        <w:t>24</w:t>
      </w:r>
      <w:r>
        <w:rPr>
          <w:sz w:val="24"/>
        </w:rPr>
        <w:t>个。</w:t>
      </w:r>
    </w:p>
    <w:p w14:paraId="039DB134">
      <w:pPr>
        <w:pStyle w:val="6"/>
        <w:adjustRightInd w:val="0"/>
        <w:snapToGrid w:val="0"/>
        <w:spacing w:before="240" w:after="180" w:line="360" w:lineRule="auto"/>
      </w:pPr>
      <w:bookmarkStart w:id="119" w:name="_Toc22103"/>
      <w:bookmarkStart w:id="120" w:name="_Toc24885"/>
      <w:r>
        <w:t>2、提供区本级政务外网统一互联网出口的链路</w:t>
      </w:r>
      <w:bookmarkEnd w:id="119"/>
      <w:bookmarkEnd w:id="120"/>
    </w:p>
    <w:p w14:paraId="53A3BEC7">
      <w:pPr>
        <w:adjustRightInd w:val="0"/>
        <w:snapToGrid w:val="0"/>
        <w:spacing w:line="360" w:lineRule="auto"/>
        <w:ind w:firstLine="480" w:firstLineChars="200"/>
        <w:rPr>
          <w:sz w:val="24"/>
        </w:rPr>
      </w:pPr>
      <w:r>
        <w:rPr>
          <w:sz w:val="24"/>
        </w:rPr>
        <w:t>统一的互联网出口可以起到集中管控，集中使用的效果，可以极大地节省财政资源。根据实际需要，202</w:t>
      </w:r>
      <w:r>
        <w:rPr>
          <w:rFonts w:hint="eastAsia"/>
          <w:sz w:val="24"/>
        </w:rPr>
        <w:t>5</w:t>
      </w:r>
      <w:r>
        <w:rPr>
          <w:sz w:val="24"/>
        </w:rPr>
        <w:t>年度区电子政务外网互联网出口使用</w:t>
      </w:r>
      <w:r>
        <w:rPr>
          <w:rFonts w:hint="eastAsia"/>
          <w:sz w:val="24"/>
        </w:rPr>
        <w:t>2</w:t>
      </w:r>
      <w:r>
        <w:rPr>
          <w:sz w:val="24"/>
        </w:rPr>
        <w:t>条互联网线路作为统一互联网出口，线路带宽为500M。</w:t>
      </w:r>
      <w:bookmarkStart w:id="121" w:name="_Toc11714"/>
      <w:bookmarkStart w:id="122" w:name="_Toc23646"/>
    </w:p>
    <w:p w14:paraId="4BDABC8C">
      <w:pPr>
        <w:pStyle w:val="6"/>
        <w:adjustRightInd w:val="0"/>
        <w:snapToGrid w:val="0"/>
        <w:spacing w:before="240" w:after="180" w:line="360" w:lineRule="auto"/>
      </w:pPr>
      <w:r>
        <w:t>3、提供区级核心节点和区本级政务外网统一互联网出口的路由、交换及相关安全设施服务</w:t>
      </w:r>
      <w:bookmarkEnd w:id="121"/>
      <w:bookmarkEnd w:id="122"/>
    </w:p>
    <w:p w14:paraId="2180220D">
      <w:pPr>
        <w:adjustRightInd w:val="0"/>
        <w:snapToGrid w:val="0"/>
        <w:spacing w:line="360" w:lineRule="auto"/>
        <w:ind w:firstLine="480" w:firstLineChars="200"/>
        <w:rPr>
          <w:sz w:val="24"/>
        </w:rPr>
      </w:pPr>
      <w:r>
        <w:rPr>
          <w:sz w:val="24"/>
        </w:rPr>
        <w:t>区级核心节点的路由、交换设备应符合国家和省、市电子政务有关文件的要求。</w:t>
      </w:r>
    </w:p>
    <w:p w14:paraId="4BA7025F">
      <w:pPr>
        <w:adjustRightInd w:val="0"/>
        <w:snapToGrid w:val="0"/>
        <w:spacing w:line="360" w:lineRule="auto"/>
        <w:ind w:firstLine="480" w:firstLineChars="200"/>
        <w:rPr>
          <w:sz w:val="24"/>
        </w:rPr>
      </w:pPr>
      <w:r>
        <w:rPr>
          <w:sz w:val="24"/>
        </w:rPr>
        <w:t>应提供区本级政务外网统一互联网出口的网关接入和安全防范设施。对于统一互联网出口的解决方案应根据电子政务外网的应用现状，为各接入委办局提供统一互联网出口服务，需要对互联网出口做统一的规划。</w:t>
      </w:r>
    </w:p>
    <w:p w14:paraId="6112D272">
      <w:pPr>
        <w:adjustRightInd w:val="0"/>
        <w:snapToGrid w:val="0"/>
        <w:spacing w:line="360" w:lineRule="auto"/>
        <w:ind w:firstLine="480" w:firstLineChars="200"/>
        <w:rPr>
          <w:sz w:val="24"/>
        </w:rPr>
      </w:pPr>
      <w:r>
        <w:rPr>
          <w:sz w:val="24"/>
        </w:rPr>
        <w:t>优化网关设备以提高互联网的用户访问体验，还需提供VPN安全接入平台的解决方案，安全域认证管理和局域网接入解决方案。</w:t>
      </w:r>
    </w:p>
    <w:p w14:paraId="2A205ABF">
      <w:pPr>
        <w:pStyle w:val="6"/>
        <w:adjustRightInd w:val="0"/>
        <w:snapToGrid w:val="0"/>
        <w:spacing w:before="240" w:after="180" w:line="360" w:lineRule="auto"/>
      </w:pPr>
      <w:bookmarkStart w:id="123" w:name="_Toc19000"/>
      <w:bookmarkStart w:id="124" w:name="_Toc5720"/>
      <w:bookmarkStart w:id="125" w:name="_Toc20968"/>
      <w:r>
        <w:t>4、服务规范性描述</w:t>
      </w:r>
      <w:bookmarkEnd w:id="123"/>
      <w:bookmarkEnd w:id="124"/>
    </w:p>
    <w:p w14:paraId="36462A7A">
      <w:pPr>
        <w:spacing w:line="360" w:lineRule="auto"/>
        <w:ind w:firstLine="482" w:firstLineChars="200"/>
        <w:outlineLvl w:val="3"/>
        <w:rPr>
          <w:b/>
          <w:bCs/>
          <w:sz w:val="24"/>
        </w:rPr>
      </w:pPr>
      <w:bookmarkStart w:id="126" w:name="_Toc7073"/>
      <w:bookmarkStart w:id="127" w:name="_Toc7864"/>
      <w:r>
        <w:rPr>
          <w:b/>
          <w:bCs/>
          <w:sz w:val="24"/>
        </w:rPr>
        <w:t>（1）网络系统的可靠性要求</w:t>
      </w:r>
      <w:bookmarkEnd w:id="125"/>
      <w:bookmarkEnd w:id="126"/>
      <w:bookmarkEnd w:id="127"/>
    </w:p>
    <w:p w14:paraId="3CD86309">
      <w:pPr>
        <w:spacing w:line="360" w:lineRule="auto"/>
        <w:ind w:firstLine="480" w:firstLineChars="200"/>
        <w:rPr>
          <w:sz w:val="24"/>
        </w:rPr>
      </w:pPr>
      <w:r>
        <w:rPr>
          <w:sz w:val="24"/>
        </w:rPr>
        <w:t>政府行业信息化建设必须保障信息系统的全面可靠，而作为信息系统基础平台的网络系统平台，必须充分保障网络系统的可靠性，保障政府部门内部各种应用的正常开展。只有稳定的政府信息系统，才能提供高效的政府部门内部办公的应用需要。</w:t>
      </w:r>
    </w:p>
    <w:p w14:paraId="545C2C81">
      <w:pPr>
        <w:spacing w:line="360" w:lineRule="auto"/>
        <w:ind w:firstLine="480" w:firstLineChars="200"/>
        <w:rPr>
          <w:sz w:val="24"/>
        </w:rPr>
      </w:pPr>
      <w:r>
        <w:rPr>
          <w:sz w:val="24"/>
        </w:rPr>
        <w:t>政府行业信息系统主要是提供政府内部的重要公文的传递，办公系统的开展，同时为公众、企业提供公开的信息服务。没有可靠的网络系统，不仅无法确保各种公文及办公系统的正常开展，极大的降低了政府部门内部的办公效率，同时，无法为公众、企业提供稳定的公开信息服务，严重损害政府部门的形象。</w:t>
      </w:r>
    </w:p>
    <w:p w14:paraId="6F2441B4">
      <w:pPr>
        <w:spacing w:line="360" w:lineRule="auto"/>
        <w:ind w:firstLine="480" w:firstLineChars="200"/>
        <w:rPr>
          <w:sz w:val="24"/>
        </w:rPr>
      </w:pPr>
      <w:r>
        <w:rPr>
          <w:sz w:val="24"/>
        </w:rPr>
        <w:t>网络线路要求年故障率低于1%，线路故障除不可抗力因素情况下4小时内解决完毕。</w:t>
      </w:r>
    </w:p>
    <w:p w14:paraId="5CF9855C">
      <w:pPr>
        <w:spacing w:line="360" w:lineRule="auto"/>
        <w:ind w:firstLine="482" w:firstLineChars="200"/>
        <w:outlineLvl w:val="3"/>
        <w:rPr>
          <w:b/>
          <w:bCs/>
          <w:sz w:val="24"/>
        </w:rPr>
      </w:pPr>
      <w:bookmarkStart w:id="128" w:name="_Toc296429900"/>
      <w:bookmarkStart w:id="129" w:name="_Toc8219"/>
      <w:bookmarkStart w:id="130" w:name="_Toc17975"/>
      <w:bookmarkStart w:id="131" w:name="_Toc30880"/>
      <w:bookmarkStart w:id="132" w:name="_Toc27430"/>
      <w:bookmarkStart w:id="133" w:name="_Toc8725"/>
      <w:r>
        <w:rPr>
          <w:b/>
          <w:bCs/>
          <w:sz w:val="24"/>
        </w:rPr>
        <w:t>（2）网络系统多业务融合</w:t>
      </w:r>
      <w:bookmarkEnd w:id="128"/>
      <w:bookmarkEnd w:id="129"/>
      <w:r>
        <w:rPr>
          <w:b/>
          <w:bCs/>
          <w:sz w:val="24"/>
        </w:rPr>
        <w:t>要求</w:t>
      </w:r>
      <w:bookmarkEnd w:id="130"/>
      <w:bookmarkEnd w:id="131"/>
      <w:bookmarkEnd w:id="132"/>
      <w:bookmarkEnd w:id="133"/>
    </w:p>
    <w:p w14:paraId="6B7DF4B5">
      <w:pPr>
        <w:spacing w:line="360" w:lineRule="auto"/>
        <w:ind w:firstLine="480" w:firstLineChars="200"/>
        <w:rPr>
          <w:sz w:val="24"/>
        </w:rPr>
      </w:pPr>
      <w:r>
        <w:rPr>
          <w:sz w:val="24"/>
        </w:rPr>
        <w:t>随着电子政务建设的深入开展，以建设电子政府为目标的政府信息系统建设，需要融合多种网络应用，通过将视频会议、电话、监控等应用网络化，可以极大地降低政府部门投资，同时全面提升政府部门的办公效率和各部门的协同工作效率。目前，政府网络系统主要是以下多种业务系统：</w:t>
      </w:r>
    </w:p>
    <w:p w14:paraId="5A21BF3C">
      <w:pPr>
        <w:spacing w:line="360" w:lineRule="auto"/>
        <w:ind w:firstLine="480" w:firstLineChars="200"/>
        <w:rPr>
          <w:sz w:val="24"/>
        </w:rPr>
      </w:pPr>
      <w:r>
        <w:rPr>
          <w:sz w:val="24"/>
        </w:rPr>
        <w:t>电子公文的传递主要以文本、图片数据为主，需要通过快速的网络数据传输，提升公文传输的效率。</w:t>
      </w:r>
    </w:p>
    <w:p w14:paraId="5BB247D2">
      <w:pPr>
        <w:spacing w:line="360" w:lineRule="auto"/>
        <w:ind w:firstLine="480" w:firstLineChars="200"/>
        <w:rPr>
          <w:sz w:val="24"/>
        </w:rPr>
      </w:pPr>
      <w:r>
        <w:rPr>
          <w:sz w:val="24"/>
        </w:rPr>
        <w:t>网络电话系统可以有效的节省政府开支，提升办公的效率，然而语音在网络中传输时需要严格的保障带宽、时延和抖动，提供稳定的语音数据传输。</w:t>
      </w:r>
    </w:p>
    <w:p w14:paraId="617A3A20">
      <w:pPr>
        <w:spacing w:line="360" w:lineRule="auto"/>
        <w:ind w:firstLine="480" w:firstLineChars="200"/>
        <w:rPr>
          <w:sz w:val="24"/>
        </w:rPr>
      </w:pPr>
      <w:r>
        <w:rPr>
          <w:sz w:val="24"/>
        </w:rPr>
        <w:t>视频会议、视频监控等系统可以有效的提升政府部门内部的办公效率，然而视频会议系统需要严格的保障传输带宽、时延和抖动，以提供稳定视频数据流。</w:t>
      </w:r>
    </w:p>
    <w:p w14:paraId="2914BA9D">
      <w:pPr>
        <w:spacing w:line="360" w:lineRule="auto"/>
        <w:ind w:firstLine="480" w:firstLineChars="200"/>
        <w:rPr>
          <w:sz w:val="24"/>
        </w:rPr>
      </w:pPr>
      <w:r>
        <w:rPr>
          <w:sz w:val="24"/>
        </w:rPr>
        <w:t>因此，如何对各种业务进行有效的区分并提供不同等级的网络服务，是确保政府部门多业务开展的前提条件。</w:t>
      </w:r>
    </w:p>
    <w:p w14:paraId="1B47DC79">
      <w:pPr>
        <w:spacing w:line="360" w:lineRule="auto"/>
        <w:ind w:firstLine="482" w:firstLineChars="200"/>
        <w:outlineLvl w:val="3"/>
        <w:rPr>
          <w:b/>
          <w:bCs/>
          <w:sz w:val="24"/>
        </w:rPr>
      </w:pPr>
      <w:bookmarkStart w:id="134" w:name="_Toc19522"/>
      <w:bookmarkStart w:id="135" w:name="_Toc296429902"/>
      <w:bookmarkStart w:id="136" w:name="_Toc17168"/>
      <w:bookmarkStart w:id="137" w:name="_Toc4190"/>
      <w:bookmarkStart w:id="138" w:name="_Toc4092"/>
      <w:bookmarkStart w:id="139" w:name="_Toc28792"/>
      <w:r>
        <w:rPr>
          <w:b/>
          <w:bCs/>
          <w:sz w:val="24"/>
        </w:rPr>
        <w:t>（3）网络系统网络运维管理</w:t>
      </w:r>
      <w:bookmarkEnd w:id="134"/>
      <w:bookmarkEnd w:id="135"/>
      <w:r>
        <w:rPr>
          <w:b/>
          <w:bCs/>
          <w:sz w:val="24"/>
        </w:rPr>
        <w:t>要求</w:t>
      </w:r>
      <w:bookmarkEnd w:id="136"/>
      <w:bookmarkEnd w:id="137"/>
      <w:bookmarkEnd w:id="138"/>
      <w:bookmarkEnd w:id="139"/>
    </w:p>
    <w:p w14:paraId="2EE1D3B7">
      <w:pPr>
        <w:spacing w:line="360" w:lineRule="auto"/>
        <w:ind w:firstLine="480" w:firstLineChars="200"/>
        <w:rPr>
          <w:sz w:val="24"/>
        </w:rPr>
      </w:pPr>
      <w:r>
        <w:rPr>
          <w:sz w:val="24"/>
        </w:rPr>
        <w:t>随着电子政务建设的开展，为了保障各种应用系统的需要，通过多种网络设备的搭建，构建政府行业的信息化网络传输平台。然而，随着网络设备的种类和数量的不断增加，给信息中心带来了巨大的网络管理难度。同时，针对各种网络问题，只能做到事后的跟踪处理，而无法有效的事前预防，提升网络的整体稳定性。</w:t>
      </w:r>
    </w:p>
    <w:p w14:paraId="2883F171">
      <w:pPr>
        <w:spacing w:line="360" w:lineRule="auto"/>
        <w:ind w:firstLine="480" w:firstLineChars="200"/>
        <w:rPr>
          <w:sz w:val="24"/>
        </w:rPr>
      </w:pPr>
      <w:r>
        <w:rPr>
          <w:sz w:val="24"/>
        </w:rPr>
        <w:t>因此，随着政府网络系统建设的开展，需要通过集中统一的网络管理、监控和维护平台，集中的管理网络设备，同时，通过有效的网络监控，提前排除各种网络故障，降低网络风险，提升全网的稳定性。</w:t>
      </w:r>
    </w:p>
    <w:p w14:paraId="68D24D59">
      <w:pPr>
        <w:spacing w:line="360" w:lineRule="auto"/>
        <w:ind w:firstLine="482" w:firstLineChars="200"/>
        <w:outlineLvl w:val="3"/>
        <w:rPr>
          <w:b/>
          <w:bCs/>
          <w:sz w:val="24"/>
        </w:rPr>
      </w:pPr>
      <w:bookmarkStart w:id="140" w:name="_Toc8224"/>
      <w:bookmarkStart w:id="141" w:name="_Toc8281"/>
      <w:bookmarkStart w:id="142" w:name="_Toc10501"/>
      <w:r>
        <w:rPr>
          <w:b/>
          <w:bCs/>
          <w:sz w:val="24"/>
        </w:rPr>
        <w:t>（4）网络交换及安全功能描述</w:t>
      </w:r>
      <w:bookmarkEnd w:id="140"/>
      <w:bookmarkEnd w:id="141"/>
      <w:bookmarkEnd w:id="142"/>
    </w:p>
    <w:p w14:paraId="66EE2C3E">
      <w:pPr>
        <w:spacing w:line="360" w:lineRule="auto"/>
        <w:ind w:firstLine="420"/>
        <w:rPr>
          <w:sz w:val="24"/>
        </w:rPr>
      </w:pPr>
      <w:r>
        <w:rPr>
          <w:sz w:val="24"/>
        </w:rPr>
        <w:t>网络交换和安全是保障网络系统稳定性的前提。同时，网络交换和安全也是造成政府内部信息泄漏的主要原因，因此，针对政府行业信息化建设，网络交换安全需要从以下几个方面考虑。</w:t>
      </w:r>
    </w:p>
    <w:p w14:paraId="5A24295A">
      <w:pPr>
        <w:spacing w:line="360" w:lineRule="auto"/>
        <w:ind w:firstLine="480" w:firstLineChars="200"/>
        <w:rPr>
          <w:sz w:val="24"/>
        </w:rPr>
      </w:pPr>
      <w:r>
        <w:rPr>
          <w:sz w:val="24"/>
        </w:rPr>
        <w:t>不同业务网络之间的物理隔离或逻辑隔离，有效保障各网络系统之间的数据安全，确保政府部门内部保密数据的安全性和可靠性。</w:t>
      </w:r>
    </w:p>
    <w:p w14:paraId="385351F0">
      <w:pPr>
        <w:spacing w:line="360" w:lineRule="auto"/>
        <w:ind w:firstLine="480" w:firstLineChars="200"/>
        <w:rPr>
          <w:sz w:val="24"/>
        </w:rPr>
      </w:pPr>
      <w:r>
        <w:rPr>
          <w:sz w:val="24"/>
        </w:rPr>
        <w:t>网络系统需要充分考虑各种网络设备的安全，保障网络系统在受到蠕虫、扫描等网络攻击时网络设备的稳定性，充分提升政府网络系统的稳定性。</w:t>
      </w:r>
    </w:p>
    <w:p w14:paraId="6F7B41C5">
      <w:pPr>
        <w:spacing w:line="360" w:lineRule="auto"/>
        <w:ind w:firstLine="480" w:firstLineChars="200"/>
        <w:rPr>
          <w:sz w:val="24"/>
        </w:rPr>
      </w:pPr>
      <w:r>
        <w:rPr>
          <w:sz w:val="24"/>
        </w:rPr>
        <w:t>各网络系统内部需要从网络设备到网络应用等多个层面，充分考虑各层面的网络安全，以保障网络系统内部对病毒、攻击等的防护。</w:t>
      </w:r>
    </w:p>
    <w:p w14:paraId="66971DBF">
      <w:pPr>
        <w:spacing w:line="360" w:lineRule="auto"/>
        <w:ind w:firstLine="480" w:firstLineChars="200"/>
        <w:rPr>
          <w:sz w:val="24"/>
        </w:rPr>
      </w:pPr>
      <w:r>
        <w:rPr>
          <w:sz w:val="24"/>
        </w:rPr>
        <w:t>政府部门内部的各种公文需要保障严格的信息机密性，而目前网络木马、钓鱼软件横行，需要通过严格的安全控制，确保政府部门内部各种公文的安全。</w:t>
      </w:r>
    </w:p>
    <w:p w14:paraId="4E5D19E7">
      <w:pPr>
        <w:spacing w:line="360" w:lineRule="auto"/>
        <w:ind w:firstLine="480" w:firstLineChars="200"/>
        <w:rPr>
          <w:sz w:val="24"/>
        </w:rPr>
      </w:pPr>
      <w:r>
        <w:rPr>
          <w:sz w:val="24"/>
        </w:rPr>
        <w:t>同时，网络安全的防护不能是单一的、单点的简单防护，网络安全需要从全局考虑，需要各种网络安全设备联合防护，提供网络的全面安全。</w:t>
      </w:r>
    </w:p>
    <w:p w14:paraId="64B793E0">
      <w:pPr>
        <w:spacing w:line="360" w:lineRule="auto"/>
        <w:ind w:firstLine="482" w:firstLineChars="200"/>
        <w:outlineLvl w:val="3"/>
        <w:rPr>
          <w:b/>
          <w:bCs/>
          <w:sz w:val="24"/>
        </w:rPr>
      </w:pPr>
      <w:bookmarkStart w:id="143" w:name="_Toc24864"/>
      <w:bookmarkStart w:id="144" w:name="_Toc23739"/>
      <w:bookmarkStart w:id="145" w:name="_Toc16053"/>
      <w:r>
        <w:rPr>
          <w:b/>
          <w:bCs/>
          <w:sz w:val="24"/>
        </w:rPr>
        <w:t>（5）网络交换及安全技术需求规范</w:t>
      </w:r>
      <w:bookmarkEnd w:id="143"/>
      <w:bookmarkEnd w:id="144"/>
      <w:bookmarkEnd w:id="145"/>
    </w:p>
    <w:p w14:paraId="71B0D3DC">
      <w:pPr>
        <w:spacing w:line="360" w:lineRule="auto"/>
        <w:ind w:firstLine="482" w:firstLineChars="200"/>
        <w:outlineLvl w:val="5"/>
        <w:rPr>
          <w:b/>
          <w:bCs/>
          <w:sz w:val="24"/>
        </w:rPr>
      </w:pPr>
      <w:bookmarkStart w:id="146" w:name="_Toc27605"/>
      <w:bookmarkStart w:id="147" w:name="_Toc27260"/>
      <w:bookmarkStart w:id="148" w:name="_Toc20676"/>
      <w:r>
        <w:rPr>
          <w:b/>
          <w:bCs/>
          <w:sz w:val="24"/>
        </w:rPr>
        <w:t>1）基本规范</w:t>
      </w:r>
      <w:bookmarkEnd w:id="146"/>
      <w:bookmarkEnd w:id="147"/>
      <w:bookmarkEnd w:id="148"/>
    </w:p>
    <w:p w14:paraId="27BC96CF">
      <w:pPr>
        <w:spacing w:line="360" w:lineRule="auto"/>
        <w:ind w:firstLine="420"/>
        <w:rPr>
          <w:sz w:val="24"/>
        </w:rPr>
      </w:pPr>
      <w:r>
        <w:rPr>
          <w:sz w:val="24"/>
        </w:rPr>
        <w:t>出口区域的安全设备，进行热备的设置，保证整个出口架构的高可靠性。在出口使用专为出口硬件优化的设备，支持大容量的NAT性能，并提供相应的多链路负载均衡技术和智能DNS技术，实现多运营商的线路带宽充分利用。</w:t>
      </w:r>
    </w:p>
    <w:p w14:paraId="08F24EA8">
      <w:pPr>
        <w:spacing w:line="360" w:lineRule="auto"/>
        <w:ind w:firstLine="480" w:firstLineChars="200"/>
        <w:rPr>
          <w:sz w:val="24"/>
        </w:rPr>
      </w:pPr>
      <w:r>
        <w:rPr>
          <w:sz w:val="24"/>
        </w:rPr>
        <w:t>所有业务流量一个出口，方便对整体流量进行统计和分析。</w:t>
      </w:r>
    </w:p>
    <w:p w14:paraId="52C03322">
      <w:pPr>
        <w:spacing w:line="360" w:lineRule="auto"/>
        <w:ind w:firstLine="480" w:firstLineChars="200"/>
        <w:rPr>
          <w:sz w:val="24"/>
        </w:rPr>
      </w:pPr>
      <w:r>
        <w:rPr>
          <w:sz w:val="24"/>
        </w:rPr>
        <w:t>针对两种情况，在公众服务区采用专业的WEB应用防护系统，防止重要的WEB服务器被恶意用户进行攻击。</w:t>
      </w:r>
    </w:p>
    <w:p w14:paraId="327690B8">
      <w:pPr>
        <w:spacing w:line="360" w:lineRule="auto"/>
        <w:ind w:firstLine="480" w:firstLineChars="200"/>
        <w:rPr>
          <w:sz w:val="24"/>
        </w:rPr>
      </w:pPr>
      <w:r>
        <w:rPr>
          <w:sz w:val="24"/>
        </w:rPr>
        <w:t>WEB应用防护系统，主要对DDOS防护、SQL注入、XSS等常见的方式进行保护。由于是应用层而非网络层的入侵，安全应用防护系统产品部署在服务器的前面，串行接入。</w:t>
      </w:r>
    </w:p>
    <w:p w14:paraId="099AB5DE">
      <w:pPr>
        <w:spacing w:line="360" w:lineRule="auto"/>
        <w:ind w:firstLine="480" w:firstLineChars="200"/>
        <w:rPr>
          <w:sz w:val="24"/>
        </w:rPr>
      </w:pPr>
      <w:r>
        <w:rPr>
          <w:sz w:val="24"/>
        </w:rPr>
        <w:t>根据国家信息安全和等级保护的有关规定要求，对政务外网进行风险评估、等级保护定级测评，制定统一的安全策略，合理划分政务外网安全域，从物理层、网络层、系统层、应用层等分层采取安全措施，建设覆盖全国、标准统一、防护有效、职责明确的政务外网信息安全保障体系。</w:t>
      </w:r>
    </w:p>
    <w:p w14:paraId="0F3FC305">
      <w:pPr>
        <w:spacing w:line="360" w:lineRule="auto"/>
        <w:ind w:firstLine="480" w:firstLineChars="200"/>
        <w:rPr>
          <w:sz w:val="24"/>
        </w:rPr>
      </w:pPr>
      <w:r>
        <w:rPr>
          <w:sz w:val="24"/>
        </w:rPr>
        <w:t>政务外网安全监控管理平台，对所辖的网络设备漏洞、安全设备、IP异常流量等进行监控，为政务外网安全管理提供技术支撑，实现各级安全管理平台互通，统一下发安全策略，实现安全事件、动态和情报的及时交流与按需共享。依托该平台，为政务外网安全运维工作提供支撑，对政务外网的终端实现安全标准配置，分级对网络设备、主机、终端等进行系统升级、病毒扫描和补丁分发等，初步实现在政务外网上的统一病毒库和漏洞的下载。</w:t>
      </w:r>
    </w:p>
    <w:p w14:paraId="1C29413A">
      <w:pPr>
        <w:spacing w:line="360" w:lineRule="auto"/>
        <w:ind w:firstLine="482" w:firstLineChars="200"/>
        <w:outlineLvl w:val="5"/>
        <w:rPr>
          <w:b/>
          <w:bCs/>
          <w:sz w:val="24"/>
        </w:rPr>
      </w:pPr>
      <w:bookmarkStart w:id="149" w:name="_Toc21834"/>
      <w:r>
        <w:rPr>
          <w:b/>
          <w:bCs/>
          <w:sz w:val="24"/>
        </w:rPr>
        <w:t>2）网络安全防护体系</w:t>
      </w:r>
      <w:bookmarkEnd w:id="149"/>
    </w:p>
    <w:p w14:paraId="75B82090">
      <w:pPr>
        <w:spacing w:line="360" w:lineRule="auto"/>
        <w:ind w:firstLine="420"/>
        <w:rPr>
          <w:sz w:val="24"/>
        </w:rPr>
      </w:pPr>
      <w:r>
        <w:rPr>
          <w:sz w:val="24"/>
        </w:rPr>
        <w:t>根据确定的安全域，采取符合信息安全等级保护的安全防护措施，通过防火墙、安全网关、VPN技术等技术，设立边界防护措施，包括实现政务外网与互联网强逻辑隔离。对于不同安全域的信息交换，通过采用身份认证网关、密码技术等方法，以及接入设备和终端的可信认证和审计，实现跨域网络的可信安全连接。通过各种技术手段实现对接入政务外网的各类计算设备、存储系统进行安全防护，包括通过操作系统加固、主机加固、存储安全等各种安全措施，防范接入政务外网的各类主机、存储系统遭到各类恶意代码、拒绝服务、意外事件、非授权访问的攻击或损害。</w:t>
      </w:r>
    </w:p>
    <w:p w14:paraId="33C633FE">
      <w:pPr>
        <w:spacing w:line="360" w:lineRule="auto"/>
        <w:ind w:firstLine="482" w:firstLineChars="200"/>
        <w:outlineLvl w:val="5"/>
        <w:rPr>
          <w:b/>
          <w:bCs/>
          <w:sz w:val="24"/>
        </w:rPr>
      </w:pPr>
      <w:bookmarkStart w:id="150" w:name="_Toc27163"/>
      <w:r>
        <w:rPr>
          <w:b/>
          <w:bCs/>
          <w:sz w:val="24"/>
        </w:rPr>
        <w:t>3）网络信任体系</w:t>
      </w:r>
      <w:bookmarkEnd w:id="150"/>
    </w:p>
    <w:p w14:paraId="55C55E87">
      <w:pPr>
        <w:spacing w:line="360" w:lineRule="auto"/>
        <w:rPr>
          <w:sz w:val="24"/>
        </w:rPr>
      </w:pPr>
      <w:r>
        <w:rPr>
          <w:sz w:val="24"/>
        </w:rPr>
        <w:t xml:space="preserve">    区政务外网信任体系是以国家PKI/CA公钥基础设施为核心的政务外网应用安全支撑平台，主要包括：数字证书系统（RA）、权限管理系统、责任认定系统、时间戳服务系统、密码服务系统等，为区直部门的业务提供身份认证服务。</w:t>
      </w:r>
    </w:p>
    <w:p w14:paraId="0FC85748">
      <w:pPr>
        <w:spacing w:line="360" w:lineRule="auto"/>
        <w:ind w:firstLine="482" w:firstLineChars="200"/>
        <w:outlineLvl w:val="5"/>
        <w:rPr>
          <w:b/>
          <w:bCs/>
          <w:sz w:val="24"/>
        </w:rPr>
      </w:pPr>
      <w:bookmarkStart w:id="151" w:name="_Toc3335"/>
      <w:r>
        <w:rPr>
          <w:b/>
          <w:bCs/>
          <w:sz w:val="24"/>
        </w:rPr>
        <w:t>4）应急响应和灾备体系</w:t>
      </w:r>
      <w:bookmarkEnd w:id="151"/>
    </w:p>
    <w:p w14:paraId="13C930C3">
      <w:pPr>
        <w:spacing w:line="360" w:lineRule="auto"/>
        <w:ind w:firstLine="480" w:firstLineChars="200"/>
        <w:rPr>
          <w:sz w:val="24"/>
        </w:rPr>
      </w:pPr>
      <w:r>
        <w:rPr>
          <w:sz w:val="24"/>
        </w:rPr>
        <w:t>制定应急预案，建立应急响应联动机制。在有条件的情况下，建立统一的数据灾备中心。</w:t>
      </w:r>
      <w:bookmarkStart w:id="152" w:name="_Toc2167"/>
    </w:p>
    <w:bookmarkEnd w:id="152"/>
    <w:p w14:paraId="286066E2">
      <w:pPr>
        <w:spacing w:line="360" w:lineRule="auto"/>
        <w:outlineLvl w:val="2"/>
        <w:rPr>
          <w:b/>
          <w:bCs/>
          <w:sz w:val="24"/>
        </w:rPr>
      </w:pPr>
      <w:r>
        <w:rPr>
          <w:b/>
          <w:bCs/>
          <w:sz w:val="24"/>
        </w:rPr>
        <w:t>（</w:t>
      </w:r>
      <w:r>
        <w:rPr>
          <w:rFonts w:hint="eastAsia"/>
          <w:b/>
          <w:bCs/>
          <w:sz w:val="24"/>
        </w:rPr>
        <w:t>二</w:t>
      </w:r>
      <w:r>
        <w:rPr>
          <w:b/>
          <w:bCs/>
          <w:sz w:val="24"/>
        </w:rPr>
        <w:t>）</w:t>
      </w:r>
      <w:r>
        <w:rPr>
          <w:rFonts w:hint="eastAsia"/>
          <w:b/>
          <w:bCs/>
          <w:sz w:val="24"/>
        </w:rPr>
        <w:t>区政务外网机房环境及设施</w:t>
      </w:r>
      <w:r>
        <w:rPr>
          <w:b/>
          <w:bCs/>
          <w:sz w:val="24"/>
        </w:rPr>
        <w:t>服务</w:t>
      </w:r>
      <w:r>
        <w:rPr>
          <w:rFonts w:hint="eastAsia"/>
          <w:b/>
          <w:bCs/>
          <w:sz w:val="24"/>
        </w:rPr>
        <w:t>和机房运维服务需求</w:t>
      </w:r>
    </w:p>
    <w:p w14:paraId="1557AEDE">
      <w:pPr>
        <w:spacing w:line="360" w:lineRule="auto"/>
        <w:ind w:firstLine="472" w:firstLineChars="196"/>
        <w:rPr>
          <w:b/>
          <w:sz w:val="24"/>
        </w:rPr>
      </w:pPr>
      <w:bookmarkStart w:id="153" w:name="_Toc22297"/>
      <w:bookmarkStart w:id="154" w:name="_Toc15460"/>
      <w:r>
        <w:rPr>
          <w:b/>
          <w:sz w:val="24"/>
        </w:rPr>
        <w:t>1、提供区电子政务外网机房环境基础设施使用服务（国家</w:t>
      </w:r>
      <w:r>
        <w:rPr>
          <w:rFonts w:hint="eastAsia"/>
          <w:b/>
          <w:sz w:val="24"/>
        </w:rPr>
        <w:t>B</w:t>
      </w:r>
      <w:r>
        <w:rPr>
          <w:b/>
          <w:sz w:val="24"/>
        </w:rPr>
        <w:t>类标准）</w:t>
      </w:r>
    </w:p>
    <w:p w14:paraId="5FDC280E">
      <w:pPr>
        <w:spacing w:line="360" w:lineRule="auto"/>
        <w:ind w:firstLine="480" w:firstLineChars="200"/>
        <w:rPr>
          <w:b/>
          <w:bCs/>
          <w:sz w:val="24"/>
        </w:rPr>
      </w:pPr>
      <w:r>
        <w:rPr>
          <w:sz w:val="24"/>
        </w:rPr>
        <w:t>由供应商根据国家</w:t>
      </w:r>
      <w:r>
        <w:rPr>
          <w:rFonts w:hint="eastAsia"/>
          <w:sz w:val="24"/>
        </w:rPr>
        <w:t>B</w:t>
      </w:r>
      <w:r>
        <w:rPr>
          <w:sz w:val="24"/>
        </w:rPr>
        <w:t>类机房的标准提供机房使用服务，后期水电等费用由</w:t>
      </w:r>
      <w:r>
        <w:rPr>
          <w:rFonts w:hint="eastAsia"/>
          <w:sz w:val="24"/>
        </w:rPr>
        <w:t>供应商</w:t>
      </w:r>
      <w:r>
        <w:rPr>
          <w:sz w:val="24"/>
        </w:rPr>
        <w:t>承担，供应商负责的机房建设投资和运维。</w:t>
      </w:r>
    </w:p>
    <w:p w14:paraId="1BF97DC6">
      <w:pPr>
        <w:spacing w:line="360" w:lineRule="auto"/>
        <w:ind w:firstLine="482" w:firstLineChars="200"/>
        <w:rPr>
          <w:b/>
          <w:bCs/>
          <w:sz w:val="24"/>
        </w:rPr>
      </w:pPr>
      <w:r>
        <w:rPr>
          <w:b/>
          <w:bCs/>
          <w:sz w:val="24"/>
        </w:rPr>
        <w:t>2、基本要求</w:t>
      </w:r>
      <w:bookmarkEnd w:id="153"/>
      <w:bookmarkEnd w:id="154"/>
    </w:p>
    <w:p w14:paraId="4D5AE2DB">
      <w:pPr>
        <w:spacing w:line="360" w:lineRule="auto"/>
        <w:ind w:firstLine="480" w:firstLineChars="200"/>
        <w:rPr>
          <w:sz w:val="24"/>
        </w:rPr>
      </w:pPr>
      <w:r>
        <w:rPr>
          <w:sz w:val="24"/>
        </w:rPr>
        <w:t>计算机机房建设工程不仅仅是一个计算机网络建设工程，更重要的是一个集系统集成、建筑配电、建筑消防、建筑装饰、暖通净化专业、计算机专业、弱电控制专业、接地防雷专业等多学科、多领域的综合工程。在设计施工中应对供配电方式、空气净化、安全防范措施以及防静电、防电磁辐射和抗干扰、防水、防雷、防火、防潮、防鼠等诸多方面给予高度重视，以确保计算机系统长期正常运行工作。</w:t>
      </w:r>
    </w:p>
    <w:p w14:paraId="32BDC1CD">
      <w:pPr>
        <w:spacing w:line="360" w:lineRule="auto"/>
        <w:ind w:firstLine="480" w:firstLineChars="200"/>
        <w:rPr>
          <w:sz w:val="24"/>
        </w:rPr>
      </w:pPr>
      <w:r>
        <w:rPr>
          <w:sz w:val="24"/>
        </w:rPr>
        <w:t>依据国家有关标准和规范，结合所需改造计算机系统运行特点进行总体设计。业务完善，技术规范，安全可靠为主，确保系统安全可靠的运行。在选材投资方面根据功能及设备要求区别对待，在满足用户的基本要求的同时，做到投资有重点，效率有保障，并保证计算机场地工作人员的身心健康，延长计算机系统的使用寿命。</w:t>
      </w:r>
    </w:p>
    <w:p w14:paraId="34C0B1EF">
      <w:pPr>
        <w:spacing w:line="360" w:lineRule="auto"/>
        <w:ind w:firstLine="480" w:firstLineChars="200"/>
        <w:rPr>
          <w:sz w:val="24"/>
        </w:rPr>
      </w:pPr>
      <w:r>
        <w:rPr>
          <w:sz w:val="24"/>
        </w:rPr>
        <w:t>为计算机设备和工作人员创造一个安全、可靠、美观、舒适的工作场地。</w:t>
      </w:r>
    </w:p>
    <w:p w14:paraId="5F76FD35">
      <w:pPr>
        <w:spacing w:line="360" w:lineRule="auto"/>
        <w:ind w:firstLine="482" w:firstLineChars="200"/>
        <w:rPr>
          <w:b/>
          <w:bCs/>
          <w:sz w:val="24"/>
        </w:rPr>
      </w:pPr>
      <w:r>
        <w:rPr>
          <w:b/>
          <w:bCs/>
          <w:sz w:val="24"/>
        </w:rPr>
        <w:t xml:space="preserve">3、服务内容 </w:t>
      </w:r>
    </w:p>
    <w:p w14:paraId="72DCBCDB">
      <w:pPr>
        <w:spacing w:line="360" w:lineRule="auto"/>
        <w:ind w:firstLine="480" w:firstLineChars="200"/>
        <w:rPr>
          <w:sz w:val="24"/>
        </w:rPr>
      </w:pPr>
      <w:r>
        <w:rPr>
          <w:sz w:val="24"/>
        </w:rPr>
        <w:t>本次信息系统机房应提供以下几个方面的服务：1．机房环境； 2．机房市电供配电系统；3．UPS不间断电源系统；4．接地系统；5．防雷系统；6. 空调系统；7.门禁系统；8.视频监控系统；9.综合布线系统；10.机房消防系统；1</w:t>
      </w:r>
      <w:r>
        <w:rPr>
          <w:rFonts w:hint="eastAsia"/>
          <w:sz w:val="24"/>
        </w:rPr>
        <w:t>1</w:t>
      </w:r>
      <w:r>
        <w:rPr>
          <w:sz w:val="24"/>
        </w:rPr>
        <w:t>．照明及应急照明系统等。</w:t>
      </w:r>
    </w:p>
    <w:p w14:paraId="19461F43">
      <w:pPr>
        <w:spacing w:line="360" w:lineRule="auto"/>
        <w:outlineLvl w:val="2"/>
        <w:rPr>
          <w:b/>
          <w:bCs/>
          <w:sz w:val="24"/>
        </w:rPr>
      </w:pPr>
      <w:r>
        <w:rPr>
          <w:rFonts w:hint="eastAsia"/>
          <w:b/>
          <w:bCs/>
          <w:sz w:val="24"/>
        </w:rPr>
        <w:t>（三）接入单位城域网边界网关设备运维服务</w:t>
      </w:r>
    </w:p>
    <w:p w14:paraId="322A1100">
      <w:pPr>
        <w:adjustRightInd w:val="0"/>
        <w:snapToGrid w:val="0"/>
        <w:spacing w:line="360" w:lineRule="auto"/>
        <w:ind w:firstLine="480" w:firstLineChars="200"/>
        <w:rPr>
          <w:sz w:val="24"/>
        </w:rPr>
      </w:pPr>
      <w:r>
        <w:rPr>
          <w:rFonts w:hint="eastAsia"/>
          <w:sz w:val="24"/>
        </w:rPr>
        <w:t>新城区</w:t>
      </w:r>
      <w:r>
        <w:rPr>
          <w:sz w:val="24"/>
        </w:rPr>
        <w:t>电子政务外网由</w:t>
      </w:r>
      <w:r>
        <w:rPr>
          <w:rFonts w:hint="eastAsia"/>
          <w:sz w:val="24"/>
        </w:rPr>
        <w:t>新城区</w:t>
      </w:r>
      <w:r>
        <w:rPr>
          <w:sz w:val="24"/>
        </w:rPr>
        <w:t>政务外网骨干网和城域网组成。其中</w:t>
      </w:r>
      <w:r>
        <w:rPr>
          <w:rFonts w:hint="eastAsia"/>
          <w:sz w:val="24"/>
        </w:rPr>
        <w:t>新城区</w:t>
      </w:r>
      <w:r>
        <w:rPr>
          <w:sz w:val="24"/>
        </w:rPr>
        <w:t>电子政务外网城域网由电子政务外网专线及局委配套接入安全及网络设备组成。根据国家电子政务外网相关国家标准和省市指导意见，各个局委</w:t>
      </w:r>
      <w:r>
        <w:rPr>
          <w:rFonts w:hint="eastAsia"/>
          <w:sz w:val="24"/>
        </w:rPr>
        <w:t>需</w:t>
      </w:r>
      <w:r>
        <w:rPr>
          <w:sz w:val="24"/>
        </w:rPr>
        <w:t>通过防火墙、路由器等设备安全、稳定的接入</w:t>
      </w:r>
      <w:r>
        <w:rPr>
          <w:rFonts w:hint="eastAsia"/>
          <w:sz w:val="24"/>
        </w:rPr>
        <w:t>区</w:t>
      </w:r>
      <w:r>
        <w:rPr>
          <w:sz w:val="24"/>
        </w:rPr>
        <w:t>电子政务外网。</w:t>
      </w:r>
    </w:p>
    <w:p w14:paraId="12DB07AB">
      <w:pPr>
        <w:spacing w:line="360" w:lineRule="auto"/>
        <w:outlineLvl w:val="2"/>
        <w:rPr>
          <w:b/>
          <w:bCs/>
          <w:sz w:val="24"/>
        </w:rPr>
      </w:pPr>
      <w:r>
        <w:rPr>
          <w:rFonts w:hint="eastAsia"/>
          <w:b/>
          <w:bCs/>
          <w:sz w:val="24"/>
        </w:rPr>
        <w:t>（四）区电子政务外网等保测评服务需求</w:t>
      </w:r>
    </w:p>
    <w:p w14:paraId="77C1D65A">
      <w:pPr>
        <w:adjustRightInd w:val="0"/>
        <w:snapToGrid w:val="0"/>
        <w:spacing w:line="360" w:lineRule="auto"/>
        <w:ind w:firstLine="480" w:firstLineChars="200"/>
        <w:rPr>
          <w:b/>
          <w:bCs/>
          <w:sz w:val="24"/>
        </w:rPr>
      </w:pPr>
      <w:r>
        <w:rPr>
          <w:rFonts w:hint="eastAsia"/>
          <w:sz w:val="24"/>
        </w:rPr>
        <w:t>乙方向甲方提供对新城区电子政务外网网络系统及门户网站进行等级保护三级测评，并将取得相关部门的备案证书。测评备案对象为新城区电子政务外网骨干网路及新城区门户网站，测评备案</w:t>
      </w:r>
      <w:r>
        <w:rPr>
          <w:sz w:val="24"/>
        </w:rPr>
        <w:t>主体单位</w:t>
      </w:r>
      <w:r>
        <w:rPr>
          <w:rFonts w:hint="eastAsia"/>
          <w:sz w:val="24"/>
        </w:rPr>
        <w:t>为甲方。交付成果为“区电子政务外网系统”“区政府门户网站”等级保护三级备案证书。</w:t>
      </w:r>
    </w:p>
    <w:p w14:paraId="6249337A">
      <w:pPr>
        <w:spacing w:line="360" w:lineRule="auto"/>
        <w:outlineLvl w:val="2"/>
        <w:rPr>
          <w:b/>
          <w:bCs/>
          <w:sz w:val="24"/>
        </w:rPr>
      </w:pPr>
      <w:r>
        <w:rPr>
          <w:rFonts w:hint="eastAsia"/>
          <w:b/>
          <w:bCs/>
          <w:sz w:val="24"/>
        </w:rPr>
        <w:t>（五）安全监测及感知预警需求</w:t>
      </w:r>
    </w:p>
    <w:p w14:paraId="2D48C808">
      <w:pPr>
        <w:spacing w:line="360" w:lineRule="auto"/>
        <w:ind w:firstLine="420"/>
        <w:rPr>
          <w:b/>
          <w:bCs/>
          <w:sz w:val="24"/>
        </w:rPr>
      </w:pPr>
      <w:r>
        <w:rPr>
          <w:rFonts w:hint="eastAsia"/>
          <w:b/>
          <w:bCs/>
          <w:sz w:val="24"/>
        </w:rPr>
        <w:t>总体要求</w:t>
      </w:r>
    </w:p>
    <w:p w14:paraId="5C2EA648">
      <w:pPr>
        <w:pStyle w:val="47"/>
        <w:ind w:firstLine="468" w:firstLineChars="195"/>
        <w:rPr>
          <w:rFonts w:ascii="宋体" w:hAnsi="宋体"/>
          <w:kern w:val="2"/>
          <w:sz w:val="24"/>
          <w:szCs w:val="24"/>
        </w:rPr>
      </w:pPr>
      <w:r>
        <w:rPr>
          <w:rFonts w:hint="eastAsia" w:ascii="宋体" w:hAnsi="宋体"/>
          <w:kern w:val="2"/>
          <w:sz w:val="24"/>
          <w:szCs w:val="24"/>
        </w:rPr>
        <w:t>供应商须在《中华人民共和国网络安全法》的基础上，协助我单位对区电子政务外网的安全防护能力、事件处置机制等方面进行完善，提升我区政务外网整体运行质量、保障承载业务系统的安全运行。项目建设目标如下：</w:t>
      </w:r>
    </w:p>
    <w:p w14:paraId="04AE0E06">
      <w:pPr>
        <w:spacing w:line="360" w:lineRule="auto"/>
        <w:ind w:firstLine="482" w:firstLineChars="200"/>
        <w:rPr>
          <w:rFonts w:ascii="宋体" w:hAnsi="宋体" w:cs="宋体"/>
          <w:b/>
          <w:bCs/>
          <w:sz w:val="24"/>
        </w:rPr>
      </w:pPr>
      <w:r>
        <w:rPr>
          <w:rFonts w:hint="eastAsia" w:ascii="宋体" w:hAnsi="宋体" w:cs="宋体"/>
          <w:b/>
          <w:bCs/>
          <w:sz w:val="24"/>
        </w:rPr>
        <w:t>1、安全防护能力建设</w:t>
      </w:r>
    </w:p>
    <w:p w14:paraId="245CA4F1">
      <w:pPr>
        <w:spacing w:line="360" w:lineRule="auto"/>
        <w:ind w:firstLine="480" w:firstLineChars="200"/>
        <w:rPr>
          <w:rFonts w:ascii="宋体" w:hAnsi="宋体" w:cs="宋体"/>
          <w:sz w:val="24"/>
        </w:rPr>
      </w:pPr>
      <w:r>
        <w:rPr>
          <w:rFonts w:hint="eastAsia" w:ascii="宋体" w:hAnsi="宋体" w:cs="宋体"/>
          <w:sz w:val="24"/>
        </w:rPr>
        <w:t>随着政务信息化的高速发展，政务外网承载的业务系统日渐增多，在重大会议或重大活动期间，网络攻击增多，没有安全可靠的网络系统，不仅无法确保各种公文及系统的正常开展，极大的影响了政府部门内部的办公效率，同时，无法为公众、企业提供稳定的公开信息服务。</w:t>
      </w:r>
    </w:p>
    <w:p w14:paraId="11308433">
      <w:pPr>
        <w:adjustRightInd w:val="0"/>
        <w:snapToGrid w:val="0"/>
        <w:spacing w:line="360" w:lineRule="auto"/>
        <w:ind w:firstLine="480" w:firstLineChars="200"/>
        <w:rPr>
          <w:rFonts w:ascii="宋体" w:hAnsi="宋体" w:cs="宋体"/>
          <w:sz w:val="24"/>
        </w:rPr>
      </w:pPr>
      <w:r>
        <w:rPr>
          <w:rFonts w:hint="eastAsia" w:ascii="宋体" w:hAnsi="宋体" w:cs="宋体"/>
          <w:sz w:val="24"/>
        </w:rPr>
        <w:t>供应商须提高电子政务外网基础设施安全防护能力，对我区政务外网骨干网络、门户网站等重要业务系统等进行全面的安全防护，同时，通过有效的监控手段，定期对重要业务系统进行网络安全巡检，提出网络安全意见及整改措施，做到提前防范，降低各种网络故障率、网络安全风险，提升本区电子政务外网的安全性、稳定性。</w:t>
      </w:r>
    </w:p>
    <w:p w14:paraId="0D4C596B">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2、事件处置机制建设</w:t>
      </w:r>
    </w:p>
    <w:p w14:paraId="450F1CE3">
      <w:pPr>
        <w:adjustRightInd w:val="0"/>
        <w:snapToGrid w:val="0"/>
        <w:spacing w:line="360" w:lineRule="auto"/>
        <w:ind w:firstLine="480" w:firstLineChars="200"/>
        <w:rPr>
          <w:rFonts w:ascii="宋体" w:hAnsi="宋体" w:cs="宋体"/>
          <w:sz w:val="24"/>
        </w:rPr>
      </w:pPr>
      <w:r>
        <w:rPr>
          <w:rFonts w:hint="eastAsia" w:ascii="宋体" w:hAnsi="宋体" w:cs="宋体"/>
          <w:sz w:val="24"/>
        </w:rPr>
        <w:t>随着网络设备的种类和数量的不断增加，给信息中心的运维工作带来了巨大的网络管理难度及网络安全风险，科学、有效、反应迅速的处置机制，可有效为提高信息中心处理突发网络安全事件的能力，确保重要信息系统的基础设施安全、运行安全和数据安全，最大限度地减少网络与信息安全突发公共事件的危害，保护公众利益。</w:t>
      </w:r>
    </w:p>
    <w:p w14:paraId="6FD40116">
      <w:pPr>
        <w:adjustRightInd w:val="0"/>
        <w:snapToGrid w:val="0"/>
        <w:spacing w:line="360" w:lineRule="auto"/>
        <w:ind w:firstLine="480" w:firstLineChars="200"/>
        <w:rPr>
          <w:rFonts w:ascii="宋体" w:hAnsi="宋体" w:cs="宋体"/>
          <w:sz w:val="24"/>
        </w:rPr>
      </w:pPr>
      <w:r>
        <w:rPr>
          <w:rFonts w:hint="eastAsia" w:ascii="宋体" w:hAnsi="宋体" w:cs="宋体"/>
          <w:sz w:val="24"/>
        </w:rPr>
        <w:t>供应商须运用专业技术对各类网络安全事件进行分析，协助我单位针对不同业务类型完善网络安全事件处置流程，建立安全事件库，通过对网络安全事件的“收集”、“管理”、“分析”、“呈现”等技术手段，提高处置工作部门、人员的工作效率，提高网络安全突发事件和重大风险防控的处置能力。</w:t>
      </w:r>
    </w:p>
    <w:p w14:paraId="333A93EA">
      <w:pPr>
        <w:spacing w:line="360" w:lineRule="auto"/>
        <w:ind w:firstLine="420"/>
        <w:rPr>
          <w:b/>
          <w:bCs/>
          <w:sz w:val="24"/>
        </w:rPr>
      </w:pPr>
      <w:r>
        <w:rPr>
          <w:rFonts w:hint="eastAsia"/>
          <w:b/>
          <w:bCs/>
          <w:sz w:val="24"/>
        </w:rPr>
        <w:t>服务内容：</w:t>
      </w:r>
    </w:p>
    <w:p w14:paraId="694959A3">
      <w:pPr>
        <w:pStyle w:val="6"/>
        <w:adjustRightInd w:val="0"/>
        <w:snapToGrid w:val="0"/>
        <w:spacing w:before="240" w:after="180" w:line="360" w:lineRule="auto"/>
        <w:ind w:left="0" w:firstLine="0"/>
      </w:pPr>
      <w:r>
        <w:rPr>
          <w:rFonts w:hint="eastAsia"/>
        </w:rPr>
        <w:t>1、安全事件报送服务</w:t>
      </w:r>
    </w:p>
    <w:p w14:paraId="3E00B60E">
      <w:pPr>
        <w:pStyle w:val="17"/>
        <w:adjustRightInd w:val="0"/>
        <w:snapToGrid w:val="0"/>
        <w:spacing w:line="360" w:lineRule="auto"/>
        <w:ind w:firstLine="461"/>
        <w:rPr>
          <w:sz w:val="24"/>
        </w:rPr>
      </w:pPr>
      <w:r>
        <w:rPr>
          <w:rFonts w:hint="eastAsia"/>
          <w:sz w:val="24"/>
        </w:rPr>
        <w:t>提供电子政务外网核心区的网络设备、安全设备等设备的异常日志监控、收集和加工处理服务，通过关联分析和数据挖掘，发现高风险事件告警，并通知相关运维人员进行后续处理，要与市级政务外网和门户网站群安全监测平台实现数据的互通和联动。</w:t>
      </w:r>
    </w:p>
    <w:p w14:paraId="3C5509E2">
      <w:pPr>
        <w:pStyle w:val="6"/>
        <w:adjustRightInd w:val="0"/>
        <w:snapToGrid w:val="0"/>
        <w:spacing w:before="240" w:after="180" w:line="360" w:lineRule="auto"/>
        <w:ind w:left="0" w:firstLine="0"/>
      </w:pPr>
      <w:r>
        <w:rPr>
          <w:rFonts w:hint="eastAsia"/>
        </w:rPr>
        <w:t>3、常规巡检服务</w:t>
      </w:r>
    </w:p>
    <w:p w14:paraId="2568F1EE">
      <w:pPr>
        <w:pStyle w:val="17"/>
        <w:adjustRightInd w:val="0"/>
        <w:snapToGrid w:val="0"/>
        <w:spacing w:line="360" w:lineRule="auto"/>
        <w:ind w:firstLine="461"/>
        <w:rPr>
          <w:sz w:val="24"/>
        </w:rPr>
      </w:pPr>
      <w:r>
        <w:rPr>
          <w:rFonts w:hint="eastAsia"/>
          <w:sz w:val="24"/>
        </w:rPr>
        <w:t>对电子政务外网核心机房物理环境、网络设备及安全设备的CPU利用率、内存利用率、磁盘利用率、端口流量、报警信息等关键工作指标进行例行监控，并定期巡检，当发生异常情况时，及时进行跟踪和处理。</w:t>
      </w:r>
    </w:p>
    <w:p w14:paraId="4615EE3C">
      <w:pPr>
        <w:pStyle w:val="6"/>
        <w:adjustRightInd w:val="0"/>
        <w:snapToGrid w:val="0"/>
        <w:spacing w:before="240" w:after="180" w:line="360" w:lineRule="auto"/>
        <w:ind w:left="0" w:firstLine="0"/>
      </w:pPr>
      <w:r>
        <w:rPr>
          <w:rFonts w:hint="eastAsia"/>
        </w:rPr>
        <w:t>3、应急响应服务</w:t>
      </w:r>
    </w:p>
    <w:p w14:paraId="5261452B">
      <w:pPr>
        <w:pStyle w:val="17"/>
        <w:adjustRightInd w:val="0"/>
        <w:snapToGrid w:val="0"/>
        <w:spacing w:line="360" w:lineRule="auto"/>
        <w:ind w:firstLine="461"/>
        <w:rPr>
          <w:sz w:val="24"/>
        </w:rPr>
      </w:pPr>
      <w:r>
        <w:rPr>
          <w:rFonts w:hint="eastAsia"/>
          <w:sz w:val="24"/>
        </w:rPr>
        <w:t>当电子政务外网核心区网络发生网络安全问题/事件时，提供应急响应服务，排查入侵来源，提供事故分析报告和安全建议及服务，并协助恢复网络的正常工作,应急响应方案应凸显与市级政务外网运维中心的立体联动响应机制。</w:t>
      </w:r>
    </w:p>
    <w:p w14:paraId="78A7667F">
      <w:pPr>
        <w:pStyle w:val="6"/>
        <w:adjustRightInd w:val="0"/>
        <w:snapToGrid w:val="0"/>
        <w:spacing w:before="240" w:after="180" w:line="360" w:lineRule="auto"/>
        <w:ind w:left="0" w:firstLine="0"/>
      </w:pPr>
      <w:r>
        <w:rPr>
          <w:rFonts w:hint="eastAsia"/>
        </w:rPr>
        <w:t>4、安全培训服务</w:t>
      </w:r>
    </w:p>
    <w:p w14:paraId="49141B36">
      <w:pPr>
        <w:pStyle w:val="17"/>
        <w:adjustRightInd w:val="0"/>
        <w:snapToGrid w:val="0"/>
        <w:spacing w:line="360" w:lineRule="auto"/>
        <w:ind w:firstLine="461"/>
        <w:rPr>
          <w:sz w:val="24"/>
        </w:rPr>
      </w:pPr>
      <w:r>
        <w:rPr>
          <w:rFonts w:hint="eastAsia"/>
          <w:sz w:val="24"/>
        </w:rPr>
        <w:t>提供电子政务外网网络安全意识和技能培训，每年不少于1次，提高风险防范能力，提升业务系统的整体安全防护水平。</w:t>
      </w:r>
    </w:p>
    <w:p w14:paraId="2364B0E0">
      <w:pPr>
        <w:pStyle w:val="6"/>
        <w:adjustRightInd w:val="0"/>
        <w:snapToGrid w:val="0"/>
        <w:spacing w:before="240" w:after="180" w:line="360" w:lineRule="auto"/>
        <w:ind w:left="0" w:firstLine="0"/>
      </w:pPr>
      <w:r>
        <w:rPr>
          <w:rFonts w:hint="eastAsia"/>
        </w:rPr>
        <w:t>5、安全检查支撑服务</w:t>
      </w:r>
    </w:p>
    <w:p w14:paraId="3A498C46">
      <w:pPr>
        <w:pStyle w:val="17"/>
        <w:adjustRightInd w:val="0"/>
        <w:snapToGrid w:val="0"/>
        <w:spacing w:line="360" w:lineRule="auto"/>
        <w:ind w:firstLine="461"/>
      </w:pPr>
      <w:r>
        <w:rPr>
          <w:rFonts w:hint="eastAsia"/>
          <w:sz w:val="24"/>
        </w:rPr>
        <w:t>对于每年度相关部门网络安全专项检查，提供现场技术支撑服务。</w:t>
      </w:r>
      <w:r>
        <w:br w:type="page"/>
      </w:r>
    </w:p>
    <w:p w14:paraId="18FDA198">
      <w:pPr>
        <w:rPr>
          <w:rFonts w:ascii="宋体" w:hAnsi="宋体" w:cs="宋体"/>
          <w:kern w:val="0"/>
          <w:sz w:val="24"/>
        </w:rPr>
      </w:pPr>
    </w:p>
    <w:p w14:paraId="491B007B">
      <w:pPr>
        <w:spacing w:line="360" w:lineRule="auto"/>
        <w:outlineLvl w:val="2"/>
        <w:rPr>
          <w:b/>
          <w:bCs/>
          <w:sz w:val="24"/>
        </w:rPr>
      </w:pPr>
      <w:r>
        <w:rPr>
          <w:b/>
          <w:bCs/>
          <w:sz w:val="24"/>
        </w:rPr>
        <w:t>（</w:t>
      </w:r>
      <w:r>
        <w:rPr>
          <w:rFonts w:hint="eastAsia"/>
          <w:b/>
          <w:bCs/>
          <w:sz w:val="24"/>
        </w:rPr>
        <w:t>六</w:t>
      </w:r>
      <w:r>
        <w:rPr>
          <w:b/>
          <w:bCs/>
          <w:sz w:val="24"/>
        </w:rPr>
        <w:t>）</w:t>
      </w:r>
      <w:r>
        <w:rPr>
          <w:rFonts w:hint="eastAsia"/>
          <w:b/>
          <w:bCs/>
          <w:sz w:val="24"/>
        </w:rPr>
        <w:t>政府门户网站综合运维服务需求</w:t>
      </w:r>
    </w:p>
    <w:p w14:paraId="2BEE3BB6">
      <w:pPr>
        <w:spacing w:line="360" w:lineRule="auto"/>
        <w:ind w:firstLine="482" w:firstLineChars="200"/>
        <w:outlineLvl w:val="3"/>
        <w:rPr>
          <w:b/>
          <w:bCs/>
          <w:sz w:val="24"/>
        </w:rPr>
      </w:pPr>
      <w:r>
        <w:rPr>
          <w:b/>
          <w:bCs/>
          <w:sz w:val="24"/>
        </w:rPr>
        <w:t>1、提供门户网站服务功能描述</w:t>
      </w:r>
    </w:p>
    <w:p w14:paraId="6D758477">
      <w:pPr>
        <w:spacing w:line="360" w:lineRule="auto"/>
        <w:ind w:right="-1" w:firstLine="480" w:firstLineChars="200"/>
        <w:rPr>
          <w:sz w:val="24"/>
        </w:rPr>
      </w:pPr>
      <w:r>
        <w:rPr>
          <w:sz w:val="24"/>
        </w:rPr>
        <w:t>根据《平顶山市人民政府办公室 关于平顶山市电子政务外网整合接入工作的通知》（平政办明电【2017】20号）；《平顶山市人民政府办公室 关于做好政府网站与政务新媒体存在问题整改工作的通知》以及国务院办公厅和省、市政务信息公开办公室相关文件要求，对原有网站建设和管理的补充，采用“统一规划、协同建设、分级管理”的建设模式，依托全市政府门户网站群架构为政府各部门提供统一的系统平台,把城乡一体化示范区政府门户网站建设成为功能齐全、内容丰富、更新及时、服务到位、制度健全、考核机制完善的统一平台。</w:t>
      </w:r>
      <w:r>
        <w:rPr>
          <w:rFonts w:hint="eastAsia"/>
          <w:sz w:val="24"/>
        </w:rPr>
        <w:t>网站不可更改现有框架</w:t>
      </w:r>
      <w:r>
        <w:rPr>
          <w:sz w:val="24"/>
        </w:rPr>
        <w:t>以及要</w:t>
      </w:r>
      <w:r>
        <w:rPr>
          <w:rFonts w:hint="eastAsia"/>
          <w:sz w:val="24"/>
        </w:rPr>
        <w:t>依托市级网站群</w:t>
      </w:r>
      <w:r>
        <w:rPr>
          <w:sz w:val="24"/>
        </w:rPr>
        <w:t>统一技术平台来规划建设</w:t>
      </w:r>
      <w:r>
        <w:rPr>
          <w:rFonts w:hint="eastAsia"/>
          <w:sz w:val="24"/>
        </w:rPr>
        <w:t>，</w:t>
      </w:r>
      <w:r>
        <w:rPr>
          <w:sz w:val="24"/>
        </w:rPr>
        <w:t>本次应用软件建设的主要任务如下：</w:t>
      </w:r>
    </w:p>
    <w:p w14:paraId="5067B0C8">
      <w:pPr>
        <w:spacing w:line="360" w:lineRule="auto"/>
        <w:ind w:right="-1" w:firstLine="482" w:firstLineChars="200"/>
        <w:rPr>
          <w:sz w:val="24"/>
        </w:rPr>
      </w:pPr>
      <w:r>
        <w:rPr>
          <w:rFonts w:hint="eastAsia" w:cs="宋体"/>
          <w:b/>
          <w:sz w:val="24"/>
          <w:lang w:bidi="ar"/>
        </w:rPr>
        <w:t>软件平台的使用授权：</w:t>
      </w:r>
      <w:r>
        <w:rPr>
          <w:rFonts w:hint="eastAsia" w:cs="宋体"/>
          <w:sz w:val="24"/>
          <w:lang w:bidi="ar"/>
        </w:rPr>
        <w:t>要求提供完整的软件平台使用权限，如内容管理、栏目管理、内容审核、内容回收站、信件处理、用户管理以及权限管理等。</w:t>
      </w:r>
    </w:p>
    <w:p w14:paraId="34F5C3B2">
      <w:pPr>
        <w:spacing w:line="360" w:lineRule="auto"/>
        <w:ind w:right="-1" w:firstLine="482" w:firstLineChars="200"/>
        <w:rPr>
          <w:sz w:val="24"/>
        </w:rPr>
      </w:pPr>
      <w:r>
        <w:rPr>
          <w:rFonts w:hint="eastAsia" w:cs="宋体"/>
          <w:b/>
          <w:sz w:val="24"/>
          <w:lang w:bidi="ar"/>
        </w:rPr>
        <w:t>网站开设报备、</w:t>
      </w:r>
      <w:r>
        <w:rPr>
          <w:b/>
          <w:sz w:val="24"/>
          <w:lang w:bidi="ar"/>
        </w:rPr>
        <w:t>ICP</w:t>
      </w:r>
      <w:r>
        <w:rPr>
          <w:rFonts w:hint="eastAsia" w:cs="宋体"/>
          <w:b/>
          <w:sz w:val="24"/>
          <w:lang w:bidi="ar"/>
        </w:rPr>
        <w:t>备案、网警备案、域名服务等协助办理：</w:t>
      </w:r>
      <w:r>
        <w:rPr>
          <w:rFonts w:hint="eastAsia" w:cs="宋体"/>
          <w:sz w:val="24"/>
          <w:lang w:bidi="ar"/>
        </w:rPr>
        <w:t>要求协助办理网站各类备案工作以及所需材料的报送。</w:t>
      </w:r>
    </w:p>
    <w:p w14:paraId="536151BD">
      <w:pPr>
        <w:spacing w:line="360" w:lineRule="auto"/>
        <w:ind w:right="-1" w:firstLine="482" w:firstLineChars="200"/>
        <w:rPr>
          <w:sz w:val="24"/>
        </w:rPr>
      </w:pPr>
      <w:r>
        <w:rPr>
          <w:rFonts w:hint="eastAsia" w:cs="宋体"/>
          <w:b/>
          <w:sz w:val="24"/>
          <w:lang w:bidi="ar"/>
        </w:rPr>
        <w:t>网站前端模板定制设计、页面开发制作：</w:t>
      </w:r>
      <w:r>
        <w:rPr>
          <w:rFonts w:hint="eastAsia" w:cs="宋体"/>
          <w:sz w:val="24"/>
          <w:lang w:bidi="ar"/>
        </w:rPr>
        <w:t>根据要求进行网站前端模板的设计制作，符合《国务院办公厅关于印发政府网站发展指引的通知》国办发〔</w:t>
      </w:r>
      <w:r>
        <w:rPr>
          <w:sz w:val="24"/>
          <w:lang w:bidi="ar"/>
        </w:rPr>
        <w:t>2017</w:t>
      </w:r>
      <w:r>
        <w:rPr>
          <w:rFonts w:hint="eastAsia" w:cs="宋体"/>
          <w:sz w:val="24"/>
          <w:lang w:bidi="ar"/>
        </w:rPr>
        <w:t>〕</w:t>
      </w:r>
      <w:r>
        <w:rPr>
          <w:sz w:val="24"/>
          <w:lang w:bidi="ar"/>
        </w:rPr>
        <w:t>47</w:t>
      </w:r>
      <w:r>
        <w:rPr>
          <w:rFonts w:hint="eastAsia" w:cs="宋体"/>
          <w:sz w:val="24"/>
          <w:lang w:bidi="ar"/>
        </w:rPr>
        <w:t>号文件中“网页设计规范”的要求并达到用户满意。如有阶段性专题页面，需要专人进行设计制作。专题的页面风格原则上应与网站整体风格一致，具体页面展现可根据需要灵活设计。</w:t>
      </w:r>
    </w:p>
    <w:p w14:paraId="5789A3D7">
      <w:pPr>
        <w:spacing w:line="360" w:lineRule="auto"/>
        <w:ind w:right="-1" w:firstLine="482" w:firstLineChars="200"/>
        <w:rPr>
          <w:sz w:val="24"/>
        </w:rPr>
      </w:pPr>
      <w:r>
        <w:rPr>
          <w:rFonts w:hint="eastAsia" w:cs="宋体"/>
          <w:b/>
          <w:sz w:val="24"/>
          <w:lang w:bidi="ar"/>
        </w:rPr>
        <w:t>基础的技术支撑及运维服务：</w:t>
      </w:r>
      <w:r>
        <w:rPr>
          <w:rFonts w:hint="eastAsia" w:cs="宋体"/>
          <w:sz w:val="24"/>
          <w:lang w:bidi="ar"/>
        </w:rPr>
        <w:t>要求在相关技术领域给予用户免费的系统知识层面的普及、咨询答复、培训和帮助。除不可抗力造成的服务中断外，因为其它问题导致服务中断的需要在规定时间负责修复。应按照国家有关部门涉及信息系统安全的有关规定，进行网络安全设备和信息安全等级保护的建设。同时负责网站除内容发布之外的技术运维工作以及网站安全防护工作。</w:t>
      </w:r>
    </w:p>
    <w:p w14:paraId="565F4353">
      <w:pPr>
        <w:spacing w:line="360" w:lineRule="auto"/>
        <w:ind w:right="-1" w:firstLine="482" w:firstLineChars="200"/>
        <w:rPr>
          <w:sz w:val="24"/>
        </w:rPr>
      </w:pPr>
      <w:r>
        <w:rPr>
          <w:rFonts w:hint="eastAsia" w:cs="宋体"/>
          <w:b/>
          <w:sz w:val="24"/>
          <w:lang w:bidi="ar"/>
        </w:rPr>
        <w:t>功能优化：</w:t>
      </w:r>
      <w:r>
        <w:rPr>
          <w:rFonts w:hint="eastAsia" w:cs="宋体"/>
          <w:sz w:val="24"/>
          <w:lang w:bidi="ar"/>
        </w:rPr>
        <w:t>服务期内网站后台的故障修复及平台性能优化调整。</w:t>
      </w:r>
    </w:p>
    <w:p w14:paraId="1FA6A74A">
      <w:pPr>
        <w:spacing w:line="360" w:lineRule="auto"/>
        <w:ind w:right="-1" w:firstLine="482" w:firstLineChars="200"/>
        <w:rPr>
          <w:sz w:val="24"/>
        </w:rPr>
      </w:pPr>
      <w:r>
        <w:rPr>
          <w:rFonts w:hint="eastAsia" w:cs="宋体"/>
          <w:b/>
          <w:sz w:val="24"/>
          <w:lang w:bidi="ar"/>
        </w:rPr>
        <w:t>网站培训：</w:t>
      </w:r>
      <w:r>
        <w:rPr>
          <w:rFonts w:hint="eastAsia" w:cs="宋体"/>
          <w:sz w:val="24"/>
          <w:lang w:bidi="ar"/>
        </w:rPr>
        <w:t>网站建设完成后需要针对信息保障人员进行操作培训。</w:t>
      </w:r>
    </w:p>
    <w:p w14:paraId="576C7715">
      <w:pPr>
        <w:spacing w:line="360" w:lineRule="auto"/>
        <w:ind w:right="-1" w:firstLine="482" w:firstLineChars="200"/>
        <w:rPr>
          <w:sz w:val="24"/>
        </w:rPr>
      </w:pPr>
      <w:r>
        <w:rPr>
          <w:rFonts w:hint="eastAsia" w:cs="宋体"/>
          <w:b/>
          <w:sz w:val="24"/>
          <w:lang w:bidi="ar"/>
        </w:rPr>
        <w:t>等级保护测评：</w:t>
      </w:r>
      <w:r>
        <w:rPr>
          <w:rFonts w:hint="eastAsia" w:cs="宋体"/>
          <w:sz w:val="24"/>
          <w:lang w:bidi="ar"/>
        </w:rPr>
        <w:t>需要按照要求对网站进行三级等保测评。</w:t>
      </w:r>
    </w:p>
    <w:p w14:paraId="7721391E">
      <w:pPr>
        <w:spacing w:line="360" w:lineRule="auto"/>
        <w:ind w:right="-1" w:firstLine="482" w:firstLineChars="200"/>
        <w:rPr>
          <w:sz w:val="24"/>
        </w:rPr>
      </w:pPr>
      <w:r>
        <w:rPr>
          <w:rFonts w:hint="eastAsia" w:cs="宋体"/>
          <w:b/>
          <w:sz w:val="24"/>
          <w:lang w:bidi="ar"/>
        </w:rPr>
        <w:t>用户中心对接：</w:t>
      </w:r>
      <w:r>
        <w:rPr>
          <w:rFonts w:hint="eastAsia" w:cs="宋体"/>
          <w:sz w:val="24"/>
          <w:lang w:bidi="ar"/>
        </w:rPr>
        <w:t>根据国办政府网站发展指引和考评细则建设统一的用户中心功能</w:t>
      </w:r>
      <w:r>
        <w:rPr>
          <w:sz w:val="24"/>
          <w:lang w:bidi="ar"/>
        </w:rPr>
        <w:t>,</w:t>
      </w:r>
      <w:r>
        <w:rPr>
          <w:rFonts w:hint="eastAsia" w:cs="宋体"/>
          <w:sz w:val="24"/>
          <w:lang w:bidi="ar"/>
        </w:rPr>
        <w:t>实现一站式登录</w:t>
      </w:r>
      <w:r>
        <w:rPr>
          <w:sz w:val="24"/>
          <w:lang w:bidi="ar"/>
        </w:rPr>
        <w:t>,</w:t>
      </w:r>
      <w:r>
        <w:rPr>
          <w:rFonts w:hint="eastAsia" w:cs="宋体"/>
          <w:sz w:val="24"/>
          <w:lang w:bidi="ar"/>
        </w:rPr>
        <w:t>同时结合我省政务服务平台对数据的要求</w:t>
      </w:r>
      <w:r>
        <w:rPr>
          <w:sz w:val="24"/>
          <w:lang w:bidi="ar"/>
        </w:rPr>
        <w:t>,</w:t>
      </w:r>
      <w:r>
        <w:rPr>
          <w:rFonts w:hint="eastAsia" w:cs="宋体"/>
          <w:sz w:val="24"/>
          <w:lang w:bidi="ar"/>
        </w:rPr>
        <w:t>要求全省政府门户网站用户中心要依托全省统一身份认证平台进行注册和登录认证。</w:t>
      </w:r>
    </w:p>
    <w:p w14:paraId="50992198">
      <w:pPr>
        <w:spacing w:line="360" w:lineRule="auto"/>
        <w:ind w:right="-1" w:firstLine="482" w:firstLineChars="200"/>
        <w:rPr>
          <w:sz w:val="24"/>
        </w:rPr>
      </w:pPr>
      <w:r>
        <w:rPr>
          <w:rFonts w:hint="eastAsia" w:cs="宋体"/>
          <w:b/>
          <w:sz w:val="24"/>
          <w:lang w:bidi="ar"/>
        </w:rPr>
        <w:t>数据同源对接：</w:t>
      </w:r>
      <w:r>
        <w:rPr>
          <w:rFonts w:hint="eastAsia" w:cs="宋体"/>
          <w:sz w:val="24"/>
          <w:lang w:bidi="ar"/>
        </w:rPr>
        <w:t>按照市政府检测平台的对接要求，实现与市政府门户网站群平台的检测数据及信息发布数据的同源对接。如：互动交流信件数据、依申请公开信件数据及相关信件的办理流程监管对接、栏目更新情况的数据对接等，实现全站数据的办理</w:t>
      </w:r>
      <w:r>
        <w:rPr>
          <w:sz w:val="24"/>
          <w:lang w:bidi="ar"/>
        </w:rPr>
        <w:t>/</w:t>
      </w:r>
      <w:r>
        <w:rPr>
          <w:rFonts w:hint="eastAsia" w:cs="宋体"/>
          <w:sz w:val="24"/>
          <w:lang w:bidi="ar"/>
        </w:rPr>
        <w:t>管理</w:t>
      </w:r>
      <w:r>
        <w:rPr>
          <w:sz w:val="24"/>
          <w:lang w:bidi="ar"/>
        </w:rPr>
        <w:t>/</w:t>
      </w:r>
      <w:r>
        <w:rPr>
          <w:rFonts w:hint="eastAsia" w:cs="宋体"/>
          <w:sz w:val="24"/>
          <w:lang w:bidi="ar"/>
        </w:rPr>
        <w:t>监测的对接，实现数据源的唯一性和完整性。</w:t>
      </w:r>
    </w:p>
    <w:p w14:paraId="1DAA9B10">
      <w:pPr>
        <w:spacing w:line="360" w:lineRule="auto"/>
        <w:ind w:right="-1" w:firstLine="482" w:firstLineChars="200"/>
        <w:rPr>
          <w:sz w:val="24"/>
        </w:rPr>
      </w:pPr>
      <w:r>
        <w:rPr>
          <w:b/>
          <w:sz w:val="24"/>
          <w:lang w:bidi="ar"/>
        </w:rPr>
        <w:t>IPV6</w:t>
      </w:r>
      <w:r>
        <w:rPr>
          <w:rFonts w:hint="eastAsia" w:cs="宋体"/>
          <w:b/>
          <w:sz w:val="24"/>
          <w:lang w:bidi="ar"/>
        </w:rPr>
        <w:t>平台改造：</w:t>
      </w:r>
      <w:r>
        <w:rPr>
          <w:rFonts w:hint="eastAsia" w:cs="宋体"/>
          <w:sz w:val="24"/>
          <w:lang w:bidi="ar"/>
        </w:rPr>
        <w:t>对网站平台系统进行协议改造，使之对</w:t>
      </w:r>
      <w:r>
        <w:rPr>
          <w:sz w:val="24"/>
          <w:lang w:bidi="ar"/>
        </w:rPr>
        <w:t>IPV4</w:t>
      </w:r>
      <w:r>
        <w:rPr>
          <w:rFonts w:hint="eastAsia" w:cs="宋体"/>
          <w:sz w:val="24"/>
          <w:lang w:bidi="ar"/>
        </w:rPr>
        <w:t>和</w:t>
      </w:r>
      <w:r>
        <w:rPr>
          <w:sz w:val="24"/>
          <w:lang w:bidi="ar"/>
        </w:rPr>
        <w:t>IPV6</w:t>
      </w:r>
      <w:r>
        <w:rPr>
          <w:rFonts w:hint="eastAsia" w:cs="宋体"/>
          <w:sz w:val="24"/>
          <w:lang w:bidi="ar"/>
        </w:rPr>
        <w:t>双栈支持</w:t>
      </w:r>
    </w:p>
    <w:p w14:paraId="350B7C4C">
      <w:pPr>
        <w:spacing w:line="360" w:lineRule="auto"/>
        <w:ind w:right="-1" w:firstLine="482" w:firstLineChars="200"/>
        <w:rPr>
          <w:sz w:val="24"/>
        </w:rPr>
      </w:pPr>
      <w:r>
        <w:rPr>
          <w:rFonts w:hint="eastAsia" w:cs="宋体"/>
          <w:b/>
          <w:sz w:val="24"/>
          <w:lang w:bidi="ar"/>
        </w:rPr>
        <w:t>页面标签标准化改造：</w:t>
      </w:r>
      <w:r>
        <w:rPr>
          <w:rFonts w:hint="eastAsia" w:cs="宋体"/>
          <w:sz w:val="24"/>
          <w:lang w:bidi="ar"/>
        </w:rPr>
        <w:t>根据国办网站发展指引要求，对门户网站的模板标签进行标准化改造调整，对网站首页、栏目页、内容页等页面的</w:t>
      </w:r>
      <w:r>
        <w:rPr>
          <w:sz w:val="24"/>
          <w:lang w:bidi="ar"/>
        </w:rPr>
        <w:t>mate</w:t>
      </w:r>
      <w:r>
        <w:rPr>
          <w:rFonts w:hint="eastAsia" w:cs="宋体"/>
          <w:sz w:val="24"/>
          <w:lang w:bidi="ar"/>
        </w:rPr>
        <w:t>标签进行标准化改造。</w:t>
      </w:r>
    </w:p>
    <w:p w14:paraId="14AC2E07">
      <w:pPr>
        <w:spacing w:line="360" w:lineRule="auto"/>
        <w:ind w:right="-1" w:firstLine="482" w:firstLineChars="200"/>
        <w:rPr>
          <w:sz w:val="24"/>
        </w:rPr>
      </w:pPr>
      <w:r>
        <w:rPr>
          <w:rFonts w:hint="eastAsia" w:cs="宋体"/>
          <w:b/>
          <w:sz w:val="24"/>
          <w:lang w:bidi="ar"/>
        </w:rPr>
        <w:t>无障碍浏览：</w:t>
      </w:r>
      <w:r>
        <w:rPr>
          <w:rFonts w:hint="eastAsia" w:cs="宋体"/>
          <w:sz w:val="24"/>
          <w:lang w:bidi="ar"/>
        </w:rPr>
        <w:t>根据《中国残疾人联合会</w:t>
      </w:r>
      <w:r>
        <w:rPr>
          <w:sz w:val="24"/>
          <w:lang w:bidi="ar"/>
        </w:rPr>
        <w:t xml:space="preserve"> </w:t>
      </w:r>
      <w:r>
        <w:rPr>
          <w:rFonts w:hint="eastAsia" w:cs="宋体"/>
          <w:sz w:val="24"/>
          <w:lang w:bidi="ar"/>
        </w:rPr>
        <w:t>国家互联网信息办公室关于加强网站无障碍服务能力建设的指导意见》和</w:t>
      </w:r>
      <w:r>
        <w:rPr>
          <w:sz w:val="24"/>
          <w:lang w:bidi="ar"/>
        </w:rPr>
        <w:t>2017</w:t>
      </w:r>
      <w:r>
        <w:rPr>
          <w:rFonts w:hint="eastAsia" w:cs="宋体"/>
          <w:sz w:val="24"/>
          <w:lang w:bidi="ar"/>
        </w:rPr>
        <w:t>国办下发的政府网站发展指引以及最新的政务门户网站和新媒体考评细则等文件的要求，增加网站无障碍浏览工具条模块，如页面放大缩小</w:t>
      </w:r>
      <w:r>
        <w:rPr>
          <w:sz w:val="24"/>
          <w:lang w:bidi="ar"/>
        </w:rPr>
        <w:t>/</w:t>
      </w:r>
      <w:r>
        <w:rPr>
          <w:rFonts w:hint="eastAsia" w:cs="宋体"/>
          <w:sz w:val="24"/>
          <w:lang w:bidi="ar"/>
        </w:rPr>
        <w:t>阅读</w:t>
      </w:r>
      <w:r>
        <w:rPr>
          <w:sz w:val="24"/>
          <w:lang w:bidi="ar"/>
        </w:rPr>
        <w:t>/</w:t>
      </w:r>
      <w:r>
        <w:rPr>
          <w:rFonts w:hint="eastAsia" w:cs="宋体"/>
          <w:sz w:val="24"/>
          <w:lang w:bidi="ar"/>
        </w:rPr>
        <w:t>辅助线等功能，满足残疾人对浏览政务门户网站的需求。此功能要求在服务期内免费升级和调整，满足考评的技术标准，同时进行与网站主题设计的适配和优化。</w:t>
      </w:r>
    </w:p>
    <w:p w14:paraId="2C6E81C9">
      <w:pPr>
        <w:spacing w:line="360" w:lineRule="auto"/>
        <w:ind w:right="-1" w:firstLine="482" w:firstLineChars="200"/>
        <w:rPr>
          <w:sz w:val="24"/>
        </w:rPr>
      </w:pPr>
      <w:r>
        <w:rPr>
          <w:rFonts w:hint="eastAsia" w:cs="宋体"/>
          <w:b/>
          <w:sz w:val="24"/>
          <w:lang w:bidi="ar"/>
        </w:rPr>
        <w:t>全文（智能）检索：</w:t>
      </w:r>
      <w:r>
        <w:rPr>
          <w:rFonts w:hint="eastAsia" w:cs="宋体"/>
          <w:sz w:val="24"/>
          <w:lang w:bidi="ar"/>
        </w:rPr>
        <w:t>根据国办印发的政府网站发展指引要求</w:t>
      </w:r>
      <w:r>
        <w:rPr>
          <w:sz w:val="24"/>
          <w:lang w:bidi="ar"/>
        </w:rPr>
        <w:t>,</w:t>
      </w:r>
      <w:r>
        <w:rPr>
          <w:rFonts w:hint="eastAsia" w:cs="宋体"/>
          <w:sz w:val="24"/>
          <w:lang w:bidi="ar"/>
        </w:rPr>
        <w:t>以及最新的政务网站考评细则要求</w:t>
      </w:r>
      <w:r>
        <w:rPr>
          <w:sz w:val="24"/>
          <w:lang w:bidi="ar"/>
        </w:rPr>
        <w:t>,</w:t>
      </w:r>
      <w:r>
        <w:rPr>
          <w:rFonts w:hint="eastAsia" w:cs="宋体"/>
          <w:sz w:val="24"/>
          <w:lang w:bidi="ar"/>
        </w:rPr>
        <w:t>对政府网站实现全文检索功能</w:t>
      </w:r>
      <w:r>
        <w:rPr>
          <w:sz w:val="24"/>
          <w:lang w:bidi="ar"/>
        </w:rPr>
        <w:t>,</w:t>
      </w:r>
      <w:r>
        <w:rPr>
          <w:rFonts w:hint="eastAsia" w:cs="宋体"/>
          <w:sz w:val="24"/>
          <w:lang w:bidi="ar"/>
        </w:rPr>
        <w:t>支持检索时间</w:t>
      </w:r>
      <w:r>
        <w:rPr>
          <w:sz w:val="24"/>
          <w:lang w:bidi="ar"/>
        </w:rPr>
        <w:t>/</w:t>
      </w:r>
      <w:r>
        <w:rPr>
          <w:rFonts w:hint="eastAsia" w:cs="宋体"/>
          <w:sz w:val="24"/>
          <w:lang w:bidi="ar"/>
        </w:rPr>
        <w:t>检索效率</w:t>
      </w:r>
      <w:r>
        <w:rPr>
          <w:sz w:val="24"/>
          <w:lang w:bidi="ar"/>
        </w:rPr>
        <w:t>/</w:t>
      </w:r>
      <w:r>
        <w:rPr>
          <w:rFonts w:hint="eastAsia" w:cs="宋体"/>
          <w:sz w:val="24"/>
          <w:lang w:bidi="ar"/>
        </w:rPr>
        <w:t>检索分类</w:t>
      </w:r>
      <w:r>
        <w:rPr>
          <w:sz w:val="24"/>
          <w:lang w:bidi="ar"/>
        </w:rPr>
        <w:t>/</w:t>
      </w:r>
      <w:r>
        <w:rPr>
          <w:rFonts w:hint="eastAsia" w:cs="宋体"/>
          <w:sz w:val="24"/>
          <w:lang w:bidi="ar"/>
        </w:rPr>
        <w:t>检索内容等功能支持</w:t>
      </w:r>
      <w:r>
        <w:rPr>
          <w:sz w:val="24"/>
          <w:lang w:bidi="ar"/>
        </w:rPr>
        <w:t>,</w:t>
      </w:r>
      <w:r>
        <w:rPr>
          <w:rFonts w:hint="eastAsia" w:cs="宋体"/>
          <w:sz w:val="24"/>
          <w:lang w:bidi="ar"/>
        </w:rPr>
        <w:t>以及实现与各类业务数据接口的扩充</w:t>
      </w:r>
      <w:r>
        <w:rPr>
          <w:sz w:val="24"/>
          <w:lang w:bidi="ar"/>
        </w:rPr>
        <w:t>,</w:t>
      </w:r>
      <w:r>
        <w:rPr>
          <w:rFonts w:hint="eastAsia" w:cs="宋体"/>
          <w:sz w:val="24"/>
          <w:lang w:bidi="ar"/>
        </w:rPr>
        <w:t>实现基于大数据服务的全文检索</w:t>
      </w:r>
      <w:r>
        <w:rPr>
          <w:sz w:val="24"/>
          <w:lang w:bidi="ar"/>
        </w:rPr>
        <w:t>,</w:t>
      </w:r>
      <w:r>
        <w:rPr>
          <w:rFonts w:hint="eastAsia" w:cs="宋体"/>
          <w:sz w:val="24"/>
          <w:lang w:bidi="ar"/>
        </w:rPr>
        <w:t>以及对版式文件和格式文件的检索。</w:t>
      </w:r>
    </w:p>
    <w:p w14:paraId="2675BB30">
      <w:pPr>
        <w:spacing w:line="360" w:lineRule="auto"/>
        <w:ind w:right="-1" w:firstLine="482" w:firstLineChars="200"/>
        <w:rPr>
          <w:sz w:val="24"/>
        </w:rPr>
      </w:pPr>
      <w:r>
        <w:rPr>
          <w:rFonts w:hint="eastAsia" w:cs="宋体"/>
          <w:b/>
          <w:sz w:val="24"/>
          <w:lang w:bidi="ar"/>
        </w:rPr>
        <w:t>智能机器人（智能问答）：</w:t>
      </w:r>
      <w:r>
        <w:rPr>
          <w:rFonts w:hint="eastAsia" w:cs="宋体"/>
          <w:sz w:val="24"/>
          <w:lang w:bidi="ar"/>
        </w:rPr>
        <w:t>根据国办印发的政府网站发展指引要求，以及最新的政务网站考评细则要求，增加智能机器人功能，实现智能客服的问答操作，要求机器人要有自我学习能力，通过不断的优化升级，进行自我学习提升。同时要求与全文智能检索实现接口对接，智能机器人服务端要支持前端词条的记录和分析，自动生成报表，不断实现自我学习和灵活的词条维护，同时支持与市级站群平台机器人管理系统的数据对接实现数据词语的共享。</w:t>
      </w:r>
    </w:p>
    <w:p w14:paraId="0D9AD8A3">
      <w:pPr>
        <w:spacing w:line="360" w:lineRule="auto"/>
        <w:ind w:right="-1" w:firstLine="482" w:firstLineChars="200"/>
        <w:rPr>
          <w:sz w:val="24"/>
        </w:rPr>
      </w:pPr>
      <w:r>
        <w:rPr>
          <w:rFonts w:hint="eastAsia" w:cs="宋体"/>
          <w:b/>
          <w:sz w:val="24"/>
          <w:lang w:bidi="ar"/>
        </w:rPr>
        <w:t>空栏目</w:t>
      </w:r>
      <w:r>
        <w:rPr>
          <w:b/>
          <w:sz w:val="24"/>
          <w:lang w:bidi="ar"/>
        </w:rPr>
        <w:t>/</w:t>
      </w:r>
      <w:r>
        <w:rPr>
          <w:rFonts w:hint="eastAsia" w:cs="宋体"/>
          <w:b/>
          <w:sz w:val="24"/>
          <w:lang w:bidi="ar"/>
        </w:rPr>
        <w:t>长期不更新</w:t>
      </w:r>
      <w:r>
        <w:rPr>
          <w:b/>
          <w:sz w:val="24"/>
          <w:lang w:bidi="ar"/>
        </w:rPr>
        <w:t>/</w:t>
      </w:r>
      <w:r>
        <w:rPr>
          <w:rFonts w:hint="eastAsia" w:cs="宋体"/>
          <w:b/>
          <w:sz w:val="24"/>
          <w:lang w:bidi="ar"/>
        </w:rPr>
        <w:t>错别字检测提醒：</w:t>
      </w:r>
      <w:r>
        <w:rPr>
          <w:rFonts w:hint="eastAsia" w:cs="宋体"/>
          <w:sz w:val="24"/>
          <w:lang w:bidi="ar"/>
        </w:rPr>
        <w:t>对网站运维中栏目运维的空栏目检测和长期不更新检测进行提醒和督办，对信息发布的错别字和敏感词进行检测提醒。</w:t>
      </w:r>
    </w:p>
    <w:p w14:paraId="0875A189">
      <w:pPr>
        <w:spacing w:line="360" w:lineRule="auto"/>
        <w:ind w:right="-1" w:firstLine="482" w:firstLineChars="200"/>
        <w:rPr>
          <w:sz w:val="24"/>
        </w:rPr>
      </w:pPr>
      <w:r>
        <w:rPr>
          <w:rFonts w:hint="eastAsia" w:cs="宋体"/>
          <w:b/>
          <w:sz w:val="24"/>
          <w:lang w:bidi="ar"/>
        </w:rPr>
        <w:t>死链接检测提醒：</w:t>
      </w:r>
      <w:r>
        <w:rPr>
          <w:rFonts w:hint="eastAsia" w:cs="宋体"/>
          <w:sz w:val="24"/>
          <w:lang w:bidi="ar"/>
        </w:rPr>
        <w:t>对网站全站链接进行检测提醒，并深度检测链接状态和信息，防止暗链。</w:t>
      </w:r>
    </w:p>
    <w:p w14:paraId="23C2C0B7">
      <w:pPr>
        <w:spacing w:line="360" w:lineRule="auto"/>
        <w:ind w:right="-1" w:firstLine="482" w:firstLineChars="200"/>
        <w:rPr>
          <w:sz w:val="24"/>
        </w:rPr>
      </w:pPr>
      <w:r>
        <w:rPr>
          <w:rFonts w:hint="eastAsia" w:cs="宋体"/>
          <w:b/>
          <w:sz w:val="24"/>
          <w:lang w:bidi="ar"/>
        </w:rPr>
        <w:t>短信提醒：</w:t>
      </w:r>
      <w:r>
        <w:rPr>
          <w:rFonts w:hint="eastAsia" w:cs="宋体"/>
          <w:sz w:val="24"/>
          <w:lang w:bidi="ar"/>
        </w:rPr>
        <w:t>对网站各类检测数据以及信件办理过程中的消息进行提醒和短信推送。</w:t>
      </w:r>
    </w:p>
    <w:p w14:paraId="0167EBF3">
      <w:pPr>
        <w:spacing w:line="360" w:lineRule="auto"/>
        <w:ind w:right="-1" w:firstLine="482" w:firstLineChars="200"/>
        <w:rPr>
          <w:sz w:val="24"/>
        </w:rPr>
      </w:pPr>
      <w:r>
        <w:rPr>
          <w:rFonts w:hint="eastAsia" w:cs="宋体"/>
          <w:b/>
          <w:sz w:val="24"/>
          <w:lang w:bidi="ar"/>
        </w:rPr>
        <w:t>安全检测扫描：</w:t>
      </w:r>
      <w:r>
        <w:rPr>
          <w:rFonts w:hint="eastAsia" w:cs="宋体"/>
          <w:sz w:val="24"/>
          <w:lang w:bidi="ar"/>
        </w:rPr>
        <w:t>定期对网站进行安全检测和扫描，并根据用户需要导出检测报告。协助用户完成日常关于网站运维的表格统计和数据报表与上级主管部门的上报工作。</w:t>
      </w:r>
    </w:p>
    <w:p w14:paraId="0AD376FD">
      <w:pPr>
        <w:spacing w:line="360" w:lineRule="auto"/>
        <w:ind w:right="-1" w:firstLine="482" w:firstLineChars="200"/>
        <w:rPr>
          <w:sz w:val="24"/>
        </w:rPr>
      </w:pPr>
      <w:r>
        <w:rPr>
          <w:rFonts w:hint="eastAsia" w:cs="宋体"/>
          <w:b/>
          <w:sz w:val="24"/>
          <w:lang w:bidi="ar"/>
        </w:rPr>
        <w:t>移动微门户：</w:t>
      </w:r>
      <w:r>
        <w:rPr>
          <w:rFonts w:hint="eastAsia" w:cs="宋体"/>
          <w:sz w:val="24"/>
          <w:lang w:bidi="ar"/>
        </w:rPr>
        <w:t>根据技术要求和指标，对门户网站的前端进行移动设备的适配升级，支持手机、</w:t>
      </w:r>
      <w:r>
        <w:rPr>
          <w:sz w:val="24"/>
          <w:lang w:bidi="ar"/>
        </w:rPr>
        <w:t xml:space="preserve"> </w:t>
      </w:r>
      <w:r>
        <w:rPr>
          <w:rFonts w:hint="eastAsia" w:cs="宋体"/>
          <w:sz w:val="24"/>
          <w:lang w:bidi="ar"/>
        </w:rPr>
        <w:t>平板等设备界面，要求界面美观，功能丰富。同时与网站数据无缝对接，在服务期内不断升级迭代，优化移动终端的访问效果。</w:t>
      </w:r>
    </w:p>
    <w:p w14:paraId="6D8873BE">
      <w:pPr>
        <w:spacing w:line="360" w:lineRule="auto"/>
        <w:ind w:right="-1" w:firstLine="482" w:firstLineChars="200"/>
        <w:rPr>
          <w:rFonts w:cs="宋体"/>
          <w:sz w:val="24"/>
          <w:lang w:bidi="ar"/>
        </w:rPr>
      </w:pPr>
      <w:r>
        <w:rPr>
          <w:rFonts w:hint="eastAsia" w:cs="宋体"/>
          <w:b/>
          <w:sz w:val="24"/>
          <w:lang w:bidi="ar"/>
        </w:rPr>
        <w:t>健康运行检测平台：</w:t>
      </w:r>
      <w:r>
        <w:rPr>
          <w:rFonts w:hint="eastAsia" w:cs="宋体"/>
          <w:sz w:val="24"/>
          <w:lang w:bidi="ar"/>
        </w:rPr>
        <w:t>根据以上各类检测数据的汇总分析，形成检测平台，并根据要求实现各类检测数据与市政府检测平台数据的对接和传输。</w:t>
      </w:r>
    </w:p>
    <w:p w14:paraId="289D8FF2">
      <w:pPr>
        <w:spacing w:line="360" w:lineRule="auto"/>
        <w:ind w:firstLine="482" w:firstLineChars="200"/>
        <w:outlineLvl w:val="3"/>
        <w:rPr>
          <w:b/>
          <w:bCs/>
          <w:sz w:val="24"/>
        </w:rPr>
      </w:pPr>
      <w:r>
        <w:rPr>
          <w:b/>
          <w:bCs/>
          <w:sz w:val="24"/>
        </w:rPr>
        <w:t>2、软件技术要求</w:t>
      </w:r>
    </w:p>
    <w:p w14:paraId="3FA7F601">
      <w:pPr>
        <w:widowControl/>
        <w:spacing w:line="360" w:lineRule="auto"/>
        <w:ind w:firstLine="482" w:firstLineChars="200"/>
        <w:jc w:val="left"/>
        <w:rPr>
          <w:b/>
          <w:bCs/>
          <w:sz w:val="24"/>
        </w:rPr>
      </w:pPr>
      <w:r>
        <w:rPr>
          <w:b/>
          <w:bCs/>
          <w:sz w:val="24"/>
        </w:rPr>
        <w:t>（1）平台架构要求</w:t>
      </w:r>
    </w:p>
    <w:p w14:paraId="29955BF5">
      <w:pPr>
        <w:spacing w:line="360" w:lineRule="auto"/>
        <w:ind w:right="-1" w:firstLine="480" w:firstLineChars="200"/>
        <w:rPr>
          <w:sz w:val="24"/>
        </w:rPr>
      </w:pPr>
      <w:r>
        <w:rPr>
          <w:sz w:val="24"/>
        </w:rPr>
        <w:t>本次升级要依托现有正在运行的平台进行无缝升级，依托全市站群管理平台架构进行定制性开发升级，不得改变现有的架构和运行模式。供应商须出具关于与市政府门户网站群无缝对接的承诺函。</w:t>
      </w:r>
    </w:p>
    <w:p w14:paraId="61F58671">
      <w:pPr>
        <w:spacing w:line="360" w:lineRule="auto"/>
        <w:ind w:right="-1" w:firstLine="480" w:firstLineChars="200"/>
        <w:rPr>
          <w:sz w:val="24"/>
        </w:rPr>
      </w:pPr>
      <w:r>
        <w:rPr>
          <w:sz w:val="24"/>
        </w:rPr>
        <w:t>平台要依托现有的技术平台进行无缝的升级开发，要求开发语言为.NET，版本号为4.5以上，平台采用松耦合开发模式，无缝与现有平台进行对接升级，不能影响现有平台的安全、稳定运行，数据库要求采用SQLserver2012或以上版本（同时支持后期可以灵活的升级到Oracle或其他数据库），系统开发采用 xml 标准与 WebService 标准，为信息采集、聚合提供多种信息接口标准，为第三方系统信息导入提供支持；提供组件化的数据接口，保证多平台数据交换与应用整合，为第三方应用系统提供统一用户管理接口。</w:t>
      </w:r>
    </w:p>
    <w:p w14:paraId="23337EFC">
      <w:pPr>
        <w:widowControl/>
        <w:spacing w:line="360" w:lineRule="auto"/>
        <w:ind w:firstLine="482" w:firstLineChars="200"/>
        <w:jc w:val="left"/>
        <w:rPr>
          <w:b/>
          <w:bCs/>
          <w:sz w:val="24"/>
        </w:rPr>
      </w:pPr>
      <w:r>
        <w:rPr>
          <w:b/>
          <w:bCs/>
          <w:sz w:val="24"/>
        </w:rPr>
        <w:t>（2）平台安全要求</w:t>
      </w:r>
    </w:p>
    <w:p w14:paraId="099B4C89">
      <w:pPr>
        <w:spacing w:line="360" w:lineRule="auto"/>
        <w:ind w:right="-1" w:firstLine="480" w:firstLineChars="200"/>
        <w:rPr>
          <w:sz w:val="24"/>
        </w:rPr>
      </w:pPr>
      <w:r>
        <w:rPr>
          <w:sz w:val="24"/>
        </w:rPr>
        <w:t>区政府门户网站运行于电子政务外网，采用前后台隔离式部署，前端部署于电子政务外网互联网区域，后台运行于电子政务外网公共网络区域，要求本次升级开发要遵循电子政务外网的标准规范，提升平台整体的安全性和稳定性，符合电子政务外网系统结构和功能性要求。支持分布式部署和分布式计算。</w:t>
      </w:r>
    </w:p>
    <w:p w14:paraId="25D3E615">
      <w:pPr>
        <w:spacing w:line="360" w:lineRule="auto"/>
        <w:ind w:firstLine="482" w:firstLineChars="200"/>
        <w:outlineLvl w:val="3"/>
        <w:rPr>
          <w:b/>
          <w:bCs/>
          <w:sz w:val="24"/>
        </w:rPr>
      </w:pPr>
      <w:r>
        <w:rPr>
          <w:b/>
          <w:bCs/>
          <w:sz w:val="24"/>
        </w:rPr>
        <w:t>3、软件售后服务</w:t>
      </w:r>
    </w:p>
    <w:p w14:paraId="4D2E83F4">
      <w:pPr>
        <w:widowControl/>
        <w:spacing w:line="360" w:lineRule="auto"/>
        <w:ind w:firstLine="482" w:firstLineChars="200"/>
        <w:rPr>
          <w:b/>
          <w:bCs/>
          <w:sz w:val="24"/>
        </w:rPr>
      </w:pPr>
      <w:r>
        <w:rPr>
          <w:b/>
          <w:bCs/>
          <w:sz w:val="24"/>
        </w:rPr>
        <w:t>（1）服务概述</w:t>
      </w:r>
    </w:p>
    <w:p w14:paraId="0C88F6B2">
      <w:pPr>
        <w:spacing w:line="360" w:lineRule="auto"/>
        <w:ind w:right="-1" w:firstLine="480" w:firstLineChars="200"/>
        <w:rPr>
          <w:sz w:val="24"/>
        </w:rPr>
      </w:pPr>
      <w:r>
        <w:rPr>
          <w:sz w:val="24"/>
        </w:rPr>
        <w:t>本次采购的为区政府网站升级改版购买服务，供应商自项目最终验收通过之日起，正式提供运维服务，在合同约束的服务期内，对所提供的内容进行不断的优化升级，不断提升平台的性能和安全，提升服务质量水平，且相关升级不再另行收费，包含在本次升级改版购买服务项目内。</w:t>
      </w:r>
    </w:p>
    <w:p w14:paraId="7D6CAFFA">
      <w:pPr>
        <w:widowControl/>
        <w:spacing w:line="360" w:lineRule="auto"/>
        <w:ind w:firstLine="482" w:firstLineChars="200"/>
        <w:rPr>
          <w:b/>
          <w:bCs/>
          <w:sz w:val="24"/>
        </w:rPr>
      </w:pPr>
      <w:r>
        <w:rPr>
          <w:b/>
          <w:bCs/>
          <w:sz w:val="24"/>
        </w:rPr>
        <w:t>（2）服务要求</w:t>
      </w:r>
    </w:p>
    <w:p w14:paraId="4DA7F531">
      <w:pPr>
        <w:spacing w:line="360" w:lineRule="auto"/>
        <w:ind w:right="-1" w:firstLine="480" w:firstLineChars="200"/>
        <w:rPr>
          <w:sz w:val="24"/>
        </w:rPr>
      </w:pPr>
      <w:r>
        <w:rPr>
          <w:sz w:val="24"/>
        </w:rPr>
        <w:t>A、基本服务响应及维护</w:t>
      </w:r>
    </w:p>
    <w:p w14:paraId="3F763DE1">
      <w:pPr>
        <w:spacing w:line="360" w:lineRule="auto"/>
        <w:ind w:right="-1" w:firstLine="480" w:firstLineChars="200"/>
        <w:rPr>
          <w:sz w:val="24"/>
        </w:rPr>
      </w:pPr>
      <w:r>
        <w:rPr>
          <w:sz w:val="24"/>
        </w:rPr>
        <w:t>供应商应能提供 7*24小时的技术支持和服务，质量故障时12小时内现场响应；</w:t>
      </w:r>
    </w:p>
    <w:p w14:paraId="3630BBDA">
      <w:pPr>
        <w:spacing w:line="360" w:lineRule="auto"/>
        <w:ind w:right="-1" w:firstLine="480" w:firstLineChars="200"/>
        <w:rPr>
          <w:sz w:val="24"/>
        </w:rPr>
      </w:pPr>
      <w:r>
        <w:rPr>
          <w:sz w:val="24"/>
        </w:rPr>
        <w:t>供应商应提供应急处理方案；</w:t>
      </w:r>
    </w:p>
    <w:p w14:paraId="06A36F3E">
      <w:pPr>
        <w:spacing w:line="360" w:lineRule="auto"/>
        <w:ind w:right="-1" w:firstLine="480" w:firstLineChars="200"/>
        <w:rPr>
          <w:sz w:val="24"/>
        </w:rPr>
      </w:pPr>
      <w:r>
        <w:rPr>
          <w:sz w:val="24"/>
        </w:rPr>
        <w:t>供应商应能提供远程诊断服务及时解决软件系统产生的各种问题；</w:t>
      </w:r>
    </w:p>
    <w:p w14:paraId="46EF5738">
      <w:pPr>
        <w:spacing w:line="360" w:lineRule="auto"/>
        <w:ind w:right="-1" w:firstLine="480" w:firstLineChars="200"/>
        <w:rPr>
          <w:sz w:val="24"/>
        </w:rPr>
      </w:pPr>
      <w:r>
        <w:rPr>
          <w:sz w:val="24"/>
        </w:rPr>
        <w:t>供应商应能提供系统管理咨询服务解决使用过程中的各种疑难问题；</w:t>
      </w:r>
    </w:p>
    <w:p w14:paraId="66F1D3F0">
      <w:pPr>
        <w:spacing w:line="360" w:lineRule="auto"/>
        <w:ind w:right="-1" w:firstLine="480" w:firstLineChars="200"/>
        <w:rPr>
          <w:sz w:val="24"/>
        </w:rPr>
      </w:pPr>
      <w:r>
        <w:rPr>
          <w:sz w:val="24"/>
        </w:rPr>
        <w:t>系统试运行结束前，供应商应提供“系统运行管理制度”、“绩效评估考核办法”</w:t>
      </w:r>
    </w:p>
    <w:p w14:paraId="665C7ACC">
      <w:pPr>
        <w:spacing w:line="360" w:lineRule="auto"/>
        <w:ind w:right="-1" w:firstLine="480" w:firstLineChars="200"/>
        <w:rPr>
          <w:sz w:val="24"/>
        </w:rPr>
      </w:pPr>
      <w:r>
        <w:rPr>
          <w:sz w:val="24"/>
        </w:rPr>
        <w:t>供应商必须向采购人承诺质保期内的免费技术支持， 对相关软件提供质保期内的免费升级。</w:t>
      </w:r>
    </w:p>
    <w:p w14:paraId="04DFD16F">
      <w:pPr>
        <w:spacing w:line="360" w:lineRule="auto"/>
        <w:ind w:right="-1" w:firstLine="480" w:firstLineChars="200"/>
        <w:rPr>
          <w:sz w:val="24"/>
        </w:rPr>
      </w:pPr>
      <w:r>
        <w:rPr>
          <w:sz w:val="24"/>
        </w:rPr>
        <w:t>供应商必须提供不少于5人的研发运维团队，可以及时保障本次升级服务的服务质量。</w:t>
      </w:r>
    </w:p>
    <w:p w14:paraId="19724354">
      <w:pPr>
        <w:spacing w:line="360" w:lineRule="auto"/>
        <w:ind w:right="-1" w:firstLine="480" w:firstLineChars="200"/>
        <w:rPr>
          <w:sz w:val="24"/>
        </w:rPr>
      </w:pPr>
      <w:r>
        <w:rPr>
          <w:sz w:val="24"/>
        </w:rPr>
        <w:t>B、扩展服务</w:t>
      </w:r>
    </w:p>
    <w:p w14:paraId="4F8DA33D">
      <w:pPr>
        <w:spacing w:line="360" w:lineRule="auto"/>
        <w:ind w:right="-1" w:firstLine="480" w:firstLineChars="200"/>
        <w:rPr>
          <w:sz w:val="24"/>
        </w:rPr>
      </w:pPr>
      <w:r>
        <w:rPr>
          <w:sz w:val="24"/>
        </w:rPr>
        <w:t>供应商应能提供系统运行评估服务、信息咨询服务、软件的补丁服务、软件补丁包安装服务等；</w:t>
      </w:r>
    </w:p>
    <w:p w14:paraId="07BC3E12">
      <w:pPr>
        <w:spacing w:line="360" w:lineRule="auto"/>
        <w:ind w:right="-1" w:firstLine="480" w:firstLineChars="200"/>
        <w:rPr>
          <w:sz w:val="24"/>
        </w:rPr>
      </w:pPr>
      <w:r>
        <w:rPr>
          <w:sz w:val="24"/>
        </w:rPr>
        <w:t>系统改进或扩容所需的软件，按不高于首期供货折扣提供；</w:t>
      </w:r>
    </w:p>
    <w:p w14:paraId="5BA5E306">
      <w:pPr>
        <w:spacing w:line="360" w:lineRule="auto"/>
        <w:ind w:right="-1" w:firstLine="480" w:firstLineChars="200"/>
        <w:rPr>
          <w:sz w:val="24"/>
        </w:rPr>
      </w:pPr>
      <w:r>
        <w:rPr>
          <w:sz w:val="24"/>
        </w:rPr>
        <w:t>系统拓展或变更所需的软件，同样按不高于首期供货折扣提供；</w:t>
      </w:r>
    </w:p>
    <w:p w14:paraId="060336A6">
      <w:pPr>
        <w:spacing w:line="360" w:lineRule="auto"/>
        <w:ind w:right="-1" w:firstLine="480" w:firstLineChars="200"/>
        <w:rPr>
          <w:sz w:val="24"/>
        </w:rPr>
      </w:pPr>
      <w:r>
        <w:rPr>
          <w:sz w:val="24"/>
        </w:rPr>
        <w:t>为后期其它应用系统的集成提供技术支持；</w:t>
      </w:r>
    </w:p>
    <w:p w14:paraId="44542D23">
      <w:pPr>
        <w:spacing w:line="360" w:lineRule="auto"/>
        <w:ind w:right="-1" w:firstLine="480" w:firstLineChars="200"/>
        <w:rPr>
          <w:sz w:val="24"/>
        </w:rPr>
      </w:pPr>
      <w:r>
        <w:rPr>
          <w:sz w:val="24"/>
        </w:rPr>
        <w:t>C、售后服务人员的列表</w:t>
      </w:r>
    </w:p>
    <w:p w14:paraId="6C545F58">
      <w:pPr>
        <w:spacing w:line="360" w:lineRule="auto"/>
        <w:ind w:right="-1" w:firstLine="480" w:firstLineChars="200"/>
        <w:rPr>
          <w:sz w:val="24"/>
        </w:rPr>
      </w:pPr>
      <w:r>
        <w:rPr>
          <w:sz w:val="24"/>
        </w:rPr>
        <w:t>本项目主要技术支持人员、售后服务人员一览表，含电话、 QQ、EMAIL 联系方式 (及时更新，含质保期满后）</w:t>
      </w:r>
    </w:p>
    <w:p w14:paraId="7BDAA5AE">
      <w:pPr>
        <w:spacing w:line="360" w:lineRule="auto"/>
        <w:outlineLvl w:val="2"/>
        <w:rPr>
          <w:b/>
          <w:bCs/>
          <w:sz w:val="24"/>
        </w:rPr>
      </w:pPr>
      <w:r>
        <w:rPr>
          <w:rFonts w:hint="eastAsia" w:ascii="宋体" w:hAnsi="宋体" w:cs="宋体"/>
          <w:b/>
          <w:bCs/>
          <w:sz w:val="36"/>
          <w:szCs w:val="36"/>
        </w:rPr>
        <w:br w:type="page"/>
      </w:r>
      <w:r>
        <w:rPr>
          <w:b/>
          <w:bCs/>
          <w:sz w:val="24"/>
        </w:rPr>
        <w:t>（</w:t>
      </w:r>
      <w:r>
        <w:rPr>
          <w:rFonts w:hint="eastAsia"/>
          <w:b/>
          <w:bCs/>
          <w:sz w:val="24"/>
        </w:rPr>
        <w:t>七</w:t>
      </w:r>
      <w:r>
        <w:rPr>
          <w:b/>
          <w:bCs/>
          <w:sz w:val="24"/>
        </w:rPr>
        <w:t>）</w:t>
      </w:r>
      <w:r>
        <w:rPr>
          <w:rFonts w:hint="eastAsia"/>
          <w:b/>
          <w:bCs/>
          <w:sz w:val="24"/>
        </w:rPr>
        <w:t>办公业务资源网服务需求描述</w:t>
      </w:r>
    </w:p>
    <w:p w14:paraId="0B27220D">
      <w:pPr>
        <w:spacing w:line="360" w:lineRule="auto"/>
        <w:ind w:right="-1" w:firstLine="480" w:firstLineChars="200"/>
        <w:rPr>
          <w:sz w:val="24"/>
        </w:rPr>
      </w:pPr>
      <w:r>
        <w:rPr>
          <w:rFonts w:hint="eastAsia"/>
          <w:sz w:val="24"/>
        </w:rPr>
        <w:t>按照《河南省数字政府建设工作领导小组办公室关于加快推进省政府办公业务资源网整合工作的通知》（豫数政办 〔2024〕4 号）、《河南省推进政府职能转变和数字政府建设领导小组办公室关于省政府办公业务资源网整合工作的提醒函》和《平顶山市人民政府办公业务资源网迁移整合实施方案》文件要求，结合我区政府办公业务资源网现状，对区办公业务资源网进行迁移整合。提供满足文件要求的服务，配备相应网络设施、安全设施。依据平顶山市办公业务资源网应用相关要求，办公业务资源网数据中心使用市级统一数据中心平台；提供软硬件基础支撑服务基于办公业务资源网运行的应用平台，包括协同办公、移动办公、电子签章、短信平台使用市级统一平台。</w:t>
      </w:r>
    </w:p>
    <w:p w14:paraId="775200B8">
      <w:pPr>
        <w:spacing w:line="360" w:lineRule="auto"/>
        <w:ind w:firstLine="482" w:firstLineChars="200"/>
        <w:outlineLvl w:val="3"/>
        <w:rPr>
          <w:b/>
          <w:bCs/>
          <w:sz w:val="24"/>
        </w:rPr>
      </w:pPr>
      <w:r>
        <w:rPr>
          <w:b/>
          <w:bCs/>
          <w:sz w:val="24"/>
        </w:rPr>
        <w:t>1、</w:t>
      </w:r>
      <w:r>
        <w:rPr>
          <w:rFonts w:hint="eastAsia"/>
          <w:b/>
          <w:bCs/>
          <w:sz w:val="24"/>
        </w:rPr>
        <w:t>办公业务资源网网络运维服务</w:t>
      </w:r>
    </w:p>
    <w:p w14:paraId="1FF2954C">
      <w:pPr>
        <w:widowControl/>
        <w:spacing w:line="360" w:lineRule="auto"/>
        <w:ind w:firstLine="482" w:firstLineChars="200"/>
        <w:rPr>
          <w:b/>
          <w:bCs/>
          <w:sz w:val="24"/>
        </w:rPr>
      </w:pPr>
      <w:r>
        <w:rPr>
          <w:rFonts w:hint="eastAsia"/>
          <w:b/>
          <w:bCs/>
          <w:sz w:val="24"/>
        </w:rPr>
        <w:t>（1）建立本地化的服务队伍</w:t>
      </w:r>
    </w:p>
    <w:p w14:paraId="3856413A">
      <w:pPr>
        <w:spacing w:line="360" w:lineRule="auto"/>
        <w:ind w:right="-1" w:firstLine="480" w:firstLineChars="200"/>
        <w:rPr>
          <w:sz w:val="24"/>
        </w:rPr>
      </w:pPr>
      <w:r>
        <w:rPr>
          <w:rFonts w:hint="eastAsia"/>
          <w:sz w:val="24"/>
        </w:rPr>
        <w:t>成立本地化的运维服务团队，积极响应和解决新城区办公业务资源网项目在实际运行过程中出现的突发问题以及提供相关的技术咨询服务，服务团队提供7*24小时不间断的电话支撑，并将根据实际情况安排相应工程师进行现场的问题解决服务，10分钟技术响应，1小时的问题响应，2小时技术响应解决，保障数据中心基础网络。</w:t>
      </w:r>
    </w:p>
    <w:p w14:paraId="601125E2">
      <w:pPr>
        <w:widowControl/>
        <w:spacing w:line="360" w:lineRule="auto"/>
        <w:ind w:firstLine="482" w:firstLineChars="200"/>
        <w:rPr>
          <w:b/>
          <w:bCs/>
          <w:sz w:val="24"/>
        </w:rPr>
      </w:pPr>
      <w:r>
        <w:rPr>
          <w:rFonts w:hint="eastAsia"/>
          <w:b/>
          <w:bCs/>
          <w:sz w:val="24"/>
        </w:rPr>
        <w:t>（2）并提供日常巡检维护服务</w:t>
      </w:r>
    </w:p>
    <w:p w14:paraId="0CE74AD0">
      <w:pPr>
        <w:widowControl/>
        <w:numPr>
          <w:ilvl w:val="0"/>
          <w:numId w:val="8"/>
        </w:numPr>
        <w:spacing w:line="360" w:lineRule="auto"/>
        <w:ind w:left="0" w:firstLine="200"/>
        <w:jc w:val="left"/>
        <w:rPr>
          <w:sz w:val="24"/>
        </w:rPr>
      </w:pPr>
      <w:r>
        <w:rPr>
          <w:rFonts w:hint="eastAsia"/>
          <w:sz w:val="24"/>
        </w:rPr>
        <w:t>用户的系统运行情况的定期检查、优化;</w:t>
      </w:r>
    </w:p>
    <w:p w14:paraId="202DBCC5">
      <w:pPr>
        <w:widowControl/>
        <w:numPr>
          <w:ilvl w:val="0"/>
          <w:numId w:val="8"/>
        </w:numPr>
        <w:spacing w:line="360" w:lineRule="auto"/>
        <w:ind w:left="0" w:firstLine="200"/>
        <w:jc w:val="left"/>
        <w:rPr>
          <w:sz w:val="24"/>
        </w:rPr>
      </w:pPr>
      <w:r>
        <w:rPr>
          <w:rFonts w:hint="eastAsia"/>
          <w:sz w:val="24"/>
        </w:rPr>
        <w:t>维护系统的建设和完善；</w:t>
      </w:r>
    </w:p>
    <w:p w14:paraId="15AF95AE">
      <w:pPr>
        <w:widowControl/>
        <w:numPr>
          <w:ilvl w:val="0"/>
          <w:numId w:val="8"/>
        </w:numPr>
        <w:spacing w:line="360" w:lineRule="auto"/>
        <w:ind w:left="0" w:firstLine="200"/>
        <w:jc w:val="left"/>
        <w:rPr>
          <w:rFonts w:ascii="仿宋" w:hAnsi="仿宋" w:eastAsia="仿宋" w:cs="仿宋"/>
          <w:sz w:val="24"/>
        </w:rPr>
      </w:pPr>
      <w:r>
        <w:rPr>
          <w:rFonts w:hint="eastAsia"/>
          <w:sz w:val="24"/>
        </w:rPr>
        <w:t>一般技术问题的咨询或者远程解决</w:t>
      </w:r>
      <w:r>
        <w:rPr>
          <w:rFonts w:hint="eastAsia" w:ascii="仿宋" w:hAnsi="仿宋" w:eastAsia="仿宋" w:cs="仿宋"/>
          <w:sz w:val="24"/>
        </w:rPr>
        <w:t>。</w:t>
      </w:r>
    </w:p>
    <w:p w14:paraId="0C0DEBF6">
      <w:pPr>
        <w:spacing w:line="360" w:lineRule="auto"/>
        <w:ind w:right="-1" w:firstLine="480" w:firstLineChars="200"/>
        <w:rPr>
          <w:sz w:val="24"/>
        </w:rPr>
      </w:pPr>
      <w:r>
        <w:rPr>
          <w:rFonts w:hint="eastAsia"/>
          <w:sz w:val="24"/>
        </w:rPr>
        <w:t>维护工作的主要职责就是确保系统的正常稳定运行，日常的维护内容包括但不限于以下内容：</w:t>
      </w:r>
    </w:p>
    <w:p w14:paraId="0D21F53E">
      <w:pPr>
        <w:widowControl/>
        <w:numPr>
          <w:ilvl w:val="0"/>
          <w:numId w:val="8"/>
        </w:numPr>
        <w:spacing w:line="360" w:lineRule="auto"/>
        <w:ind w:left="0" w:firstLine="200"/>
        <w:jc w:val="left"/>
        <w:rPr>
          <w:rFonts w:ascii="黑体" w:hAnsi="黑体" w:eastAsia="黑体" w:cs="黑体"/>
          <w:sz w:val="24"/>
        </w:rPr>
      </w:pPr>
      <w:r>
        <w:rPr>
          <w:rFonts w:hint="eastAsia" w:ascii="黑体" w:hAnsi="黑体" w:eastAsia="黑体" w:cs="黑体"/>
          <w:sz w:val="24"/>
        </w:rPr>
        <w:t>数据库维护：</w:t>
      </w:r>
    </w:p>
    <w:p w14:paraId="6AC9F9D4">
      <w:pPr>
        <w:spacing w:line="360" w:lineRule="auto"/>
        <w:ind w:right="-1" w:firstLine="480" w:firstLineChars="200"/>
        <w:rPr>
          <w:sz w:val="24"/>
        </w:rPr>
      </w:pPr>
      <w:r>
        <w:rPr>
          <w:rFonts w:hint="eastAsia"/>
          <w:sz w:val="24"/>
        </w:rPr>
        <w:t>数据库参数调整及优化；</w:t>
      </w:r>
    </w:p>
    <w:p w14:paraId="61821D98">
      <w:pPr>
        <w:spacing w:line="360" w:lineRule="auto"/>
        <w:ind w:right="-1" w:firstLine="480" w:firstLineChars="200"/>
        <w:rPr>
          <w:sz w:val="24"/>
        </w:rPr>
      </w:pPr>
      <w:r>
        <w:rPr>
          <w:rFonts w:hint="eastAsia"/>
          <w:sz w:val="24"/>
        </w:rPr>
        <w:t>数据库备份及故障恢复；</w:t>
      </w:r>
    </w:p>
    <w:p w14:paraId="57B6397E">
      <w:pPr>
        <w:spacing w:line="360" w:lineRule="auto"/>
        <w:ind w:right="-1" w:firstLine="480" w:firstLineChars="200"/>
        <w:rPr>
          <w:sz w:val="24"/>
        </w:rPr>
      </w:pPr>
      <w:r>
        <w:rPr>
          <w:rFonts w:hint="eastAsia"/>
          <w:sz w:val="24"/>
        </w:rPr>
        <w:t>数据库升级维护；</w:t>
      </w:r>
    </w:p>
    <w:p w14:paraId="04C8787C">
      <w:pPr>
        <w:spacing w:line="360" w:lineRule="auto"/>
        <w:ind w:right="-1" w:firstLine="480" w:firstLineChars="200"/>
        <w:rPr>
          <w:sz w:val="24"/>
        </w:rPr>
      </w:pPr>
      <w:r>
        <w:rPr>
          <w:rFonts w:hint="eastAsia"/>
          <w:sz w:val="24"/>
        </w:rPr>
        <w:t>数据库常见问题解答；</w:t>
      </w:r>
    </w:p>
    <w:p w14:paraId="19C2DB21">
      <w:pPr>
        <w:spacing w:line="360" w:lineRule="auto"/>
        <w:ind w:right="-1" w:firstLine="480" w:firstLineChars="200"/>
        <w:rPr>
          <w:sz w:val="24"/>
        </w:rPr>
      </w:pPr>
      <w:r>
        <w:rPr>
          <w:rFonts w:hint="eastAsia"/>
          <w:sz w:val="24"/>
        </w:rPr>
        <w:t>数据库故障修复；</w:t>
      </w:r>
    </w:p>
    <w:p w14:paraId="635D4FA9">
      <w:pPr>
        <w:widowControl/>
        <w:numPr>
          <w:ilvl w:val="0"/>
          <w:numId w:val="8"/>
        </w:numPr>
        <w:spacing w:line="360" w:lineRule="auto"/>
        <w:ind w:left="0" w:firstLine="200"/>
        <w:jc w:val="left"/>
        <w:rPr>
          <w:rFonts w:ascii="黑体" w:hAnsi="黑体" w:eastAsia="黑体" w:cs="黑体"/>
          <w:sz w:val="24"/>
        </w:rPr>
      </w:pPr>
      <w:r>
        <w:rPr>
          <w:rFonts w:hint="eastAsia" w:ascii="黑体" w:hAnsi="黑体" w:eastAsia="黑体" w:cs="黑体"/>
          <w:sz w:val="24"/>
        </w:rPr>
        <w:t>应用系统维护：</w:t>
      </w:r>
    </w:p>
    <w:p w14:paraId="0DC5FBF6">
      <w:pPr>
        <w:spacing w:line="360" w:lineRule="auto"/>
        <w:ind w:right="-1" w:firstLine="480" w:firstLineChars="200"/>
        <w:rPr>
          <w:sz w:val="24"/>
        </w:rPr>
      </w:pPr>
      <w:r>
        <w:rPr>
          <w:rFonts w:hint="eastAsia"/>
          <w:sz w:val="24"/>
        </w:rPr>
        <w:t>应用系统性能调整及优化；</w:t>
      </w:r>
    </w:p>
    <w:p w14:paraId="7F5FBF9D">
      <w:pPr>
        <w:spacing w:line="360" w:lineRule="auto"/>
        <w:ind w:right="-1" w:firstLine="480" w:firstLineChars="200"/>
        <w:rPr>
          <w:sz w:val="24"/>
        </w:rPr>
      </w:pPr>
      <w:r>
        <w:rPr>
          <w:rFonts w:hint="eastAsia"/>
          <w:sz w:val="24"/>
        </w:rPr>
        <w:t>应用系统日常维护；</w:t>
      </w:r>
    </w:p>
    <w:p w14:paraId="1746F388">
      <w:pPr>
        <w:spacing w:line="360" w:lineRule="auto"/>
        <w:ind w:right="-1" w:firstLine="480" w:firstLineChars="200"/>
        <w:rPr>
          <w:sz w:val="24"/>
        </w:rPr>
      </w:pPr>
      <w:r>
        <w:rPr>
          <w:rFonts w:hint="eastAsia"/>
          <w:sz w:val="24"/>
        </w:rPr>
        <w:t>应用系统故障维护；</w:t>
      </w:r>
    </w:p>
    <w:p w14:paraId="17F967E0">
      <w:pPr>
        <w:spacing w:line="360" w:lineRule="auto"/>
        <w:ind w:right="-1" w:firstLine="480" w:firstLineChars="200"/>
        <w:rPr>
          <w:sz w:val="24"/>
        </w:rPr>
      </w:pPr>
      <w:r>
        <w:rPr>
          <w:rFonts w:hint="eastAsia"/>
          <w:sz w:val="24"/>
        </w:rPr>
        <w:t>应用系统数据加载维护。</w:t>
      </w:r>
    </w:p>
    <w:p w14:paraId="5612AA15">
      <w:pPr>
        <w:widowControl/>
        <w:numPr>
          <w:ilvl w:val="0"/>
          <w:numId w:val="8"/>
        </w:numPr>
        <w:spacing w:line="360" w:lineRule="auto"/>
        <w:ind w:left="0" w:firstLine="200"/>
        <w:jc w:val="left"/>
        <w:rPr>
          <w:rFonts w:ascii="黑体" w:hAnsi="黑体" w:eastAsia="黑体" w:cs="黑体"/>
          <w:sz w:val="24"/>
        </w:rPr>
      </w:pPr>
      <w:r>
        <w:rPr>
          <w:rFonts w:hint="eastAsia" w:ascii="黑体" w:hAnsi="黑体" w:eastAsia="黑体" w:cs="黑体"/>
          <w:sz w:val="24"/>
        </w:rPr>
        <w:t>基础网络维护：</w:t>
      </w:r>
    </w:p>
    <w:p w14:paraId="2513B9D4">
      <w:pPr>
        <w:spacing w:line="360" w:lineRule="auto"/>
        <w:ind w:right="-1" w:firstLine="480" w:firstLineChars="200"/>
        <w:rPr>
          <w:sz w:val="24"/>
        </w:rPr>
      </w:pPr>
      <w:r>
        <w:rPr>
          <w:rFonts w:hint="eastAsia"/>
          <w:sz w:val="24"/>
        </w:rPr>
        <w:t>数据中心基础网络日常维护；</w:t>
      </w:r>
    </w:p>
    <w:p w14:paraId="00CCB776">
      <w:pPr>
        <w:spacing w:line="360" w:lineRule="auto"/>
        <w:ind w:right="-1" w:firstLine="480" w:firstLineChars="200"/>
        <w:rPr>
          <w:sz w:val="24"/>
        </w:rPr>
      </w:pPr>
      <w:r>
        <w:rPr>
          <w:rFonts w:hint="eastAsia"/>
          <w:sz w:val="24"/>
        </w:rPr>
        <w:t>数据中心网络设备故障维护；</w:t>
      </w:r>
    </w:p>
    <w:p w14:paraId="48A6DB3F">
      <w:pPr>
        <w:spacing w:line="360" w:lineRule="auto"/>
        <w:ind w:right="-1" w:firstLine="480" w:firstLineChars="200"/>
        <w:rPr>
          <w:sz w:val="24"/>
        </w:rPr>
      </w:pPr>
      <w:r>
        <w:rPr>
          <w:rFonts w:hint="eastAsia"/>
          <w:sz w:val="24"/>
        </w:rPr>
        <w:t>资源网虚拟专网的维护和监测；</w:t>
      </w:r>
    </w:p>
    <w:p w14:paraId="4435CE43">
      <w:pPr>
        <w:spacing w:line="360" w:lineRule="auto"/>
        <w:ind w:firstLine="482" w:firstLineChars="200"/>
        <w:outlineLvl w:val="3"/>
        <w:rPr>
          <w:b/>
          <w:bCs/>
          <w:sz w:val="24"/>
        </w:rPr>
      </w:pPr>
      <w:r>
        <w:rPr>
          <w:rFonts w:hint="eastAsia"/>
          <w:b/>
          <w:bCs/>
          <w:sz w:val="24"/>
        </w:rPr>
        <w:t>2</w:t>
      </w:r>
      <w:r>
        <w:rPr>
          <w:b/>
          <w:bCs/>
          <w:sz w:val="24"/>
        </w:rPr>
        <w:t>、</w:t>
      </w:r>
      <w:r>
        <w:rPr>
          <w:rFonts w:hint="eastAsia"/>
          <w:b/>
          <w:bCs/>
          <w:sz w:val="24"/>
        </w:rPr>
        <w:t>政府政务办公云平台软硬件基础支撑服务</w:t>
      </w:r>
    </w:p>
    <w:p w14:paraId="5F36C57E">
      <w:pPr>
        <w:spacing w:line="360" w:lineRule="auto"/>
        <w:ind w:right="-1" w:firstLine="480" w:firstLineChars="200"/>
        <w:rPr>
          <w:sz w:val="24"/>
        </w:rPr>
      </w:pPr>
      <w:r>
        <w:rPr>
          <w:rFonts w:hint="eastAsia"/>
          <w:sz w:val="24"/>
        </w:rPr>
        <w:t>（1）提供政府政务办公云平台运行所需的软硬件支撑服务，服务包括计算、存储、运行内存、数据库、中间件等软硬件基础支撑资源，其中，基础支撑软硬件要按照相关国家标准要求，符合国产化的适配要求。</w:t>
      </w:r>
    </w:p>
    <w:p w14:paraId="534354DB">
      <w:pPr>
        <w:spacing w:line="360" w:lineRule="auto"/>
        <w:ind w:right="-1" w:firstLine="480" w:firstLineChars="200"/>
        <w:rPr>
          <w:sz w:val="24"/>
        </w:rPr>
      </w:pPr>
      <w:r>
        <w:rPr>
          <w:rFonts w:hint="eastAsia"/>
          <w:sz w:val="24"/>
        </w:rPr>
        <w:t>应用软件基于B/S的三层体系架构，采用界面表示、业务逻辑、数据操作相分离的模式，客户不能直接与数据库交互，它首先与中间层联系，中间层实例化服务器应用程序，并管理服务器对象，将结果返回给客户。</w:t>
      </w:r>
    </w:p>
    <w:p w14:paraId="591B267B">
      <w:pPr>
        <w:spacing w:line="360" w:lineRule="auto"/>
        <w:ind w:right="-1" w:firstLine="480" w:firstLineChars="200"/>
        <w:rPr>
          <w:sz w:val="24"/>
        </w:rPr>
      </w:pPr>
      <w:r>
        <w:rPr>
          <w:rFonts w:hint="eastAsia"/>
          <w:sz w:val="24"/>
        </w:rPr>
        <w:t>数据库管理软件是办公业务资源网系统的重要基础。办公业务资源网内网中心的数据库建设是政务管理信息系统支撑。对于那样是这样一个业务种类繁多、应用层次复杂的组织机构来说，为达到信息化的目标，需要做好数据库建设的规划，建立稳定的数据库指标体系，选用安全、稳定、可靠的数据库管理系统来实现各部门的应用系统间的数据共享和业务协同。</w:t>
      </w:r>
      <w:bookmarkStart w:id="155" w:name="_Toc306978064"/>
      <w:bookmarkEnd w:id="155"/>
      <w:bookmarkStart w:id="156" w:name="_Toc306978063"/>
      <w:bookmarkEnd w:id="156"/>
      <w:r>
        <w:rPr>
          <w:rFonts w:hint="eastAsia"/>
          <w:sz w:val="24"/>
        </w:rPr>
        <w:t>数据库采用Oracle或国产安全可控的数据库集群软件作为数据库基础软件。</w:t>
      </w:r>
    </w:p>
    <w:p w14:paraId="01A01D1F">
      <w:pPr>
        <w:spacing w:line="360" w:lineRule="auto"/>
        <w:ind w:right="-1" w:firstLine="480" w:firstLineChars="200"/>
        <w:rPr>
          <w:sz w:val="24"/>
        </w:rPr>
      </w:pPr>
      <w:r>
        <w:rPr>
          <w:rFonts w:hint="eastAsia"/>
          <w:sz w:val="24"/>
        </w:rPr>
        <w:t>（2）网络资源访问控制。为不同类型的用户设置不同的访问级别，确保所有用户的访问请求都符合安全政策、阻止未经授权的用户或恶意攻击者获取政务信息或破坏政务系统。合理地分配资源访问权限，使得政务信息化的工作流程更加顺畅，同时保证信息安全不被泄露。记录用户的异常行为,便于排除故障及安全事件后的调查，网络控制基于办公业务资源网虚拟专网，要满足或实现“专网、专机、专人、专用”，确保网络和平台的安全和稳定。</w:t>
      </w:r>
    </w:p>
    <w:p w14:paraId="7689D8F8">
      <w:pPr>
        <w:widowControl/>
        <w:spacing w:line="360" w:lineRule="auto"/>
        <w:ind w:left="358" w:firstLine="482" w:firstLineChars="200"/>
        <w:rPr>
          <w:b/>
          <w:bCs/>
          <w:sz w:val="24"/>
        </w:rPr>
      </w:pPr>
      <w:r>
        <w:rPr>
          <w:rFonts w:hint="eastAsia"/>
          <w:b/>
          <w:bCs/>
          <w:sz w:val="24"/>
        </w:rPr>
        <w:t>1）、服务设备与功能</w:t>
      </w:r>
    </w:p>
    <w:p w14:paraId="21559077">
      <w:pPr>
        <w:spacing w:line="360" w:lineRule="auto"/>
        <w:ind w:right="-1" w:firstLine="480" w:firstLineChars="200"/>
        <w:rPr>
          <w:sz w:val="24"/>
        </w:rPr>
      </w:pPr>
      <w:r>
        <w:rPr>
          <w:rFonts w:hint="eastAsia"/>
          <w:sz w:val="24"/>
        </w:rPr>
        <w:t>结合我区信息化建设的现状，按照和国家、省、市有关要求，业务平台部署在办公业务资源网数据中心，满足国产化适配的要求，区政府不用另行建设数据中心，实现“集约、节约、可管、可控”的建设，资源网虚拟专网的数据中心需要提供以下服务或满足以下功能。</w:t>
      </w:r>
    </w:p>
    <w:p w14:paraId="6A93F9AC">
      <w:pPr>
        <w:spacing w:line="360" w:lineRule="auto"/>
        <w:ind w:right="-1" w:firstLine="480" w:firstLineChars="200"/>
        <w:rPr>
          <w:sz w:val="24"/>
        </w:rPr>
      </w:pPr>
      <w:bookmarkStart w:id="157" w:name="_Hlk180417383"/>
      <w:bookmarkEnd w:id="157"/>
      <w:r>
        <w:rPr>
          <w:rFonts w:hint="eastAsia"/>
          <w:sz w:val="24"/>
        </w:rPr>
        <w:t>（一）提供国产化的基础软硬件环境，包括但不限于服务器、中间件等；</w:t>
      </w:r>
    </w:p>
    <w:p w14:paraId="49DE3086">
      <w:pPr>
        <w:spacing w:line="360" w:lineRule="auto"/>
        <w:ind w:right="-1" w:firstLine="480" w:firstLineChars="200"/>
        <w:rPr>
          <w:sz w:val="24"/>
        </w:rPr>
      </w:pPr>
      <w:r>
        <w:rPr>
          <w:rFonts w:hint="eastAsia"/>
          <w:sz w:val="24"/>
        </w:rPr>
        <w:t>（二）部署的机房环境要满足三级等保要求，符合B类机房建设标准；并按国家要求做好等保备案工作。</w:t>
      </w:r>
    </w:p>
    <w:p w14:paraId="6BF853E0">
      <w:pPr>
        <w:spacing w:line="360" w:lineRule="auto"/>
        <w:ind w:right="-1" w:firstLine="480" w:firstLineChars="200"/>
        <w:rPr>
          <w:sz w:val="24"/>
        </w:rPr>
      </w:pPr>
      <w:r>
        <w:rPr>
          <w:rFonts w:hint="eastAsia"/>
          <w:sz w:val="24"/>
        </w:rPr>
        <w:t>（三）与平顶山市级资源网虚拟专网的核心对接，实现网络接入服务；</w:t>
      </w:r>
    </w:p>
    <w:p w14:paraId="30B6B85B">
      <w:pPr>
        <w:spacing w:line="360" w:lineRule="auto"/>
        <w:ind w:right="-1" w:firstLine="480" w:firstLineChars="200"/>
        <w:rPr>
          <w:sz w:val="24"/>
        </w:rPr>
      </w:pPr>
      <w:r>
        <w:rPr>
          <w:rFonts w:hint="eastAsia"/>
          <w:sz w:val="24"/>
        </w:rPr>
        <w:t>（四）要有完备的安全防护，确保平台和数据的安全可控；</w:t>
      </w:r>
    </w:p>
    <w:p w14:paraId="6CCB37D3">
      <w:pPr>
        <w:spacing w:line="360" w:lineRule="auto"/>
        <w:ind w:right="-1" w:firstLine="480" w:firstLineChars="200"/>
        <w:rPr>
          <w:sz w:val="24"/>
        </w:rPr>
      </w:pPr>
      <w:r>
        <w:rPr>
          <w:rFonts w:hint="eastAsia"/>
          <w:sz w:val="24"/>
        </w:rPr>
        <w:t>（五）网络资源访问控制要实现与市级平台的对接，实现网络接入的联动授权和访问控制；</w:t>
      </w:r>
    </w:p>
    <w:p w14:paraId="4B297F68">
      <w:pPr>
        <w:widowControl/>
        <w:spacing w:line="360" w:lineRule="auto"/>
        <w:ind w:firstLine="482" w:firstLineChars="200"/>
        <w:rPr>
          <w:b/>
          <w:bCs/>
          <w:sz w:val="24"/>
        </w:rPr>
      </w:pPr>
      <w:r>
        <w:rPr>
          <w:rFonts w:hint="eastAsia"/>
          <w:b/>
          <w:bCs/>
          <w:sz w:val="24"/>
        </w:rPr>
        <w:t>2）、政府政务办公云平台应用软件服务</w:t>
      </w:r>
    </w:p>
    <w:p w14:paraId="12098609">
      <w:pPr>
        <w:spacing w:line="360" w:lineRule="auto"/>
        <w:ind w:right="-1" w:firstLine="480" w:firstLineChars="200"/>
        <w:rPr>
          <w:sz w:val="24"/>
        </w:rPr>
      </w:pPr>
      <w:r>
        <w:rPr>
          <w:rFonts w:hint="eastAsia"/>
          <w:sz w:val="24"/>
        </w:rPr>
        <w:t>目前，信息化的发展已充分展开，单位内部的业务应用系统很多，各系统间没有什么联系，且需要通过多个账户和密码登陆到不同的系统，极不方便。要求提供基于SSO单点登录、统一身份管理和统一信息发布的政府政务办公云平台解决方案。</w:t>
      </w:r>
    </w:p>
    <w:p w14:paraId="1267C52A">
      <w:pPr>
        <w:spacing w:line="360" w:lineRule="auto"/>
        <w:ind w:right="-1" w:firstLine="480" w:firstLineChars="200"/>
        <w:rPr>
          <w:sz w:val="24"/>
        </w:rPr>
      </w:pPr>
      <w:r>
        <w:rPr>
          <w:rFonts w:hint="eastAsia"/>
          <w:sz w:val="24"/>
        </w:rPr>
        <w:t>根据市政府要求，政府协同办公平台应依托全市办公业务资源网进行建设，应符合省、市相关建设规范和平顶山市关于办公业务资源网和协同办公平台建设的有关要求。县（区）办公业务资源网业务应用软件系统要求按照平顶山市人民政府办公室《关于推进全市政府系统电子政务建设工作的通知》（平政办[2011]11号）、《平顶山市人民政府办公室&lt;关于促进全市电子政务协调发展的实施意见&gt;》（平政办[2015]115号）、《平顶山市人民政府办公室&lt;关于在全市政府系统升级推广启用新版政务办公云平台系统的通知&gt;》（平政办明电[2018]209号）、《平顶山市人民政府办公室关于规范推进全市政府系统办公业务资源网及政务办公业务系统平台建设的通知》文件的要求进行建设；</w:t>
      </w:r>
    </w:p>
    <w:p w14:paraId="32039115">
      <w:pPr>
        <w:spacing w:line="360" w:lineRule="auto"/>
        <w:ind w:right="-1" w:firstLine="480" w:firstLineChars="200"/>
        <w:rPr>
          <w:sz w:val="24"/>
        </w:rPr>
      </w:pPr>
      <w:r>
        <w:rPr>
          <w:rFonts w:hint="eastAsia"/>
          <w:sz w:val="24"/>
        </w:rPr>
        <w:t>实现公文收发、公文阅办、文件审批、公文交换等一体化的政府文件审批流转办理，支持可视化流程在线编辑，实现灵活的自定义流程智能办理，提供公文流转审批和签发、阅办文的传阅签批、内部考勤、用车申请、财务报销等流程审阅和签批等功能。与市政府政务办公云平台完成对接，保障与政府公文的在线签批和流转。</w:t>
      </w:r>
    </w:p>
    <w:p w14:paraId="4DE1AEA4">
      <w:pPr>
        <w:spacing w:line="360" w:lineRule="auto"/>
        <w:ind w:right="-1" w:firstLine="480" w:firstLineChars="200"/>
        <w:rPr>
          <w:sz w:val="24"/>
        </w:rPr>
      </w:pPr>
      <w:r>
        <w:rPr>
          <w:rFonts w:hint="eastAsia"/>
          <w:sz w:val="24"/>
        </w:rPr>
        <w:t>发文管理：对流程发文的管理，如起草，审核，签批，归档等发文文件的处理，支持流程自定义可视化设置，能够支持较复杂的流程定义等功能。</w:t>
      </w:r>
    </w:p>
    <w:p w14:paraId="65F5A583">
      <w:pPr>
        <w:spacing w:line="360" w:lineRule="auto"/>
        <w:ind w:right="-1" w:firstLine="480" w:firstLineChars="200"/>
        <w:rPr>
          <w:sz w:val="24"/>
        </w:rPr>
      </w:pPr>
      <w:r>
        <w:rPr>
          <w:rFonts w:hint="eastAsia"/>
          <w:sz w:val="24"/>
        </w:rPr>
        <w:t>收文管理：对收文阅办的管理，如拟稿，阅办，转办，转发，归档等功能。接受上级部门文件，自动进行内部公文的转发，无需下载导入。</w:t>
      </w:r>
    </w:p>
    <w:p w14:paraId="1BDB8DED">
      <w:pPr>
        <w:spacing w:line="360" w:lineRule="auto"/>
        <w:ind w:right="-1" w:firstLine="480" w:firstLineChars="200"/>
        <w:rPr>
          <w:sz w:val="24"/>
        </w:rPr>
      </w:pPr>
      <w:r>
        <w:rPr>
          <w:rFonts w:hint="eastAsia"/>
          <w:sz w:val="24"/>
        </w:rPr>
        <w:t>公文传输：对正式公文文件的下发，上报，签章，打印控制等，依托全市办公业务资源网实现全市单位授权范围内的文件传输交换（含区市区单位）。</w:t>
      </w:r>
    </w:p>
    <w:p w14:paraId="50E06FD3">
      <w:pPr>
        <w:spacing w:line="360" w:lineRule="auto"/>
        <w:ind w:right="-1" w:firstLine="480" w:firstLineChars="200"/>
        <w:rPr>
          <w:sz w:val="24"/>
        </w:rPr>
      </w:pPr>
      <w:r>
        <w:rPr>
          <w:rFonts w:hint="eastAsia"/>
          <w:sz w:val="24"/>
        </w:rPr>
        <w:t>电子邮件：政务办公专网邮件系统。依托全市办公业务资源网实现全市单位授权范围内的文件传输交换（含区市区单位）。</w:t>
      </w:r>
    </w:p>
    <w:p w14:paraId="4D2ECA5E">
      <w:pPr>
        <w:spacing w:line="360" w:lineRule="auto"/>
        <w:ind w:right="-1" w:firstLine="480" w:firstLineChars="200"/>
        <w:rPr>
          <w:sz w:val="24"/>
        </w:rPr>
      </w:pPr>
      <w:r>
        <w:rPr>
          <w:rFonts w:hint="eastAsia"/>
          <w:sz w:val="24"/>
        </w:rPr>
        <w:t>文档知识库：对业务系统中的文档进行的分类管理以及授权分享查看打印等功能。</w:t>
      </w:r>
    </w:p>
    <w:p w14:paraId="17165463">
      <w:pPr>
        <w:spacing w:line="360" w:lineRule="auto"/>
        <w:ind w:right="-1" w:firstLine="480" w:firstLineChars="200"/>
        <w:rPr>
          <w:sz w:val="24"/>
        </w:rPr>
      </w:pPr>
      <w:r>
        <w:rPr>
          <w:rFonts w:hint="eastAsia"/>
          <w:sz w:val="24"/>
        </w:rPr>
        <w:t>系统设置：业务系统的相关流程配置，门户配置，接口配置，组织结构及人员信息配置等系统设置功能。</w:t>
      </w:r>
    </w:p>
    <w:p w14:paraId="4EB02471">
      <w:pPr>
        <w:widowControl/>
        <w:spacing w:line="360" w:lineRule="auto"/>
        <w:ind w:firstLine="482" w:firstLineChars="200"/>
        <w:rPr>
          <w:b/>
          <w:bCs/>
          <w:sz w:val="24"/>
        </w:rPr>
      </w:pPr>
      <w:bookmarkStart w:id="158" w:name="_Toc298247443"/>
      <w:bookmarkEnd w:id="158"/>
      <w:r>
        <w:rPr>
          <w:rFonts w:hint="eastAsia"/>
          <w:b/>
          <w:bCs/>
          <w:sz w:val="24"/>
        </w:rPr>
        <w:t>3）、政府政务办公云平台移动办公平台服务</w:t>
      </w:r>
    </w:p>
    <w:p w14:paraId="5672F205">
      <w:pPr>
        <w:spacing w:line="360" w:lineRule="auto"/>
        <w:ind w:right="-1" w:firstLine="480" w:firstLineChars="200"/>
        <w:rPr>
          <w:sz w:val="24"/>
        </w:rPr>
      </w:pPr>
      <w:r>
        <w:rPr>
          <w:rFonts w:hint="eastAsia"/>
          <w:sz w:val="24"/>
        </w:rPr>
        <w:t>待办事宜</w:t>
      </w:r>
      <w:r>
        <w:rPr>
          <w:rFonts w:hint="eastAsia"/>
          <w:sz w:val="24"/>
        </w:rPr>
        <w:tab/>
      </w:r>
      <w:r>
        <w:rPr>
          <w:rFonts w:hint="eastAsia"/>
          <w:sz w:val="24"/>
        </w:rPr>
        <w:t>与协同办公数据同步，处理需要待办的工作事宜；</w:t>
      </w:r>
    </w:p>
    <w:p w14:paraId="12BB8408">
      <w:pPr>
        <w:spacing w:line="360" w:lineRule="auto"/>
        <w:ind w:right="-1" w:firstLine="480" w:firstLineChars="200"/>
        <w:rPr>
          <w:sz w:val="24"/>
        </w:rPr>
      </w:pPr>
      <w:r>
        <w:rPr>
          <w:rFonts w:hint="eastAsia"/>
          <w:sz w:val="24"/>
        </w:rPr>
        <w:t>已办事宜</w:t>
      </w:r>
      <w:r>
        <w:rPr>
          <w:rFonts w:hint="eastAsia"/>
          <w:sz w:val="24"/>
        </w:rPr>
        <w:tab/>
      </w:r>
      <w:r>
        <w:rPr>
          <w:rFonts w:hint="eastAsia"/>
          <w:sz w:val="24"/>
        </w:rPr>
        <w:t>与协同办公数据同步，查看已经办过的工作事宜；</w:t>
      </w:r>
    </w:p>
    <w:p w14:paraId="3EC4F50F">
      <w:pPr>
        <w:spacing w:line="360" w:lineRule="auto"/>
        <w:ind w:right="-1" w:firstLine="480" w:firstLineChars="200"/>
        <w:rPr>
          <w:sz w:val="24"/>
        </w:rPr>
      </w:pPr>
      <w:r>
        <w:rPr>
          <w:rFonts w:hint="eastAsia"/>
          <w:sz w:val="24"/>
        </w:rPr>
        <w:t>办结事宜</w:t>
      </w:r>
      <w:r>
        <w:rPr>
          <w:rFonts w:hint="eastAsia"/>
          <w:sz w:val="24"/>
        </w:rPr>
        <w:tab/>
      </w:r>
      <w:r>
        <w:rPr>
          <w:rFonts w:hint="eastAsia"/>
          <w:sz w:val="24"/>
        </w:rPr>
        <w:t>与协同办公数据同步，查看已经办结的工作事宜；</w:t>
      </w:r>
    </w:p>
    <w:p w14:paraId="24FA053C">
      <w:pPr>
        <w:spacing w:line="360" w:lineRule="auto"/>
        <w:ind w:right="-1" w:firstLine="480" w:firstLineChars="200"/>
        <w:rPr>
          <w:sz w:val="24"/>
        </w:rPr>
      </w:pPr>
      <w:r>
        <w:rPr>
          <w:rFonts w:hint="eastAsia"/>
          <w:sz w:val="24"/>
        </w:rPr>
        <w:t>会议通知</w:t>
      </w:r>
      <w:r>
        <w:rPr>
          <w:rFonts w:hint="eastAsia"/>
          <w:sz w:val="24"/>
        </w:rPr>
        <w:tab/>
      </w:r>
      <w:r>
        <w:rPr>
          <w:rFonts w:hint="eastAsia"/>
          <w:sz w:val="24"/>
        </w:rPr>
        <w:t>与协同办公数据同步，处理与回复或查看会议通知内容；</w:t>
      </w:r>
    </w:p>
    <w:p w14:paraId="26A79EE6">
      <w:pPr>
        <w:spacing w:line="360" w:lineRule="auto"/>
        <w:ind w:right="-1" w:firstLine="480" w:firstLineChars="200"/>
        <w:rPr>
          <w:sz w:val="24"/>
        </w:rPr>
      </w:pPr>
      <w:r>
        <w:rPr>
          <w:rFonts w:hint="eastAsia"/>
          <w:sz w:val="24"/>
        </w:rPr>
        <w:t>交办管理</w:t>
      </w:r>
      <w:r>
        <w:rPr>
          <w:rFonts w:hint="eastAsia"/>
          <w:sz w:val="24"/>
        </w:rPr>
        <w:tab/>
      </w:r>
      <w:r>
        <w:rPr>
          <w:rFonts w:hint="eastAsia"/>
          <w:sz w:val="24"/>
        </w:rPr>
        <w:t>与协同办公数据同步，对领导或其他人员交办工作的处理和跟进；</w:t>
      </w:r>
    </w:p>
    <w:p w14:paraId="078797B4">
      <w:pPr>
        <w:spacing w:line="360" w:lineRule="auto"/>
        <w:ind w:right="-1" w:firstLine="480" w:firstLineChars="200"/>
        <w:rPr>
          <w:sz w:val="24"/>
        </w:rPr>
      </w:pPr>
      <w:r>
        <w:rPr>
          <w:rFonts w:hint="eastAsia"/>
          <w:sz w:val="24"/>
        </w:rPr>
        <w:t>安全管控</w:t>
      </w:r>
      <w:r>
        <w:rPr>
          <w:rFonts w:hint="eastAsia"/>
          <w:sz w:val="24"/>
        </w:rPr>
        <w:tab/>
      </w:r>
      <w:r>
        <w:rPr>
          <w:rFonts w:hint="eastAsia"/>
          <w:sz w:val="24"/>
        </w:rPr>
        <w:t>支持对移动设备硬件级绑定、手机号绑定、准入绑定、网络绑定等；</w:t>
      </w:r>
    </w:p>
    <w:p w14:paraId="77D38611">
      <w:pPr>
        <w:spacing w:line="360" w:lineRule="auto"/>
        <w:ind w:right="-1" w:firstLine="480" w:firstLineChars="200"/>
        <w:rPr>
          <w:sz w:val="24"/>
        </w:rPr>
      </w:pPr>
      <w:r>
        <w:rPr>
          <w:rFonts w:hint="eastAsia"/>
          <w:sz w:val="24"/>
        </w:rPr>
        <w:t>系统配置</w:t>
      </w:r>
      <w:r>
        <w:rPr>
          <w:rFonts w:hint="eastAsia"/>
          <w:sz w:val="24"/>
        </w:rPr>
        <w:tab/>
      </w:r>
      <w:r>
        <w:rPr>
          <w:rFonts w:hint="eastAsia"/>
          <w:sz w:val="24"/>
        </w:rPr>
        <w:t>系统支持灵活的功能配置以及功能模块的权限调整，支持不同人员不同岗位移动终端界面和功能模块显示；</w:t>
      </w:r>
    </w:p>
    <w:p w14:paraId="08CB246E">
      <w:pPr>
        <w:spacing w:line="360" w:lineRule="auto"/>
        <w:ind w:right="-1" w:firstLine="480" w:firstLineChars="200"/>
        <w:rPr>
          <w:sz w:val="24"/>
        </w:rPr>
      </w:pPr>
      <w:r>
        <w:rPr>
          <w:rFonts w:hint="eastAsia"/>
          <w:sz w:val="24"/>
        </w:rPr>
        <w:t>提供移动端OA个人办公的工作桌面，消息推送、待办事宜处理、协同OA信息查看、日程提醒、移动签到等功能，并支持图片、语音、位置上传等功能。</w:t>
      </w:r>
    </w:p>
    <w:p w14:paraId="744132F3">
      <w:pPr>
        <w:spacing w:line="360" w:lineRule="auto"/>
        <w:ind w:right="-1" w:firstLine="480" w:firstLineChars="200"/>
        <w:rPr>
          <w:sz w:val="24"/>
        </w:rPr>
      </w:pPr>
      <w:r>
        <w:rPr>
          <w:rFonts w:hint="eastAsia"/>
          <w:sz w:val="24"/>
        </w:rPr>
        <w:t>在政务办公平台基础上部署移动办公平台软件模块，提供独立APP，支持主流的安卓和鸿蒙操作系统，提供最核心的服务帮助领导抓住零碎时间，充分满足其随时随地办公的需求。手机移动办公系统界面采用宫格式的界面风格 、操作便捷简洁、提示明确 ，几乎不用培训就能上手。手机移动办公支持收发及时消息，审批流程、门户信息阅读，写工作日记、阅读员工日记，布置任务、汇报任务，安排日程、查看日程等日常移动办公业务。</w:t>
      </w:r>
    </w:p>
    <w:p w14:paraId="044C8DD1">
      <w:pPr>
        <w:spacing w:line="360" w:lineRule="auto"/>
        <w:ind w:right="-1" w:firstLine="480" w:firstLineChars="200"/>
        <w:rPr>
          <w:sz w:val="24"/>
        </w:rPr>
      </w:pPr>
      <w:r>
        <w:rPr>
          <w:rFonts w:hint="eastAsia"/>
          <w:sz w:val="24"/>
        </w:rPr>
        <w:t>实现与市政府协同办公云平台无缝对接，实现公文文件的上传下达，与市政府以及市直各单位文件流转的无缝对接。</w:t>
      </w:r>
    </w:p>
    <w:p w14:paraId="07E93005">
      <w:pPr>
        <w:widowControl/>
        <w:spacing w:line="360" w:lineRule="auto"/>
        <w:ind w:firstLine="482" w:firstLineChars="200"/>
        <w:rPr>
          <w:b/>
          <w:bCs/>
          <w:sz w:val="24"/>
        </w:rPr>
      </w:pPr>
      <w:bookmarkStart w:id="159" w:name="_Toc298247444"/>
      <w:bookmarkEnd w:id="159"/>
      <w:r>
        <w:rPr>
          <w:rFonts w:hint="eastAsia"/>
          <w:b/>
          <w:bCs/>
          <w:sz w:val="24"/>
        </w:rPr>
        <w:t>4）、政府政务办公云平台电子签章系统服务</w:t>
      </w:r>
    </w:p>
    <w:p w14:paraId="17E3DFEC">
      <w:pPr>
        <w:spacing w:line="360" w:lineRule="auto"/>
        <w:ind w:firstLine="480" w:firstLineChars="200"/>
        <w:rPr>
          <w:rFonts w:ascii="Times New Roman" w:hAnsi="Times New Roman" w:eastAsia="仿宋_GB2312"/>
          <w:sz w:val="24"/>
        </w:rPr>
      </w:pPr>
      <w:bookmarkStart w:id="160" w:name="_Toc298247445"/>
      <w:bookmarkEnd w:id="160"/>
      <w:r>
        <w:rPr>
          <w:rFonts w:hint="eastAsia" w:ascii="宋体" w:hAnsi="宋体" w:cs="宋体"/>
          <w:sz w:val="24"/>
          <w:lang w:bidi="ar"/>
        </w:rPr>
        <w:t>根据平顶山市人民政府办公室《关于推进全市政府系统电子政务建设工作的通知》（平政办</w:t>
      </w:r>
      <w:r>
        <w:rPr>
          <w:rFonts w:ascii="Times New Roman" w:hAnsi="Times New Roman" w:eastAsia="仿宋_GB2312"/>
          <w:sz w:val="24"/>
          <w:lang w:bidi="ar"/>
        </w:rPr>
        <w:t>[2011]11</w:t>
      </w:r>
      <w:r>
        <w:rPr>
          <w:rFonts w:hint="eastAsia" w:ascii="宋体" w:hAnsi="宋体" w:cs="宋体"/>
          <w:sz w:val="24"/>
          <w:lang w:bidi="ar"/>
        </w:rPr>
        <w:t>号）文件要求，全市要采用统一的电子签章验证系统。为后续的高可扩展性以及节约建设的原则，本次电子签章平台可直接采购与市政府电子签章验证管理平台一致的分中心管理授权即可，以及县级区域内的有关单位的签章客户端与市级平台保持签名和接入管理的一致性，来组建县级电子签章管理系统，以达到县和市电子签章管理系统之间数据及认证的统一、互联互通的目的，实现集中控制、分级管理，实现集约节约、可管可控的建设原则。电子签章验证管理系统功能描述如下：</w:t>
      </w:r>
    </w:p>
    <w:p w14:paraId="1C122BBD">
      <w:pPr>
        <w:spacing w:line="360" w:lineRule="auto"/>
        <w:ind w:firstLine="480" w:firstLineChars="200"/>
        <w:rPr>
          <w:rFonts w:ascii="Times New Roman" w:hAnsi="Times New Roman" w:cs="宋体"/>
          <w:szCs w:val="21"/>
        </w:rPr>
      </w:pPr>
      <w:r>
        <w:rPr>
          <w:rFonts w:hint="eastAsia" w:ascii="宋体" w:hAnsi="宋体" w:cs="宋体"/>
          <w:sz w:val="24"/>
          <w:lang w:bidi="ar"/>
        </w:rPr>
        <w:t>电子签章管理系统是一个独立的管理系统。能实现公章的制作、保存、查询和统计等功能，同时使用高强度加密算法或国家机要管理单位认可的硬件加密设备对公章进行加密。上级主管机关负责公章的制作和发放，进行公章的日常维护，保证公章的数据安全。</w:t>
      </w:r>
    </w:p>
    <w:p w14:paraId="0024C4AF">
      <w:pPr>
        <w:spacing w:line="360" w:lineRule="auto"/>
        <w:ind w:firstLine="480" w:firstLineChars="200"/>
        <w:rPr>
          <w:rFonts w:ascii="宋体" w:hAnsi="宋体" w:cs="宋体"/>
          <w:sz w:val="24"/>
        </w:rPr>
      </w:pPr>
      <w:r>
        <w:rPr>
          <w:rFonts w:hint="eastAsia" w:ascii="宋体" w:hAnsi="宋体" w:cs="宋体"/>
          <w:sz w:val="24"/>
          <w:lang w:bidi="ar"/>
        </w:rPr>
        <w:t>系统支持使用多个公章管理系统构成一套分布公章管理体系，实现集中控制、分级管理，以适应多级的公文传输要求。上级的公章服务器可根据需要将盖章和打印许可的验证权限发放到其它公章服务器，使公章及公文服务器的部署更为灵活。支持数字签名证书的信任体系，使分布式公章体系的安全性得以保障。</w:t>
      </w:r>
    </w:p>
    <w:p w14:paraId="1D9A2AF1">
      <w:pPr>
        <w:spacing w:line="360" w:lineRule="auto"/>
        <w:ind w:firstLine="480" w:firstLineChars="200"/>
        <w:jc w:val="left"/>
        <w:rPr>
          <w:rFonts w:ascii="Times New Roman" w:hAnsi="Times New Roman" w:eastAsia="仿宋_GB2312"/>
          <w:kern w:val="0"/>
          <w:sz w:val="24"/>
        </w:rPr>
      </w:pPr>
      <w:r>
        <w:rPr>
          <w:rFonts w:hint="eastAsia" w:ascii="宋体" w:hAnsi="宋体" w:cs="宋体"/>
          <w:kern w:val="0"/>
          <w:sz w:val="24"/>
          <w:lang w:bidi="ar"/>
        </w:rPr>
        <w:t>电子公章的存储应该与移动设备硬件信息进行绑定，防止公章文件被非法复制</w:t>
      </w:r>
      <w:r>
        <w:rPr>
          <w:rFonts w:ascii="Times New Roman" w:hAnsi="Times New Roman" w:eastAsia="仿宋_GB2312"/>
          <w:kern w:val="0"/>
          <w:sz w:val="24"/>
          <w:lang w:bidi="ar"/>
        </w:rPr>
        <w:t xml:space="preserve">; </w:t>
      </w:r>
      <w:r>
        <w:rPr>
          <w:rFonts w:hint="eastAsia" w:ascii="宋体" w:hAnsi="宋体" w:cs="宋体"/>
          <w:kern w:val="0"/>
          <w:sz w:val="24"/>
          <w:lang w:bidi="ar"/>
        </w:rPr>
        <w:t>电子公章使用时，实现可视化盖章，并在预览时显示虚化的公章，防止通过拷屏或照相等方式获得公章印模，而在打印时，在纸质上公章则是全真显现</w:t>
      </w:r>
      <w:r>
        <w:rPr>
          <w:rFonts w:ascii="Times New Roman" w:hAnsi="Times New Roman" w:eastAsia="仿宋_GB2312"/>
          <w:kern w:val="0"/>
          <w:sz w:val="24"/>
          <w:lang w:bidi="ar"/>
        </w:rPr>
        <w:t xml:space="preserve">; </w:t>
      </w:r>
      <w:r>
        <w:rPr>
          <w:rFonts w:hint="eastAsia" w:ascii="宋体" w:hAnsi="宋体" w:cs="宋体"/>
          <w:kern w:val="0"/>
          <w:sz w:val="24"/>
          <w:lang w:bidi="ar"/>
        </w:rPr>
        <w:t>电子公章使用时，应该满足服务器端在线验证的模式，充分保证公章使用的安全性。</w:t>
      </w:r>
    </w:p>
    <w:p w14:paraId="3E6E3053">
      <w:pPr>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电子公章系统应支持各级行政单位多级互联架构</w:t>
      </w:r>
      <w:r>
        <w:rPr>
          <w:rFonts w:ascii="宋体" w:hAnsi="宋体" w:cs="宋体"/>
          <w:kern w:val="0"/>
          <w:sz w:val="24"/>
          <w:lang w:bidi="ar"/>
        </w:rPr>
        <w:t>,</w:t>
      </w:r>
      <w:r>
        <w:rPr>
          <w:rFonts w:hint="eastAsia" w:ascii="宋体" w:hAnsi="宋体" w:cs="宋体"/>
          <w:kern w:val="0"/>
          <w:sz w:val="24"/>
          <w:lang w:bidi="ar"/>
        </w:rPr>
        <w:t>支持多级分布式部署， 电子公章系统支持</w:t>
      </w:r>
      <w:r>
        <w:rPr>
          <w:rFonts w:ascii="宋体" w:hAnsi="宋体" w:cs="宋体"/>
          <w:kern w:val="0"/>
          <w:sz w:val="24"/>
          <w:lang w:bidi="ar"/>
        </w:rPr>
        <w:t>PKI</w:t>
      </w:r>
      <w:r>
        <w:rPr>
          <w:rFonts w:hint="eastAsia" w:ascii="宋体" w:hAnsi="宋体" w:cs="宋体"/>
          <w:kern w:val="0"/>
          <w:sz w:val="24"/>
          <w:lang w:bidi="ar"/>
        </w:rPr>
        <w:t xml:space="preserve">体系，并实现打印控制。 </w:t>
      </w:r>
    </w:p>
    <w:p w14:paraId="2440C109">
      <w:pPr>
        <w:widowControl/>
        <w:spacing w:line="360" w:lineRule="auto"/>
        <w:ind w:firstLine="482" w:firstLineChars="200"/>
        <w:rPr>
          <w:b/>
          <w:bCs/>
          <w:sz w:val="24"/>
        </w:rPr>
      </w:pPr>
      <w:r>
        <w:rPr>
          <w:rFonts w:hint="eastAsia"/>
          <w:b/>
          <w:bCs/>
          <w:sz w:val="24"/>
        </w:rPr>
        <w:t>5）、政府政务办公云平台短信平台服务</w:t>
      </w:r>
    </w:p>
    <w:p w14:paraId="633A4AC9">
      <w:pPr>
        <w:spacing w:line="360" w:lineRule="auto"/>
        <w:ind w:right="-1" w:firstLine="480" w:firstLineChars="200"/>
        <w:rPr>
          <w:sz w:val="24"/>
        </w:rPr>
      </w:pPr>
      <w:r>
        <w:rPr>
          <w:rFonts w:hint="eastAsia"/>
          <w:sz w:val="24"/>
        </w:rPr>
        <w:t>支持多业务系统对接，短信平台能够与业务系统之间对接来实现数据交互，尽量减少二次开发，缩短项目时间。千万级的信息量，而且还对短信的及时性要求也是极高，尤其是会议通知类动帐短息，及时性都要求控制在1秒左右；避免信息的丢失和延时，短信平台具备大规模短信的处理能力和发送能力，既保证信息的安全与完整，又有条不紊的将信息及时发送出去。通过短信平台提交大批量的信息后，有多少条是成功到达客户手机是大都会关心的问题，平台能及时看到短信的发送的状态，从短信提交、处理过程及成功到达手机后发回的状态报告都能查看。</w:t>
      </w:r>
      <w:r>
        <w:rPr>
          <w:sz w:val="24"/>
        </w:rPr>
        <w:t>根据市政府办公业务资源网相关的管理要求，短信要采取市级统一网关出口管控，并实现短信的集中签名管理，中标方需自行与现有市级短信网关出口服务商商议相关对接或解决方案，并报采购方（客户方）确认后方可实施。</w:t>
      </w:r>
    </w:p>
    <w:p w14:paraId="4E53FD06">
      <w:pPr>
        <w:pStyle w:val="4"/>
        <w:spacing w:line="360" w:lineRule="auto"/>
        <w:ind w:left="0" w:right="76"/>
        <w:rPr>
          <w:rFonts w:ascii="宋体" w:hAnsi="宋体" w:eastAsia="宋体" w:cs="仿宋"/>
          <w:b/>
          <w:bCs/>
          <w:sz w:val="24"/>
          <w:szCs w:val="24"/>
        </w:rPr>
      </w:pPr>
      <w:r>
        <w:rPr>
          <w:rFonts w:hint="eastAsia" w:ascii="宋体" w:hAnsi="宋体" w:eastAsia="宋体" w:cs="仿宋"/>
          <w:b/>
          <w:bCs/>
          <w:sz w:val="24"/>
          <w:szCs w:val="24"/>
        </w:rPr>
        <w:t>三、电子政务外网接入</w:t>
      </w:r>
    </w:p>
    <w:p w14:paraId="071EC0A0">
      <w:pPr>
        <w:spacing w:line="360" w:lineRule="auto"/>
        <w:ind w:firstLine="480" w:firstLineChars="200"/>
        <w:rPr>
          <w:rFonts w:ascii="宋体" w:hAnsi="宋体"/>
          <w:sz w:val="24"/>
        </w:rPr>
      </w:pPr>
      <w:r>
        <w:rPr>
          <w:rFonts w:hint="eastAsia" w:ascii="宋体" w:hAnsi="宋体"/>
          <w:sz w:val="24"/>
        </w:rPr>
        <w:t>根据</w:t>
      </w:r>
      <w:r>
        <w:rPr>
          <w:rFonts w:ascii="宋体" w:hAnsi="宋体"/>
          <w:sz w:val="24"/>
        </w:rPr>
        <w:t>《河南省数字政府建设工作领导小组办公室关于加快推进省政府办公业务资源网整合工作的通知》（豫数政办〔2024〕4号）、《平顶山市人民政府办公业务资源网迁移整合实施方案》</w:t>
      </w:r>
      <w:r>
        <w:rPr>
          <w:rFonts w:hint="eastAsia" w:ascii="宋体" w:hAnsi="宋体"/>
          <w:sz w:val="24"/>
        </w:rPr>
        <w:t>等</w:t>
      </w:r>
      <w:r>
        <w:rPr>
          <w:rFonts w:ascii="宋体" w:hAnsi="宋体"/>
          <w:sz w:val="24"/>
        </w:rPr>
        <w:t>文件要求，</w:t>
      </w:r>
      <w:r>
        <w:rPr>
          <w:rFonts w:hint="eastAsia" w:ascii="宋体" w:hAnsi="宋体"/>
          <w:sz w:val="24"/>
        </w:rPr>
        <w:t>结合新城区区直单位网络接入的实际情况，对未接入政务外网的24个点位进行整改接入，实现与市级政务外网平台的对接，实现</w:t>
      </w:r>
      <w:r>
        <w:rPr>
          <w:rFonts w:ascii="宋体" w:hAnsi="宋体"/>
          <w:sz w:val="24"/>
        </w:rPr>
        <w:t>对</w:t>
      </w:r>
      <w:r>
        <w:rPr>
          <w:rFonts w:hint="eastAsia" w:ascii="宋体" w:hAnsi="宋体"/>
          <w:sz w:val="24"/>
        </w:rPr>
        <w:t>网络的综合监测和管理，具体接入名单和单位根据甲方（客户方）的指定和协调。</w:t>
      </w:r>
    </w:p>
    <w:p w14:paraId="41D06DC0">
      <w:pPr>
        <w:pStyle w:val="4"/>
        <w:spacing w:line="360" w:lineRule="auto"/>
        <w:ind w:left="0" w:right="76"/>
        <w:rPr>
          <w:rFonts w:ascii="Times New Roman" w:hAnsi="Times New Roman" w:eastAsia="宋体" w:cs="Times New Roman"/>
          <w:b/>
          <w:bCs/>
          <w:kern w:val="44"/>
          <w:sz w:val="24"/>
          <w:szCs w:val="44"/>
        </w:rPr>
      </w:pPr>
      <w:r>
        <w:rPr>
          <w:rFonts w:hint="eastAsia" w:ascii="Times New Roman" w:hAnsi="Times New Roman" w:eastAsia="宋体" w:cs="Times New Roman"/>
          <w:b/>
          <w:bCs/>
          <w:kern w:val="44"/>
          <w:sz w:val="24"/>
          <w:szCs w:val="44"/>
        </w:rPr>
        <w:t>四</w:t>
      </w:r>
      <w:r>
        <w:rPr>
          <w:rFonts w:hint="eastAsia" w:ascii="Times New Roman" w:hAnsi="Times New Roman" w:eastAsia="宋体" w:cs="Times New Roman"/>
          <w:b/>
          <w:bCs/>
          <w:kern w:val="44"/>
          <w:sz w:val="24"/>
          <w:szCs w:val="44"/>
          <w:lang w:val="en-US"/>
        </w:rPr>
        <w:t>、</w:t>
      </w:r>
      <w:r>
        <w:rPr>
          <w:rFonts w:hint="eastAsia" w:ascii="Times New Roman" w:hAnsi="Times New Roman" w:eastAsia="宋体" w:cs="Times New Roman"/>
          <w:b/>
          <w:bCs/>
          <w:kern w:val="44"/>
          <w:sz w:val="24"/>
          <w:szCs w:val="44"/>
        </w:rPr>
        <w:t>商务要求</w:t>
      </w:r>
    </w:p>
    <w:p w14:paraId="740F3E5B">
      <w:pPr>
        <w:spacing w:line="360" w:lineRule="auto"/>
        <w:ind w:firstLine="480" w:firstLineChars="200"/>
        <w:rPr>
          <w:rFonts w:ascii="宋体" w:hAnsi="宋体" w:cs="宋体"/>
          <w:kern w:val="0"/>
          <w:sz w:val="24"/>
        </w:rPr>
      </w:pPr>
      <w:r>
        <w:rPr>
          <w:rFonts w:ascii="仿宋_GB2312" w:hAnsi="仿宋_GB2312"/>
          <w:kern w:val="0"/>
          <w:sz w:val="24"/>
        </w:rPr>
        <w:t>投标人</w:t>
      </w:r>
      <w:r>
        <w:rPr>
          <w:rFonts w:hint="eastAsia" w:ascii="宋体" w:hAnsi="宋体" w:cs="宋体"/>
          <w:kern w:val="0"/>
          <w:sz w:val="24"/>
        </w:rPr>
        <w:t>应在响应文件中对以下内容作出承诺，否则投标无效：</w:t>
      </w:r>
    </w:p>
    <w:p w14:paraId="07D82093">
      <w:pPr>
        <w:numPr>
          <w:ilvl w:val="0"/>
          <w:numId w:val="9"/>
        </w:numPr>
        <w:spacing w:line="360" w:lineRule="auto"/>
        <w:ind w:firstLine="480" w:firstLineChars="200"/>
        <w:rPr>
          <w:rFonts w:ascii="宋体" w:hAnsi="宋体" w:cs="宋体"/>
          <w:kern w:val="0"/>
          <w:sz w:val="24"/>
        </w:rPr>
      </w:pPr>
      <w:r>
        <w:rPr>
          <w:rFonts w:ascii="宋体" w:hAnsi="宋体" w:cs="宋体"/>
          <w:kern w:val="0"/>
          <w:sz w:val="24"/>
        </w:rPr>
        <w:t>政务协同办公平台要依托</w:t>
      </w:r>
      <w:r>
        <w:rPr>
          <w:rFonts w:hint="eastAsia" w:ascii="宋体" w:hAnsi="宋体" w:cs="宋体"/>
          <w:kern w:val="0"/>
          <w:sz w:val="24"/>
        </w:rPr>
        <w:t>市</w:t>
      </w:r>
      <w:r>
        <w:rPr>
          <w:rFonts w:ascii="宋体" w:hAnsi="宋体" w:cs="宋体"/>
          <w:kern w:val="0"/>
          <w:sz w:val="24"/>
        </w:rPr>
        <w:t>级</w:t>
      </w:r>
      <w:r>
        <w:rPr>
          <w:rFonts w:hint="eastAsia" w:ascii="宋体" w:hAnsi="宋体" w:cs="宋体"/>
          <w:kern w:val="0"/>
          <w:sz w:val="24"/>
        </w:rPr>
        <w:t>政务办公统一</w:t>
      </w:r>
      <w:r>
        <w:rPr>
          <w:rFonts w:ascii="宋体" w:hAnsi="宋体" w:cs="宋体"/>
          <w:kern w:val="0"/>
          <w:sz w:val="24"/>
        </w:rPr>
        <w:t>技术</w:t>
      </w:r>
      <w:r>
        <w:rPr>
          <w:rFonts w:hint="eastAsia" w:ascii="宋体" w:hAnsi="宋体" w:cs="宋体"/>
          <w:kern w:val="0"/>
          <w:sz w:val="24"/>
        </w:rPr>
        <w:t>平台</w:t>
      </w:r>
      <w:r>
        <w:rPr>
          <w:rFonts w:ascii="宋体" w:hAnsi="宋体" w:cs="宋体"/>
          <w:kern w:val="0"/>
          <w:sz w:val="24"/>
        </w:rPr>
        <w:t>，实现与市级的</w:t>
      </w:r>
      <w:r>
        <w:rPr>
          <w:rFonts w:hint="eastAsia" w:ascii="宋体" w:hAnsi="宋体" w:cs="宋体"/>
          <w:kern w:val="0"/>
          <w:sz w:val="24"/>
        </w:rPr>
        <w:t>无缝对接</w:t>
      </w:r>
      <w:r>
        <w:rPr>
          <w:rFonts w:ascii="Times New Roman" w:hAnsi="Times New Roman" w:eastAsia="仿宋_GB2312"/>
          <w:kern w:val="0"/>
          <w:sz w:val="24"/>
        </w:rPr>
        <w:t>,</w:t>
      </w:r>
      <w:r>
        <w:rPr>
          <w:rFonts w:hint="eastAsia" w:ascii="宋体" w:hAnsi="宋体" w:cs="宋体"/>
          <w:sz w:val="24"/>
          <w:lang w:bidi="ar"/>
        </w:rPr>
        <w:t>由此产生的相关费用由中标方承担，并做出承诺，格式自拟</w:t>
      </w:r>
      <w:r>
        <w:rPr>
          <w:rFonts w:hint="eastAsia" w:ascii="宋体" w:hAnsi="宋体" w:cs="宋体"/>
          <w:kern w:val="0"/>
          <w:sz w:val="24"/>
        </w:rPr>
        <w:t>；</w:t>
      </w:r>
    </w:p>
    <w:p w14:paraId="09665018">
      <w:pPr>
        <w:numPr>
          <w:ilvl w:val="0"/>
          <w:numId w:val="9"/>
        </w:numPr>
        <w:spacing w:line="360" w:lineRule="auto"/>
        <w:ind w:firstLine="480" w:firstLineChars="200"/>
        <w:rPr>
          <w:rFonts w:ascii="Times New Roman" w:hAnsi="Times New Roman" w:eastAsia="仿宋_GB2312"/>
          <w:kern w:val="0"/>
          <w:sz w:val="24"/>
        </w:rPr>
      </w:pPr>
      <w:r>
        <w:rPr>
          <w:rFonts w:ascii="宋体" w:hAnsi="宋体" w:cs="宋体"/>
          <w:kern w:val="0"/>
          <w:sz w:val="24"/>
        </w:rPr>
        <w:t>政务门户网站的调整和运维依托市级</w:t>
      </w:r>
      <w:r>
        <w:rPr>
          <w:rFonts w:hint="eastAsia" w:ascii="宋体" w:hAnsi="宋体" w:cs="宋体"/>
          <w:kern w:val="0"/>
          <w:sz w:val="24"/>
        </w:rPr>
        <w:t>政府</w:t>
      </w:r>
      <w:r>
        <w:rPr>
          <w:rFonts w:ascii="宋体" w:hAnsi="宋体" w:cs="宋体"/>
          <w:kern w:val="0"/>
          <w:sz w:val="24"/>
        </w:rPr>
        <w:t>门户网站群统一技术平台</w:t>
      </w:r>
      <w:r>
        <w:rPr>
          <w:rFonts w:hint="eastAsia" w:ascii="宋体" w:hAnsi="宋体" w:cs="宋体"/>
          <w:kern w:val="0"/>
          <w:sz w:val="24"/>
        </w:rPr>
        <w:t>，中标方</w:t>
      </w:r>
      <w:r>
        <w:rPr>
          <w:rFonts w:ascii="宋体" w:hAnsi="宋体" w:cs="宋体"/>
          <w:kern w:val="0"/>
          <w:sz w:val="24"/>
        </w:rPr>
        <w:t>不得改变现有的软硬件架构，</w:t>
      </w:r>
      <w:r>
        <w:rPr>
          <w:rFonts w:hint="eastAsia" w:ascii="宋体" w:hAnsi="宋体" w:cs="宋体"/>
          <w:sz w:val="24"/>
          <w:lang w:bidi="ar"/>
        </w:rPr>
        <w:t>由此产生的相关费用由中标方承担，并做出承诺，格式自拟</w:t>
      </w:r>
      <w:r>
        <w:rPr>
          <w:rFonts w:hint="eastAsia" w:ascii="宋体" w:hAnsi="宋体" w:cs="宋体"/>
          <w:kern w:val="0"/>
          <w:sz w:val="24"/>
        </w:rPr>
        <w:t>；</w:t>
      </w:r>
    </w:p>
    <w:p w14:paraId="351B4E09">
      <w:pPr>
        <w:numPr>
          <w:ilvl w:val="0"/>
          <w:numId w:val="9"/>
        </w:numPr>
        <w:spacing w:line="360" w:lineRule="auto"/>
        <w:ind w:firstLine="480" w:firstLineChars="200"/>
        <w:rPr>
          <w:rFonts w:ascii="Times New Roman" w:hAnsi="Times New Roman" w:eastAsia="仿宋_GB2312"/>
          <w:kern w:val="0"/>
          <w:sz w:val="24"/>
        </w:rPr>
      </w:pPr>
      <w:r>
        <w:rPr>
          <w:rFonts w:ascii="宋体" w:hAnsi="宋体" w:cs="宋体"/>
          <w:kern w:val="0"/>
          <w:sz w:val="24"/>
        </w:rPr>
        <w:t>政府办公业务资源网内的终端管控与运维平台以及零信任平台要实现</w:t>
      </w:r>
      <w:r>
        <w:rPr>
          <w:rFonts w:hint="eastAsia" w:ascii="宋体" w:hAnsi="宋体" w:cs="宋体"/>
          <w:kern w:val="0"/>
          <w:sz w:val="24"/>
        </w:rPr>
        <w:t>与市级</w:t>
      </w:r>
      <w:r>
        <w:rPr>
          <w:rFonts w:ascii="宋体" w:hAnsi="宋体" w:cs="宋体"/>
          <w:kern w:val="0"/>
          <w:sz w:val="24"/>
        </w:rPr>
        <w:t>综合</w:t>
      </w:r>
      <w:r>
        <w:rPr>
          <w:rFonts w:hint="eastAsia" w:ascii="宋体" w:hAnsi="宋体" w:cs="宋体"/>
          <w:kern w:val="0"/>
          <w:sz w:val="24"/>
        </w:rPr>
        <w:t>运维</w:t>
      </w:r>
      <w:r>
        <w:rPr>
          <w:rFonts w:ascii="宋体" w:hAnsi="宋体" w:cs="宋体"/>
          <w:kern w:val="0"/>
          <w:sz w:val="24"/>
        </w:rPr>
        <w:t>管控</w:t>
      </w:r>
      <w:r>
        <w:rPr>
          <w:rFonts w:hint="eastAsia" w:ascii="宋体" w:hAnsi="宋体" w:cs="宋体"/>
          <w:kern w:val="0"/>
          <w:sz w:val="24"/>
        </w:rPr>
        <w:t>平台</w:t>
      </w:r>
      <w:r>
        <w:rPr>
          <w:rFonts w:ascii="宋体" w:hAnsi="宋体" w:cs="宋体"/>
          <w:kern w:val="0"/>
          <w:sz w:val="24"/>
        </w:rPr>
        <w:t>的</w:t>
      </w:r>
      <w:r>
        <w:rPr>
          <w:rFonts w:hint="eastAsia" w:ascii="宋体" w:hAnsi="宋体" w:cs="宋体"/>
          <w:kern w:val="0"/>
          <w:sz w:val="24"/>
        </w:rPr>
        <w:t>无缝对接，</w:t>
      </w:r>
      <w:r>
        <w:rPr>
          <w:rFonts w:ascii="宋体" w:hAnsi="宋体" w:cs="宋体"/>
          <w:kern w:val="0"/>
          <w:sz w:val="24"/>
        </w:rPr>
        <w:t>实现权限的集中管控和资源管理，中标方自行</w:t>
      </w:r>
      <w:r>
        <w:rPr>
          <w:rFonts w:hint="eastAsia" w:ascii="宋体" w:hAnsi="宋体" w:cs="宋体"/>
          <w:sz w:val="24"/>
          <w:lang w:bidi="ar"/>
        </w:rPr>
        <w:t>承担与</w:t>
      </w:r>
      <w:r>
        <w:rPr>
          <w:rFonts w:ascii="宋体" w:hAnsi="宋体" w:cs="宋体"/>
          <w:sz w:val="24"/>
          <w:lang w:bidi="ar"/>
        </w:rPr>
        <w:t>上级相关对接平台</w:t>
      </w:r>
      <w:r>
        <w:rPr>
          <w:rFonts w:hint="eastAsia" w:ascii="宋体" w:hAnsi="宋体" w:cs="宋体"/>
          <w:sz w:val="24"/>
          <w:lang w:bidi="ar"/>
        </w:rPr>
        <w:t>在对接等工作中产生的相关费用，并做出承诺，格式自拟</w:t>
      </w:r>
      <w:r>
        <w:rPr>
          <w:rFonts w:hint="eastAsia" w:ascii="宋体" w:hAnsi="宋体" w:cs="宋体"/>
          <w:kern w:val="0"/>
          <w:sz w:val="24"/>
        </w:rPr>
        <w:t>；</w:t>
      </w:r>
    </w:p>
    <w:p w14:paraId="738D7447">
      <w:pPr>
        <w:numPr>
          <w:ilvl w:val="0"/>
          <w:numId w:val="9"/>
        </w:numPr>
        <w:spacing w:line="360" w:lineRule="auto"/>
        <w:ind w:firstLine="480" w:firstLineChars="200"/>
      </w:pPr>
      <w:r>
        <w:rPr>
          <w:rFonts w:hint="eastAsia" w:ascii="宋体" w:hAnsi="宋体" w:cs="宋体"/>
          <w:kern w:val="0"/>
          <w:sz w:val="24"/>
        </w:rPr>
        <w:t>承诺</w:t>
      </w:r>
      <w:r>
        <w:rPr>
          <w:rFonts w:ascii="宋体" w:hAnsi="宋体" w:cs="宋体"/>
          <w:kern w:val="0"/>
          <w:sz w:val="24"/>
        </w:rPr>
        <w:t>本次提供的</w:t>
      </w:r>
      <w:r>
        <w:rPr>
          <w:rFonts w:hint="eastAsia" w:ascii="宋体" w:hAnsi="宋体" w:cs="宋体"/>
          <w:sz w:val="24"/>
        </w:rPr>
        <w:t>区</w:t>
      </w:r>
      <w:r>
        <w:rPr>
          <w:rFonts w:ascii="宋体" w:hAnsi="宋体" w:cs="宋体"/>
          <w:sz w:val="24"/>
        </w:rPr>
        <w:t>安全监测及感知预警服务要</w:t>
      </w:r>
      <w:r>
        <w:rPr>
          <w:rFonts w:hint="eastAsia" w:ascii="宋体" w:hAnsi="宋体" w:cs="宋体"/>
          <w:kern w:val="0"/>
          <w:sz w:val="24"/>
        </w:rPr>
        <w:t>与市级</w:t>
      </w:r>
      <w:r>
        <w:rPr>
          <w:rFonts w:ascii="宋体" w:hAnsi="宋体" w:cs="宋体"/>
          <w:kern w:val="0"/>
          <w:sz w:val="24"/>
        </w:rPr>
        <w:t>安全态势感知</w:t>
      </w:r>
      <w:r>
        <w:rPr>
          <w:rFonts w:hint="eastAsia" w:ascii="宋体" w:hAnsi="宋体" w:cs="宋体"/>
          <w:kern w:val="0"/>
          <w:sz w:val="24"/>
        </w:rPr>
        <w:t>平台实现</w:t>
      </w:r>
      <w:r>
        <w:rPr>
          <w:rFonts w:ascii="宋体" w:hAnsi="宋体" w:cs="宋体"/>
          <w:kern w:val="0"/>
          <w:sz w:val="24"/>
        </w:rPr>
        <w:t>数据报送和预警联动的</w:t>
      </w:r>
      <w:r>
        <w:rPr>
          <w:rFonts w:hint="eastAsia" w:ascii="宋体" w:hAnsi="宋体" w:cs="宋体"/>
          <w:kern w:val="0"/>
          <w:sz w:val="24"/>
        </w:rPr>
        <w:t>对接，并承担其产生的相关对接费用，需出具承诺书</w:t>
      </w:r>
      <w:r>
        <w:rPr>
          <w:rFonts w:ascii="宋体" w:hAnsi="宋体" w:cs="宋体"/>
          <w:kern w:val="0"/>
          <w:sz w:val="24"/>
        </w:rPr>
        <w:t>，格式自拟</w:t>
      </w:r>
      <w:r>
        <w:rPr>
          <w:rFonts w:ascii="仿宋_GB2312" w:hAnsi="仿宋_GB2312"/>
          <w:kern w:val="0"/>
          <w:sz w:val="24"/>
        </w:rPr>
        <w:t>。</w:t>
      </w:r>
    </w:p>
    <w:p w14:paraId="1CE1A703">
      <w:pPr>
        <w:pStyle w:val="2"/>
      </w:pPr>
    </w:p>
    <w:p w14:paraId="2E627274">
      <w:pPr>
        <w:pStyle w:val="3"/>
        <w:rPr>
          <w:rFonts w:cs="仿宋"/>
        </w:rPr>
      </w:pPr>
      <w:bookmarkStart w:id="161" w:name="_Toc24485"/>
      <w:bookmarkStart w:id="162" w:name="_Toc19058"/>
      <w:bookmarkStart w:id="163" w:name="_Toc9710"/>
      <w:r>
        <w:rPr>
          <w:rFonts w:hint="eastAsia" w:cs="仿宋"/>
        </w:rPr>
        <w:br w:type="page"/>
      </w:r>
      <w:bookmarkStart w:id="164" w:name="_Toc202949963"/>
      <w:r>
        <w:rPr>
          <w:rFonts w:hint="eastAsia" w:cs="仿宋"/>
        </w:rPr>
        <w:t>第六章</w:t>
      </w:r>
      <w:r>
        <w:rPr>
          <w:rFonts w:hint="eastAsia" w:cs="仿宋"/>
          <w:lang w:val="en-US"/>
        </w:rPr>
        <w:t xml:space="preserve"> </w:t>
      </w:r>
      <w:r>
        <w:rPr>
          <w:rFonts w:hint="eastAsia" w:cs="仿宋"/>
        </w:rPr>
        <w:t>投标文件格式</w:t>
      </w:r>
      <w:bookmarkEnd w:id="161"/>
      <w:bookmarkEnd w:id="162"/>
      <w:bookmarkEnd w:id="163"/>
      <w:bookmarkEnd w:id="164"/>
    </w:p>
    <w:p w14:paraId="11CD92CD">
      <w:pPr>
        <w:pStyle w:val="10"/>
        <w:spacing w:line="360" w:lineRule="auto"/>
        <w:rPr>
          <w:rFonts w:cs="仿宋"/>
          <w:b/>
          <w:sz w:val="20"/>
        </w:rPr>
      </w:pPr>
    </w:p>
    <w:p w14:paraId="168580F7">
      <w:pPr>
        <w:pStyle w:val="10"/>
        <w:spacing w:line="360" w:lineRule="auto"/>
        <w:rPr>
          <w:rFonts w:cs="仿宋"/>
          <w:b/>
          <w:sz w:val="20"/>
        </w:rPr>
      </w:pPr>
    </w:p>
    <w:p w14:paraId="1AB149F1">
      <w:pPr>
        <w:pStyle w:val="10"/>
        <w:spacing w:line="360" w:lineRule="auto"/>
        <w:rPr>
          <w:rFonts w:cs="仿宋"/>
          <w:b/>
          <w:sz w:val="20"/>
        </w:rPr>
      </w:pPr>
    </w:p>
    <w:p w14:paraId="1E6E5D99">
      <w:pPr>
        <w:spacing w:before="312" w:beforeLines="100" w:line="360" w:lineRule="auto"/>
        <w:jc w:val="center"/>
        <w:rPr>
          <w:rFonts w:ascii="宋体" w:hAnsi="宋体" w:cs="仿宋"/>
          <w:b/>
          <w:bCs/>
          <w:sz w:val="36"/>
          <w:szCs w:val="36"/>
        </w:rPr>
      </w:pPr>
      <w:r>
        <w:rPr>
          <w:rFonts w:hint="eastAsia" w:ascii="宋体" w:hAnsi="宋体" w:cs="仿宋"/>
          <w:sz w:val="30"/>
          <w:szCs w:val="30"/>
          <w:u w:val="single"/>
        </w:rPr>
        <w:t xml:space="preserve">                             </w:t>
      </w:r>
      <w:r>
        <w:rPr>
          <w:rFonts w:hint="eastAsia" w:ascii="宋体" w:hAnsi="宋体" w:cs="仿宋"/>
          <w:b/>
          <w:bCs/>
          <w:kern w:val="0"/>
          <w:sz w:val="36"/>
          <w:szCs w:val="36"/>
          <w:shd w:val="clear" w:color="auto" w:fill="FFFFFF"/>
          <w:lang w:bidi="ar"/>
        </w:rPr>
        <w:t>项目名称</w:t>
      </w:r>
    </w:p>
    <w:p w14:paraId="0B096F28">
      <w:pPr>
        <w:spacing w:before="312" w:beforeLines="100" w:line="360" w:lineRule="auto"/>
        <w:jc w:val="center"/>
        <w:rPr>
          <w:rFonts w:ascii="宋体" w:hAnsi="宋体" w:cs="仿宋"/>
          <w:b/>
          <w:bCs/>
          <w:sz w:val="72"/>
          <w:szCs w:val="72"/>
        </w:rPr>
      </w:pPr>
    </w:p>
    <w:p w14:paraId="03FA0A55">
      <w:pPr>
        <w:spacing w:before="312" w:beforeLines="100" w:line="360" w:lineRule="auto"/>
        <w:jc w:val="center"/>
        <w:rPr>
          <w:rFonts w:ascii="宋体" w:hAnsi="宋体" w:cs="仿宋"/>
          <w:b/>
          <w:bCs/>
          <w:sz w:val="72"/>
          <w:szCs w:val="72"/>
        </w:rPr>
      </w:pPr>
      <w:r>
        <w:rPr>
          <w:rFonts w:hint="eastAsia" w:ascii="宋体" w:hAnsi="宋体" w:cs="仿宋"/>
          <w:b/>
          <w:bCs/>
          <w:sz w:val="72"/>
          <w:szCs w:val="72"/>
        </w:rPr>
        <w:t>投标文件</w:t>
      </w:r>
    </w:p>
    <w:p w14:paraId="2A6B0638">
      <w:pPr>
        <w:pStyle w:val="8"/>
        <w:jc w:val="center"/>
      </w:pPr>
      <w:r>
        <w:rPr>
          <w:rFonts w:hint="eastAsia" w:cs="仿宋"/>
          <w:sz w:val="28"/>
          <w:szCs w:val="28"/>
        </w:rPr>
        <w:t>项目编号：</w:t>
      </w:r>
      <w:r>
        <w:rPr>
          <w:rFonts w:hint="eastAsia" w:cs="仿宋"/>
          <w:sz w:val="28"/>
          <w:szCs w:val="28"/>
          <w:u w:val="single"/>
        </w:rPr>
        <w:t xml:space="preserve">          </w:t>
      </w:r>
    </w:p>
    <w:p w14:paraId="66DA53AE">
      <w:pPr>
        <w:adjustRightInd w:val="0"/>
        <w:snapToGrid w:val="0"/>
        <w:spacing w:line="360" w:lineRule="auto"/>
        <w:ind w:firstLine="2168" w:firstLineChars="900"/>
        <w:rPr>
          <w:rFonts w:ascii="宋体" w:hAnsi="宋体" w:cs="仿宋"/>
          <w:b/>
          <w:bCs/>
          <w:kern w:val="0"/>
          <w:sz w:val="24"/>
          <w:lang w:val="zh-CN"/>
        </w:rPr>
      </w:pPr>
    </w:p>
    <w:p w14:paraId="60C92309">
      <w:pPr>
        <w:spacing w:line="360" w:lineRule="auto"/>
        <w:jc w:val="center"/>
        <w:rPr>
          <w:rFonts w:ascii="宋体" w:hAnsi="宋体" w:cs="仿宋"/>
          <w:sz w:val="30"/>
          <w:szCs w:val="30"/>
        </w:rPr>
      </w:pPr>
    </w:p>
    <w:p w14:paraId="1F51EE88">
      <w:pPr>
        <w:spacing w:line="360" w:lineRule="auto"/>
        <w:rPr>
          <w:rFonts w:ascii="宋体" w:hAnsi="宋体" w:cs="仿宋"/>
          <w:sz w:val="24"/>
        </w:rPr>
      </w:pPr>
    </w:p>
    <w:p w14:paraId="25389E37">
      <w:pPr>
        <w:spacing w:line="360" w:lineRule="auto"/>
        <w:rPr>
          <w:rFonts w:ascii="宋体" w:hAnsi="宋体" w:cs="仿宋"/>
        </w:rPr>
      </w:pPr>
    </w:p>
    <w:p w14:paraId="081A7069">
      <w:pPr>
        <w:pStyle w:val="35"/>
        <w:spacing w:line="360" w:lineRule="auto"/>
        <w:rPr>
          <w:rFonts w:cs="仿宋"/>
        </w:rPr>
      </w:pPr>
    </w:p>
    <w:p w14:paraId="79572A1B">
      <w:pPr>
        <w:spacing w:line="360" w:lineRule="auto"/>
        <w:jc w:val="center"/>
        <w:rPr>
          <w:rFonts w:ascii="宋体" w:hAnsi="宋体" w:cs="仿宋"/>
          <w:sz w:val="24"/>
        </w:rPr>
      </w:pPr>
    </w:p>
    <w:p w14:paraId="1FF75655">
      <w:pPr>
        <w:spacing w:line="360" w:lineRule="auto"/>
        <w:jc w:val="center"/>
        <w:rPr>
          <w:rFonts w:ascii="宋体" w:hAnsi="宋体" w:cs="仿宋"/>
          <w:sz w:val="24"/>
        </w:rPr>
      </w:pPr>
    </w:p>
    <w:p w14:paraId="6EB7AC8E">
      <w:pPr>
        <w:spacing w:line="360" w:lineRule="auto"/>
        <w:jc w:val="center"/>
        <w:rPr>
          <w:rFonts w:ascii="宋体" w:hAnsi="宋体" w:cs="仿宋"/>
          <w:sz w:val="24"/>
        </w:rPr>
      </w:pPr>
    </w:p>
    <w:p w14:paraId="1763ADD6">
      <w:pPr>
        <w:spacing w:line="360" w:lineRule="auto"/>
        <w:ind w:firstLine="825" w:firstLineChars="300"/>
        <w:rPr>
          <w:rFonts w:ascii="宋体" w:hAnsi="宋体" w:cs="仿宋"/>
          <w:b/>
          <w:bCs/>
          <w:spacing w:val="-3"/>
          <w:sz w:val="28"/>
          <w:szCs w:val="28"/>
        </w:rPr>
      </w:pPr>
    </w:p>
    <w:p w14:paraId="6610B418">
      <w:pPr>
        <w:spacing w:line="360" w:lineRule="auto"/>
        <w:ind w:firstLine="1375" w:firstLineChars="500"/>
        <w:rPr>
          <w:rFonts w:ascii="宋体" w:hAnsi="宋体" w:cs="仿宋"/>
          <w:b/>
          <w:bCs/>
          <w:spacing w:val="-13"/>
          <w:sz w:val="28"/>
          <w:szCs w:val="28"/>
        </w:rPr>
      </w:pPr>
      <w:r>
        <w:rPr>
          <w:rFonts w:hint="eastAsia" w:ascii="宋体" w:hAnsi="宋体" w:cs="仿宋"/>
          <w:b/>
          <w:bCs/>
          <w:spacing w:val="-3"/>
          <w:sz w:val="28"/>
          <w:szCs w:val="28"/>
        </w:rPr>
        <w:t>投标人名称</w:t>
      </w:r>
      <w:r>
        <w:rPr>
          <w:rFonts w:hint="eastAsia" w:ascii="宋体" w:hAnsi="宋体" w:cs="仿宋"/>
          <w:b/>
          <w:bCs/>
          <w:sz w:val="28"/>
          <w:szCs w:val="28"/>
        </w:rPr>
        <w:t>：</w:t>
      </w:r>
      <w:r>
        <w:rPr>
          <w:rFonts w:hint="eastAsia" w:ascii="宋体" w:hAnsi="宋体" w:cs="仿宋"/>
          <w:b/>
          <w:bCs/>
          <w:sz w:val="28"/>
          <w:szCs w:val="28"/>
          <w:u w:val="single"/>
        </w:rPr>
        <w:t xml:space="preserve">                     </w:t>
      </w:r>
      <w:r>
        <w:rPr>
          <w:rFonts w:hint="eastAsia" w:ascii="宋体" w:hAnsi="宋体" w:cs="仿宋"/>
          <w:b/>
          <w:bCs/>
          <w:sz w:val="28"/>
          <w:szCs w:val="28"/>
        </w:rPr>
        <w:t>（电子签章）</w:t>
      </w:r>
    </w:p>
    <w:p w14:paraId="29D9F641">
      <w:pPr>
        <w:spacing w:line="360" w:lineRule="auto"/>
        <w:ind w:firstLine="1375" w:firstLineChars="500"/>
        <w:rPr>
          <w:rFonts w:ascii="宋体" w:hAnsi="宋体" w:cs="仿宋"/>
          <w:b/>
          <w:bCs/>
          <w:spacing w:val="-15"/>
          <w:sz w:val="28"/>
          <w:szCs w:val="28"/>
        </w:rPr>
      </w:pPr>
      <w:r>
        <w:rPr>
          <w:rFonts w:hint="eastAsia" w:ascii="宋体" w:hAnsi="宋体" w:cs="仿宋"/>
          <w:b/>
          <w:bCs/>
          <w:spacing w:val="-3"/>
          <w:sz w:val="28"/>
          <w:szCs w:val="28"/>
        </w:rPr>
        <w:t>法定代表人或委托代理人：</w:t>
      </w:r>
      <w:r>
        <w:rPr>
          <w:rFonts w:hint="eastAsia" w:ascii="宋体" w:hAnsi="宋体" w:cs="仿宋"/>
          <w:b/>
          <w:bCs/>
          <w:sz w:val="28"/>
          <w:szCs w:val="28"/>
          <w:u w:val="single"/>
        </w:rPr>
        <w:t xml:space="preserve">          </w:t>
      </w:r>
      <w:r>
        <w:rPr>
          <w:rFonts w:hint="eastAsia" w:ascii="宋体" w:hAnsi="宋体" w:cs="仿宋"/>
          <w:b/>
          <w:bCs/>
          <w:sz w:val="28"/>
          <w:szCs w:val="28"/>
        </w:rPr>
        <w:t>（电子签章）</w:t>
      </w:r>
    </w:p>
    <w:p w14:paraId="29C8E6EB">
      <w:pPr>
        <w:spacing w:line="360" w:lineRule="auto"/>
        <w:ind w:firstLine="1405" w:firstLineChars="500"/>
        <w:rPr>
          <w:rFonts w:ascii="宋体" w:hAnsi="宋体" w:cs="仿宋"/>
          <w:b/>
          <w:bCs/>
          <w:sz w:val="28"/>
          <w:szCs w:val="28"/>
        </w:rPr>
      </w:pPr>
      <w:r>
        <w:rPr>
          <w:rFonts w:hint="eastAsia" w:ascii="宋体" w:hAnsi="宋体" w:cs="仿宋"/>
          <w:b/>
          <w:bCs/>
          <w:sz w:val="28"/>
          <w:szCs w:val="28"/>
        </w:rPr>
        <w:t>日期：</w:t>
      </w:r>
      <w:r>
        <w:rPr>
          <w:rFonts w:hint="eastAsia" w:ascii="宋体" w:hAnsi="宋体" w:cs="仿宋"/>
          <w:b/>
          <w:bCs/>
          <w:sz w:val="28"/>
          <w:szCs w:val="28"/>
          <w:u w:val="single"/>
        </w:rPr>
        <w:t xml:space="preserve">     </w:t>
      </w:r>
      <w:r>
        <w:rPr>
          <w:rFonts w:hint="eastAsia" w:ascii="宋体" w:hAnsi="宋体" w:cs="仿宋"/>
          <w:b/>
          <w:bCs/>
          <w:sz w:val="28"/>
          <w:szCs w:val="28"/>
        </w:rPr>
        <w:t>年</w:t>
      </w:r>
      <w:r>
        <w:rPr>
          <w:rFonts w:hint="eastAsia" w:ascii="宋体" w:hAnsi="宋体" w:cs="仿宋"/>
          <w:b/>
          <w:bCs/>
          <w:sz w:val="28"/>
          <w:szCs w:val="28"/>
          <w:u w:val="single"/>
        </w:rPr>
        <w:t xml:space="preserve">   </w:t>
      </w:r>
      <w:r>
        <w:rPr>
          <w:rFonts w:hint="eastAsia" w:ascii="宋体" w:hAnsi="宋体" w:cs="仿宋"/>
          <w:b/>
          <w:bCs/>
          <w:spacing w:val="-3"/>
          <w:sz w:val="28"/>
          <w:szCs w:val="28"/>
        </w:rPr>
        <w:t>月</w:t>
      </w:r>
      <w:r>
        <w:rPr>
          <w:rFonts w:hint="eastAsia" w:ascii="宋体" w:hAnsi="宋体" w:cs="仿宋"/>
          <w:b/>
          <w:bCs/>
          <w:spacing w:val="-3"/>
          <w:sz w:val="28"/>
          <w:szCs w:val="28"/>
          <w:u w:val="single"/>
        </w:rPr>
        <w:t xml:space="preserve">   </w:t>
      </w:r>
      <w:r>
        <w:rPr>
          <w:rFonts w:hint="eastAsia" w:ascii="宋体" w:hAnsi="宋体" w:cs="仿宋"/>
          <w:b/>
          <w:bCs/>
          <w:sz w:val="28"/>
          <w:szCs w:val="28"/>
        </w:rPr>
        <w:t>日</w:t>
      </w:r>
    </w:p>
    <w:p w14:paraId="1B4F8DE7">
      <w:pPr>
        <w:spacing w:line="360" w:lineRule="auto"/>
        <w:rPr>
          <w:rFonts w:ascii="宋体" w:hAnsi="宋体" w:cs="仿宋"/>
          <w:sz w:val="36"/>
          <w:szCs w:val="36"/>
        </w:rPr>
      </w:pPr>
    </w:p>
    <w:p w14:paraId="5603AA2A">
      <w:pPr>
        <w:spacing w:line="360" w:lineRule="auto"/>
        <w:jc w:val="center"/>
        <w:rPr>
          <w:rFonts w:ascii="宋体" w:hAnsi="宋体" w:cs="仿宋"/>
          <w:sz w:val="36"/>
          <w:szCs w:val="36"/>
        </w:rPr>
      </w:pPr>
    </w:p>
    <w:p w14:paraId="65A3DF87">
      <w:pPr>
        <w:spacing w:line="360" w:lineRule="auto"/>
        <w:jc w:val="center"/>
        <w:rPr>
          <w:rFonts w:ascii="宋体" w:hAnsi="宋体" w:cs="仿宋"/>
          <w:sz w:val="36"/>
          <w:szCs w:val="36"/>
        </w:rPr>
      </w:pPr>
    </w:p>
    <w:p w14:paraId="5AC328D1">
      <w:pPr>
        <w:spacing w:line="360" w:lineRule="auto"/>
        <w:jc w:val="center"/>
        <w:rPr>
          <w:rFonts w:ascii="宋体" w:hAnsi="宋体" w:cs="仿宋"/>
          <w:b/>
          <w:bCs/>
          <w:sz w:val="36"/>
          <w:szCs w:val="36"/>
        </w:rPr>
      </w:pPr>
      <w:r>
        <w:rPr>
          <w:rFonts w:hint="eastAsia" w:ascii="宋体" w:hAnsi="宋体" w:cs="仿宋"/>
          <w:b/>
          <w:bCs/>
          <w:sz w:val="36"/>
          <w:szCs w:val="36"/>
        </w:rPr>
        <w:t>目    录</w:t>
      </w:r>
    </w:p>
    <w:p w14:paraId="0C01AD8D">
      <w:pPr>
        <w:pStyle w:val="37"/>
        <w:tabs>
          <w:tab w:val="left" w:pos="1335"/>
        </w:tabs>
        <w:spacing w:before="131" w:line="360" w:lineRule="auto"/>
        <w:ind w:left="0" w:firstLine="0"/>
        <w:jc w:val="center"/>
        <w:rPr>
          <w:rFonts w:cs="仿宋"/>
          <w:spacing w:val="-3"/>
          <w:sz w:val="21"/>
          <w:szCs w:val="21"/>
          <w:lang w:val="en-US"/>
        </w:rPr>
      </w:pPr>
      <w:r>
        <w:rPr>
          <w:rFonts w:hint="eastAsia" w:cs="仿宋"/>
          <w:lang w:val="en-US"/>
        </w:rPr>
        <w:t>系统自动生成</w:t>
      </w:r>
    </w:p>
    <w:p w14:paraId="376BA29C">
      <w:pPr>
        <w:spacing w:line="540" w:lineRule="exact"/>
        <w:ind w:firstLine="556"/>
        <w:jc w:val="center"/>
        <w:rPr>
          <w:rFonts w:ascii="宋体" w:hAnsi="宋体" w:cs="仿宋"/>
          <w:b/>
          <w:bCs/>
          <w:sz w:val="28"/>
          <w:szCs w:val="28"/>
        </w:rPr>
      </w:pPr>
    </w:p>
    <w:p w14:paraId="374A10D7">
      <w:pPr>
        <w:spacing w:line="540" w:lineRule="exact"/>
        <w:ind w:firstLine="556"/>
        <w:jc w:val="center"/>
        <w:rPr>
          <w:rFonts w:ascii="宋体" w:hAnsi="宋体" w:cs="仿宋"/>
          <w:b/>
          <w:bCs/>
          <w:sz w:val="28"/>
          <w:szCs w:val="28"/>
        </w:rPr>
      </w:pPr>
    </w:p>
    <w:p w14:paraId="2F74DD9A">
      <w:pPr>
        <w:spacing w:line="540" w:lineRule="exact"/>
        <w:ind w:firstLine="556"/>
        <w:jc w:val="center"/>
        <w:rPr>
          <w:rFonts w:ascii="宋体" w:hAnsi="宋体" w:cs="仿宋"/>
          <w:b/>
          <w:bCs/>
          <w:sz w:val="28"/>
          <w:szCs w:val="28"/>
        </w:rPr>
      </w:pPr>
    </w:p>
    <w:p w14:paraId="31661A17">
      <w:pPr>
        <w:spacing w:line="540" w:lineRule="exact"/>
        <w:ind w:firstLine="556"/>
        <w:jc w:val="center"/>
        <w:rPr>
          <w:rFonts w:ascii="宋体" w:hAnsi="宋体" w:cs="仿宋"/>
          <w:b/>
          <w:bCs/>
          <w:sz w:val="28"/>
          <w:szCs w:val="28"/>
        </w:rPr>
      </w:pPr>
    </w:p>
    <w:p w14:paraId="3503A039">
      <w:pPr>
        <w:spacing w:line="540" w:lineRule="exact"/>
        <w:ind w:firstLine="556"/>
        <w:jc w:val="center"/>
        <w:rPr>
          <w:rFonts w:ascii="宋体" w:hAnsi="宋体" w:cs="仿宋"/>
          <w:b/>
          <w:bCs/>
          <w:sz w:val="28"/>
          <w:szCs w:val="28"/>
        </w:rPr>
      </w:pPr>
    </w:p>
    <w:p w14:paraId="67268990">
      <w:pPr>
        <w:spacing w:line="540" w:lineRule="exact"/>
        <w:ind w:firstLine="556"/>
        <w:jc w:val="center"/>
        <w:rPr>
          <w:rFonts w:ascii="宋体" w:hAnsi="宋体" w:cs="仿宋"/>
          <w:b/>
          <w:bCs/>
          <w:sz w:val="28"/>
          <w:szCs w:val="28"/>
        </w:rPr>
      </w:pPr>
    </w:p>
    <w:p w14:paraId="4C7857DE">
      <w:pPr>
        <w:spacing w:line="540" w:lineRule="exact"/>
        <w:ind w:firstLine="556"/>
        <w:jc w:val="center"/>
        <w:rPr>
          <w:rFonts w:ascii="宋体" w:hAnsi="宋体" w:cs="仿宋"/>
          <w:b/>
          <w:bCs/>
          <w:sz w:val="28"/>
          <w:szCs w:val="28"/>
        </w:rPr>
      </w:pPr>
    </w:p>
    <w:p w14:paraId="3FCFB178">
      <w:pPr>
        <w:spacing w:line="540" w:lineRule="exact"/>
        <w:ind w:firstLine="556"/>
        <w:jc w:val="center"/>
        <w:rPr>
          <w:rFonts w:ascii="宋体" w:hAnsi="宋体" w:cs="仿宋"/>
          <w:b/>
          <w:bCs/>
          <w:sz w:val="28"/>
          <w:szCs w:val="28"/>
        </w:rPr>
      </w:pPr>
    </w:p>
    <w:p w14:paraId="1DD82FEC">
      <w:pPr>
        <w:spacing w:line="540" w:lineRule="exact"/>
        <w:ind w:firstLine="556"/>
        <w:jc w:val="center"/>
        <w:rPr>
          <w:rFonts w:ascii="宋体" w:hAnsi="宋体" w:cs="仿宋"/>
          <w:b/>
          <w:bCs/>
          <w:sz w:val="28"/>
          <w:szCs w:val="28"/>
        </w:rPr>
      </w:pPr>
    </w:p>
    <w:p w14:paraId="09B336B9">
      <w:pPr>
        <w:spacing w:line="540" w:lineRule="exact"/>
        <w:ind w:firstLine="556"/>
        <w:jc w:val="center"/>
        <w:rPr>
          <w:rFonts w:ascii="宋体" w:hAnsi="宋体" w:cs="仿宋"/>
          <w:b/>
          <w:bCs/>
          <w:sz w:val="28"/>
          <w:szCs w:val="28"/>
        </w:rPr>
      </w:pPr>
    </w:p>
    <w:p w14:paraId="3B46FD59">
      <w:pPr>
        <w:spacing w:line="540" w:lineRule="exact"/>
        <w:ind w:firstLine="556"/>
        <w:jc w:val="center"/>
        <w:rPr>
          <w:rFonts w:ascii="宋体" w:hAnsi="宋体" w:cs="仿宋"/>
          <w:b/>
          <w:bCs/>
          <w:sz w:val="28"/>
          <w:szCs w:val="28"/>
        </w:rPr>
      </w:pPr>
    </w:p>
    <w:p w14:paraId="2D720444">
      <w:pPr>
        <w:spacing w:line="540" w:lineRule="exact"/>
        <w:ind w:firstLine="556"/>
        <w:jc w:val="center"/>
        <w:rPr>
          <w:rFonts w:ascii="宋体" w:hAnsi="宋体" w:cs="仿宋"/>
          <w:b/>
          <w:bCs/>
          <w:sz w:val="28"/>
          <w:szCs w:val="28"/>
        </w:rPr>
      </w:pPr>
    </w:p>
    <w:p w14:paraId="0A1A82BE">
      <w:pPr>
        <w:spacing w:line="540" w:lineRule="exact"/>
        <w:ind w:firstLine="556"/>
        <w:jc w:val="center"/>
        <w:rPr>
          <w:rFonts w:ascii="宋体" w:hAnsi="宋体" w:cs="仿宋"/>
          <w:b/>
          <w:bCs/>
          <w:sz w:val="28"/>
          <w:szCs w:val="28"/>
        </w:rPr>
      </w:pPr>
    </w:p>
    <w:p w14:paraId="361664ED">
      <w:pPr>
        <w:spacing w:line="540" w:lineRule="exact"/>
        <w:ind w:firstLine="556"/>
        <w:jc w:val="center"/>
        <w:rPr>
          <w:rFonts w:ascii="宋体" w:hAnsi="宋体" w:cs="仿宋"/>
          <w:b/>
          <w:bCs/>
          <w:sz w:val="28"/>
          <w:szCs w:val="28"/>
        </w:rPr>
      </w:pPr>
    </w:p>
    <w:p w14:paraId="142AB0E4">
      <w:pPr>
        <w:spacing w:line="540" w:lineRule="exact"/>
        <w:ind w:firstLine="556"/>
        <w:jc w:val="center"/>
        <w:rPr>
          <w:rFonts w:ascii="宋体" w:hAnsi="宋体" w:cs="仿宋"/>
          <w:b/>
          <w:bCs/>
          <w:sz w:val="28"/>
          <w:szCs w:val="28"/>
        </w:rPr>
      </w:pPr>
    </w:p>
    <w:p w14:paraId="44D0D7AC">
      <w:pPr>
        <w:spacing w:line="540" w:lineRule="exact"/>
        <w:ind w:firstLine="556"/>
        <w:jc w:val="center"/>
        <w:rPr>
          <w:rFonts w:ascii="宋体" w:hAnsi="宋体" w:cs="仿宋"/>
          <w:b/>
          <w:bCs/>
          <w:sz w:val="28"/>
          <w:szCs w:val="28"/>
        </w:rPr>
      </w:pPr>
    </w:p>
    <w:p w14:paraId="1AEEA7D8">
      <w:pPr>
        <w:spacing w:line="540" w:lineRule="exact"/>
        <w:ind w:firstLine="556"/>
        <w:jc w:val="center"/>
        <w:rPr>
          <w:rFonts w:ascii="宋体" w:hAnsi="宋体" w:cs="仿宋"/>
          <w:b/>
          <w:bCs/>
          <w:sz w:val="28"/>
          <w:szCs w:val="28"/>
        </w:rPr>
      </w:pPr>
    </w:p>
    <w:p w14:paraId="50A9D273">
      <w:pPr>
        <w:spacing w:line="540" w:lineRule="exact"/>
        <w:ind w:firstLine="556"/>
        <w:jc w:val="center"/>
        <w:rPr>
          <w:rFonts w:ascii="宋体" w:hAnsi="宋体" w:cs="仿宋"/>
          <w:b/>
          <w:bCs/>
          <w:sz w:val="28"/>
          <w:szCs w:val="28"/>
        </w:rPr>
      </w:pPr>
    </w:p>
    <w:p w14:paraId="3C63D963">
      <w:pPr>
        <w:widowControl/>
        <w:jc w:val="left"/>
        <w:rPr>
          <w:rFonts w:ascii="宋体" w:hAnsi="宋体" w:cs="仿宋"/>
          <w:b/>
          <w:sz w:val="32"/>
          <w:szCs w:val="32"/>
        </w:rPr>
      </w:pPr>
      <w:r>
        <w:rPr>
          <w:rFonts w:ascii="宋体" w:hAnsi="宋体" w:cs="仿宋"/>
          <w:b/>
          <w:sz w:val="32"/>
          <w:szCs w:val="32"/>
        </w:rPr>
        <w:br w:type="page"/>
      </w:r>
    </w:p>
    <w:p w14:paraId="4B1EE685">
      <w:pPr>
        <w:pStyle w:val="4"/>
        <w:spacing w:line="360" w:lineRule="auto"/>
        <w:ind w:left="0" w:right="76"/>
        <w:jc w:val="center"/>
        <w:rPr>
          <w:rFonts w:ascii="宋体" w:hAnsi="宋体" w:eastAsia="宋体" w:cs="仿宋"/>
          <w:b/>
          <w:bCs/>
          <w:sz w:val="28"/>
          <w:szCs w:val="28"/>
        </w:rPr>
      </w:pPr>
      <w:r>
        <w:rPr>
          <w:rFonts w:hint="eastAsia" w:ascii="宋体" w:hAnsi="宋体" w:eastAsia="宋体" w:cs="仿宋"/>
          <w:b/>
          <w:bCs/>
          <w:sz w:val="28"/>
          <w:szCs w:val="28"/>
        </w:rPr>
        <w:t>一、投标函</w:t>
      </w:r>
    </w:p>
    <w:p w14:paraId="7B7E612B">
      <w:pPr>
        <w:spacing w:line="480" w:lineRule="auto"/>
        <w:rPr>
          <w:rFonts w:ascii="宋体" w:hAnsi="宋体" w:cs="仿宋"/>
          <w:sz w:val="24"/>
        </w:rPr>
      </w:pPr>
      <w:bookmarkStart w:id="165" w:name="_Toc9094"/>
      <w:bookmarkStart w:id="166" w:name="_Toc865"/>
      <w:r>
        <w:rPr>
          <w:rFonts w:hint="eastAsia" w:ascii="宋体" w:hAnsi="宋体" w:cs="仿宋"/>
          <w:sz w:val="24"/>
          <w:u w:val="single"/>
        </w:rPr>
        <w:t xml:space="preserve">      </w:t>
      </w:r>
      <w:r>
        <w:rPr>
          <w:rFonts w:hint="eastAsia" w:ascii="宋体" w:hAnsi="宋体" w:cs="仿宋"/>
          <w:sz w:val="24"/>
        </w:rPr>
        <w:t>（采购人名称）：</w:t>
      </w:r>
    </w:p>
    <w:p w14:paraId="3A629B31">
      <w:pPr>
        <w:spacing w:line="480" w:lineRule="auto"/>
        <w:ind w:firstLine="480" w:firstLineChars="200"/>
        <w:rPr>
          <w:rFonts w:ascii="宋体" w:hAnsi="宋体" w:cs="仿宋"/>
          <w:sz w:val="24"/>
        </w:rPr>
      </w:pPr>
      <w:r>
        <w:rPr>
          <w:rFonts w:hint="eastAsia" w:ascii="宋体" w:hAnsi="宋体" w:cs="仿宋"/>
          <w:sz w:val="24"/>
        </w:rPr>
        <w:t>1．我方已仔细研究了</w:t>
      </w:r>
      <w:r>
        <w:rPr>
          <w:rFonts w:hint="eastAsia" w:ascii="宋体" w:hAnsi="宋体" w:cs="仿宋"/>
          <w:sz w:val="24"/>
          <w:u w:val="single"/>
        </w:rPr>
        <w:t xml:space="preserve">                   </w:t>
      </w:r>
      <w:r>
        <w:rPr>
          <w:rFonts w:hint="eastAsia" w:ascii="宋体" w:hAnsi="宋体" w:cs="仿宋"/>
          <w:sz w:val="24"/>
        </w:rPr>
        <w:t>（项目名称）招标文件的全部内容，愿意以人民币（大写）</w:t>
      </w:r>
      <w:r>
        <w:rPr>
          <w:rFonts w:hint="eastAsia" w:ascii="宋体" w:hAnsi="宋体" w:cs="仿宋"/>
          <w:sz w:val="24"/>
          <w:u w:val="single"/>
        </w:rPr>
        <w:t xml:space="preserve">              </w:t>
      </w:r>
      <w:r>
        <w:rPr>
          <w:rFonts w:hint="eastAsia" w:ascii="宋体" w:hAnsi="宋体" w:cs="仿宋"/>
          <w:sz w:val="24"/>
        </w:rPr>
        <w:t>，（小写：</w:t>
      </w:r>
      <w:r>
        <w:rPr>
          <w:rFonts w:hint="eastAsia" w:ascii="宋体" w:hAnsi="宋体" w:cs="仿宋"/>
          <w:sz w:val="24"/>
          <w:u w:val="single"/>
        </w:rPr>
        <w:t xml:space="preserve">       </w:t>
      </w:r>
      <w:r>
        <w:rPr>
          <w:rFonts w:hint="eastAsia" w:ascii="宋体" w:hAnsi="宋体" w:cs="仿宋"/>
          <w:sz w:val="24"/>
        </w:rPr>
        <w:t>元）的投标总报价，按合同约定完成全部合同内容，服务期限：</w:t>
      </w:r>
      <w:r>
        <w:rPr>
          <w:rFonts w:hint="eastAsia" w:ascii="宋体" w:hAnsi="宋体" w:cs="仿宋"/>
          <w:sz w:val="24"/>
          <w:u w:val="single"/>
        </w:rPr>
        <w:t xml:space="preserve">      </w:t>
      </w:r>
      <w:r>
        <w:rPr>
          <w:rFonts w:hint="eastAsia" w:ascii="宋体" w:hAnsi="宋体" w:cs="仿宋"/>
          <w:sz w:val="24"/>
        </w:rPr>
        <w:t xml:space="preserve"> ，服务质量目标</w:t>
      </w:r>
      <w:r>
        <w:rPr>
          <w:rFonts w:hint="eastAsia" w:ascii="宋体" w:hAnsi="宋体" w:cs="仿宋"/>
          <w:sz w:val="24"/>
          <w:u w:val="single"/>
        </w:rPr>
        <w:t xml:space="preserve">     </w:t>
      </w:r>
      <w:r>
        <w:rPr>
          <w:rFonts w:hint="eastAsia" w:ascii="宋体" w:hAnsi="宋体" w:cs="仿宋"/>
          <w:sz w:val="24"/>
        </w:rPr>
        <w:t>。</w:t>
      </w:r>
    </w:p>
    <w:p w14:paraId="73E88848">
      <w:pPr>
        <w:spacing w:line="480" w:lineRule="auto"/>
        <w:ind w:firstLine="480" w:firstLineChars="200"/>
        <w:rPr>
          <w:rFonts w:ascii="宋体" w:hAnsi="宋体" w:cs="仿宋"/>
          <w:sz w:val="24"/>
        </w:rPr>
      </w:pPr>
      <w:r>
        <w:rPr>
          <w:rFonts w:hint="eastAsia" w:ascii="宋体" w:hAnsi="宋体" w:cs="仿宋"/>
          <w:sz w:val="24"/>
        </w:rPr>
        <w:t>2．如我方中标：</w:t>
      </w:r>
    </w:p>
    <w:p w14:paraId="3AC1180F">
      <w:pPr>
        <w:spacing w:line="480" w:lineRule="auto"/>
        <w:ind w:firstLine="820" w:firstLineChars="342"/>
        <w:rPr>
          <w:rFonts w:ascii="宋体" w:hAnsi="宋体" w:cs="仿宋"/>
          <w:sz w:val="24"/>
        </w:rPr>
      </w:pPr>
      <w:r>
        <w:rPr>
          <w:rFonts w:hint="eastAsia" w:ascii="宋体" w:hAnsi="宋体" w:cs="仿宋"/>
          <w:sz w:val="24"/>
        </w:rPr>
        <w:t>（1）我方承诺在收到中标通知书后，在中标通知书规定的期限内与你方签订合同。</w:t>
      </w:r>
    </w:p>
    <w:p w14:paraId="1CC4D27D">
      <w:pPr>
        <w:spacing w:line="480" w:lineRule="auto"/>
        <w:ind w:firstLine="820" w:firstLineChars="342"/>
        <w:rPr>
          <w:rFonts w:ascii="宋体" w:hAnsi="宋体" w:cs="仿宋"/>
          <w:sz w:val="24"/>
        </w:rPr>
      </w:pPr>
      <w:r>
        <w:rPr>
          <w:rFonts w:hint="eastAsia" w:ascii="宋体" w:hAnsi="宋体" w:cs="仿宋"/>
          <w:sz w:val="24"/>
        </w:rPr>
        <w:t>（2）随同本投标函递交的开标一览表属于合同文件的组成部分。</w:t>
      </w:r>
    </w:p>
    <w:p w14:paraId="45CBD37C">
      <w:pPr>
        <w:spacing w:line="480" w:lineRule="auto"/>
        <w:ind w:firstLine="820" w:firstLineChars="342"/>
        <w:rPr>
          <w:rFonts w:ascii="宋体" w:hAnsi="宋体" w:cs="仿宋"/>
          <w:sz w:val="24"/>
        </w:rPr>
      </w:pPr>
      <w:r>
        <w:rPr>
          <w:rFonts w:hint="eastAsia" w:ascii="宋体" w:hAnsi="宋体" w:cs="仿宋"/>
          <w:sz w:val="24"/>
        </w:rPr>
        <w:t>（3）我方承诺按照招标文件规定向你方递交履约担保（如有）。</w:t>
      </w:r>
    </w:p>
    <w:p w14:paraId="377D203A">
      <w:pPr>
        <w:spacing w:line="480" w:lineRule="auto"/>
        <w:ind w:firstLine="820" w:firstLineChars="342"/>
        <w:rPr>
          <w:rFonts w:ascii="宋体" w:hAnsi="宋体" w:cs="仿宋"/>
          <w:sz w:val="24"/>
        </w:rPr>
      </w:pPr>
      <w:r>
        <w:rPr>
          <w:rFonts w:hint="eastAsia" w:ascii="宋体" w:hAnsi="宋体" w:cs="仿宋"/>
          <w:sz w:val="24"/>
        </w:rPr>
        <w:t>（4）我方承诺在合同约定的期限内完成全部合同项目。</w:t>
      </w:r>
    </w:p>
    <w:p w14:paraId="564A254A">
      <w:pPr>
        <w:spacing w:line="480" w:lineRule="auto"/>
        <w:ind w:firstLine="820" w:firstLineChars="342"/>
        <w:rPr>
          <w:rFonts w:ascii="宋体" w:hAnsi="宋体" w:cs="仿宋"/>
          <w:sz w:val="24"/>
        </w:rPr>
      </w:pPr>
      <w:r>
        <w:rPr>
          <w:rFonts w:hint="eastAsia" w:ascii="宋体" w:hAnsi="宋体" w:cs="仿宋"/>
          <w:sz w:val="24"/>
        </w:rPr>
        <w:t>（5）我方承诺将按照招标文件的具体规定向采购代理机构交纳招标代理服务费。</w:t>
      </w:r>
    </w:p>
    <w:p w14:paraId="75856803">
      <w:pPr>
        <w:spacing w:line="480" w:lineRule="auto"/>
        <w:ind w:firstLine="480" w:firstLineChars="200"/>
        <w:rPr>
          <w:rFonts w:ascii="宋体" w:hAnsi="宋体" w:cs="仿宋"/>
          <w:sz w:val="24"/>
          <w:szCs w:val="32"/>
        </w:rPr>
      </w:pPr>
      <w:r>
        <w:rPr>
          <w:rFonts w:hint="eastAsia" w:ascii="宋体" w:hAnsi="宋体" w:cs="仿宋"/>
          <w:sz w:val="24"/>
        </w:rPr>
        <w:t>3．</w:t>
      </w:r>
      <w:r>
        <w:rPr>
          <w:rFonts w:hint="eastAsia" w:ascii="宋体" w:hAnsi="宋体" w:cs="仿宋"/>
          <w:sz w:val="24"/>
          <w:szCs w:val="32"/>
        </w:rPr>
        <w:t>我方在此声明，所递交的投标文件及有关资料内容完整、真实和准确。</w:t>
      </w:r>
    </w:p>
    <w:p w14:paraId="19F43D05">
      <w:pPr>
        <w:spacing w:line="480" w:lineRule="auto"/>
        <w:ind w:firstLine="480" w:firstLineChars="200"/>
        <w:rPr>
          <w:rFonts w:ascii="宋体" w:hAnsi="宋体" w:cs="仿宋"/>
          <w:sz w:val="24"/>
        </w:rPr>
      </w:pPr>
      <w:r>
        <w:rPr>
          <w:rFonts w:hint="eastAsia" w:ascii="宋体" w:hAnsi="宋体" w:cs="仿宋"/>
          <w:sz w:val="24"/>
        </w:rPr>
        <w:t>4. 我方完全响应招标文件要求的所有内容。</w:t>
      </w:r>
    </w:p>
    <w:p w14:paraId="49D59B18">
      <w:pPr>
        <w:spacing w:line="480" w:lineRule="auto"/>
        <w:ind w:firstLine="480" w:firstLineChars="200"/>
        <w:rPr>
          <w:rFonts w:ascii="宋体" w:hAnsi="宋体" w:cs="仿宋"/>
          <w:sz w:val="24"/>
        </w:rPr>
      </w:pPr>
      <w:r>
        <w:rPr>
          <w:rFonts w:hint="eastAsia" w:ascii="宋体" w:hAnsi="宋体" w:cs="仿宋"/>
          <w:sz w:val="24"/>
        </w:rPr>
        <w:t>5．</w:t>
      </w:r>
      <w:r>
        <w:rPr>
          <w:rFonts w:hint="eastAsia" w:ascii="宋体" w:hAnsi="宋体" w:cs="仿宋"/>
          <w:sz w:val="24"/>
          <w:u w:val="single"/>
        </w:rPr>
        <w:t xml:space="preserve">              </w:t>
      </w:r>
      <w:r>
        <w:rPr>
          <w:rFonts w:hint="eastAsia" w:ascii="宋体" w:hAnsi="宋体" w:cs="仿宋"/>
          <w:sz w:val="24"/>
        </w:rPr>
        <w:t>（其他补充说明）。</w:t>
      </w:r>
    </w:p>
    <w:p w14:paraId="22ABBCFD">
      <w:pPr>
        <w:spacing w:line="480" w:lineRule="auto"/>
        <w:rPr>
          <w:rFonts w:ascii="宋体" w:hAnsi="宋体" w:cs="仿宋"/>
          <w:sz w:val="24"/>
        </w:rPr>
      </w:pPr>
    </w:p>
    <w:p w14:paraId="317E0483">
      <w:pPr>
        <w:spacing w:line="480" w:lineRule="auto"/>
        <w:jc w:val="right"/>
        <w:rPr>
          <w:rFonts w:ascii="宋体" w:hAnsi="宋体" w:cs="仿宋"/>
          <w:sz w:val="24"/>
        </w:rPr>
      </w:pPr>
    </w:p>
    <w:p w14:paraId="4A7FDDD2">
      <w:pPr>
        <w:spacing w:line="480" w:lineRule="auto"/>
        <w:jc w:val="right"/>
        <w:rPr>
          <w:rFonts w:ascii="宋体" w:hAnsi="宋体" w:cs="仿宋"/>
          <w:sz w:val="24"/>
        </w:rPr>
      </w:pPr>
      <w:r>
        <w:rPr>
          <w:rFonts w:hint="eastAsia" w:ascii="宋体" w:hAnsi="宋体" w:cs="仿宋"/>
          <w:sz w:val="24"/>
        </w:rPr>
        <w:t>投标人名称：</w:t>
      </w:r>
      <w:r>
        <w:rPr>
          <w:rFonts w:hint="eastAsia" w:ascii="宋体" w:hAnsi="宋体" w:cs="仿宋"/>
          <w:sz w:val="24"/>
          <w:u w:val="single"/>
        </w:rPr>
        <w:t xml:space="preserve">                       </w:t>
      </w:r>
      <w:r>
        <w:rPr>
          <w:rFonts w:hint="eastAsia" w:ascii="宋体" w:hAnsi="宋体" w:cs="仿宋"/>
          <w:sz w:val="24"/>
        </w:rPr>
        <w:t xml:space="preserve">（电子签章） </w:t>
      </w:r>
    </w:p>
    <w:p w14:paraId="266D9F07">
      <w:pPr>
        <w:spacing w:line="480" w:lineRule="auto"/>
        <w:jc w:val="right"/>
        <w:rPr>
          <w:rFonts w:ascii="宋体" w:hAnsi="宋体" w:cs="仿宋"/>
          <w:sz w:val="24"/>
        </w:rPr>
      </w:pPr>
      <w:r>
        <w:rPr>
          <w:rFonts w:hint="eastAsia" w:ascii="宋体" w:hAnsi="宋体" w:cs="仿宋"/>
          <w:sz w:val="24"/>
        </w:rPr>
        <w:t>法定代表人或委托代理人：</w:t>
      </w:r>
      <w:r>
        <w:rPr>
          <w:rFonts w:hint="eastAsia" w:ascii="宋体" w:hAnsi="宋体" w:cs="仿宋"/>
          <w:sz w:val="24"/>
          <w:u w:val="single"/>
        </w:rPr>
        <w:t xml:space="preserve">            </w:t>
      </w:r>
      <w:r>
        <w:rPr>
          <w:rFonts w:hint="eastAsia" w:ascii="宋体" w:hAnsi="宋体" w:cs="仿宋"/>
          <w:sz w:val="24"/>
        </w:rPr>
        <w:t>（电子签章）</w:t>
      </w:r>
    </w:p>
    <w:p w14:paraId="567A8BEF">
      <w:pPr>
        <w:spacing w:line="480" w:lineRule="auto"/>
        <w:jc w:val="right"/>
        <w:rPr>
          <w:rFonts w:ascii="宋体" w:hAnsi="宋体" w:cs="仿宋"/>
          <w:sz w:val="24"/>
        </w:rPr>
      </w:pPr>
      <w:r>
        <w:rPr>
          <w:rFonts w:hint="eastAsia" w:ascii="宋体" w:hAnsi="宋体" w:cs="仿宋"/>
          <w:sz w:val="24"/>
        </w:rPr>
        <w:t>日期：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p>
    <w:p w14:paraId="36573919">
      <w:pPr>
        <w:spacing w:line="540" w:lineRule="exact"/>
        <w:ind w:firstLine="556"/>
        <w:jc w:val="center"/>
        <w:rPr>
          <w:rFonts w:ascii="宋体" w:hAnsi="宋体" w:cs="仿宋"/>
          <w:b/>
          <w:bCs/>
          <w:sz w:val="28"/>
          <w:szCs w:val="28"/>
        </w:rPr>
      </w:pPr>
    </w:p>
    <w:p w14:paraId="4B3655CA">
      <w:pPr>
        <w:spacing w:line="540" w:lineRule="exact"/>
        <w:ind w:firstLine="556"/>
        <w:jc w:val="center"/>
        <w:rPr>
          <w:rFonts w:ascii="宋体" w:hAnsi="宋体" w:cs="仿宋"/>
          <w:b/>
          <w:bCs/>
          <w:sz w:val="28"/>
          <w:szCs w:val="28"/>
        </w:rPr>
      </w:pPr>
    </w:p>
    <w:p w14:paraId="2B199126">
      <w:pPr>
        <w:widowControl/>
        <w:jc w:val="left"/>
        <w:rPr>
          <w:rFonts w:ascii="宋体" w:hAnsi="宋体" w:cs="仿宋"/>
          <w:b/>
          <w:bCs/>
          <w:sz w:val="28"/>
          <w:szCs w:val="28"/>
        </w:rPr>
      </w:pPr>
      <w:r>
        <w:rPr>
          <w:rFonts w:ascii="宋体" w:hAnsi="宋体" w:cs="仿宋"/>
          <w:b/>
          <w:bCs/>
          <w:sz w:val="28"/>
          <w:szCs w:val="28"/>
        </w:rPr>
        <w:br w:type="page"/>
      </w:r>
    </w:p>
    <w:p w14:paraId="74F465B0">
      <w:pPr>
        <w:pStyle w:val="4"/>
        <w:spacing w:line="360" w:lineRule="auto"/>
        <w:ind w:left="0" w:right="76"/>
        <w:jc w:val="center"/>
        <w:rPr>
          <w:rFonts w:ascii="宋体" w:hAnsi="宋体" w:eastAsia="宋体" w:cs="仿宋"/>
          <w:b/>
          <w:bCs/>
          <w:sz w:val="28"/>
          <w:szCs w:val="28"/>
        </w:rPr>
      </w:pPr>
      <w:r>
        <w:rPr>
          <w:rFonts w:hint="eastAsia" w:ascii="宋体" w:hAnsi="宋体" w:eastAsia="宋体" w:cs="仿宋"/>
          <w:b/>
          <w:bCs/>
          <w:sz w:val="28"/>
          <w:szCs w:val="28"/>
        </w:rPr>
        <w:t>二、开标一览表及分项报价明细表</w:t>
      </w:r>
    </w:p>
    <w:p w14:paraId="5EEE06A6">
      <w:pPr>
        <w:pStyle w:val="26"/>
        <w:ind w:left="0" w:leftChars="0" w:firstLine="0" w:firstLineChars="0"/>
        <w:jc w:val="center"/>
        <w:rPr>
          <w:rFonts w:cs="仿宋"/>
          <w:b/>
          <w:sz w:val="28"/>
          <w:szCs w:val="28"/>
        </w:rPr>
      </w:pPr>
      <w:r>
        <w:rPr>
          <w:rFonts w:hint="eastAsia" w:cs="仿宋"/>
          <w:b/>
          <w:sz w:val="28"/>
          <w:szCs w:val="28"/>
        </w:rPr>
        <w:t>开标一览表</w:t>
      </w:r>
    </w:p>
    <w:tbl>
      <w:tblPr>
        <w:tblStyle w:val="27"/>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2"/>
        <w:gridCol w:w="6631"/>
      </w:tblGrid>
      <w:tr w14:paraId="1F6E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2732" w:type="dxa"/>
            <w:vAlign w:val="center"/>
          </w:tcPr>
          <w:p w14:paraId="6C81F5EE">
            <w:pPr>
              <w:tabs>
                <w:tab w:val="left" w:pos="2232"/>
              </w:tabs>
              <w:spacing w:line="360" w:lineRule="auto"/>
              <w:ind w:right="-107" w:rightChars="-51"/>
              <w:jc w:val="center"/>
              <w:rPr>
                <w:rFonts w:ascii="宋体" w:hAnsi="宋体" w:cs="仿宋"/>
                <w:sz w:val="24"/>
              </w:rPr>
            </w:pPr>
            <w:r>
              <w:rPr>
                <w:rFonts w:hint="eastAsia" w:ascii="宋体" w:hAnsi="宋体" w:cs="仿宋"/>
                <w:sz w:val="24"/>
              </w:rPr>
              <w:t>项目名称</w:t>
            </w:r>
          </w:p>
        </w:tc>
        <w:tc>
          <w:tcPr>
            <w:tcW w:w="6631" w:type="dxa"/>
            <w:vAlign w:val="center"/>
          </w:tcPr>
          <w:p w14:paraId="50C48D51">
            <w:pPr>
              <w:spacing w:line="360" w:lineRule="auto"/>
              <w:ind w:right="460" w:rightChars="219"/>
              <w:jc w:val="center"/>
              <w:rPr>
                <w:rFonts w:ascii="宋体" w:hAnsi="宋体" w:cs="仿宋"/>
                <w:sz w:val="24"/>
              </w:rPr>
            </w:pPr>
          </w:p>
        </w:tc>
      </w:tr>
      <w:tr w14:paraId="7659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2732" w:type="dxa"/>
            <w:vAlign w:val="center"/>
          </w:tcPr>
          <w:p w14:paraId="6372115F">
            <w:pPr>
              <w:tabs>
                <w:tab w:val="left" w:pos="2232"/>
              </w:tabs>
              <w:spacing w:line="360" w:lineRule="auto"/>
              <w:ind w:right="-107" w:rightChars="-51"/>
              <w:jc w:val="center"/>
              <w:rPr>
                <w:rFonts w:ascii="宋体" w:hAnsi="宋体" w:cs="仿宋"/>
                <w:sz w:val="24"/>
              </w:rPr>
            </w:pPr>
            <w:r>
              <w:rPr>
                <w:rFonts w:hint="eastAsia" w:ascii="宋体" w:hAnsi="宋体" w:cs="仿宋"/>
                <w:sz w:val="24"/>
              </w:rPr>
              <w:t>投标人名称</w:t>
            </w:r>
          </w:p>
        </w:tc>
        <w:tc>
          <w:tcPr>
            <w:tcW w:w="6631" w:type="dxa"/>
            <w:vAlign w:val="center"/>
          </w:tcPr>
          <w:p w14:paraId="2A115795">
            <w:pPr>
              <w:spacing w:line="360" w:lineRule="auto"/>
              <w:ind w:right="460" w:rightChars="219"/>
              <w:jc w:val="center"/>
              <w:rPr>
                <w:rFonts w:ascii="宋体" w:hAnsi="宋体" w:cs="仿宋"/>
                <w:sz w:val="24"/>
              </w:rPr>
            </w:pPr>
          </w:p>
        </w:tc>
      </w:tr>
      <w:tr w14:paraId="706B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2732" w:type="dxa"/>
            <w:vAlign w:val="center"/>
          </w:tcPr>
          <w:p w14:paraId="6C858F04">
            <w:pPr>
              <w:spacing w:line="360" w:lineRule="auto"/>
              <w:ind w:right="-107" w:rightChars="-51"/>
              <w:jc w:val="center"/>
              <w:rPr>
                <w:rFonts w:ascii="宋体" w:hAnsi="宋体" w:cs="仿宋"/>
                <w:sz w:val="24"/>
              </w:rPr>
            </w:pPr>
            <w:r>
              <w:rPr>
                <w:rFonts w:hint="eastAsia" w:ascii="宋体" w:hAnsi="宋体" w:cs="仿宋"/>
                <w:sz w:val="24"/>
              </w:rPr>
              <w:t>投标内容</w:t>
            </w:r>
          </w:p>
        </w:tc>
        <w:tc>
          <w:tcPr>
            <w:tcW w:w="6631" w:type="dxa"/>
            <w:vAlign w:val="center"/>
          </w:tcPr>
          <w:p w14:paraId="5ACC732E">
            <w:pPr>
              <w:spacing w:line="360" w:lineRule="auto"/>
              <w:ind w:right="460" w:rightChars="219"/>
              <w:rPr>
                <w:rFonts w:ascii="宋体" w:hAnsi="宋体" w:cs="仿宋"/>
                <w:sz w:val="24"/>
              </w:rPr>
            </w:pPr>
          </w:p>
        </w:tc>
      </w:tr>
      <w:tr w14:paraId="6C9E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2732" w:type="dxa"/>
            <w:vMerge w:val="restart"/>
            <w:vAlign w:val="center"/>
          </w:tcPr>
          <w:p w14:paraId="681D41D3">
            <w:pPr>
              <w:spacing w:line="360" w:lineRule="auto"/>
              <w:ind w:right="-107" w:rightChars="-51"/>
              <w:jc w:val="center"/>
              <w:rPr>
                <w:rFonts w:ascii="宋体" w:hAnsi="宋体" w:cs="仿宋"/>
                <w:sz w:val="24"/>
              </w:rPr>
            </w:pPr>
            <w:r>
              <w:rPr>
                <w:rFonts w:hint="eastAsia" w:ascii="宋体" w:hAnsi="宋体" w:cs="仿宋"/>
                <w:sz w:val="24"/>
              </w:rPr>
              <w:t>投标总报价</w:t>
            </w:r>
          </w:p>
        </w:tc>
        <w:tc>
          <w:tcPr>
            <w:tcW w:w="6631" w:type="dxa"/>
            <w:vAlign w:val="center"/>
          </w:tcPr>
          <w:p w14:paraId="45731FFB">
            <w:pPr>
              <w:pStyle w:val="38"/>
              <w:spacing w:line="360" w:lineRule="auto"/>
              <w:rPr>
                <w:rFonts w:cs="仿宋"/>
                <w:sz w:val="24"/>
                <w:u w:val="single"/>
                <w:lang w:val="en-US"/>
              </w:rPr>
            </w:pPr>
            <w:r>
              <w:rPr>
                <w:rFonts w:hint="eastAsia" w:cs="仿宋"/>
                <w:kern w:val="2"/>
                <w:sz w:val="24"/>
                <w:lang w:val="en-US"/>
              </w:rPr>
              <w:t>（大写）：</w:t>
            </w:r>
            <w:r>
              <w:rPr>
                <w:rFonts w:hint="eastAsia" w:cs="仿宋"/>
                <w:kern w:val="2"/>
                <w:sz w:val="24"/>
                <w:u w:val="single"/>
                <w:lang w:val="en-US"/>
              </w:rPr>
              <w:t xml:space="preserve">           </w:t>
            </w:r>
          </w:p>
        </w:tc>
      </w:tr>
      <w:tr w14:paraId="7FA7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2732" w:type="dxa"/>
            <w:vMerge w:val="continue"/>
            <w:vAlign w:val="center"/>
          </w:tcPr>
          <w:p w14:paraId="21925B80">
            <w:pPr>
              <w:spacing w:line="360" w:lineRule="auto"/>
              <w:ind w:right="-107" w:rightChars="-51"/>
              <w:jc w:val="center"/>
              <w:rPr>
                <w:rFonts w:ascii="宋体" w:hAnsi="宋体" w:cs="仿宋"/>
                <w:sz w:val="24"/>
              </w:rPr>
            </w:pPr>
          </w:p>
        </w:tc>
        <w:tc>
          <w:tcPr>
            <w:tcW w:w="6631" w:type="dxa"/>
            <w:vAlign w:val="center"/>
          </w:tcPr>
          <w:p w14:paraId="06CCF387">
            <w:pPr>
              <w:tabs>
                <w:tab w:val="left" w:pos="2232"/>
              </w:tabs>
              <w:spacing w:line="360" w:lineRule="auto"/>
              <w:ind w:right="-107" w:rightChars="-51"/>
              <w:rPr>
                <w:rFonts w:ascii="宋体" w:hAnsi="宋体" w:cs="仿宋"/>
                <w:sz w:val="24"/>
                <w:u w:val="single"/>
              </w:rPr>
            </w:pPr>
            <w:r>
              <w:rPr>
                <w:rFonts w:hint="eastAsia" w:ascii="宋体" w:hAnsi="宋体" w:cs="仿宋"/>
                <w:sz w:val="24"/>
              </w:rPr>
              <w:t>（小写）：</w:t>
            </w:r>
            <w:r>
              <w:rPr>
                <w:rFonts w:hint="eastAsia" w:ascii="宋体" w:hAnsi="宋体" w:cs="仿宋"/>
                <w:sz w:val="24"/>
                <w:u w:val="single"/>
              </w:rPr>
              <w:t xml:space="preserve">          </w:t>
            </w:r>
          </w:p>
        </w:tc>
      </w:tr>
      <w:tr w14:paraId="1039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2732" w:type="dxa"/>
            <w:vAlign w:val="center"/>
          </w:tcPr>
          <w:p w14:paraId="4C866372">
            <w:pPr>
              <w:spacing w:line="360" w:lineRule="auto"/>
              <w:ind w:right="-107" w:rightChars="-51"/>
              <w:jc w:val="center"/>
              <w:rPr>
                <w:rFonts w:ascii="宋体" w:hAnsi="宋体" w:cs="仿宋"/>
                <w:sz w:val="24"/>
              </w:rPr>
            </w:pPr>
            <w:r>
              <w:rPr>
                <w:rFonts w:hint="eastAsia" w:ascii="宋体" w:hAnsi="宋体" w:cs="仿宋"/>
                <w:sz w:val="24"/>
              </w:rPr>
              <w:t>服务期限</w:t>
            </w:r>
          </w:p>
        </w:tc>
        <w:tc>
          <w:tcPr>
            <w:tcW w:w="6631" w:type="dxa"/>
            <w:vAlign w:val="center"/>
          </w:tcPr>
          <w:p w14:paraId="5AA1E773">
            <w:pPr>
              <w:spacing w:line="360" w:lineRule="auto"/>
              <w:ind w:right="460" w:rightChars="219"/>
              <w:jc w:val="center"/>
              <w:rPr>
                <w:rFonts w:ascii="宋体" w:hAnsi="宋体" w:cs="仿宋"/>
                <w:sz w:val="24"/>
              </w:rPr>
            </w:pPr>
          </w:p>
        </w:tc>
      </w:tr>
      <w:tr w14:paraId="2CD2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2732" w:type="dxa"/>
            <w:vAlign w:val="center"/>
          </w:tcPr>
          <w:p w14:paraId="79D5F128">
            <w:pPr>
              <w:spacing w:line="360" w:lineRule="auto"/>
              <w:ind w:right="-107" w:rightChars="-51"/>
              <w:jc w:val="center"/>
              <w:rPr>
                <w:rFonts w:ascii="宋体" w:hAnsi="宋体" w:cs="仿宋"/>
                <w:sz w:val="24"/>
              </w:rPr>
            </w:pPr>
            <w:r>
              <w:rPr>
                <w:rFonts w:hint="eastAsia" w:ascii="宋体" w:hAnsi="宋体" w:cs="仿宋"/>
                <w:sz w:val="24"/>
              </w:rPr>
              <w:t>服务质量目标</w:t>
            </w:r>
          </w:p>
        </w:tc>
        <w:tc>
          <w:tcPr>
            <w:tcW w:w="6631" w:type="dxa"/>
            <w:vAlign w:val="center"/>
          </w:tcPr>
          <w:p w14:paraId="1F91861E">
            <w:pPr>
              <w:spacing w:line="360" w:lineRule="auto"/>
              <w:ind w:right="460" w:rightChars="219"/>
              <w:jc w:val="center"/>
              <w:rPr>
                <w:rFonts w:ascii="宋体" w:hAnsi="宋体" w:cs="仿宋"/>
                <w:sz w:val="24"/>
              </w:rPr>
            </w:pPr>
          </w:p>
        </w:tc>
      </w:tr>
      <w:tr w14:paraId="576A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2732" w:type="dxa"/>
            <w:vAlign w:val="center"/>
          </w:tcPr>
          <w:p w14:paraId="798AC811">
            <w:pPr>
              <w:spacing w:line="360" w:lineRule="auto"/>
              <w:ind w:right="-107" w:rightChars="-51"/>
              <w:jc w:val="center"/>
              <w:rPr>
                <w:rFonts w:ascii="宋体" w:hAnsi="宋体" w:cs="仿宋"/>
                <w:sz w:val="24"/>
              </w:rPr>
            </w:pPr>
            <w:r>
              <w:rPr>
                <w:rFonts w:hint="eastAsia" w:ascii="宋体" w:hAnsi="宋体" w:cs="仿宋"/>
                <w:sz w:val="24"/>
              </w:rPr>
              <w:t>服务地点</w:t>
            </w:r>
          </w:p>
        </w:tc>
        <w:tc>
          <w:tcPr>
            <w:tcW w:w="6631" w:type="dxa"/>
            <w:vAlign w:val="center"/>
          </w:tcPr>
          <w:p w14:paraId="5C2A2218">
            <w:pPr>
              <w:spacing w:line="360" w:lineRule="auto"/>
              <w:ind w:right="460" w:rightChars="219"/>
              <w:jc w:val="center"/>
              <w:rPr>
                <w:rFonts w:ascii="宋体" w:hAnsi="宋体" w:cs="仿宋"/>
                <w:sz w:val="24"/>
              </w:rPr>
            </w:pPr>
          </w:p>
        </w:tc>
      </w:tr>
      <w:tr w14:paraId="607B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2732" w:type="dxa"/>
            <w:vAlign w:val="center"/>
          </w:tcPr>
          <w:p w14:paraId="39E83C95">
            <w:pPr>
              <w:spacing w:line="360" w:lineRule="auto"/>
              <w:ind w:right="-107" w:rightChars="-51"/>
              <w:jc w:val="center"/>
              <w:rPr>
                <w:rFonts w:ascii="宋体" w:hAnsi="宋体" w:cs="仿宋"/>
                <w:sz w:val="24"/>
              </w:rPr>
            </w:pPr>
            <w:r>
              <w:rPr>
                <w:rFonts w:hint="eastAsia" w:ascii="宋体" w:hAnsi="宋体" w:cs="仿宋"/>
                <w:sz w:val="24"/>
              </w:rPr>
              <w:t>投标有效期</w:t>
            </w:r>
          </w:p>
        </w:tc>
        <w:tc>
          <w:tcPr>
            <w:tcW w:w="6631" w:type="dxa"/>
            <w:vAlign w:val="center"/>
          </w:tcPr>
          <w:p w14:paraId="1D6901EA">
            <w:pPr>
              <w:spacing w:line="360" w:lineRule="auto"/>
              <w:ind w:right="460" w:rightChars="219"/>
              <w:jc w:val="center"/>
              <w:rPr>
                <w:rFonts w:ascii="宋体" w:hAnsi="宋体" w:cs="仿宋"/>
                <w:sz w:val="24"/>
              </w:rPr>
            </w:pPr>
          </w:p>
        </w:tc>
      </w:tr>
      <w:tr w14:paraId="1934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2732" w:type="dxa"/>
            <w:vAlign w:val="center"/>
          </w:tcPr>
          <w:p w14:paraId="6EFCC100">
            <w:pPr>
              <w:spacing w:line="360" w:lineRule="auto"/>
              <w:ind w:right="-107" w:rightChars="-51"/>
              <w:jc w:val="center"/>
              <w:rPr>
                <w:rFonts w:ascii="宋体" w:hAnsi="宋体" w:cs="仿宋"/>
                <w:sz w:val="24"/>
              </w:rPr>
            </w:pPr>
            <w:r>
              <w:rPr>
                <w:rFonts w:hint="eastAsia" w:ascii="宋体" w:hAnsi="宋体" w:cs="仿宋"/>
                <w:sz w:val="24"/>
              </w:rPr>
              <w:t>其它</w:t>
            </w:r>
          </w:p>
        </w:tc>
        <w:tc>
          <w:tcPr>
            <w:tcW w:w="6631" w:type="dxa"/>
            <w:vAlign w:val="center"/>
          </w:tcPr>
          <w:p w14:paraId="718512EF">
            <w:pPr>
              <w:spacing w:line="360" w:lineRule="auto"/>
              <w:ind w:right="460" w:rightChars="219"/>
              <w:rPr>
                <w:rFonts w:ascii="宋体" w:hAnsi="宋体" w:cs="仿宋"/>
                <w:b/>
                <w:bCs/>
                <w:sz w:val="24"/>
              </w:rPr>
            </w:pPr>
          </w:p>
        </w:tc>
      </w:tr>
    </w:tbl>
    <w:p w14:paraId="080AF380">
      <w:pPr>
        <w:spacing w:line="360" w:lineRule="auto"/>
        <w:rPr>
          <w:rFonts w:ascii="宋体" w:hAnsi="宋体" w:cs="仿宋"/>
          <w:b/>
          <w:sz w:val="32"/>
        </w:rPr>
      </w:pPr>
      <w:r>
        <w:rPr>
          <w:rFonts w:hint="eastAsia" w:ascii="宋体" w:hAnsi="宋体" w:cs="仿宋"/>
          <w:sz w:val="24"/>
        </w:rPr>
        <w:t>注：1、</w:t>
      </w:r>
      <w:bookmarkStart w:id="167" w:name="OLE_LINK3"/>
      <w:r>
        <w:rPr>
          <w:rFonts w:hint="eastAsia" w:ascii="宋体" w:hAnsi="宋体" w:cs="仿宋"/>
          <w:sz w:val="24"/>
        </w:rPr>
        <w:t>投标总报价必须是所有服务或货物到位并交付使用前所有费用的总和；</w:t>
      </w:r>
      <w:bookmarkEnd w:id="167"/>
    </w:p>
    <w:p w14:paraId="272C357E">
      <w:pPr>
        <w:spacing w:line="360" w:lineRule="auto"/>
        <w:ind w:firstLine="480" w:firstLineChars="200"/>
        <w:rPr>
          <w:rFonts w:ascii="宋体" w:hAnsi="宋体" w:cs="仿宋"/>
          <w:sz w:val="24"/>
        </w:rPr>
      </w:pPr>
      <w:r>
        <w:rPr>
          <w:rFonts w:hint="eastAsia" w:ascii="宋体" w:hAnsi="宋体" w:cs="仿宋"/>
          <w:sz w:val="24"/>
        </w:rPr>
        <w:t>2、“投标总报价”须与投标函中的投标总报价一致；</w:t>
      </w:r>
    </w:p>
    <w:p w14:paraId="660CDAE5">
      <w:pPr>
        <w:spacing w:line="360" w:lineRule="auto"/>
        <w:jc w:val="center"/>
        <w:rPr>
          <w:rFonts w:ascii="宋体" w:hAnsi="宋体" w:cs="仿宋"/>
          <w:sz w:val="24"/>
        </w:rPr>
      </w:pPr>
    </w:p>
    <w:p w14:paraId="16365EE8">
      <w:pPr>
        <w:spacing w:line="360" w:lineRule="auto"/>
        <w:jc w:val="left"/>
        <w:rPr>
          <w:rFonts w:ascii="宋体" w:hAnsi="宋体" w:cs="仿宋"/>
          <w:sz w:val="24"/>
        </w:rPr>
      </w:pPr>
      <w:r>
        <w:rPr>
          <w:rFonts w:hint="eastAsia" w:ascii="宋体" w:hAnsi="宋体" w:cs="仿宋"/>
          <w:sz w:val="24"/>
        </w:rPr>
        <w:t>投标人名称：</w:t>
      </w:r>
      <w:r>
        <w:rPr>
          <w:rFonts w:hint="eastAsia" w:ascii="宋体" w:hAnsi="宋体" w:cs="仿宋"/>
          <w:sz w:val="24"/>
          <w:u w:val="single"/>
        </w:rPr>
        <w:t xml:space="preserve">                       </w:t>
      </w:r>
      <w:r>
        <w:rPr>
          <w:rFonts w:hint="eastAsia" w:ascii="宋体" w:hAnsi="宋体" w:cs="仿宋"/>
          <w:sz w:val="24"/>
        </w:rPr>
        <w:t xml:space="preserve">（电子签章） </w:t>
      </w:r>
    </w:p>
    <w:p w14:paraId="3EE3AA58">
      <w:pPr>
        <w:spacing w:line="360" w:lineRule="auto"/>
        <w:jc w:val="left"/>
        <w:rPr>
          <w:rFonts w:ascii="宋体" w:hAnsi="宋体" w:cs="仿宋"/>
          <w:sz w:val="24"/>
        </w:rPr>
      </w:pPr>
      <w:r>
        <w:rPr>
          <w:rFonts w:hint="eastAsia" w:ascii="宋体" w:hAnsi="宋体" w:cs="仿宋"/>
          <w:sz w:val="24"/>
        </w:rPr>
        <w:t>法定代表人或委托代理人：</w:t>
      </w:r>
      <w:r>
        <w:rPr>
          <w:rFonts w:hint="eastAsia" w:ascii="宋体" w:hAnsi="宋体" w:cs="仿宋"/>
          <w:sz w:val="24"/>
          <w:u w:val="single"/>
        </w:rPr>
        <w:t xml:space="preserve">            </w:t>
      </w:r>
      <w:r>
        <w:rPr>
          <w:rFonts w:hint="eastAsia" w:ascii="宋体" w:hAnsi="宋体" w:cs="仿宋"/>
          <w:sz w:val="24"/>
        </w:rPr>
        <w:t>（电子签章）</w:t>
      </w:r>
    </w:p>
    <w:p w14:paraId="62F4D7E0">
      <w:pPr>
        <w:spacing w:line="360" w:lineRule="auto"/>
        <w:jc w:val="left"/>
        <w:rPr>
          <w:rFonts w:ascii="宋体" w:hAnsi="宋体" w:cs="仿宋"/>
          <w:b/>
          <w:bCs/>
          <w:sz w:val="28"/>
          <w:szCs w:val="28"/>
        </w:rPr>
      </w:pPr>
      <w:r>
        <w:rPr>
          <w:rFonts w:hint="eastAsia" w:ascii="宋体" w:hAnsi="宋体" w:cs="仿宋"/>
          <w:sz w:val="24"/>
        </w:rPr>
        <w:t>日期：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r>
        <w:rPr>
          <w:rFonts w:ascii="宋体" w:hAnsi="宋体" w:cs="仿宋"/>
          <w:b/>
          <w:bCs/>
          <w:sz w:val="28"/>
          <w:szCs w:val="28"/>
        </w:rPr>
        <w:br w:type="page"/>
      </w:r>
    </w:p>
    <w:p w14:paraId="13A32A25">
      <w:pPr>
        <w:spacing w:before="156" w:beforeLines="50" w:after="156" w:afterLines="50" w:line="360" w:lineRule="auto"/>
        <w:jc w:val="center"/>
        <w:rPr>
          <w:rFonts w:ascii="宋体" w:hAnsi="宋体" w:cs="宋体"/>
          <w:b/>
          <w:bCs/>
          <w:sz w:val="28"/>
          <w:szCs w:val="28"/>
        </w:rPr>
      </w:pPr>
      <w:r>
        <w:rPr>
          <w:rFonts w:hint="eastAsia" w:ascii="宋体" w:hAnsi="宋体" w:cs="宋体"/>
          <w:b/>
          <w:bCs/>
          <w:sz w:val="28"/>
          <w:szCs w:val="28"/>
        </w:rPr>
        <w:t>分项报价明细表</w:t>
      </w:r>
    </w:p>
    <w:tbl>
      <w:tblPr>
        <w:tblStyle w:val="2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80"/>
        <w:gridCol w:w="3382"/>
        <w:gridCol w:w="1092"/>
        <w:gridCol w:w="899"/>
        <w:gridCol w:w="834"/>
        <w:gridCol w:w="1083"/>
      </w:tblGrid>
      <w:tr w14:paraId="28C2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67" w:type="dxa"/>
            <w:vAlign w:val="center"/>
          </w:tcPr>
          <w:p w14:paraId="24070443">
            <w:pPr>
              <w:spacing w:before="156" w:beforeLines="50" w:after="156" w:afterLines="50" w:line="360" w:lineRule="auto"/>
              <w:jc w:val="center"/>
              <w:rPr>
                <w:rFonts w:ascii="宋体" w:hAnsi="宋体" w:cs="宋体"/>
                <w:b/>
                <w:bCs/>
                <w:sz w:val="24"/>
              </w:rPr>
            </w:pPr>
            <w:r>
              <w:rPr>
                <w:rFonts w:hint="eastAsia" w:ascii="宋体" w:hAnsi="宋体" w:cs="宋体"/>
                <w:b/>
                <w:bCs/>
                <w:sz w:val="24"/>
              </w:rPr>
              <w:t>序号</w:t>
            </w:r>
          </w:p>
        </w:tc>
        <w:tc>
          <w:tcPr>
            <w:tcW w:w="5162" w:type="dxa"/>
            <w:gridSpan w:val="2"/>
            <w:vAlign w:val="center"/>
          </w:tcPr>
          <w:p w14:paraId="38A2D0B7">
            <w:pPr>
              <w:spacing w:before="156" w:beforeLines="50" w:after="156" w:afterLines="50" w:line="360" w:lineRule="auto"/>
              <w:jc w:val="center"/>
              <w:rPr>
                <w:rFonts w:ascii="宋体" w:hAnsi="宋体" w:cs="宋体"/>
                <w:b/>
                <w:bCs/>
                <w:sz w:val="24"/>
              </w:rPr>
            </w:pPr>
            <w:r>
              <w:rPr>
                <w:rFonts w:hint="eastAsia" w:ascii="宋体" w:hAnsi="宋体" w:cs="宋体"/>
                <w:b/>
                <w:bCs/>
                <w:sz w:val="24"/>
              </w:rPr>
              <w:t>名称</w:t>
            </w:r>
          </w:p>
        </w:tc>
        <w:tc>
          <w:tcPr>
            <w:tcW w:w="1092" w:type="dxa"/>
            <w:vAlign w:val="center"/>
          </w:tcPr>
          <w:p w14:paraId="0C11BE96">
            <w:pPr>
              <w:spacing w:before="156" w:beforeLines="50" w:after="156" w:afterLines="50" w:line="360" w:lineRule="auto"/>
              <w:jc w:val="center"/>
              <w:rPr>
                <w:rFonts w:ascii="宋体" w:hAnsi="宋体" w:cs="宋体"/>
                <w:b/>
                <w:bCs/>
                <w:sz w:val="24"/>
              </w:rPr>
            </w:pPr>
            <w:r>
              <w:rPr>
                <w:rFonts w:hint="eastAsia" w:ascii="宋体" w:hAnsi="宋体" w:cs="宋体"/>
                <w:b/>
                <w:bCs/>
                <w:sz w:val="24"/>
              </w:rPr>
              <w:t>单位</w:t>
            </w:r>
          </w:p>
        </w:tc>
        <w:tc>
          <w:tcPr>
            <w:tcW w:w="899" w:type="dxa"/>
            <w:vAlign w:val="center"/>
          </w:tcPr>
          <w:p w14:paraId="53058398">
            <w:pPr>
              <w:spacing w:before="156" w:beforeLines="50" w:after="156" w:afterLines="50" w:line="360" w:lineRule="auto"/>
              <w:jc w:val="center"/>
              <w:rPr>
                <w:rFonts w:ascii="宋体" w:hAnsi="宋体" w:cs="宋体"/>
                <w:b/>
                <w:bCs/>
                <w:sz w:val="24"/>
              </w:rPr>
            </w:pPr>
            <w:r>
              <w:rPr>
                <w:rFonts w:hint="eastAsia" w:ascii="宋体" w:hAnsi="宋体" w:cs="宋体"/>
                <w:b/>
                <w:bCs/>
                <w:sz w:val="24"/>
              </w:rPr>
              <w:t>数量</w:t>
            </w:r>
          </w:p>
        </w:tc>
        <w:tc>
          <w:tcPr>
            <w:tcW w:w="834" w:type="dxa"/>
            <w:vAlign w:val="center"/>
          </w:tcPr>
          <w:p w14:paraId="1527A277">
            <w:pPr>
              <w:spacing w:before="156" w:beforeLines="50" w:after="156" w:afterLines="50" w:line="360" w:lineRule="auto"/>
              <w:jc w:val="center"/>
              <w:rPr>
                <w:rFonts w:ascii="宋体" w:hAnsi="宋体" w:cs="宋体"/>
                <w:b/>
                <w:bCs/>
                <w:sz w:val="24"/>
              </w:rPr>
            </w:pPr>
            <w:r>
              <w:rPr>
                <w:rFonts w:hint="eastAsia" w:ascii="宋体" w:hAnsi="宋体" w:cs="宋体"/>
                <w:b/>
                <w:bCs/>
                <w:sz w:val="24"/>
              </w:rPr>
              <w:t>单价</w:t>
            </w:r>
          </w:p>
        </w:tc>
        <w:tc>
          <w:tcPr>
            <w:tcW w:w="1083" w:type="dxa"/>
            <w:vAlign w:val="center"/>
          </w:tcPr>
          <w:p w14:paraId="1C7F7DA3">
            <w:pPr>
              <w:spacing w:before="156" w:beforeLines="50" w:after="156" w:afterLines="50" w:line="360" w:lineRule="auto"/>
              <w:jc w:val="center"/>
              <w:rPr>
                <w:rFonts w:ascii="宋体" w:hAnsi="宋体" w:cs="宋体"/>
                <w:b/>
                <w:bCs/>
                <w:sz w:val="24"/>
              </w:rPr>
            </w:pPr>
            <w:r>
              <w:rPr>
                <w:rFonts w:hint="eastAsia" w:ascii="宋体" w:hAnsi="宋体" w:cs="宋体"/>
                <w:b/>
                <w:bCs/>
                <w:sz w:val="24"/>
              </w:rPr>
              <w:t>合价</w:t>
            </w:r>
          </w:p>
        </w:tc>
      </w:tr>
      <w:tr w14:paraId="33A4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67" w:type="dxa"/>
            <w:vAlign w:val="center"/>
          </w:tcPr>
          <w:p w14:paraId="39E412A0">
            <w:pPr>
              <w:autoSpaceDE w:val="0"/>
              <w:autoSpaceDN w:val="0"/>
              <w:adjustRightInd w:val="0"/>
              <w:spacing w:before="156" w:beforeLines="50" w:after="156" w:afterLines="50" w:line="360" w:lineRule="auto"/>
              <w:jc w:val="center"/>
              <w:rPr>
                <w:rFonts w:ascii="宋体" w:hAnsi="宋体" w:cs="宋体"/>
                <w:sz w:val="24"/>
                <w:lang w:val="zh-CN"/>
              </w:rPr>
            </w:pPr>
            <w:r>
              <w:rPr>
                <w:rFonts w:hint="eastAsia" w:ascii="宋体" w:hAnsi="宋体" w:cs="宋体"/>
                <w:sz w:val="24"/>
                <w:lang w:val="zh-CN"/>
              </w:rPr>
              <w:t>1</w:t>
            </w:r>
          </w:p>
        </w:tc>
        <w:tc>
          <w:tcPr>
            <w:tcW w:w="5162" w:type="dxa"/>
            <w:gridSpan w:val="2"/>
            <w:vAlign w:val="center"/>
          </w:tcPr>
          <w:p w14:paraId="5194633A">
            <w:pPr>
              <w:autoSpaceDE w:val="0"/>
              <w:autoSpaceDN w:val="0"/>
              <w:adjustRightInd w:val="0"/>
              <w:spacing w:before="156" w:beforeLines="50" w:after="156" w:afterLines="50" w:line="360" w:lineRule="auto"/>
              <w:ind w:firstLine="480"/>
              <w:jc w:val="left"/>
              <w:rPr>
                <w:rFonts w:ascii="宋体" w:hAnsi="宋体" w:cs="宋体"/>
                <w:sz w:val="24"/>
                <w:lang w:val="zh-CN"/>
              </w:rPr>
            </w:pPr>
          </w:p>
        </w:tc>
        <w:tc>
          <w:tcPr>
            <w:tcW w:w="1092" w:type="dxa"/>
            <w:vAlign w:val="center"/>
          </w:tcPr>
          <w:p w14:paraId="2E538A20">
            <w:pPr>
              <w:autoSpaceDE w:val="0"/>
              <w:autoSpaceDN w:val="0"/>
              <w:adjustRightInd w:val="0"/>
              <w:spacing w:before="156" w:beforeLines="50" w:after="156" w:afterLines="50" w:line="360" w:lineRule="auto"/>
              <w:jc w:val="center"/>
              <w:rPr>
                <w:rFonts w:ascii="宋体" w:hAnsi="宋体" w:cs="宋体"/>
                <w:sz w:val="24"/>
                <w:lang w:val="zh-CN"/>
              </w:rPr>
            </w:pPr>
          </w:p>
        </w:tc>
        <w:tc>
          <w:tcPr>
            <w:tcW w:w="899" w:type="dxa"/>
            <w:vAlign w:val="center"/>
          </w:tcPr>
          <w:p w14:paraId="51FA9A1B">
            <w:pPr>
              <w:autoSpaceDE w:val="0"/>
              <w:autoSpaceDN w:val="0"/>
              <w:adjustRightInd w:val="0"/>
              <w:spacing w:before="156" w:beforeLines="50" w:after="156" w:afterLines="50" w:line="360" w:lineRule="auto"/>
              <w:jc w:val="center"/>
              <w:rPr>
                <w:rFonts w:ascii="宋体" w:hAnsi="宋体" w:cs="宋体"/>
                <w:sz w:val="24"/>
                <w:lang w:val="zh-CN"/>
              </w:rPr>
            </w:pPr>
          </w:p>
        </w:tc>
        <w:tc>
          <w:tcPr>
            <w:tcW w:w="834" w:type="dxa"/>
            <w:vAlign w:val="center"/>
          </w:tcPr>
          <w:p w14:paraId="540FBC95">
            <w:pPr>
              <w:spacing w:before="156" w:beforeLines="50" w:after="156" w:afterLines="50" w:line="360" w:lineRule="auto"/>
              <w:jc w:val="center"/>
              <w:rPr>
                <w:rFonts w:ascii="宋体" w:hAnsi="宋体" w:cs="宋体"/>
                <w:b/>
                <w:bCs/>
                <w:sz w:val="24"/>
              </w:rPr>
            </w:pPr>
          </w:p>
        </w:tc>
        <w:tc>
          <w:tcPr>
            <w:tcW w:w="1083" w:type="dxa"/>
            <w:vAlign w:val="center"/>
          </w:tcPr>
          <w:p w14:paraId="0BA63F78">
            <w:pPr>
              <w:spacing w:before="156" w:beforeLines="50" w:after="156" w:afterLines="50" w:line="360" w:lineRule="auto"/>
              <w:jc w:val="center"/>
              <w:rPr>
                <w:rFonts w:ascii="宋体" w:hAnsi="宋体" w:cs="宋体"/>
                <w:b/>
                <w:bCs/>
                <w:sz w:val="24"/>
              </w:rPr>
            </w:pPr>
          </w:p>
        </w:tc>
      </w:tr>
      <w:tr w14:paraId="7551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67" w:type="dxa"/>
            <w:vAlign w:val="center"/>
          </w:tcPr>
          <w:p w14:paraId="711865CA">
            <w:pPr>
              <w:autoSpaceDE w:val="0"/>
              <w:autoSpaceDN w:val="0"/>
              <w:adjustRightInd w:val="0"/>
              <w:spacing w:before="156" w:beforeLines="50" w:after="156" w:afterLines="50" w:line="360" w:lineRule="auto"/>
              <w:jc w:val="center"/>
              <w:rPr>
                <w:rFonts w:ascii="宋体" w:hAnsi="宋体" w:cs="宋体"/>
                <w:sz w:val="24"/>
                <w:lang w:val="zh-CN"/>
              </w:rPr>
            </w:pPr>
            <w:r>
              <w:rPr>
                <w:rFonts w:hint="eastAsia" w:ascii="宋体" w:hAnsi="宋体" w:cs="宋体"/>
                <w:sz w:val="24"/>
                <w:lang w:val="zh-CN"/>
              </w:rPr>
              <w:t>2</w:t>
            </w:r>
          </w:p>
        </w:tc>
        <w:tc>
          <w:tcPr>
            <w:tcW w:w="5162" w:type="dxa"/>
            <w:gridSpan w:val="2"/>
            <w:vAlign w:val="center"/>
          </w:tcPr>
          <w:p w14:paraId="77218C2D">
            <w:pPr>
              <w:autoSpaceDE w:val="0"/>
              <w:autoSpaceDN w:val="0"/>
              <w:adjustRightInd w:val="0"/>
              <w:spacing w:before="156" w:beforeLines="50" w:after="156" w:afterLines="50" w:line="360" w:lineRule="auto"/>
              <w:ind w:firstLine="480"/>
              <w:jc w:val="left"/>
              <w:rPr>
                <w:rFonts w:ascii="宋体" w:hAnsi="宋体" w:cs="宋体"/>
                <w:sz w:val="24"/>
                <w:lang w:val="zh-CN"/>
              </w:rPr>
            </w:pPr>
          </w:p>
        </w:tc>
        <w:tc>
          <w:tcPr>
            <w:tcW w:w="1092" w:type="dxa"/>
            <w:vAlign w:val="center"/>
          </w:tcPr>
          <w:p w14:paraId="253BC580">
            <w:pPr>
              <w:autoSpaceDE w:val="0"/>
              <w:autoSpaceDN w:val="0"/>
              <w:adjustRightInd w:val="0"/>
              <w:spacing w:before="156" w:beforeLines="50" w:after="156" w:afterLines="50" w:line="360" w:lineRule="auto"/>
              <w:jc w:val="center"/>
              <w:rPr>
                <w:rFonts w:ascii="宋体" w:hAnsi="宋体" w:cs="宋体"/>
                <w:sz w:val="24"/>
                <w:lang w:val="zh-CN"/>
              </w:rPr>
            </w:pPr>
          </w:p>
        </w:tc>
        <w:tc>
          <w:tcPr>
            <w:tcW w:w="899" w:type="dxa"/>
            <w:vAlign w:val="center"/>
          </w:tcPr>
          <w:p w14:paraId="224D66A5">
            <w:pPr>
              <w:autoSpaceDE w:val="0"/>
              <w:autoSpaceDN w:val="0"/>
              <w:adjustRightInd w:val="0"/>
              <w:spacing w:before="156" w:beforeLines="50" w:after="156" w:afterLines="50" w:line="360" w:lineRule="auto"/>
              <w:jc w:val="center"/>
              <w:rPr>
                <w:rFonts w:ascii="宋体" w:hAnsi="宋体" w:cs="宋体"/>
                <w:sz w:val="24"/>
                <w:lang w:val="zh-CN"/>
              </w:rPr>
            </w:pPr>
          </w:p>
        </w:tc>
        <w:tc>
          <w:tcPr>
            <w:tcW w:w="834" w:type="dxa"/>
            <w:vAlign w:val="center"/>
          </w:tcPr>
          <w:p w14:paraId="44348236">
            <w:pPr>
              <w:spacing w:before="156" w:beforeLines="50" w:after="156" w:afterLines="50" w:line="360" w:lineRule="auto"/>
              <w:jc w:val="center"/>
              <w:rPr>
                <w:rFonts w:ascii="宋体" w:hAnsi="宋体" w:cs="宋体"/>
                <w:b/>
                <w:bCs/>
                <w:sz w:val="24"/>
              </w:rPr>
            </w:pPr>
          </w:p>
        </w:tc>
        <w:tc>
          <w:tcPr>
            <w:tcW w:w="1083" w:type="dxa"/>
            <w:vAlign w:val="center"/>
          </w:tcPr>
          <w:p w14:paraId="78BECF53">
            <w:pPr>
              <w:spacing w:before="156" w:beforeLines="50" w:after="156" w:afterLines="50" w:line="360" w:lineRule="auto"/>
              <w:jc w:val="center"/>
              <w:rPr>
                <w:rFonts w:ascii="宋体" w:hAnsi="宋体" w:cs="宋体"/>
                <w:b/>
                <w:bCs/>
                <w:sz w:val="24"/>
              </w:rPr>
            </w:pPr>
          </w:p>
        </w:tc>
      </w:tr>
      <w:tr w14:paraId="0EB3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67" w:type="dxa"/>
            <w:vAlign w:val="center"/>
          </w:tcPr>
          <w:p w14:paraId="00295301">
            <w:pPr>
              <w:autoSpaceDE w:val="0"/>
              <w:autoSpaceDN w:val="0"/>
              <w:adjustRightInd w:val="0"/>
              <w:spacing w:before="156" w:beforeLines="50" w:after="156" w:afterLines="50" w:line="360" w:lineRule="auto"/>
              <w:jc w:val="center"/>
              <w:rPr>
                <w:rFonts w:ascii="宋体" w:hAnsi="宋体" w:cs="宋体"/>
                <w:sz w:val="24"/>
                <w:lang w:val="zh-CN"/>
              </w:rPr>
            </w:pPr>
            <w:r>
              <w:rPr>
                <w:rFonts w:hint="eastAsia" w:ascii="宋体" w:hAnsi="宋体" w:cs="宋体"/>
                <w:sz w:val="24"/>
                <w:lang w:val="zh-CN"/>
              </w:rPr>
              <w:t>3</w:t>
            </w:r>
          </w:p>
        </w:tc>
        <w:tc>
          <w:tcPr>
            <w:tcW w:w="5162" w:type="dxa"/>
            <w:gridSpan w:val="2"/>
            <w:vAlign w:val="center"/>
          </w:tcPr>
          <w:p w14:paraId="22303DE2">
            <w:pPr>
              <w:autoSpaceDE w:val="0"/>
              <w:autoSpaceDN w:val="0"/>
              <w:adjustRightInd w:val="0"/>
              <w:spacing w:before="156" w:beforeLines="50" w:after="156" w:afterLines="50" w:line="360" w:lineRule="auto"/>
              <w:ind w:firstLine="480"/>
              <w:jc w:val="left"/>
              <w:rPr>
                <w:rFonts w:ascii="宋体" w:hAnsi="宋体" w:cs="宋体"/>
                <w:sz w:val="24"/>
                <w:lang w:val="zh-CN"/>
              </w:rPr>
            </w:pPr>
          </w:p>
        </w:tc>
        <w:tc>
          <w:tcPr>
            <w:tcW w:w="1092" w:type="dxa"/>
            <w:vAlign w:val="center"/>
          </w:tcPr>
          <w:p w14:paraId="01B90114">
            <w:pPr>
              <w:autoSpaceDE w:val="0"/>
              <w:autoSpaceDN w:val="0"/>
              <w:adjustRightInd w:val="0"/>
              <w:spacing w:before="156" w:beforeLines="50" w:after="156" w:afterLines="50" w:line="360" w:lineRule="auto"/>
              <w:jc w:val="center"/>
              <w:rPr>
                <w:rFonts w:ascii="宋体" w:hAnsi="宋体" w:cs="宋体"/>
                <w:sz w:val="24"/>
                <w:lang w:val="zh-CN"/>
              </w:rPr>
            </w:pPr>
          </w:p>
        </w:tc>
        <w:tc>
          <w:tcPr>
            <w:tcW w:w="899" w:type="dxa"/>
            <w:vAlign w:val="center"/>
          </w:tcPr>
          <w:p w14:paraId="7CFDA76A">
            <w:pPr>
              <w:autoSpaceDE w:val="0"/>
              <w:autoSpaceDN w:val="0"/>
              <w:adjustRightInd w:val="0"/>
              <w:spacing w:before="156" w:beforeLines="50" w:after="156" w:afterLines="50" w:line="360" w:lineRule="auto"/>
              <w:jc w:val="center"/>
              <w:rPr>
                <w:rFonts w:ascii="宋体" w:hAnsi="宋体" w:cs="宋体"/>
                <w:sz w:val="24"/>
                <w:lang w:val="zh-CN"/>
              </w:rPr>
            </w:pPr>
          </w:p>
        </w:tc>
        <w:tc>
          <w:tcPr>
            <w:tcW w:w="834" w:type="dxa"/>
            <w:vAlign w:val="center"/>
          </w:tcPr>
          <w:p w14:paraId="1DB382C6">
            <w:pPr>
              <w:spacing w:before="156" w:beforeLines="50" w:after="156" w:afterLines="50" w:line="360" w:lineRule="auto"/>
              <w:jc w:val="center"/>
              <w:rPr>
                <w:rFonts w:ascii="宋体" w:hAnsi="宋体" w:cs="宋体"/>
                <w:b/>
                <w:bCs/>
                <w:sz w:val="24"/>
              </w:rPr>
            </w:pPr>
          </w:p>
        </w:tc>
        <w:tc>
          <w:tcPr>
            <w:tcW w:w="1083" w:type="dxa"/>
            <w:vAlign w:val="center"/>
          </w:tcPr>
          <w:p w14:paraId="3F486954">
            <w:pPr>
              <w:spacing w:before="156" w:beforeLines="50" w:after="156" w:afterLines="50" w:line="360" w:lineRule="auto"/>
              <w:jc w:val="center"/>
              <w:rPr>
                <w:rFonts w:ascii="宋体" w:hAnsi="宋体" w:cs="宋体"/>
                <w:b/>
                <w:bCs/>
                <w:sz w:val="24"/>
              </w:rPr>
            </w:pPr>
          </w:p>
        </w:tc>
      </w:tr>
      <w:tr w14:paraId="4753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67" w:type="dxa"/>
            <w:vAlign w:val="center"/>
          </w:tcPr>
          <w:p w14:paraId="5144381F">
            <w:pPr>
              <w:autoSpaceDE w:val="0"/>
              <w:autoSpaceDN w:val="0"/>
              <w:adjustRightInd w:val="0"/>
              <w:spacing w:before="156" w:beforeLines="50" w:after="156" w:afterLines="50" w:line="360" w:lineRule="auto"/>
              <w:jc w:val="center"/>
              <w:rPr>
                <w:rFonts w:ascii="宋体" w:hAnsi="宋体" w:cs="宋体"/>
                <w:sz w:val="24"/>
                <w:lang w:val="zh-CN"/>
              </w:rPr>
            </w:pPr>
            <w:r>
              <w:rPr>
                <w:rFonts w:hint="eastAsia" w:ascii="宋体" w:hAnsi="宋体" w:cs="宋体"/>
                <w:sz w:val="24"/>
                <w:lang w:val="zh-CN"/>
              </w:rPr>
              <w:t>4</w:t>
            </w:r>
          </w:p>
        </w:tc>
        <w:tc>
          <w:tcPr>
            <w:tcW w:w="5162" w:type="dxa"/>
            <w:gridSpan w:val="2"/>
            <w:vAlign w:val="center"/>
          </w:tcPr>
          <w:p w14:paraId="7B969627">
            <w:pPr>
              <w:autoSpaceDE w:val="0"/>
              <w:autoSpaceDN w:val="0"/>
              <w:adjustRightInd w:val="0"/>
              <w:spacing w:before="156" w:beforeLines="50" w:after="156" w:afterLines="50" w:line="360" w:lineRule="auto"/>
              <w:ind w:firstLine="480"/>
              <w:jc w:val="left"/>
              <w:rPr>
                <w:rFonts w:ascii="宋体" w:hAnsi="宋体" w:cs="宋体"/>
                <w:sz w:val="24"/>
                <w:lang w:val="zh-CN"/>
              </w:rPr>
            </w:pPr>
          </w:p>
        </w:tc>
        <w:tc>
          <w:tcPr>
            <w:tcW w:w="1092" w:type="dxa"/>
            <w:vAlign w:val="center"/>
          </w:tcPr>
          <w:p w14:paraId="7378FC2C">
            <w:pPr>
              <w:autoSpaceDE w:val="0"/>
              <w:autoSpaceDN w:val="0"/>
              <w:adjustRightInd w:val="0"/>
              <w:spacing w:before="156" w:beforeLines="50" w:after="156" w:afterLines="50" w:line="360" w:lineRule="auto"/>
              <w:jc w:val="center"/>
              <w:rPr>
                <w:rFonts w:ascii="宋体" w:hAnsi="宋体" w:cs="宋体"/>
                <w:sz w:val="24"/>
                <w:lang w:val="zh-CN"/>
              </w:rPr>
            </w:pPr>
          </w:p>
        </w:tc>
        <w:tc>
          <w:tcPr>
            <w:tcW w:w="899" w:type="dxa"/>
            <w:vAlign w:val="center"/>
          </w:tcPr>
          <w:p w14:paraId="125EC24E">
            <w:pPr>
              <w:autoSpaceDE w:val="0"/>
              <w:autoSpaceDN w:val="0"/>
              <w:adjustRightInd w:val="0"/>
              <w:spacing w:before="156" w:beforeLines="50" w:after="156" w:afterLines="50" w:line="360" w:lineRule="auto"/>
              <w:jc w:val="center"/>
              <w:rPr>
                <w:rFonts w:ascii="宋体" w:hAnsi="宋体" w:cs="宋体"/>
                <w:sz w:val="24"/>
                <w:lang w:val="zh-CN"/>
              </w:rPr>
            </w:pPr>
          </w:p>
        </w:tc>
        <w:tc>
          <w:tcPr>
            <w:tcW w:w="834" w:type="dxa"/>
            <w:vAlign w:val="center"/>
          </w:tcPr>
          <w:p w14:paraId="1D0DD587">
            <w:pPr>
              <w:spacing w:before="156" w:beforeLines="50" w:after="156" w:afterLines="50" w:line="360" w:lineRule="auto"/>
              <w:jc w:val="center"/>
              <w:rPr>
                <w:rFonts w:ascii="宋体" w:hAnsi="宋体" w:cs="宋体"/>
                <w:b/>
                <w:bCs/>
                <w:sz w:val="24"/>
              </w:rPr>
            </w:pPr>
          </w:p>
        </w:tc>
        <w:tc>
          <w:tcPr>
            <w:tcW w:w="1083" w:type="dxa"/>
            <w:vAlign w:val="center"/>
          </w:tcPr>
          <w:p w14:paraId="7FDD5196">
            <w:pPr>
              <w:spacing w:before="156" w:beforeLines="50" w:after="156" w:afterLines="50" w:line="360" w:lineRule="auto"/>
              <w:jc w:val="center"/>
              <w:rPr>
                <w:rFonts w:ascii="宋体" w:hAnsi="宋体" w:cs="宋体"/>
                <w:b/>
                <w:bCs/>
                <w:sz w:val="24"/>
              </w:rPr>
            </w:pPr>
          </w:p>
        </w:tc>
      </w:tr>
      <w:tr w14:paraId="437F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767" w:type="dxa"/>
            <w:vAlign w:val="center"/>
          </w:tcPr>
          <w:p w14:paraId="4E415411">
            <w:pPr>
              <w:autoSpaceDE w:val="0"/>
              <w:autoSpaceDN w:val="0"/>
              <w:adjustRightInd w:val="0"/>
              <w:spacing w:before="156" w:beforeLines="50" w:after="156" w:afterLines="50" w:line="360" w:lineRule="auto"/>
              <w:jc w:val="center"/>
              <w:rPr>
                <w:rFonts w:ascii="宋体" w:hAnsi="宋体" w:cs="宋体"/>
                <w:sz w:val="24"/>
                <w:lang w:val="zh-CN"/>
              </w:rPr>
            </w:pPr>
            <w:r>
              <w:rPr>
                <w:rFonts w:hint="eastAsia" w:ascii="宋体" w:hAnsi="宋体" w:cs="宋体"/>
                <w:sz w:val="24"/>
                <w:lang w:val="zh-CN"/>
              </w:rPr>
              <w:t>5</w:t>
            </w:r>
          </w:p>
        </w:tc>
        <w:tc>
          <w:tcPr>
            <w:tcW w:w="5162" w:type="dxa"/>
            <w:gridSpan w:val="2"/>
            <w:vAlign w:val="center"/>
          </w:tcPr>
          <w:p w14:paraId="1EBA8CD6">
            <w:pPr>
              <w:autoSpaceDE w:val="0"/>
              <w:autoSpaceDN w:val="0"/>
              <w:adjustRightInd w:val="0"/>
              <w:spacing w:before="156" w:beforeLines="50" w:after="156" w:afterLines="50" w:line="360" w:lineRule="auto"/>
              <w:ind w:firstLine="480"/>
              <w:jc w:val="left"/>
              <w:rPr>
                <w:rFonts w:ascii="宋体" w:hAnsi="宋体" w:cs="宋体"/>
                <w:sz w:val="24"/>
                <w:lang w:val="zh-CN"/>
              </w:rPr>
            </w:pPr>
          </w:p>
        </w:tc>
        <w:tc>
          <w:tcPr>
            <w:tcW w:w="1092" w:type="dxa"/>
            <w:vAlign w:val="center"/>
          </w:tcPr>
          <w:p w14:paraId="5554655D">
            <w:pPr>
              <w:autoSpaceDE w:val="0"/>
              <w:autoSpaceDN w:val="0"/>
              <w:adjustRightInd w:val="0"/>
              <w:spacing w:before="156" w:beforeLines="50" w:after="156" w:afterLines="50" w:line="360" w:lineRule="auto"/>
              <w:jc w:val="center"/>
              <w:rPr>
                <w:rFonts w:ascii="宋体" w:hAnsi="宋体" w:cs="宋体"/>
                <w:sz w:val="24"/>
                <w:lang w:val="zh-CN"/>
              </w:rPr>
            </w:pPr>
          </w:p>
        </w:tc>
        <w:tc>
          <w:tcPr>
            <w:tcW w:w="899" w:type="dxa"/>
            <w:vAlign w:val="center"/>
          </w:tcPr>
          <w:p w14:paraId="06CDCC16">
            <w:pPr>
              <w:autoSpaceDE w:val="0"/>
              <w:autoSpaceDN w:val="0"/>
              <w:adjustRightInd w:val="0"/>
              <w:spacing w:before="156" w:beforeLines="50" w:after="156" w:afterLines="50" w:line="360" w:lineRule="auto"/>
              <w:jc w:val="center"/>
              <w:rPr>
                <w:rFonts w:ascii="宋体" w:hAnsi="宋体" w:cs="宋体"/>
                <w:sz w:val="24"/>
                <w:lang w:val="zh-CN"/>
              </w:rPr>
            </w:pPr>
          </w:p>
        </w:tc>
        <w:tc>
          <w:tcPr>
            <w:tcW w:w="834" w:type="dxa"/>
            <w:vAlign w:val="center"/>
          </w:tcPr>
          <w:p w14:paraId="4959E347">
            <w:pPr>
              <w:spacing w:before="156" w:beforeLines="50" w:after="156" w:afterLines="50" w:line="360" w:lineRule="auto"/>
              <w:jc w:val="center"/>
              <w:rPr>
                <w:rFonts w:ascii="宋体" w:hAnsi="宋体" w:cs="宋体"/>
                <w:b/>
                <w:bCs/>
                <w:sz w:val="24"/>
              </w:rPr>
            </w:pPr>
          </w:p>
        </w:tc>
        <w:tc>
          <w:tcPr>
            <w:tcW w:w="1083" w:type="dxa"/>
            <w:vAlign w:val="center"/>
          </w:tcPr>
          <w:p w14:paraId="25D1F127">
            <w:pPr>
              <w:spacing w:before="156" w:beforeLines="50" w:after="156" w:afterLines="50" w:line="360" w:lineRule="auto"/>
              <w:jc w:val="center"/>
              <w:rPr>
                <w:rFonts w:ascii="宋体" w:hAnsi="宋体" w:cs="宋体"/>
                <w:b/>
                <w:bCs/>
                <w:sz w:val="24"/>
              </w:rPr>
            </w:pPr>
          </w:p>
        </w:tc>
      </w:tr>
      <w:tr w14:paraId="3F16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67" w:type="dxa"/>
            <w:vAlign w:val="center"/>
          </w:tcPr>
          <w:p w14:paraId="1BDB9696">
            <w:pPr>
              <w:autoSpaceDE w:val="0"/>
              <w:autoSpaceDN w:val="0"/>
              <w:adjustRightInd w:val="0"/>
              <w:spacing w:before="156" w:beforeLines="50" w:after="156" w:afterLines="50" w:line="360" w:lineRule="auto"/>
              <w:jc w:val="center"/>
              <w:rPr>
                <w:rFonts w:ascii="宋体" w:hAnsi="宋体" w:cs="宋体"/>
                <w:sz w:val="24"/>
                <w:lang w:val="zh-CN"/>
              </w:rPr>
            </w:pPr>
            <w:r>
              <w:rPr>
                <w:rFonts w:hint="eastAsia" w:ascii="宋体" w:hAnsi="宋体" w:cs="宋体"/>
                <w:sz w:val="24"/>
                <w:lang w:val="zh-CN"/>
              </w:rPr>
              <w:t>……</w:t>
            </w:r>
          </w:p>
        </w:tc>
        <w:tc>
          <w:tcPr>
            <w:tcW w:w="5162" w:type="dxa"/>
            <w:gridSpan w:val="2"/>
            <w:vAlign w:val="center"/>
          </w:tcPr>
          <w:p w14:paraId="78E639FB">
            <w:pPr>
              <w:autoSpaceDE w:val="0"/>
              <w:autoSpaceDN w:val="0"/>
              <w:adjustRightInd w:val="0"/>
              <w:spacing w:before="156" w:beforeLines="50" w:after="156" w:afterLines="50" w:line="360" w:lineRule="auto"/>
              <w:ind w:firstLine="480"/>
              <w:jc w:val="left"/>
              <w:rPr>
                <w:rFonts w:ascii="宋体" w:hAnsi="宋体" w:cs="宋体"/>
                <w:sz w:val="24"/>
                <w:lang w:val="zh-CN"/>
              </w:rPr>
            </w:pPr>
            <w:r>
              <w:rPr>
                <w:rFonts w:hint="eastAsia" w:ascii="宋体" w:hAnsi="宋体" w:cs="宋体"/>
                <w:sz w:val="24"/>
                <w:lang w:val="zh-CN"/>
              </w:rPr>
              <w:t>……</w:t>
            </w:r>
          </w:p>
        </w:tc>
        <w:tc>
          <w:tcPr>
            <w:tcW w:w="1092" w:type="dxa"/>
            <w:vAlign w:val="center"/>
          </w:tcPr>
          <w:p w14:paraId="433E7EB2">
            <w:pPr>
              <w:autoSpaceDE w:val="0"/>
              <w:autoSpaceDN w:val="0"/>
              <w:adjustRightInd w:val="0"/>
              <w:spacing w:before="156" w:beforeLines="50" w:after="156" w:afterLines="50" w:line="360" w:lineRule="auto"/>
              <w:jc w:val="center"/>
              <w:rPr>
                <w:rFonts w:ascii="宋体" w:hAnsi="宋体" w:cs="宋体"/>
                <w:sz w:val="24"/>
                <w:lang w:val="zh-CN"/>
              </w:rPr>
            </w:pPr>
            <w:r>
              <w:rPr>
                <w:rFonts w:hint="eastAsia" w:ascii="宋体" w:hAnsi="宋体" w:cs="宋体"/>
                <w:sz w:val="24"/>
                <w:lang w:val="zh-CN"/>
              </w:rPr>
              <w:t>……</w:t>
            </w:r>
          </w:p>
        </w:tc>
        <w:tc>
          <w:tcPr>
            <w:tcW w:w="899" w:type="dxa"/>
            <w:vAlign w:val="center"/>
          </w:tcPr>
          <w:p w14:paraId="2F485F50">
            <w:pPr>
              <w:autoSpaceDE w:val="0"/>
              <w:autoSpaceDN w:val="0"/>
              <w:adjustRightInd w:val="0"/>
              <w:spacing w:before="156" w:beforeLines="50" w:after="156" w:afterLines="50" w:line="360" w:lineRule="auto"/>
              <w:jc w:val="center"/>
              <w:rPr>
                <w:rFonts w:ascii="宋体" w:hAnsi="宋体" w:cs="宋体"/>
                <w:sz w:val="24"/>
                <w:lang w:val="zh-CN"/>
              </w:rPr>
            </w:pPr>
            <w:r>
              <w:rPr>
                <w:rFonts w:hint="eastAsia" w:ascii="宋体" w:hAnsi="宋体" w:cs="宋体"/>
                <w:sz w:val="24"/>
                <w:lang w:val="zh-CN"/>
              </w:rPr>
              <w:t>……</w:t>
            </w:r>
          </w:p>
        </w:tc>
        <w:tc>
          <w:tcPr>
            <w:tcW w:w="834" w:type="dxa"/>
            <w:vAlign w:val="center"/>
          </w:tcPr>
          <w:p w14:paraId="03E5C066">
            <w:pPr>
              <w:spacing w:before="156" w:beforeLines="50" w:after="156" w:afterLines="50" w:line="360" w:lineRule="auto"/>
              <w:jc w:val="center"/>
              <w:rPr>
                <w:rFonts w:ascii="宋体" w:hAnsi="宋体" w:cs="宋体"/>
                <w:b/>
                <w:bCs/>
                <w:sz w:val="24"/>
              </w:rPr>
            </w:pPr>
            <w:r>
              <w:rPr>
                <w:rFonts w:hint="eastAsia" w:ascii="宋体" w:hAnsi="宋体" w:cs="宋体"/>
                <w:b/>
                <w:bCs/>
                <w:sz w:val="24"/>
              </w:rPr>
              <w:t>……</w:t>
            </w:r>
          </w:p>
        </w:tc>
        <w:tc>
          <w:tcPr>
            <w:tcW w:w="1083" w:type="dxa"/>
            <w:vAlign w:val="center"/>
          </w:tcPr>
          <w:p w14:paraId="6CCF1359">
            <w:pPr>
              <w:spacing w:before="156" w:beforeLines="50" w:after="156" w:afterLines="50" w:line="360" w:lineRule="auto"/>
              <w:jc w:val="center"/>
              <w:rPr>
                <w:rFonts w:ascii="宋体" w:hAnsi="宋体" w:cs="宋体"/>
                <w:b/>
                <w:bCs/>
                <w:sz w:val="24"/>
              </w:rPr>
            </w:pPr>
            <w:r>
              <w:rPr>
                <w:rFonts w:hint="eastAsia" w:ascii="宋体" w:hAnsi="宋体" w:cs="宋体"/>
                <w:b/>
                <w:bCs/>
                <w:sz w:val="24"/>
              </w:rPr>
              <w:t>……</w:t>
            </w:r>
          </w:p>
        </w:tc>
      </w:tr>
      <w:tr w14:paraId="2F65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547" w:type="dxa"/>
            <w:gridSpan w:val="2"/>
            <w:vAlign w:val="center"/>
          </w:tcPr>
          <w:p w14:paraId="5FB45299">
            <w:pPr>
              <w:spacing w:before="156" w:beforeLines="50" w:after="156" w:afterLines="50" w:line="360" w:lineRule="auto"/>
              <w:jc w:val="center"/>
              <w:rPr>
                <w:rFonts w:ascii="宋体" w:hAnsi="宋体" w:cs="宋体"/>
                <w:b/>
                <w:bCs/>
                <w:sz w:val="24"/>
              </w:rPr>
            </w:pPr>
            <w:r>
              <w:rPr>
                <w:rFonts w:hint="eastAsia" w:ascii="宋体" w:hAnsi="宋体" w:cs="宋体"/>
                <w:b/>
                <w:bCs/>
                <w:sz w:val="24"/>
              </w:rPr>
              <w:t>总价</w:t>
            </w:r>
          </w:p>
        </w:tc>
        <w:tc>
          <w:tcPr>
            <w:tcW w:w="7290" w:type="dxa"/>
            <w:gridSpan w:val="5"/>
            <w:vAlign w:val="center"/>
          </w:tcPr>
          <w:p w14:paraId="40D38783">
            <w:pPr>
              <w:spacing w:before="156" w:beforeLines="50" w:after="156" w:afterLines="50" w:line="360" w:lineRule="auto"/>
              <w:jc w:val="center"/>
              <w:rPr>
                <w:rFonts w:ascii="宋体" w:hAnsi="宋体" w:cs="宋体"/>
                <w:b/>
                <w:bCs/>
                <w:sz w:val="24"/>
              </w:rPr>
            </w:pPr>
            <w:r>
              <w:rPr>
                <w:rFonts w:hint="eastAsia" w:ascii="宋体" w:hAnsi="宋体" w:cs="宋体"/>
                <w:b/>
                <w:bCs/>
                <w:sz w:val="24"/>
              </w:rPr>
              <w:t>大写：</w:t>
            </w:r>
          </w:p>
          <w:p w14:paraId="6873070B">
            <w:pPr>
              <w:pStyle w:val="2"/>
              <w:jc w:val="center"/>
              <w:rPr>
                <w:rFonts w:ascii="宋体" w:hAnsi="宋体" w:cs="宋体"/>
                <w:b/>
                <w:bCs/>
                <w:sz w:val="24"/>
                <w:szCs w:val="24"/>
              </w:rPr>
            </w:pPr>
            <w:r>
              <w:rPr>
                <w:rFonts w:hint="eastAsia" w:ascii="宋体" w:hAnsi="宋体" w:cs="宋体"/>
                <w:b/>
                <w:bCs/>
                <w:sz w:val="24"/>
                <w:szCs w:val="24"/>
              </w:rPr>
              <w:t>小写：</w:t>
            </w:r>
          </w:p>
        </w:tc>
      </w:tr>
    </w:tbl>
    <w:p w14:paraId="335447D7">
      <w:pPr>
        <w:tabs>
          <w:tab w:val="left" w:pos="4200"/>
        </w:tabs>
        <w:autoSpaceDE w:val="0"/>
        <w:autoSpaceDN w:val="0"/>
        <w:adjustRightInd w:val="0"/>
        <w:spacing w:before="156" w:beforeLines="50" w:after="156" w:afterLines="50" w:line="360" w:lineRule="auto"/>
        <w:ind w:right="-214"/>
        <w:rPr>
          <w:rFonts w:ascii="宋体" w:hAnsi="宋体" w:cs="宋体"/>
          <w:bCs/>
          <w:sz w:val="24"/>
        </w:rPr>
      </w:pPr>
      <w:r>
        <w:rPr>
          <w:rFonts w:hint="eastAsia" w:ascii="宋体" w:hAnsi="宋体" w:cs="宋体"/>
          <w:bCs/>
          <w:sz w:val="24"/>
        </w:rPr>
        <w:t>（投标人可根据需要自行扩展、调整格式）</w:t>
      </w:r>
    </w:p>
    <w:p w14:paraId="43EE62D6">
      <w:pPr>
        <w:tabs>
          <w:tab w:val="left" w:pos="0"/>
        </w:tabs>
        <w:autoSpaceDE w:val="0"/>
        <w:autoSpaceDN w:val="0"/>
        <w:spacing w:before="156" w:beforeLines="50" w:after="156" w:afterLines="50" w:line="360" w:lineRule="auto"/>
        <w:ind w:right="67" w:rightChars="32" w:firstLine="480"/>
        <w:jc w:val="left"/>
        <w:textAlignment w:val="top"/>
        <w:rPr>
          <w:rFonts w:ascii="宋体" w:hAnsi="宋体" w:cs="宋体"/>
          <w:bCs/>
          <w:sz w:val="24"/>
        </w:rPr>
      </w:pPr>
      <w:r>
        <w:rPr>
          <w:rFonts w:hint="eastAsia" w:ascii="宋体" w:hAnsi="宋体" w:cs="宋体"/>
          <w:bCs/>
          <w:sz w:val="24"/>
        </w:rPr>
        <w:t>注：</w:t>
      </w:r>
      <w:r>
        <w:rPr>
          <w:rFonts w:hint="eastAsia" w:ascii="宋体" w:hAnsi="宋体" w:cs="宋体"/>
          <w:sz w:val="24"/>
        </w:rPr>
        <w:t>投标人</w:t>
      </w:r>
      <w:r>
        <w:rPr>
          <w:rFonts w:hint="eastAsia" w:ascii="宋体" w:hAnsi="宋体" w:cs="宋体"/>
          <w:bCs/>
          <w:sz w:val="24"/>
        </w:rPr>
        <w:t>提供的投标报价应包含软件开发、部署、调试、检验检测、系统认证以及运维服务期限内的所有人员工资、社会保险费、奖金、办公费、差旅费、水电费等应当由投标人承担的所有费用，以及软、硬件产品的采购（包括采购标的物及运维服务期间内标的物的更新）、包装、运输、装卸、保险、税金、伴随服务以及安装所需的全部配件（不再单独报价）等的所有费用。</w:t>
      </w:r>
    </w:p>
    <w:p w14:paraId="54C4BBED">
      <w:pPr>
        <w:spacing w:line="540" w:lineRule="exact"/>
        <w:ind w:firstLine="556"/>
        <w:jc w:val="center"/>
        <w:rPr>
          <w:rFonts w:ascii="宋体" w:hAnsi="宋体" w:cs="仿宋"/>
          <w:b/>
          <w:bCs/>
          <w:sz w:val="28"/>
          <w:szCs w:val="28"/>
        </w:rPr>
      </w:pPr>
    </w:p>
    <w:p w14:paraId="6EA1153D">
      <w:pPr>
        <w:widowControl/>
        <w:jc w:val="left"/>
        <w:rPr>
          <w:rFonts w:ascii="宋体" w:hAnsi="宋体" w:cs="仿宋"/>
          <w:b/>
          <w:bCs/>
          <w:sz w:val="28"/>
          <w:szCs w:val="28"/>
        </w:rPr>
      </w:pPr>
      <w:r>
        <w:rPr>
          <w:rFonts w:ascii="宋体" w:hAnsi="宋体" w:cs="仿宋"/>
          <w:b/>
          <w:bCs/>
          <w:sz w:val="28"/>
          <w:szCs w:val="28"/>
        </w:rPr>
        <w:br w:type="page"/>
      </w:r>
    </w:p>
    <w:p w14:paraId="5F0A6711">
      <w:pPr>
        <w:pStyle w:val="4"/>
        <w:spacing w:line="360" w:lineRule="auto"/>
        <w:ind w:left="0" w:right="76"/>
        <w:jc w:val="center"/>
        <w:rPr>
          <w:rFonts w:ascii="宋体" w:hAnsi="宋体" w:eastAsia="宋体" w:cs="仿宋"/>
          <w:b/>
          <w:bCs/>
          <w:sz w:val="28"/>
          <w:szCs w:val="28"/>
        </w:rPr>
      </w:pPr>
      <w:r>
        <w:rPr>
          <w:rFonts w:hint="eastAsia" w:ascii="宋体" w:hAnsi="宋体" w:eastAsia="宋体" w:cs="仿宋"/>
          <w:b/>
          <w:bCs/>
          <w:sz w:val="28"/>
          <w:szCs w:val="28"/>
        </w:rPr>
        <w:t>三、法定代表人身份证明及授权委托书</w:t>
      </w:r>
    </w:p>
    <w:p w14:paraId="2D20D955">
      <w:pPr>
        <w:pStyle w:val="11"/>
        <w:spacing w:line="360" w:lineRule="auto"/>
        <w:jc w:val="center"/>
        <w:rPr>
          <w:rFonts w:hAnsi="宋体" w:cs="仿宋"/>
          <w:color w:val="auto"/>
          <w:sz w:val="28"/>
          <w:szCs w:val="28"/>
        </w:rPr>
      </w:pPr>
      <w:r>
        <w:rPr>
          <w:rFonts w:hint="eastAsia" w:hAnsi="宋体" w:cs="仿宋"/>
          <w:b/>
          <w:bCs/>
          <w:color w:val="auto"/>
          <w:sz w:val="28"/>
          <w:szCs w:val="28"/>
        </w:rPr>
        <w:t>法</w:t>
      </w:r>
      <w:r>
        <w:rPr>
          <w:rFonts w:hint="eastAsia" w:hAnsi="宋体" w:cs="仿宋"/>
          <w:b/>
          <w:color w:val="auto"/>
          <w:sz w:val="28"/>
          <w:szCs w:val="28"/>
        </w:rPr>
        <w:t>定代表人身份证明</w:t>
      </w:r>
    </w:p>
    <w:p w14:paraId="603E69C5">
      <w:pPr>
        <w:pStyle w:val="10"/>
        <w:spacing w:before="3" w:line="360" w:lineRule="auto"/>
        <w:rPr>
          <w:rFonts w:cs="仿宋"/>
          <w:b/>
          <w:sz w:val="18"/>
        </w:rPr>
      </w:pPr>
    </w:p>
    <w:p w14:paraId="556C86E1">
      <w:pPr>
        <w:pStyle w:val="10"/>
        <w:tabs>
          <w:tab w:val="left" w:pos="4228"/>
        </w:tabs>
        <w:spacing w:line="360" w:lineRule="auto"/>
        <w:ind w:left="400"/>
        <w:rPr>
          <w:rFonts w:cs="仿宋"/>
          <w:sz w:val="24"/>
          <w:szCs w:val="24"/>
          <w:lang w:val="en-US"/>
        </w:rPr>
      </w:pPr>
      <w:r>
        <w:rPr>
          <w:rFonts w:hint="eastAsia" w:cs="仿宋"/>
          <w:spacing w:val="-1"/>
          <w:sz w:val="24"/>
          <w:szCs w:val="24"/>
        </w:rPr>
        <w:t>投</w:t>
      </w:r>
      <w:r>
        <w:rPr>
          <w:rFonts w:hint="eastAsia" w:cs="仿宋"/>
          <w:sz w:val="24"/>
          <w:szCs w:val="24"/>
        </w:rPr>
        <w:t>标</w:t>
      </w:r>
      <w:r>
        <w:rPr>
          <w:rFonts w:hint="eastAsia" w:cs="仿宋"/>
          <w:spacing w:val="-3"/>
          <w:sz w:val="24"/>
          <w:szCs w:val="24"/>
        </w:rPr>
        <w:t>人</w:t>
      </w:r>
      <w:r>
        <w:rPr>
          <w:rFonts w:hint="eastAsia" w:cs="仿宋"/>
          <w:sz w:val="24"/>
          <w:szCs w:val="24"/>
        </w:rPr>
        <w:t>名</w:t>
      </w:r>
      <w:r>
        <w:rPr>
          <w:rFonts w:hint="eastAsia" w:cs="仿宋"/>
          <w:spacing w:val="-3"/>
          <w:sz w:val="24"/>
          <w:szCs w:val="24"/>
        </w:rPr>
        <w:t>称</w:t>
      </w:r>
      <w:r>
        <w:rPr>
          <w:rFonts w:hint="eastAsia" w:cs="仿宋"/>
          <w:sz w:val="24"/>
          <w:szCs w:val="24"/>
        </w:rPr>
        <w:t>：</w:t>
      </w:r>
      <w:r>
        <w:rPr>
          <w:rFonts w:hint="eastAsia" w:cs="仿宋"/>
          <w:sz w:val="24"/>
          <w:szCs w:val="24"/>
          <w:u w:val="single"/>
        </w:rPr>
        <w:t xml:space="preserve"> </w:t>
      </w:r>
      <w:r>
        <w:rPr>
          <w:rFonts w:hint="eastAsia" w:cs="仿宋"/>
          <w:sz w:val="24"/>
          <w:szCs w:val="24"/>
          <w:u w:val="single"/>
          <w:lang w:val="en-US"/>
        </w:rPr>
        <w:t xml:space="preserve">                    </w:t>
      </w:r>
    </w:p>
    <w:p w14:paraId="3F7F3730">
      <w:pPr>
        <w:pStyle w:val="10"/>
        <w:tabs>
          <w:tab w:val="left" w:pos="2712"/>
          <w:tab w:val="left" w:pos="4183"/>
          <w:tab w:val="left" w:pos="5652"/>
          <w:tab w:val="left" w:pos="7169"/>
        </w:tabs>
        <w:spacing w:before="170" w:line="360" w:lineRule="auto"/>
        <w:ind w:left="400"/>
        <w:rPr>
          <w:rFonts w:cs="仿宋"/>
          <w:sz w:val="24"/>
          <w:szCs w:val="24"/>
        </w:rPr>
      </w:pPr>
      <w:r>
        <w:rPr>
          <w:rFonts w:hint="eastAsia" w:cs="仿宋"/>
          <w:sz w:val="24"/>
          <w:szCs w:val="24"/>
        </w:rPr>
        <w:t>姓名</w:t>
      </w:r>
      <w:r>
        <w:rPr>
          <w:rFonts w:hint="eastAsia" w:cs="仿宋"/>
          <w:spacing w:val="-3"/>
          <w:sz w:val="24"/>
          <w:szCs w:val="24"/>
        </w:rPr>
        <w:t>：</w:t>
      </w:r>
      <w:r>
        <w:rPr>
          <w:rFonts w:hint="eastAsia" w:cs="仿宋"/>
          <w:sz w:val="24"/>
          <w:szCs w:val="24"/>
          <w:u w:val="single"/>
        </w:rPr>
        <w:t xml:space="preserve"> </w:t>
      </w:r>
      <w:r>
        <w:rPr>
          <w:rFonts w:hint="eastAsia" w:cs="仿宋"/>
          <w:sz w:val="24"/>
          <w:szCs w:val="24"/>
          <w:u w:val="single"/>
          <w:lang w:val="en-US"/>
        </w:rPr>
        <w:t xml:space="preserve">         </w:t>
      </w:r>
      <w:r>
        <w:rPr>
          <w:rFonts w:hint="eastAsia" w:cs="仿宋"/>
          <w:sz w:val="24"/>
          <w:szCs w:val="24"/>
        </w:rPr>
        <w:t>性别</w:t>
      </w:r>
      <w:r>
        <w:rPr>
          <w:rFonts w:hint="eastAsia" w:cs="仿宋"/>
          <w:spacing w:val="-3"/>
          <w:sz w:val="24"/>
          <w:szCs w:val="24"/>
        </w:rPr>
        <w:t>：</w:t>
      </w:r>
      <w:r>
        <w:rPr>
          <w:rFonts w:hint="eastAsia" w:cs="仿宋"/>
          <w:sz w:val="24"/>
          <w:szCs w:val="24"/>
          <w:u w:val="single"/>
        </w:rPr>
        <w:t xml:space="preserve"> </w:t>
      </w:r>
      <w:r>
        <w:rPr>
          <w:rFonts w:hint="eastAsia" w:cs="仿宋"/>
          <w:sz w:val="24"/>
          <w:szCs w:val="24"/>
          <w:u w:val="single"/>
          <w:lang w:val="en-US"/>
        </w:rPr>
        <w:t xml:space="preserve">         </w:t>
      </w:r>
      <w:r>
        <w:rPr>
          <w:rFonts w:hint="eastAsia" w:cs="仿宋"/>
          <w:sz w:val="24"/>
          <w:szCs w:val="24"/>
        </w:rPr>
        <w:t>年</w:t>
      </w:r>
      <w:r>
        <w:rPr>
          <w:rFonts w:hint="eastAsia" w:cs="仿宋"/>
          <w:spacing w:val="-3"/>
          <w:sz w:val="24"/>
          <w:szCs w:val="24"/>
        </w:rPr>
        <w:t>龄</w:t>
      </w:r>
      <w:r>
        <w:rPr>
          <w:rFonts w:hint="eastAsia" w:cs="仿宋"/>
          <w:sz w:val="24"/>
          <w:szCs w:val="24"/>
        </w:rPr>
        <w:t>：</w:t>
      </w:r>
      <w:r>
        <w:rPr>
          <w:rFonts w:hint="eastAsia" w:cs="仿宋"/>
          <w:sz w:val="24"/>
          <w:szCs w:val="24"/>
          <w:u w:val="single"/>
        </w:rPr>
        <w:t xml:space="preserve"> </w:t>
      </w:r>
      <w:r>
        <w:rPr>
          <w:rFonts w:hint="eastAsia" w:cs="仿宋"/>
          <w:sz w:val="24"/>
          <w:szCs w:val="24"/>
          <w:u w:val="single"/>
          <w:lang w:val="en-US"/>
        </w:rPr>
        <w:t xml:space="preserve">         </w:t>
      </w:r>
      <w:r>
        <w:rPr>
          <w:rFonts w:hint="eastAsia" w:cs="仿宋"/>
          <w:spacing w:val="-1"/>
          <w:sz w:val="24"/>
          <w:szCs w:val="24"/>
        </w:rPr>
        <w:t>职</w:t>
      </w:r>
      <w:r>
        <w:rPr>
          <w:rFonts w:hint="eastAsia" w:cs="仿宋"/>
          <w:spacing w:val="-3"/>
          <w:sz w:val="24"/>
          <w:szCs w:val="24"/>
        </w:rPr>
        <w:t>务</w:t>
      </w:r>
      <w:r>
        <w:rPr>
          <w:rFonts w:hint="eastAsia" w:cs="仿宋"/>
          <w:sz w:val="24"/>
          <w:szCs w:val="24"/>
        </w:rPr>
        <w:t>：</w:t>
      </w:r>
      <w:r>
        <w:rPr>
          <w:rFonts w:hint="eastAsia" w:cs="仿宋"/>
          <w:sz w:val="24"/>
          <w:szCs w:val="24"/>
          <w:u w:val="single"/>
        </w:rPr>
        <w:t xml:space="preserve"> </w:t>
      </w:r>
      <w:r>
        <w:rPr>
          <w:rFonts w:hint="eastAsia" w:cs="仿宋"/>
          <w:sz w:val="24"/>
          <w:szCs w:val="24"/>
          <w:u w:val="single"/>
          <w:lang w:val="en-US"/>
        </w:rPr>
        <w:t xml:space="preserve">         </w:t>
      </w:r>
    </w:p>
    <w:p w14:paraId="0E74F0ED">
      <w:pPr>
        <w:pStyle w:val="10"/>
        <w:tabs>
          <w:tab w:val="left" w:pos="3132"/>
        </w:tabs>
        <w:spacing w:before="173" w:line="360" w:lineRule="auto"/>
        <w:ind w:left="400"/>
        <w:rPr>
          <w:rFonts w:cs="仿宋"/>
          <w:sz w:val="24"/>
          <w:szCs w:val="24"/>
        </w:rPr>
      </w:pPr>
      <w:r>
        <w:rPr>
          <w:rFonts w:hint="eastAsia" w:cs="仿宋"/>
          <w:sz w:val="24"/>
          <w:szCs w:val="24"/>
        </w:rPr>
        <w:t>系</w:t>
      </w:r>
      <w:r>
        <w:rPr>
          <w:rFonts w:hint="eastAsia" w:cs="仿宋"/>
          <w:sz w:val="24"/>
          <w:szCs w:val="24"/>
          <w:u w:val="single"/>
        </w:rPr>
        <w:t xml:space="preserve">  </w:t>
      </w:r>
      <w:r>
        <w:rPr>
          <w:rFonts w:hint="eastAsia" w:cs="仿宋"/>
          <w:sz w:val="24"/>
          <w:szCs w:val="24"/>
          <w:u w:val="single"/>
          <w:lang w:val="en-US"/>
        </w:rPr>
        <w:t xml:space="preserve">            </w:t>
      </w:r>
      <w:r>
        <w:rPr>
          <w:rFonts w:hint="eastAsia" w:cs="仿宋"/>
          <w:spacing w:val="-3"/>
          <w:sz w:val="24"/>
          <w:szCs w:val="24"/>
        </w:rPr>
        <w:t>（</w:t>
      </w:r>
      <w:r>
        <w:rPr>
          <w:rFonts w:hint="eastAsia" w:cs="仿宋"/>
          <w:sz w:val="24"/>
          <w:szCs w:val="24"/>
        </w:rPr>
        <w:t>投</w:t>
      </w:r>
      <w:r>
        <w:rPr>
          <w:rFonts w:hint="eastAsia" w:cs="仿宋"/>
          <w:spacing w:val="-3"/>
          <w:sz w:val="24"/>
          <w:szCs w:val="24"/>
        </w:rPr>
        <w:t>标</w:t>
      </w:r>
      <w:r>
        <w:rPr>
          <w:rFonts w:hint="eastAsia" w:cs="仿宋"/>
          <w:sz w:val="24"/>
          <w:szCs w:val="24"/>
        </w:rPr>
        <w:t>人</w:t>
      </w:r>
      <w:r>
        <w:rPr>
          <w:rFonts w:hint="eastAsia" w:cs="仿宋"/>
          <w:spacing w:val="-3"/>
          <w:sz w:val="24"/>
          <w:szCs w:val="24"/>
        </w:rPr>
        <w:t>名</w:t>
      </w:r>
      <w:r>
        <w:rPr>
          <w:rFonts w:hint="eastAsia" w:cs="仿宋"/>
          <w:sz w:val="24"/>
          <w:szCs w:val="24"/>
        </w:rPr>
        <w:t>称</w:t>
      </w:r>
      <w:r>
        <w:rPr>
          <w:rFonts w:hint="eastAsia" w:cs="仿宋"/>
          <w:spacing w:val="-3"/>
          <w:sz w:val="24"/>
          <w:szCs w:val="24"/>
        </w:rPr>
        <w:t>）</w:t>
      </w:r>
      <w:r>
        <w:rPr>
          <w:rFonts w:hint="eastAsia" w:cs="仿宋"/>
          <w:sz w:val="24"/>
          <w:szCs w:val="24"/>
        </w:rPr>
        <w:t>的</w:t>
      </w:r>
      <w:r>
        <w:rPr>
          <w:rFonts w:hint="eastAsia" w:cs="仿宋"/>
          <w:spacing w:val="-3"/>
          <w:sz w:val="24"/>
          <w:szCs w:val="24"/>
        </w:rPr>
        <w:t>法定</w:t>
      </w:r>
      <w:r>
        <w:rPr>
          <w:rFonts w:hint="eastAsia" w:cs="仿宋"/>
          <w:sz w:val="24"/>
          <w:szCs w:val="24"/>
        </w:rPr>
        <w:t>代表</w:t>
      </w:r>
      <w:r>
        <w:rPr>
          <w:rFonts w:hint="eastAsia" w:cs="仿宋"/>
          <w:spacing w:val="-3"/>
          <w:sz w:val="24"/>
          <w:szCs w:val="24"/>
        </w:rPr>
        <w:t>人</w:t>
      </w:r>
      <w:r>
        <w:rPr>
          <w:rFonts w:hint="eastAsia" w:cs="仿宋"/>
          <w:sz w:val="24"/>
          <w:szCs w:val="24"/>
        </w:rPr>
        <w:t>（或负责人）。</w:t>
      </w:r>
    </w:p>
    <w:p w14:paraId="374B6853">
      <w:pPr>
        <w:spacing w:line="360" w:lineRule="auto"/>
        <w:rPr>
          <w:rFonts w:ascii="宋体" w:hAnsi="宋体" w:cs="仿宋"/>
          <w:sz w:val="24"/>
        </w:rPr>
      </w:pPr>
      <w:r>
        <w:rPr>
          <w:rFonts w:hint="eastAsia" w:ascii="宋体" w:hAnsi="宋体" w:cs="仿宋"/>
          <w:sz w:val="24"/>
        </w:rPr>
        <w:t xml:space="preserve">          </w:t>
      </w:r>
    </w:p>
    <w:p w14:paraId="62EE02C7">
      <w:pPr>
        <w:spacing w:line="360" w:lineRule="auto"/>
        <w:ind w:firstLine="480" w:firstLineChars="200"/>
        <w:rPr>
          <w:rFonts w:ascii="宋体" w:hAnsi="宋体" w:cs="仿宋"/>
          <w:sz w:val="24"/>
        </w:rPr>
      </w:pPr>
      <w:r>
        <w:rPr>
          <w:rFonts w:hint="eastAsia" w:ascii="宋体" w:hAnsi="宋体" w:cs="仿宋"/>
          <w:sz w:val="24"/>
        </w:rPr>
        <w:t xml:space="preserve">特此证明。  </w:t>
      </w:r>
    </w:p>
    <w:p w14:paraId="5FED8932">
      <w:pPr>
        <w:pStyle w:val="10"/>
        <w:tabs>
          <w:tab w:val="left" w:pos="4228"/>
        </w:tabs>
        <w:spacing w:line="360" w:lineRule="auto"/>
        <w:ind w:left="400"/>
        <w:rPr>
          <w:rFonts w:cs="仿宋"/>
          <w:spacing w:val="-1"/>
        </w:rPr>
      </w:pPr>
      <w:r>
        <w:rPr>
          <w:rFonts w:hint="eastAsia" w:cs="仿宋"/>
          <w:spacing w:val="-1"/>
          <w:sz w:val="24"/>
          <w:szCs w:val="24"/>
          <w:lang w:val="en-US"/>
        </w:rPr>
        <w:t xml:space="preserve">   </w:t>
      </w:r>
      <w:r>
        <w:rPr>
          <w:rFonts w:hint="eastAsia" w:cs="仿宋"/>
          <w:spacing w:val="-1"/>
          <w:lang w:val="en-US"/>
        </w:rPr>
        <w:t xml:space="preserve">             </w:t>
      </w:r>
    </w:p>
    <w:p w14:paraId="36B53B80">
      <w:pPr>
        <w:pStyle w:val="10"/>
        <w:spacing w:before="10" w:line="360" w:lineRule="auto"/>
        <w:rPr>
          <w:rFonts w:cs="仿宋"/>
          <w:sz w:val="32"/>
          <w:szCs w:val="24"/>
        </w:rPr>
      </w:pPr>
      <w:r>
        <w:rPr>
          <w:rFonts w:hint="eastAsia" w:cs="仿宋"/>
          <w:sz w:val="24"/>
          <w:szCs w:val="24"/>
        </w:rPr>
        <w:t>附：法定代表人身份证（正、反）</w:t>
      </w:r>
    </w:p>
    <w:p w14:paraId="61B86C66">
      <w:pPr>
        <w:pStyle w:val="10"/>
        <w:spacing w:line="360" w:lineRule="auto"/>
        <w:ind w:left="400"/>
        <w:rPr>
          <w:rFonts w:cs="仿宋"/>
          <w:b/>
          <w:bCs/>
        </w:rPr>
      </w:pPr>
    </w:p>
    <w:p w14:paraId="7B236928">
      <w:pPr>
        <w:spacing w:line="360" w:lineRule="auto"/>
        <w:rPr>
          <w:rFonts w:ascii="宋体" w:hAnsi="宋体" w:cs="仿宋"/>
          <w:sz w:val="24"/>
        </w:rPr>
      </w:pPr>
    </w:p>
    <w:p w14:paraId="18861726">
      <w:pPr>
        <w:spacing w:line="360" w:lineRule="auto"/>
        <w:rPr>
          <w:rFonts w:ascii="宋体" w:hAnsi="宋体" w:cs="仿宋"/>
          <w:sz w:val="24"/>
        </w:rPr>
      </w:pPr>
    </w:p>
    <w:p w14:paraId="6B32CAC5">
      <w:pPr>
        <w:spacing w:line="360" w:lineRule="auto"/>
        <w:rPr>
          <w:rFonts w:ascii="宋体" w:hAnsi="宋体" w:cs="仿宋"/>
          <w:sz w:val="24"/>
        </w:rPr>
      </w:pPr>
      <w:r>
        <w:rPr>
          <w:rFonts w:hint="eastAsia" w:ascii="宋体" w:hAnsi="宋体" w:cs="仿宋"/>
          <w:sz w:val="24"/>
        </w:rPr>
        <w:t>投标人名称：</w:t>
      </w:r>
      <w:r>
        <w:rPr>
          <w:rFonts w:hint="eastAsia" w:ascii="宋体" w:hAnsi="宋体" w:cs="仿宋"/>
          <w:sz w:val="24"/>
          <w:u w:val="single"/>
        </w:rPr>
        <w:t xml:space="preserve">                       </w:t>
      </w:r>
      <w:r>
        <w:rPr>
          <w:rFonts w:hint="eastAsia" w:ascii="宋体" w:hAnsi="宋体" w:cs="仿宋"/>
          <w:sz w:val="24"/>
        </w:rPr>
        <w:t xml:space="preserve">（电子签章） </w:t>
      </w:r>
    </w:p>
    <w:p w14:paraId="1699C9BA">
      <w:pPr>
        <w:spacing w:line="360" w:lineRule="auto"/>
        <w:rPr>
          <w:rFonts w:ascii="宋体" w:hAnsi="宋体" w:cs="仿宋"/>
          <w:sz w:val="24"/>
        </w:rPr>
      </w:pPr>
      <w:r>
        <w:rPr>
          <w:rFonts w:hint="eastAsia" w:ascii="宋体" w:hAnsi="宋体" w:cs="仿宋"/>
          <w:sz w:val="24"/>
        </w:rPr>
        <w:t>法定代表人或委托代理人：</w:t>
      </w:r>
      <w:r>
        <w:rPr>
          <w:rFonts w:hint="eastAsia" w:ascii="宋体" w:hAnsi="宋体" w:cs="仿宋"/>
          <w:sz w:val="24"/>
          <w:u w:val="single"/>
        </w:rPr>
        <w:t xml:space="preserve">            </w:t>
      </w:r>
      <w:r>
        <w:rPr>
          <w:rFonts w:hint="eastAsia" w:ascii="宋体" w:hAnsi="宋体" w:cs="仿宋"/>
          <w:sz w:val="24"/>
        </w:rPr>
        <w:t>（电子签章）</w:t>
      </w:r>
    </w:p>
    <w:p w14:paraId="24DC9640">
      <w:pPr>
        <w:spacing w:line="360" w:lineRule="auto"/>
        <w:rPr>
          <w:rFonts w:ascii="宋体" w:hAnsi="宋体" w:cs="仿宋"/>
          <w:sz w:val="24"/>
        </w:rPr>
      </w:pPr>
      <w:r>
        <w:rPr>
          <w:rFonts w:hint="eastAsia" w:ascii="宋体" w:hAnsi="宋体" w:cs="仿宋"/>
          <w:sz w:val="24"/>
        </w:rPr>
        <w:t>日期：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p>
    <w:p w14:paraId="3D7CD923">
      <w:pPr>
        <w:pStyle w:val="10"/>
        <w:tabs>
          <w:tab w:val="left" w:pos="2721"/>
          <w:tab w:val="left" w:pos="5885"/>
        </w:tabs>
        <w:spacing w:line="360" w:lineRule="auto"/>
        <w:jc w:val="center"/>
        <w:rPr>
          <w:rFonts w:cs="仿宋"/>
          <w:b/>
          <w:sz w:val="32"/>
          <w:szCs w:val="32"/>
        </w:rPr>
      </w:pPr>
    </w:p>
    <w:p w14:paraId="79A2DCEB">
      <w:pPr>
        <w:pStyle w:val="10"/>
        <w:tabs>
          <w:tab w:val="left" w:pos="2721"/>
          <w:tab w:val="left" w:pos="5885"/>
        </w:tabs>
        <w:spacing w:line="360" w:lineRule="auto"/>
        <w:jc w:val="center"/>
        <w:rPr>
          <w:rFonts w:cs="仿宋"/>
          <w:b/>
          <w:sz w:val="32"/>
          <w:szCs w:val="32"/>
        </w:rPr>
      </w:pPr>
    </w:p>
    <w:p w14:paraId="78020EF7">
      <w:pPr>
        <w:pStyle w:val="10"/>
        <w:tabs>
          <w:tab w:val="left" w:pos="2721"/>
          <w:tab w:val="left" w:pos="5885"/>
        </w:tabs>
        <w:spacing w:line="360" w:lineRule="auto"/>
        <w:jc w:val="center"/>
        <w:rPr>
          <w:rFonts w:cs="仿宋"/>
          <w:b/>
          <w:sz w:val="32"/>
          <w:szCs w:val="32"/>
        </w:rPr>
      </w:pPr>
    </w:p>
    <w:p w14:paraId="020513A5">
      <w:pPr>
        <w:pStyle w:val="10"/>
        <w:tabs>
          <w:tab w:val="left" w:pos="2721"/>
          <w:tab w:val="left" w:pos="5885"/>
        </w:tabs>
        <w:spacing w:line="360" w:lineRule="auto"/>
        <w:jc w:val="center"/>
        <w:rPr>
          <w:rFonts w:cs="仿宋"/>
          <w:b/>
          <w:sz w:val="32"/>
          <w:szCs w:val="32"/>
        </w:rPr>
      </w:pPr>
    </w:p>
    <w:p w14:paraId="17CF4270">
      <w:pPr>
        <w:pStyle w:val="10"/>
        <w:tabs>
          <w:tab w:val="left" w:pos="2721"/>
          <w:tab w:val="left" w:pos="5885"/>
        </w:tabs>
        <w:spacing w:line="360" w:lineRule="auto"/>
        <w:jc w:val="center"/>
        <w:rPr>
          <w:rFonts w:cs="仿宋"/>
          <w:b/>
          <w:sz w:val="32"/>
          <w:szCs w:val="32"/>
        </w:rPr>
      </w:pPr>
    </w:p>
    <w:p w14:paraId="05347D96">
      <w:pPr>
        <w:pStyle w:val="10"/>
        <w:tabs>
          <w:tab w:val="left" w:pos="2721"/>
          <w:tab w:val="left" w:pos="5885"/>
        </w:tabs>
        <w:spacing w:line="360" w:lineRule="auto"/>
        <w:jc w:val="center"/>
        <w:rPr>
          <w:rFonts w:cs="仿宋"/>
          <w:b/>
          <w:sz w:val="32"/>
          <w:szCs w:val="32"/>
        </w:rPr>
      </w:pPr>
    </w:p>
    <w:p w14:paraId="49C2A521">
      <w:pPr>
        <w:pStyle w:val="10"/>
        <w:tabs>
          <w:tab w:val="left" w:pos="2721"/>
          <w:tab w:val="left" w:pos="5885"/>
        </w:tabs>
        <w:spacing w:line="360" w:lineRule="auto"/>
        <w:jc w:val="center"/>
        <w:rPr>
          <w:rFonts w:cs="仿宋"/>
          <w:b/>
          <w:sz w:val="32"/>
          <w:szCs w:val="32"/>
        </w:rPr>
      </w:pPr>
    </w:p>
    <w:p w14:paraId="4B45C153">
      <w:pPr>
        <w:pStyle w:val="10"/>
        <w:tabs>
          <w:tab w:val="left" w:pos="2721"/>
          <w:tab w:val="left" w:pos="5885"/>
        </w:tabs>
        <w:spacing w:line="360" w:lineRule="auto"/>
        <w:jc w:val="center"/>
        <w:rPr>
          <w:rFonts w:cs="仿宋"/>
          <w:b/>
          <w:sz w:val="32"/>
          <w:szCs w:val="32"/>
        </w:rPr>
      </w:pPr>
    </w:p>
    <w:p w14:paraId="4E165AED">
      <w:pPr>
        <w:pStyle w:val="10"/>
        <w:tabs>
          <w:tab w:val="left" w:pos="2721"/>
          <w:tab w:val="left" w:pos="5885"/>
        </w:tabs>
        <w:spacing w:line="360" w:lineRule="auto"/>
        <w:jc w:val="center"/>
        <w:rPr>
          <w:rFonts w:cs="仿宋"/>
          <w:b/>
          <w:sz w:val="32"/>
          <w:szCs w:val="32"/>
        </w:rPr>
      </w:pPr>
    </w:p>
    <w:p w14:paraId="4AAB24C4">
      <w:pPr>
        <w:jc w:val="center"/>
        <w:rPr>
          <w:rFonts w:ascii="宋体" w:hAnsi="宋体" w:cs="仿宋"/>
          <w:b/>
          <w:bCs/>
          <w:sz w:val="28"/>
          <w:szCs w:val="36"/>
        </w:rPr>
      </w:pPr>
      <w:r>
        <w:rPr>
          <w:rFonts w:hint="eastAsia" w:ascii="宋体" w:hAnsi="宋体" w:cs="仿宋"/>
          <w:b/>
          <w:bCs/>
          <w:sz w:val="28"/>
          <w:szCs w:val="36"/>
        </w:rPr>
        <w:t>授权委托书</w:t>
      </w:r>
    </w:p>
    <w:p w14:paraId="22AE57E9">
      <w:pPr>
        <w:pStyle w:val="11"/>
        <w:rPr>
          <w:rFonts w:hAnsi="宋体" w:cs="仿宋"/>
          <w:color w:val="auto"/>
        </w:rPr>
      </w:pPr>
    </w:p>
    <w:p w14:paraId="156F3DEB">
      <w:pPr>
        <w:adjustRightInd w:val="0"/>
        <w:snapToGrid w:val="0"/>
        <w:spacing w:line="360" w:lineRule="auto"/>
        <w:ind w:firstLine="480" w:firstLineChars="200"/>
        <w:rPr>
          <w:rFonts w:ascii="宋体" w:hAnsi="宋体" w:cs="仿宋"/>
          <w:sz w:val="24"/>
        </w:rPr>
      </w:pPr>
      <w:r>
        <w:rPr>
          <w:rFonts w:hint="eastAsia" w:ascii="宋体" w:hAnsi="宋体" w:cs="仿宋"/>
          <w:sz w:val="24"/>
        </w:rPr>
        <w:t xml:space="preserve">本授权委托声明：本人 </w:t>
      </w:r>
      <w:r>
        <w:rPr>
          <w:rFonts w:hint="eastAsia" w:ascii="宋体" w:hAnsi="宋体" w:cs="仿宋"/>
          <w:sz w:val="24"/>
          <w:u w:val="single"/>
        </w:rPr>
        <w:t xml:space="preserve">  （姓名）   </w:t>
      </w:r>
      <w:r>
        <w:rPr>
          <w:rFonts w:hint="eastAsia" w:ascii="宋体" w:hAnsi="宋体" w:cs="仿宋"/>
          <w:sz w:val="24"/>
        </w:rPr>
        <w:t>系</w:t>
      </w:r>
      <w:r>
        <w:rPr>
          <w:rFonts w:hint="eastAsia" w:ascii="宋体" w:hAnsi="宋体" w:cs="仿宋"/>
          <w:sz w:val="24"/>
          <w:u w:val="single"/>
        </w:rPr>
        <w:t xml:space="preserve">      （投标人全称）  </w:t>
      </w:r>
      <w:r>
        <w:rPr>
          <w:rFonts w:hint="eastAsia" w:ascii="宋体" w:hAnsi="宋体" w:cs="仿宋"/>
          <w:sz w:val="24"/>
        </w:rPr>
        <w:t>的法定代表人，现授权委托</w:t>
      </w:r>
      <w:r>
        <w:rPr>
          <w:rFonts w:hint="eastAsia" w:ascii="宋体" w:hAnsi="宋体" w:cs="仿宋"/>
          <w:sz w:val="24"/>
          <w:u w:val="single"/>
        </w:rPr>
        <w:t xml:space="preserve">    （姓名）   </w:t>
      </w:r>
      <w:r>
        <w:rPr>
          <w:rFonts w:hint="eastAsia" w:ascii="宋体" w:hAnsi="宋体" w:cs="仿宋"/>
          <w:sz w:val="24"/>
        </w:rPr>
        <w:t>为我单位代理人，参加</w:t>
      </w:r>
      <w:r>
        <w:rPr>
          <w:rFonts w:hint="eastAsia" w:ascii="宋体" w:hAnsi="宋体" w:cs="仿宋"/>
          <w:sz w:val="24"/>
          <w:u w:val="single"/>
        </w:rPr>
        <w:t xml:space="preserve">     （项目名称）     </w:t>
      </w:r>
      <w:r>
        <w:rPr>
          <w:rFonts w:hint="eastAsia" w:ascii="宋体" w:hAnsi="宋体" w:cs="仿宋"/>
          <w:sz w:val="24"/>
        </w:rPr>
        <w:t>的投标活动。代理人在开标、评标、合同谈判过程中所签署的一切文件和处理与之有关的一切事宜，我均予以承认。</w:t>
      </w:r>
    </w:p>
    <w:p w14:paraId="67A723A8">
      <w:pPr>
        <w:adjustRightInd w:val="0"/>
        <w:snapToGrid w:val="0"/>
        <w:spacing w:line="360" w:lineRule="auto"/>
        <w:ind w:firstLine="480" w:firstLineChars="200"/>
        <w:rPr>
          <w:rFonts w:ascii="宋体" w:hAnsi="宋体" w:cs="仿宋"/>
          <w:sz w:val="24"/>
        </w:rPr>
      </w:pPr>
      <w:r>
        <w:rPr>
          <w:rFonts w:hint="eastAsia" w:ascii="宋体" w:hAnsi="宋体" w:cs="仿宋"/>
          <w:sz w:val="24"/>
        </w:rPr>
        <w:t>委托期限：</w:t>
      </w:r>
      <w:r>
        <w:rPr>
          <w:rFonts w:hint="eastAsia" w:ascii="宋体" w:hAnsi="宋体" w:cs="仿宋"/>
          <w:sz w:val="24"/>
          <w:u w:val="single"/>
        </w:rPr>
        <w:t xml:space="preserve">自本授权委托书签署之日起至投标有效期结束为止 </w:t>
      </w:r>
      <w:r>
        <w:rPr>
          <w:rFonts w:hint="eastAsia" w:ascii="宋体" w:hAnsi="宋体" w:cs="仿宋"/>
          <w:sz w:val="24"/>
        </w:rPr>
        <w:t>。</w:t>
      </w:r>
    </w:p>
    <w:p w14:paraId="120FC238">
      <w:pPr>
        <w:pStyle w:val="39"/>
        <w:spacing w:line="360" w:lineRule="auto"/>
        <w:ind w:firstLine="520"/>
        <w:rPr>
          <w:rFonts w:ascii="宋体" w:hAnsi="宋体" w:cs="仿宋"/>
          <w:color w:val="auto"/>
        </w:rPr>
      </w:pPr>
    </w:p>
    <w:p w14:paraId="019A9E30">
      <w:pPr>
        <w:spacing w:line="360" w:lineRule="auto"/>
        <w:ind w:firstLine="480" w:firstLineChars="200"/>
        <w:rPr>
          <w:rFonts w:ascii="宋体" w:hAnsi="宋体" w:cs="仿宋"/>
          <w:sz w:val="20"/>
          <w:u w:val="single"/>
        </w:rPr>
      </w:pPr>
      <w:r>
        <w:rPr>
          <w:rFonts w:hint="eastAsia" w:ascii="宋体" w:hAnsi="宋体" w:cs="仿宋"/>
          <w:sz w:val="24"/>
        </w:rPr>
        <w:t>委托代理人联系电话</w:t>
      </w:r>
      <w:r>
        <w:rPr>
          <w:rFonts w:hint="eastAsia" w:ascii="宋体" w:hAnsi="宋体" w:cs="仿宋"/>
        </w:rPr>
        <w:t>：</w:t>
      </w:r>
      <w:r>
        <w:rPr>
          <w:rFonts w:hint="eastAsia" w:ascii="宋体" w:hAnsi="宋体" w:cs="仿宋"/>
          <w:u w:val="single"/>
        </w:rPr>
        <w:t xml:space="preserve">                </w:t>
      </w:r>
      <w:r>
        <w:rPr>
          <w:rFonts w:hint="eastAsia" w:ascii="宋体" w:hAnsi="宋体" w:cs="仿宋"/>
          <w:sz w:val="20"/>
        </w:rPr>
        <w:t xml:space="preserve">    </w:t>
      </w:r>
      <w:r>
        <w:rPr>
          <w:rFonts w:hint="eastAsia" w:ascii="宋体" w:hAnsi="宋体" w:cs="仿宋"/>
          <w:sz w:val="24"/>
        </w:rPr>
        <w:t xml:space="preserve"> 公司邮箱： </w:t>
      </w:r>
      <w:r>
        <w:rPr>
          <w:rFonts w:hint="eastAsia" w:ascii="宋体" w:hAnsi="宋体" w:cs="仿宋"/>
          <w:sz w:val="20"/>
          <w:u w:val="single"/>
        </w:rPr>
        <w:t xml:space="preserve">                    </w:t>
      </w:r>
    </w:p>
    <w:p w14:paraId="23B341A0">
      <w:pPr>
        <w:pStyle w:val="10"/>
        <w:spacing w:before="9" w:line="360" w:lineRule="auto"/>
        <w:rPr>
          <w:rFonts w:cs="仿宋"/>
          <w:sz w:val="27"/>
        </w:rPr>
      </w:pPr>
    </w:p>
    <w:p w14:paraId="2EE954B8">
      <w:pPr>
        <w:pStyle w:val="10"/>
        <w:spacing w:before="1" w:line="360" w:lineRule="auto"/>
        <w:ind w:left="400" w:right="-110"/>
        <w:rPr>
          <w:rFonts w:cs="仿宋"/>
          <w:sz w:val="24"/>
          <w:szCs w:val="24"/>
        </w:rPr>
      </w:pPr>
      <w:r>
        <w:rPr>
          <w:rFonts w:hint="eastAsia" w:cs="仿宋"/>
          <w:sz w:val="24"/>
          <w:szCs w:val="24"/>
        </w:rPr>
        <w:t>注： 投标人“法定代表人”直接参加投标及签署相关文件的无须提供该授权委托书</w:t>
      </w:r>
    </w:p>
    <w:p w14:paraId="4863E1A9">
      <w:pPr>
        <w:spacing w:line="360" w:lineRule="auto"/>
        <w:rPr>
          <w:rFonts w:ascii="宋体" w:hAnsi="宋体" w:cs="仿宋"/>
          <w:b/>
          <w:bCs/>
          <w:sz w:val="24"/>
        </w:rPr>
      </w:pPr>
      <w:r>
        <w:rPr>
          <w:rFonts w:hint="eastAsia" w:ascii="宋体" w:hAnsi="宋体" w:cs="仿宋"/>
          <w:sz w:val="24"/>
        </w:rPr>
        <w:t>附：委托代理人身份证（正、反）</w:t>
      </w:r>
    </w:p>
    <w:p w14:paraId="3AD4E52D">
      <w:pPr>
        <w:pStyle w:val="39"/>
        <w:spacing w:line="360" w:lineRule="auto"/>
        <w:ind w:firstLine="520"/>
        <w:rPr>
          <w:rFonts w:ascii="宋体" w:hAnsi="宋体" w:cs="仿宋"/>
          <w:color w:val="auto"/>
        </w:rPr>
      </w:pPr>
    </w:p>
    <w:p w14:paraId="1468CA2A">
      <w:pPr>
        <w:pStyle w:val="10"/>
        <w:spacing w:line="360" w:lineRule="auto"/>
        <w:ind w:left="400"/>
        <w:rPr>
          <w:rFonts w:cs="仿宋"/>
          <w:b/>
          <w:bCs/>
          <w:sz w:val="24"/>
          <w:szCs w:val="24"/>
        </w:rPr>
      </w:pPr>
    </w:p>
    <w:p w14:paraId="1320666E">
      <w:pPr>
        <w:spacing w:line="360" w:lineRule="auto"/>
        <w:rPr>
          <w:rFonts w:ascii="宋体" w:hAnsi="宋体" w:cs="仿宋"/>
          <w:sz w:val="24"/>
        </w:rPr>
      </w:pPr>
      <w:r>
        <w:rPr>
          <w:rFonts w:hint="eastAsia" w:ascii="宋体" w:hAnsi="宋体" w:cs="仿宋"/>
          <w:sz w:val="24"/>
        </w:rPr>
        <w:t>投标人名称：</w:t>
      </w:r>
      <w:r>
        <w:rPr>
          <w:rFonts w:hint="eastAsia" w:ascii="宋体" w:hAnsi="宋体" w:cs="仿宋"/>
          <w:sz w:val="24"/>
          <w:u w:val="single"/>
        </w:rPr>
        <w:t xml:space="preserve">                       </w:t>
      </w:r>
      <w:r>
        <w:rPr>
          <w:rFonts w:hint="eastAsia" w:ascii="宋体" w:hAnsi="宋体" w:cs="仿宋"/>
          <w:sz w:val="24"/>
        </w:rPr>
        <w:t xml:space="preserve">（电子签章） </w:t>
      </w:r>
    </w:p>
    <w:p w14:paraId="5D065423">
      <w:pPr>
        <w:spacing w:line="360" w:lineRule="auto"/>
        <w:rPr>
          <w:rFonts w:ascii="宋体" w:hAnsi="宋体" w:cs="仿宋"/>
          <w:sz w:val="24"/>
        </w:rPr>
      </w:pPr>
      <w:r>
        <w:rPr>
          <w:rFonts w:hint="eastAsia" w:ascii="宋体" w:hAnsi="宋体" w:cs="仿宋"/>
          <w:sz w:val="24"/>
        </w:rPr>
        <w:t>法定代表人或委托代理人：</w:t>
      </w:r>
      <w:r>
        <w:rPr>
          <w:rFonts w:hint="eastAsia" w:ascii="宋体" w:hAnsi="宋体" w:cs="仿宋"/>
          <w:sz w:val="24"/>
          <w:u w:val="single"/>
        </w:rPr>
        <w:t xml:space="preserve">            </w:t>
      </w:r>
      <w:r>
        <w:rPr>
          <w:rFonts w:hint="eastAsia" w:ascii="宋体" w:hAnsi="宋体" w:cs="仿宋"/>
          <w:sz w:val="24"/>
        </w:rPr>
        <w:t>（电子签章）</w:t>
      </w:r>
    </w:p>
    <w:p w14:paraId="56D6BC2C">
      <w:pPr>
        <w:spacing w:line="360" w:lineRule="auto"/>
        <w:rPr>
          <w:rFonts w:ascii="宋体" w:hAnsi="宋体" w:cs="仿宋"/>
          <w:sz w:val="24"/>
        </w:rPr>
      </w:pPr>
      <w:r>
        <w:rPr>
          <w:rFonts w:hint="eastAsia" w:ascii="宋体" w:hAnsi="宋体" w:cs="仿宋"/>
          <w:sz w:val="24"/>
        </w:rPr>
        <w:t>日期：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p>
    <w:p w14:paraId="06FDCEB0">
      <w:pPr>
        <w:pStyle w:val="13"/>
        <w:spacing w:line="360" w:lineRule="auto"/>
        <w:ind w:left="860" w:hanging="440"/>
        <w:rPr>
          <w:rFonts w:cs="仿宋"/>
          <w:lang w:val="en-US"/>
        </w:rPr>
      </w:pPr>
    </w:p>
    <w:p w14:paraId="51EEDC3A">
      <w:pPr>
        <w:spacing w:line="360" w:lineRule="auto"/>
        <w:jc w:val="center"/>
        <w:rPr>
          <w:rFonts w:ascii="宋体" w:hAnsi="宋体" w:cs="仿宋"/>
          <w:b/>
          <w:bCs/>
          <w:sz w:val="32"/>
          <w:szCs w:val="32"/>
        </w:rPr>
      </w:pPr>
      <w:bookmarkStart w:id="168" w:name="_Toc19587"/>
      <w:bookmarkStart w:id="169" w:name="_Toc21523"/>
    </w:p>
    <w:p w14:paraId="53836FF1">
      <w:pPr>
        <w:spacing w:line="360" w:lineRule="auto"/>
        <w:jc w:val="center"/>
        <w:rPr>
          <w:rFonts w:ascii="宋体" w:hAnsi="宋体" w:cs="仿宋"/>
          <w:b/>
          <w:bCs/>
          <w:sz w:val="32"/>
          <w:szCs w:val="32"/>
        </w:rPr>
      </w:pPr>
    </w:p>
    <w:p w14:paraId="746A4657">
      <w:pPr>
        <w:spacing w:line="360" w:lineRule="auto"/>
        <w:jc w:val="center"/>
        <w:rPr>
          <w:rFonts w:ascii="宋体" w:hAnsi="宋体" w:cs="仿宋"/>
          <w:b/>
          <w:bCs/>
          <w:sz w:val="32"/>
          <w:szCs w:val="32"/>
        </w:rPr>
      </w:pPr>
    </w:p>
    <w:p w14:paraId="2C1976FC">
      <w:pPr>
        <w:spacing w:line="360" w:lineRule="auto"/>
        <w:jc w:val="center"/>
        <w:rPr>
          <w:rFonts w:ascii="宋体" w:hAnsi="宋体" w:cs="仿宋"/>
          <w:b/>
          <w:bCs/>
          <w:sz w:val="32"/>
          <w:szCs w:val="32"/>
        </w:rPr>
      </w:pPr>
    </w:p>
    <w:p w14:paraId="67F6734B">
      <w:pPr>
        <w:spacing w:line="360" w:lineRule="auto"/>
        <w:jc w:val="center"/>
        <w:rPr>
          <w:rFonts w:ascii="宋体" w:hAnsi="宋体" w:cs="仿宋"/>
          <w:b/>
          <w:bCs/>
          <w:sz w:val="32"/>
          <w:szCs w:val="32"/>
        </w:rPr>
      </w:pPr>
    </w:p>
    <w:p w14:paraId="74B1E49A">
      <w:pPr>
        <w:spacing w:line="360" w:lineRule="auto"/>
        <w:jc w:val="center"/>
        <w:rPr>
          <w:rFonts w:ascii="宋体" w:hAnsi="宋体" w:cs="仿宋"/>
          <w:b/>
          <w:bCs/>
          <w:sz w:val="32"/>
          <w:szCs w:val="32"/>
        </w:rPr>
      </w:pPr>
    </w:p>
    <w:p w14:paraId="679BD869">
      <w:pPr>
        <w:spacing w:line="360" w:lineRule="auto"/>
        <w:jc w:val="center"/>
        <w:rPr>
          <w:rFonts w:ascii="宋体" w:hAnsi="宋体" w:cs="仿宋"/>
          <w:b/>
          <w:bCs/>
          <w:sz w:val="32"/>
          <w:szCs w:val="32"/>
        </w:rPr>
      </w:pPr>
    </w:p>
    <w:p w14:paraId="60CA26B5">
      <w:pPr>
        <w:spacing w:line="360" w:lineRule="auto"/>
        <w:jc w:val="center"/>
        <w:rPr>
          <w:rFonts w:ascii="宋体" w:hAnsi="宋体" w:cs="仿宋"/>
          <w:b/>
          <w:bCs/>
          <w:sz w:val="32"/>
          <w:szCs w:val="32"/>
        </w:rPr>
      </w:pPr>
    </w:p>
    <w:p w14:paraId="463BE38B">
      <w:pPr>
        <w:spacing w:line="360" w:lineRule="auto"/>
        <w:jc w:val="center"/>
        <w:rPr>
          <w:rFonts w:ascii="宋体" w:hAnsi="宋体" w:cs="仿宋"/>
          <w:b/>
          <w:bCs/>
          <w:sz w:val="32"/>
          <w:szCs w:val="32"/>
        </w:rPr>
      </w:pPr>
    </w:p>
    <w:p w14:paraId="029513A8">
      <w:pPr>
        <w:pStyle w:val="4"/>
        <w:spacing w:line="360" w:lineRule="auto"/>
        <w:ind w:left="0" w:right="76"/>
        <w:jc w:val="center"/>
        <w:rPr>
          <w:rFonts w:ascii="宋体" w:hAnsi="宋体" w:eastAsia="宋体" w:cs="仿宋"/>
          <w:b/>
          <w:bCs/>
          <w:sz w:val="28"/>
          <w:szCs w:val="28"/>
        </w:rPr>
      </w:pPr>
      <w:r>
        <w:rPr>
          <w:rFonts w:hint="eastAsia" w:ascii="宋体" w:hAnsi="宋体" w:eastAsia="宋体" w:cs="仿宋"/>
          <w:b/>
          <w:bCs/>
          <w:sz w:val="28"/>
          <w:szCs w:val="28"/>
        </w:rPr>
        <w:t>四、技术规格偏差表</w:t>
      </w:r>
    </w:p>
    <w:p w14:paraId="552DCCEF">
      <w:pPr>
        <w:jc w:val="center"/>
        <w:rPr>
          <w:rFonts w:ascii="宋体" w:hAnsi="宋体" w:cs="仿宋"/>
          <w:b/>
          <w:bCs/>
          <w:sz w:val="28"/>
          <w:szCs w:val="36"/>
        </w:rPr>
      </w:pPr>
    </w:p>
    <w:tbl>
      <w:tblPr>
        <w:tblStyle w:val="2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2036"/>
        <w:gridCol w:w="1857"/>
        <w:gridCol w:w="2141"/>
        <w:gridCol w:w="951"/>
        <w:gridCol w:w="1134"/>
      </w:tblGrid>
      <w:tr w14:paraId="6C8E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1090" w:type="dxa"/>
            <w:shd w:val="clear" w:color="auto" w:fill="auto"/>
            <w:vAlign w:val="center"/>
          </w:tcPr>
          <w:p w14:paraId="033EE61B">
            <w:pPr>
              <w:jc w:val="center"/>
              <w:rPr>
                <w:bCs/>
              </w:rPr>
            </w:pPr>
            <w:r>
              <w:rPr>
                <w:bCs/>
              </w:rPr>
              <w:t>序号</w:t>
            </w:r>
          </w:p>
        </w:tc>
        <w:tc>
          <w:tcPr>
            <w:tcW w:w="2036" w:type="dxa"/>
            <w:shd w:val="clear" w:color="auto" w:fill="auto"/>
            <w:vAlign w:val="center"/>
          </w:tcPr>
          <w:p w14:paraId="698596CA">
            <w:pPr>
              <w:jc w:val="center"/>
              <w:rPr>
                <w:bCs/>
              </w:rPr>
            </w:pPr>
            <w:r>
              <w:rPr>
                <w:rFonts w:hint="eastAsia"/>
                <w:bCs/>
              </w:rPr>
              <w:t>名称</w:t>
            </w:r>
          </w:p>
        </w:tc>
        <w:tc>
          <w:tcPr>
            <w:tcW w:w="1857" w:type="dxa"/>
            <w:shd w:val="clear" w:color="auto" w:fill="auto"/>
            <w:vAlign w:val="center"/>
          </w:tcPr>
          <w:p w14:paraId="15907982">
            <w:pPr>
              <w:jc w:val="center"/>
              <w:rPr>
                <w:bCs/>
              </w:rPr>
            </w:pPr>
            <w:r>
              <w:rPr>
                <w:rFonts w:hint="eastAsia"/>
                <w:bCs/>
              </w:rPr>
              <w:t>招标文件</w:t>
            </w:r>
            <w:r>
              <w:rPr>
                <w:bCs/>
              </w:rPr>
              <w:t>要求</w:t>
            </w:r>
          </w:p>
        </w:tc>
        <w:tc>
          <w:tcPr>
            <w:tcW w:w="2141" w:type="dxa"/>
            <w:shd w:val="clear" w:color="auto" w:fill="auto"/>
            <w:vAlign w:val="center"/>
          </w:tcPr>
          <w:p w14:paraId="67031507">
            <w:pPr>
              <w:jc w:val="center"/>
              <w:rPr>
                <w:bCs/>
              </w:rPr>
            </w:pPr>
            <w:r>
              <w:rPr>
                <w:bCs/>
              </w:rPr>
              <w:t>投标</w:t>
            </w:r>
            <w:r>
              <w:rPr>
                <w:rFonts w:hint="eastAsia"/>
                <w:bCs/>
              </w:rPr>
              <w:t>文件参数</w:t>
            </w:r>
          </w:p>
        </w:tc>
        <w:tc>
          <w:tcPr>
            <w:tcW w:w="951" w:type="dxa"/>
            <w:shd w:val="clear" w:color="auto" w:fill="auto"/>
            <w:vAlign w:val="center"/>
          </w:tcPr>
          <w:p w14:paraId="403F6F13">
            <w:pPr>
              <w:jc w:val="center"/>
              <w:rPr>
                <w:bCs/>
              </w:rPr>
            </w:pPr>
            <w:r>
              <w:rPr>
                <w:bCs/>
              </w:rPr>
              <w:t>偏差</w:t>
            </w:r>
          </w:p>
        </w:tc>
        <w:tc>
          <w:tcPr>
            <w:tcW w:w="1134" w:type="dxa"/>
            <w:shd w:val="clear" w:color="auto" w:fill="auto"/>
            <w:vAlign w:val="center"/>
          </w:tcPr>
          <w:p w14:paraId="2343C0BF">
            <w:pPr>
              <w:jc w:val="center"/>
              <w:rPr>
                <w:bCs/>
              </w:rPr>
            </w:pPr>
            <w:r>
              <w:rPr>
                <w:rFonts w:hint="eastAsia"/>
                <w:bCs/>
              </w:rPr>
              <w:t>资料证明所在页码</w:t>
            </w:r>
          </w:p>
        </w:tc>
      </w:tr>
      <w:tr w14:paraId="163A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0" w:type="dxa"/>
            <w:shd w:val="clear" w:color="auto" w:fill="auto"/>
            <w:vAlign w:val="center"/>
          </w:tcPr>
          <w:p w14:paraId="20DC94C5">
            <w:pPr>
              <w:jc w:val="center"/>
              <w:rPr>
                <w:bCs/>
              </w:rPr>
            </w:pPr>
          </w:p>
        </w:tc>
        <w:tc>
          <w:tcPr>
            <w:tcW w:w="2036" w:type="dxa"/>
            <w:shd w:val="clear" w:color="auto" w:fill="auto"/>
            <w:vAlign w:val="center"/>
          </w:tcPr>
          <w:p w14:paraId="7F755BCE">
            <w:pPr>
              <w:jc w:val="center"/>
              <w:rPr>
                <w:bCs/>
              </w:rPr>
            </w:pPr>
          </w:p>
        </w:tc>
        <w:tc>
          <w:tcPr>
            <w:tcW w:w="1857" w:type="dxa"/>
            <w:shd w:val="clear" w:color="auto" w:fill="auto"/>
            <w:vAlign w:val="center"/>
          </w:tcPr>
          <w:p w14:paraId="4CAE8D18">
            <w:pPr>
              <w:jc w:val="center"/>
              <w:rPr>
                <w:bCs/>
              </w:rPr>
            </w:pPr>
          </w:p>
        </w:tc>
        <w:tc>
          <w:tcPr>
            <w:tcW w:w="2141" w:type="dxa"/>
            <w:shd w:val="clear" w:color="auto" w:fill="auto"/>
            <w:vAlign w:val="center"/>
          </w:tcPr>
          <w:p w14:paraId="7D332F9F">
            <w:pPr>
              <w:jc w:val="center"/>
              <w:rPr>
                <w:bCs/>
              </w:rPr>
            </w:pPr>
          </w:p>
        </w:tc>
        <w:tc>
          <w:tcPr>
            <w:tcW w:w="951" w:type="dxa"/>
            <w:shd w:val="clear" w:color="auto" w:fill="auto"/>
            <w:vAlign w:val="center"/>
          </w:tcPr>
          <w:p w14:paraId="4B8959D3">
            <w:pPr>
              <w:jc w:val="center"/>
              <w:rPr>
                <w:bCs/>
              </w:rPr>
            </w:pPr>
          </w:p>
        </w:tc>
        <w:tc>
          <w:tcPr>
            <w:tcW w:w="1134" w:type="dxa"/>
            <w:shd w:val="clear" w:color="auto" w:fill="auto"/>
            <w:vAlign w:val="center"/>
          </w:tcPr>
          <w:p w14:paraId="1187CBDD">
            <w:pPr>
              <w:jc w:val="center"/>
              <w:rPr>
                <w:bCs/>
              </w:rPr>
            </w:pPr>
          </w:p>
        </w:tc>
      </w:tr>
      <w:tr w14:paraId="060C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0" w:type="dxa"/>
            <w:shd w:val="clear" w:color="auto" w:fill="auto"/>
            <w:vAlign w:val="center"/>
          </w:tcPr>
          <w:p w14:paraId="4106855D">
            <w:pPr>
              <w:jc w:val="center"/>
              <w:rPr>
                <w:bCs/>
              </w:rPr>
            </w:pPr>
          </w:p>
        </w:tc>
        <w:tc>
          <w:tcPr>
            <w:tcW w:w="2036" w:type="dxa"/>
            <w:shd w:val="clear" w:color="auto" w:fill="auto"/>
            <w:vAlign w:val="center"/>
          </w:tcPr>
          <w:p w14:paraId="2866E28B">
            <w:pPr>
              <w:jc w:val="center"/>
              <w:rPr>
                <w:bCs/>
              </w:rPr>
            </w:pPr>
          </w:p>
        </w:tc>
        <w:tc>
          <w:tcPr>
            <w:tcW w:w="1857" w:type="dxa"/>
            <w:shd w:val="clear" w:color="auto" w:fill="auto"/>
            <w:vAlign w:val="center"/>
          </w:tcPr>
          <w:p w14:paraId="63506E15">
            <w:pPr>
              <w:jc w:val="center"/>
              <w:rPr>
                <w:bCs/>
              </w:rPr>
            </w:pPr>
          </w:p>
        </w:tc>
        <w:tc>
          <w:tcPr>
            <w:tcW w:w="2141" w:type="dxa"/>
            <w:shd w:val="clear" w:color="auto" w:fill="auto"/>
            <w:vAlign w:val="center"/>
          </w:tcPr>
          <w:p w14:paraId="268815E8">
            <w:pPr>
              <w:jc w:val="center"/>
              <w:rPr>
                <w:bCs/>
              </w:rPr>
            </w:pPr>
          </w:p>
        </w:tc>
        <w:tc>
          <w:tcPr>
            <w:tcW w:w="951" w:type="dxa"/>
            <w:shd w:val="clear" w:color="auto" w:fill="auto"/>
            <w:vAlign w:val="center"/>
          </w:tcPr>
          <w:p w14:paraId="12E14267">
            <w:pPr>
              <w:jc w:val="center"/>
              <w:rPr>
                <w:bCs/>
              </w:rPr>
            </w:pPr>
          </w:p>
        </w:tc>
        <w:tc>
          <w:tcPr>
            <w:tcW w:w="1134" w:type="dxa"/>
            <w:shd w:val="clear" w:color="auto" w:fill="auto"/>
            <w:vAlign w:val="center"/>
          </w:tcPr>
          <w:p w14:paraId="42F047E4">
            <w:pPr>
              <w:jc w:val="center"/>
              <w:rPr>
                <w:bCs/>
              </w:rPr>
            </w:pPr>
          </w:p>
        </w:tc>
      </w:tr>
      <w:tr w14:paraId="446F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0" w:type="dxa"/>
            <w:shd w:val="clear" w:color="auto" w:fill="auto"/>
            <w:vAlign w:val="center"/>
          </w:tcPr>
          <w:p w14:paraId="5C0E34A2">
            <w:pPr>
              <w:jc w:val="center"/>
              <w:rPr>
                <w:bCs/>
              </w:rPr>
            </w:pPr>
          </w:p>
        </w:tc>
        <w:tc>
          <w:tcPr>
            <w:tcW w:w="2036" w:type="dxa"/>
            <w:shd w:val="clear" w:color="auto" w:fill="auto"/>
            <w:vAlign w:val="center"/>
          </w:tcPr>
          <w:p w14:paraId="726E8B11">
            <w:pPr>
              <w:jc w:val="center"/>
              <w:rPr>
                <w:bCs/>
              </w:rPr>
            </w:pPr>
          </w:p>
        </w:tc>
        <w:tc>
          <w:tcPr>
            <w:tcW w:w="1857" w:type="dxa"/>
            <w:shd w:val="clear" w:color="auto" w:fill="auto"/>
            <w:vAlign w:val="center"/>
          </w:tcPr>
          <w:p w14:paraId="73FDABC9">
            <w:pPr>
              <w:jc w:val="center"/>
              <w:rPr>
                <w:bCs/>
              </w:rPr>
            </w:pPr>
          </w:p>
        </w:tc>
        <w:tc>
          <w:tcPr>
            <w:tcW w:w="2141" w:type="dxa"/>
            <w:shd w:val="clear" w:color="auto" w:fill="auto"/>
            <w:vAlign w:val="center"/>
          </w:tcPr>
          <w:p w14:paraId="391F0A2F">
            <w:pPr>
              <w:jc w:val="center"/>
              <w:rPr>
                <w:bCs/>
              </w:rPr>
            </w:pPr>
          </w:p>
        </w:tc>
        <w:tc>
          <w:tcPr>
            <w:tcW w:w="951" w:type="dxa"/>
            <w:shd w:val="clear" w:color="auto" w:fill="auto"/>
            <w:vAlign w:val="center"/>
          </w:tcPr>
          <w:p w14:paraId="78AF4533">
            <w:pPr>
              <w:jc w:val="center"/>
              <w:rPr>
                <w:bCs/>
              </w:rPr>
            </w:pPr>
          </w:p>
        </w:tc>
        <w:tc>
          <w:tcPr>
            <w:tcW w:w="1134" w:type="dxa"/>
            <w:shd w:val="clear" w:color="auto" w:fill="auto"/>
            <w:vAlign w:val="center"/>
          </w:tcPr>
          <w:p w14:paraId="5F22849B">
            <w:pPr>
              <w:jc w:val="center"/>
              <w:rPr>
                <w:bCs/>
              </w:rPr>
            </w:pPr>
          </w:p>
        </w:tc>
      </w:tr>
      <w:tr w14:paraId="7465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0" w:type="dxa"/>
            <w:shd w:val="clear" w:color="auto" w:fill="auto"/>
            <w:vAlign w:val="center"/>
          </w:tcPr>
          <w:p w14:paraId="75B25BDB">
            <w:pPr>
              <w:jc w:val="center"/>
              <w:rPr>
                <w:bCs/>
              </w:rPr>
            </w:pPr>
          </w:p>
        </w:tc>
        <w:tc>
          <w:tcPr>
            <w:tcW w:w="2036" w:type="dxa"/>
            <w:shd w:val="clear" w:color="auto" w:fill="auto"/>
            <w:vAlign w:val="center"/>
          </w:tcPr>
          <w:p w14:paraId="7EDEB3DB">
            <w:pPr>
              <w:jc w:val="center"/>
              <w:rPr>
                <w:bCs/>
              </w:rPr>
            </w:pPr>
          </w:p>
        </w:tc>
        <w:tc>
          <w:tcPr>
            <w:tcW w:w="1857" w:type="dxa"/>
            <w:shd w:val="clear" w:color="auto" w:fill="auto"/>
            <w:vAlign w:val="center"/>
          </w:tcPr>
          <w:p w14:paraId="507B8442">
            <w:pPr>
              <w:jc w:val="center"/>
              <w:rPr>
                <w:bCs/>
              </w:rPr>
            </w:pPr>
          </w:p>
        </w:tc>
        <w:tc>
          <w:tcPr>
            <w:tcW w:w="2141" w:type="dxa"/>
            <w:shd w:val="clear" w:color="auto" w:fill="auto"/>
            <w:vAlign w:val="center"/>
          </w:tcPr>
          <w:p w14:paraId="7435C99D">
            <w:pPr>
              <w:jc w:val="center"/>
              <w:rPr>
                <w:bCs/>
              </w:rPr>
            </w:pPr>
          </w:p>
        </w:tc>
        <w:tc>
          <w:tcPr>
            <w:tcW w:w="951" w:type="dxa"/>
            <w:shd w:val="clear" w:color="auto" w:fill="auto"/>
            <w:vAlign w:val="center"/>
          </w:tcPr>
          <w:p w14:paraId="4364EC24">
            <w:pPr>
              <w:jc w:val="center"/>
              <w:rPr>
                <w:bCs/>
              </w:rPr>
            </w:pPr>
          </w:p>
        </w:tc>
        <w:tc>
          <w:tcPr>
            <w:tcW w:w="1134" w:type="dxa"/>
            <w:shd w:val="clear" w:color="auto" w:fill="auto"/>
            <w:vAlign w:val="center"/>
          </w:tcPr>
          <w:p w14:paraId="7E14D00E">
            <w:pPr>
              <w:jc w:val="center"/>
              <w:rPr>
                <w:bCs/>
              </w:rPr>
            </w:pPr>
          </w:p>
        </w:tc>
      </w:tr>
      <w:tr w14:paraId="2940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0" w:type="dxa"/>
            <w:shd w:val="clear" w:color="auto" w:fill="auto"/>
            <w:vAlign w:val="center"/>
          </w:tcPr>
          <w:p w14:paraId="623EB15A">
            <w:pPr>
              <w:jc w:val="center"/>
              <w:rPr>
                <w:bCs/>
              </w:rPr>
            </w:pPr>
          </w:p>
        </w:tc>
        <w:tc>
          <w:tcPr>
            <w:tcW w:w="2036" w:type="dxa"/>
            <w:shd w:val="clear" w:color="auto" w:fill="auto"/>
            <w:vAlign w:val="center"/>
          </w:tcPr>
          <w:p w14:paraId="40744BDF">
            <w:pPr>
              <w:jc w:val="center"/>
              <w:rPr>
                <w:bCs/>
              </w:rPr>
            </w:pPr>
          </w:p>
        </w:tc>
        <w:tc>
          <w:tcPr>
            <w:tcW w:w="1857" w:type="dxa"/>
            <w:shd w:val="clear" w:color="auto" w:fill="auto"/>
            <w:vAlign w:val="center"/>
          </w:tcPr>
          <w:p w14:paraId="17C0CCC6">
            <w:pPr>
              <w:jc w:val="center"/>
              <w:rPr>
                <w:bCs/>
              </w:rPr>
            </w:pPr>
          </w:p>
        </w:tc>
        <w:tc>
          <w:tcPr>
            <w:tcW w:w="2141" w:type="dxa"/>
            <w:shd w:val="clear" w:color="auto" w:fill="auto"/>
            <w:vAlign w:val="center"/>
          </w:tcPr>
          <w:p w14:paraId="046B3016">
            <w:pPr>
              <w:jc w:val="center"/>
              <w:rPr>
                <w:bCs/>
              </w:rPr>
            </w:pPr>
          </w:p>
        </w:tc>
        <w:tc>
          <w:tcPr>
            <w:tcW w:w="951" w:type="dxa"/>
            <w:shd w:val="clear" w:color="auto" w:fill="auto"/>
            <w:vAlign w:val="center"/>
          </w:tcPr>
          <w:p w14:paraId="5D8C8C55">
            <w:pPr>
              <w:jc w:val="center"/>
              <w:rPr>
                <w:bCs/>
              </w:rPr>
            </w:pPr>
          </w:p>
        </w:tc>
        <w:tc>
          <w:tcPr>
            <w:tcW w:w="1134" w:type="dxa"/>
            <w:shd w:val="clear" w:color="auto" w:fill="auto"/>
            <w:vAlign w:val="center"/>
          </w:tcPr>
          <w:p w14:paraId="3A6D7F68">
            <w:pPr>
              <w:jc w:val="center"/>
              <w:rPr>
                <w:bCs/>
              </w:rPr>
            </w:pPr>
          </w:p>
        </w:tc>
      </w:tr>
      <w:tr w14:paraId="3EF2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0" w:type="dxa"/>
            <w:shd w:val="clear" w:color="auto" w:fill="auto"/>
            <w:vAlign w:val="center"/>
          </w:tcPr>
          <w:p w14:paraId="7F87CC0A">
            <w:pPr>
              <w:jc w:val="center"/>
              <w:rPr>
                <w:bCs/>
              </w:rPr>
            </w:pPr>
          </w:p>
        </w:tc>
        <w:tc>
          <w:tcPr>
            <w:tcW w:w="2036" w:type="dxa"/>
            <w:shd w:val="clear" w:color="auto" w:fill="auto"/>
            <w:vAlign w:val="center"/>
          </w:tcPr>
          <w:p w14:paraId="08327028">
            <w:pPr>
              <w:jc w:val="center"/>
              <w:rPr>
                <w:bCs/>
              </w:rPr>
            </w:pPr>
          </w:p>
        </w:tc>
        <w:tc>
          <w:tcPr>
            <w:tcW w:w="1857" w:type="dxa"/>
            <w:shd w:val="clear" w:color="auto" w:fill="auto"/>
            <w:vAlign w:val="center"/>
          </w:tcPr>
          <w:p w14:paraId="6C50776E">
            <w:pPr>
              <w:jc w:val="center"/>
              <w:rPr>
                <w:bCs/>
              </w:rPr>
            </w:pPr>
          </w:p>
        </w:tc>
        <w:tc>
          <w:tcPr>
            <w:tcW w:w="2141" w:type="dxa"/>
            <w:shd w:val="clear" w:color="auto" w:fill="auto"/>
            <w:vAlign w:val="center"/>
          </w:tcPr>
          <w:p w14:paraId="30F42FEF">
            <w:pPr>
              <w:jc w:val="center"/>
              <w:rPr>
                <w:bCs/>
              </w:rPr>
            </w:pPr>
          </w:p>
        </w:tc>
        <w:tc>
          <w:tcPr>
            <w:tcW w:w="951" w:type="dxa"/>
            <w:shd w:val="clear" w:color="auto" w:fill="auto"/>
            <w:vAlign w:val="center"/>
          </w:tcPr>
          <w:p w14:paraId="605DB425">
            <w:pPr>
              <w:jc w:val="center"/>
              <w:rPr>
                <w:bCs/>
              </w:rPr>
            </w:pPr>
          </w:p>
        </w:tc>
        <w:tc>
          <w:tcPr>
            <w:tcW w:w="1134" w:type="dxa"/>
            <w:shd w:val="clear" w:color="auto" w:fill="auto"/>
            <w:vAlign w:val="center"/>
          </w:tcPr>
          <w:p w14:paraId="20FA1A1D">
            <w:pPr>
              <w:jc w:val="center"/>
              <w:rPr>
                <w:bCs/>
              </w:rPr>
            </w:pPr>
          </w:p>
        </w:tc>
      </w:tr>
      <w:tr w14:paraId="0292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0" w:type="dxa"/>
            <w:shd w:val="clear" w:color="auto" w:fill="auto"/>
            <w:vAlign w:val="center"/>
          </w:tcPr>
          <w:p w14:paraId="47572CBE">
            <w:pPr>
              <w:jc w:val="center"/>
              <w:rPr>
                <w:bCs/>
              </w:rPr>
            </w:pPr>
          </w:p>
        </w:tc>
        <w:tc>
          <w:tcPr>
            <w:tcW w:w="2036" w:type="dxa"/>
            <w:shd w:val="clear" w:color="auto" w:fill="auto"/>
            <w:vAlign w:val="center"/>
          </w:tcPr>
          <w:p w14:paraId="0EA03493">
            <w:pPr>
              <w:jc w:val="center"/>
              <w:rPr>
                <w:bCs/>
              </w:rPr>
            </w:pPr>
          </w:p>
        </w:tc>
        <w:tc>
          <w:tcPr>
            <w:tcW w:w="1857" w:type="dxa"/>
            <w:shd w:val="clear" w:color="auto" w:fill="auto"/>
            <w:vAlign w:val="center"/>
          </w:tcPr>
          <w:p w14:paraId="64A4656F">
            <w:pPr>
              <w:jc w:val="center"/>
              <w:rPr>
                <w:bCs/>
              </w:rPr>
            </w:pPr>
          </w:p>
        </w:tc>
        <w:tc>
          <w:tcPr>
            <w:tcW w:w="2141" w:type="dxa"/>
            <w:shd w:val="clear" w:color="auto" w:fill="auto"/>
            <w:vAlign w:val="center"/>
          </w:tcPr>
          <w:p w14:paraId="24E950F7">
            <w:pPr>
              <w:jc w:val="center"/>
              <w:rPr>
                <w:bCs/>
              </w:rPr>
            </w:pPr>
          </w:p>
        </w:tc>
        <w:tc>
          <w:tcPr>
            <w:tcW w:w="951" w:type="dxa"/>
            <w:shd w:val="clear" w:color="auto" w:fill="auto"/>
            <w:vAlign w:val="center"/>
          </w:tcPr>
          <w:p w14:paraId="03C2058A">
            <w:pPr>
              <w:jc w:val="center"/>
              <w:rPr>
                <w:bCs/>
              </w:rPr>
            </w:pPr>
          </w:p>
        </w:tc>
        <w:tc>
          <w:tcPr>
            <w:tcW w:w="1134" w:type="dxa"/>
            <w:shd w:val="clear" w:color="auto" w:fill="auto"/>
            <w:vAlign w:val="center"/>
          </w:tcPr>
          <w:p w14:paraId="6A1AEDCA">
            <w:pPr>
              <w:jc w:val="center"/>
              <w:rPr>
                <w:bCs/>
              </w:rPr>
            </w:pPr>
          </w:p>
        </w:tc>
      </w:tr>
      <w:tr w14:paraId="1F99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0" w:type="dxa"/>
            <w:shd w:val="clear" w:color="auto" w:fill="auto"/>
            <w:vAlign w:val="center"/>
          </w:tcPr>
          <w:p w14:paraId="3A5AE54A">
            <w:pPr>
              <w:jc w:val="center"/>
              <w:rPr>
                <w:bCs/>
              </w:rPr>
            </w:pPr>
          </w:p>
        </w:tc>
        <w:tc>
          <w:tcPr>
            <w:tcW w:w="2036" w:type="dxa"/>
            <w:shd w:val="clear" w:color="auto" w:fill="auto"/>
            <w:vAlign w:val="center"/>
          </w:tcPr>
          <w:p w14:paraId="7380F4A9">
            <w:pPr>
              <w:jc w:val="center"/>
              <w:rPr>
                <w:bCs/>
              </w:rPr>
            </w:pPr>
          </w:p>
        </w:tc>
        <w:tc>
          <w:tcPr>
            <w:tcW w:w="1857" w:type="dxa"/>
            <w:shd w:val="clear" w:color="auto" w:fill="auto"/>
            <w:vAlign w:val="center"/>
          </w:tcPr>
          <w:p w14:paraId="43DA477C">
            <w:pPr>
              <w:jc w:val="center"/>
              <w:rPr>
                <w:bCs/>
              </w:rPr>
            </w:pPr>
          </w:p>
        </w:tc>
        <w:tc>
          <w:tcPr>
            <w:tcW w:w="2141" w:type="dxa"/>
            <w:shd w:val="clear" w:color="auto" w:fill="auto"/>
            <w:vAlign w:val="center"/>
          </w:tcPr>
          <w:p w14:paraId="0ADB5840">
            <w:pPr>
              <w:jc w:val="center"/>
              <w:rPr>
                <w:bCs/>
              </w:rPr>
            </w:pPr>
          </w:p>
        </w:tc>
        <w:tc>
          <w:tcPr>
            <w:tcW w:w="951" w:type="dxa"/>
            <w:shd w:val="clear" w:color="auto" w:fill="auto"/>
            <w:vAlign w:val="center"/>
          </w:tcPr>
          <w:p w14:paraId="3D73FA89">
            <w:pPr>
              <w:jc w:val="center"/>
              <w:rPr>
                <w:bCs/>
              </w:rPr>
            </w:pPr>
          </w:p>
        </w:tc>
        <w:tc>
          <w:tcPr>
            <w:tcW w:w="1134" w:type="dxa"/>
            <w:shd w:val="clear" w:color="auto" w:fill="auto"/>
            <w:vAlign w:val="center"/>
          </w:tcPr>
          <w:p w14:paraId="68C93714">
            <w:pPr>
              <w:jc w:val="center"/>
              <w:rPr>
                <w:bCs/>
              </w:rPr>
            </w:pPr>
          </w:p>
        </w:tc>
      </w:tr>
      <w:tr w14:paraId="0BEC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0" w:type="dxa"/>
            <w:shd w:val="clear" w:color="auto" w:fill="auto"/>
            <w:vAlign w:val="center"/>
          </w:tcPr>
          <w:p w14:paraId="4596DF41">
            <w:pPr>
              <w:jc w:val="center"/>
              <w:rPr>
                <w:bCs/>
              </w:rPr>
            </w:pPr>
          </w:p>
        </w:tc>
        <w:tc>
          <w:tcPr>
            <w:tcW w:w="2036" w:type="dxa"/>
            <w:shd w:val="clear" w:color="auto" w:fill="auto"/>
            <w:vAlign w:val="center"/>
          </w:tcPr>
          <w:p w14:paraId="5D7EAA73">
            <w:pPr>
              <w:jc w:val="center"/>
              <w:rPr>
                <w:bCs/>
              </w:rPr>
            </w:pPr>
          </w:p>
        </w:tc>
        <w:tc>
          <w:tcPr>
            <w:tcW w:w="1857" w:type="dxa"/>
            <w:shd w:val="clear" w:color="auto" w:fill="auto"/>
            <w:vAlign w:val="center"/>
          </w:tcPr>
          <w:p w14:paraId="63472B72">
            <w:pPr>
              <w:jc w:val="center"/>
              <w:rPr>
                <w:bCs/>
              </w:rPr>
            </w:pPr>
          </w:p>
        </w:tc>
        <w:tc>
          <w:tcPr>
            <w:tcW w:w="2141" w:type="dxa"/>
            <w:shd w:val="clear" w:color="auto" w:fill="auto"/>
            <w:vAlign w:val="center"/>
          </w:tcPr>
          <w:p w14:paraId="59746898">
            <w:pPr>
              <w:jc w:val="center"/>
              <w:rPr>
                <w:bCs/>
              </w:rPr>
            </w:pPr>
          </w:p>
        </w:tc>
        <w:tc>
          <w:tcPr>
            <w:tcW w:w="951" w:type="dxa"/>
            <w:shd w:val="clear" w:color="auto" w:fill="auto"/>
            <w:vAlign w:val="center"/>
          </w:tcPr>
          <w:p w14:paraId="5FF498C1">
            <w:pPr>
              <w:jc w:val="center"/>
              <w:rPr>
                <w:bCs/>
              </w:rPr>
            </w:pPr>
          </w:p>
        </w:tc>
        <w:tc>
          <w:tcPr>
            <w:tcW w:w="1134" w:type="dxa"/>
            <w:shd w:val="clear" w:color="auto" w:fill="auto"/>
            <w:vAlign w:val="center"/>
          </w:tcPr>
          <w:p w14:paraId="27075CD4">
            <w:pPr>
              <w:jc w:val="center"/>
              <w:rPr>
                <w:bCs/>
              </w:rPr>
            </w:pPr>
          </w:p>
        </w:tc>
      </w:tr>
    </w:tbl>
    <w:p w14:paraId="2BDD04BF">
      <w:pPr>
        <w:pStyle w:val="16"/>
        <w:ind w:firstLine="480"/>
        <w:rPr>
          <w:rFonts w:ascii="Times New Roman" w:hAnsi="Times New Roman" w:eastAsia="仿宋"/>
          <w:bCs/>
        </w:rPr>
      </w:pPr>
    </w:p>
    <w:p w14:paraId="68A57E79">
      <w:pPr>
        <w:spacing w:line="360" w:lineRule="auto"/>
        <w:rPr>
          <w:rFonts w:ascii="宋体" w:hAnsi="宋体" w:cs="仿宋"/>
          <w:sz w:val="24"/>
        </w:rPr>
      </w:pPr>
      <w:r>
        <w:rPr>
          <w:rFonts w:hint="eastAsia" w:ascii="宋体" w:hAnsi="宋体" w:cs="仿宋"/>
          <w:sz w:val="24"/>
        </w:rPr>
        <w:t>投标人名称：</w:t>
      </w:r>
      <w:r>
        <w:rPr>
          <w:rFonts w:hint="eastAsia" w:ascii="宋体" w:hAnsi="宋体" w:cs="仿宋"/>
          <w:sz w:val="24"/>
          <w:u w:val="single"/>
        </w:rPr>
        <w:t xml:space="preserve">                       </w:t>
      </w:r>
      <w:r>
        <w:rPr>
          <w:rFonts w:hint="eastAsia" w:ascii="宋体" w:hAnsi="宋体" w:cs="仿宋"/>
          <w:sz w:val="24"/>
        </w:rPr>
        <w:t xml:space="preserve">（电子签章） </w:t>
      </w:r>
    </w:p>
    <w:p w14:paraId="2FF1CCBD">
      <w:pPr>
        <w:spacing w:line="360" w:lineRule="auto"/>
        <w:rPr>
          <w:rFonts w:ascii="宋体" w:hAnsi="宋体" w:cs="仿宋"/>
          <w:sz w:val="24"/>
        </w:rPr>
      </w:pPr>
      <w:r>
        <w:rPr>
          <w:rFonts w:hint="eastAsia" w:ascii="宋体" w:hAnsi="宋体" w:cs="仿宋"/>
          <w:sz w:val="24"/>
        </w:rPr>
        <w:t>法定代表人或委托代理人：</w:t>
      </w:r>
      <w:r>
        <w:rPr>
          <w:rFonts w:hint="eastAsia" w:ascii="宋体" w:hAnsi="宋体" w:cs="仿宋"/>
          <w:sz w:val="24"/>
          <w:u w:val="single"/>
        </w:rPr>
        <w:t xml:space="preserve">            </w:t>
      </w:r>
      <w:r>
        <w:rPr>
          <w:rFonts w:hint="eastAsia" w:ascii="宋体" w:hAnsi="宋体" w:cs="仿宋"/>
          <w:sz w:val="24"/>
        </w:rPr>
        <w:t>（电子签章）</w:t>
      </w:r>
    </w:p>
    <w:p w14:paraId="6A482DE6">
      <w:pPr>
        <w:spacing w:line="360" w:lineRule="auto"/>
        <w:rPr>
          <w:rFonts w:ascii="宋体" w:hAnsi="宋体" w:cs="仿宋"/>
          <w:sz w:val="24"/>
        </w:rPr>
      </w:pPr>
      <w:r>
        <w:rPr>
          <w:rFonts w:hint="eastAsia" w:ascii="宋体" w:hAnsi="宋体" w:cs="仿宋"/>
          <w:sz w:val="24"/>
        </w:rPr>
        <w:t>日期：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p>
    <w:p w14:paraId="6E15B614">
      <w:pPr>
        <w:pStyle w:val="23"/>
        <w:spacing w:line="360" w:lineRule="auto"/>
        <w:rPr>
          <w:rFonts w:cs="仿宋"/>
        </w:rPr>
      </w:pPr>
      <w:r>
        <w:rPr>
          <w:rFonts w:hint="eastAsia" w:cs="仿宋"/>
        </w:rPr>
        <w:t>说明：</w:t>
      </w:r>
    </w:p>
    <w:p w14:paraId="51F72230">
      <w:pPr>
        <w:pStyle w:val="8"/>
        <w:spacing w:line="360" w:lineRule="auto"/>
        <w:rPr>
          <w:rFonts w:cs="仿宋"/>
        </w:rPr>
      </w:pPr>
      <w:r>
        <w:rPr>
          <w:rFonts w:hint="eastAsia" w:cs="仿宋"/>
        </w:rPr>
        <w:t>1、技术规格存在偏差的必须如实填写本表，否则可能导致投标无效。</w:t>
      </w:r>
    </w:p>
    <w:p w14:paraId="10E76E45">
      <w:pPr>
        <w:pStyle w:val="8"/>
        <w:tabs>
          <w:tab w:val="left" w:pos="720"/>
        </w:tabs>
        <w:spacing w:line="360" w:lineRule="auto"/>
        <w:ind w:left="360" w:hanging="360" w:hangingChars="150"/>
        <w:rPr>
          <w:rFonts w:cs="仿宋"/>
        </w:rPr>
      </w:pPr>
      <w:r>
        <w:rPr>
          <w:rFonts w:hint="eastAsia" w:cs="仿宋"/>
        </w:rPr>
        <w:t>2、投标人在技术规格偏差表下签字确认，未在技术规格偏差表中提出的技术规格偏差，以招标文件规定的为准。</w:t>
      </w:r>
    </w:p>
    <w:p w14:paraId="204D502F">
      <w:pPr>
        <w:pStyle w:val="8"/>
        <w:spacing w:line="360" w:lineRule="auto"/>
        <w:rPr>
          <w:rFonts w:cs="仿宋"/>
        </w:rPr>
      </w:pPr>
      <w:r>
        <w:rPr>
          <w:rFonts w:hint="eastAsia" w:cs="仿宋"/>
        </w:rPr>
        <w:t>3、</w:t>
      </w:r>
      <w:r>
        <w:rPr>
          <w:bCs/>
        </w:rPr>
        <w:t>采购人有权对中标后产品的性能指标技术参数进行核对检验，存在虚假应标谋取中标的将取消其中标资格，同时上报财政主管部门处理。</w:t>
      </w:r>
    </w:p>
    <w:p w14:paraId="469ABAB6">
      <w:pPr>
        <w:pStyle w:val="8"/>
        <w:tabs>
          <w:tab w:val="left" w:pos="720"/>
        </w:tabs>
        <w:spacing w:line="360" w:lineRule="auto"/>
        <w:ind w:left="360" w:hanging="360" w:hangingChars="150"/>
      </w:pPr>
      <w:r>
        <w:rPr>
          <w:rFonts w:hint="eastAsia" w:cs="仿宋"/>
          <w:szCs w:val="21"/>
        </w:rPr>
        <w:t>4、表格最后一列填写参数中要求提供相关证明材料所在投标文件的准确页码，证明材料包括但不限于软件著作权、产品说明书、产品彩页等。</w:t>
      </w:r>
      <w:r>
        <w:br w:type="page"/>
      </w:r>
    </w:p>
    <w:p w14:paraId="6D9A5B2D">
      <w:pPr>
        <w:pStyle w:val="8"/>
        <w:tabs>
          <w:tab w:val="left" w:pos="720"/>
        </w:tabs>
        <w:spacing w:line="360" w:lineRule="auto"/>
        <w:ind w:left="360" w:hanging="360" w:hangingChars="150"/>
        <w:rPr>
          <w:rFonts w:cs="仿宋"/>
        </w:rPr>
      </w:pPr>
    </w:p>
    <w:p w14:paraId="4091C965">
      <w:pPr>
        <w:pStyle w:val="4"/>
        <w:spacing w:line="360" w:lineRule="auto"/>
        <w:ind w:left="0" w:right="76"/>
        <w:jc w:val="center"/>
        <w:rPr>
          <w:rFonts w:ascii="宋体" w:hAnsi="宋体" w:eastAsia="宋体" w:cs="仿宋"/>
          <w:b/>
          <w:bCs/>
          <w:sz w:val="28"/>
          <w:szCs w:val="28"/>
        </w:rPr>
      </w:pPr>
      <w:r>
        <w:rPr>
          <w:rFonts w:hint="eastAsia" w:ascii="宋体" w:hAnsi="宋体" w:eastAsia="宋体" w:cs="仿宋"/>
          <w:b/>
          <w:bCs/>
          <w:sz w:val="28"/>
          <w:szCs w:val="28"/>
        </w:rPr>
        <w:t>五、技术</w:t>
      </w:r>
      <w:r>
        <w:rPr>
          <w:rFonts w:hint="eastAsia" w:ascii="宋体" w:hAnsi="宋体" w:eastAsia="宋体" w:cs="仿宋"/>
          <w:b/>
          <w:bCs/>
          <w:sz w:val="28"/>
          <w:szCs w:val="28"/>
          <w:lang w:val="en-US"/>
        </w:rPr>
        <w:t>方案</w:t>
      </w:r>
      <w:r>
        <w:rPr>
          <w:rFonts w:hint="eastAsia" w:ascii="宋体" w:hAnsi="宋体" w:eastAsia="宋体" w:cs="仿宋"/>
          <w:b/>
          <w:bCs/>
          <w:sz w:val="28"/>
          <w:szCs w:val="28"/>
        </w:rPr>
        <w:t>部分</w:t>
      </w:r>
    </w:p>
    <w:p w14:paraId="33E7F2B2">
      <w:pPr>
        <w:pStyle w:val="13"/>
        <w:spacing w:line="360" w:lineRule="auto"/>
        <w:ind w:left="1063" w:hanging="643"/>
        <w:jc w:val="center"/>
        <w:rPr>
          <w:rFonts w:cs="仿宋"/>
          <w:b/>
          <w:sz w:val="32"/>
        </w:rPr>
      </w:pPr>
      <w:r>
        <w:rPr>
          <w:rFonts w:hint="eastAsia" w:cs="仿宋"/>
          <w:b/>
          <w:sz w:val="32"/>
        </w:rPr>
        <w:t>格式自拟</w:t>
      </w:r>
    </w:p>
    <w:p w14:paraId="645669AF">
      <w:pPr>
        <w:pStyle w:val="39"/>
        <w:spacing w:line="360" w:lineRule="auto"/>
        <w:ind w:firstLine="683"/>
        <w:rPr>
          <w:rFonts w:ascii="宋体" w:hAnsi="宋体" w:cs="仿宋"/>
          <w:b/>
          <w:color w:val="auto"/>
          <w:sz w:val="32"/>
        </w:rPr>
      </w:pPr>
    </w:p>
    <w:p w14:paraId="6221424D">
      <w:pPr>
        <w:pStyle w:val="39"/>
        <w:spacing w:line="360" w:lineRule="auto"/>
        <w:ind w:firstLine="683"/>
        <w:rPr>
          <w:rFonts w:ascii="宋体" w:hAnsi="宋体" w:cs="仿宋"/>
          <w:b/>
          <w:color w:val="auto"/>
          <w:sz w:val="32"/>
        </w:rPr>
      </w:pPr>
    </w:p>
    <w:p w14:paraId="30F97B1C">
      <w:pPr>
        <w:pStyle w:val="39"/>
        <w:spacing w:line="360" w:lineRule="auto"/>
        <w:ind w:firstLine="683"/>
        <w:rPr>
          <w:rFonts w:ascii="宋体" w:hAnsi="宋体" w:cs="仿宋"/>
          <w:b/>
          <w:color w:val="auto"/>
          <w:sz w:val="32"/>
        </w:rPr>
      </w:pPr>
    </w:p>
    <w:p w14:paraId="6DF4B3AA">
      <w:pPr>
        <w:pStyle w:val="39"/>
        <w:spacing w:line="360" w:lineRule="auto"/>
        <w:ind w:firstLine="683"/>
        <w:rPr>
          <w:rFonts w:ascii="宋体" w:hAnsi="宋体" w:cs="仿宋"/>
          <w:b/>
          <w:color w:val="auto"/>
          <w:sz w:val="32"/>
        </w:rPr>
      </w:pPr>
    </w:p>
    <w:p w14:paraId="5F9D806F">
      <w:pPr>
        <w:pStyle w:val="39"/>
        <w:spacing w:line="360" w:lineRule="auto"/>
        <w:ind w:firstLine="683"/>
        <w:rPr>
          <w:rFonts w:ascii="宋体" w:hAnsi="宋体" w:cs="仿宋"/>
          <w:b/>
          <w:color w:val="auto"/>
          <w:sz w:val="32"/>
        </w:rPr>
      </w:pPr>
    </w:p>
    <w:p w14:paraId="38550FF2">
      <w:pPr>
        <w:pStyle w:val="39"/>
        <w:spacing w:line="360" w:lineRule="auto"/>
        <w:ind w:firstLine="683"/>
        <w:rPr>
          <w:rFonts w:ascii="宋体" w:hAnsi="宋体" w:cs="仿宋"/>
          <w:b/>
          <w:color w:val="auto"/>
          <w:sz w:val="32"/>
        </w:rPr>
      </w:pPr>
    </w:p>
    <w:p w14:paraId="325186CA">
      <w:pPr>
        <w:pStyle w:val="39"/>
        <w:spacing w:line="360" w:lineRule="auto"/>
        <w:ind w:firstLine="683"/>
        <w:rPr>
          <w:rFonts w:ascii="宋体" w:hAnsi="宋体" w:cs="仿宋"/>
          <w:b/>
          <w:color w:val="auto"/>
          <w:sz w:val="32"/>
        </w:rPr>
      </w:pPr>
    </w:p>
    <w:p w14:paraId="7CACBEFB">
      <w:pPr>
        <w:pStyle w:val="39"/>
        <w:spacing w:line="360" w:lineRule="auto"/>
        <w:ind w:firstLine="683"/>
        <w:rPr>
          <w:rFonts w:ascii="宋体" w:hAnsi="宋体" w:cs="仿宋"/>
          <w:b/>
          <w:color w:val="auto"/>
          <w:sz w:val="32"/>
        </w:rPr>
      </w:pPr>
    </w:p>
    <w:p w14:paraId="0A27ADF4">
      <w:pPr>
        <w:pStyle w:val="39"/>
        <w:spacing w:line="360" w:lineRule="auto"/>
        <w:ind w:firstLine="683"/>
        <w:rPr>
          <w:rFonts w:ascii="宋体" w:hAnsi="宋体" w:cs="仿宋"/>
          <w:b/>
          <w:color w:val="auto"/>
          <w:sz w:val="32"/>
        </w:rPr>
      </w:pPr>
    </w:p>
    <w:p w14:paraId="2F492C67">
      <w:pPr>
        <w:pStyle w:val="39"/>
        <w:spacing w:line="360" w:lineRule="auto"/>
        <w:ind w:firstLine="683"/>
        <w:rPr>
          <w:rFonts w:ascii="宋体" w:hAnsi="宋体" w:cs="仿宋"/>
          <w:b/>
          <w:color w:val="auto"/>
          <w:sz w:val="32"/>
        </w:rPr>
      </w:pPr>
    </w:p>
    <w:p w14:paraId="25393F31">
      <w:pPr>
        <w:pStyle w:val="39"/>
        <w:spacing w:line="360" w:lineRule="auto"/>
        <w:ind w:firstLine="683"/>
        <w:rPr>
          <w:rFonts w:ascii="宋体" w:hAnsi="宋体" w:cs="仿宋"/>
          <w:b/>
          <w:color w:val="auto"/>
          <w:sz w:val="32"/>
        </w:rPr>
      </w:pPr>
    </w:p>
    <w:p w14:paraId="2039F120">
      <w:pPr>
        <w:pStyle w:val="39"/>
        <w:spacing w:line="360" w:lineRule="auto"/>
        <w:ind w:firstLine="683"/>
        <w:rPr>
          <w:rFonts w:ascii="宋体" w:hAnsi="宋体" w:cs="仿宋"/>
          <w:b/>
          <w:color w:val="auto"/>
          <w:sz w:val="32"/>
        </w:rPr>
      </w:pPr>
    </w:p>
    <w:p w14:paraId="69E4268C">
      <w:pPr>
        <w:pStyle w:val="39"/>
        <w:spacing w:line="360" w:lineRule="auto"/>
        <w:ind w:firstLine="683"/>
        <w:rPr>
          <w:rFonts w:ascii="宋体" w:hAnsi="宋体" w:cs="仿宋"/>
          <w:b/>
          <w:color w:val="auto"/>
          <w:sz w:val="32"/>
        </w:rPr>
      </w:pPr>
    </w:p>
    <w:p w14:paraId="70A7C576">
      <w:pPr>
        <w:pStyle w:val="39"/>
        <w:spacing w:line="360" w:lineRule="auto"/>
        <w:ind w:firstLine="683"/>
        <w:rPr>
          <w:rFonts w:ascii="宋体" w:hAnsi="宋体" w:cs="仿宋"/>
          <w:b/>
          <w:color w:val="auto"/>
          <w:sz w:val="32"/>
        </w:rPr>
      </w:pPr>
    </w:p>
    <w:p w14:paraId="6F4F42B0">
      <w:pPr>
        <w:pStyle w:val="39"/>
        <w:spacing w:line="360" w:lineRule="auto"/>
        <w:ind w:firstLine="683"/>
        <w:rPr>
          <w:rFonts w:ascii="宋体" w:hAnsi="宋体" w:cs="仿宋"/>
          <w:b/>
          <w:color w:val="auto"/>
          <w:sz w:val="32"/>
        </w:rPr>
      </w:pPr>
    </w:p>
    <w:p w14:paraId="4EBE5FD5">
      <w:pPr>
        <w:pStyle w:val="39"/>
        <w:spacing w:line="360" w:lineRule="auto"/>
        <w:ind w:firstLine="683"/>
        <w:rPr>
          <w:rFonts w:ascii="宋体" w:hAnsi="宋体" w:cs="仿宋"/>
          <w:b/>
          <w:color w:val="auto"/>
          <w:sz w:val="32"/>
        </w:rPr>
      </w:pPr>
    </w:p>
    <w:p w14:paraId="786F5EFE">
      <w:pPr>
        <w:pStyle w:val="39"/>
        <w:spacing w:line="360" w:lineRule="auto"/>
        <w:ind w:firstLine="683"/>
        <w:rPr>
          <w:rFonts w:ascii="宋体" w:hAnsi="宋体" w:cs="仿宋"/>
          <w:b/>
          <w:color w:val="auto"/>
          <w:sz w:val="32"/>
        </w:rPr>
      </w:pPr>
    </w:p>
    <w:p w14:paraId="639C36B3">
      <w:pPr>
        <w:pStyle w:val="39"/>
        <w:spacing w:line="360" w:lineRule="auto"/>
        <w:ind w:firstLine="683"/>
        <w:rPr>
          <w:rFonts w:ascii="宋体" w:hAnsi="宋体" w:cs="仿宋"/>
          <w:b/>
          <w:color w:val="auto"/>
          <w:sz w:val="32"/>
        </w:rPr>
      </w:pPr>
    </w:p>
    <w:p w14:paraId="7AEB57C0">
      <w:pPr>
        <w:spacing w:line="360" w:lineRule="auto"/>
        <w:jc w:val="center"/>
        <w:rPr>
          <w:rFonts w:ascii="宋体" w:hAnsi="宋体" w:cs="仿宋"/>
          <w:b/>
          <w:bCs/>
          <w:sz w:val="32"/>
          <w:szCs w:val="32"/>
        </w:rPr>
      </w:pPr>
    </w:p>
    <w:p w14:paraId="31926214">
      <w:pPr>
        <w:pStyle w:val="4"/>
        <w:spacing w:line="360" w:lineRule="auto"/>
        <w:ind w:left="0" w:right="76"/>
        <w:jc w:val="center"/>
        <w:rPr>
          <w:rFonts w:ascii="宋体" w:hAnsi="宋体" w:eastAsia="宋体" w:cs="仿宋"/>
          <w:b/>
          <w:bCs/>
          <w:sz w:val="28"/>
          <w:szCs w:val="28"/>
        </w:rPr>
      </w:pPr>
      <w:r>
        <w:rPr>
          <w:rFonts w:hint="eastAsia" w:ascii="宋体" w:hAnsi="宋体" w:eastAsia="宋体" w:cs="仿宋"/>
          <w:b/>
          <w:bCs/>
          <w:sz w:val="28"/>
          <w:szCs w:val="28"/>
        </w:rPr>
        <w:t>六、</w:t>
      </w:r>
      <w:bookmarkEnd w:id="168"/>
      <w:bookmarkEnd w:id="169"/>
      <w:r>
        <w:rPr>
          <w:rFonts w:hint="eastAsia" w:ascii="宋体" w:hAnsi="宋体" w:eastAsia="宋体" w:cs="仿宋"/>
          <w:b/>
          <w:bCs/>
          <w:sz w:val="28"/>
          <w:szCs w:val="28"/>
        </w:rPr>
        <w:t>业绩一览表</w:t>
      </w:r>
    </w:p>
    <w:tbl>
      <w:tblPr>
        <w:tblStyle w:val="27"/>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8"/>
        <w:gridCol w:w="6151"/>
      </w:tblGrid>
      <w:tr w14:paraId="10E9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388" w:type="dxa"/>
            <w:vAlign w:val="center"/>
          </w:tcPr>
          <w:p w14:paraId="57C96085">
            <w:pPr>
              <w:topLinePunct/>
              <w:spacing w:line="360" w:lineRule="auto"/>
              <w:jc w:val="center"/>
              <w:rPr>
                <w:rFonts w:ascii="宋体" w:hAnsi="宋体" w:cs="仿宋"/>
                <w:sz w:val="24"/>
              </w:rPr>
            </w:pPr>
            <w:r>
              <w:rPr>
                <w:rFonts w:hint="eastAsia" w:ascii="宋体" w:hAnsi="宋体" w:cs="仿宋"/>
                <w:sz w:val="24"/>
              </w:rPr>
              <w:t>类似业绩项目名称</w:t>
            </w:r>
          </w:p>
        </w:tc>
        <w:tc>
          <w:tcPr>
            <w:tcW w:w="6151" w:type="dxa"/>
          </w:tcPr>
          <w:p w14:paraId="6388C48D">
            <w:pPr>
              <w:topLinePunct/>
              <w:spacing w:line="360" w:lineRule="auto"/>
              <w:rPr>
                <w:rFonts w:ascii="宋体" w:hAnsi="宋体" w:cs="仿宋"/>
                <w:sz w:val="24"/>
              </w:rPr>
            </w:pPr>
          </w:p>
        </w:tc>
      </w:tr>
      <w:tr w14:paraId="07AC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388" w:type="dxa"/>
            <w:vAlign w:val="center"/>
          </w:tcPr>
          <w:p w14:paraId="605CE0D7">
            <w:pPr>
              <w:topLinePunct/>
              <w:spacing w:line="360" w:lineRule="auto"/>
              <w:jc w:val="center"/>
              <w:rPr>
                <w:rFonts w:ascii="宋体" w:hAnsi="宋体" w:cs="仿宋"/>
                <w:sz w:val="24"/>
              </w:rPr>
            </w:pPr>
            <w:r>
              <w:rPr>
                <w:rFonts w:hint="eastAsia" w:ascii="宋体" w:hAnsi="宋体" w:cs="仿宋"/>
                <w:sz w:val="24"/>
              </w:rPr>
              <w:t>项目所在地</w:t>
            </w:r>
          </w:p>
        </w:tc>
        <w:tc>
          <w:tcPr>
            <w:tcW w:w="6151" w:type="dxa"/>
          </w:tcPr>
          <w:p w14:paraId="662A813A">
            <w:pPr>
              <w:topLinePunct/>
              <w:spacing w:line="360" w:lineRule="auto"/>
              <w:rPr>
                <w:rFonts w:ascii="宋体" w:hAnsi="宋体" w:cs="仿宋"/>
                <w:sz w:val="24"/>
              </w:rPr>
            </w:pPr>
          </w:p>
        </w:tc>
      </w:tr>
      <w:tr w14:paraId="4C3F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388" w:type="dxa"/>
            <w:vAlign w:val="center"/>
          </w:tcPr>
          <w:p w14:paraId="00F20F95">
            <w:pPr>
              <w:topLinePunct/>
              <w:spacing w:line="360" w:lineRule="auto"/>
              <w:jc w:val="center"/>
              <w:rPr>
                <w:rFonts w:ascii="宋体" w:hAnsi="宋体" w:cs="仿宋"/>
                <w:sz w:val="24"/>
              </w:rPr>
            </w:pPr>
            <w:r>
              <w:rPr>
                <w:rFonts w:hint="eastAsia" w:ascii="宋体" w:hAnsi="宋体" w:cs="仿宋"/>
                <w:sz w:val="24"/>
              </w:rPr>
              <w:t>发包人名称</w:t>
            </w:r>
          </w:p>
        </w:tc>
        <w:tc>
          <w:tcPr>
            <w:tcW w:w="6151" w:type="dxa"/>
          </w:tcPr>
          <w:p w14:paraId="614C6EB0">
            <w:pPr>
              <w:topLinePunct/>
              <w:spacing w:line="360" w:lineRule="auto"/>
              <w:rPr>
                <w:rFonts w:ascii="宋体" w:hAnsi="宋体" w:cs="仿宋"/>
                <w:sz w:val="24"/>
              </w:rPr>
            </w:pPr>
          </w:p>
        </w:tc>
      </w:tr>
      <w:tr w14:paraId="4828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388" w:type="dxa"/>
            <w:vAlign w:val="center"/>
          </w:tcPr>
          <w:p w14:paraId="344E866C">
            <w:pPr>
              <w:topLinePunct/>
              <w:spacing w:line="360" w:lineRule="auto"/>
              <w:jc w:val="center"/>
              <w:rPr>
                <w:rFonts w:ascii="宋体" w:hAnsi="宋体" w:cs="仿宋"/>
                <w:sz w:val="24"/>
              </w:rPr>
            </w:pPr>
            <w:r>
              <w:rPr>
                <w:rFonts w:hint="eastAsia" w:ascii="宋体" w:hAnsi="宋体" w:cs="仿宋"/>
                <w:sz w:val="24"/>
              </w:rPr>
              <w:t>发包人地址</w:t>
            </w:r>
          </w:p>
        </w:tc>
        <w:tc>
          <w:tcPr>
            <w:tcW w:w="6151" w:type="dxa"/>
          </w:tcPr>
          <w:p w14:paraId="4387B49A">
            <w:pPr>
              <w:topLinePunct/>
              <w:spacing w:line="360" w:lineRule="auto"/>
              <w:rPr>
                <w:rFonts w:ascii="宋体" w:hAnsi="宋体" w:cs="仿宋"/>
                <w:sz w:val="24"/>
              </w:rPr>
            </w:pPr>
          </w:p>
        </w:tc>
      </w:tr>
      <w:tr w14:paraId="35ED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388" w:type="dxa"/>
            <w:vAlign w:val="center"/>
          </w:tcPr>
          <w:p w14:paraId="4CA5AB66">
            <w:pPr>
              <w:topLinePunct/>
              <w:spacing w:line="360" w:lineRule="auto"/>
              <w:jc w:val="center"/>
              <w:rPr>
                <w:rFonts w:ascii="宋体" w:hAnsi="宋体" w:cs="仿宋"/>
                <w:sz w:val="24"/>
              </w:rPr>
            </w:pPr>
            <w:r>
              <w:rPr>
                <w:rFonts w:hint="eastAsia" w:ascii="宋体" w:hAnsi="宋体" w:cs="仿宋"/>
                <w:sz w:val="24"/>
              </w:rPr>
              <w:t>发包人电话</w:t>
            </w:r>
          </w:p>
        </w:tc>
        <w:tc>
          <w:tcPr>
            <w:tcW w:w="6151" w:type="dxa"/>
          </w:tcPr>
          <w:p w14:paraId="0AAD5049">
            <w:pPr>
              <w:topLinePunct/>
              <w:spacing w:line="360" w:lineRule="auto"/>
              <w:rPr>
                <w:rFonts w:ascii="宋体" w:hAnsi="宋体" w:cs="仿宋"/>
                <w:sz w:val="24"/>
              </w:rPr>
            </w:pPr>
          </w:p>
        </w:tc>
      </w:tr>
      <w:tr w14:paraId="2D0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388" w:type="dxa"/>
            <w:vAlign w:val="center"/>
          </w:tcPr>
          <w:p w14:paraId="792DC5AE">
            <w:pPr>
              <w:topLinePunct/>
              <w:spacing w:line="360" w:lineRule="auto"/>
              <w:jc w:val="center"/>
              <w:rPr>
                <w:rFonts w:ascii="宋体" w:hAnsi="宋体" w:cs="仿宋"/>
                <w:sz w:val="24"/>
              </w:rPr>
            </w:pPr>
            <w:r>
              <w:rPr>
                <w:rFonts w:hint="eastAsia" w:ascii="宋体" w:hAnsi="宋体" w:cs="仿宋"/>
                <w:sz w:val="24"/>
              </w:rPr>
              <w:t>项目负责人</w:t>
            </w:r>
          </w:p>
        </w:tc>
        <w:tc>
          <w:tcPr>
            <w:tcW w:w="6151" w:type="dxa"/>
          </w:tcPr>
          <w:p w14:paraId="6C059400">
            <w:pPr>
              <w:topLinePunct/>
              <w:spacing w:line="360" w:lineRule="auto"/>
              <w:rPr>
                <w:rFonts w:ascii="宋体" w:hAnsi="宋体" w:cs="仿宋"/>
                <w:sz w:val="24"/>
              </w:rPr>
            </w:pPr>
          </w:p>
        </w:tc>
      </w:tr>
      <w:tr w14:paraId="0B04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388" w:type="dxa"/>
            <w:vAlign w:val="center"/>
          </w:tcPr>
          <w:p w14:paraId="377E501F">
            <w:pPr>
              <w:topLinePunct/>
              <w:spacing w:line="360" w:lineRule="auto"/>
              <w:jc w:val="center"/>
              <w:rPr>
                <w:rFonts w:ascii="宋体" w:hAnsi="宋体" w:cs="仿宋"/>
                <w:sz w:val="24"/>
              </w:rPr>
            </w:pPr>
            <w:r>
              <w:rPr>
                <w:rFonts w:hint="eastAsia" w:ascii="宋体" w:hAnsi="宋体" w:cs="仿宋"/>
                <w:sz w:val="24"/>
              </w:rPr>
              <w:t>合同价格</w:t>
            </w:r>
          </w:p>
        </w:tc>
        <w:tc>
          <w:tcPr>
            <w:tcW w:w="6151" w:type="dxa"/>
          </w:tcPr>
          <w:p w14:paraId="03D48524">
            <w:pPr>
              <w:topLinePunct/>
              <w:spacing w:line="360" w:lineRule="auto"/>
              <w:rPr>
                <w:rFonts w:ascii="宋体" w:hAnsi="宋体" w:cs="仿宋"/>
                <w:sz w:val="24"/>
              </w:rPr>
            </w:pPr>
          </w:p>
        </w:tc>
      </w:tr>
      <w:tr w14:paraId="3520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388" w:type="dxa"/>
            <w:vAlign w:val="center"/>
          </w:tcPr>
          <w:p w14:paraId="413016D4">
            <w:pPr>
              <w:topLinePunct/>
              <w:spacing w:line="360" w:lineRule="auto"/>
              <w:jc w:val="center"/>
              <w:rPr>
                <w:rFonts w:ascii="宋体" w:hAnsi="宋体" w:cs="仿宋"/>
                <w:sz w:val="24"/>
              </w:rPr>
            </w:pPr>
            <w:r>
              <w:rPr>
                <w:rFonts w:hint="eastAsia" w:ascii="宋体" w:hAnsi="宋体" w:cs="仿宋"/>
                <w:sz w:val="24"/>
              </w:rPr>
              <w:t>合同签订日期</w:t>
            </w:r>
          </w:p>
        </w:tc>
        <w:tc>
          <w:tcPr>
            <w:tcW w:w="6151" w:type="dxa"/>
          </w:tcPr>
          <w:p w14:paraId="6CE8AC23">
            <w:pPr>
              <w:topLinePunct/>
              <w:spacing w:line="360" w:lineRule="auto"/>
              <w:rPr>
                <w:rFonts w:ascii="宋体" w:hAnsi="宋体" w:cs="仿宋"/>
                <w:sz w:val="24"/>
              </w:rPr>
            </w:pPr>
          </w:p>
        </w:tc>
      </w:tr>
      <w:tr w14:paraId="56F0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388" w:type="dxa"/>
            <w:vAlign w:val="center"/>
          </w:tcPr>
          <w:p w14:paraId="42C6C5AB">
            <w:pPr>
              <w:topLinePunct/>
              <w:spacing w:line="360" w:lineRule="auto"/>
              <w:jc w:val="center"/>
              <w:rPr>
                <w:rFonts w:ascii="宋体" w:hAnsi="宋体" w:cs="仿宋"/>
                <w:sz w:val="24"/>
              </w:rPr>
            </w:pPr>
            <w:r>
              <w:rPr>
                <w:rFonts w:hint="eastAsia" w:ascii="宋体" w:hAnsi="宋体" w:cs="仿宋"/>
                <w:sz w:val="24"/>
              </w:rPr>
              <w:t>验收日期</w:t>
            </w:r>
          </w:p>
        </w:tc>
        <w:tc>
          <w:tcPr>
            <w:tcW w:w="6151" w:type="dxa"/>
          </w:tcPr>
          <w:p w14:paraId="5E9A0CFB">
            <w:pPr>
              <w:topLinePunct/>
              <w:spacing w:line="360" w:lineRule="auto"/>
              <w:rPr>
                <w:rFonts w:ascii="宋体" w:hAnsi="宋体" w:cs="仿宋"/>
                <w:sz w:val="24"/>
              </w:rPr>
            </w:pPr>
          </w:p>
        </w:tc>
      </w:tr>
      <w:tr w14:paraId="7336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388" w:type="dxa"/>
            <w:vAlign w:val="center"/>
          </w:tcPr>
          <w:p w14:paraId="73D5F111">
            <w:pPr>
              <w:topLinePunct/>
              <w:spacing w:line="360" w:lineRule="auto"/>
              <w:jc w:val="center"/>
              <w:rPr>
                <w:rFonts w:ascii="宋体" w:hAnsi="宋体" w:cs="仿宋"/>
                <w:sz w:val="24"/>
              </w:rPr>
            </w:pPr>
            <w:r>
              <w:rPr>
                <w:rFonts w:hint="eastAsia" w:ascii="宋体" w:hAnsi="宋体" w:cs="仿宋"/>
                <w:sz w:val="24"/>
              </w:rPr>
              <w:t>类似业绩的中标公示官方查询媒体</w:t>
            </w:r>
          </w:p>
        </w:tc>
        <w:tc>
          <w:tcPr>
            <w:tcW w:w="6151" w:type="dxa"/>
          </w:tcPr>
          <w:p w14:paraId="718E17E0">
            <w:pPr>
              <w:topLinePunct/>
              <w:spacing w:line="360" w:lineRule="auto"/>
              <w:rPr>
                <w:rFonts w:ascii="宋体" w:hAnsi="宋体" w:cs="仿宋"/>
                <w:sz w:val="24"/>
              </w:rPr>
            </w:pPr>
          </w:p>
        </w:tc>
      </w:tr>
      <w:tr w14:paraId="6331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388" w:type="dxa"/>
            <w:vAlign w:val="center"/>
          </w:tcPr>
          <w:p w14:paraId="1E04B12B">
            <w:pPr>
              <w:spacing w:line="360" w:lineRule="auto"/>
              <w:jc w:val="center"/>
              <w:rPr>
                <w:rFonts w:ascii="宋体" w:hAnsi="宋体" w:cs="仿宋"/>
                <w:sz w:val="24"/>
              </w:rPr>
            </w:pPr>
            <w:r>
              <w:rPr>
                <w:rFonts w:hint="eastAsia" w:ascii="宋体" w:hAnsi="宋体" w:cs="仿宋"/>
                <w:sz w:val="24"/>
              </w:rPr>
              <w:t>备注</w:t>
            </w:r>
          </w:p>
        </w:tc>
        <w:tc>
          <w:tcPr>
            <w:tcW w:w="6151" w:type="dxa"/>
          </w:tcPr>
          <w:p w14:paraId="350D8847">
            <w:pPr>
              <w:topLinePunct/>
              <w:spacing w:line="360" w:lineRule="auto"/>
              <w:rPr>
                <w:rFonts w:ascii="宋体" w:hAnsi="宋体" w:cs="仿宋"/>
                <w:sz w:val="24"/>
              </w:rPr>
            </w:pPr>
          </w:p>
        </w:tc>
      </w:tr>
    </w:tbl>
    <w:p w14:paraId="09B10725">
      <w:pPr>
        <w:pStyle w:val="39"/>
        <w:spacing w:line="360" w:lineRule="auto"/>
        <w:ind w:firstLine="522"/>
        <w:rPr>
          <w:rFonts w:ascii="宋体" w:hAnsi="宋体" w:cs="仿宋"/>
          <w:b/>
          <w:color w:val="auto"/>
        </w:rPr>
      </w:pPr>
    </w:p>
    <w:p w14:paraId="676BBA1B">
      <w:pPr>
        <w:pStyle w:val="39"/>
        <w:spacing w:line="360" w:lineRule="auto"/>
        <w:ind w:firstLine="522"/>
        <w:rPr>
          <w:rFonts w:ascii="宋体" w:hAnsi="宋体" w:cs="仿宋"/>
          <w:b/>
          <w:color w:val="auto"/>
        </w:rPr>
      </w:pPr>
    </w:p>
    <w:p w14:paraId="2ACF8955">
      <w:pPr>
        <w:spacing w:line="360" w:lineRule="auto"/>
        <w:rPr>
          <w:rFonts w:ascii="宋体" w:hAnsi="宋体" w:cs="仿宋"/>
          <w:b/>
          <w:bCs/>
          <w:sz w:val="24"/>
        </w:rPr>
      </w:pPr>
      <w:r>
        <w:rPr>
          <w:rFonts w:hint="eastAsia" w:ascii="宋体" w:hAnsi="宋体" w:cs="仿宋"/>
          <w:b/>
          <w:bCs/>
          <w:sz w:val="24"/>
        </w:rPr>
        <w:t>注：每个类似项目业绩需单独填表、完整填写，并后附类似项目业绩其它证明材料。</w:t>
      </w:r>
    </w:p>
    <w:p w14:paraId="76D44E74">
      <w:pPr>
        <w:spacing w:line="540" w:lineRule="exact"/>
        <w:ind w:firstLine="556"/>
        <w:jc w:val="center"/>
        <w:rPr>
          <w:rFonts w:ascii="宋体" w:hAnsi="宋体" w:cs="仿宋"/>
          <w:b/>
          <w:bCs/>
          <w:sz w:val="28"/>
          <w:szCs w:val="28"/>
        </w:rPr>
      </w:pPr>
    </w:p>
    <w:p w14:paraId="49D2AA68">
      <w:pPr>
        <w:spacing w:line="540" w:lineRule="exact"/>
        <w:ind w:firstLine="556"/>
        <w:jc w:val="center"/>
        <w:rPr>
          <w:rFonts w:ascii="宋体" w:hAnsi="宋体" w:cs="仿宋"/>
          <w:b/>
          <w:bCs/>
          <w:sz w:val="28"/>
          <w:szCs w:val="28"/>
        </w:rPr>
      </w:pPr>
    </w:p>
    <w:bookmarkEnd w:id="165"/>
    <w:bookmarkEnd w:id="166"/>
    <w:p w14:paraId="00ABB980">
      <w:pPr>
        <w:spacing w:line="540" w:lineRule="exact"/>
        <w:ind w:firstLine="556"/>
        <w:jc w:val="center"/>
        <w:rPr>
          <w:rFonts w:ascii="宋体" w:hAnsi="宋体" w:cs="仿宋"/>
          <w:b/>
          <w:bCs/>
          <w:sz w:val="28"/>
          <w:szCs w:val="28"/>
        </w:rPr>
      </w:pPr>
    </w:p>
    <w:p w14:paraId="2C715367">
      <w:pPr>
        <w:widowControl/>
        <w:jc w:val="left"/>
        <w:rPr>
          <w:rFonts w:ascii="宋体" w:hAnsi="宋体" w:cs="仿宋"/>
          <w:b/>
          <w:bCs/>
          <w:sz w:val="28"/>
          <w:szCs w:val="28"/>
        </w:rPr>
      </w:pPr>
      <w:r>
        <w:rPr>
          <w:rFonts w:ascii="宋体" w:hAnsi="宋体" w:cs="仿宋"/>
          <w:b/>
          <w:bCs/>
          <w:sz w:val="28"/>
          <w:szCs w:val="28"/>
        </w:rPr>
        <w:br w:type="page"/>
      </w:r>
    </w:p>
    <w:p w14:paraId="04F584BF">
      <w:pPr>
        <w:pStyle w:val="4"/>
        <w:spacing w:line="360" w:lineRule="auto"/>
        <w:ind w:left="0" w:right="76"/>
        <w:jc w:val="center"/>
        <w:rPr>
          <w:rFonts w:ascii="宋体" w:hAnsi="宋体" w:eastAsia="宋体" w:cs="仿宋"/>
          <w:b/>
          <w:bCs/>
          <w:sz w:val="28"/>
          <w:szCs w:val="28"/>
        </w:rPr>
      </w:pPr>
      <w:r>
        <w:rPr>
          <w:rFonts w:hint="eastAsia" w:ascii="宋体" w:hAnsi="宋体" w:eastAsia="宋体" w:cs="仿宋"/>
          <w:b/>
          <w:bCs/>
          <w:sz w:val="28"/>
          <w:szCs w:val="28"/>
        </w:rPr>
        <w:t>七、资格审查资料</w:t>
      </w:r>
    </w:p>
    <w:p w14:paraId="59F25433">
      <w:pPr>
        <w:pStyle w:val="25"/>
        <w:spacing w:line="360" w:lineRule="auto"/>
        <w:ind w:firstLine="0" w:firstLineChars="0"/>
        <w:jc w:val="center"/>
        <w:rPr>
          <w:rFonts w:ascii="宋体" w:hAnsi="宋体" w:cs="仿宋"/>
          <w:b/>
          <w:sz w:val="32"/>
          <w:szCs w:val="32"/>
          <w:lang w:val="en-US"/>
        </w:rPr>
      </w:pPr>
      <w:r>
        <w:rPr>
          <w:rFonts w:hint="eastAsia" w:ascii="宋体" w:hAnsi="宋体" w:cs="仿宋"/>
          <w:b/>
          <w:sz w:val="32"/>
          <w:szCs w:val="32"/>
          <w:lang w:val="en-US"/>
        </w:rPr>
        <w:t>（一）投标人基本情况表</w:t>
      </w:r>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4"/>
        <w:gridCol w:w="2934"/>
        <w:gridCol w:w="143"/>
        <w:gridCol w:w="1256"/>
        <w:gridCol w:w="201"/>
        <w:gridCol w:w="3284"/>
      </w:tblGrid>
      <w:tr w14:paraId="2D02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724" w:type="dxa"/>
            <w:vAlign w:val="center"/>
          </w:tcPr>
          <w:p w14:paraId="409506F0">
            <w:pPr>
              <w:spacing w:line="360" w:lineRule="auto"/>
              <w:jc w:val="center"/>
              <w:rPr>
                <w:rFonts w:ascii="宋体" w:hAnsi="宋体" w:cs="仿宋"/>
                <w:sz w:val="24"/>
              </w:rPr>
            </w:pPr>
            <w:r>
              <w:rPr>
                <w:rFonts w:hint="eastAsia" w:ascii="宋体" w:hAnsi="宋体" w:cs="仿宋"/>
                <w:sz w:val="24"/>
              </w:rPr>
              <w:t>投标人名称</w:t>
            </w:r>
          </w:p>
        </w:tc>
        <w:tc>
          <w:tcPr>
            <w:tcW w:w="3076" w:type="dxa"/>
            <w:gridSpan w:val="2"/>
            <w:vAlign w:val="center"/>
          </w:tcPr>
          <w:p w14:paraId="3037F9EF">
            <w:pPr>
              <w:spacing w:line="360" w:lineRule="auto"/>
              <w:jc w:val="center"/>
              <w:rPr>
                <w:rFonts w:ascii="宋体" w:hAnsi="宋体" w:cs="仿宋"/>
                <w:sz w:val="24"/>
              </w:rPr>
            </w:pPr>
          </w:p>
        </w:tc>
        <w:tc>
          <w:tcPr>
            <w:tcW w:w="1457" w:type="dxa"/>
            <w:gridSpan w:val="2"/>
            <w:vAlign w:val="center"/>
          </w:tcPr>
          <w:p w14:paraId="6E7C0A02">
            <w:pPr>
              <w:spacing w:line="360" w:lineRule="auto"/>
              <w:jc w:val="center"/>
              <w:rPr>
                <w:rFonts w:ascii="宋体" w:hAnsi="宋体" w:cs="仿宋"/>
                <w:sz w:val="24"/>
              </w:rPr>
            </w:pPr>
            <w:r>
              <w:rPr>
                <w:rFonts w:hint="eastAsia" w:ascii="宋体" w:hAnsi="宋体" w:cs="仿宋"/>
                <w:sz w:val="24"/>
              </w:rPr>
              <w:t>成立日期</w:t>
            </w:r>
          </w:p>
        </w:tc>
        <w:tc>
          <w:tcPr>
            <w:tcW w:w="3283" w:type="dxa"/>
            <w:vAlign w:val="center"/>
          </w:tcPr>
          <w:p w14:paraId="2798D3CF">
            <w:pPr>
              <w:spacing w:line="360" w:lineRule="auto"/>
              <w:jc w:val="center"/>
              <w:rPr>
                <w:rFonts w:ascii="宋体" w:hAnsi="宋体" w:cs="仿宋"/>
                <w:sz w:val="24"/>
              </w:rPr>
            </w:pPr>
          </w:p>
        </w:tc>
      </w:tr>
      <w:tr w14:paraId="44EC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4801" w:type="dxa"/>
            <w:gridSpan w:val="3"/>
            <w:vAlign w:val="center"/>
          </w:tcPr>
          <w:p w14:paraId="4F50FF31">
            <w:pPr>
              <w:spacing w:line="360" w:lineRule="auto"/>
              <w:jc w:val="center"/>
              <w:rPr>
                <w:rFonts w:ascii="宋体" w:hAnsi="宋体" w:cs="仿宋"/>
                <w:sz w:val="24"/>
              </w:rPr>
            </w:pPr>
            <w:r>
              <w:rPr>
                <w:rFonts w:hint="eastAsia" w:ascii="宋体" w:hAnsi="宋体" w:cs="仿宋"/>
                <w:sz w:val="24"/>
              </w:rPr>
              <w:t>企业法人统一社会信用代码</w:t>
            </w:r>
          </w:p>
        </w:tc>
        <w:tc>
          <w:tcPr>
            <w:tcW w:w="4741" w:type="dxa"/>
            <w:gridSpan w:val="3"/>
            <w:vAlign w:val="center"/>
          </w:tcPr>
          <w:p w14:paraId="715AD6BC">
            <w:pPr>
              <w:spacing w:line="360" w:lineRule="auto"/>
              <w:jc w:val="center"/>
              <w:rPr>
                <w:rFonts w:ascii="宋体" w:hAnsi="宋体" w:cs="仿宋"/>
                <w:sz w:val="24"/>
              </w:rPr>
            </w:pPr>
          </w:p>
        </w:tc>
      </w:tr>
      <w:tr w14:paraId="13AE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4801" w:type="dxa"/>
            <w:gridSpan w:val="3"/>
            <w:vAlign w:val="center"/>
          </w:tcPr>
          <w:p w14:paraId="4F322ABA">
            <w:pPr>
              <w:spacing w:line="360" w:lineRule="auto"/>
              <w:jc w:val="center"/>
              <w:rPr>
                <w:rFonts w:ascii="宋体" w:hAnsi="宋体" w:cs="仿宋"/>
                <w:sz w:val="24"/>
              </w:rPr>
            </w:pPr>
            <w:r>
              <w:rPr>
                <w:rFonts w:hint="eastAsia" w:ascii="宋体" w:hAnsi="宋体" w:cs="仿宋"/>
                <w:sz w:val="24"/>
              </w:rPr>
              <w:t>批准登记机关</w:t>
            </w:r>
          </w:p>
        </w:tc>
        <w:tc>
          <w:tcPr>
            <w:tcW w:w="4741" w:type="dxa"/>
            <w:gridSpan w:val="3"/>
            <w:vAlign w:val="center"/>
          </w:tcPr>
          <w:p w14:paraId="529E0839">
            <w:pPr>
              <w:spacing w:line="360" w:lineRule="auto"/>
              <w:jc w:val="center"/>
              <w:rPr>
                <w:rFonts w:ascii="宋体" w:hAnsi="宋体" w:cs="仿宋"/>
                <w:sz w:val="24"/>
              </w:rPr>
            </w:pPr>
          </w:p>
        </w:tc>
      </w:tr>
      <w:tr w14:paraId="0A85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724" w:type="dxa"/>
            <w:vAlign w:val="center"/>
          </w:tcPr>
          <w:p w14:paraId="1FDB329F">
            <w:pPr>
              <w:spacing w:line="360" w:lineRule="auto"/>
              <w:jc w:val="center"/>
              <w:rPr>
                <w:rFonts w:ascii="宋体" w:hAnsi="宋体" w:cs="仿宋"/>
                <w:sz w:val="24"/>
              </w:rPr>
            </w:pPr>
            <w:r>
              <w:rPr>
                <w:rFonts w:hint="eastAsia" w:ascii="宋体" w:hAnsi="宋体" w:cs="仿宋"/>
                <w:sz w:val="24"/>
              </w:rPr>
              <w:t>注册资本</w:t>
            </w:r>
          </w:p>
        </w:tc>
        <w:tc>
          <w:tcPr>
            <w:tcW w:w="7818" w:type="dxa"/>
            <w:gridSpan w:val="5"/>
            <w:vAlign w:val="center"/>
          </w:tcPr>
          <w:p w14:paraId="3731BF53">
            <w:pPr>
              <w:spacing w:line="360" w:lineRule="auto"/>
              <w:jc w:val="center"/>
              <w:rPr>
                <w:rFonts w:ascii="宋体" w:hAnsi="宋体" w:cs="仿宋"/>
                <w:sz w:val="24"/>
              </w:rPr>
            </w:pPr>
          </w:p>
        </w:tc>
      </w:tr>
      <w:tr w14:paraId="039D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724" w:type="dxa"/>
            <w:vAlign w:val="center"/>
          </w:tcPr>
          <w:p w14:paraId="44EB8237">
            <w:pPr>
              <w:spacing w:line="360" w:lineRule="auto"/>
              <w:jc w:val="center"/>
              <w:rPr>
                <w:rFonts w:ascii="宋体" w:hAnsi="宋体" w:cs="仿宋"/>
                <w:sz w:val="24"/>
              </w:rPr>
            </w:pPr>
            <w:r>
              <w:rPr>
                <w:rFonts w:hint="eastAsia" w:ascii="宋体" w:hAnsi="宋体" w:cs="仿宋"/>
                <w:sz w:val="24"/>
              </w:rPr>
              <w:t>法定代表人</w:t>
            </w:r>
          </w:p>
        </w:tc>
        <w:tc>
          <w:tcPr>
            <w:tcW w:w="3076" w:type="dxa"/>
            <w:gridSpan w:val="2"/>
            <w:vAlign w:val="center"/>
          </w:tcPr>
          <w:p w14:paraId="19EF3FEA">
            <w:pPr>
              <w:spacing w:line="360" w:lineRule="auto"/>
              <w:jc w:val="center"/>
              <w:rPr>
                <w:rFonts w:ascii="宋体" w:hAnsi="宋体" w:cs="仿宋"/>
                <w:sz w:val="24"/>
              </w:rPr>
            </w:pPr>
          </w:p>
        </w:tc>
        <w:tc>
          <w:tcPr>
            <w:tcW w:w="1457" w:type="dxa"/>
            <w:gridSpan w:val="2"/>
            <w:vAlign w:val="center"/>
          </w:tcPr>
          <w:p w14:paraId="0A73B5E0">
            <w:pPr>
              <w:spacing w:line="360" w:lineRule="auto"/>
              <w:jc w:val="center"/>
              <w:rPr>
                <w:rFonts w:ascii="宋体" w:hAnsi="宋体" w:cs="仿宋"/>
                <w:sz w:val="24"/>
              </w:rPr>
            </w:pPr>
            <w:r>
              <w:rPr>
                <w:rFonts w:hint="eastAsia" w:ascii="宋体" w:hAnsi="宋体" w:cs="仿宋"/>
                <w:sz w:val="24"/>
              </w:rPr>
              <w:t>营业期限</w:t>
            </w:r>
          </w:p>
        </w:tc>
        <w:tc>
          <w:tcPr>
            <w:tcW w:w="3283" w:type="dxa"/>
            <w:vAlign w:val="center"/>
          </w:tcPr>
          <w:p w14:paraId="1414F8E4">
            <w:pPr>
              <w:spacing w:line="360" w:lineRule="auto"/>
              <w:jc w:val="center"/>
              <w:rPr>
                <w:rFonts w:ascii="宋体" w:hAnsi="宋体" w:cs="仿宋"/>
                <w:sz w:val="24"/>
              </w:rPr>
            </w:pPr>
          </w:p>
        </w:tc>
      </w:tr>
      <w:tr w14:paraId="1867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724" w:type="dxa"/>
            <w:vAlign w:val="center"/>
          </w:tcPr>
          <w:p w14:paraId="39B887F4">
            <w:pPr>
              <w:spacing w:line="360" w:lineRule="auto"/>
              <w:jc w:val="center"/>
              <w:rPr>
                <w:rFonts w:ascii="宋体" w:hAnsi="宋体" w:cs="仿宋"/>
                <w:sz w:val="24"/>
              </w:rPr>
            </w:pPr>
            <w:r>
              <w:rPr>
                <w:rFonts w:hint="eastAsia" w:ascii="宋体" w:hAnsi="宋体" w:cs="仿宋"/>
                <w:sz w:val="24"/>
              </w:rPr>
              <w:t>主营业务</w:t>
            </w:r>
          </w:p>
        </w:tc>
        <w:tc>
          <w:tcPr>
            <w:tcW w:w="7818" w:type="dxa"/>
            <w:gridSpan w:val="5"/>
            <w:vAlign w:val="center"/>
          </w:tcPr>
          <w:p w14:paraId="774475C7">
            <w:pPr>
              <w:spacing w:line="360" w:lineRule="auto"/>
              <w:jc w:val="center"/>
              <w:rPr>
                <w:rFonts w:ascii="宋体" w:hAnsi="宋体" w:cs="仿宋"/>
                <w:sz w:val="24"/>
              </w:rPr>
            </w:pPr>
          </w:p>
        </w:tc>
      </w:tr>
      <w:tr w14:paraId="766C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724" w:type="dxa"/>
            <w:vAlign w:val="center"/>
          </w:tcPr>
          <w:p w14:paraId="4C2F4129">
            <w:pPr>
              <w:spacing w:line="360" w:lineRule="auto"/>
              <w:jc w:val="center"/>
              <w:rPr>
                <w:rFonts w:ascii="宋体" w:hAnsi="宋体" w:cs="仿宋"/>
                <w:sz w:val="24"/>
              </w:rPr>
            </w:pPr>
            <w:r>
              <w:rPr>
                <w:rFonts w:hint="eastAsia" w:ascii="宋体" w:hAnsi="宋体" w:cs="仿宋"/>
                <w:sz w:val="24"/>
              </w:rPr>
              <w:t>地  址</w:t>
            </w:r>
          </w:p>
        </w:tc>
        <w:tc>
          <w:tcPr>
            <w:tcW w:w="7818" w:type="dxa"/>
            <w:gridSpan w:val="5"/>
            <w:vAlign w:val="center"/>
          </w:tcPr>
          <w:p w14:paraId="4BE39F8E">
            <w:pPr>
              <w:spacing w:line="360" w:lineRule="auto"/>
              <w:jc w:val="center"/>
              <w:rPr>
                <w:rFonts w:ascii="宋体" w:hAnsi="宋体" w:cs="仿宋"/>
                <w:sz w:val="24"/>
              </w:rPr>
            </w:pPr>
          </w:p>
        </w:tc>
      </w:tr>
      <w:tr w14:paraId="7059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724" w:type="dxa"/>
            <w:vAlign w:val="center"/>
          </w:tcPr>
          <w:p w14:paraId="4ACEB7E8">
            <w:pPr>
              <w:spacing w:line="360" w:lineRule="auto"/>
              <w:jc w:val="center"/>
              <w:rPr>
                <w:rFonts w:ascii="宋体" w:hAnsi="宋体" w:cs="仿宋"/>
                <w:sz w:val="24"/>
              </w:rPr>
            </w:pPr>
            <w:r>
              <w:rPr>
                <w:rFonts w:hint="eastAsia" w:ascii="宋体" w:hAnsi="宋体" w:cs="仿宋"/>
                <w:sz w:val="24"/>
              </w:rPr>
              <w:t>开户银行</w:t>
            </w:r>
          </w:p>
        </w:tc>
        <w:tc>
          <w:tcPr>
            <w:tcW w:w="7818" w:type="dxa"/>
            <w:gridSpan w:val="5"/>
            <w:vAlign w:val="center"/>
          </w:tcPr>
          <w:p w14:paraId="7772209C">
            <w:pPr>
              <w:spacing w:line="360" w:lineRule="auto"/>
              <w:jc w:val="center"/>
              <w:rPr>
                <w:rFonts w:ascii="宋体" w:hAnsi="宋体" w:cs="仿宋"/>
                <w:sz w:val="24"/>
              </w:rPr>
            </w:pPr>
          </w:p>
        </w:tc>
      </w:tr>
      <w:tr w14:paraId="6B53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jc w:val="center"/>
        </w:trPr>
        <w:tc>
          <w:tcPr>
            <w:tcW w:w="1724" w:type="dxa"/>
            <w:vAlign w:val="center"/>
          </w:tcPr>
          <w:p w14:paraId="4798866E">
            <w:pPr>
              <w:spacing w:line="360" w:lineRule="auto"/>
              <w:jc w:val="center"/>
              <w:rPr>
                <w:rFonts w:ascii="宋体" w:hAnsi="宋体" w:cs="仿宋"/>
                <w:sz w:val="24"/>
              </w:rPr>
            </w:pPr>
            <w:r>
              <w:rPr>
                <w:rFonts w:hint="eastAsia" w:ascii="宋体" w:hAnsi="宋体" w:cs="仿宋"/>
                <w:sz w:val="24"/>
              </w:rPr>
              <w:t>开户行号</w:t>
            </w:r>
          </w:p>
          <w:p w14:paraId="416A054C">
            <w:pPr>
              <w:spacing w:line="360" w:lineRule="auto"/>
              <w:jc w:val="center"/>
              <w:rPr>
                <w:rFonts w:ascii="宋体" w:hAnsi="宋体" w:cs="仿宋"/>
                <w:sz w:val="24"/>
              </w:rPr>
            </w:pPr>
            <w:r>
              <w:rPr>
                <w:rFonts w:hint="eastAsia" w:ascii="宋体" w:hAnsi="宋体" w:cs="仿宋"/>
                <w:sz w:val="24"/>
              </w:rPr>
              <w:t>（如有）</w:t>
            </w:r>
          </w:p>
        </w:tc>
        <w:tc>
          <w:tcPr>
            <w:tcW w:w="7818" w:type="dxa"/>
            <w:gridSpan w:val="5"/>
            <w:vAlign w:val="center"/>
          </w:tcPr>
          <w:p w14:paraId="1B5A1E8F">
            <w:pPr>
              <w:spacing w:line="360" w:lineRule="auto"/>
              <w:jc w:val="center"/>
              <w:rPr>
                <w:rFonts w:ascii="宋体" w:hAnsi="宋体" w:cs="仿宋"/>
                <w:sz w:val="24"/>
              </w:rPr>
            </w:pPr>
          </w:p>
        </w:tc>
      </w:tr>
      <w:tr w14:paraId="119F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724" w:type="dxa"/>
            <w:vAlign w:val="center"/>
          </w:tcPr>
          <w:p w14:paraId="7024BAA8">
            <w:pPr>
              <w:spacing w:line="360" w:lineRule="auto"/>
              <w:jc w:val="center"/>
              <w:rPr>
                <w:rFonts w:ascii="宋体" w:hAnsi="宋体" w:cs="仿宋"/>
                <w:sz w:val="24"/>
              </w:rPr>
            </w:pPr>
            <w:r>
              <w:rPr>
                <w:rFonts w:hint="eastAsia" w:ascii="宋体" w:hAnsi="宋体" w:cs="仿宋"/>
                <w:sz w:val="24"/>
              </w:rPr>
              <w:t>银行账号</w:t>
            </w:r>
          </w:p>
        </w:tc>
        <w:tc>
          <w:tcPr>
            <w:tcW w:w="7818" w:type="dxa"/>
            <w:gridSpan w:val="5"/>
            <w:vAlign w:val="center"/>
          </w:tcPr>
          <w:p w14:paraId="4C19B771">
            <w:pPr>
              <w:spacing w:line="360" w:lineRule="auto"/>
              <w:jc w:val="center"/>
              <w:rPr>
                <w:rFonts w:ascii="宋体" w:hAnsi="宋体" w:cs="仿宋"/>
                <w:sz w:val="24"/>
              </w:rPr>
            </w:pPr>
          </w:p>
        </w:tc>
      </w:tr>
      <w:tr w14:paraId="77DB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724" w:type="dxa"/>
            <w:vAlign w:val="center"/>
          </w:tcPr>
          <w:p w14:paraId="2566DA3A">
            <w:pPr>
              <w:spacing w:line="360" w:lineRule="auto"/>
              <w:jc w:val="center"/>
              <w:rPr>
                <w:rFonts w:ascii="宋体" w:hAnsi="宋体" w:cs="仿宋"/>
                <w:sz w:val="24"/>
              </w:rPr>
            </w:pPr>
            <w:r>
              <w:rPr>
                <w:rFonts w:hint="eastAsia" w:ascii="宋体" w:hAnsi="宋体" w:cs="仿宋"/>
                <w:sz w:val="24"/>
              </w:rPr>
              <w:t>电  话</w:t>
            </w:r>
          </w:p>
        </w:tc>
        <w:tc>
          <w:tcPr>
            <w:tcW w:w="2934" w:type="dxa"/>
            <w:vAlign w:val="center"/>
          </w:tcPr>
          <w:p w14:paraId="75CEAC92">
            <w:pPr>
              <w:spacing w:line="360" w:lineRule="auto"/>
              <w:jc w:val="center"/>
              <w:rPr>
                <w:rFonts w:ascii="宋体" w:hAnsi="宋体" w:cs="仿宋"/>
                <w:sz w:val="24"/>
              </w:rPr>
            </w:pPr>
          </w:p>
        </w:tc>
        <w:tc>
          <w:tcPr>
            <w:tcW w:w="1399" w:type="dxa"/>
            <w:gridSpan w:val="2"/>
            <w:vAlign w:val="center"/>
          </w:tcPr>
          <w:p w14:paraId="14BF6483">
            <w:pPr>
              <w:spacing w:line="360" w:lineRule="auto"/>
              <w:jc w:val="center"/>
              <w:rPr>
                <w:rFonts w:ascii="宋体" w:hAnsi="宋体" w:cs="仿宋"/>
                <w:sz w:val="24"/>
              </w:rPr>
            </w:pPr>
            <w:r>
              <w:rPr>
                <w:rFonts w:hint="eastAsia" w:ascii="宋体" w:hAnsi="宋体" w:cs="仿宋"/>
                <w:sz w:val="24"/>
              </w:rPr>
              <w:t>传  真</w:t>
            </w:r>
          </w:p>
        </w:tc>
        <w:tc>
          <w:tcPr>
            <w:tcW w:w="3483" w:type="dxa"/>
            <w:gridSpan w:val="2"/>
            <w:vAlign w:val="center"/>
          </w:tcPr>
          <w:p w14:paraId="0D7FB8A7">
            <w:pPr>
              <w:spacing w:line="360" w:lineRule="auto"/>
              <w:jc w:val="center"/>
              <w:rPr>
                <w:rFonts w:ascii="宋体" w:hAnsi="宋体" w:cs="仿宋"/>
                <w:sz w:val="24"/>
              </w:rPr>
            </w:pPr>
          </w:p>
        </w:tc>
      </w:tr>
      <w:tr w14:paraId="1CA5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1724" w:type="dxa"/>
            <w:vAlign w:val="center"/>
          </w:tcPr>
          <w:p w14:paraId="40C6E17B">
            <w:pPr>
              <w:spacing w:line="360" w:lineRule="auto"/>
              <w:jc w:val="center"/>
              <w:rPr>
                <w:rFonts w:ascii="宋体" w:hAnsi="宋体" w:cs="仿宋"/>
                <w:sz w:val="24"/>
              </w:rPr>
            </w:pPr>
            <w:r>
              <w:rPr>
                <w:rFonts w:hint="eastAsia" w:ascii="宋体" w:hAnsi="宋体" w:cs="仿宋"/>
                <w:sz w:val="24"/>
              </w:rPr>
              <w:t>邮  箱</w:t>
            </w:r>
          </w:p>
        </w:tc>
        <w:tc>
          <w:tcPr>
            <w:tcW w:w="2934" w:type="dxa"/>
            <w:vAlign w:val="center"/>
          </w:tcPr>
          <w:p w14:paraId="28C4FB2F">
            <w:pPr>
              <w:spacing w:line="360" w:lineRule="auto"/>
              <w:jc w:val="center"/>
              <w:rPr>
                <w:rFonts w:ascii="宋体" w:hAnsi="宋体" w:cs="仿宋"/>
                <w:sz w:val="24"/>
              </w:rPr>
            </w:pPr>
          </w:p>
        </w:tc>
        <w:tc>
          <w:tcPr>
            <w:tcW w:w="1399" w:type="dxa"/>
            <w:gridSpan w:val="2"/>
            <w:vAlign w:val="center"/>
          </w:tcPr>
          <w:p w14:paraId="27E50933">
            <w:pPr>
              <w:spacing w:line="360" w:lineRule="auto"/>
              <w:jc w:val="center"/>
              <w:rPr>
                <w:rFonts w:ascii="宋体" w:hAnsi="宋体" w:cs="仿宋"/>
                <w:sz w:val="24"/>
              </w:rPr>
            </w:pPr>
            <w:r>
              <w:rPr>
                <w:rFonts w:hint="eastAsia" w:ascii="宋体" w:hAnsi="宋体" w:cs="仿宋"/>
                <w:sz w:val="24"/>
              </w:rPr>
              <w:t>邮  编</w:t>
            </w:r>
          </w:p>
        </w:tc>
        <w:tc>
          <w:tcPr>
            <w:tcW w:w="3483" w:type="dxa"/>
            <w:gridSpan w:val="2"/>
            <w:vAlign w:val="center"/>
          </w:tcPr>
          <w:p w14:paraId="189EBC2D">
            <w:pPr>
              <w:spacing w:line="360" w:lineRule="auto"/>
              <w:jc w:val="center"/>
              <w:rPr>
                <w:rFonts w:ascii="宋体" w:hAnsi="宋体" w:cs="仿宋"/>
                <w:sz w:val="24"/>
              </w:rPr>
            </w:pPr>
          </w:p>
        </w:tc>
      </w:tr>
      <w:tr w14:paraId="521E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724" w:type="dxa"/>
            <w:vAlign w:val="center"/>
          </w:tcPr>
          <w:p w14:paraId="1F72A22D">
            <w:pPr>
              <w:spacing w:line="360" w:lineRule="auto"/>
              <w:jc w:val="center"/>
              <w:rPr>
                <w:rFonts w:ascii="宋体" w:hAnsi="宋体" w:cs="仿宋"/>
                <w:sz w:val="24"/>
              </w:rPr>
            </w:pPr>
            <w:r>
              <w:rPr>
                <w:rFonts w:hint="eastAsia" w:ascii="宋体" w:hAnsi="宋体" w:cs="仿宋"/>
                <w:sz w:val="24"/>
              </w:rPr>
              <w:t>联系人</w:t>
            </w:r>
          </w:p>
        </w:tc>
        <w:tc>
          <w:tcPr>
            <w:tcW w:w="2934" w:type="dxa"/>
            <w:vAlign w:val="center"/>
          </w:tcPr>
          <w:p w14:paraId="0BC468F9">
            <w:pPr>
              <w:spacing w:line="360" w:lineRule="auto"/>
              <w:jc w:val="center"/>
              <w:rPr>
                <w:rFonts w:ascii="宋体" w:hAnsi="宋体" w:cs="仿宋"/>
                <w:sz w:val="24"/>
              </w:rPr>
            </w:pPr>
          </w:p>
        </w:tc>
        <w:tc>
          <w:tcPr>
            <w:tcW w:w="1399" w:type="dxa"/>
            <w:gridSpan w:val="2"/>
            <w:vAlign w:val="center"/>
          </w:tcPr>
          <w:p w14:paraId="08FBDD05">
            <w:pPr>
              <w:spacing w:line="360" w:lineRule="auto"/>
              <w:jc w:val="center"/>
              <w:rPr>
                <w:rFonts w:ascii="宋体" w:hAnsi="宋体" w:cs="仿宋"/>
                <w:sz w:val="24"/>
              </w:rPr>
            </w:pPr>
            <w:r>
              <w:rPr>
                <w:rFonts w:hint="eastAsia" w:ascii="宋体" w:hAnsi="宋体" w:cs="仿宋"/>
                <w:sz w:val="24"/>
              </w:rPr>
              <w:t>联系方式</w:t>
            </w:r>
          </w:p>
        </w:tc>
        <w:tc>
          <w:tcPr>
            <w:tcW w:w="3483" w:type="dxa"/>
            <w:gridSpan w:val="2"/>
            <w:vAlign w:val="center"/>
          </w:tcPr>
          <w:p w14:paraId="415AC403">
            <w:pPr>
              <w:spacing w:line="360" w:lineRule="auto"/>
              <w:jc w:val="center"/>
              <w:rPr>
                <w:rFonts w:ascii="宋体" w:hAnsi="宋体" w:cs="仿宋"/>
                <w:sz w:val="24"/>
              </w:rPr>
            </w:pPr>
          </w:p>
        </w:tc>
      </w:tr>
    </w:tbl>
    <w:p w14:paraId="0C5D016C">
      <w:pPr>
        <w:spacing w:line="360" w:lineRule="auto"/>
        <w:rPr>
          <w:rFonts w:ascii="宋体" w:hAnsi="宋体" w:cs="仿宋"/>
          <w:sz w:val="24"/>
        </w:rPr>
      </w:pPr>
    </w:p>
    <w:p w14:paraId="0992C5F4">
      <w:pPr>
        <w:spacing w:line="360" w:lineRule="auto"/>
        <w:rPr>
          <w:rFonts w:ascii="宋体" w:hAnsi="宋体" w:cs="仿宋"/>
          <w:sz w:val="24"/>
        </w:rPr>
      </w:pPr>
      <w:r>
        <w:rPr>
          <w:rFonts w:hint="eastAsia" w:ascii="宋体" w:hAnsi="宋体" w:cs="仿宋"/>
          <w:sz w:val="24"/>
        </w:rPr>
        <w:t>投标人名称：</w:t>
      </w:r>
      <w:r>
        <w:rPr>
          <w:rFonts w:hint="eastAsia" w:ascii="宋体" w:hAnsi="宋体" w:cs="仿宋"/>
          <w:sz w:val="24"/>
          <w:u w:val="single"/>
        </w:rPr>
        <w:t xml:space="preserve">                       </w:t>
      </w:r>
      <w:r>
        <w:rPr>
          <w:rFonts w:hint="eastAsia" w:ascii="宋体" w:hAnsi="宋体" w:cs="仿宋"/>
          <w:sz w:val="24"/>
        </w:rPr>
        <w:t xml:space="preserve">（电子签章） </w:t>
      </w:r>
    </w:p>
    <w:p w14:paraId="5EC0DC02">
      <w:pPr>
        <w:spacing w:line="360" w:lineRule="auto"/>
        <w:rPr>
          <w:rFonts w:ascii="宋体" w:hAnsi="宋体" w:cs="仿宋"/>
          <w:sz w:val="24"/>
        </w:rPr>
      </w:pPr>
      <w:r>
        <w:rPr>
          <w:rFonts w:hint="eastAsia" w:ascii="宋体" w:hAnsi="宋体" w:cs="仿宋"/>
          <w:sz w:val="24"/>
        </w:rPr>
        <w:t>法定代表人或委托代理人：</w:t>
      </w:r>
      <w:r>
        <w:rPr>
          <w:rFonts w:hint="eastAsia" w:ascii="宋体" w:hAnsi="宋体" w:cs="仿宋"/>
          <w:sz w:val="24"/>
          <w:u w:val="single"/>
        </w:rPr>
        <w:t xml:space="preserve">            </w:t>
      </w:r>
      <w:r>
        <w:rPr>
          <w:rFonts w:hint="eastAsia" w:ascii="宋体" w:hAnsi="宋体" w:cs="仿宋"/>
          <w:sz w:val="24"/>
        </w:rPr>
        <w:t>（电子签章）</w:t>
      </w:r>
    </w:p>
    <w:p w14:paraId="27C525AD">
      <w:pPr>
        <w:spacing w:line="360" w:lineRule="auto"/>
        <w:rPr>
          <w:rFonts w:ascii="宋体" w:hAnsi="宋体" w:cs="仿宋"/>
          <w:sz w:val="24"/>
        </w:rPr>
      </w:pPr>
      <w:r>
        <w:rPr>
          <w:rFonts w:hint="eastAsia" w:ascii="宋体" w:hAnsi="宋体" w:cs="仿宋"/>
          <w:sz w:val="24"/>
        </w:rPr>
        <w:t>日期：</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 xml:space="preserve">日 </w:t>
      </w:r>
    </w:p>
    <w:p w14:paraId="5143155E">
      <w:pPr>
        <w:spacing w:line="540" w:lineRule="exact"/>
        <w:ind w:firstLine="556"/>
        <w:jc w:val="center"/>
        <w:rPr>
          <w:rFonts w:ascii="宋体" w:hAnsi="宋体" w:cs="仿宋"/>
          <w:b/>
          <w:bCs/>
          <w:sz w:val="28"/>
          <w:szCs w:val="28"/>
        </w:rPr>
      </w:pPr>
    </w:p>
    <w:p w14:paraId="7A74B0A1">
      <w:pPr>
        <w:widowControl/>
        <w:jc w:val="left"/>
        <w:rPr>
          <w:rFonts w:ascii="宋体" w:hAnsi="宋体" w:cs="仿宋"/>
          <w:b/>
          <w:bCs/>
          <w:sz w:val="28"/>
          <w:szCs w:val="28"/>
        </w:rPr>
      </w:pPr>
      <w:r>
        <w:rPr>
          <w:rFonts w:cs="仿宋"/>
          <w:b/>
          <w:bCs/>
          <w:sz w:val="28"/>
          <w:szCs w:val="28"/>
        </w:rPr>
        <w:br w:type="page"/>
      </w:r>
    </w:p>
    <w:p w14:paraId="2F87552C">
      <w:pPr>
        <w:pStyle w:val="8"/>
        <w:spacing w:line="360" w:lineRule="auto"/>
        <w:jc w:val="center"/>
        <w:rPr>
          <w:rFonts w:cs="仿宋"/>
          <w:sz w:val="28"/>
          <w:szCs w:val="28"/>
        </w:rPr>
      </w:pPr>
      <w:r>
        <w:rPr>
          <w:rFonts w:hint="eastAsia" w:cs="仿宋"/>
          <w:b/>
          <w:sz w:val="28"/>
          <w:szCs w:val="28"/>
        </w:rPr>
        <w:t>（二）资格审查资料</w:t>
      </w:r>
    </w:p>
    <w:p w14:paraId="75DB4688">
      <w:pPr>
        <w:spacing w:line="360" w:lineRule="auto"/>
        <w:rPr>
          <w:rFonts w:ascii="宋体" w:hAnsi="宋体" w:cs="仿宋"/>
        </w:rPr>
      </w:pPr>
    </w:p>
    <w:p w14:paraId="782DCF88">
      <w:pPr>
        <w:pStyle w:val="13"/>
        <w:spacing w:line="360" w:lineRule="auto"/>
        <w:ind w:left="0" w:leftChars="0" w:firstLine="0" w:firstLineChars="0"/>
        <w:jc w:val="both"/>
        <w:rPr>
          <w:rFonts w:cs="仿宋"/>
          <w:sz w:val="24"/>
        </w:rPr>
      </w:pPr>
      <w:r>
        <w:rPr>
          <w:rFonts w:hint="eastAsia" w:cs="仿宋"/>
          <w:sz w:val="24"/>
        </w:rPr>
        <w:t>注：投标人须随此表后附“投标人须知前附表</w:t>
      </w:r>
      <w:r>
        <w:rPr>
          <w:rFonts w:hint="eastAsia" w:cs="仿宋"/>
          <w:sz w:val="24"/>
          <w:lang w:val="en-US"/>
        </w:rPr>
        <w:t xml:space="preserve"> </w:t>
      </w:r>
      <w:r>
        <w:rPr>
          <w:rFonts w:hint="eastAsia" w:cs="仿宋"/>
          <w:sz w:val="24"/>
        </w:rPr>
        <w:t>投标人资质要求”中的全部资格审查资料，并保证资料的真实性。</w:t>
      </w:r>
    </w:p>
    <w:p w14:paraId="107F85A0">
      <w:pPr>
        <w:pStyle w:val="13"/>
        <w:spacing w:line="360" w:lineRule="auto"/>
        <w:ind w:left="0" w:leftChars="0" w:firstLine="0" w:firstLineChars="0"/>
        <w:jc w:val="both"/>
        <w:rPr>
          <w:rFonts w:cs="仿宋"/>
          <w:sz w:val="24"/>
        </w:rPr>
      </w:pPr>
    </w:p>
    <w:p w14:paraId="0736104A">
      <w:pPr>
        <w:pStyle w:val="13"/>
        <w:spacing w:line="360" w:lineRule="auto"/>
        <w:ind w:left="0" w:leftChars="0" w:firstLine="0" w:firstLineChars="0"/>
        <w:jc w:val="both"/>
        <w:rPr>
          <w:rFonts w:cs="仿宋"/>
          <w:sz w:val="24"/>
        </w:rPr>
      </w:pPr>
    </w:p>
    <w:p w14:paraId="401B8D19">
      <w:pPr>
        <w:pStyle w:val="13"/>
        <w:spacing w:line="360" w:lineRule="auto"/>
        <w:ind w:left="0" w:leftChars="0" w:firstLine="0" w:firstLineChars="0"/>
        <w:jc w:val="both"/>
        <w:rPr>
          <w:rFonts w:cs="仿宋"/>
          <w:sz w:val="24"/>
        </w:rPr>
      </w:pPr>
    </w:p>
    <w:p w14:paraId="7C00C3FB">
      <w:pPr>
        <w:pStyle w:val="13"/>
        <w:spacing w:line="360" w:lineRule="auto"/>
        <w:ind w:left="0" w:leftChars="0" w:firstLine="0" w:firstLineChars="0"/>
        <w:jc w:val="both"/>
        <w:rPr>
          <w:rFonts w:cs="仿宋"/>
          <w:sz w:val="24"/>
        </w:rPr>
      </w:pPr>
    </w:p>
    <w:p w14:paraId="446B7476">
      <w:pPr>
        <w:pStyle w:val="13"/>
        <w:spacing w:line="360" w:lineRule="auto"/>
        <w:ind w:left="0" w:leftChars="0" w:firstLine="0" w:firstLineChars="0"/>
        <w:jc w:val="both"/>
        <w:rPr>
          <w:rFonts w:cs="仿宋"/>
          <w:sz w:val="24"/>
        </w:rPr>
      </w:pPr>
    </w:p>
    <w:p w14:paraId="695FAB81">
      <w:pPr>
        <w:pStyle w:val="13"/>
        <w:spacing w:line="360" w:lineRule="auto"/>
        <w:ind w:left="0" w:leftChars="0" w:firstLine="0" w:firstLineChars="0"/>
        <w:jc w:val="both"/>
        <w:rPr>
          <w:rFonts w:cs="仿宋"/>
          <w:sz w:val="24"/>
        </w:rPr>
      </w:pPr>
    </w:p>
    <w:p w14:paraId="16436F7F">
      <w:pPr>
        <w:pStyle w:val="13"/>
        <w:spacing w:line="360" w:lineRule="auto"/>
        <w:ind w:left="0" w:leftChars="0" w:firstLine="0" w:firstLineChars="0"/>
        <w:jc w:val="both"/>
        <w:rPr>
          <w:rFonts w:cs="仿宋"/>
          <w:sz w:val="24"/>
        </w:rPr>
      </w:pPr>
    </w:p>
    <w:p w14:paraId="341929BD">
      <w:pPr>
        <w:pStyle w:val="13"/>
        <w:spacing w:line="360" w:lineRule="auto"/>
        <w:ind w:left="0" w:leftChars="0" w:firstLine="0" w:firstLineChars="0"/>
        <w:jc w:val="both"/>
        <w:rPr>
          <w:rFonts w:cs="仿宋"/>
          <w:sz w:val="24"/>
        </w:rPr>
      </w:pPr>
    </w:p>
    <w:p w14:paraId="4462FFE4">
      <w:pPr>
        <w:pStyle w:val="13"/>
        <w:spacing w:line="360" w:lineRule="auto"/>
        <w:ind w:left="0" w:leftChars="0" w:firstLine="0" w:firstLineChars="0"/>
        <w:jc w:val="both"/>
        <w:rPr>
          <w:rFonts w:cs="仿宋"/>
          <w:sz w:val="24"/>
        </w:rPr>
      </w:pPr>
    </w:p>
    <w:p w14:paraId="24FFAB91">
      <w:pPr>
        <w:pStyle w:val="13"/>
        <w:spacing w:line="360" w:lineRule="auto"/>
        <w:ind w:left="0" w:leftChars="0" w:firstLine="0" w:firstLineChars="0"/>
        <w:jc w:val="both"/>
        <w:rPr>
          <w:rFonts w:cs="仿宋"/>
          <w:sz w:val="24"/>
        </w:rPr>
      </w:pPr>
    </w:p>
    <w:p w14:paraId="7F659610">
      <w:pPr>
        <w:pStyle w:val="13"/>
        <w:spacing w:line="360" w:lineRule="auto"/>
        <w:ind w:left="0" w:leftChars="0" w:firstLine="0" w:firstLineChars="0"/>
        <w:jc w:val="both"/>
        <w:rPr>
          <w:rFonts w:cs="仿宋"/>
          <w:sz w:val="24"/>
        </w:rPr>
      </w:pPr>
    </w:p>
    <w:p w14:paraId="773AF372">
      <w:pPr>
        <w:pStyle w:val="13"/>
        <w:spacing w:line="360" w:lineRule="auto"/>
        <w:ind w:left="0" w:leftChars="0" w:firstLine="0" w:firstLineChars="0"/>
        <w:jc w:val="both"/>
        <w:rPr>
          <w:rFonts w:cs="仿宋"/>
          <w:sz w:val="24"/>
        </w:rPr>
      </w:pPr>
    </w:p>
    <w:p w14:paraId="2B9A648F">
      <w:pPr>
        <w:pStyle w:val="13"/>
        <w:spacing w:line="360" w:lineRule="auto"/>
        <w:ind w:left="0" w:leftChars="0" w:firstLine="0" w:firstLineChars="0"/>
        <w:jc w:val="both"/>
        <w:rPr>
          <w:rFonts w:cs="仿宋"/>
          <w:sz w:val="24"/>
        </w:rPr>
      </w:pPr>
    </w:p>
    <w:p w14:paraId="5D109D6F">
      <w:pPr>
        <w:pStyle w:val="13"/>
        <w:spacing w:line="360" w:lineRule="auto"/>
        <w:ind w:left="0" w:leftChars="0" w:firstLine="0" w:firstLineChars="0"/>
        <w:jc w:val="both"/>
        <w:rPr>
          <w:rFonts w:cs="仿宋"/>
          <w:sz w:val="24"/>
        </w:rPr>
      </w:pPr>
    </w:p>
    <w:p w14:paraId="6174A335">
      <w:pPr>
        <w:pStyle w:val="13"/>
        <w:spacing w:line="360" w:lineRule="auto"/>
        <w:ind w:left="0" w:leftChars="0" w:firstLine="0" w:firstLineChars="0"/>
        <w:jc w:val="both"/>
        <w:rPr>
          <w:rFonts w:cs="仿宋"/>
          <w:sz w:val="24"/>
        </w:rPr>
      </w:pPr>
    </w:p>
    <w:p w14:paraId="52A61A12">
      <w:pPr>
        <w:pStyle w:val="13"/>
        <w:spacing w:line="360" w:lineRule="auto"/>
        <w:ind w:left="0" w:leftChars="0" w:firstLine="0" w:firstLineChars="0"/>
        <w:jc w:val="both"/>
        <w:rPr>
          <w:rFonts w:cs="仿宋"/>
          <w:sz w:val="24"/>
        </w:rPr>
      </w:pPr>
    </w:p>
    <w:p w14:paraId="4942FB02">
      <w:pPr>
        <w:pStyle w:val="13"/>
        <w:spacing w:line="360" w:lineRule="auto"/>
        <w:ind w:left="0" w:leftChars="0" w:firstLine="0" w:firstLineChars="0"/>
        <w:jc w:val="both"/>
        <w:rPr>
          <w:rFonts w:cs="仿宋"/>
          <w:sz w:val="24"/>
        </w:rPr>
      </w:pPr>
    </w:p>
    <w:p w14:paraId="29A446BB">
      <w:pPr>
        <w:pStyle w:val="13"/>
        <w:spacing w:line="360" w:lineRule="auto"/>
        <w:ind w:left="0" w:leftChars="0" w:firstLine="0" w:firstLineChars="0"/>
        <w:jc w:val="both"/>
        <w:rPr>
          <w:rFonts w:cs="仿宋"/>
          <w:sz w:val="24"/>
        </w:rPr>
      </w:pPr>
    </w:p>
    <w:p w14:paraId="1E3A46F5">
      <w:pPr>
        <w:pStyle w:val="13"/>
        <w:spacing w:line="360" w:lineRule="auto"/>
        <w:ind w:left="0" w:leftChars="0" w:firstLine="0" w:firstLineChars="0"/>
        <w:jc w:val="both"/>
        <w:rPr>
          <w:rFonts w:cs="仿宋"/>
          <w:sz w:val="24"/>
        </w:rPr>
      </w:pPr>
    </w:p>
    <w:p w14:paraId="3CC0E25F">
      <w:pPr>
        <w:pStyle w:val="13"/>
        <w:spacing w:line="360" w:lineRule="auto"/>
        <w:ind w:left="0" w:leftChars="0" w:firstLine="0" w:firstLineChars="0"/>
        <w:jc w:val="both"/>
        <w:rPr>
          <w:rFonts w:cs="仿宋"/>
          <w:sz w:val="24"/>
        </w:rPr>
      </w:pPr>
    </w:p>
    <w:p w14:paraId="4EB92749">
      <w:pPr>
        <w:pStyle w:val="13"/>
        <w:spacing w:line="360" w:lineRule="auto"/>
        <w:ind w:left="0" w:leftChars="0" w:firstLine="0" w:firstLineChars="0"/>
        <w:jc w:val="both"/>
        <w:rPr>
          <w:rFonts w:cs="仿宋"/>
          <w:sz w:val="24"/>
        </w:rPr>
      </w:pPr>
    </w:p>
    <w:p w14:paraId="3024EE04">
      <w:pPr>
        <w:pStyle w:val="13"/>
        <w:spacing w:line="360" w:lineRule="auto"/>
        <w:ind w:left="0" w:leftChars="0" w:firstLine="0" w:firstLineChars="0"/>
        <w:jc w:val="both"/>
        <w:rPr>
          <w:rFonts w:cs="仿宋"/>
          <w:sz w:val="24"/>
        </w:rPr>
      </w:pPr>
    </w:p>
    <w:p w14:paraId="13CBE8C5">
      <w:pPr>
        <w:pStyle w:val="13"/>
        <w:spacing w:line="360" w:lineRule="auto"/>
        <w:ind w:left="0" w:leftChars="0" w:firstLine="0" w:firstLineChars="0"/>
        <w:jc w:val="both"/>
        <w:rPr>
          <w:rFonts w:cs="仿宋"/>
          <w:sz w:val="24"/>
        </w:rPr>
      </w:pPr>
    </w:p>
    <w:p w14:paraId="10AD94D4">
      <w:pPr>
        <w:pStyle w:val="13"/>
        <w:spacing w:line="360" w:lineRule="auto"/>
        <w:ind w:left="0" w:leftChars="0" w:firstLine="0" w:firstLineChars="0"/>
        <w:jc w:val="both"/>
        <w:rPr>
          <w:rFonts w:cs="仿宋"/>
          <w:sz w:val="24"/>
        </w:rPr>
      </w:pPr>
    </w:p>
    <w:p w14:paraId="6E333286">
      <w:pPr>
        <w:pStyle w:val="13"/>
        <w:spacing w:line="360" w:lineRule="auto"/>
        <w:ind w:left="0" w:leftChars="0" w:firstLine="0" w:firstLineChars="0"/>
        <w:jc w:val="both"/>
        <w:rPr>
          <w:rFonts w:cs="仿宋"/>
          <w:sz w:val="24"/>
        </w:rPr>
      </w:pPr>
    </w:p>
    <w:p w14:paraId="3D2630A5">
      <w:pPr>
        <w:pStyle w:val="4"/>
        <w:spacing w:line="360" w:lineRule="auto"/>
        <w:ind w:left="0" w:right="76"/>
        <w:jc w:val="center"/>
        <w:rPr>
          <w:rFonts w:ascii="宋体" w:hAnsi="宋体" w:eastAsia="宋体" w:cs="仿宋"/>
          <w:b/>
          <w:bCs/>
          <w:sz w:val="28"/>
          <w:szCs w:val="28"/>
        </w:rPr>
      </w:pPr>
      <w:r>
        <w:rPr>
          <w:rFonts w:hint="eastAsia" w:ascii="宋体" w:hAnsi="宋体" w:eastAsia="宋体" w:cs="仿宋"/>
          <w:b/>
          <w:bCs/>
          <w:sz w:val="28"/>
          <w:szCs w:val="28"/>
        </w:rPr>
        <w:t>八、其他资料</w:t>
      </w:r>
    </w:p>
    <w:p w14:paraId="73DC1C96">
      <w:pPr>
        <w:pStyle w:val="13"/>
        <w:spacing w:line="360" w:lineRule="auto"/>
        <w:ind w:left="980" w:hanging="560"/>
        <w:jc w:val="center"/>
        <w:rPr>
          <w:rFonts w:cs="仿宋"/>
          <w:sz w:val="36"/>
          <w:szCs w:val="40"/>
        </w:rPr>
      </w:pPr>
      <w:r>
        <w:rPr>
          <w:rFonts w:hint="eastAsia" w:cs="仿宋"/>
          <w:sz w:val="28"/>
          <w:szCs w:val="32"/>
        </w:rPr>
        <w:t>（投标人认为应附的其他资料）</w:t>
      </w:r>
    </w:p>
    <w:p w14:paraId="11A70EF8">
      <w:pPr>
        <w:pStyle w:val="13"/>
        <w:spacing w:line="360" w:lineRule="auto"/>
        <w:ind w:left="860" w:hanging="440"/>
        <w:rPr>
          <w:rFonts w:cs="仿宋"/>
        </w:rPr>
      </w:pPr>
    </w:p>
    <w:p w14:paraId="50F5E961">
      <w:pPr>
        <w:pStyle w:val="13"/>
        <w:spacing w:line="360" w:lineRule="auto"/>
        <w:ind w:left="860" w:hanging="440"/>
        <w:rPr>
          <w:rFonts w:cs="仿宋"/>
        </w:rPr>
      </w:pPr>
    </w:p>
    <w:p w14:paraId="05070B4E">
      <w:pPr>
        <w:pStyle w:val="13"/>
        <w:spacing w:line="360" w:lineRule="auto"/>
        <w:ind w:left="860" w:hanging="440"/>
        <w:rPr>
          <w:rFonts w:cs="仿宋"/>
        </w:rPr>
      </w:pPr>
    </w:p>
    <w:p w14:paraId="7A495360">
      <w:pPr>
        <w:pStyle w:val="13"/>
        <w:spacing w:line="360" w:lineRule="auto"/>
        <w:ind w:left="860" w:hanging="440"/>
        <w:rPr>
          <w:rFonts w:cs="仿宋"/>
        </w:rPr>
      </w:pPr>
    </w:p>
    <w:p w14:paraId="6A1071E0">
      <w:pPr>
        <w:pStyle w:val="13"/>
        <w:spacing w:line="360" w:lineRule="auto"/>
        <w:ind w:left="860" w:hanging="440"/>
        <w:rPr>
          <w:rFonts w:cs="仿宋"/>
        </w:rPr>
      </w:pPr>
    </w:p>
    <w:p w14:paraId="13ED7CB6">
      <w:pPr>
        <w:pStyle w:val="13"/>
        <w:spacing w:line="360" w:lineRule="auto"/>
        <w:ind w:left="860" w:hanging="440"/>
        <w:rPr>
          <w:rFonts w:cs="仿宋"/>
        </w:rPr>
      </w:pPr>
    </w:p>
    <w:p w14:paraId="18D61FE5">
      <w:pPr>
        <w:pStyle w:val="13"/>
        <w:spacing w:line="360" w:lineRule="auto"/>
        <w:ind w:left="860" w:hanging="440"/>
        <w:rPr>
          <w:rFonts w:cs="仿宋"/>
        </w:rPr>
      </w:pPr>
    </w:p>
    <w:p w14:paraId="69925C7F">
      <w:pPr>
        <w:pStyle w:val="13"/>
        <w:spacing w:line="360" w:lineRule="auto"/>
        <w:ind w:left="860" w:hanging="440"/>
        <w:rPr>
          <w:rFonts w:cs="仿宋"/>
        </w:rPr>
      </w:pPr>
    </w:p>
    <w:p w14:paraId="2EF358D7">
      <w:pPr>
        <w:pStyle w:val="13"/>
        <w:spacing w:line="360" w:lineRule="auto"/>
        <w:ind w:left="860" w:hanging="440"/>
        <w:rPr>
          <w:rFonts w:cs="仿宋"/>
        </w:rPr>
      </w:pPr>
    </w:p>
    <w:p w14:paraId="48A40EBD">
      <w:pPr>
        <w:pStyle w:val="13"/>
        <w:spacing w:line="360" w:lineRule="auto"/>
        <w:ind w:left="860" w:hanging="440"/>
        <w:rPr>
          <w:rFonts w:cs="仿宋"/>
        </w:rPr>
      </w:pPr>
    </w:p>
    <w:p w14:paraId="58D6524F">
      <w:pPr>
        <w:pStyle w:val="13"/>
        <w:spacing w:line="360" w:lineRule="auto"/>
        <w:ind w:left="860" w:hanging="440"/>
        <w:rPr>
          <w:rFonts w:cs="仿宋"/>
        </w:rPr>
      </w:pPr>
    </w:p>
    <w:p w14:paraId="31207EE3">
      <w:pPr>
        <w:pStyle w:val="13"/>
        <w:spacing w:line="360" w:lineRule="auto"/>
        <w:ind w:left="860" w:hanging="440"/>
        <w:rPr>
          <w:rFonts w:cs="仿宋"/>
        </w:rPr>
      </w:pPr>
    </w:p>
    <w:p w14:paraId="46B08A4E">
      <w:pPr>
        <w:pStyle w:val="13"/>
        <w:spacing w:line="360" w:lineRule="auto"/>
        <w:ind w:left="860" w:hanging="440"/>
        <w:rPr>
          <w:rFonts w:cs="仿宋"/>
        </w:rPr>
      </w:pPr>
    </w:p>
    <w:p w14:paraId="7DB6A2E1">
      <w:pPr>
        <w:pStyle w:val="13"/>
        <w:spacing w:line="360" w:lineRule="auto"/>
        <w:ind w:left="860" w:hanging="440"/>
        <w:rPr>
          <w:rFonts w:cs="仿宋"/>
        </w:rPr>
      </w:pPr>
    </w:p>
    <w:p w14:paraId="62939C0E">
      <w:pPr>
        <w:pStyle w:val="13"/>
        <w:spacing w:line="360" w:lineRule="auto"/>
        <w:ind w:left="860" w:hanging="440"/>
        <w:rPr>
          <w:rFonts w:cs="仿宋"/>
        </w:rPr>
      </w:pPr>
    </w:p>
    <w:p w14:paraId="53D6AAEA">
      <w:pPr>
        <w:pStyle w:val="13"/>
        <w:spacing w:line="360" w:lineRule="auto"/>
        <w:ind w:left="860" w:hanging="440"/>
        <w:rPr>
          <w:rFonts w:cs="仿宋"/>
        </w:rPr>
      </w:pPr>
    </w:p>
    <w:p w14:paraId="6D67A713">
      <w:pPr>
        <w:pStyle w:val="13"/>
        <w:spacing w:line="360" w:lineRule="auto"/>
        <w:ind w:left="860" w:hanging="440"/>
        <w:rPr>
          <w:rFonts w:cs="仿宋"/>
        </w:rPr>
      </w:pPr>
    </w:p>
    <w:p w14:paraId="3C817C76">
      <w:pPr>
        <w:pStyle w:val="13"/>
        <w:spacing w:line="360" w:lineRule="auto"/>
        <w:ind w:left="860" w:hanging="440"/>
        <w:rPr>
          <w:rFonts w:cs="仿宋"/>
        </w:rPr>
      </w:pPr>
    </w:p>
    <w:p w14:paraId="4E909EBF">
      <w:pPr>
        <w:pStyle w:val="13"/>
        <w:spacing w:line="360" w:lineRule="auto"/>
        <w:ind w:left="860" w:hanging="440"/>
        <w:rPr>
          <w:rFonts w:cs="仿宋"/>
        </w:rPr>
      </w:pPr>
    </w:p>
    <w:p w14:paraId="1D26E419">
      <w:pPr>
        <w:pStyle w:val="13"/>
        <w:spacing w:line="360" w:lineRule="auto"/>
        <w:ind w:left="860" w:hanging="440"/>
        <w:rPr>
          <w:rFonts w:cs="仿宋"/>
        </w:rPr>
      </w:pPr>
    </w:p>
    <w:p w14:paraId="78095D55">
      <w:pPr>
        <w:pStyle w:val="13"/>
        <w:spacing w:line="360" w:lineRule="auto"/>
        <w:ind w:left="860" w:hanging="440"/>
        <w:rPr>
          <w:rFonts w:cs="仿宋"/>
        </w:rPr>
      </w:pPr>
    </w:p>
    <w:p w14:paraId="1A4E864F">
      <w:pPr>
        <w:pStyle w:val="13"/>
        <w:spacing w:line="360" w:lineRule="auto"/>
        <w:ind w:left="860" w:hanging="440"/>
        <w:rPr>
          <w:rFonts w:cs="仿宋"/>
        </w:rPr>
      </w:pPr>
    </w:p>
    <w:p w14:paraId="51834510">
      <w:pPr>
        <w:pStyle w:val="13"/>
        <w:spacing w:line="360" w:lineRule="auto"/>
        <w:ind w:left="860" w:hanging="440"/>
        <w:rPr>
          <w:rFonts w:cs="仿宋"/>
        </w:rPr>
      </w:pPr>
    </w:p>
    <w:p w14:paraId="33FD51C7">
      <w:pPr>
        <w:pStyle w:val="13"/>
        <w:spacing w:line="360" w:lineRule="auto"/>
        <w:ind w:left="860" w:hanging="440"/>
        <w:rPr>
          <w:rFonts w:cs="仿宋"/>
        </w:rPr>
      </w:pPr>
    </w:p>
    <w:p w14:paraId="18370667">
      <w:pPr>
        <w:pStyle w:val="13"/>
        <w:spacing w:line="360" w:lineRule="auto"/>
        <w:ind w:left="860" w:hanging="440"/>
        <w:rPr>
          <w:rFonts w:cs="仿宋"/>
        </w:rPr>
      </w:pPr>
    </w:p>
    <w:p w14:paraId="11FD5F5C">
      <w:pPr>
        <w:pStyle w:val="13"/>
        <w:spacing w:line="360" w:lineRule="auto"/>
        <w:ind w:left="860" w:hanging="440"/>
        <w:rPr>
          <w:rFonts w:cs="仿宋"/>
        </w:rPr>
      </w:pPr>
    </w:p>
    <w:p w14:paraId="403FF9E7">
      <w:pPr>
        <w:pStyle w:val="13"/>
        <w:spacing w:line="360" w:lineRule="auto"/>
        <w:ind w:left="860" w:hanging="440"/>
        <w:rPr>
          <w:rFonts w:cs="仿宋"/>
        </w:rPr>
      </w:pPr>
    </w:p>
    <w:p w14:paraId="7162F692">
      <w:pPr>
        <w:spacing w:line="360" w:lineRule="auto"/>
        <w:jc w:val="left"/>
        <w:rPr>
          <w:rFonts w:ascii="宋体" w:hAnsi="宋体" w:cs="仿宋"/>
        </w:rPr>
      </w:pPr>
      <w:r>
        <w:rPr>
          <w:rFonts w:hint="eastAsia" w:ascii="宋体" w:hAnsi="宋体" w:cs="仿宋"/>
          <w:b/>
          <w:bCs/>
          <w:sz w:val="30"/>
          <w:szCs w:val="30"/>
        </w:rPr>
        <w:t>附件</w:t>
      </w:r>
    </w:p>
    <w:p w14:paraId="356D445C">
      <w:pPr>
        <w:autoSpaceDE w:val="0"/>
        <w:autoSpaceDN w:val="0"/>
        <w:adjustRightInd w:val="0"/>
        <w:snapToGrid w:val="0"/>
        <w:spacing w:line="360" w:lineRule="auto"/>
        <w:jc w:val="center"/>
        <w:rPr>
          <w:rFonts w:ascii="宋体" w:hAnsi="宋体" w:cs="仿宋"/>
          <w:b/>
          <w:bCs/>
          <w:kern w:val="0"/>
          <w:sz w:val="28"/>
          <w:szCs w:val="28"/>
        </w:rPr>
      </w:pPr>
      <w:bookmarkStart w:id="170" w:name="_Toc24571"/>
      <w:bookmarkStart w:id="171" w:name="_Toc28996"/>
      <w:bookmarkStart w:id="172" w:name="_Toc27406"/>
      <w:r>
        <w:rPr>
          <w:rFonts w:hint="eastAsia" w:ascii="宋体" w:hAnsi="宋体" w:cs="仿宋"/>
          <w:b/>
          <w:bCs/>
          <w:kern w:val="0"/>
          <w:sz w:val="28"/>
          <w:szCs w:val="28"/>
        </w:rPr>
        <w:t>(一)</w:t>
      </w:r>
      <w:bookmarkEnd w:id="170"/>
      <w:bookmarkEnd w:id="171"/>
      <w:bookmarkEnd w:id="172"/>
      <w:r>
        <w:rPr>
          <w:rFonts w:hint="eastAsia" w:ascii="宋体" w:hAnsi="宋体" w:cs="仿宋"/>
          <w:b/>
          <w:bCs/>
          <w:kern w:val="0"/>
          <w:sz w:val="28"/>
          <w:szCs w:val="28"/>
        </w:rPr>
        <w:t>中小企业声明函（工程、服务）</w:t>
      </w:r>
    </w:p>
    <w:p w14:paraId="35D8637C">
      <w:pPr>
        <w:pStyle w:val="48"/>
        <w:widowControl/>
        <w:spacing w:line="312" w:lineRule="auto"/>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 xml:space="preserve">      （单位名称）</w:t>
      </w:r>
      <w:r>
        <w:rPr>
          <w:rFonts w:hint="eastAsia" w:ascii="宋体" w:hAnsi="宋体" w:eastAsia="宋体" w:cs="宋体"/>
          <w:sz w:val="24"/>
          <w:szCs w:val="24"/>
        </w:rPr>
        <w:t>的</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采购活动，工程的施工单位全部为符合政策要求的中小企业。相关企业（含联合体中的中小企业、签订分包意向协议的中小企业）的具体情况如下：</w:t>
      </w:r>
    </w:p>
    <w:p w14:paraId="68E916BE">
      <w:pPr>
        <w:pStyle w:val="48"/>
        <w:widowControl/>
        <w:spacing w:line="312" w:lineRule="auto"/>
        <w:rPr>
          <w:rFonts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u w:val="single"/>
        </w:rPr>
        <w:t xml:space="preserve">   （标的名称）</w:t>
      </w:r>
      <w:r>
        <w:rPr>
          <w:rFonts w:hint="eastAsia" w:ascii="宋体" w:hAnsi="宋体" w:eastAsia="宋体" w:cs="宋体"/>
          <w:sz w:val="24"/>
          <w:szCs w:val="24"/>
        </w:rPr>
        <w:t>，属于</w:t>
      </w:r>
      <w:r>
        <w:rPr>
          <w:rFonts w:hint="eastAsia" w:ascii="宋体" w:hAnsi="宋体" w:eastAsia="宋体" w:cs="宋体"/>
          <w:sz w:val="24"/>
          <w:szCs w:val="24"/>
          <w:u w:val="single"/>
        </w:rPr>
        <w:t xml:space="preserve">                    （采购文件中明确的所属行业）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6E1DF346">
      <w:pPr>
        <w:pStyle w:val="48"/>
        <w:widowControl/>
        <w:spacing w:line="312" w:lineRule="auto"/>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（标的名称）</w:t>
      </w:r>
      <w:r>
        <w:rPr>
          <w:rFonts w:hint="eastAsia" w:ascii="宋体" w:hAnsi="宋体" w:eastAsia="宋体" w:cs="宋体"/>
          <w:sz w:val="24"/>
          <w:szCs w:val="24"/>
        </w:rPr>
        <w:t>，属于</w:t>
      </w:r>
      <w:r>
        <w:rPr>
          <w:rFonts w:hint="eastAsia" w:ascii="宋体" w:hAnsi="宋体" w:eastAsia="宋体" w:cs="宋体"/>
          <w:sz w:val="24"/>
          <w:szCs w:val="24"/>
          <w:u w:val="single"/>
        </w:rPr>
        <w:t xml:space="preserve">                    （采购文件中明确的所属行业）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 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320284E3">
      <w:pPr>
        <w:pStyle w:val="48"/>
        <w:widowControl/>
        <w:spacing w:line="312" w:lineRule="auto"/>
        <w:rPr>
          <w:rFonts w:ascii="宋体" w:hAnsi="宋体" w:eastAsia="宋体" w:cs="宋体"/>
          <w:sz w:val="24"/>
          <w:szCs w:val="24"/>
        </w:rPr>
      </w:pPr>
      <w:r>
        <w:rPr>
          <w:rFonts w:hint="eastAsia" w:ascii="宋体" w:hAnsi="宋体" w:eastAsia="宋体" w:cs="宋体"/>
          <w:sz w:val="24"/>
          <w:szCs w:val="24"/>
        </w:rPr>
        <w:t>……</w:t>
      </w:r>
    </w:p>
    <w:p w14:paraId="2592472A">
      <w:pPr>
        <w:pStyle w:val="48"/>
        <w:widowControl/>
        <w:spacing w:line="312" w:lineRule="auto"/>
        <w:rPr>
          <w:rFonts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150BF4BC">
      <w:pPr>
        <w:pStyle w:val="48"/>
        <w:widowControl/>
        <w:spacing w:line="312" w:lineRule="auto"/>
        <w:rPr>
          <w:rFonts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79E2D27B">
      <w:pPr>
        <w:pStyle w:val="48"/>
        <w:widowControl/>
        <w:spacing w:line="312" w:lineRule="auto"/>
        <w:rPr>
          <w:rFonts w:ascii="宋体" w:hAnsi="宋体" w:eastAsia="宋体" w:cs="宋体"/>
          <w:sz w:val="24"/>
          <w:szCs w:val="24"/>
        </w:rPr>
      </w:pPr>
    </w:p>
    <w:p w14:paraId="2A793D03">
      <w:pPr>
        <w:pStyle w:val="48"/>
        <w:widowControl/>
        <w:spacing w:line="312" w:lineRule="auto"/>
        <w:ind w:firstLine="0"/>
        <w:rPr>
          <w:rFonts w:ascii="宋体" w:hAnsi="宋体" w:eastAsia="宋体" w:cs="宋体"/>
          <w:sz w:val="24"/>
          <w:szCs w:val="24"/>
        </w:rPr>
      </w:pPr>
    </w:p>
    <w:p w14:paraId="1D0927F7">
      <w:pPr>
        <w:pStyle w:val="48"/>
        <w:widowControl/>
        <w:spacing w:line="312" w:lineRule="auto"/>
        <w:ind w:firstLine="0"/>
        <w:rPr>
          <w:rFonts w:ascii="宋体" w:hAnsi="宋体" w:eastAsia="宋体" w:cs="宋体"/>
          <w:sz w:val="24"/>
          <w:szCs w:val="24"/>
        </w:rPr>
      </w:pPr>
    </w:p>
    <w:p w14:paraId="0A1CEB05">
      <w:pPr>
        <w:pStyle w:val="48"/>
        <w:widowControl/>
        <w:spacing w:line="312" w:lineRule="auto"/>
        <w:ind w:firstLine="0"/>
        <w:rPr>
          <w:rFonts w:ascii="宋体" w:hAnsi="宋体" w:eastAsia="宋体" w:cs="宋体"/>
          <w:sz w:val="24"/>
          <w:szCs w:val="24"/>
        </w:rPr>
      </w:pPr>
      <w:r>
        <w:rPr>
          <w:rFonts w:hint="eastAsia" w:ascii="宋体" w:hAnsi="宋体" w:eastAsia="宋体" w:cs="宋体"/>
          <w:sz w:val="24"/>
          <w:szCs w:val="24"/>
        </w:rPr>
        <w:t>企业名称：</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10C47F32">
      <w:pPr>
        <w:pStyle w:val="48"/>
        <w:widowControl/>
        <w:spacing w:line="312" w:lineRule="auto"/>
        <w:ind w:firstLine="0"/>
        <w:rPr>
          <w:rFonts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80DA732">
      <w:pPr>
        <w:pStyle w:val="10"/>
        <w:spacing w:before="35" w:line="480" w:lineRule="auto"/>
        <w:ind w:right="2166" w:firstLine="480" w:firstLineChars="200"/>
        <w:rPr>
          <w:rFonts w:cs="仿宋"/>
          <w:sz w:val="24"/>
          <w:szCs w:val="24"/>
        </w:rPr>
      </w:pPr>
    </w:p>
    <w:p w14:paraId="0071A323">
      <w:pPr>
        <w:spacing w:line="480" w:lineRule="auto"/>
        <w:jc w:val="center"/>
        <w:rPr>
          <w:rFonts w:ascii="宋体" w:hAnsi="宋体" w:cs="仿宋"/>
          <w:b/>
          <w:bCs/>
          <w:sz w:val="24"/>
        </w:rPr>
      </w:pPr>
    </w:p>
    <w:p w14:paraId="228C1D34">
      <w:pPr>
        <w:spacing w:line="480" w:lineRule="auto"/>
        <w:jc w:val="center"/>
        <w:rPr>
          <w:rFonts w:ascii="宋体" w:hAnsi="宋体" w:cs="仿宋"/>
          <w:sz w:val="24"/>
        </w:rPr>
      </w:pPr>
      <w:r>
        <w:rPr>
          <w:rFonts w:hint="eastAsia" w:ascii="宋体" w:hAnsi="宋体" w:cs="仿宋"/>
          <w:sz w:val="24"/>
        </w:rPr>
        <w:t>（注：符合中小企业划型标准的企业请提供本函，不符合的不提供本函）</w:t>
      </w:r>
    </w:p>
    <w:p w14:paraId="01A5EE69">
      <w:pPr>
        <w:autoSpaceDE w:val="0"/>
        <w:autoSpaceDN w:val="0"/>
        <w:adjustRightInd w:val="0"/>
        <w:snapToGrid w:val="0"/>
        <w:spacing w:line="360" w:lineRule="auto"/>
        <w:jc w:val="center"/>
        <w:rPr>
          <w:rFonts w:ascii="宋体" w:hAnsi="宋体" w:cs="仿宋"/>
          <w:b/>
          <w:bCs/>
          <w:kern w:val="0"/>
          <w:sz w:val="28"/>
          <w:szCs w:val="28"/>
        </w:rPr>
      </w:pPr>
    </w:p>
    <w:p w14:paraId="31940972">
      <w:pPr>
        <w:autoSpaceDE w:val="0"/>
        <w:autoSpaceDN w:val="0"/>
        <w:adjustRightInd w:val="0"/>
        <w:snapToGrid w:val="0"/>
        <w:spacing w:line="360" w:lineRule="auto"/>
        <w:jc w:val="center"/>
        <w:rPr>
          <w:rFonts w:ascii="宋体" w:hAnsi="宋体" w:cs="仿宋"/>
          <w:b/>
          <w:bCs/>
          <w:kern w:val="0"/>
          <w:sz w:val="28"/>
          <w:szCs w:val="28"/>
        </w:rPr>
      </w:pPr>
    </w:p>
    <w:p w14:paraId="2ABA0BA7">
      <w:pPr>
        <w:autoSpaceDE w:val="0"/>
        <w:autoSpaceDN w:val="0"/>
        <w:adjustRightInd w:val="0"/>
        <w:snapToGrid w:val="0"/>
        <w:spacing w:line="360" w:lineRule="auto"/>
        <w:jc w:val="center"/>
        <w:rPr>
          <w:rFonts w:ascii="宋体" w:hAnsi="宋体" w:cs="仿宋"/>
          <w:b/>
          <w:bCs/>
          <w:kern w:val="0"/>
          <w:sz w:val="28"/>
          <w:szCs w:val="28"/>
        </w:rPr>
      </w:pPr>
    </w:p>
    <w:p w14:paraId="13111FC0">
      <w:pPr>
        <w:autoSpaceDE w:val="0"/>
        <w:autoSpaceDN w:val="0"/>
        <w:adjustRightInd w:val="0"/>
        <w:snapToGrid w:val="0"/>
        <w:spacing w:line="360" w:lineRule="auto"/>
        <w:jc w:val="center"/>
        <w:rPr>
          <w:rFonts w:ascii="宋体" w:hAnsi="宋体" w:cs="仿宋"/>
          <w:b/>
          <w:bCs/>
          <w:kern w:val="0"/>
          <w:sz w:val="28"/>
          <w:szCs w:val="28"/>
        </w:rPr>
      </w:pPr>
    </w:p>
    <w:p w14:paraId="2524FD6D">
      <w:pPr>
        <w:autoSpaceDE w:val="0"/>
        <w:autoSpaceDN w:val="0"/>
        <w:adjustRightInd w:val="0"/>
        <w:snapToGrid w:val="0"/>
        <w:spacing w:line="360" w:lineRule="auto"/>
        <w:jc w:val="center"/>
        <w:rPr>
          <w:rFonts w:ascii="宋体" w:hAnsi="宋体" w:cs="仿宋"/>
          <w:b/>
          <w:bCs/>
          <w:kern w:val="0"/>
          <w:sz w:val="28"/>
          <w:szCs w:val="28"/>
        </w:rPr>
      </w:pPr>
    </w:p>
    <w:p w14:paraId="06E37A9D">
      <w:pPr>
        <w:autoSpaceDE w:val="0"/>
        <w:autoSpaceDN w:val="0"/>
        <w:adjustRightInd w:val="0"/>
        <w:snapToGrid w:val="0"/>
        <w:spacing w:line="360" w:lineRule="auto"/>
        <w:jc w:val="center"/>
        <w:rPr>
          <w:rFonts w:ascii="宋体" w:hAnsi="宋体" w:cs="仿宋"/>
          <w:b/>
          <w:bCs/>
          <w:kern w:val="0"/>
          <w:sz w:val="28"/>
          <w:szCs w:val="28"/>
        </w:rPr>
      </w:pPr>
    </w:p>
    <w:p w14:paraId="6B63A407">
      <w:pPr>
        <w:autoSpaceDE w:val="0"/>
        <w:autoSpaceDN w:val="0"/>
        <w:adjustRightInd w:val="0"/>
        <w:snapToGrid w:val="0"/>
        <w:spacing w:line="360" w:lineRule="auto"/>
        <w:jc w:val="center"/>
        <w:rPr>
          <w:rFonts w:ascii="宋体" w:hAnsi="宋体" w:cs="仿宋"/>
          <w:b/>
          <w:bCs/>
          <w:kern w:val="0"/>
          <w:sz w:val="28"/>
          <w:szCs w:val="28"/>
        </w:rPr>
      </w:pPr>
    </w:p>
    <w:p w14:paraId="7449232A">
      <w:pPr>
        <w:autoSpaceDE w:val="0"/>
        <w:autoSpaceDN w:val="0"/>
        <w:adjustRightInd w:val="0"/>
        <w:snapToGrid w:val="0"/>
        <w:spacing w:line="360" w:lineRule="auto"/>
        <w:jc w:val="center"/>
        <w:rPr>
          <w:rFonts w:ascii="宋体" w:hAnsi="宋体" w:cs="仿宋"/>
          <w:b/>
          <w:bCs/>
          <w:kern w:val="0"/>
          <w:sz w:val="28"/>
          <w:szCs w:val="28"/>
          <w:lang w:val="zh-CN"/>
        </w:rPr>
      </w:pPr>
      <w:r>
        <w:rPr>
          <w:rFonts w:hint="eastAsia" w:ascii="宋体" w:hAnsi="宋体" w:cs="仿宋"/>
          <w:b/>
          <w:bCs/>
          <w:kern w:val="0"/>
          <w:sz w:val="28"/>
          <w:szCs w:val="28"/>
        </w:rPr>
        <w:t>(二)</w:t>
      </w:r>
      <w:r>
        <w:rPr>
          <w:rFonts w:hint="eastAsia" w:ascii="宋体" w:hAnsi="宋体" w:cs="仿宋"/>
          <w:b/>
          <w:bCs/>
          <w:kern w:val="0"/>
          <w:sz w:val="28"/>
          <w:szCs w:val="28"/>
          <w:lang w:val="zh-CN"/>
        </w:rPr>
        <w:t>监狱企业证明</w:t>
      </w:r>
    </w:p>
    <w:p w14:paraId="34D6EE58">
      <w:pPr>
        <w:autoSpaceDE w:val="0"/>
        <w:autoSpaceDN w:val="0"/>
        <w:adjustRightInd w:val="0"/>
        <w:snapToGrid w:val="0"/>
        <w:spacing w:line="360" w:lineRule="auto"/>
        <w:ind w:firstLine="480" w:firstLineChars="200"/>
        <w:jc w:val="left"/>
        <w:rPr>
          <w:rFonts w:ascii="宋体" w:hAnsi="宋体" w:cs="仿宋"/>
          <w:kern w:val="0"/>
          <w:sz w:val="24"/>
          <w:lang w:val="zh-CN"/>
        </w:rPr>
      </w:pPr>
      <w:r>
        <w:rPr>
          <w:rFonts w:hint="eastAsia" w:ascii="宋体" w:hAnsi="宋体" w:cs="仿宋"/>
          <w:kern w:val="0"/>
          <w:sz w:val="24"/>
          <w:lang w:val="zh-CN"/>
        </w:rPr>
        <w:t xml:space="preserve">提供由省级以上监狱管理局、戒毒管理局（含新疆生产建设兵团）出具的属于监狱企业的证明文件。 </w:t>
      </w:r>
    </w:p>
    <w:p w14:paraId="34826D60">
      <w:pPr>
        <w:autoSpaceDE w:val="0"/>
        <w:autoSpaceDN w:val="0"/>
        <w:adjustRightInd w:val="0"/>
        <w:snapToGrid w:val="0"/>
        <w:spacing w:line="360" w:lineRule="auto"/>
        <w:jc w:val="left"/>
        <w:rPr>
          <w:rFonts w:ascii="宋体" w:hAnsi="宋体" w:cs="仿宋"/>
          <w:kern w:val="0"/>
          <w:sz w:val="24"/>
          <w:lang w:val="zh-CN"/>
        </w:rPr>
      </w:pPr>
      <w:r>
        <w:rPr>
          <w:rFonts w:hint="eastAsia" w:ascii="宋体" w:hAnsi="宋体" w:cs="仿宋"/>
          <w:kern w:val="0"/>
          <w:sz w:val="24"/>
          <w:lang w:val="zh-CN"/>
        </w:rPr>
        <w:t xml:space="preserve"> </w:t>
      </w:r>
    </w:p>
    <w:p w14:paraId="0AAAD9B0">
      <w:pPr>
        <w:autoSpaceDE w:val="0"/>
        <w:autoSpaceDN w:val="0"/>
        <w:adjustRightInd w:val="0"/>
        <w:snapToGrid w:val="0"/>
        <w:spacing w:line="360" w:lineRule="auto"/>
        <w:ind w:firstLine="480" w:firstLineChars="200"/>
        <w:jc w:val="left"/>
        <w:rPr>
          <w:rFonts w:ascii="宋体" w:hAnsi="宋体" w:cs="仿宋"/>
          <w:kern w:val="0"/>
          <w:sz w:val="24"/>
          <w:lang w:val="zh-CN"/>
        </w:rPr>
      </w:pPr>
      <w:r>
        <w:rPr>
          <w:rFonts w:hint="eastAsia" w:ascii="宋体" w:hAnsi="宋体" w:cs="仿宋"/>
          <w:kern w:val="0"/>
          <w:sz w:val="24"/>
          <w:lang w:val="zh-CN"/>
        </w:rPr>
        <w:t>（注：符合条件的监狱企业请提供本函，不符合的不提供本函）</w:t>
      </w:r>
    </w:p>
    <w:p w14:paraId="304C3B57">
      <w:pPr>
        <w:autoSpaceDE w:val="0"/>
        <w:autoSpaceDN w:val="0"/>
        <w:adjustRightInd w:val="0"/>
        <w:snapToGrid w:val="0"/>
        <w:spacing w:line="360" w:lineRule="auto"/>
        <w:jc w:val="center"/>
        <w:rPr>
          <w:rFonts w:ascii="宋体" w:hAnsi="宋体" w:cs="仿宋"/>
          <w:b/>
          <w:bCs/>
          <w:kern w:val="0"/>
          <w:sz w:val="28"/>
          <w:szCs w:val="28"/>
        </w:rPr>
      </w:pPr>
    </w:p>
    <w:p w14:paraId="31B4549A">
      <w:pPr>
        <w:autoSpaceDE w:val="0"/>
        <w:autoSpaceDN w:val="0"/>
        <w:adjustRightInd w:val="0"/>
        <w:snapToGrid w:val="0"/>
        <w:spacing w:line="360" w:lineRule="auto"/>
        <w:jc w:val="center"/>
        <w:rPr>
          <w:rFonts w:ascii="宋体" w:hAnsi="宋体" w:cs="仿宋"/>
          <w:b/>
          <w:bCs/>
          <w:kern w:val="0"/>
          <w:sz w:val="28"/>
          <w:szCs w:val="28"/>
        </w:rPr>
      </w:pPr>
    </w:p>
    <w:p w14:paraId="3542DFC8">
      <w:pPr>
        <w:autoSpaceDE w:val="0"/>
        <w:autoSpaceDN w:val="0"/>
        <w:adjustRightInd w:val="0"/>
        <w:snapToGrid w:val="0"/>
        <w:spacing w:line="360" w:lineRule="auto"/>
        <w:jc w:val="center"/>
        <w:rPr>
          <w:rFonts w:ascii="宋体" w:hAnsi="宋体" w:cs="仿宋"/>
          <w:b/>
          <w:bCs/>
          <w:kern w:val="0"/>
          <w:sz w:val="28"/>
          <w:szCs w:val="28"/>
        </w:rPr>
      </w:pPr>
    </w:p>
    <w:p w14:paraId="45F8A763">
      <w:pPr>
        <w:autoSpaceDE w:val="0"/>
        <w:autoSpaceDN w:val="0"/>
        <w:adjustRightInd w:val="0"/>
        <w:snapToGrid w:val="0"/>
        <w:spacing w:line="360" w:lineRule="auto"/>
        <w:jc w:val="center"/>
        <w:rPr>
          <w:rFonts w:ascii="宋体" w:hAnsi="宋体" w:cs="仿宋"/>
          <w:b/>
          <w:bCs/>
          <w:kern w:val="0"/>
          <w:sz w:val="28"/>
          <w:szCs w:val="28"/>
        </w:rPr>
      </w:pPr>
    </w:p>
    <w:p w14:paraId="3F08D360">
      <w:pPr>
        <w:autoSpaceDE w:val="0"/>
        <w:autoSpaceDN w:val="0"/>
        <w:adjustRightInd w:val="0"/>
        <w:snapToGrid w:val="0"/>
        <w:spacing w:line="360" w:lineRule="auto"/>
        <w:jc w:val="center"/>
        <w:rPr>
          <w:rFonts w:ascii="宋体" w:hAnsi="宋体" w:cs="仿宋"/>
          <w:b/>
          <w:bCs/>
          <w:kern w:val="0"/>
          <w:sz w:val="28"/>
          <w:szCs w:val="28"/>
          <w:lang w:val="zh-CN"/>
        </w:rPr>
      </w:pPr>
      <w:r>
        <w:rPr>
          <w:rFonts w:hint="eastAsia" w:ascii="宋体" w:hAnsi="宋体" w:cs="仿宋"/>
          <w:b/>
          <w:bCs/>
          <w:kern w:val="0"/>
          <w:sz w:val="28"/>
          <w:szCs w:val="28"/>
        </w:rPr>
        <w:t>(三)</w:t>
      </w:r>
      <w:r>
        <w:rPr>
          <w:rFonts w:hint="eastAsia" w:ascii="宋体" w:hAnsi="宋体" w:cs="仿宋"/>
          <w:b/>
          <w:bCs/>
          <w:kern w:val="0"/>
          <w:sz w:val="28"/>
          <w:szCs w:val="28"/>
          <w:lang w:val="zh-CN"/>
        </w:rPr>
        <w:t>残疾人福利性单位声明函</w:t>
      </w:r>
    </w:p>
    <w:p w14:paraId="50A1D9AC">
      <w:pPr>
        <w:autoSpaceDE w:val="0"/>
        <w:autoSpaceDN w:val="0"/>
        <w:adjustRightInd w:val="0"/>
        <w:snapToGrid w:val="0"/>
        <w:spacing w:line="360" w:lineRule="auto"/>
        <w:ind w:firstLine="480" w:firstLineChars="200"/>
        <w:jc w:val="left"/>
        <w:rPr>
          <w:rFonts w:ascii="宋体" w:hAnsi="宋体" w:cs="仿宋"/>
          <w:kern w:val="0"/>
          <w:sz w:val="24"/>
          <w:lang w:val="zh-CN"/>
        </w:rPr>
      </w:pPr>
      <w:r>
        <w:rPr>
          <w:rFonts w:hint="eastAsia" w:ascii="宋体" w:hAnsi="宋体" w:cs="仿宋"/>
          <w:kern w:val="0"/>
          <w:sz w:val="24"/>
          <w:lang w:val="zh-CN"/>
        </w:rPr>
        <w:t>本单位郑重声明，根据《财政部民政部中国残疾人联合会关于促进残疾人就业政府采购政策的通知》（财库〔2017〕141 号）的规定，本单位为符合条件的残疾人福利性单位，且本单位参加____________单位的____________项目采购活动提供本单位制造的货物（由本单位承担工程/提供服务），或者提供其他残疾人福利性单位制造的货物（不包括使用非残疾人福利性单位注册商标的货物）。</w:t>
      </w:r>
    </w:p>
    <w:p w14:paraId="6C28867B">
      <w:pPr>
        <w:autoSpaceDE w:val="0"/>
        <w:autoSpaceDN w:val="0"/>
        <w:adjustRightInd w:val="0"/>
        <w:snapToGrid w:val="0"/>
        <w:spacing w:line="360" w:lineRule="auto"/>
        <w:ind w:firstLine="480" w:firstLineChars="200"/>
        <w:jc w:val="left"/>
        <w:rPr>
          <w:rFonts w:ascii="宋体" w:hAnsi="宋体" w:cs="仿宋"/>
          <w:kern w:val="0"/>
          <w:sz w:val="24"/>
          <w:lang w:val="zh-CN"/>
        </w:rPr>
      </w:pPr>
      <w:r>
        <w:rPr>
          <w:rFonts w:hint="eastAsia" w:ascii="宋体" w:hAnsi="宋体" w:cs="仿宋"/>
          <w:kern w:val="0"/>
          <w:sz w:val="24"/>
          <w:lang w:val="zh-CN"/>
        </w:rPr>
        <w:t>本单位对上述声明的真实性负责。如有虚假，将依法承担相应责任。</w:t>
      </w:r>
    </w:p>
    <w:p w14:paraId="69BC0535">
      <w:pPr>
        <w:spacing w:line="360" w:lineRule="auto"/>
        <w:rPr>
          <w:rFonts w:ascii="宋体" w:hAnsi="宋体" w:cs="仿宋"/>
          <w:lang w:val="zh-CN"/>
        </w:rPr>
      </w:pPr>
    </w:p>
    <w:p w14:paraId="6D20AB13">
      <w:pPr>
        <w:autoSpaceDE w:val="0"/>
        <w:autoSpaceDN w:val="0"/>
        <w:adjustRightInd w:val="0"/>
        <w:snapToGrid w:val="0"/>
        <w:spacing w:line="360" w:lineRule="auto"/>
        <w:ind w:firstLine="2400" w:firstLineChars="1000"/>
        <w:jc w:val="left"/>
        <w:rPr>
          <w:rFonts w:ascii="宋体" w:hAnsi="宋体" w:cs="仿宋"/>
          <w:kern w:val="0"/>
          <w:sz w:val="24"/>
          <w:lang w:val="zh-CN"/>
        </w:rPr>
      </w:pPr>
      <w:r>
        <w:rPr>
          <w:rFonts w:hint="eastAsia" w:ascii="宋体" w:hAnsi="宋体" w:cs="仿宋"/>
          <w:kern w:val="0"/>
          <w:sz w:val="24"/>
          <w:lang w:val="zh-CN"/>
        </w:rPr>
        <w:t>投标人名称：          （盖单位公章）</w:t>
      </w:r>
    </w:p>
    <w:p w14:paraId="194FFC87">
      <w:pPr>
        <w:autoSpaceDE w:val="0"/>
        <w:autoSpaceDN w:val="0"/>
        <w:adjustRightInd w:val="0"/>
        <w:snapToGrid w:val="0"/>
        <w:spacing w:line="360" w:lineRule="auto"/>
        <w:ind w:firstLine="3600" w:firstLineChars="1500"/>
        <w:jc w:val="left"/>
        <w:rPr>
          <w:rFonts w:ascii="宋体" w:hAnsi="宋体" w:cs="仿宋"/>
          <w:kern w:val="0"/>
          <w:sz w:val="24"/>
          <w:lang w:val="zh-CN"/>
        </w:rPr>
      </w:pPr>
      <w:r>
        <w:rPr>
          <w:rFonts w:hint="eastAsia" w:ascii="宋体" w:hAnsi="宋体" w:cs="仿宋"/>
          <w:kern w:val="0"/>
          <w:sz w:val="24"/>
          <w:lang w:val="zh-CN"/>
        </w:rPr>
        <w:t>年    月    日</w:t>
      </w:r>
    </w:p>
    <w:p w14:paraId="2C978E00">
      <w:pPr>
        <w:spacing w:before="132" w:line="360" w:lineRule="auto"/>
        <w:ind w:right="543"/>
        <w:jc w:val="center"/>
        <w:rPr>
          <w:rFonts w:ascii="宋体" w:hAnsi="宋体" w:cs="仿宋"/>
          <w:sz w:val="24"/>
          <w:szCs w:val="32"/>
        </w:rPr>
      </w:pPr>
      <w:r>
        <w:rPr>
          <w:rFonts w:hint="eastAsia" w:ascii="宋体" w:hAnsi="宋体" w:cs="仿宋"/>
          <w:sz w:val="24"/>
          <w:szCs w:val="32"/>
        </w:rPr>
        <w:t>（注：符合条件的残疾人福利性企业请提供本函，不符合的不提供本函）</w:t>
      </w:r>
    </w:p>
    <w:sectPr>
      <w:headerReference r:id="rId6" w:type="default"/>
      <w:footerReference r:id="rId7"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3F30F">
    <w:pPr>
      <w:pStyle w:val="10"/>
      <w:spacing w:line="14" w:lineRule="auto"/>
      <w:rPr>
        <w:sz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8420" cy="139700"/>
              <wp:effectExtent l="0" t="0" r="0" b="0"/>
              <wp:wrapNone/>
              <wp:docPr id="101720324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E3DD6FC">
                          <w:pPr>
                            <w:pStyle w:val="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6540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tbuXfQAAAAAgEAAA8AAAAAAAAAAQAgAAAAIgAA&#10;AGRycy9kb3ducmV2LnhtbFBLAQIUABQAAAAIAIdO4kCz28XeEAIAAAoEAAAOAAAAAAAAAAEAIAAA&#10;AB8BAABkcnMvZTJvRG9jLnhtbFBLBQYAAAAABgAGAFkBAAChBQAAAAA=&#10;">
              <v:fill on="f" focussize="0,0"/>
              <v:stroke on="f"/>
              <v:imagedata o:title=""/>
              <o:lock v:ext="edit" aspectratio="f"/>
              <v:textbox inset="0mm,0mm,0mm,0mm" style="mso-fit-shape-to-text:t;">
                <w:txbxContent>
                  <w:p w14:paraId="5E3DD6FC">
                    <w:pPr>
                      <w:pStyle w:val="2"/>
                    </w:pPr>
                    <w:r>
                      <w:fldChar w:fldCharType="begin"/>
                    </w:r>
                    <w:r>
                      <w:instrText xml:space="preserve"> PAGE  \* MERGEFORMAT </w:instrText>
                    </w:r>
                    <w:r>
                      <w:fldChar w:fldCharType="separate"/>
                    </w:r>
                    <w:r>
                      <w:t>2</w:t>
                    </w:r>
                    <w:r>
                      <w:fldChar w:fldCharType="end"/>
                    </w:r>
                  </w:p>
                </w:txbxContent>
              </v:textbox>
            </v:shape>
          </w:pict>
        </mc:Fallback>
      </mc:AlternateContent>
    </w:r>
    <w:r>
      <w:rPr>
        <w:lang w:val="en-US"/>
      </w:rPr>
      <mc:AlternateContent>
        <mc:Choice Requires="wps">
          <w:drawing>
            <wp:anchor distT="0" distB="0" distL="114300" distR="114300" simplePos="0" relativeHeight="251663360" behindDoc="0" locked="0" layoutInCell="1" allowOverlap="1">
              <wp:simplePos x="0" y="0"/>
              <wp:positionH relativeFrom="margin">
                <wp:posOffset>2428875</wp:posOffset>
              </wp:positionH>
              <wp:positionV relativeFrom="paragraph">
                <wp:posOffset>0</wp:posOffset>
              </wp:positionV>
              <wp:extent cx="103505" cy="1397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a:effectLst/>
                    </wps:spPr>
                    <wps:txbx>
                      <w:txbxContent>
                        <w:p w14:paraId="5096C848">
                          <w:pPr>
                            <w:pStyle w:val="2"/>
                          </w:pPr>
                        </w:p>
                      </w:txbxContent>
                    </wps:txbx>
                    <wps:bodyPr wrap="none" lIns="0" tIns="0" rIns="0" bIns="0" upright="1">
                      <a:spAutoFit/>
                    </wps:bodyPr>
                  </wps:wsp>
                </a:graphicData>
              </a:graphic>
            </wp:anchor>
          </w:drawing>
        </mc:Choice>
        <mc:Fallback>
          <w:pict>
            <v:shape id="文本框 11" o:spid="_x0000_s1026" o:spt="202" type="#_x0000_t202" style="position:absolute;left:0pt;margin-left:191.25pt;margin-top:0pt;height:11pt;width:8.15pt;mso-position-horizontal-relative:margin;mso-wrap-style:none;z-index:251663360;mso-width-relative:page;mso-height-relative:page;" filled="f" stroked="f" coordsize="21600,21600" o:gfxdata="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U+y2HTAAAABwEAAA8AAAAAAAAAAQAgAAAAIgAA&#10;AGRycy9kb3ducmV2LnhtbFBLAQIUABQAAAAIAIdO4kAPEe2G1AEAAKYDAAAOAAAAAAAAAAEAIAAA&#10;ACIBAABkcnMvZTJvRG9jLnhtbFBLBQYAAAAABgAGAFkBAABoBQAAAAA=&#10;">
              <v:fill on="f" focussize="0,0"/>
              <v:stroke on="f"/>
              <v:imagedata o:title=""/>
              <o:lock v:ext="edit" aspectratio="f"/>
              <v:textbox inset="0mm,0mm,0mm,0mm" style="mso-fit-shape-to-text:t;">
                <w:txbxContent>
                  <w:p w14:paraId="5096C848">
                    <w:pPr>
                      <w:pStyle w:val="2"/>
                    </w:pPr>
                  </w:p>
                </w:txbxContent>
              </v:textbox>
            </v:shape>
          </w:pict>
        </mc:Fallback>
      </mc:AlternateContent>
    </w: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28930" cy="1397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328930" cy="139700"/>
                      </a:xfrm>
                      <a:prstGeom prst="rect">
                        <a:avLst/>
                      </a:prstGeom>
                      <a:noFill/>
                      <a:ln w="6350">
                        <a:noFill/>
                      </a:ln>
                      <a:effectLst/>
                    </wps:spPr>
                    <wps:txbx>
                      <w:txbxContent>
                        <w:p w14:paraId="4565230A">
                          <w:pPr>
                            <w:pStyle w:val="2"/>
                            <w:rPr>
                              <w:b/>
                              <w:bCs/>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top:0pt;height:11pt;width:25.9pt;mso-position-horizontal:center;mso-position-horizontal-relative:margin;z-index:251661312;mso-width-relative:page;mso-height-relative:page;" filled="f" stroked="f" coordsize="21600,21600" o:gfxdata="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ZBJnb0gAAAAMBAAAPAAAAAAAAAAEAIAAAACIAAABkcnMvZG93bnJldi54&#10;bWxQSwECFAAUAAAACACHTuJAI+WsxzkCAABkBAAADgAAAAAAAAABACAAAAAhAQAAZHJzL2Uyb0Rv&#10;Yy54bWxQSwUGAAAAAAYABgBZAQAAzAUAAAAA&#10;">
              <v:fill on="f" focussize="0,0"/>
              <v:stroke on="f" weight="0.5pt"/>
              <v:imagedata o:title=""/>
              <o:lock v:ext="edit" aspectratio="f"/>
              <v:textbox inset="0mm,0mm,0mm,0mm" style="mso-fit-shape-to-text:t;">
                <w:txbxContent>
                  <w:p w14:paraId="4565230A">
                    <w:pPr>
                      <w:pStyle w:val="2"/>
                      <w:rPr>
                        <w:b/>
                        <w:bCs/>
                      </w:rPr>
                    </w:pPr>
                  </w:p>
                </w:txbxContent>
              </v:textbox>
            </v:shape>
          </w:pict>
        </mc:Fallback>
      </mc:AlternateContent>
    </w:r>
    <w:r>
      <w:rPr>
        <w:lang w:val="en-US"/>
      </w:rPr>
      <mc:AlternateContent>
        <mc:Choice Requires="wps">
          <w:drawing>
            <wp:anchor distT="0" distB="0" distL="114300" distR="114300" simplePos="0" relativeHeight="251660288" behindDoc="1" locked="0" layoutInCell="1" allowOverlap="1">
              <wp:simplePos x="0" y="0"/>
              <wp:positionH relativeFrom="page">
                <wp:posOffset>3766820</wp:posOffset>
              </wp:positionH>
              <wp:positionV relativeFrom="page">
                <wp:posOffset>9704070</wp:posOffset>
              </wp:positionV>
              <wp:extent cx="167005" cy="1524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w="9525">
                        <a:noFill/>
                      </a:ln>
                      <a:effectLst/>
                    </wps:spPr>
                    <wps:txbx>
                      <w:txbxContent>
                        <w:p w14:paraId="57574645">
                          <w:pPr>
                            <w:spacing w:before="12"/>
                            <w:rPr>
                              <w:rFonts w:ascii="Times New Roman"/>
                              <w:sz w:val="18"/>
                            </w:rPr>
                          </w:pPr>
                        </w:p>
                      </w:txbxContent>
                    </wps:txbx>
                    <wps:bodyPr lIns="0" tIns="0" rIns="0" bIns="0" upright="1"/>
                  </wps:wsp>
                </a:graphicData>
              </a:graphic>
            </wp:anchor>
          </w:drawing>
        </mc:Choice>
        <mc:Fallback>
          <w:pict>
            <v:shape id="文本框 9" o:spid="_x0000_s1026" o:spt="202" type="#_x0000_t202" style="position:absolute;left:0pt;margin-left:296.6pt;margin-top:764.1pt;height:12pt;width:13.15pt;mso-position-horizontal-relative:page;mso-position-vertical-relative:page;z-index:-251656192;mso-width-relative:page;mso-height-relative:page;" filled="f" stroked="f" coordsize="21600,21600" o:gfxdata="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9OWKnaAAAADQEAAA8AAAAAAAAAAQAgAAAAIgAAAGRycy9k&#10;b3ducmV2LnhtbFBLAQIUABQAAAAIAIdO4kDHfiN2xwEAAIgDAAAOAAAAAAAAAAEAIAAAACkBAABk&#10;cnMvZTJvRG9jLnhtbFBLBQYAAAAABgAGAFkBAABiBQAAAAA=&#10;">
              <v:fill on="f" focussize="0,0"/>
              <v:stroke on="f"/>
              <v:imagedata o:title=""/>
              <o:lock v:ext="edit" aspectratio="f"/>
              <v:textbox inset="0mm,0mm,0mm,0mm">
                <w:txbxContent>
                  <w:p w14:paraId="57574645">
                    <w:pPr>
                      <w:spacing w:before="12"/>
                      <w:rPr>
                        <w:rFonts w:ascii="Times New Roman"/>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6D242">
    <w:pPr>
      <w:pStyle w:val="2"/>
      <w:jc w:val="center"/>
    </w:pPr>
    <w:r>
      <mc:AlternateContent>
        <mc:Choice Requires="wps">
          <w:drawing>
            <wp:anchor distT="0" distB="0" distL="114300" distR="114300" simplePos="0" relativeHeight="251664384" behindDoc="0" locked="0" layoutInCell="1" allowOverlap="1">
              <wp:simplePos x="0" y="0"/>
              <wp:positionH relativeFrom="margin">
                <wp:posOffset>3014980</wp:posOffset>
              </wp:positionH>
              <wp:positionV relativeFrom="paragraph">
                <wp:posOffset>0</wp:posOffset>
              </wp:positionV>
              <wp:extent cx="364490" cy="200660"/>
              <wp:effectExtent l="0" t="0" r="16510" b="8890"/>
              <wp:wrapNone/>
              <wp:docPr id="509601575" name="文本框 2059"/>
              <wp:cNvGraphicFramePr/>
              <a:graphic xmlns:a="http://schemas.openxmlformats.org/drawingml/2006/main">
                <a:graphicData uri="http://schemas.microsoft.com/office/word/2010/wordprocessingShape">
                  <wps:wsp>
                    <wps:cNvSpPr txBox="1">
                      <a:spLocks noChangeArrowheads="1"/>
                    </wps:cNvSpPr>
                    <wps:spPr bwMode="auto">
                      <a:xfrm>
                        <a:off x="0" y="0"/>
                        <a:ext cx="364671" cy="200660"/>
                      </a:xfrm>
                      <a:prstGeom prst="rect">
                        <a:avLst/>
                      </a:prstGeom>
                      <a:noFill/>
                      <a:ln>
                        <a:noFill/>
                      </a:ln>
                      <a:effectLst/>
                    </wps:spPr>
                    <wps:txbx>
                      <w:txbxContent>
                        <w:p w14:paraId="236833FE">
                          <w:pPr>
                            <w:pStyle w:val="2"/>
                            <w:jc w:val="center"/>
                          </w:pPr>
                          <w:r>
                            <w:fldChar w:fldCharType="begin"/>
                          </w:r>
                          <w:r>
                            <w:instrText xml:space="preserve"> PAGE  \* MERGEFORMAT </w:instrText>
                          </w:r>
                          <w:r>
                            <w:fldChar w:fldCharType="separate"/>
                          </w:r>
                          <w:r>
                            <w:t>50</w:t>
                          </w:r>
                          <w:r>
                            <w:fldChar w:fldCharType="end"/>
                          </w:r>
                        </w:p>
                      </w:txbxContent>
                    </wps:txbx>
                    <wps:bodyPr rot="0" vert="horz" wrap="square" lIns="0" tIns="0" rIns="0" bIns="0" anchor="t" anchorCtr="0" upright="1">
                      <a:noAutofit/>
                    </wps:bodyPr>
                  </wps:wsp>
                </a:graphicData>
              </a:graphic>
            </wp:anchor>
          </w:drawing>
        </mc:Choice>
        <mc:Fallback>
          <w:pict>
            <v:shape id="文本框 2059" o:spid="_x0000_s1026" o:spt="202" type="#_x0000_t202" style="position:absolute;left:0pt;margin-left:237.4pt;margin-top:0pt;height:15.8pt;width:28.7pt;mso-position-horizontal-relative:margin;z-index:251664384;mso-width-relative:page;mso-height-relative:page;" filled="f" stroked="f" coordsize="21600,21600" o:gfxdata="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2NPPTXAAAABwEA&#10;AA8AAAAAAAAAAQAgAAAAIgAAAGRycy9kb3ducmV2LnhtbFBLAQIUABQAAAAIAIdO4kCINt1YGwIA&#10;AB0EAAAOAAAAAAAAAAEAIAAAACYBAABkcnMvZTJvRG9jLnhtbFBLBQYAAAAABgAGAFkBAACzBQAA&#10;AAA=&#10;">
              <v:fill on="f" focussize="0,0"/>
              <v:stroke on="f"/>
              <v:imagedata o:title=""/>
              <o:lock v:ext="edit" aspectratio="f"/>
              <v:textbox inset="0mm,0mm,0mm,0mm">
                <w:txbxContent>
                  <w:p w14:paraId="236833FE">
                    <w:pPr>
                      <w:pStyle w:val="2"/>
                      <w:jc w:val="center"/>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98BCA">
    <w:pPr>
      <w:pStyle w:val="19"/>
      <w:pBdr>
        <w:bottom w:val="none" w:color="auto" w:sz="0" w:space="0"/>
      </w:pBdr>
      <w:ind w:right="1306" w:rightChars="62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A5081">
    <w:pPr>
      <w:widowControl/>
      <w:shd w:val="clear" w:color="auto" w:fill="FFFFFF"/>
      <w:spacing w:line="420" w:lineRule="atLeast"/>
      <w:rPr>
        <w:color w:val="000000"/>
        <w:sz w:val="15"/>
        <w:szCs w:val="15"/>
      </w:rPr>
    </w:pPr>
  </w:p>
  <w:p w14:paraId="055F2D66">
    <w:pPr>
      <w:widowControl/>
      <w:shd w:val="clear" w:color="auto" w:fill="FFFFFF"/>
      <w:spacing w:line="420" w:lineRule="atLeast"/>
      <w:jc w:val="left"/>
      <w:rPr>
        <w:color w:val="000000"/>
        <w:sz w:val="18"/>
        <w:szCs w:val="18"/>
      </w:rPr>
    </w:pPr>
    <w:r>
      <w:rPr>
        <w:rFonts w:hint="eastAsia"/>
        <w:color w:val="000000"/>
        <w:sz w:val="18"/>
        <w:szCs w:val="18"/>
      </w:rPr>
      <w:t>平顶山学院2024年度纸质图书采购项目(B包)                                              招标文件</w:t>
    </w:r>
  </w:p>
  <w:p w14:paraId="2F5D4EF0">
    <w:pPr>
      <w:pStyle w:val="19"/>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59055</wp:posOffset>
              </wp:positionV>
              <wp:extent cx="5678170" cy="635"/>
              <wp:effectExtent l="0" t="19050" r="36830" b="37465"/>
              <wp:wrapNone/>
              <wp:docPr id="2" name="直接连接符 8"/>
              <wp:cNvGraphicFramePr/>
              <a:graphic xmlns:a="http://schemas.openxmlformats.org/drawingml/2006/main">
                <a:graphicData uri="http://schemas.microsoft.com/office/word/2010/wordprocessingShape">
                  <wps:wsp>
                    <wps:cNvCnPr/>
                    <wps:spPr>
                      <a:xfrm>
                        <a:off x="0" y="0"/>
                        <a:ext cx="5678170" cy="635"/>
                      </a:xfrm>
                      <a:prstGeom prst="line">
                        <a:avLst/>
                      </a:prstGeom>
                      <a:ln w="57150" cap="flat" cmpd="thickThin">
                        <a:solidFill>
                          <a:srgbClr val="000000"/>
                        </a:solidFill>
                        <a:prstDash val="solid"/>
                        <a:headEnd type="none" w="med" len="med"/>
                        <a:tailEnd type="none" w="med" len="med"/>
                      </a:ln>
                      <a:effectLst/>
                    </wps:spPr>
                    <wps:bodyPr/>
                  </wps:wsp>
                </a:graphicData>
              </a:graphic>
            </wp:anchor>
          </w:drawing>
        </mc:Choice>
        <mc:Fallback>
          <w:pict>
            <v:line id="直接连接符 8" o:spid="_x0000_s1026" o:spt="20" style="position:absolute;left:0pt;margin-left:0.55pt;margin-top:4.65pt;height:0.05pt;width:447.1pt;z-index:251662336;mso-width-relative:page;mso-height-relative:page;" filled="f" stroked="t" coordsize="21600,21600" o:gfxdata="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8CDF60QAAAAUBAAAPAAAAAAAAAAEAIAAAACIAAABkcnMvZG93bnJldi54bWxQSwECFAAUAAAA&#10;CACHTuJAIqEEhvUBAADvAwAADgAAAAAAAAABACAAAAAgAQAAZHJzL2Uyb0RvYy54bWxQSwUGAAAA&#10;AAYABgBZAQAAhwUAAAAA&#10;">
              <v:fill on="f" focussize="0,0"/>
              <v:stroke weight="4.5pt" color="#000000" linestyle="thickThin"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646">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69EBB"/>
    <w:multiLevelType w:val="singleLevel"/>
    <w:tmpl w:val="9EB69EBB"/>
    <w:lvl w:ilvl="0" w:tentative="0">
      <w:start w:val="1"/>
      <w:numFmt w:val="chineseCounting"/>
      <w:suff w:val="space"/>
      <w:lvlText w:val="第%1章"/>
      <w:lvlJc w:val="left"/>
      <w:rPr>
        <w:rFonts w:hint="eastAsia" w:cs="Times New Roman"/>
      </w:rPr>
    </w:lvl>
  </w:abstractNum>
  <w:abstractNum w:abstractNumId="1">
    <w:nsid w:val="C8879AEF"/>
    <w:multiLevelType w:val="multilevel"/>
    <w:tmpl w:val="C8879AEF"/>
    <w:lvl w:ilvl="0" w:tentative="0">
      <w:start w:val="1"/>
      <w:numFmt w:val="decimal"/>
      <w:lvlText w:val="%1"/>
      <w:lvlJc w:val="left"/>
      <w:pPr>
        <w:ind w:left="703" w:hanging="485"/>
      </w:pPr>
      <w:rPr>
        <w:rFonts w:hint="default" w:cs="Times New Roman"/>
      </w:rPr>
    </w:lvl>
    <w:lvl w:ilvl="1" w:tentative="0">
      <w:start w:val="1"/>
      <w:numFmt w:val="decimal"/>
      <w:pStyle w:val="51"/>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1.%2.%3"/>
      <w:lvlJc w:val="left"/>
      <w:pPr>
        <w:ind w:left="218" w:hanging="632"/>
      </w:pPr>
      <w:rPr>
        <w:rFonts w:hint="default" w:ascii="宋体" w:hAnsi="宋体" w:eastAsia="宋体" w:cs="宋体"/>
        <w:spacing w:val="-3"/>
        <w:w w:val="100"/>
        <w:sz w:val="21"/>
        <w:szCs w:val="21"/>
      </w:rPr>
    </w:lvl>
    <w:lvl w:ilvl="3" w:tentative="0">
      <w:start w:val="0"/>
      <w:numFmt w:val="bullet"/>
      <w:lvlText w:val="•"/>
      <w:lvlJc w:val="left"/>
      <w:pPr>
        <w:ind w:left="1340" w:hanging="632"/>
      </w:pPr>
      <w:rPr>
        <w:rFonts w:hint="default"/>
      </w:rPr>
    </w:lvl>
    <w:lvl w:ilvl="4" w:tentative="0">
      <w:start w:val="0"/>
      <w:numFmt w:val="bullet"/>
      <w:lvlText w:val="•"/>
      <w:lvlJc w:val="left"/>
      <w:pPr>
        <w:ind w:left="2600" w:hanging="632"/>
      </w:pPr>
      <w:rPr>
        <w:rFonts w:hint="default"/>
      </w:rPr>
    </w:lvl>
    <w:lvl w:ilvl="5" w:tentative="0">
      <w:start w:val="0"/>
      <w:numFmt w:val="bullet"/>
      <w:lvlText w:val="•"/>
      <w:lvlJc w:val="left"/>
      <w:pPr>
        <w:ind w:left="3860" w:hanging="632"/>
      </w:pPr>
      <w:rPr>
        <w:rFonts w:hint="default"/>
      </w:rPr>
    </w:lvl>
    <w:lvl w:ilvl="6" w:tentative="0">
      <w:start w:val="0"/>
      <w:numFmt w:val="bullet"/>
      <w:lvlText w:val="•"/>
      <w:lvlJc w:val="left"/>
      <w:pPr>
        <w:ind w:left="5120" w:hanging="632"/>
      </w:pPr>
      <w:rPr>
        <w:rFonts w:hint="default"/>
      </w:rPr>
    </w:lvl>
    <w:lvl w:ilvl="7" w:tentative="0">
      <w:start w:val="0"/>
      <w:numFmt w:val="bullet"/>
      <w:lvlText w:val="•"/>
      <w:lvlJc w:val="left"/>
      <w:pPr>
        <w:ind w:left="6380" w:hanging="632"/>
      </w:pPr>
      <w:rPr>
        <w:rFonts w:hint="default"/>
      </w:rPr>
    </w:lvl>
    <w:lvl w:ilvl="8" w:tentative="0">
      <w:start w:val="0"/>
      <w:numFmt w:val="bullet"/>
      <w:lvlText w:val="•"/>
      <w:lvlJc w:val="left"/>
      <w:pPr>
        <w:ind w:left="7640" w:hanging="632"/>
      </w:pPr>
      <w:rPr>
        <w:rFonts w:hint="default"/>
      </w:rPr>
    </w:lvl>
  </w:abstractNum>
  <w:abstractNum w:abstractNumId="2">
    <w:nsid w:val="CB23305F"/>
    <w:multiLevelType w:val="singleLevel"/>
    <w:tmpl w:val="CB23305F"/>
    <w:lvl w:ilvl="0" w:tentative="0">
      <w:start w:val="2"/>
      <w:numFmt w:val="decimal"/>
      <w:lvlText w:val="%1."/>
      <w:lvlJc w:val="left"/>
      <w:pPr>
        <w:tabs>
          <w:tab w:val="left" w:pos="312"/>
        </w:tabs>
      </w:pPr>
    </w:lvl>
  </w:abstractNum>
  <w:abstractNum w:abstractNumId="3">
    <w:nsid w:val="D57E85C2"/>
    <w:multiLevelType w:val="singleLevel"/>
    <w:tmpl w:val="D57E85C2"/>
    <w:lvl w:ilvl="0" w:tentative="0">
      <w:start w:val="1"/>
      <w:numFmt w:val="decimal"/>
      <w:suff w:val="nothing"/>
      <w:lvlText w:val="%1、"/>
      <w:lvlJc w:val="left"/>
    </w:lvl>
  </w:abstractNum>
  <w:abstractNum w:abstractNumId="4">
    <w:nsid w:val="F2AEAEA6"/>
    <w:multiLevelType w:val="singleLevel"/>
    <w:tmpl w:val="F2AEAEA6"/>
    <w:lvl w:ilvl="0" w:tentative="0">
      <w:start w:val="1"/>
      <w:numFmt w:val="decimal"/>
      <w:suff w:val="nothing"/>
      <w:lvlText w:val="（%1）"/>
      <w:lvlJc w:val="left"/>
      <w:rPr>
        <w:rFonts w:cs="Times New Roman"/>
      </w:rPr>
    </w:lvl>
  </w:abstractNum>
  <w:abstractNum w:abstractNumId="5">
    <w:nsid w:val="F6214924"/>
    <w:multiLevelType w:val="singleLevel"/>
    <w:tmpl w:val="F6214924"/>
    <w:lvl w:ilvl="0" w:tentative="0">
      <w:start w:val="5"/>
      <w:numFmt w:val="chineseCounting"/>
      <w:suff w:val="nothing"/>
      <w:lvlText w:val="%1、"/>
      <w:lvlJc w:val="left"/>
      <w:rPr>
        <w:rFonts w:hint="eastAsia"/>
      </w:rPr>
    </w:lvl>
  </w:abstractNum>
  <w:abstractNum w:abstractNumId="6">
    <w:nsid w:val="0E870EF0"/>
    <w:multiLevelType w:val="multilevel"/>
    <w:tmpl w:val="0E870EF0"/>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
    <w:nsid w:val="2470EC97"/>
    <w:multiLevelType w:val="multilevel"/>
    <w:tmpl w:val="2470EC97"/>
    <w:lvl w:ilvl="0" w:tentative="0">
      <w:start w:val="2"/>
      <w:numFmt w:val="decimal"/>
      <w:lvlText w:val="%1"/>
      <w:lvlJc w:val="left"/>
      <w:pPr>
        <w:ind w:left="703" w:hanging="485"/>
      </w:pPr>
      <w:rPr>
        <w:rFonts w:hint="default" w:cs="Times New Roman"/>
      </w:rPr>
    </w:lvl>
    <w:lvl w:ilvl="1" w:tentative="0">
      <w:start w:val="1"/>
      <w:numFmt w:val="decimal"/>
      <w:lvlText w:val="%1.%2"/>
      <w:lvlJc w:val="left"/>
      <w:pPr>
        <w:ind w:left="703" w:hanging="485"/>
      </w:pPr>
      <w:rPr>
        <w:rFonts w:hint="default" w:ascii="宋体" w:hAnsi="宋体" w:eastAsia="宋体" w:cs="宋体"/>
        <w:b/>
        <w:bCs/>
        <w:spacing w:val="0"/>
        <w:w w:val="99"/>
        <w:sz w:val="24"/>
        <w:szCs w:val="24"/>
      </w:rPr>
    </w:lvl>
    <w:lvl w:ilvl="2" w:tentative="0">
      <w:start w:val="1"/>
      <w:numFmt w:val="decimal"/>
      <w:lvlText w:val="（%3）"/>
      <w:lvlJc w:val="left"/>
      <w:pPr>
        <w:ind w:left="1159" w:hanging="529"/>
      </w:pPr>
      <w:rPr>
        <w:rFonts w:hint="default" w:ascii="宋体" w:hAnsi="宋体" w:eastAsia="宋体" w:cs="宋体"/>
        <w:spacing w:val="-3"/>
        <w:w w:val="100"/>
        <w:sz w:val="19"/>
        <w:szCs w:val="19"/>
      </w:rPr>
    </w:lvl>
    <w:lvl w:ilvl="3" w:tentative="0">
      <w:start w:val="0"/>
      <w:numFmt w:val="bullet"/>
      <w:lvlText w:val="•"/>
      <w:lvlJc w:val="left"/>
      <w:pPr>
        <w:ind w:left="3206" w:hanging="529"/>
      </w:pPr>
      <w:rPr>
        <w:rFonts w:hint="default"/>
      </w:rPr>
    </w:lvl>
    <w:lvl w:ilvl="4" w:tentative="0">
      <w:start w:val="0"/>
      <w:numFmt w:val="bullet"/>
      <w:lvlText w:val="•"/>
      <w:lvlJc w:val="left"/>
      <w:pPr>
        <w:ind w:left="4200" w:hanging="529"/>
      </w:pPr>
      <w:rPr>
        <w:rFonts w:hint="default"/>
      </w:rPr>
    </w:lvl>
    <w:lvl w:ilvl="5" w:tentative="0">
      <w:start w:val="0"/>
      <w:numFmt w:val="bullet"/>
      <w:lvlText w:val="•"/>
      <w:lvlJc w:val="left"/>
      <w:pPr>
        <w:ind w:left="5193" w:hanging="529"/>
      </w:pPr>
      <w:rPr>
        <w:rFonts w:hint="default"/>
      </w:rPr>
    </w:lvl>
    <w:lvl w:ilvl="6" w:tentative="0">
      <w:start w:val="0"/>
      <w:numFmt w:val="bullet"/>
      <w:lvlText w:val="•"/>
      <w:lvlJc w:val="left"/>
      <w:pPr>
        <w:ind w:left="6187" w:hanging="529"/>
      </w:pPr>
      <w:rPr>
        <w:rFonts w:hint="default"/>
      </w:rPr>
    </w:lvl>
    <w:lvl w:ilvl="7" w:tentative="0">
      <w:start w:val="0"/>
      <w:numFmt w:val="bullet"/>
      <w:lvlText w:val="•"/>
      <w:lvlJc w:val="left"/>
      <w:pPr>
        <w:ind w:left="7180" w:hanging="529"/>
      </w:pPr>
      <w:rPr>
        <w:rFonts w:hint="default"/>
      </w:rPr>
    </w:lvl>
    <w:lvl w:ilvl="8" w:tentative="0">
      <w:start w:val="0"/>
      <w:numFmt w:val="bullet"/>
      <w:lvlText w:val="•"/>
      <w:lvlJc w:val="left"/>
      <w:pPr>
        <w:ind w:left="8173" w:hanging="529"/>
      </w:pPr>
      <w:rPr>
        <w:rFonts w:hint="default"/>
      </w:rPr>
    </w:lvl>
  </w:abstractNum>
  <w:abstractNum w:abstractNumId="8">
    <w:nsid w:val="6AED7603"/>
    <w:multiLevelType w:val="singleLevel"/>
    <w:tmpl w:val="6AED7603"/>
    <w:lvl w:ilvl="0" w:tentative="0">
      <w:start w:val="8"/>
      <w:numFmt w:val="chineseCounting"/>
      <w:suff w:val="nothing"/>
      <w:lvlText w:val="%1、"/>
      <w:lvlJc w:val="left"/>
      <w:rPr>
        <w:rFonts w:hint="eastAsia"/>
      </w:rPr>
    </w:lvl>
  </w:abstractNum>
  <w:num w:numId="1">
    <w:abstractNumId w:val="1"/>
  </w:num>
  <w:num w:numId="2">
    <w:abstractNumId w:val="0"/>
  </w:num>
  <w:num w:numId="3">
    <w:abstractNumId w:val="8"/>
  </w:num>
  <w:num w:numId="4">
    <w:abstractNumId w:val="5"/>
  </w:num>
  <w:num w:numId="5">
    <w:abstractNumId w:val="7"/>
  </w:num>
  <w:num w:numId="6">
    <w:abstractNumId w:val="2"/>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mZDYyZGE2ZDk4MDUxNGYwNDc1NDk3NTkxNzI0MWUifQ=="/>
  </w:docVars>
  <w:rsids>
    <w:rsidRoot w:val="00CD4F64"/>
    <w:rsid w:val="00012C76"/>
    <w:rsid w:val="00025F23"/>
    <w:rsid w:val="00035550"/>
    <w:rsid w:val="0006088E"/>
    <w:rsid w:val="00063035"/>
    <w:rsid w:val="00083B37"/>
    <w:rsid w:val="000B0314"/>
    <w:rsid w:val="000D2B27"/>
    <w:rsid w:val="000D3F5C"/>
    <w:rsid w:val="000E1756"/>
    <w:rsid w:val="000F4AE1"/>
    <w:rsid w:val="0010297D"/>
    <w:rsid w:val="00172A74"/>
    <w:rsid w:val="0020258C"/>
    <w:rsid w:val="00203139"/>
    <w:rsid w:val="00213C98"/>
    <w:rsid w:val="0024220E"/>
    <w:rsid w:val="00282223"/>
    <w:rsid w:val="00282A76"/>
    <w:rsid w:val="00287428"/>
    <w:rsid w:val="002B0520"/>
    <w:rsid w:val="002E1F51"/>
    <w:rsid w:val="002E659E"/>
    <w:rsid w:val="00303FBE"/>
    <w:rsid w:val="003216DF"/>
    <w:rsid w:val="003B31DB"/>
    <w:rsid w:val="003D4018"/>
    <w:rsid w:val="003F7FB7"/>
    <w:rsid w:val="004543F9"/>
    <w:rsid w:val="0046300C"/>
    <w:rsid w:val="004B0842"/>
    <w:rsid w:val="004E6DAA"/>
    <w:rsid w:val="0051415A"/>
    <w:rsid w:val="005156F0"/>
    <w:rsid w:val="005431EE"/>
    <w:rsid w:val="005A78C7"/>
    <w:rsid w:val="005D4B2D"/>
    <w:rsid w:val="005F3F96"/>
    <w:rsid w:val="00614988"/>
    <w:rsid w:val="00651FF2"/>
    <w:rsid w:val="00667125"/>
    <w:rsid w:val="00684E6A"/>
    <w:rsid w:val="00686292"/>
    <w:rsid w:val="006C3304"/>
    <w:rsid w:val="006F01FC"/>
    <w:rsid w:val="0070514E"/>
    <w:rsid w:val="007244D2"/>
    <w:rsid w:val="007710C0"/>
    <w:rsid w:val="007B62F1"/>
    <w:rsid w:val="00814ABE"/>
    <w:rsid w:val="008507FB"/>
    <w:rsid w:val="00863FFC"/>
    <w:rsid w:val="00876357"/>
    <w:rsid w:val="008A3CD8"/>
    <w:rsid w:val="009C33BB"/>
    <w:rsid w:val="00A12867"/>
    <w:rsid w:val="00A30DCB"/>
    <w:rsid w:val="00A65CC6"/>
    <w:rsid w:val="00A81800"/>
    <w:rsid w:val="00AB6A46"/>
    <w:rsid w:val="00AD57BF"/>
    <w:rsid w:val="00B63FF2"/>
    <w:rsid w:val="00BA67C3"/>
    <w:rsid w:val="00BD294E"/>
    <w:rsid w:val="00C30641"/>
    <w:rsid w:val="00C80926"/>
    <w:rsid w:val="00CD4F64"/>
    <w:rsid w:val="00CE2197"/>
    <w:rsid w:val="00D021CB"/>
    <w:rsid w:val="00D056D7"/>
    <w:rsid w:val="00D14E50"/>
    <w:rsid w:val="00D50D68"/>
    <w:rsid w:val="00D57312"/>
    <w:rsid w:val="00D62868"/>
    <w:rsid w:val="00D72153"/>
    <w:rsid w:val="00D77F49"/>
    <w:rsid w:val="00DA733A"/>
    <w:rsid w:val="00DB58B6"/>
    <w:rsid w:val="00DD7214"/>
    <w:rsid w:val="00E00111"/>
    <w:rsid w:val="00E4035B"/>
    <w:rsid w:val="00E776E2"/>
    <w:rsid w:val="00E9737B"/>
    <w:rsid w:val="00EB2D6E"/>
    <w:rsid w:val="00EB5185"/>
    <w:rsid w:val="00EE1167"/>
    <w:rsid w:val="00EF385E"/>
    <w:rsid w:val="00F16364"/>
    <w:rsid w:val="00F21C0B"/>
    <w:rsid w:val="00F651D8"/>
    <w:rsid w:val="00F918E1"/>
    <w:rsid w:val="00FB13C5"/>
    <w:rsid w:val="01885910"/>
    <w:rsid w:val="092F692D"/>
    <w:rsid w:val="0CA51BD7"/>
    <w:rsid w:val="0D2104FC"/>
    <w:rsid w:val="10FC6E3B"/>
    <w:rsid w:val="161C7AD3"/>
    <w:rsid w:val="17F75DE9"/>
    <w:rsid w:val="180D376E"/>
    <w:rsid w:val="18A62B93"/>
    <w:rsid w:val="24AD31F4"/>
    <w:rsid w:val="29446FED"/>
    <w:rsid w:val="2FE90DE1"/>
    <w:rsid w:val="3143321D"/>
    <w:rsid w:val="31626F00"/>
    <w:rsid w:val="3776528F"/>
    <w:rsid w:val="388C05C8"/>
    <w:rsid w:val="3B1B48C3"/>
    <w:rsid w:val="3C275A15"/>
    <w:rsid w:val="3E9649EE"/>
    <w:rsid w:val="406505EA"/>
    <w:rsid w:val="41E47EF6"/>
    <w:rsid w:val="44641089"/>
    <w:rsid w:val="46442016"/>
    <w:rsid w:val="49773D4C"/>
    <w:rsid w:val="4B241572"/>
    <w:rsid w:val="4B415F0F"/>
    <w:rsid w:val="504D61AB"/>
    <w:rsid w:val="52C46AEF"/>
    <w:rsid w:val="56075D18"/>
    <w:rsid w:val="56C9056E"/>
    <w:rsid w:val="58A61818"/>
    <w:rsid w:val="5D8557C9"/>
    <w:rsid w:val="5DB22A0D"/>
    <w:rsid w:val="5EBF22C1"/>
    <w:rsid w:val="61D9628D"/>
    <w:rsid w:val="63F518A5"/>
    <w:rsid w:val="64C42CE2"/>
    <w:rsid w:val="6A2E6CAA"/>
    <w:rsid w:val="702C4964"/>
    <w:rsid w:val="7201639B"/>
    <w:rsid w:val="729329B5"/>
    <w:rsid w:val="730E0282"/>
    <w:rsid w:val="75D26E42"/>
    <w:rsid w:val="77194C1F"/>
    <w:rsid w:val="78A87E00"/>
    <w:rsid w:val="7EA35449"/>
    <w:rsid w:val="7EAF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iPriority="39" w:semiHidden="0" w:name="toc 4"/>
    <w:lsdException w:qFormat="1"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autoSpaceDE w:val="0"/>
      <w:autoSpaceDN w:val="0"/>
      <w:spacing w:before="34"/>
      <w:ind w:right="18"/>
      <w:jc w:val="center"/>
      <w:outlineLvl w:val="0"/>
    </w:pPr>
    <w:rPr>
      <w:rFonts w:ascii="宋体" w:hAnsi="宋体" w:cs="宋体"/>
      <w:b/>
      <w:bCs/>
      <w:kern w:val="0"/>
      <w:sz w:val="32"/>
      <w:szCs w:val="32"/>
      <w:lang w:val="zh-CN"/>
    </w:rPr>
  </w:style>
  <w:style w:type="paragraph" w:styleId="4">
    <w:name w:val="heading 2"/>
    <w:basedOn w:val="1"/>
    <w:next w:val="1"/>
    <w:qFormat/>
    <w:uiPriority w:val="99"/>
    <w:pPr>
      <w:autoSpaceDE w:val="0"/>
      <w:autoSpaceDN w:val="0"/>
      <w:ind w:left="1339"/>
      <w:jc w:val="left"/>
      <w:outlineLvl w:val="1"/>
    </w:pPr>
    <w:rPr>
      <w:rFonts w:ascii="黑体" w:hAnsi="黑体" w:eastAsia="黑体" w:cs="黑体"/>
      <w:kern w:val="0"/>
      <w:sz w:val="32"/>
      <w:szCs w:val="32"/>
      <w:lang w:val="zh-CN"/>
    </w:rPr>
  </w:style>
  <w:style w:type="paragraph" w:styleId="5">
    <w:name w:val="heading 3"/>
    <w:basedOn w:val="1"/>
    <w:next w:val="1"/>
    <w:link w:val="46"/>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autoSpaceDE w:val="0"/>
      <w:autoSpaceDN w:val="0"/>
      <w:ind w:left="703" w:hanging="485"/>
      <w:jc w:val="left"/>
      <w:outlineLvl w:val="3"/>
    </w:pPr>
    <w:rPr>
      <w:rFonts w:ascii="宋体" w:hAnsi="宋体" w:cs="宋体"/>
      <w:b/>
      <w:bCs/>
      <w:kern w:val="0"/>
      <w:sz w:val="24"/>
      <w:lang w:val="zh-CN"/>
    </w:rPr>
  </w:style>
  <w:style w:type="paragraph" w:styleId="7">
    <w:name w:val="heading 5"/>
    <w:basedOn w:val="1"/>
    <w:next w:val="1"/>
    <w:qFormat/>
    <w:uiPriority w:val="99"/>
    <w:pPr>
      <w:autoSpaceDE w:val="0"/>
      <w:autoSpaceDN w:val="0"/>
      <w:spacing w:before="161"/>
      <w:ind w:left="2709"/>
      <w:jc w:val="left"/>
      <w:outlineLvl w:val="4"/>
    </w:pPr>
    <w:rPr>
      <w:rFonts w:ascii="宋体" w:hAnsi="宋体" w:cs="宋体"/>
      <w:kern w:val="0"/>
      <w:sz w:val="24"/>
      <w:lang w:val="zh-CN"/>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8">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text"/>
    <w:basedOn w:val="1"/>
    <w:uiPriority w:val="0"/>
    <w:pPr>
      <w:jc w:val="left"/>
    </w:pPr>
  </w:style>
  <w:style w:type="paragraph" w:styleId="10">
    <w:name w:val="Body Text"/>
    <w:basedOn w:val="1"/>
    <w:next w:val="11"/>
    <w:qFormat/>
    <w:uiPriority w:val="0"/>
    <w:pPr>
      <w:autoSpaceDE w:val="0"/>
      <w:autoSpaceDN w:val="0"/>
      <w:jc w:val="left"/>
    </w:pPr>
    <w:rPr>
      <w:rFonts w:ascii="宋体" w:hAnsi="宋体" w:cs="宋体"/>
      <w:kern w:val="0"/>
      <w:szCs w:val="21"/>
      <w:lang w:val="zh-CN"/>
    </w:rPr>
  </w:style>
  <w:style w:type="paragraph" w:customStyle="1" w:styleId="11">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Body Text Indent"/>
    <w:basedOn w:val="1"/>
    <w:next w:val="1"/>
    <w:unhideWhenUsed/>
    <w:qFormat/>
    <w:uiPriority w:val="0"/>
    <w:pPr>
      <w:autoSpaceDE w:val="0"/>
      <w:autoSpaceDN w:val="0"/>
      <w:spacing w:after="120"/>
      <w:ind w:left="420" w:leftChars="200"/>
      <w:jc w:val="left"/>
    </w:pPr>
    <w:rPr>
      <w:rFonts w:ascii="宋体" w:hAnsi="宋体" w:cs="宋体"/>
      <w:kern w:val="0"/>
      <w:sz w:val="22"/>
      <w:lang w:val="zh-CN"/>
    </w:rPr>
  </w:style>
  <w:style w:type="paragraph" w:styleId="13">
    <w:name w:val="List 2"/>
    <w:basedOn w:val="1"/>
    <w:qFormat/>
    <w:uiPriority w:val="99"/>
    <w:pPr>
      <w:autoSpaceDE w:val="0"/>
      <w:autoSpaceDN w:val="0"/>
      <w:ind w:left="100" w:leftChars="200" w:hanging="200" w:hangingChars="200"/>
      <w:contextualSpacing/>
      <w:jc w:val="left"/>
    </w:pPr>
    <w:rPr>
      <w:rFonts w:ascii="宋体" w:hAnsi="宋体" w:cs="宋体"/>
      <w:kern w:val="0"/>
      <w:sz w:val="22"/>
      <w:lang w:val="zh-CN"/>
    </w:rPr>
  </w:style>
  <w:style w:type="paragraph" w:styleId="14">
    <w:name w:val="Block Text"/>
    <w:basedOn w:val="1"/>
    <w:unhideWhenUsed/>
    <w:qFormat/>
    <w:uiPriority w:val="99"/>
    <w:pPr>
      <w:spacing w:after="120"/>
      <w:ind w:left="1440" w:leftChars="700" w:right="1440" w:rightChars="700"/>
    </w:pPr>
    <w:rPr>
      <w:rFonts w:ascii="Times New Roman" w:hAnsi="Times New Roman"/>
      <w:szCs w:val="20"/>
    </w:rPr>
  </w:style>
  <w:style w:type="paragraph" w:styleId="15">
    <w:name w:val="toc 5"/>
    <w:basedOn w:val="1"/>
    <w:next w:val="1"/>
    <w:unhideWhenUsed/>
    <w:qFormat/>
    <w:uiPriority w:val="99"/>
    <w:pPr>
      <w:spacing w:before="100" w:beforeAutospacing="1" w:after="100" w:afterAutospacing="1"/>
      <w:ind w:left="840"/>
      <w:jc w:val="left"/>
    </w:pPr>
    <w:rPr>
      <w:sz w:val="18"/>
      <w:szCs w:val="18"/>
    </w:rPr>
  </w:style>
  <w:style w:type="paragraph" w:styleId="16">
    <w:name w:val="Plain Text"/>
    <w:basedOn w:val="1"/>
    <w:unhideWhenUsed/>
    <w:qFormat/>
    <w:uiPriority w:val="0"/>
    <w:rPr>
      <w:rFonts w:ascii="宋体" w:hAnsi="Courier New" w:cs="Courier New"/>
    </w:rPr>
  </w:style>
  <w:style w:type="paragraph" w:styleId="17">
    <w:name w:val="Body Text Indent 2"/>
    <w:basedOn w:val="1"/>
    <w:qFormat/>
    <w:uiPriority w:val="0"/>
    <w:pPr>
      <w:autoSpaceDE w:val="0"/>
      <w:autoSpaceDN w:val="0"/>
      <w:ind w:firstLine="570"/>
      <w:jc w:val="left"/>
    </w:pPr>
    <w:rPr>
      <w:rFonts w:ascii="宋体" w:hAnsi="宋体" w:cs="宋体"/>
      <w:kern w:val="0"/>
      <w:sz w:val="32"/>
      <w:szCs w:val="32"/>
      <w:lang w:val="zh-CN"/>
    </w:rPr>
  </w:style>
  <w:style w:type="paragraph" w:styleId="18">
    <w:name w:val="envelope return"/>
    <w:basedOn w:val="1"/>
    <w:qFormat/>
    <w:uiPriority w:val="99"/>
    <w:pPr>
      <w:snapToGrid w:val="0"/>
    </w:pPr>
    <w:rPr>
      <w:rFonts w:ascii="Arial" w:hAnsi="Arial"/>
    </w:rPr>
  </w:style>
  <w:style w:type="paragraph" w:styleId="1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autoSpaceDE w:val="0"/>
      <w:autoSpaceDN w:val="0"/>
      <w:spacing w:before="3"/>
      <w:ind w:left="430"/>
      <w:jc w:val="left"/>
    </w:pPr>
    <w:rPr>
      <w:rFonts w:ascii="宋体" w:hAnsi="宋体" w:cs="宋体"/>
      <w:kern w:val="0"/>
      <w:sz w:val="20"/>
      <w:szCs w:val="20"/>
      <w:lang w:val="zh-CN"/>
    </w:rPr>
  </w:style>
  <w:style w:type="paragraph" w:styleId="21">
    <w:name w:val="toc 4"/>
    <w:basedOn w:val="1"/>
    <w:next w:val="1"/>
    <w:unhideWhenUsed/>
    <w:qFormat/>
    <w:uiPriority w:val="39"/>
    <w:pPr>
      <w:ind w:left="1260" w:leftChars="600"/>
    </w:pPr>
  </w:style>
  <w:style w:type="paragraph" w:styleId="22">
    <w:name w:val="footnote text"/>
    <w:basedOn w:val="1"/>
    <w:link w:val="50"/>
    <w:uiPriority w:val="0"/>
    <w:pPr>
      <w:snapToGrid w:val="0"/>
      <w:jc w:val="left"/>
    </w:pPr>
    <w:rPr>
      <w:sz w:val="18"/>
      <w:szCs w:val="18"/>
    </w:rPr>
  </w:style>
  <w:style w:type="paragraph" w:styleId="23">
    <w:name w:val="Body Text 2"/>
    <w:basedOn w:val="1"/>
    <w:unhideWhenUsed/>
    <w:qFormat/>
    <w:uiPriority w:val="0"/>
    <w:pPr>
      <w:widowControl/>
      <w:spacing w:before="100" w:beforeAutospacing="1" w:after="100" w:afterAutospacing="1"/>
      <w:jc w:val="left"/>
    </w:pPr>
    <w:rPr>
      <w:rFonts w:ascii="宋体" w:hAnsi="宋体"/>
      <w:kern w:val="0"/>
      <w:sz w:val="24"/>
    </w:rPr>
  </w:style>
  <w:style w:type="paragraph" w:styleId="24">
    <w:name w:val="Normal (Web)"/>
    <w:basedOn w:val="1"/>
    <w:qFormat/>
    <w:uiPriority w:val="0"/>
    <w:pPr>
      <w:widowControl/>
      <w:spacing w:beforeAutospacing="1" w:afterAutospacing="1"/>
      <w:jc w:val="left"/>
    </w:pPr>
    <w:rPr>
      <w:rFonts w:ascii="Arial Unicode MS" w:hAnsi="Arial Unicode MS" w:eastAsia="Arial Unicode MS"/>
      <w:kern w:val="0"/>
      <w:sz w:val="24"/>
    </w:rPr>
  </w:style>
  <w:style w:type="paragraph" w:styleId="25">
    <w:name w:val="Body Text First Indent"/>
    <w:basedOn w:val="10"/>
    <w:next w:val="26"/>
    <w:qFormat/>
    <w:uiPriority w:val="0"/>
    <w:pPr>
      <w:spacing w:after="120"/>
      <w:ind w:firstLine="420" w:firstLineChars="100"/>
    </w:pPr>
    <w:rPr>
      <w:rFonts w:ascii="Times New Roman" w:hAnsi="Times New Roman"/>
      <w:szCs w:val="20"/>
    </w:rPr>
  </w:style>
  <w:style w:type="paragraph" w:styleId="26">
    <w:name w:val="Body Text First Indent 2"/>
    <w:basedOn w:val="12"/>
    <w:next w:val="8"/>
    <w:unhideWhenUsed/>
    <w:qFormat/>
    <w:uiPriority w:val="0"/>
    <w:pPr>
      <w:ind w:firstLine="420" w:firstLineChars="200"/>
    </w:pPr>
  </w:style>
  <w:style w:type="table" w:styleId="28">
    <w:name w:val="Table Grid"/>
    <w:basedOn w:val="2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FollowedHyperlink"/>
    <w:basedOn w:val="29"/>
    <w:uiPriority w:val="0"/>
    <w:rPr>
      <w:color w:val="800080"/>
      <w:u w:val="none"/>
    </w:rPr>
  </w:style>
  <w:style w:type="character" w:styleId="32">
    <w:name w:val="Hyperlink"/>
    <w:qFormat/>
    <w:uiPriority w:val="99"/>
    <w:rPr>
      <w:color w:val="444444"/>
      <w:sz w:val="21"/>
      <w:szCs w:val="21"/>
      <w:u w:val="none"/>
    </w:rPr>
  </w:style>
  <w:style w:type="character" w:styleId="33">
    <w:name w:val="annotation reference"/>
    <w:basedOn w:val="29"/>
    <w:uiPriority w:val="0"/>
    <w:rPr>
      <w:sz w:val="21"/>
      <w:szCs w:val="21"/>
    </w:rPr>
  </w:style>
  <w:style w:type="character" w:styleId="34">
    <w:name w:val="footnote reference"/>
    <w:basedOn w:val="29"/>
    <w:uiPriority w:val="0"/>
    <w:rPr>
      <w:vertAlign w:val="superscript"/>
    </w:rPr>
  </w:style>
  <w:style w:type="paragraph" w:customStyle="1" w:styleId="35">
    <w:name w:val="No Spacing1"/>
    <w:basedOn w:val="1"/>
    <w:qFormat/>
    <w:uiPriority w:val="0"/>
    <w:pPr>
      <w:autoSpaceDE w:val="0"/>
      <w:autoSpaceDN w:val="0"/>
      <w:spacing w:line="400" w:lineRule="exact"/>
      <w:jc w:val="left"/>
    </w:pPr>
    <w:rPr>
      <w:rFonts w:ascii="宋体" w:hAnsi="宋体" w:cs="宋体"/>
      <w:kern w:val="0"/>
      <w:sz w:val="24"/>
      <w:lang w:val="zh-CN"/>
    </w:rPr>
  </w:style>
  <w:style w:type="paragraph" w:customStyle="1" w:styleId="36">
    <w:name w:val="cjk"/>
    <w:basedOn w:val="1"/>
    <w:qFormat/>
    <w:uiPriority w:val="0"/>
    <w:pPr>
      <w:widowControl/>
      <w:spacing w:line="480" w:lineRule="auto"/>
      <w:jc w:val="left"/>
    </w:pPr>
    <w:rPr>
      <w:rFonts w:ascii="宋体" w:hAnsi="宋体" w:cs="宋体"/>
      <w:kern w:val="0"/>
      <w:sz w:val="24"/>
    </w:rPr>
  </w:style>
  <w:style w:type="paragraph" w:styleId="37">
    <w:name w:val="List Paragraph"/>
    <w:basedOn w:val="1"/>
    <w:qFormat/>
    <w:uiPriority w:val="99"/>
    <w:pPr>
      <w:autoSpaceDE w:val="0"/>
      <w:autoSpaceDN w:val="0"/>
      <w:ind w:left="218" w:hanging="529"/>
      <w:jc w:val="left"/>
    </w:pPr>
    <w:rPr>
      <w:rFonts w:ascii="宋体" w:hAnsi="宋体" w:cs="宋体"/>
      <w:kern w:val="0"/>
      <w:sz w:val="22"/>
      <w:lang w:val="zh-CN"/>
    </w:rPr>
  </w:style>
  <w:style w:type="paragraph" w:customStyle="1" w:styleId="38">
    <w:name w:val="Table Paragraph"/>
    <w:basedOn w:val="1"/>
    <w:qFormat/>
    <w:uiPriority w:val="99"/>
    <w:pPr>
      <w:autoSpaceDE w:val="0"/>
      <w:autoSpaceDN w:val="0"/>
      <w:jc w:val="left"/>
    </w:pPr>
    <w:rPr>
      <w:rFonts w:ascii="宋体" w:hAnsi="宋体" w:cs="宋体"/>
      <w:kern w:val="0"/>
      <w:sz w:val="22"/>
      <w:lang w:val="zh-CN"/>
    </w:rPr>
  </w:style>
  <w:style w:type="paragraph" w:customStyle="1" w:styleId="39">
    <w:name w:val="表格文字"/>
    <w:basedOn w:val="40"/>
    <w:qFormat/>
    <w:uiPriority w:val="0"/>
    <w:pPr>
      <w:spacing w:before="25" w:after="25"/>
      <w:ind w:firstLine="0"/>
      <w:jc w:val="left"/>
    </w:pPr>
    <w:rPr>
      <w:bCs/>
      <w:spacing w:val="10"/>
      <w:kern w:val="0"/>
      <w:sz w:val="24"/>
    </w:rPr>
  </w:style>
  <w:style w:type="paragraph" w:customStyle="1" w:styleId="40">
    <w:name w:val="表格文字图表文字"/>
    <w:basedOn w:val="1"/>
    <w:qFormat/>
    <w:uiPriority w:val="0"/>
    <w:pPr>
      <w:snapToGrid w:val="0"/>
      <w:ind w:firstLine="200" w:firstLineChars="200"/>
      <w:jc w:val="center"/>
    </w:pPr>
    <w:rPr>
      <w:color w:val="7030A0"/>
    </w:rPr>
  </w:style>
  <w:style w:type="paragraph" w:customStyle="1" w:styleId="41">
    <w:name w:val="无间隔1"/>
    <w:basedOn w:val="1"/>
    <w:qFormat/>
    <w:uiPriority w:val="99"/>
    <w:pPr>
      <w:spacing w:line="400" w:lineRule="exact"/>
    </w:pPr>
    <w:rPr>
      <w:sz w:val="24"/>
    </w:rPr>
  </w:style>
  <w:style w:type="paragraph" w:customStyle="1" w:styleId="42">
    <w:name w:val="List Paragraph1"/>
    <w:basedOn w:val="1"/>
    <w:next w:val="1"/>
    <w:qFormat/>
    <w:uiPriority w:val="0"/>
    <w:pPr>
      <w:widowControl/>
      <w:spacing w:line="360" w:lineRule="auto"/>
      <w:ind w:firstLine="480" w:firstLineChars="200"/>
      <w:jc w:val="left"/>
    </w:pPr>
    <w:rPr>
      <w:rFonts w:ascii="宋体" w:hAnsi="宋体"/>
      <w:sz w:val="24"/>
    </w:rPr>
  </w:style>
  <w:style w:type="paragraph" w:customStyle="1" w:styleId="43">
    <w:name w:val="BodyTextIndent2"/>
    <w:basedOn w:val="1"/>
    <w:qFormat/>
    <w:uiPriority w:val="0"/>
    <w:pPr>
      <w:spacing w:after="120" w:line="480" w:lineRule="auto"/>
      <w:ind w:left="420" w:leftChars="200"/>
    </w:pPr>
  </w:style>
  <w:style w:type="character" w:customStyle="1" w:styleId="44">
    <w:name w:val="未处理的提及1"/>
    <w:basedOn w:val="29"/>
    <w:semiHidden/>
    <w:unhideWhenUsed/>
    <w:qFormat/>
    <w:uiPriority w:val="99"/>
    <w:rPr>
      <w:color w:val="605E5C"/>
      <w:shd w:val="clear" w:color="auto" w:fill="E1DFDD"/>
    </w:rPr>
  </w:style>
  <w:style w:type="paragraph" w:customStyle="1" w:styleId="45">
    <w:name w:val="Table Text"/>
    <w:basedOn w:val="1"/>
    <w:semiHidden/>
    <w:qFormat/>
    <w:uiPriority w:val="0"/>
    <w:pPr>
      <w:widowControl/>
    </w:pPr>
    <w:rPr>
      <w:rFonts w:ascii="宋体" w:hAnsi="宋体" w:cs="宋体"/>
      <w:sz w:val="24"/>
      <w:lang w:eastAsia="en-US"/>
    </w:rPr>
  </w:style>
  <w:style w:type="character" w:customStyle="1" w:styleId="46">
    <w:name w:val="标题 3 字符"/>
    <w:basedOn w:val="29"/>
    <w:link w:val="5"/>
    <w:qFormat/>
    <w:uiPriority w:val="0"/>
    <w:rPr>
      <w:b/>
      <w:bCs/>
      <w:kern w:val="2"/>
      <w:sz w:val="32"/>
      <w:szCs w:val="32"/>
    </w:rPr>
  </w:style>
  <w:style w:type="paragraph" w:customStyle="1" w:styleId="47">
    <w:name w:val="正文一"/>
    <w:basedOn w:val="1"/>
    <w:qFormat/>
    <w:uiPriority w:val="0"/>
    <w:pPr>
      <w:widowControl/>
      <w:spacing w:before="120" w:after="120" w:line="360" w:lineRule="auto"/>
      <w:ind w:firstLine="200" w:firstLineChars="200"/>
      <w:jc w:val="left"/>
    </w:pPr>
    <w:rPr>
      <w:rFonts w:ascii="Times New Roman" w:hAnsi="Times New Roman" w:cs="宋体"/>
      <w:kern w:val="0"/>
      <w:szCs w:val="21"/>
    </w:rPr>
  </w:style>
  <w:style w:type="paragraph" w:customStyle="1" w:styleId="48">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table" w:customStyle="1" w:styleId="49">
    <w:name w:val="网格型1"/>
    <w:basedOn w:val="27"/>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脚注文本 字符"/>
    <w:basedOn w:val="29"/>
    <w:link w:val="22"/>
    <w:uiPriority w:val="0"/>
    <w:rPr>
      <w:rFonts w:ascii="Calibri" w:hAnsi="Calibri"/>
      <w:kern w:val="2"/>
      <w:sz w:val="18"/>
      <w:szCs w:val="18"/>
    </w:rPr>
  </w:style>
  <w:style w:type="paragraph" w:customStyle="1" w:styleId="51">
    <w:name w:val="样式1"/>
    <w:basedOn w:val="5"/>
    <w:link w:val="52"/>
    <w:qFormat/>
    <w:uiPriority w:val="0"/>
    <w:pPr>
      <w:numPr>
        <w:ilvl w:val="1"/>
        <w:numId w:val="1"/>
      </w:numPr>
      <w:tabs>
        <w:tab w:val="left" w:pos="704"/>
      </w:tabs>
      <w:spacing w:before="67" w:line="360" w:lineRule="auto"/>
    </w:pPr>
    <w:rPr>
      <w:rFonts w:cs="仿宋"/>
    </w:rPr>
  </w:style>
  <w:style w:type="character" w:customStyle="1" w:styleId="52">
    <w:name w:val="样式1 字符"/>
    <w:basedOn w:val="46"/>
    <w:link w:val="51"/>
    <w:uiPriority w:val="0"/>
    <w:rPr>
      <w:rFonts w:ascii="Calibri" w:hAnsi="Calibri" w:cs="仿宋"/>
      <w:kern w:val="2"/>
      <w:sz w:val="32"/>
      <w:szCs w:val="32"/>
    </w:rPr>
  </w:style>
  <w:style w:type="paragraph" w:customStyle="1" w:styleId="53">
    <w:name w:val="style4"/>
    <w:basedOn w:val="1"/>
    <w:next w:val="54"/>
    <w:qFormat/>
    <w:uiPriority w:val="0"/>
    <w:pPr>
      <w:spacing w:before="280" w:after="280"/>
    </w:pPr>
    <w:rPr>
      <w:rFonts w:ascii="宋体" w:hAnsi="Times New Roman"/>
      <w:sz w:val="18"/>
      <w:szCs w:val="20"/>
    </w:rPr>
  </w:style>
  <w:style w:type="paragraph" w:customStyle="1" w:styleId="54">
    <w:name w:val="2"/>
    <w:basedOn w:val="1"/>
    <w:next w:val="1"/>
    <w:qFormat/>
    <w:uiPriority w:val="0"/>
    <w:rPr>
      <w:rFonts w:ascii="宋体" w:hAnsi="Courier New"/>
      <w:color w:val="000080"/>
      <w:kern w:val="0"/>
      <w:szCs w:val="21"/>
    </w:rPr>
  </w:style>
  <w:style w:type="paragraph" w:customStyle="1" w:styleId="55">
    <w:name w:val="正文格式"/>
    <w:basedOn w:val="1"/>
    <w:qFormat/>
    <w:uiPriority w:val="0"/>
    <w:pPr>
      <w:widowControl/>
      <w:adjustRightInd w:val="0"/>
      <w:snapToGrid w:val="0"/>
      <w:spacing w:line="400" w:lineRule="atLeast"/>
      <w:ind w:firstLine="482"/>
      <w:textAlignment w:val="baseline"/>
    </w:pPr>
    <w:rPr>
      <w:rFonts w:ascii="Times New Roman" w:hAnsi="Times New Roman"/>
      <w:kern w:val="0"/>
      <w:sz w:val="24"/>
      <w:szCs w:val="20"/>
    </w:rPr>
  </w:style>
  <w:style w:type="paragraph" w:customStyle="1" w:styleId="56">
    <w:name w:val="WPSOffice手动目录 1"/>
    <w:qFormat/>
    <w:uiPriority w:val="0"/>
    <w:rPr>
      <w:rFonts w:ascii="Times New Roman" w:hAnsi="Times New Roman" w:eastAsia="宋体" w:cs="Times New Roman"/>
      <w:lang w:val="en-US" w:eastAsia="zh-CN" w:bidi="ar-SA"/>
    </w:rPr>
  </w:style>
  <w:style w:type="paragraph" w:customStyle="1" w:styleId="5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8">
    <w:name w:val="Char Char3"/>
    <w:qFormat/>
    <w:uiPriority w:val="0"/>
    <w:rPr>
      <w:rFonts w:ascii="Arial" w:hAnsi="Arial" w:eastAsia="黑体"/>
      <w:b/>
      <w:bCs/>
      <w:kern w:val="2"/>
      <w:sz w:val="32"/>
      <w:szCs w:val="32"/>
      <w:lang w:val="en-US" w:eastAsia="zh-CN" w:bidi="ar-SA"/>
    </w:rPr>
  </w:style>
  <w:style w:type="character" w:customStyle="1" w:styleId="59">
    <w:name w:val="Char Char2"/>
    <w:qFormat/>
    <w:uiPriority w:val="0"/>
    <w:rPr>
      <w:rFonts w:ascii="Arial" w:hAnsi="Arial" w:eastAsia="黑体"/>
      <w:b/>
      <w:bCs/>
      <w:kern w:val="2"/>
      <w:sz w:val="32"/>
      <w:szCs w:val="32"/>
      <w:lang w:val="en-US" w:eastAsia="zh-CN" w:bidi="ar-SA"/>
    </w:rPr>
  </w:style>
  <w:style w:type="paragraph" w:customStyle="1" w:styleId="60">
    <w:name w:val="MSG_EN_FONT_STYLE_NAME_TEMPLATE_ROLE_NUMBER MSG_EN_FONT_STYLE_NAME_BY_ROLE_TEXT 21"/>
    <w:basedOn w:val="1"/>
    <w:qFormat/>
    <w:uiPriority w:val="0"/>
    <w:pPr>
      <w:shd w:val="clear" w:color="auto" w:fill="FFFFFF"/>
      <w:spacing w:before="240" w:line="355" w:lineRule="exact"/>
    </w:pPr>
    <w:rPr>
      <w:rFonts w:ascii="宋体" w:hAnsi="宋体" w:cs="宋体"/>
      <w:sz w:val="20"/>
      <w:szCs w:val="20"/>
    </w:rPr>
  </w:style>
  <w:style w:type="character" w:customStyle="1" w:styleId="61">
    <w:name w:val="MSG_EN_FONT_STYLE_NAME_TEMPLATE_ROLE_NUMBER MSG_EN_FONT_STYLE_NAME_BY_ROLE_TEXT 23"/>
    <w:uiPriority w:val="0"/>
    <w:rPr>
      <w:rFonts w:ascii="宋体" w:hAnsi="宋体" w:eastAsia="宋体" w:cs="宋体"/>
      <w:color w:val="000000"/>
      <w:spacing w:val="0"/>
      <w:w w:val="100"/>
      <w:position w:val="0"/>
      <w:sz w:val="20"/>
      <w:szCs w:val="20"/>
      <w:u w:val="none"/>
      <w:lang w:val="zh-CN" w:eastAsia="zh-CN" w:bidi="zh-CN"/>
    </w:rPr>
  </w:style>
  <w:style w:type="character" w:customStyle="1" w:styleId="62">
    <w:name w:val="NormalCharacter"/>
    <w:semiHidden/>
    <w:qFormat/>
    <w:uiPriority w:val="0"/>
  </w:style>
  <w:style w:type="paragraph" w:customStyle="1" w:styleId="63">
    <w:name w:val="*正文"/>
    <w:basedOn w:val="1"/>
    <w:qFormat/>
    <w:uiPriority w:val="0"/>
    <w:pPr>
      <w:keepNext/>
      <w:keepLines/>
      <w:spacing w:line="360" w:lineRule="auto"/>
      <w:ind w:firstLine="200" w:firstLineChars="200"/>
    </w:pPr>
    <w:rPr>
      <w:rFonts w:ascii="宋体" w:hAnsi="宋体"/>
      <w:szCs w:val="20"/>
    </w:rPr>
  </w:style>
  <w:style w:type="character" w:customStyle="1" w:styleId="64">
    <w:name w:val="font212"/>
    <w:basedOn w:val="29"/>
    <w:qFormat/>
    <w:uiPriority w:val="0"/>
    <w:rPr>
      <w:rFonts w:hint="default" w:ascii="Calibri" w:hAnsi="Calibri" w:cs="Calibri"/>
      <w:color w:val="000000"/>
      <w:sz w:val="20"/>
      <w:szCs w:val="20"/>
      <w:u w:val="none"/>
    </w:rPr>
  </w:style>
  <w:style w:type="character" w:customStyle="1" w:styleId="65">
    <w:name w:val="font221"/>
    <w:basedOn w:val="29"/>
    <w:qFormat/>
    <w:uiPriority w:val="0"/>
    <w:rPr>
      <w:rFonts w:hint="default" w:ascii="Times New Roman" w:hAnsi="Times New Roman" w:cs="Times New Roman"/>
      <w:color w:val="000000"/>
      <w:sz w:val="20"/>
      <w:szCs w:val="20"/>
      <w:u w:val="none"/>
    </w:rPr>
  </w:style>
  <w:style w:type="character" w:customStyle="1" w:styleId="66">
    <w:name w:val="a_p_3"/>
    <w:basedOn w:val="29"/>
    <w:uiPriority w:val="0"/>
    <w:rPr>
      <w:sz w:val="27"/>
      <w:szCs w:val="27"/>
    </w:rPr>
  </w:style>
  <w:style w:type="character" w:customStyle="1" w:styleId="67">
    <w:name w:val="a_p_2"/>
    <w:basedOn w:val="29"/>
    <w:uiPriority w:val="0"/>
    <w:rPr>
      <w:sz w:val="27"/>
      <w:szCs w:val="27"/>
    </w:rPr>
  </w:style>
  <w:style w:type="character" w:customStyle="1" w:styleId="68">
    <w:name w:val="a_p_21"/>
    <w:basedOn w:val="29"/>
    <w:uiPriority w:val="0"/>
  </w:style>
  <w:style w:type="character" w:customStyle="1" w:styleId="69">
    <w:name w:val="a_p_1"/>
    <w:basedOn w:val="29"/>
    <w:uiPriority w:val="0"/>
    <w:rPr>
      <w:sz w:val="27"/>
      <w:szCs w:val="27"/>
    </w:rPr>
  </w:style>
  <w:style w:type="character" w:customStyle="1" w:styleId="70">
    <w:name w:val="exap"/>
    <w:basedOn w:val="29"/>
    <w:uiPriority w:val="0"/>
    <w:rPr>
      <w:sz w:val="27"/>
      <w:szCs w:val="27"/>
    </w:rPr>
  </w:style>
  <w:style w:type="character" w:customStyle="1" w:styleId="71">
    <w:name w:val="ul_li_a_1"/>
    <w:basedOn w:val="29"/>
    <w:uiPriority w:val="0"/>
    <w:rPr>
      <w:b/>
      <w:bCs/>
      <w:color w:val="FFFFFF"/>
    </w:rPr>
  </w:style>
  <w:style w:type="character" w:customStyle="1" w:styleId="72">
    <w:name w:val="gb-jt"/>
    <w:basedOn w:val="29"/>
    <w:uiPriority w:val="0"/>
  </w:style>
  <w:style w:type="character" w:customStyle="1" w:styleId="73">
    <w:name w:val="font21"/>
    <w:qFormat/>
    <w:uiPriority w:val="0"/>
    <w:rPr>
      <w:rFonts w:hint="eastAsia" w:ascii="宋体" w:hAnsi="宋体" w:eastAsia="宋体" w:cs="宋体"/>
      <w:color w:val="000000"/>
      <w:sz w:val="22"/>
      <w:szCs w:val="22"/>
      <w:u w:val="none"/>
    </w:rPr>
  </w:style>
  <w:style w:type="character" w:customStyle="1" w:styleId="74">
    <w:name w:val="font31"/>
    <w:qFormat/>
    <w:uiPriority w:val="0"/>
    <w:rPr>
      <w:rFonts w:hint="eastAsia" w:ascii="宋体" w:hAnsi="宋体" w:eastAsia="宋体" w:cs="宋体"/>
      <w:color w:val="FF0000"/>
      <w:sz w:val="22"/>
      <w:szCs w:val="22"/>
      <w:u w:val="none"/>
    </w:rPr>
  </w:style>
  <w:style w:type="character" w:customStyle="1" w:styleId="75">
    <w:name w:val="font01"/>
    <w:qFormat/>
    <w:uiPriority w:val="0"/>
    <w:rPr>
      <w:rFonts w:hint="eastAsia" w:ascii="宋体" w:hAnsi="宋体" w:eastAsia="宋体" w:cs="宋体"/>
      <w:color w:val="000000"/>
      <w:sz w:val="22"/>
      <w:szCs w:val="22"/>
      <w:u w:val="none"/>
    </w:rPr>
  </w:style>
  <w:style w:type="character" w:customStyle="1" w:styleId="76">
    <w:name w:val="font41"/>
    <w:qFormat/>
    <w:uiPriority w:val="0"/>
    <w:rPr>
      <w:rFonts w:ascii="等线" w:hAnsi="等线" w:eastAsia="等线" w:cs="等线"/>
      <w:color w:val="FF0000"/>
      <w:sz w:val="22"/>
      <w:szCs w:val="22"/>
      <w:u w:val="none"/>
    </w:rPr>
  </w:style>
  <w:style w:type="paragraph" w:customStyle="1" w:styleId="77">
    <w:name w:val="Revision"/>
    <w:hidden/>
    <w:unhideWhenUsed/>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CAD73-D50D-497E-8601-F282F50B13C5}">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15155</Words>
  <Characters>16210</Characters>
  <Lines>448</Lines>
  <Paragraphs>126</Paragraphs>
  <TotalTime>6</TotalTime>
  <ScaleCrop>false</ScaleCrop>
  <LinksUpToDate>false</LinksUpToDate>
  <CharactersWithSpaces>16384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2025-07-27T02:35:00Z</dcterms:created>
  <dc:creator>lxzmo</dc:creator>
  <cp:lastModifiedBy>如果云知道</cp:lastModifiedBy>
  <cp:lastPrinted>2025-08-01T01:33:00Z</cp:lastPrinted>
  <dcterms:modified xsi:type="dcterms:W3CDTF">2025-08-01T02:32:58Z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F3D64396F68A45C8BF11A3BAF06403BF_13</vt:lpwstr>
  </property>
  <property fmtid="{D5CDD505-2E9C-101B-9397-08002B2CF9AE}" pid="4" name="KSOTemplateDocerSaveRecord">
    <vt:lpwstr>eyJoZGlkIjoiODdjYmY3M2ZiYTEyOTQ1ODlmMjI4MjlkYmIwOWNiMGQiLCJ1c2VySWQiOiI1MjYyNDE2NjUifQ==</vt:lpwstr>
  </property>
</Properties>
</file>