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BDC0D6">
      <w:pPr>
        <w:spacing w:line="420" w:lineRule="exact"/>
        <w:rPr>
          <w:rFonts w:hint="eastAsia" w:ascii="宋体" w:hAnsi="宋体" w:eastAsia="宋体" w:cs="宋体"/>
          <w:b/>
          <w:color w:val="auto"/>
          <w:sz w:val="36"/>
          <w:szCs w:val="40"/>
          <w:highlight w:val="none"/>
        </w:rPr>
      </w:pPr>
    </w:p>
    <w:p w14:paraId="09AF2959">
      <w:pPr>
        <w:rPr>
          <w:rFonts w:hint="eastAsia" w:ascii="宋体" w:hAnsi="宋体" w:eastAsia="宋体" w:cs="宋体"/>
          <w:b/>
          <w:color w:val="auto"/>
          <w:sz w:val="36"/>
          <w:szCs w:val="40"/>
          <w:highlight w:val="none"/>
        </w:rPr>
      </w:pPr>
      <w:r>
        <w:rPr>
          <w:rFonts w:hint="eastAsia" w:ascii="宋体" w:hAnsi="宋体" w:eastAsia="宋体" w:cs="宋体"/>
          <w:b/>
          <w:color w:val="auto"/>
          <w:sz w:val="36"/>
          <w:szCs w:val="40"/>
          <w:highlight w:val="none"/>
        </w:rPr>
        <w:drawing>
          <wp:inline distT="0" distB="0" distL="114300" distR="114300">
            <wp:extent cx="6134735" cy="8510270"/>
            <wp:effectExtent l="0" t="0" r="18415" b="5080"/>
            <wp:docPr id="7" name="图片 7"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01"/>
                    <pic:cNvPicPr>
                      <a:picLocks noChangeAspect="1"/>
                    </pic:cNvPicPr>
                  </pic:nvPicPr>
                  <pic:blipFill>
                    <a:blip r:embed="rId8">
                      <a:lum bright="6000"/>
                    </a:blip>
                    <a:stretch>
                      <a:fillRect/>
                    </a:stretch>
                  </pic:blipFill>
                  <pic:spPr>
                    <a:xfrm rot="10800000">
                      <a:off x="0" y="0"/>
                      <a:ext cx="6134735" cy="8510270"/>
                    </a:xfrm>
                    <a:prstGeom prst="rect">
                      <a:avLst/>
                    </a:prstGeom>
                  </pic:spPr>
                </pic:pic>
              </a:graphicData>
            </a:graphic>
          </wp:inline>
        </w:drawing>
      </w:r>
      <w:r>
        <w:rPr>
          <w:rFonts w:hint="eastAsia" w:ascii="宋体" w:hAnsi="宋体" w:eastAsia="宋体" w:cs="宋体"/>
          <w:b/>
          <w:color w:val="auto"/>
          <w:sz w:val="36"/>
          <w:szCs w:val="40"/>
          <w:highlight w:val="none"/>
        </w:rPr>
        <w:br w:type="page"/>
      </w:r>
    </w:p>
    <w:p w14:paraId="0F148EB9">
      <w:pPr>
        <w:spacing w:line="420" w:lineRule="exact"/>
        <w:rPr>
          <w:rFonts w:hint="eastAsia" w:ascii="宋体" w:hAnsi="宋体" w:eastAsia="宋体" w:cs="宋体"/>
          <w:b/>
          <w:color w:val="auto"/>
          <w:sz w:val="36"/>
          <w:szCs w:val="40"/>
          <w:highlight w:val="none"/>
        </w:rPr>
      </w:pPr>
    </w:p>
    <w:p w14:paraId="28AACABB">
      <w:pPr>
        <w:pStyle w:val="21"/>
        <w:rPr>
          <w:rFonts w:hint="eastAsia" w:ascii="宋体" w:hAnsi="宋体" w:eastAsia="宋体" w:cs="宋体"/>
          <w:color w:val="auto"/>
          <w:highlight w:val="none"/>
        </w:rPr>
      </w:pPr>
    </w:p>
    <w:p w14:paraId="6CCED3EF">
      <w:pPr>
        <w:jc w:val="center"/>
        <w:outlineLvl w:val="9"/>
        <w:rPr>
          <w:rFonts w:hint="eastAsia" w:ascii="宋体" w:hAnsi="宋体" w:eastAsia="宋体" w:cs="宋体"/>
          <w:b/>
          <w:bCs/>
          <w:color w:val="auto"/>
          <w:sz w:val="36"/>
          <w:szCs w:val="36"/>
          <w:highlight w:val="none"/>
          <w:lang w:eastAsia="zh-CN"/>
        </w:rPr>
      </w:pPr>
      <w:r>
        <w:rPr>
          <w:rFonts w:hint="eastAsia" w:ascii="宋体" w:hAnsi="宋体" w:eastAsia="宋体" w:cs="宋体"/>
          <w:b/>
          <w:bCs/>
          <w:color w:val="auto"/>
          <w:sz w:val="36"/>
          <w:szCs w:val="36"/>
          <w:highlight w:val="none"/>
          <w:lang w:eastAsia="zh-CN"/>
        </w:rPr>
        <w:t>郏县第二人民医院128排CT（2025）年度维保项目</w:t>
      </w:r>
    </w:p>
    <w:p w14:paraId="700B2D42">
      <w:pPr>
        <w:outlineLvl w:val="9"/>
        <w:rPr>
          <w:rFonts w:hint="eastAsia" w:ascii="宋体" w:hAnsi="宋体" w:eastAsia="宋体" w:cs="宋体"/>
          <w:b/>
          <w:bCs/>
          <w:color w:val="auto"/>
          <w:sz w:val="36"/>
          <w:szCs w:val="36"/>
          <w:highlight w:val="none"/>
        </w:rPr>
      </w:pPr>
    </w:p>
    <w:p w14:paraId="4D9FD889">
      <w:pPr>
        <w:outlineLvl w:val="9"/>
        <w:rPr>
          <w:rFonts w:hint="eastAsia" w:ascii="宋体" w:hAnsi="宋体" w:eastAsia="宋体" w:cs="宋体"/>
          <w:color w:val="auto"/>
          <w:sz w:val="32"/>
          <w:szCs w:val="32"/>
          <w:highlight w:val="none"/>
        </w:rPr>
      </w:pPr>
    </w:p>
    <w:p w14:paraId="70C2297F">
      <w:pPr>
        <w:outlineLvl w:val="9"/>
        <w:rPr>
          <w:rFonts w:hint="eastAsia" w:ascii="宋体" w:hAnsi="宋体" w:eastAsia="宋体" w:cs="宋体"/>
          <w:color w:val="auto"/>
          <w:sz w:val="32"/>
          <w:szCs w:val="32"/>
          <w:highlight w:val="none"/>
        </w:rPr>
      </w:pPr>
    </w:p>
    <w:p w14:paraId="03DCAFDE">
      <w:pPr>
        <w:jc w:val="center"/>
        <w:outlineLvl w:val="9"/>
        <w:rPr>
          <w:rFonts w:hint="eastAsia" w:ascii="宋体" w:hAnsi="宋体" w:eastAsia="宋体" w:cs="宋体"/>
          <w:color w:val="auto"/>
          <w:sz w:val="32"/>
          <w:szCs w:val="32"/>
          <w:highlight w:val="none"/>
          <w:lang w:val="en-US" w:eastAsia="zh-CN"/>
        </w:rPr>
      </w:pPr>
      <w:r>
        <w:rPr>
          <w:rFonts w:hint="eastAsia" w:ascii="宋体" w:hAnsi="宋体" w:eastAsia="宋体" w:cs="宋体"/>
          <w:b/>
          <w:bCs/>
          <w:color w:val="auto"/>
          <w:sz w:val="52"/>
          <w:szCs w:val="52"/>
          <w:highlight w:val="none"/>
          <w:lang w:val="en-US" w:eastAsia="zh-CN"/>
        </w:rPr>
        <w:t>竞争性磋商文件</w:t>
      </w:r>
    </w:p>
    <w:p w14:paraId="79CD97D3">
      <w:pPr>
        <w:outlineLvl w:val="9"/>
        <w:rPr>
          <w:rFonts w:hint="eastAsia" w:ascii="宋体" w:hAnsi="宋体" w:eastAsia="宋体" w:cs="宋体"/>
          <w:color w:val="auto"/>
          <w:sz w:val="32"/>
          <w:szCs w:val="32"/>
          <w:highlight w:val="none"/>
          <w:lang w:val="en-US" w:eastAsia="zh-CN"/>
        </w:rPr>
      </w:pPr>
    </w:p>
    <w:p w14:paraId="1174294B">
      <w:pPr>
        <w:jc w:val="center"/>
        <w:outlineLvl w:val="9"/>
        <w:rPr>
          <w:rFonts w:hint="eastAsia" w:ascii="宋体" w:hAnsi="宋体" w:eastAsia="宋体" w:cs="宋体"/>
          <w:color w:val="auto"/>
          <w:sz w:val="32"/>
          <w:szCs w:val="32"/>
          <w:highlight w:val="none"/>
          <w:lang w:val="en-US" w:eastAsia="zh-CN"/>
        </w:rPr>
      </w:pPr>
    </w:p>
    <w:p w14:paraId="44A608B0">
      <w:pPr>
        <w:jc w:val="center"/>
        <w:outlineLvl w:val="9"/>
        <w:rPr>
          <w:rFonts w:hint="eastAsia" w:ascii="宋体" w:hAnsi="宋体" w:eastAsia="宋体" w:cs="宋体"/>
          <w:color w:val="auto"/>
          <w:sz w:val="32"/>
          <w:szCs w:val="32"/>
          <w:highlight w:val="none"/>
          <w:lang w:val="en-US" w:eastAsia="zh-CN"/>
        </w:rPr>
      </w:pPr>
    </w:p>
    <w:p w14:paraId="52A89420">
      <w:pPr>
        <w:outlineLvl w:val="9"/>
        <w:rPr>
          <w:rFonts w:hint="eastAsia" w:ascii="宋体" w:hAnsi="宋体" w:eastAsia="宋体" w:cs="宋体"/>
          <w:color w:val="auto"/>
          <w:sz w:val="32"/>
          <w:szCs w:val="32"/>
          <w:highlight w:val="none"/>
          <w:lang w:val="en-US" w:eastAsia="zh-CN"/>
        </w:rPr>
      </w:pPr>
    </w:p>
    <w:p w14:paraId="6FE7365F">
      <w:pPr>
        <w:outlineLvl w:val="9"/>
        <w:rPr>
          <w:rFonts w:hint="eastAsia" w:ascii="宋体" w:hAnsi="宋体" w:eastAsia="宋体" w:cs="宋体"/>
          <w:color w:val="auto"/>
          <w:sz w:val="32"/>
          <w:szCs w:val="32"/>
          <w:highlight w:val="none"/>
          <w:lang w:val="en-US" w:eastAsia="zh-CN"/>
        </w:rPr>
      </w:pPr>
    </w:p>
    <w:p w14:paraId="1711BE7F">
      <w:pPr>
        <w:outlineLvl w:val="9"/>
        <w:rPr>
          <w:rFonts w:hint="eastAsia" w:ascii="宋体" w:hAnsi="宋体" w:eastAsia="宋体" w:cs="宋体"/>
          <w:color w:val="auto"/>
          <w:sz w:val="32"/>
          <w:szCs w:val="32"/>
          <w:highlight w:val="none"/>
          <w:lang w:val="en-US" w:eastAsia="zh-CN"/>
        </w:rPr>
      </w:pPr>
    </w:p>
    <w:p w14:paraId="1CFEAB0B">
      <w:pPr>
        <w:outlineLvl w:val="9"/>
        <w:rPr>
          <w:rFonts w:hint="eastAsia" w:ascii="宋体" w:hAnsi="宋体" w:eastAsia="宋体" w:cs="宋体"/>
          <w:color w:val="auto"/>
          <w:sz w:val="32"/>
          <w:szCs w:val="32"/>
          <w:highlight w:val="none"/>
          <w:lang w:val="en-US" w:eastAsia="zh-CN"/>
        </w:rPr>
      </w:pPr>
    </w:p>
    <w:p w14:paraId="294B65A6">
      <w:pPr>
        <w:outlineLvl w:val="9"/>
        <w:rPr>
          <w:rFonts w:hint="eastAsia" w:ascii="宋体" w:hAnsi="宋体" w:eastAsia="宋体" w:cs="宋体"/>
          <w:color w:val="auto"/>
          <w:sz w:val="32"/>
          <w:szCs w:val="32"/>
          <w:highlight w:val="none"/>
          <w:lang w:val="en-US" w:eastAsia="zh-CN"/>
        </w:rPr>
      </w:pPr>
    </w:p>
    <w:p w14:paraId="70B4776A">
      <w:pPr>
        <w:pStyle w:val="21"/>
        <w:rPr>
          <w:rFonts w:hint="eastAsia" w:ascii="宋体" w:hAnsi="宋体" w:eastAsia="宋体" w:cs="宋体"/>
          <w:color w:val="auto"/>
          <w:highlight w:val="none"/>
          <w:lang w:val="en-US" w:eastAsia="zh-CN"/>
        </w:rPr>
      </w:pPr>
    </w:p>
    <w:p w14:paraId="01653DC3">
      <w:pPr>
        <w:outlineLvl w:val="9"/>
        <w:rPr>
          <w:rFonts w:hint="eastAsia" w:ascii="宋体" w:hAnsi="宋体" w:eastAsia="宋体" w:cs="宋体"/>
          <w:color w:val="auto"/>
          <w:sz w:val="32"/>
          <w:szCs w:val="32"/>
          <w:highlight w:val="none"/>
          <w:lang w:val="en-US" w:eastAsia="zh-CN"/>
        </w:rPr>
      </w:pPr>
    </w:p>
    <w:p w14:paraId="6C31CA52">
      <w:pPr>
        <w:outlineLvl w:val="9"/>
        <w:rPr>
          <w:rFonts w:hint="eastAsia" w:ascii="宋体" w:hAnsi="宋体" w:eastAsia="宋体" w:cs="宋体"/>
          <w:color w:val="auto"/>
          <w:sz w:val="32"/>
          <w:szCs w:val="32"/>
          <w:highlight w:val="none"/>
          <w:lang w:val="en-US" w:eastAsia="zh-CN"/>
        </w:rPr>
      </w:pPr>
    </w:p>
    <w:p w14:paraId="5B90E3AE">
      <w:pPr>
        <w:spacing w:line="360" w:lineRule="auto"/>
        <w:ind w:leftChars="500"/>
        <w:outlineLvl w:val="9"/>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采 购 人：郏县第二人民医院</w:t>
      </w:r>
    </w:p>
    <w:p w14:paraId="1597DC5B">
      <w:pPr>
        <w:spacing w:line="360" w:lineRule="auto"/>
        <w:ind w:leftChars="500"/>
        <w:outlineLvl w:val="9"/>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代理机构：师梦勘测设计集团有限公司</w:t>
      </w:r>
    </w:p>
    <w:p w14:paraId="3BB16965">
      <w:pPr>
        <w:spacing w:line="360" w:lineRule="auto"/>
        <w:ind w:leftChars="500"/>
        <w:outlineLvl w:val="9"/>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日    期：2025年8月</w:t>
      </w:r>
    </w:p>
    <w:p w14:paraId="058E38B0">
      <w:pPr>
        <w:rPr>
          <w:rFonts w:hint="eastAsia" w:ascii="宋体" w:hAnsi="宋体" w:eastAsia="宋体" w:cs="宋体"/>
          <w:b/>
          <w:color w:val="auto"/>
          <w:kern w:val="0"/>
          <w:sz w:val="30"/>
          <w:szCs w:val="30"/>
          <w:highlight w:val="none"/>
          <w:lang w:eastAsia="zh-CN"/>
        </w:rPr>
        <w:sectPr>
          <w:headerReference r:id="rId3" w:type="default"/>
          <w:footerReference r:id="rId4" w:type="default"/>
          <w:pgSz w:w="11906" w:h="16838"/>
          <w:pgMar w:top="1134" w:right="1701" w:bottom="1134" w:left="1418" w:header="851" w:footer="992" w:gutter="0"/>
          <w:pgNumType w:start="1"/>
          <w:cols w:space="720" w:num="1"/>
          <w:titlePg/>
          <w:docGrid w:type="lines" w:linePitch="312" w:charSpace="0"/>
        </w:sectPr>
      </w:pPr>
    </w:p>
    <w:p w14:paraId="045B8C48">
      <w:pPr>
        <w:pStyle w:val="14"/>
        <w:spacing w:before="312" w:beforeLines="100" w:after="312" w:afterLines="100" w:line="600" w:lineRule="exact"/>
        <w:jc w:val="center"/>
        <w:rPr>
          <w:rFonts w:hint="eastAsia" w:ascii="宋体" w:hAnsi="宋体" w:eastAsia="宋体" w:cs="宋体"/>
          <w:b/>
          <w:bCs/>
          <w:color w:val="auto"/>
          <w:sz w:val="32"/>
          <w:szCs w:val="32"/>
          <w:highlight w:val="none"/>
        </w:rPr>
      </w:pPr>
      <w:bookmarkStart w:id="0" w:name="_Toc20172"/>
      <w:bookmarkStart w:id="1" w:name="_Toc11362"/>
      <w:bookmarkStart w:id="2" w:name="_Toc281744719"/>
      <w:r>
        <w:rPr>
          <w:rFonts w:hint="eastAsia" w:ascii="宋体" w:hAnsi="宋体" w:eastAsia="宋体" w:cs="宋体"/>
          <w:b/>
          <w:bCs/>
          <w:color w:val="auto"/>
          <w:sz w:val="32"/>
          <w:szCs w:val="32"/>
          <w:highlight w:val="none"/>
        </w:rPr>
        <w:t>目  录</w:t>
      </w:r>
    </w:p>
    <w:p w14:paraId="74F8E9C1">
      <w:pPr>
        <w:pStyle w:val="18"/>
        <w:tabs>
          <w:tab w:val="right" w:leader="dot" w:pos="9072"/>
        </w:tabs>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TOC \o "1-2" \h \z \u </w:instrText>
      </w:r>
      <w:r>
        <w:rPr>
          <w:rFonts w:hint="eastAsia" w:ascii="宋体" w:hAnsi="宋体" w:eastAsia="宋体" w:cs="宋体"/>
          <w:color w:val="auto"/>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_Toc6907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kern w:val="0"/>
          <w:sz w:val="28"/>
          <w:szCs w:val="28"/>
          <w:highlight w:val="none"/>
        </w:rPr>
        <w:t xml:space="preserve">第一章 </w:t>
      </w:r>
      <w:r>
        <w:rPr>
          <w:rFonts w:hint="eastAsia" w:ascii="宋体" w:hAnsi="宋体" w:eastAsia="宋体" w:cs="宋体"/>
          <w:color w:val="auto"/>
          <w:kern w:val="0"/>
          <w:sz w:val="28"/>
          <w:szCs w:val="28"/>
          <w:highlight w:val="none"/>
          <w:lang w:eastAsia="zh-CN"/>
        </w:rPr>
        <w:t>竞争性</w:t>
      </w:r>
      <w:r>
        <w:rPr>
          <w:rFonts w:hint="eastAsia" w:ascii="宋体" w:hAnsi="宋体" w:eastAsia="宋体" w:cs="宋体"/>
          <w:color w:val="auto"/>
          <w:kern w:val="0"/>
          <w:sz w:val="28"/>
          <w:szCs w:val="28"/>
          <w:highlight w:val="none"/>
          <w:lang w:val="en-US" w:eastAsia="zh-CN"/>
        </w:rPr>
        <w:t>磋商</w:t>
      </w:r>
      <w:r>
        <w:rPr>
          <w:rFonts w:hint="eastAsia" w:ascii="宋体" w:hAnsi="宋体" w:eastAsia="宋体" w:cs="宋体"/>
          <w:color w:val="auto"/>
          <w:kern w:val="0"/>
          <w:sz w:val="28"/>
          <w:szCs w:val="28"/>
          <w:highlight w:val="none"/>
        </w:rPr>
        <w:t>公告</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_Toc6907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B0234E3">
      <w:pPr>
        <w:pStyle w:val="18"/>
        <w:tabs>
          <w:tab w:val="right" w:leader="dot" w:pos="9072"/>
        </w:tabs>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_Toc16932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kern w:val="0"/>
          <w:sz w:val="28"/>
          <w:szCs w:val="28"/>
          <w:highlight w:val="none"/>
          <w:lang w:val="en-US" w:eastAsia="zh-CN"/>
        </w:rPr>
        <w:t>第二章 供应商须知</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_Toc16932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9</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73D09AF2">
      <w:pPr>
        <w:pStyle w:val="18"/>
        <w:tabs>
          <w:tab w:val="right" w:leader="dot" w:pos="9072"/>
        </w:tabs>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_Toc26507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第三章  评审办法</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_Toc26507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25</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0D47CA08">
      <w:pPr>
        <w:pStyle w:val="18"/>
        <w:tabs>
          <w:tab w:val="right" w:leader="dot" w:pos="9072"/>
        </w:tabs>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_Toc27610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kern w:val="0"/>
          <w:sz w:val="28"/>
          <w:szCs w:val="28"/>
          <w:highlight w:val="none"/>
          <w:lang w:val="en-US" w:eastAsia="zh-CN"/>
        </w:rPr>
        <w:t>第四章 合同条款及格式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_Toc27610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32</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3973F76E">
      <w:pPr>
        <w:pStyle w:val="18"/>
        <w:tabs>
          <w:tab w:val="right" w:leader="dot" w:pos="9072"/>
        </w:tabs>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_Toc16856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 xml:space="preserve">第五章  </w:t>
      </w:r>
      <w:r>
        <w:rPr>
          <w:rFonts w:hint="eastAsia" w:ascii="宋体" w:hAnsi="宋体" w:eastAsia="宋体" w:cs="宋体"/>
          <w:bCs/>
          <w:color w:val="auto"/>
          <w:sz w:val="28"/>
          <w:szCs w:val="28"/>
          <w:highlight w:val="none"/>
          <w:lang w:eastAsia="zh-CN"/>
        </w:rPr>
        <w:t>采购内容及要求</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_Toc16856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38</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49FFF973">
      <w:pPr>
        <w:pStyle w:val="18"/>
        <w:tabs>
          <w:tab w:val="right" w:leader="dot" w:pos="9072"/>
        </w:tabs>
        <w:spacing w:line="360" w:lineRule="auto"/>
        <w:rPr>
          <w:rFonts w:hint="eastAsia" w:ascii="宋体" w:hAnsi="宋体" w:eastAsia="宋体" w:cs="宋体"/>
          <w:color w:val="auto"/>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_Toc27464 </w:instrText>
      </w:r>
      <w:r>
        <w:rPr>
          <w:rFonts w:hint="eastAsia" w:ascii="宋体" w:hAnsi="宋体" w:eastAsia="宋体" w:cs="宋体"/>
          <w:color w:val="auto"/>
          <w:sz w:val="28"/>
          <w:szCs w:val="28"/>
          <w:highlight w:val="none"/>
        </w:rPr>
        <w:fldChar w:fldCharType="separate"/>
      </w:r>
      <w:r>
        <w:rPr>
          <w:rFonts w:hint="eastAsia" w:ascii="宋体" w:hAnsi="宋体" w:eastAsia="宋体" w:cs="宋体"/>
          <w:bCs/>
          <w:color w:val="auto"/>
          <w:sz w:val="28"/>
          <w:szCs w:val="28"/>
          <w:highlight w:val="none"/>
        </w:rPr>
        <w:t>第六章  磋商响应文件格式</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_Toc27464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40</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112630E8">
      <w:pPr>
        <w:pStyle w:val="19"/>
        <w:tabs>
          <w:tab w:val="right" w:leader="dot" w:pos="9072"/>
        </w:tabs>
        <w:rPr>
          <w:rFonts w:hint="eastAsia" w:ascii="宋体" w:hAnsi="宋体" w:eastAsia="宋体" w:cs="宋体"/>
          <w:color w:val="auto"/>
          <w:highlight w:val="none"/>
        </w:rPr>
      </w:pPr>
    </w:p>
    <w:p w14:paraId="3DD7092F">
      <w:pPr>
        <w:pStyle w:val="18"/>
        <w:tabs>
          <w:tab w:val="right" w:leader="dot" w:pos="9072"/>
        </w:tabs>
        <w:rPr>
          <w:rFonts w:hint="eastAsia" w:ascii="宋体" w:hAnsi="宋体" w:eastAsia="宋体" w:cs="宋体"/>
          <w:color w:val="auto"/>
          <w:highlight w:val="none"/>
        </w:rPr>
      </w:pPr>
    </w:p>
    <w:p w14:paraId="079A4C4E">
      <w:pPr>
        <w:pStyle w:val="2"/>
        <w:spacing w:before="120" w:after="120"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fldChar w:fldCharType="end"/>
      </w:r>
    </w:p>
    <w:p w14:paraId="5455F21D">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5E28CC3">
      <w:pPr>
        <w:rPr>
          <w:rFonts w:hint="eastAsia" w:ascii="宋体" w:hAnsi="宋体" w:eastAsia="宋体" w:cs="宋体"/>
          <w:color w:val="auto"/>
          <w:highlight w:val="none"/>
        </w:rPr>
      </w:pPr>
    </w:p>
    <w:p w14:paraId="3CB375A8">
      <w:pPr>
        <w:pStyle w:val="2"/>
        <w:spacing w:before="120" w:after="120" w:line="360" w:lineRule="auto"/>
        <w:jc w:val="center"/>
        <w:rPr>
          <w:rFonts w:hint="eastAsia" w:ascii="宋体" w:hAnsi="宋体" w:eastAsia="宋体" w:cs="宋体"/>
          <w:color w:val="auto"/>
          <w:kern w:val="0"/>
          <w:sz w:val="36"/>
          <w:szCs w:val="36"/>
          <w:highlight w:val="none"/>
        </w:rPr>
      </w:pPr>
      <w:bookmarkStart w:id="3" w:name="_Toc6907"/>
      <w:r>
        <w:rPr>
          <w:rFonts w:hint="eastAsia" w:ascii="宋体" w:hAnsi="宋体" w:eastAsia="宋体" w:cs="宋体"/>
          <w:color w:val="auto"/>
          <w:kern w:val="0"/>
          <w:sz w:val="36"/>
          <w:szCs w:val="36"/>
          <w:highlight w:val="none"/>
        </w:rPr>
        <w:t xml:space="preserve">第一章 </w:t>
      </w:r>
      <w:r>
        <w:rPr>
          <w:rFonts w:hint="eastAsia" w:ascii="宋体" w:hAnsi="宋体" w:eastAsia="宋体" w:cs="宋体"/>
          <w:color w:val="auto"/>
          <w:kern w:val="0"/>
          <w:sz w:val="36"/>
          <w:szCs w:val="36"/>
          <w:highlight w:val="none"/>
          <w:lang w:eastAsia="zh-CN"/>
        </w:rPr>
        <w:t>竞争性</w:t>
      </w:r>
      <w:r>
        <w:rPr>
          <w:rFonts w:hint="eastAsia" w:ascii="宋体" w:hAnsi="宋体" w:eastAsia="宋体" w:cs="宋体"/>
          <w:color w:val="auto"/>
          <w:kern w:val="0"/>
          <w:sz w:val="36"/>
          <w:szCs w:val="36"/>
          <w:highlight w:val="none"/>
          <w:lang w:val="en-US" w:eastAsia="zh-CN"/>
        </w:rPr>
        <w:t>磋商</w:t>
      </w:r>
      <w:r>
        <w:rPr>
          <w:rFonts w:hint="eastAsia" w:ascii="宋体" w:hAnsi="宋体" w:eastAsia="宋体" w:cs="宋体"/>
          <w:color w:val="auto"/>
          <w:kern w:val="0"/>
          <w:sz w:val="36"/>
          <w:szCs w:val="36"/>
          <w:highlight w:val="none"/>
        </w:rPr>
        <w:t>公告</w:t>
      </w:r>
      <w:bookmarkEnd w:id="0"/>
      <w:bookmarkEnd w:id="1"/>
      <w:bookmarkEnd w:id="2"/>
      <w:bookmarkEnd w:id="3"/>
    </w:p>
    <w:p w14:paraId="70F60557">
      <w:pPr>
        <w:keepNext w:val="0"/>
        <w:keepLines w:val="0"/>
        <w:pageBreakBefore w:val="0"/>
        <w:widowControl w:val="0"/>
        <w:kinsoku/>
        <w:wordWrap/>
        <w:overflowPunct/>
        <w:topLinePunct w:val="0"/>
        <w:autoSpaceDE/>
        <w:autoSpaceDN/>
        <w:bidi w:val="0"/>
        <w:adjustRightInd/>
        <w:snapToGrid/>
        <w:spacing w:before="156" w:beforeLines="50" w:after="156" w:afterLines="50" w:line="456" w:lineRule="exact"/>
        <w:ind w:left="0" w:leftChars="0" w:right="0" w:rightChars="0"/>
        <w:jc w:val="center"/>
        <w:textAlignment w:val="auto"/>
        <w:outlineLvl w:val="9"/>
        <w:rPr>
          <w:rFonts w:hint="eastAsia" w:ascii="宋体" w:hAnsi="宋体" w:eastAsia="宋体" w:cs="宋体"/>
          <w:b/>
          <w:bCs/>
          <w:color w:val="auto"/>
          <w:sz w:val="32"/>
          <w:szCs w:val="32"/>
          <w:highlight w:val="none"/>
        </w:rPr>
      </w:pPr>
      <w:bookmarkStart w:id="4" w:name="_Toc335435259"/>
      <w:bookmarkStart w:id="5" w:name="_Toc318932192"/>
      <w:bookmarkStart w:id="6" w:name="_Toc294794565"/>
      <w:r>
        <w:rPr>
          <w:rFonts w:hint="eastAsia" w:ascii="宋体" w:hAnsi="宋体" w:eastAsia="宋体" w:cs="宋体"/>
          <w:b/>
          <w:bCs/>
          <w:color w:val="auto"/>
          <w:sz w:val="32"/>
          <w:szCs w:val="32"/>
          <w:highlight w:val="none"/>
          <w:lang w:eastAsia="zh-CN"/>
        </w:rPr>
        <w:t>【平公资采2025</w:t>
      </w:r>
      <w:r>
        <w:rPr>
          <w:rFonts w:hint="eastAsia" w:ascii="宋体" w:hAnsi="宋体" w:eastAsia="宋体" w:cs="宋体"/>
          <w:b/>
          <w:bCs/>
          <w:color w:val="auto"/>
          <w:sz w:val="32"/>
          <w:szCs w:val="32"/>
          <w:highlight w:val="none"/>
          <w:lang w:val="en-US" w:eastAsia="zh-CN"/>
        </w:rPr>
        <w:t>894号</w:t>
      </w:r>
      <w:r>
        <w:rPr>
          <w:rFonts w:hint="eastAsia" w:ascii="宋体" w:hAnsi="宋体" w:eastAsia="宋体" w:cs="宋体"/>
          <w:b/>
          <w:bCs/>
          <w:color w:val="auto"/>
          <w:sz w:val="32"/>
          <w:szCs w:val="32"/>
          <w:highlight w:val="none"/>
          <w:lang w:eastAsia="zh-CN"/>
        </w:rPr>
        <w:t>】郏县第二人民医院128排CT（2025）年度维保项目</w:t>
      </w:r>
      <w:r>
        <w:rPr>
          <w:rFonts w:hint="eastAsia" w:ascii="宋体" w:hAnsi="宋体" w:eastAsia="宋体" w:cs="宋体"/>
          <w:b/>
          <w:bCs/>
          <w:color w:val="auto"/>
          <w:sz w:val="32"/>
          <w:szCs w:val="32"/>
          <w:highlight w:val="none"/>
          <w:lang w:val="en-US" w:eastAsia="zh-CN"/>
        </w:rPr>
        <w:t>-</w:t>
      </w:r>
      <w:r>
        <w:rPr>
          <w:rFonts w:hint="eastAsia" w:ascii="宋体" w:hAnsi="宋体" w:eastAsia="宋体" w:cs="宋体"/>
          <w:b/>
          <w:bCs/>
          <w:color w:val="auto"/>
          <w:sz w:val="32"/>
          <w:szCs w:val="32"/>
          <w:highlight w:val="none"/>
        </w:rPr>
        <w:t>竞争性</w:t>
      </w:r>
      <w:r>
        <w:rPr>
          <w:rFonts w:hint="eastAsia" w:ascii="宋体" w:hAnsi="宋体" w:eastAsia="宋体" w:cs="宋体"/>
          <w:b/>
          <w:bCs/>
          <w:color w:val="auto"/>
          <w:sz w:val="32"/>
          <w:szCs w:val="32"/>
          <w:highlight w:val="none"/>
          <w:lang w:val="en-US" w:eastAsia="zh-CN"/>
        </w:rPr>
        <w:t>磋商</w:t>
      </w:r>
      <w:r>
        <w:rPr>
          <w:rFonts w:hint="eastAsia" w:ascii="宋体" w:hAnsi="宋体" w:eastAsia="宋体" w:cs="宋体"/>
          <w:b/>
          <w:bCs/>
          <w:color w:val="auto"/>
          <w:sz w:val="32"/>
          <w:szCs w:val="32"/>
          <w:highlight w:val="none"/>
        </w:rPr>
        <w:t>公告</w:t>
      </w:r>
    </w:p>
    <w:p w14:paraId="3FCC2419">
      <w:pPr>
        <w:keepNext w:val="0"/>
        <w:keepLines w:val="0"/>
        <w:pageBreakBefore w:val="0"/>
        <w:widowControl w:val="0"/>
        <w:kinsoku/>
        <w:wordWrap/>
        <w:overflowPunct/>
        <w:topLinePunct w:val="0"/>
        <w:autoSpaceDE/>
        <w:autoSpaceDN/>
        <w:bidi w:val="0"/>
        <w:spacing w:line="440" w:lineRule="exact"/>
        <w:jc w:val="left"/>
        <w:textAlignment w:val="auto"/>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项目概况</w:t>
      </w:r>
    </w:p>
    <w:p w14:paraId="4728D2AF">
      <w:pPr>
        <w:keepNext w:val="0"/>
        <w:keepLines w:val="0"/>
        <w:pageBreakBefore w:val="0"/>
        <w:widowControl w:val="0"/>
        <w:kinsoku/>
        <w:wordWrap/>
        <w:overflowPunct/>
        <w:topLinePunct w:val="0"/>
        <w:autoSpaceDE/>
        <w:autoSpaceDN/>
        <w:bidi w:val="0"/>
        <w:spacing w:line="440" w:lineRule="exact"/>
        <w:ind w:firstLine="480" w:firstLineChars="200"/>
        <w:jc w:val="left"/>
        <w:textAlignment w:val="auto"/>
        <w:rPr>
          <w:rFonts w:hint="eastAsia" w:ascii="宋体" w:hAnsi="宋体" w:eastAsia="宋体" w:cs="宋体"/>
          <w:color w:val="auto"/>
          <w:highlight w:val="none"/>
          <w:lang w:eastAsia="zh-CN"/>
        </w:rPr>
      </w:pPr>
      <w:r>
        <w:rPr>
          <w:rFonts w:hint="eastAsia" w:ascii="宋体" w:hAnsi="宋体" w:eastAsia="宋体" w:cs="宋体"/>
          <w:color w:val="auto"/>
          <w:sz w:val="24"/>
          <w:highlight w:val="none"/>
          <w:lang w:eastAsia="zh-CN"/>
        </w:rPr>
        <w:t>郏县第二人民医院128排CT（2025）年度维保项目</w:t>
      </w:r>
      <w:r>
        <w:rPr>
          <w:rFonts w:hint="eastAsia" w:ascii="宋体" w:hAnsi="宋体" w:eastAsia="宋体" w:cs="宋体"/>
          <w:color w:val="auto"/>
          <w:sz w:val="24"/>
          <w:highlight w:val="none"/>
        </w:rPr>
        <w:t>的潜在投标人应在</w:t>
      </w:r>
      <w:r>
        <w:rPr>
          <w:rFonts w:hint="eastAsia" w:ascii="宋体" w:hAnsi="宋体" w:eastAsia="宋体" w:cs="宋体"/>
          <w:color w:val="auto"/>
          <w:sz w:val="24"/>
          <w:highlight w:val="none"/>
          <w:u w:val="single"/>
        </w:rPr>
        <w:t xml:space="preserve"> 全国公共资源交易平台（河南省·平顶山市） </w:t>
      </w:r>
      <w:r>
        <w:rPr>
          <w:rFonts w:hint="eastAsia" w:ascii="宋体" w:hAnsi="宋体" w:eastAsia="宋体" w:cs="宋体"/>
          <w:color w:val="auto"/>
          <w:sz w:val="24"/>
          <w:highlight w:val="none"/>
        </w:rPr>
        <w:t>获取</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rPr>
        <w:t>文件，并于</w:t>
      </w:r>
      <w:r>
        <w:rPr>
          <w:rFonts w:hint="eastAsia" w:ascii="宋体" w:hAnsi="宋体" w:eastAsia="宋体" w:cs="宋体"/>
          <w:color w:val="auto"/>
          <w:sz w:val="24"/>
          <w:highlight w:val="none"/>
          <w:lang w:eastAsia="zh-CN"/>
        </w:rPr>
        <w:t>2025年</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 xml:space="preserve">22 </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 xml:space="preserve"> 8</w:t>
      </w:r>
      <w:r>
        <w:rPr>
          <w:rFonts w:hint="eastAsia" w:ascii="宋体" w:hAnsi="宋体" w:eastAsia="宋体" w:cs="宋体"/>
          <w:color w:val="auto"/>
          <w:sz w:val="24"/>
          <w:highlight w:val="none"/>
        </w:rPr>
        <w:t>点</w:t>
      </w:r>
      <w:r>
        <w:rPr>
          <w:rFonts w:hint="eastAsia" w:ascii="宋体" w:hAnsi="宋体" w:eastAsia="宋体" w:cs="宋体"/>
          <w:color w:val="auto"/>
          <w:sz w:val="24"/>
          <w:highlight w:val="none"/>
          <w:lang w:val="en-US" w:eastAsia="zh-CN"/>
        </w:rPr>
        <w:t xml:space="preserve"> 40 </w:t>
      </w:r>
      <w:r>
        <w:rPr>
          <w:rFonts w:hint="eastAsia" w:ascii="宋体" w:hAnsi="宋体" w:eastAsia="宋体" w:cs="宋体"/>
          <w:color w:val="auto"/>
          <w:sz w:val="24"/>
          <w:highlight w:val="none"/>
        </w:rPr>
        <w:t>分（北京时间）前递交</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文件</w:t>
      </w:r>
      <w:r>
        <w:rPr>
          <w:rFonts w:hint="eastAsia" w:ascii="宋体" w:hAnsi="宋体" w:eastAsia="宋体" w:cs="宋体"/>
          <w:color w:val="auto"/>
          <w:sz w:val="24"/>
          <w:highlight w:val="none"/>
          <w:lang w:eastAsia="zh-CN"/>
        </w:rPr>
        <w:t>。</w:t>
      </w:r>
    </w:p>
    <w:p w14:paraId="6162EF95">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宋体" w:hAnsi="宋体" w:eastAsia="宋体" w:cs="宋体"/>
          <w:b/>
          <w:bCs/>
          <w:color w:val="auto"/>
          <w:sz w:val="24"/>
          <w:szCs w:val="24"/>
          <w:highlight w:val="none"/>
          <w:lang w:val="en-US" w:eastAsia="zh-CN"/>
        </w:rPr>
      </w:pPr>
      <w:bookmarkStart w:id="7" w:name="_Toc28359089"/>
      <w:bookmarkStart w:id="8" w:name="_Toc28359012"/>
      <w:bookmarkStart w:id="9" w:name="_Toc35393798"/>
      <w:bookmarkStart w:id="10" w:name="_Toc35393629"/>
      <w:r>
        <w:rPr>
          <w:rFonts w:hint="eastAsia" w:ascii="宋体" w:hAnsi="宋体" w:eastAsia="宋体" w:cs="宋体"/>
          <w:b/>
          <w:bCs/>
          <w:color w:val="auto"/>
          <w:sz w:val="24"/>
          <w:szCs w:val="24"/>
          <w:highlight w:val="none"/>
          <w:lang w:val="en-US" w:eastAsia="zh-CN"/>
        </w:rPr>
        <w:t>一、项目基本情况</w:t>
      </w:r>
      <w:bookmarkEnd w:id="7"/>
      <w:bookmarkEnd w:id="8"/>
      <w:bookmarkEnd w:id="9"/>
      <w:bookmarkEnd w:id="10"/>
    </w:p>
    <w:p w14:paraId="4E39A88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1、采购编号：郏采磋商-2025-58</w:t>
      </w:r>
    </w:p>
    <w:p w14:paraId="7A9451C5">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2、项目名称：郏县第二人民医院128排CT（2025）年度维保项目</w:t>
      </w:r>
    </w:p>
    <w:p w14:paraId="6F262564">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3、采购方式：竞争性磋商 </w:t>
      </w:r>
    </w:p>
    <w:p w14:paraId="6B2E6C06">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4、预算金额：390000.00元</w:t>
      </w:r>
    </w:p>
    <w:p w14:paraId="71D91662">
      <w:pPr>
        <w:keepNext w:val="0"/>
        <w:keepLines w:val="0"/>
        <w:pageBreakBefore w:val="0"/>
        <w:widowControl w:val="0"/>
        <w:kinsoku/>
        <w:wordWrap/>
        <w:overflowPunct/>
        <w:topLinePunct w:val="0"/>
        <w:autoSpaceDE/>
        <w:autoSpaceDN/>
        <w:bidi w:val="0"/>
        <w:adjustRightInd/>
        <w:snapToGrid/>
        <w:spacing w:line="440" w:lineRule="exact"/>
        <w:ind w:firstLine="960" w:firstLineChars="4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最高限价：390000.00元</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602"/>
        <w:gridCol w:w="3898"/>
        <w:gridCol w:w="1616"/>
        <w:gridCol w:w="1384"/>
      </w:tblGrid>
      <w:tr w14:paraId="0B3A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noWrap w:val="0"/>
            <w:vAlign w:val="center"/>
          </w:tcPr>
          <w:p w14:paraId="680C437D">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602" w:type="dxa"/>
            <w:noWrap w:val="0"/>
            <w:vAlign w:val="center"/>
          </w:tcPr>
          <w:p w14:paraId="16CBD789">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包号</w:t>
            </w:r>
          </w:p>
        </w:tc>
        <w:tc>
          <w:tcPr>
            <w:tcW w:w="3898" w:type="dxa"/>
            <w:noWrap w:val="0"/>
            <w:vAlign w:val="center"/>
          </w:tcPr>
          <w:p w14:paraId="69100DA2">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包名称</w:t>
            </w:r>
          </w:p>
        </w:tc>
        <w:tc>
          <w:tcPr>
            <w:tcW w:w="1616" w:type="dxa"/>
            <w:noWrap w:val="0"/>
            <w:vAlign w:val="center"/>
          </w:tcPr>
          <w:p w14:paraId="5EE9456F">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包预算</w:t>
            </w:r>
          </w:p>
          <w:p w14:paraId="282E9EBB">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（元）</w:t>
            </w:r>
          </w:p>
        </w:tc>
        <w:tc>
          <w:tcPr>
            <w:tcW w:w="1384" w:type="dxa"/>
            <w:noWrap w:val="0"/>
            <w:vAlign w:val="center"/>
          </w:tcPr>
          <w:p w14:paraId="613F31AF">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包最高限价</w:t>
            </w:r>
          </w:p>
          <w:p w14:paraId="5B94EC50">
            <w:pPr>
              <w:pStyle w:val="15"/>
              <w:keepNext w:val="0"/>
              <w:keepLines w:val="0"/>
              <w:pageBreakBefore w:val="0"/>
              <w:kinsoku/>
              <w:wordWrap/>
              <w:overflowPunct/>
              <w:topLinePunct w:val="0"/>
              <w:autoSpaceDE/>
              <w:autoSpaceDN/>
              <w:bidi w:val="0"/>
              <w:adjustRightInd/>
              <w:spacing w:line="440" w:lineRule="exact"/>
              <w:ind w:firstLine="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（元）</w:t>
            </w:r>
          </w:p>
        </w:tc>
      </w:tr>
      <w:tr w14:paraId="45B39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80" w:type="dxa"/>
            <w:noWrap w:val="0"/>
            <w:vAlign w:val="center"/>
          </w:tcPr>
          <w:p w14:paraId="269788C7">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1</w:t>
            </w:r>
          </w:p>
        </w:tc>
        <w:tc>
          <w:tcPr>
            <w:tcW w:w="1602" w:type="dxa"/>
            <w:noWrap w:val="0"/>
            <w:vAlign w:val="center"/>
          </w:tcPr>
          <w:p w14:paraId="7D867EF0">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平公资采2025 894号-1</w:t>
            </w:r>
          </w:p>
        </w:tc>
        <w:tc>
          <w:tcPr>
            <w:tcW w:w="3898" w:type="dxa"/>
            <w:noWrap w:val="0"/>
            <w:vAlign w:val="center"/>
          </w:tcPr>
          <w:p w14:paraId="04ECEF84">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郏县第二人民医院128排CT（2025）年度维保项目</w:t>
            </w:r>
          </w:p>
        </w:tc>
        <w:tc>
          <w:tcPr>
            <w:tcW w:w="1616" w:type="dxa"/>
            <w:noWrap w:val="0"/>
            <w:vAlign w:val="center"/>
          </w:tcPr>
          <w:p w14:paraId="70918866">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 w:val="24"/>
                <w:szCs w:val="24"/>
                <w:highlight w:val="none"/>
                <w:lang w:val="en-US" w:eastAsia="zh-CN"/>
              </w:rPr>
              <w:t>390000.00</w:t>
            </w:r>
          </w:p>
        </w:tc>
        <w:tc>
          <w:tcPr>
            <w:tcW w:w="1384" w:type="dxa"/>
            <w:noWrap w:val="0"/>
            <w:vAlign w:val="center"/>
          </w:tcPr>
          <w:p w14:paraId="30F34E65">
            <w:pPr>
              <w:keepNext w:val="0"/>
              <w:keepLines w:val="0"/>
              <w:pageBreakBefore w:val="0"/>
              <w:kinsoku/>
              <w:wordWrap/>
              <w:overflowPunct/>
              <w:topLinePunct w:val="0"/>
              <w:autoSpaceDE/>
              <w:autoSpaceDN/>
              <w:bidi w:val="0"/>
              <w:adjustRightInd/>
              <w:spacing w:line="440" w:lineRule="exact"/>
              <w:jc w:val="center"/>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 w:val="24"/>
                <w:szCs w:val="24"/>
                <w:highlight w:val="none"/>
                <w:lang w:val="en-US" w:eastAsia="zh-CN"/>
              </w:rPr>
              <w:t>390000.00</w:t>
            </w:r>
          </w:p>
        </w:tc>
      </w:tr>
    </w:tbl>
    <w:p w14:paraId="24D6D430">
      <w:pPr>
        <w:pStyle w:val="8"/>
        <w:keepNext w:val="0"/>
        <w:keepLines w:val="0"/>
        <w:pageBreakBefore w:val="0"/>
        <w:kinsoku/>
        <w:wordWrap/>
        <w:overflowPunct/>
        <w:topLinePunct w:val="0"/>
        <w:bidi w:val="0"/>
        <w:spacing w:line="440" w:lineRule="exact"/>
        <w:textAlignment w:val="auto"/>
        <w:rPr>
          <w:rFonts w:hint="eastAsia" w:ascii="宋体" w:hAnsi="宋体" w:eastAsia="宋体" w:cs="宋体"/>
          <w:color w:val="auto"/>
          <w:highlight w:val="none"/>
          <w:lang w:val="en-US" w:eastAsia="zh-CN"/>
        </w:rPr>
      </w:pPr>
    </w:p>
    <w:p w14:paraId="0C2AA4AB">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5、采购内容及要求：（包括但不限于标的的名称、数量、简要技术需求或服务要求等）</w:t>
      </w:r>
    </w:p>
    <w:p w14:paraId="0D8FABC6">
      <w:pPr>
        <w:spacing w:line="500" w:lineRule="exact"/>
        <w:ind w:firstLine="480" w:firstLineChars="200"/>
        <w:jc w:val="left"/>
        <w:rPr>
          <w:rFonts w:hint="eastAsia" w:ascii="宋体" w:hAnsi="宋体" w:eastAsia="宋体" w:cs="宋体"/>
          <w:color w:val="auto"/>
          <w:sz w:val="24"/>
          <w:szCs w:val="24"/>
          <w:highlight w:val="none"/>
          <w:lang w:val="en-US"/>
        </w:rPr>
      </w:pPr>
      <w:bookmarkStart w:id="11" w:name="_Toc28359090"/>
      <w:bookmarkStart w:id="12" w:name="_Toc35393799"/>
      <w:bookmarkStart w:id="13" w:name="_Toc35393630"/>
      <w:bookmarkStart w:id="14" w:name="_Toc28359013"/>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.1服务范围：</w:t>
      </w:r>
      <w:r>
        <w:rPr>
          <w:rFonts w:hint="eastAsia" w:ascii="宋体" w:hAnsi="宋体" w:eastAsia="宋体" w:cs="宋体"/>
          <w:color w:val="auto"/>
          <w:sz w:val="24"/>
          <w:szCs w:val="24"/>
          <w:highlight w:val="none"/>
          <w:lang w:eastAsia="zh-CN"/>
        </w:rPr>
        <w:t>郏县第二人民医院128排CT（2025）年度维保项目</w:t>
      </w:r>
      <w:r>
        <w:rPr>
          <w:rFonts w:hint="eastAsia" w:ascii="宋体" w:hAnsi="宋体" w:eastAsia="宋体" w:cs="宋体"/>
          <w:color w:val="auto"/>
          <w:sz w:val="24"/>
          <w:szCs w:val="24"/>
          <w:highlight w:val="none"/>
          <w:lang w:val="en-US" w:eastAsia="zh-CN"/>
        </w:rPr>
        <w:t>，详见磋商文件。</w:t>
      </w:r>
    </w:p>
    <w:p w14:paraId="6E292333">
      <w:pPr>
        <w:spacing w:line="50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5.2</w:t>
      </w:r>
      <w:r>
        <w:rPr>
          <w:rFonts w:hint="eastAsia" w:ascii="宋体" w:hAnsi="宋体" w:eastAsia="宋体" w:cs="宋体"/>
          <w:color w:val="auto"/>
          <w:sz w:val="24"/>
          <w:szCs w:val="24"/>
          <w:highlight w:val="none"/>
        </w:rPr>
        <w:t>服务期限：</w:t>
      </w:r>
      <w:r>
        <w:rPr>
          <w:rFonts w:hint="eastAsia" w:ascii="宋体" w:hAnsi="宋体" w:eastAsia="宋体" w:cs="宋体"/>
          <w:color w:val="auto"/>
          <w:sz w:val="24"/>
          <w:szCs w:val="24"/>
          <w:highlight w:val="none"/>
          <w:lang w:eastAsia="zh-CN"/>
        </w:rPr>
        <w:t>自合同签订之日起一年。</w:t>
      </w:r>
    </w:p>
    <w:p w14:paraId="08B35A28">
      <w:pPr>
        <w:spacing w:line="50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5.3资金来源：自筹资金，已落实。</w:t>
      </w:r>
    </w:p>
    <w:p w14:paraId="7F243D1D">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标段划分：</w:t>
      </w:r>
      <w:r>
        <w:rPr>
          <w:rFonts w:hint="eastAsia" w:ascii="宋体" w:hAnsi="宋体" w:eastAsia="宋体" w:cs="宋体"/>
          <w:color w:val="auto"/>
          <w:sz w:val="24"/>
          <w:szCs w:val="24"/>
          <w:highlight w:val="none"/>
          <w:shd w:val="clear" w:color="auto" w:fill="FFFFFF"/>
          <w:lang w:bidi="ar"/>
        </w:rPr>
        <w:t>本项目</w:t>
      </w:r>
      <w:r>
        <w:rPr>
          <w:rFonts w:hint="eastAsia" w:ascii="宋体" w:hAnsi="宋体" w:eastAsia="宋体" w:cs="宋体"/>
          <w:color w:val="auto"/>
          <w:sz w:val="24"/>
          <w:szCs w:val="24"/>
          <w:highlight w:val="none"/>
          <w:shd w:val="clear" w:color="auto" w:fill="FFFFFF"/>
          <w:lang w:val="en-US" w:eastAsia="zh-CN" w:bidi="ar"/>
        </w:rPr>
        <w:t>划分为1个标段</w:t>
      </w:r>
      <w:r>
        <w:rPr>
          <w:rFonts w:hint="eastAsia" w:ascii="宋体" w:hAnsi="宋体" w:eastAsia="宋体" w:cs="宋体"/>
          <w:bCs/>
          <w:color w:val="auto"/>
          <w:sz w:val="24"/>
          <w:szCs w:val="24"/>
          <w:highlight w:val="none"/>
          <w:lang w:eastAsia="zh-CN"/>
        </w:rPr>
        <w:t>。</w:t>
      </w:r>
    </w:p>
    <w:p w14:paraId="51F43BD9">
      <w:pPr>
        <w:spacing w:line="50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服务地点：采购人指定地点</w:t>
      </w:r>
      <w:r>
        <w:rPr>
          <w:rFonts w:hint="eastAsia" w:ascii="宋体" w:hAnsi="宋体" w:eastAsia="宋体" w:cs="宋体"/>
          <w:color w:val="auto"/>
          <w:sz w:val="24"/>
          <w:szCs w:val="24"/>
          <w:highlight w:val="none"/>
          <w:lang w:eastAsia="zh-CN"/>
        </w:rPr>
        <w:t>。</w:t>
      </w:r>
    </w:p>
    <w:p w14:paraId="68E4995F">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服务要求：符合</w:t>
      </w:r>
      <w:r>
        <w:rPr>
          <w:rFonts w:hint="eastAsia" w:ascii="宋体" w:hAnsi="宋体" w:eastAsia="宋体" w:cs="宋体"/>
          <w:color w:val="auto"/>
          <w:sz w:val="24"/>
          <w:szCs w:val="24"/>
          <w:highlight w:val="none"/>
          <w:lang w:eastAsia="zh-CN"/>
        </w:rPr>
        <w:t>磋商</w:t>
      </w:r>
      <w:r>
        <w:rPr>
          <w:rFonts w:hint="eastAsia" w:ascii="宋体" w:hAnsi="宋体" w:eastAsia="宋体" w:cs="宋体"/>
          <w:color w:val="auto"/>
          <w:sz w:val="24"/>
          <w:szCs w:val="24"/>
          <w:highlight w:val="none"/>
        </w:rPr>
        <w:t>文件要求及采购人需求</w:t>
      </w:r>
    </w:p>
    <w:p w14:paraId="0A19A375">
      <w:pPr>
        <w:tabs>
          <w:tab w:val="left" w:pos="6557"/>
        </w:tabs>
        <w:spacing w:line="500" w:lineRule="exact"/>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7服务标准</w:t>
      </w:r>
      <w:r>
        <w:rPr>
          <w:rFonts w:hint="eastAsia" w:ascii="宋体" w:hAnsi="宋体" w:eastAsia="宋体" w:cs="宋体"/>
          <w:color w:val="auto"/>
          <w:sz w:val="24"/>
          <w:szCs w:val="24"/>
          <w:highlight w:val="none"/>
        </w:rPr>
        <w:t>：达到国家及行业相关服务规定合格标准</w:t>
      </w:r>
      <w:r>
        <w:rPr>
          <w:rFonts w:hint="eastAsia" w:ascii="宋体" w:hAnsi="宋体" w:eastAsia="宋体" w:cs="宋体"/>
          <w:color w:val="auto"/>
          <w:sz w:val="24"/>
          <w:szCs w:val="24"/>
          <w:highlight w:val="none"/>
          <w:lang w:eastAsia="zh-CN"/>
        </w:rPr>
        <w:tab/>
      </w:r>
    </w:p>
    <w:p w14:paraId="741A8A47">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、合同履行期限：见服务期限。</w:t>
      </w:r>
    </w:p>
    <w:p w14:paraId="686492E0">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、本项目是否接受联合体投标：否。</w:t>
      </w:r>
    </w:p>
    <w:p w14:paraId="1E707C81">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、是否接受进口产品：否</w:t>
      </w:r>
    </w:p>
    <w:p w14:paraId="50165E1E">
      <w:pPr>
        <w:spacing w:line="48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9、是否专门面向中小企业：否</w:t>
      </w:r>
    </w:p>
    <w:p w14:paraId="4827AE72">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二、申请人的资格要求：</w:t>
      </w:r>
      <w:bookmarkEnd w:id="11"/>
      <w:bookmarkEnd w:id="12"/>
      <w:bookmarkEnd w:id="13"/>
      <w:bookmarkEnd w:id="14"/>
    </w:p>
    <w:p w14:paraId="37926569">
      <w:pPr>
        <w:spacing w:line="500" w:lineRule="exact"/>
        <w:ind w:firstLine="480" w:firstLineChars="200"/>
        <w:jc w:val="left"/>
        <w:rPr>
          <w:rFonts w:hint="eastAsia" w:ascii="宋体" w:hAnsi="宋体" w:eastAsia="宋体" w:cs="宋体"/>
          <w:color w:val="auto"/>
          <w:sz w:val="24"/>
          <w:szCs w:val="24"/>
          <w:highlight w:val="none"/>
        </w:rPr>
      </w:pPr>
      <w:bookmarkStart w:id="15" w:name="_Toc35393631"/>
      <w:bookmarkStart w:id="16" w:name="_Toc35393800"/>
      <w:r>
        <w:rPr>
          <w:rFonts w:hint="eastAsia" w:ascii="宋体" w:hAnsi="宋体" w:eastAsia="宋体" w:cs="宋体"/>
          <w:color w:val="auto"/>
          <w:sz w:val="24"/>
          <w:szCs w:val="24"/>
          <w:highlight w:val="none"/>
        </w:rPr>
        <w:t>1、满足《中华人民共和国政府采购法》第二十二条规定；</w:t>
      </w:r>
    </w:p>
    <w:p w14:paraId="60EEEB1A">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2、落实政府采购政策满足的资格要求：</w:t>
      </w:r>
    </w:p>
    <w:p w14:paraId="37235BE5">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根据《政府采购促进中小企业发展管理办法》财库〔2020〕46号、《财政部关于进一步加大政府采购支持中小企业力度的通知》财库〔2022〕19号规定，</w:t>
      </w:r>
      <w:r>
        <w:rPr>
          <w:rStyle w:val="74"/>
          <w:rFonts w:hint="eastAsia" w:ascii="宋体" w:hAnsi="宋体" w:eastAsia="宋体" w:cs="宋体"/>
          <w:color w:val="auto"/>
          <w:sz w:val="24"/>
          <w:szCs w:val="22"/>
          <w:highlight w:val="none"/>
        </w:rPr>
        <w:t>支持节能环保政策，扶持监狱、残疾人福利性单位等政府采购政策</w:t>
      </w:r>
      <w:r>
        <w:rPr>
          <w:rFonts w:hint="eastAsia" w:ascii="宋体" w:hAnsi="宋体" w:eastAsia="宋体" w:cs="宋体"/>
          <w:color w:val="auto"/>
          <w:sz w:val="24"/>
          <w:szCs w:val="24"/>
          <w:highlight w:val="none"/>
        </w:rPr>
        <w:t>。本项目非专门面向中小企业采购。</w:t>
      </w:r>
    </w:p>
    <w:p w14:paraId="2B3342D9">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3、本项目的特定资格要求</w:t>
      </w:r>
    </w:p>
    <w:p w14:paraId="73631134">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3.1供应商具有独立承担民事责任的能力（提供有效的三证合一营业执照扫描件或复印件，也可提供电子营业执照截图）；</w:t>
      </w:r>
    </w:p>
    <w:p w14:paraId="33A0DE35">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为贯彻落实《关于促进政府采购公平竞争优化营商环境的通知》（财库〔2019〕38号）和《关于全面推行证明事项和涉企经营许可事项告知承诺制的指导意见》（国办发[2020]42号），降低供应商参与政府采购活动的制度性交易成本，持续优化政府采购营商环境。按照《郏县财政局关于推行政府采购信用承诺制的通知》（郏财字[2022]35号）要求，在本次招标活动中，供应商只需在资格审查满足相应条件的书面承诺书（格式详见后附件：郏县政府采购供应商信用承诺书），不再需要提供以下证明材料：</w:t>
      </w:r>
    </w:p>
    <w:p w14:paraId="5E6B8F9F">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（1）具有独立承担民事责任的能力；</w:t>
      </w:r>
    </w:p>
    <w:p w14:paraId="2C88FB31">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（2）具有良好的商业信誉和健全的财务会计制度；</w:t>
      </w:r>
    </w:p>
    <w:p w14:paraId="0EDC2DD8">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（3）具有履行合同所必需的设备和专业技术能力；</w:t>
      </w:r>
    </w:p>
    <w:p w14:paraId="115F3804">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（4）有依法缴纳税收和社会保障资金的良好记录；</w:t>
      </w:r>
    </w:p>
    <w:p w14:paraId="356658CA">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（5）参加政府采购活动前三年内，在经营活动中没有重大违法记录；</w:t>
      </w:r>
    </w:p>
    <w:p w14:paraId="15E8B53F">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（6）未被列入失信被执行人、</w:t>
      </w:r>
      <w:r>
        <w:rPr>
          <w:rFonts w:hint="eastAsia" w:ascii="宋体" w:hAnsi="宋体" w:eastAsia="宋体" w:cs="宋体"/>
          <w:color w:val="auto"/>
          <w:kern w:val="2"/>
          <w:sz w:val="24"/>
          <w:szCs w:val="24"/>
          <w:highlight w:val="none"/>
          <w:lang w:val="zh-CN" w:eastAsia="zh-CN" w:bidi="ar-SA"/>
        </w:rPr>
        <w:t>重大税收违法失信主体</w:t>
      </w:r>
      <w:r>
        <w:rPr>
          <w:rFonts w:hint="eastAsia" w:ascii="宋体" w:hAnsi="宋体" w:eastAsia="宋体" w:cs="宋体"/>
          <w:color w:val="auto"/>
          <w:kern w:val="2"/>
          <w:sz w:val="24"/>
          <w:szCs w:val="24"/>
          <w:highlight w:val="none"/>
          <w:lang w:val="en-US" w:eastAsia="zh-CN" w:bidi="ar-SA"/>
        </w:rPr>
        <w:t>、政府采购严重违法失信行为记录名单。</w:t>
      </w:r>
    </w:p>
    <w:p w14:paraId="053805AE">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）法律、行政法规规定的其他条件。</w:t>
      </w:r>
    </w:p>
    <w:p w14:paraId="7A29C3B2">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3.3</w:t>
      </w:r>
      <w:r>
        <w:rPr>
          <w:rFonts w:hint="eastAsia" w:ascii="宋体" w:hAnsi="宋体" w:eastAsia="宋体" w:cs="宋体"/>
          <w:color w:val="auto"/>
          <w:sz w:val="24"/>
          <w:szCs w:val="24"/>
          <w:highlight w:val="none"/>
        </w:rPr>
        <w:t>单位负责人为同一人或存在控股、管理关系的不同单位，不得同时参加本项目的采购活动（提供加盖单位公章承诺函，格式自拟）；</w:t>
      </w:r>
    </w:p>
    <w:p w14:paraId="4DDFFCF8">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本项目资格审查方式为资格后审，不允许分包或转包。</w:t>
      </w:r>
    </w:p>
    <w:p w14:paraId="2EC05484">
      <w:pPr>
        <w:spacing w:line="50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w:t>
      </w:r>
      <w:r>
        <w:rPr>
          <w:rFonts w:hint="eastAsia" w:ascii="宋体" w:hAnsi="宋体" w:eastAsia="宋体" w:cs="宋体"/>
          <w:color w:val="auto"/>
          <w:sz w:val="24"/>
          <w:szCs w:val="24"/>
          <w:highlight w:val="none"/>
        </w:rPr>
        <w:t>投标人须保证投标期间提供的所有资料真实有效，一经发现其提供虚假资料将被视为放弃投标资格并承担由此引起的一切不良和法律后果（提供加盖单位公章承诺函，格式自拟）</w:t>
      </w:r>
    </w:p>
    <w:p w14:paraId="60713322">
      <w:pPr>
        <w:spacing w:line="500" w:lineRule="exact"/>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w:t>
      </w:r>
      <w:r>
        <w:rPr>
          <w:rFonts w:hint="eastAsia" w:ascii="宋体" w:hAnsi="宋体" w:eastAsia="宋体" w:cs="宋体"/>
          <w:color w:val="auto"/>
          <w:sz w:val="24"/>
          <w:szCs w:val="24"/>
          <w:highlight w:val="none"/>
        </w:rPr>
        <w:t>按照财库〔2016〕125号文，采购人、代理机构在开标时通过“中国执行信息公开网”“信用中国”及“中国政府采购网”查询供应商信用情况，如有不良情况，按无效标处理。</w:t>
      </w:r>
    </w:p>
    <w:p w14:paraId="3BB7F8CA">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三、获取采购文件</w:t>
      </w:r>
      <w:bookmarkEnd w:id="15"/>
      <w:bookmarkEnd w:id="16"/>
    </w:p>
    <w:p w14:paraId="44B84B65">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1、时间：</w:t>
      </w:r>
      <w:bookmarkStart w:id="17" w:name="OLE_LINK2"/>
      <w:r>
        <w:rPr>
          <w:rFonts w:hint="eastAsia" w:ascii="宋体" w:hAnsi="宋体" w:eastAsia="宋体" w:cs="宋体"/>
          <w:bCs/>
          <w:color w:val="auto"/>
          <w:sz w:val="24"/>
          <w:szCs w:val="24"/>
          <w:highlight w:val="none"/>
        </w:rPr>
        <w:t>202</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lang w:val="en-US" w:eastAsia="zh-CN"/>
        </w:rPr>
        <w:t xml:space="preserve"> 9</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lang w:val="en-US" w:eastAsia="zh-CN"/>
        </w:rPr>
        <w:t xml:space="preserve"> 8 </w:t>
      </w:r>
      <w:r>
        <w:rPr>
          <w:rFonts w:hint="eastAsia" w:ascii="宋体" w:hAnsi="宋体" w:eastAsia="宋体" w:cs="宋体"/>
          <w:bCs/>
          <w:color w:val="auto"/>
          <w:sz w:val="24"/>
          <w:szCs w:val="24"/>
          <w:highlight w:val="none"/>
        </w:rPr>
        <w:t>日00时00分至202</w:t>
      </w:r>
      <w:r>
        <w:rPr>
          <w:rFonts w:hint="eastAsia" w:ascii="宋体" w:hAnsi="宋体" w:eastAsia="宋体" w:cs="宋体"/>
          <w:bCs/>
          <w:color w:val="auto"/>
          <w:sz w:val="24"/>
          <w:szCs w:val="24"/>
          <w:highlight w:val="none"/>
          <w:lang w:val="en-US" w:eastAsia="zh-CN"/>
        </w:rPr>
        <w:t>5</w:t>
      </w:r>
      <w:r>
        <w:rPr>
          <w:rFonts w:hint="eastAsia" w:ascii="宋体" w:hAnsi="宋体" w:eastAsia="宋体" w:cs="宋体"/>
          <w:bCs/>
          <w:color w:val="auto"/>
          <w:sz w:val="24"/>
          <w:szCs w:val="24"/>
          <w:highlight w:val="none"/>
        </w:rPr>
        <w:t>年</w:t>
      </w:r>
      <w:r>
        <w:rPr>
          <w:rFonts w:hint="eastAsia" w:ascii="宋体" w:hAnsi="宋体" w:eastAsia="宋体" w:cs="宋体"/>
          <w:bCs/>
          <w:color w:val="auto"/>
          <w:sz w:val="24"/>
          <w:szCs w:val="24"/>
          <w:highlight w:val="none"/>
          <w:lang w:val="en-US" w:eastAsia="zh-CN"/>
        </w:rPr>
        <w:t xml:space="preserve"> 9 </w:t>
      </w:r>
      <w:r>
        <w:rPr>
          <w:rFonts w:hint="eastAsia" w:ascii="宋体" w:hAnsi="宋体" w:eastAsia="宋体" w:cs="宋体"/>
          <w:bCs/>
          <w:color w:val="auto"/>
          <w:sz w:val="24"/>
          <w:szCs w:val="24"/>
          <w:highlight w:val="none"/>
        </w:rPr>
        <w:t>月</w:t>
      </w:r>
      <w:r>
        <w:rPr>
          <w:rFonts w:hint="eastAsia" w:ascii="宋体" w:hAnsi="宋体" w:eastAsia="宋体" w:cs="宋体"/>
          <w:bCs/>
          <w:color w:val="auto"/>
          <w:sz w:val="24"/>
          <w:szCs w:val="24"/>
          <w:highlight w:val="none"/>
          <w:lang w:val="en-US" w:eastAsia="zh-CN"/>
        </w:rPr>
        <w:t xml:space="preserve"> 21 </w:t>
      </w:r>
      <w:r>
        <w:rPr>
          <w:rFonts w:hint="eastAsia" w:ascii="宋体" w:hAnsi="宋体" w:eastAsia="宋体" w:cs="宋体"/>
          <w:bCs/>
          <w:color w:val="auto"/>
          <w:sz w:val="24"/>
          <w:szCs w:val="24"/>
          <w:highlight w:val="none"/>
        </w:rPr>
        <w:t>日23时59分</w:t>
      </w:r>
      <w:bookmarkEnd w:id="17"/>
      <w:r>
        <w:rPr>
          <w:rFonts w:hint="eastAsia" w:ascii="宋体" w:hAnsi="宋体" w:eastAsia="宋体" w:cs="宋体"/>
          <w:bCs/>
          <w:color w:val="auto"/>
          <w:sz w:val="24"/>
          <w:szCs w:val="24"/>
          <w:highlight w:val="none"/>
          <w:lang w:eastAsia="zh-CN"/>
        </w:rPr>
        <w:t>（北京时间）</w:t>
      </w:r>
    </w:p>
    <w:p w14:paraId="7F214430">
      <w:pPr>
        <w:spacing w:line="500" w:lineRule="exact"/>
        <w:ind w:firstLine="480" w:firstLineChars="200"/>
        <w:jc w:val="left"/>
        <w:rPr>
          <w:rFonts w:hint="eastAsia" w:ascii="宋体" w:hAnsi="宋体" w:eastAsia="宋体" w:cs="宋体"/>
          <w:color w:val="auto"/>
          <w:sz w:val="24"/>
          <w:szCs w:val="24"/>
          <w:highlight w:val="none"/>
          <w:lang w:eastAsia="en-US"/>
        </w:rPr>
      </w:pPr>
      <w:bookmarkStart w:id="18" w:name="_Toc35393804"/>
      <w:bookmarkStart w:id="19" w:name="_Toc35393635"/>
      <w:r>
        <w:rPr>
          <w:rFonts w:hint="eastAsia" w:ascii="宋体" w:hAnsi="宋体" w:eastAsia="宋体" w:cs="宋体"/>
          <w:color w:val="auto"/>
          <w:sz w:val="24"/>
          <w:szCs w:val="24"/>
          <w:highlight w:val="none"/>
          <w:lang w:eastAsia="en-US"/>
        </w:rPr>
        <w:t>2.地点：全国公共资源交易平台（河南省</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en-US"/>
        </w:rPr>
        <w:t>平顶山市）电子交易系统</w:t>
      </w:r>
    </w:p>
    <w:p w14:paraId="6B3E230F">
      <w:pPr>
        <w:spacing w:line="500" w:lineRule="exact"/>
        <w:ind w:firstLine="480" w:firstLineChars="200"/>
        <w:jc w:val="left"/>
        <w:rPr>
          <w:rFonts w:hint="eastAsia" w:ascii="宋体" w:hAnsi="宋体" w:eastAsia="宋体" w:cs="宋体"/>
          <w:color w:val="auto"/>
          <w:sz w:val="24"/>
          <w:szCs w:val="24"/>
          <w:highlight w:val="none"/>
          <w:lang w:eastAsia="en-US"/>
        </w:rPr>
      </w:pPr>
      <w:r>
        <w:rPr>
          <w:rFonts w:hint="eastAsia" w:ascii="宋体" w:hAnsi="宋体" w:eastAsia="宋体" w:cs="宋体"/>
          <w:color w:val="auto"/>
          <w:sz w:val="24"/>
          <w:szCs w:val="24"/>
          <w:highlight w:val="none"/>
          <w:lang w:eastAsia="en-US"/>
        </w:rPr>
        <w:t>3.方式：供应商需通过平顶山市公共资源交易中心网下载所投项目的文件。</w:t>
      </w:r>
      <w:r>
        <w:rPr>
          <w:rFonts w:hint="eastAsia" w:ascii="宋体" w:hAnsi="宋体" w:eastAsia="宋体" w:cs="宋体"/>
          <w:color w:val="auto"/>
          <w:sz w:val="24"/>
          <w:szCs w:val="24"/>
          <w:highlight w:val="none"/>
          <w:lang w:val="en-US" w:eastAsia="zh-CN"/>
        </w:rPr>
        <w:t>潜在投标人需凭CA数字证书通过《全国公共资源交易平台（河南省·平顶山市）》（网址：http://ggzy.pds.gov.cn/）“投标人登录”入口进入交易系统进行下载文件。具体操作请查看以下链接： 链接地址：http://ggzy.pds.gov.cn/fwzn/11020.jhtml 办理CA证书：http://ggzy.pds.gov.cn/fwzn/index.jhtml</w:t>
      </w:r>
    </w:p>
    <w:p w14:paraId="43321DC5">
      <w:pPr>
        <w:spacing w:line="500" w:lineRule="exact"/>
        <w:ind w:firstLine="480" w:firstLineChars="200"/>
        <w:jc w:val="left"/>
        <w:rPr>
          <w:rFonts w:hint="eastAsia" w:ascii="宋体" w:hAnsi="宋体" w:eastAsia="宋体" w:cs="宋体"/>
          <w:bCs/>
          <w:snapToGrid w:val="0"/>
          <w:color w:val="auto"/>
          <w:kern w:val="0"/>
          <w:sz w:val="24"/>
          <w:szCs w:val="24"/>
          <w:highlight w:val="none"/>
          <w:lang w:eastAsia="en-US"/>
        </w:rPr>
      </w:pPr>
      <w:r>
        <w:rPr>
          <w:rFonts w:hint="eastAsia" w:ascii="宋体" w:hAnsi="宋体" w:eastAsia="宋体" w:cs="宋体"/>
          <w:color w:val="auto"/>
          <w:sz w:val="24"/>
          <w:szCs w:val="24"/>
          <w:highlight w:val="none"/>
          <w:lang w:eastAsia="en-US"/>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eastAsia="en-US"/>
        </w:rPr>
        <w:t>售价：0元</w:t>
      </w:r>
    </w:p>
    <w:p w14:paraId="11512D0C">
      <w:pPr>
        <w:keepNext w:val="0"/>
        <w:keepLines w:val="0"/>
        <w:pageBreakBefore w:val="0"/>
        <w:widowControl/>
        <w:kinsoku/>
        <w:wordWrap/>
        <w:overflowPunct/>
        <w:topLinePunct w:val="0"/>
        <w:bidi w:val="0"/>
        <w:spacing w:line="440" w:lineRule="exact"/>
        <w:jc w:val="left"/>
        <w:textAlignment w:val="auto"/>
        <w:rPr>
          <w:rFonts w:hint="eastAsia" w:ascii="宋体" w:hAnsi="宋体" w:eastAsia="宋体" w:cs="宋体"/>
          <w:b/>
          <w:bCs/>
          <w:color w:val="auto"/>
          <w:sz w:val="24"/>
          <w:highlight w:val="none"/>
          <w:lang w:val="zh-CN" w:bidi="ar"/>
        </w:rPr>
      </w:pPr>
      <w:r>
        <w:rPr>
          <w:rFonts w:hint="eastAsia" w:ascii="宋体" w:hAnsi="宋体" w:eastAsia="宋体" w:cs="宋体"/>
          <w:b/>
          <w:bCs/>
          <w:color w:val="auto"/>
          <w:sz w:val="24"/>
          <w:highlight w:val="none"/>
          <w:lang w:val="zh-CN" w:bidi="ar"/>
        </w:rPr>
        <w:t>四、投标截止时间及地点</w:t>
      </w:r>
    </w:p>
    <w:p w14:paraId="72AC223E">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1、时间：</w:t>
      </w:r>
      <w:r>
        <w:rPr>
          <w:rFonts w:hint="eastAsia" w:ascii="宋体" w:hAnsi="宋体" w:eastAsia="宋体" w:cs="宋体"/>
          <w:color w:val="auto"/>
          <w:sz w:val="24"/>
          <w:highlight w:val="none"/>
          <w:lang w:eastAsia="zh-CN"/>
        </w:rPr>
        <w:t>2025年</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 xml:space="preserve">22 </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 xml:space="preserve"> 8</w:t>
      </w:r>
      <w:r>
        <w:rPr>
          <w:rFonts w:hint="eastAsia" w:ascii="宋体" w:hAnsi="宋体" w:eastAsia="宋体" w:cs="宋体"/>
          <w:color w:val="auto"/>
          <w:sz w:val="24"/>
          <w:highlight w:val="none"/>
        </w:rPr>
        <w:t>点</w:t>
      </w:r>
      <w:r>
        <w:rPr>
          <w:rFonts w:hint="eastAsia" w:ascii="宋体" w:hAnsi="宋体" w:eastAsia="宋体" w:cs="宋体"/>
          <w:color w:val="auto"/>
          <w:sz w:val="24"/>
          <w:highlight w:val="none"/>
          <w:lang w:val="en-US" w:eastAsia="zh-CN"/>
        </w:rPr>
        <w:t xml:space="preserve"> 40 </w:t>
      </w:r>
      <w:r>
        <w:rPr>
          <w:rFonts w:hint="eastAsia" w:ascii="宋体" w:hAnsi="宋体" w:eastAsia="宋体" w:cs="宋体"/>
          <w:color w:val="auto"/>
          <w:sz w:val="24"/>
          <w:highlight w:val="none"/>
        </w:rPr>
        <w:t>分</w:t>
      </w:r>
      <w:r>
        <w:rPr>
          <w:rFonts w:hint="eastAsia" w:ascii="宋体" w:hAnsi="宋体" w:eastAsia="宋体" w:cs="宋体"/>
          <w:color w:val="auto"/>
          <w:sz w:val="24"/>
          <w:szCs w:val="24"/>
          <w:highlight w:val="none"/>
        </w:rPr>
        <w:t>（北京时间）</w:t>
      </w:r>
    </w:p>
    <w:p w14:paraId="4C281AD7">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2、地点：《全国公共资源交易平台（河南省·平顶山市）》电子交易系统</w:t>
      </w:r>
    </w:p>
    <w:p w14:paraId="17FDCFAC">
      <w:pPr>
        <w:keepNext w:val="0"/>
        <w:keepLines w:val="0"/>
        <w:pageBreakBefore w:val="0"/>
        <w:widowControl/>
        <w:kinsoku/>
        <w:wordWrap/>
        <w:overflowPunct/>
        <w:topLinePunct w:val="0"/>
        <w:bidi w:val="0"/>
        <w:spacing w:line="440" w:lineRule="exact"/>
        <w:jc w:val="left"/>
        <w:textAlignment w:val="auto"/>
        <w:rPr>
          <w:rFonts w:hint="eastAsia" w:ascii="宋体" w:hAnsi="宋体" w:eastAsia="宋体" w:cs="宋体"/>
          <w:b/>
          <w:bCs/>
          <w:color w:val="auto"/>
          <w:sz w:val="24"/>
          <w:highlight w:val="none"/>
          <w:lang w:val="zh-CN" w:bidi="ar"/>
        </w:rPr>
      </w:pPr>
      <w:r>
        <w:rPr>
          <w:rFonts w:hint="eastAsia" w:ascii="宋体" w:hAnsi="宋体" w:eastAsia="宋体" w:cs="宋体"/>
          <w:b/>
          <w:bCs/>
          <w:color w:val="auto"/>
          <w:sz w:val="24"/>
          <w:highlight w:val="none"/>
          <w:lang w:val="zh-CN" w:bidi="ar"/>
        </w:rPr>
        <w:t>五、开标时间及地点</w:t>
      </w:r>
    </w:p>
    <w:p w14:paraId="04B8DF96">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1、时间：</w:t>
      </w:r>
      <w:r>
        <w:rPr>
          <w:rFonts w:hint="eastAsia" w:ascii="宋体" w:hAnsi="宋体" w:eastAsia="宋体" w:cs="宋体"/>
          <w:color w:val="auto"/>
          <w:sz w:val="24"/>
          <w:highlight w:val="none"/>
          <w:lang w:eastAsia="zh-CN"/>
        </w:rPr>
        <w:t>2025年</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 xml:space="preserve">22 </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 xml:space="preserve"> 8</w:t>
      </w:r>
      <w:r>
        <w:rPr>
          <w:rFonts w:hint="eastAsia" w:ascii="宋体" w:hAnsi="宋体" w:eastAsia="宋体" w:cs="宋体"/>
          <w:color w:val="auto"/>
          <w:sz w:val="24"/>
          <w:highlight w:val="none"/>
        </w:rPr>
        <w:t>点</w:t>
      </w:r>
      <w:r>
        <w:rPr>
          <w:rFonts w:hint="eastAsia" w:ascii="宋体" w:hAnsi="宋体" w:eastAsia="宋体" w:cs="宋体"/>
          <w:color w:val="auto"/>
          <w:sz w:val="24"/>
          <w:highlight w:val="none"/>
          <w:lang w:val="en-US" w:eastAsia="zh-CN"/>
        </w:rPr>
        <w:t xml:space="preserve"> 40 </w:t>
      </w:r>
      <w:r>
        <w:rPr>
          <w:rFonts w:hint="eastAsia" w:ascii="宋体" w:hAnsi="宋体" w:eastAsia="宋体" w:cs="宋体"/>
          <w:color w:val="auto"/>
          <w:sz w:val="24"/>
          <w:highlight w:val="none"/>
        </w:rPr>
        <w:t>分</w:t>
      </w:r>
      <w:r>
        <w:rPr>
          <w:rFonts w:hint="eastAsia" w:ascii="宋体" w:hAnsi="宋体" w:eastAsia="宋体" w:cs="宋体"/>
          <w:color w:val="auto"/>
          <w:sz w:val="24"/>
          <w:szCs w:val="24"/>
          <w:highlight w:val="none"/>
        </w:rPr>
        <w:t>（北京时间）</w:t>
      </w:r>
    </w:p>
    <w:p w14:paraId="010E35F7">
      <w:pPr>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2、地点：《全国公共资源交易平台（河南省·平顶山市）》电子交易系统</w:t>
      </w:r>
    </w:p>
    <w:p w14:paraId="7405B013">
      <w:pPr>
        <w:keepNext w:val="0"/>
        <w:keepLines w:val="0"/>
        <w:pageBreakBefore w:val="0"/>
        <w:widowControl/>
        <w:kinsoku/>
        <w:wordWrap/>
        <w:overflowPunct/>
        <w:topLinePunct w:val="0"/>
        <w:bidi w:val="0"/>
        <w:spacing w:line="440" w:lineRule="exact"/>
        <w:jc w:val="left"/>
        <w:textAlignment w:val="auto"/>
        <w:rPr>
          <w:rFonts w:hint="eastAsia" w:ascii="宋体" w:hAnsi="宋体" w:eastAsia="宋体" w:cs="宋体"/>
          <w:b/>
          <w:bCs/>
          <w:color w:val="auto"/>
          <w:sz w:val="24"/>
          <w:highlight w:val="none"/>
          <w:lang w:val="zh-CN" w:bidi="ar"/>
        </w:rPr>
      </w:pPr>
      <w:r>
        <w:rPr>
          <w:rFonts w:hint="eastAsia" w:ascii="宋体" w:hAnsi="宋体" w:eastAsia="宋体" w:cs="宋体"/>
          <w:b/>
          <w:bCs/>
          <w:color w:val="auto"/>
          <w:sz w:val="24"/>
          <w:highlight w:val="none"/>
          <w:lang w:val="zh-CN" w:bidi="ar"/>
        </w:rPr>
        <w:t>六、发布公告的媒介及公告期限</w:t>
      </w:r>
    </w:p>
    <w:p w14:paraId="5AD90F3E">
      <w:pPr>
        <w:spacing w:line="46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本公告同时在《河南省政府采购网》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平顶山</w:t>
      </w:r>
      <w:r>
        <w:rPr>
          <w:rFonts w:hint="eastAsia" w:ascii="宋体" w:hAnsi="宋体" w:eastAsia="宋体" w:cs="宋体"/>
          <w:color w:val="auto"/>
          <w:sz w:val="24"/>
          <w:szCs w:val="24"/>
          <w:highlight w:val="none"/>
        </w:rPr>
        <w:t>政府采购网》、《</w:t>
      </w:r>
      <w:r>
        <w:rPr>
          <w:rFonts w:hint="eastAsia" w:ascii="宋体" w:hAnsi="宋体" w:eastAsia="宋体" w:cs="宋体"/>
          <w:color w:val="auto"/>
          <w:sz w:val="24"/>
          <w:szCs w:val="24"/>
          <w:highlight w:val="none"/>
          <w:lang w:val="en-US" w:eastAsia="zh-CN"/>
        </w:rPr>
        <w:t>郏县</w:t>
      </w:r>
      <w:r>
        <w:rPr>
          <w:rFonts w:hint="eastAsia" w:ascii="宋体" w:hAnsi="宋体" w:eastAsia="宋体" w:cs="宋体"/>
          <w:color w:val="auto"/>
          <w:sz w:val="24"/>
          <w:szCs w:val="24"/>
          <w:highlight w:val="none"/>
        </w:rPr>
        <w:t>政府采购网》、《全国公共资源交易平台（河南省·平顶山市）》</w:t>
      </w:r>
      <w:r>
        <w:rPr>
          <w:rFonts w:hint="eastAsia" w:ascii="宋体" w:hAnsi="宋体" w:eastAsia="宋体" w:cs="宋体"/>
          <w:color w:val="auto"/>
          <w:sz w:val="24"/>
          <w:szCs w:val="24"/>
          <w:highlight w:val="none"/>
          <w:lang w:val="en-US" w:eastAsia="zh-CN"/>
        </w:rPr>
        <w:t>上发</w:t>
      </w:r>
      <w:r>
        <w:rPr>
          <w:rFonts w:hint="eastAsia" w:ascii="宋体" w:hAnsi="宋体" w:eastAsia="宋体" w:cs="宋体"/>
          <w:color w:val="auto"/>
          <w:sz w:val="24"/>
          <w:szCs w:val="24"/>
          <w:highlight w:val="none"/>
        </w:rPr>
        <w:t>布。</w:t>
      </w:r>
      <w:r>
        <w:rPr>
          <w:rFonts w:hint="eastAsia" w:ascii="宋体" w:hAnsi="宋体" w:eastAsia="宋体" w:cs="宋体"/>
          <w:color w:val="auto"/>
          <w:sz w:val="24"/>
          <w:szCs w:val="24"/>
          <w:highlight w:val="none"/>
          <w:lang w:val="en-US" w:eastAsia="zh-CN"/>
        </w:rPr>
        <w:t>竞争性磋商</w:t>
      </w:r>
      <w:r>
        <w:rPr>
          <w:rFonts w:hint="eastAsia" w:ascii="宋体" w:hAnsi="宋体" w:eastAsia="宋体" w:cs="宋体"/>
          <w:color w:val="auto"/>
          <w:sz w:val="24"/>
          <w:szCs w:val="24"/>
          <w:highlight w:val="none"/>
        </w:rPr>
        <w:t>公告期限为三个工作日。</w:t>
      </w:r>
    </w:p>
    <w:p w14:paraId="7B2D5932">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七、</w:t>
      </w:r>
      <w:bookmarkEnd w:id="18"/>
      <w:bookmarkEnd w:id="19"/>
      <w:bookmarkStart w:id="20" w:name="_Toc35393805"/>
      <w:bookmarkStart w:id="21" w:name="_Toc28359095"/>
      <w:bookmarkStart w:id="22" w:name="_Toc28359018"/>
      <w:bookmarkStart w:id="23" w:name="_Toc35393636"/>
      <w:r>
        <w:rPr>
          <w:rFonts w:hint="eastAsia" w:ascii="宋体" w:hAnsi="宋体" w:eastAsia="宋体" w:cs="宋体"/>
          <w:b/>
          <w:bCs/>
          <w:color w:val="auto"/>
          <w:sz w:val="24"/>
          <w:highlight w:val="none"/>
        </w:rPr>
        <w:t>其他补充事宜</w:t>
      </w:r>
    </w:p>
    <w:p w14:paraId="1F35B9EA">
      <w:pPr>
        <w:spacing w:line="46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中心全面实行在线“不见面”开标，供应商需要在投标截止时间前在平顶山市公共资源交易中心交易系统中将加密电子投标文件加密上传，不再到开标现场，供应商开标前应仔细阅读《“不见面”开标注意事项及操作流程》。逾期上传的投标文件，采购人不予受理。</w:t>
      </w:r>
    </w:p>
    <w:p w14:paraId="49D82729">
      <w:pPr>
        <w:spacing w:line="46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人或其他利害关系人对本次公告如有异议，请按中华人民共和国财政部令第94号《政府采购质疑和投诉办法》的相关规定，在规定时间内，向采购人、采购代理机构、政府采购监督部门提出质疑、投诉等事宜。逾期未提交或未按照要求提交的质疑、投诉将不予受理。</w:t>
      </w:r>
    </w:p>
    <w:p w14:paraId="134F8C8E">
      <w:pPr>
        <w:spacing w:line="460" w:lineRule="exact"/>
        <w:ind w:firstLine="480" w:firstLineChars="200"/>
        <w:rPr>
          <w:rFonts w:hint="eastAsia" w:ascii="宋体" w:hAnsi="宋体" w:eastAsia="宋体" w:cs="宋体"/>
          <w:bCs/>
          <w:snapToGrid w:val="0"/>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3.该公告已同步至“平顶山市公共资源交易中心微信公众号”，可通过公众号中的服务栏目进行查阅”。</w:t>
      </w:r>
    </w:p>
    <w:p w14:paraId="01552494">
      <w:pPr>
        <w:spacing w:line="440" w:lineRule="exact"/>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lang w:val="en-US" w:eastAsia="zh-CN"/>
        </w:rPr>
        <w:t>4</w:t>
      </w:r>
      <w:r>
        <w:rPr>
          <w:rFonts w:hint="eastAsia" w:ascii="宋体" w:hAnsi="宋体" w:eastAsia="宋体" w:cs="宋体"/>
          <w:color w:val="auto"/>
          <w:sz w:val="24"/>
          <w:highlight w:val="none"/>
        </w:rPr>
        <w:t>.监督部门：</w:t>
      </w:r>
      <w:r>
        <w:rPr>
          <w:rFonts w:hint="eastAsia" w:ascii="宋体" w:hAnsi="宋体" w:eastAsia="宋体" w:cs="宋体"/>
          <w:color w:val="auto"/>
          <w:sz w:val="24"/>
          <w:highlight w:val="none"/>
          <w:lang w:eastAsia="zh-CN"/>
        </w:rPr>
        <w:t>郏县财政局</w:t>
      </w:r>
    </w:p>
    <w:p w14:paraId="52450565">
      <w:pPr>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联系电话：0375-5152805</w:t>
      </w:r>
    </w:p>
    <w:p w14:paraId="40C24210">
      <w:pPr>
        <w:spacing w:line="440" w:lineRule="exact"/>
        <w:ind w:firstLine="480" w:firstLineChars="200"/>
        <w:jc w:val="left"/>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统一社会信用代码：</w:t>
      </w:r>
      <w:r>
        <w:rPr>
          <w:rFonts w:hint="eastAsia" w:ascii="宋体" w:hAnsi="宋体" w:eastAsia="宋体" w:cs="宋体"/>
          <w:color w:val="auto"/>
          <w:sz w:val="24"/>
          <w:highlight w:val="none"/>
          <w:lang w:eastAsia="zh-CN"/>
        </w:rPr>
        <w:t>114104250054921046</w:t>
      </w:r>
    </w:p>
    <w:p w14:paraId="128FD686">
      <w:pPr>
        <w:spacing w:line="440" w:lineRule="exact"/>
        <w:ind w:firstLine="480" w:firstLineChars="200"/>
        <w:jc w:val="left"/>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监督人：郏县</w:t>
      </w:r>
      <w:r>
        <w:rPr>
          <w:rFonts w:hint="eastAsia" w:ascii="宋体" w:hAnsi="宋体" w:eastAsia="宋体" w:cs="宋体"/>
          <w:color w:val="auto"/>
          <w:sz w:val="24"/>
          <w:highlight w:val="none"/>
          <w:lang w:val="en-US" w:eastAsia="zh-CN"/>
        </w:rPr>
        <w:t>卫生健康委员会</w:t>
      </w:r>
    </w:p>
    <w:p w14:paraId="476B514F">
      <w:pPr>
        <w:spacing w:line="440" w:lineRule="exact"/>
        <w:ind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统一社会信用代码：114104250054922277</w:t>
      </w:r>
    </w:p>
    <w:p w14:paraId="6CDC4637">
      <w:pPr>
        <w:spacing w:line="440" w:lineRule="exact"/>
        <w:ind w:firstLine="480" w:firstLineChars="200"/>
        <w:jc w:val="left"/>
        <w:rPr>
          <w:rFonts w:hint="eastAsia" w:ascii="宋体" w:hAnsi="宋体" w:eastAsia="宋体" w:cs="宋体"/>
          <w:b w:val="0"/>
          <w:bCs w:val="0"/>
          <w:color w:val="auto"/>
          <w:sz w:val="24"/>
          <w:highlight w:val="none"/>
        </w:rPr>
      </w:pPr>
      <w:r>
        <w:rPr>
          <w:rFonts w:hint="eastAsia" w:ascii="宋体" w:hAnsi="宋体" w:eastAsia="宋体" w:cs="宋体"/>
          <w:color w:val="auto"/>
          <w:sz w:val="24"/>
          <w:highlight w:val="none"/>
        </w:rPr>
        <w:t>联系方式：0375-</w:t>
      </w:r>
      <w:r>
        <w:rPr>
          <w:rFonts w:hint="eastAsia" w:ascii="宋体" w:hAnsi="宋体" w:eastAsia="宋体" w:cs="宋体"/>
          <w:color w:val="auto"/>
          <w:sz w:val="24"/>
          <w:highlight w:val="none"/>
          <w:lang w:val="en-US" w:eastAsia="zh-CN"/>
        </w:rPr>
        <w:t>7068010</w:t>
      </w:r>
    </w:p>
    <w:p w14:paraId="7FC618E8">
      <w:pPr>
        <w:keepNext w:val="0"/>
        <w:keepLines w:val="0"/>
        <w:pageBreakBefore w:val="0"/>
        <w:widowControl w:val="0"/>
        <w:kinsoku/>
        <w:wordWrap/>
        <w:overflowPunct/>
        <w:topLinePunct w:val="0"/>
        <w:autoSpaceDE/>
        <w:autoSpaceDN/>
        <w:bidi w:val="0"/>
        <w:adjustRightInd/>
        <w:snapToGrid/>
        <w:spacing w:line="440" w:lineRule="exact"/>
        <w:jc w:val="left"/>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八、凡对本次采购提出询问，请按以下方式联系。</w:t>
      </w:r>
      <w:bookmarkEnd w:id="20"/>
      <w:bookmarkEnd w:id="21"/>
      <w:bookmarkEnd w:id="22"/>
      <w:bookmarkEnd w:id="23"/>
    </w:p>
    <w:p w14:paraId="3F02151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1.采购人信息</w:t>
      </w:r>
    </w:p>
    <w:p w14:paraId="6B84643A">
      <w:pPr>
        <w:spacing w:line="360" w:lineRule="auto"/>
        <w:ind w:firstLine="480" w:firstLineChars="200"/>
        <w:outlineLvl w:val="9"/>
        <w:rPr>
          <w:rFonts w:hint="eastAsia" w:ascii="宋体" w:hAnsi="宋体" w:eastAsia="宋体" w:cs="宋体"/>
          <w:color w:val="auto"/>
          <w:sz w:val="24"/>
          <w:szCs w:val="24"/>
          <w:highlight w:val="none"/>
          <w:lang w:eastAsia="zh-CN"/>
        </w:rPr>
      </w:pPr>
      <w:bookmarkStart w:id="24" w:name="_Toc28359086"/>
      <w:bookmarkStart w:id="25" w:name="_Toc28359009"/>
      <w:r>
        <w:rPr>
          <w:rFonts w:hint="eastAsia" w:ascii="宋体" w:hAnsi="宋体" w:eastAsia="宋体" w:cs="宋体"/>
          <w:color w:val="auto"/>
          <w:sz w:val="24"/>
          <w:szCs w:val="24"/>
          <w:highlight w:val="none"/>
        </w:rPr>
        <w:t>名称：</w:t>
      </w:r>
      <w:r>
        <w:rPr>
          <w:rFonts w:hint="eastAsia" w:ascii="宋体" w:hAnsi="宋体" w:eastAsia="宋体" w:cs="宋体"/>
          <w:color w:val="auto"/>
          <w:sz w:val="24"/>
          <w:szCs w:val="24"/>
          <w:highlight w:val="none"/>
          <w:lang w:eastAsia="zh-CN"/>
        </w:rPr>
        <w:t>郏县第二人民医院</w:t>
      </w:r>
    </w:p>
    <w:p w14:paraId="2138284D">
      <w:pPr>
        <w:spacing w:line="360" w:lineRule="auto"/>
        <w:ind w:firstLine="480" w:firstLineChars="200"/>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eastAsia="zh-CN"/>
        </w:rPr>
        <w:t>：郏县龙山街道经二路中段198号</w:t>
      </w:r>
    </w:p>
    <w:p w14:paraId="20B6CF6C">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联 系 人：张女士</w:t>
      </w:r>
    </w:p>
    <w:p w14:paraId="1CA188E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联系电话：15738157811</w:t>
      </w:r>
    </w:p>
    <w:p w14:paraId="5EEDA949">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2.采购代理机构信息</w:t>
      </w:r>
      <w:bookmarkEnd w:id="24"/>
      <w:bookmarkEnd w:id="25"/>
    </w:p>
    <w:p w14:paraId="3B5C960E">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名    称：师梦勘测设计集团有限公司</w:t>
      </w:r>
    </w:p>
    <w:p w14:paraId="739A088D">
      <w:pPr>
        <w:pStyle w:val="8"/>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地址：河南省郑州市高新技术开发区冬青街46号B区007号</w:t>
      </w:r>
    </w:p>
    <w:p w14:paraId="5377192D">
      <w:pPr>
        <w:pStyle w:val="8"/>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联系人：韩小芳</w:t>
      </w:r>
    </w:p>
    <w:p w14:paraId="155EB3B8">
      <w:pPr>
        <w:pStyle w:val="8"/>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联系方式：15225010639</w:t>
      </w:r>
    </w:p>
    <w:p w14:paraId="1D4480A6">
      <w:pPr>
        <w:pStyle w:val="8"/>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3.项目联系方式</w:t>
      </w:r>
    </w:p>
    <w:p w14:paraId="53090B5E">
      <w:pPr>
        <w:pStyle w:val="8"/>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项目联系人：韩小芳  </w:t>
      </w:r>
    </w:p>
    <w:p w14:paraId="774944D7">
      <w:pPr>
        <w:pStyle w:val="8"/>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联系方式：15225010639</w:t>
      </w:r>
    </w:p>
    <w:p w14:paraId="50F809DA">
      <w:pPr>
        <w:pStyle w:val="8"/>
        <w:keepNext w:val="0"/>
        <w:keepLines w:val="0"/>
        <w:pageBreakBefore w:val="0"/>
        <w:kinsoku/>
        <w:wordWrap/>
        <w:overflowPunct/>
        <w:topLinePunct w:val="0"/>
        <w:bidi w:val="0"/>
        <w:spacing w:line="440" w:lineRule="exact"/>
        <w:ind w:firstLine="480" w:firstLineChars="200"/>
        <w:textAlignment w:val="auto"/>
        <w:rPr>
          <w:rFonts w:hint="eastAsia" w:ascii="宋体" w:hAnsi="宋体" w:eastAsia="宋体" w:cs="宋体"/>
          <w:color w:val="auto"/>
          <w:sz w:val="24"/>
          <w:szCs w:val="24"/>
          <w:highlight w:val="none"/>
          <w:lang w:val="en-US" w:eastAsia="zh-CN"/>
        </w:rPr>
      </w:pPr>
    </w:p>
    <w:p w14:paraId="00BC2767">
      <w:pPr>
        <w:pStyle w:val="8"/>
        <w:keepNext w:val="0"/>
        <w:keepLines w:val="0"/>
        <w:pageBreakBefore w:val="0"/>
        <w:kinsoku/>
        <w:wordWrap/>
        <w:overflowPunct/>
        <w:topLinePunct w:val="0"/>
        <w:bidi w:val="0"/>
        <w:spacing w:line="440" w:lineRule="exact"/>
        <w:textAlignment w:val="auto"/>
        <w:rPr>
          <w:rFonts w:hint="eastAsia" w:ascii="宋体" w:hAnsi="宋体" w:eastAsia="宋体" w:cs="宋体"/>
          <w:color w:val="auto"/>
          <w:sz w:val="24"/>
          <w:szCs w:val="24"/>
          <w:highlight w:val="none"/>
          <w:lang w:val="en-US" w:eastAsia="zh-CN"/>
        </w:rPr>
      </w:pPr>
    </w:p>
    <w:p w14:paraId="6D1ED716">
      <w:pPr>
        <w:keepNext w:val="0"/>
        <w:keepLines w:val="0"/>
        <w:pageBreakBefore w:val="0"/>
        <w:kinsoku/>
        <w:wordWrap/>
        <w:overflowPunct/>
        <w:topLinePunct w:val="0"/>
        <w:bidi w:val="0"/>
        <w:spacing w:line="440" w:lineRule="exact"/>
        <w:ind w:firstLine="480" w:firstLineChars="200"/>
        <w:jc w:val="center"/>
        <w:textAlignment w:val="auto"/>
        <w:rPr>
          <w:rFonts w:hint="eastAsia" w:ascii="宋体" w:hAnsi="宋体" w:eastAsia="宋体" w:cs="宋体"/>
          <w:color w:val="auto"/>
          <w:sz w:val="24"/>
          <w:szCs w:val="24"/>
          <w:highlight w:val="none"/>
          <w:lang w:val="en-US" w:eastAsia="zh-CN"/>
        </w:rPr>
      </w:pPr>
    </w:p>
    <w:p w14:paraId="5D097B77">
      <w:pPr>
        <w:keepNext w:val="0"/>
        <w:keepLines w:val="0"/>
        <w:pageBreakBefore w:val="0"/>
        <w:kinsoku/>
        <w:wordWrap/>
        <w:overflowPunct/>
        <w:topLinePunct w:val="0"/>
        <w:bidi w:val="0"/>
        <w:spacing w:line="440" w:lineRule="exact"/>
        <w:ind w:firstLine="480" w:firstLineChars="200"/>
        <w:jc w:val="center"/>
        <w:textAlignment w:val="auto"/>
        <w:rPr>
          <w:rFonts w:hint="eastAsia" w:ascii="宋体" w:hAnsi="宋体" w:eastAsia="宋体" w:cs="宋体"/>
          <w:color w:val="auto"/>
          <w:sz w:val="24"/>
          <w:szCs w:val="24"/>
          <w:highlight w:val="none"/>
          <w:lang w:val="en-US" w:eastAsia="zh-CN"/>
        </w:rPr>
      </w:pPr>
    </w:p>
    <w:p w14:paraId="3E79FBA1">
      <w:pPr>
        <w:keepNext w:val="0"/>
        <w:keepLines w:val="0"/>
        <w:pageBreakBefore w:val="0"/>
        <w:kinsoku/>
        <w:wordWrap/>
        <w:overflowPunct/>
        <w:topLinePunct w:val="0"/>
        <w:bidi w:val="0"/>
        <w:spacing w:line="440" w:lineRule="exact"/>
        <w:ind w:firstLine="480" w:firstLineChars="200"/>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温馨提示：</w:t>
      </w:r>
    </w:p>
    <w:p w14:paraId="6061AF42">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电子化交易项目投标文件是供应商通过中心投标文件制作系统制作，并经过盖章和加密后生成的电子版投标文件。（电子化投标文件具体制作教材请供应商通过CA证书登录公共资源电子化交易系统在右上角“组件下载”中查看）制作电子化投标文件，需仔细阅读以下条款。</w:t>
      </w:r>
    </w:p>
    <w:p w14:paraId="3D3F6498">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一、电子化投标</w:t>
      </w:r>
    </w:p>
    <w:p w14:paraId="5D2BAA5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根据河南省财政厅豫财购【2019】4号《关于优化政府采购营商环境有关问题的通知》文，本项目不再缴纳投标保证金。</w:t>
      </w:r>
    </w:p>
    <w:p w14:paraId="2CA5C00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（二）电子化投标文件的盖章</w:t>
      </w:r>
    </w:p>
    <w:p w14:paraId="455FDF4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1、供应商在生成电子化投标文件后，应对电子化投标文件进行盖章，未进行盖章的视为无效投标。</w:t>
      </w:r>
    </w:p>
    <w:p w14:paraId="763F5DF3">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2、</w:t>
      </w:r>
      <w:r>
        <w:rPr>
          <w:rFonts w:hint="eastAsia" w:ascii="宋体" w:hAnsi="宋体" w:eastAsia="宋体" w:cs="宋体"/>
          <w:snapToGrid w:val="0"/>
          <w:color w:val="auto"/>
          <w:kern w:val="0"/>
          <w:sz w:val="24"/>
          <w:szCs w:val="21"/>
          <w:highlight w:val="none"/>
          <w:lang w:val="en-US" w:eastAsia="zh-CN"/>
        </w:rPr>
        <w:t>磋商</w:t>
      </w:r>
      <w:r>
        <w:rPr>
          <w:rFonts w:hint="eastAsia" w:ascii="宋体" w:hAnsi="宋体" w:eastAsia="宋体" w:cs="宋体"/>
          <w:snapToGrid w:val="0"/>
          <w:color w:val="auto"/>
          <w:kern w:val="0"/>
          <w:sz w:val="24"/>
          <w:szCs w:val="21"/>
          <w:highlight w:val="none"/>
          <w:lang w:eastAsia="en-US"/>
        </w:rPr>
        <w:t>文件中要求法定代表人或授权委托人签字或盖章的，供应商在进行电子化投标文件盖章时，以签盖法定代表人盖章为准。电子化投标文件具体制作教材请供应商通过CA证书登录平顶山市公共资源电子化交易系统在右上角“组建下载”中查看。</w:t>
      </w:r>
    </w:p>
    <w:p w14:paraId="7253374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（三）电子化投标文件的格式及上传投标</w:t>
      </w:r>
    </w:p>
    <w:p w14:paraId="61F7C25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1、供应商所上传的电子化投标文件，应是通过中心投标文件制作系统制作的，经过盖章和加密后生成的电子版投标文件。生成的电子版投标文件包含用于投标文件上传的主文件（项目文件格式为：xxx公司_ 项目名称.file）和用于应急补救的投标文件备份文件（项目文件格式为：xxx公司_ 项目名称.bin），备份文件主要用于电子化开标出现技术问题后的补救，请供应商随身携带。</w:t>
      </w:r>
    </w:p>
    <w:p w14:paraId="18146C64">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left"/>
        <w:textAlignment w:val="baseline"/>
        <w:outlineLvl w:val="9"/>
        <w:rPr>
          <w:rFonts w:hint="eastAsia" w:ascii="宋体" w:hAnsi="宋体" w:eastAsia="宋体" w:cs="宋体"/>
          <w:b/>
          <w:bCs/>
          <w:snapToGrid w:val="0"/>
          <w:color w:val="auto"/>
          <w:kern w:val="0"/>
          <w:sz w:val="24"/>
          <w:szCs w:val="21"/>
          <w:highlight w:val="none"/>
          <w:lang w:eastAsia="en-US"/>
        </w:rPr>
      </w:pPr>
      <w:r>
        <w:rPr>
          <w:rFonts w:hint="eastAsia" w:ascii="宋体" w:hAnsi="宋体" w:eastAsia="宋体" w:cs="宋体"/>
          <w:b/>
          <w:bCs/>
          <w:snapToGrid w:val="0"/>
          <w:color w:val="auto"/>
          <w:kern w:val="0"/>
          <w:sz w:val="24"/>
          <w:szCs w:val="21"/>
          <w:highlight w:val="none"/>
          <w:lang w:eastAsia="en-US"/>
        </w:rPr>
        <w:t>注：（1）供应商投报多个标段的，根据标段制作各个标段的投标文件后上传</w:t>
      </w:r>
    </w:p>
    <w:p w14:paraId="6070ECC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2、电子化投标文件应在投标截止时间前成功上传至平顶山市公共资源电子化交易系统。至投标截止时间止，仍未上传成功的电子化投标文件将不予接收。</w:t>
      </w:r>
    </w:p>
    <w:p w14:paraId="6383354F">
      <w:pPr>
        <w:keepNext w:val="0"/>
        <w:keepLines w:val="0"/>
        <w:pageBreakBefore w:val="0"/>
        <w:widowControl/>
        <w:kinsoku w:val="0"/>
        <w:wordWrap/>
        <w:overflowPunct/>
        <w:topLinePunct w:val="0"/>
        <w:autoSpaceDE w:val="0"/>
        <w:autoSpaceDN w:val="0"/>
        <w:bidi w:val="0"/>
        <w:adjustRightInd w:val="0"/>
        <w:snapToGrid w:val="0"/>
        <w:spacing w:line="360" w:lineRule="auto"/>
        <w:ind w:firstLine="482" w:firstLineChars="200"/>
        <w:jc w:val="left"/>
        <w:textAlignment w:val="baseline"/>
        <w:outlineLvl w:val="9"/>
        <w:rPr>
          <w:rFonts w:hint="eastAsia" w:ascii="宋体" w:hAnsi="宋体" w:eastAsia="宋体" w:cs="宋体"/>
          <w:b/>
          <w:bCs/>
          <w:snapToGrid w:val="0"/>
          <w:color w:val="auto"/>
          <w:kern w:val="0"/>
          <w:sz w:val="24"/>
          <w:szCs w:val="21"/>
          <w:highlight w:val="none"/>
          <w:lang w:eastAsia="en-US"/>
        </w:rPr>
      </w:pPr>
      <w:r>
        <w:rPr>
          <w:rFonts w:hint="eastAsia" w:ascii="宋体" w:hAnsi="宋体" w:eastAsia="宋体" w:cs="宋体"/>
          <w:b/>
          <w:bCs/>
          <w:snapToGrid w:val="0"/>
          <w:color w:val="auto"/>
          <w:kern w:val="0"/>
          <w:sz w:val="24"/>
          <w:szCs w:val="21"/>
          <w:highlight w:val="none"/>
          <w:lang w:eastAsia="en-US"/>
        </w:rPr>
        <w:t>注：如按照电子化投标操作教材制作完成的电子化投标文件无法上传的，供应商应在投标截止时间前尽早的联系中心技术人员，以便有充分的时间进行处理。供应商应充分考虑到处理技术问题和上传数据等工作所需的时间问题，投标文件未在投标截止时间前成功上传的，其投标文件不予接收。</w:t>
      </w:r>
    </w:p>
    <w:p w14:paraId="2AD44A4E">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（四）电子化项目开标、解密、唱标、评标</w:t>
      </w:r>
    </w:p>
    <w:p w14:paraId="29F0D64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1、电子化投标文件采用双重加密方式。开标时，首先由供应商使用CA证书，在规定时间内对其电子化投标文件进行首次解密，供应商解密完成后，再由中介服务机构使用CA证书对投标文件进行再次解密。</w:t>
      </w:r>
    </w:p>
    <w:p w14:paraId="6AF120CA">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2、电子化投标文件解密异常的处理</w:t>
      </w:r>
    </w:p>
    <w:p w14:paraId="048633F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如出现供应商的电子投标文件无法解密的情况，供应商应及时联系中介服务机构说明。投标文件解密异常，按以下步骤进行处理：</w:t>
      </w:r>
    </w:p>
    <w:p w14:paraId="29525977">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（1）首先由技术人员进行问题排查。</w:t>
      </w:r>
    </w:p>
    <w:p w14:paraId="0D3C1CAF">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（2）经技术人员排查后，是供应商文件自身问题导致投标文件无法解密的，该投标文件将不予接收、解密和唱标，开标会议继续进行。</w:t>
      </w:r>
    </w:p>
    <w:p w14:paraId="191649F5">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3B830F94">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3、待所有供应商投标文件解密完成后，由中介服务机构操作，对所有已解密投标文件进行唱标。</w:t>
      </w:r>
    </w:p>
    <w:p w14:paraId="792ED90C">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4、评标时，评标委员会对电子化投标文件有质疑的，将通过电子化交易系统对供应商发起质疑。质疑回复内容确认后，供应商的回复文件必须以经过供应商和其法定代表人盖章的PDF格式文件为准，并通过电子化交易系统提交至评标委员会。</w:t>
      </w:r>
    </w:p>
    <w:p w14:paraId="2FF00BE6">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jc w:val="left"/>
        <w:textAlignment w:val="baseline"/>
        <w:outlineLvl w:val="9"/>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5、如评标委员会对需要回复的供应商回复内容有异议的，经过几次回复仍不清楚的，需在监督下进行免提电话进行质疑。</w:t>
      </w:r>
    </w:p>
    <w:p w14:paraId="1E26E943">
      <w:pPr>
        <w:pStyle w:val="13"/>
        <w:keepNext w:val="0"/>
        <w:keepLines w:val="0"/>
        <w:pageBreakBefore w:val="0"/>
        <w:wordWrap/>
        <w:overflowPunct/>
        <w:topLinePunct w:val="0"/>
        <w:bidi w:val="0"/>
        <w:spacing w:line="360" w:lineRule="auto"/>
        <w:ind w:left="0" w:leftChars="0" w:firstLine="480" w:firstLineChars="200"/>
        <w:rPr>
          <w:rFonts w:hint="eastAsia" w:ascii="宋体" w:hAnsi="宋体" w:eastAsia="宋体" w:cs="宋体"/>
          <w:color w:val="auto"/>
          <w:highlight w:val="none"/>
          <w:lang w:val="en-US" w:eastAsia="zh-CN"/>
        </w:rPr>
      </w:pPr>
      <w:r>
        <w:rPr>
          <w:rFonts w:hint="eastAsia" w:ascii="宋体" w:hAnsi="宋体" w:eastAsia="宋体" w:cs="宋体"/>
          <w:snapToGrid w:val="0"/>
          <w:color w:val="auto"/>
          <w:kern w:val="0"/>
          <w:sz w:val="24"/>
          <w:szCs w:val="21"/>
          <w:highlight w:val="none"/>
          <w:lang w:eastAsia="en-US"/>
        </w:rPr>
        <w:t>6、评标时如因系统异常、停电、电脑病毒、网络堵塞等原因无法正常进行的，由技术人员排查解决，短时</w:t>
      </w:r>
      <w:r>
        <w:rPr>
          <w:rFonts w:hint="eastAsia" w:ascii="宋体" w:hAnsi="宋体" w:eastAsia="宋体" w:cs="宋体"/>
          <w:snapToGrid w:val="0"/>
          <w:color w:val="auto"/>
          <w:kern w:val="0"/>
          <w:sz w:val="24"/>
          <w:szCs w:val="22"/>
          <w:highlight w:val="none"/>
          <w:lang w:eastAsia="en-US"/>
        </w:rPr>
        <w:t>间无法解决的，经监督部门同意后，暂停评标活动，待问题解决后继续评标。</w:t>
      </w:r>
    </w:p>
    <w:p w14:paraId="5CBAA3AE">
      <w:pPr>
        <w:rPr>
          <w:rFonts w:hint="eastAsia" w:ascii="宋体" w:hAnsi="宋体" w:eastAsia="宋体" w:cs="宋体"/>
          <w:color w:val="auto"/>
          <w:highlight w:val="none"/>
          <w:lang w:val="en-US" w:eastAsia="zh-CN"/>
        </w:rPr>
      </w:pPr>
    </w:p>
    <w:p w14:paraId="7C560205">
      <w:pPr>
        <w:pStyle w:val="21"/>
        <w:rPr>
          <w:rFonts w:hint="eastAsia" w:ascii="宋体" w:hAnsi="宋体" w:eastAsia="宋体" w:cs="宋体"/>
          <w:color w:val="auto"/>
          <w:highlight w:val="none"/>
          <w:lang w:val="en-US" w:eastAsia="zh-CN"/>
        </w:rPr>
      </w:pPr>
    </w:p>
    <w:p w14:paraId="52E6D2ED">
      <w:pPr>
        <w:pStyle w:val="22"/>
        <w:rPr>
          <w:rFonts w:hint="eastAsia" w:ascii="宋体" w:hAnsi="宋体" w:eastAsia="宋体" w:cs="宋体"/>
          <w:color w:val="auto"/>
          <w:highlight w:val="none"/>
          <w:lang w:val="en-US" w:eastAsia="zh-CN"/>
        </w:rPr>
      </w:pPr>
    </w:p>
    <w:p w14:paraId="4F67DD5A">
      <w:pPr>
        <w:rPr>
          <w:rFonts w:hint="eastAsia" w:ascii="宋体" w:hAnsi="宋体" w:eastAsia="宋体" w:cs="宋体"/>
          <w:color w:val="auto"/>
          <w:highlight w:val="none"/>
          <w:lang w:val="en-US" w:eastAsia="zh-CN"/>
        </w:rPr>
      </w:pPr>
    </w:p>
    <w:p w14:paraId="3D9CA25F">
      <w:p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14:paraId="7B10AE4B">
      <w:pPr>
        <w:pStyle w:val="2"/>
        <w:spacing w:before="120" w:after="120" w:line="360" w:lineRule="auto"/>
        <w:jc w:val="center"/>
        <w:rPr>
          <w:rFonts w:hint="eastAsia" w:ascii="宋体" w:hAnsi="宋体" w:eastAsia="宋体" w:cs="宋体"/>
          <w:b/>
          <w:bCs/>
          <w:color w:val="auto"/>
          <w:kern w:val="0"/>
          <w:sz w:val="36"/>
          <w:szCs w:val="36"/>
          <w:highlight w:val="none"/>
          <w:lang w:val="en-US" w:eastAsia="zh-CN"/>
        </w:rPr>
      </w:pPr>
      <w:bookmarkStart w:id="26" w:name="_Toc12353"/>
      <w:bookmarkStart w:id="27" w:name="_Toc16932"/>
      <w:bookmarkStart w:id="28" w:name="_Toc11392"/>
      <w:r>
        <w:rPr>
          <w:rFonts w:hint="eastAsia" w:ascii="宋体" w:hAnsi="宋体" w:eastAsia="宋体" w:cs="宋体"/>
          <w:b/>
          <w:bCs/>
          <w:color w:val="auto"/>
          <w:kern w:val="0"/>
          <w:sz w:val="36"/>
          <w:szCs w:val="36"/>
          <w:highlight w:val="none"/>
          <w:lang w:val="en-US" w:eastAsia="zh-CN"/>
        </w:rPr>
        <w:t>第二章 供应商须知</w:t>
      </w:r>
      <w:bookmarkEnd w:id="26"/>
      <w:bookmarkEnd w:id="27"/>
      <w:bookmarkEnd w:id="28"/>
    </w:p>
    <w:p w14:paraId="46F7B264">
      <w:pPr>
        <w:keepNext w:val="0"/>
        <w:keepLines w:val="0"/>
        <w:pageBreakBefore w:val="0"/>
        <w:widowControl w:val="0"/>
        <w:kinsoku/>
        <w:wordWrap/>
        <w:overflowPunct/>
        <w:topLinePunct w:val="0"/>
        <w:autoSpaceDE/>
        <w:autoSpaceDN/>
        <w:bidi w:val="0"/>
        <w:adjustRightInd/>
        <w:snapToGrid/>
        <w:spacing w:before="156" w:beforeLines="50" w:after="156" w:afterLines="50" w:line="420" w:lineRule="exact"/>
        <w:ind w:left="0" w:leftChars="0" w:right="0" w:rightChars="0"/>
        <w:jc w:val="center"/>
        <w:textAlignment w:val="auto"/>
        <w:outlineLvl w:val="9"/>
        <w:rPr>
          <w:rFonts w:hint="eastAsia" w:ascii="宋体" w:hAnsi="宋体" w:eastAsia="宋体" w:cs="宋体"/>
          <w:b/>
          <w:bCs/>
          <w:color w:val="auto"/>
          <w:sz w:val="32"/>
          <w:szCs w:val="32"/>
          <w:highlight w:val="none"/>
          <w:lang w:eastAsia="zh-CN"/>
        </w:rPr>
      </w:pPr>
      <w:r>
        <w:rPr>
          <w:rFonts w:hint="eastAsia" w:ascii="宋体" w:hAnsi="宋体" w:eastAsia="宋体" w:cs="宋体"/>
          <w:b/>
          <w:bCs/>
          <w:color w:val="auto"/>
          <w:sz w:val="32"/>
          <w:szCs w:val="32"/>
          <w:highlight w:val="none"/>
          <w:lang w:eastAsia="zh-CN"/>
        </w:rPr>
        <w:t>一．供应商须知前附表</w:t>
      </w:r>
      <w:bookmarkEnd w:id="4"/>
      <w:bookmarkEnd w:id="5"/>
      <w:bookmarkEnd w:id="6"/>
    </w:p>
    <w:tbl>
      <w:tblPr>
        <w:tblStyle w:val="23"/>
        <w:tblW w:w="9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4"/>
        <w:gridCol w:w="2361"/>
        <w:gridCol w:w="6204"/>
      </w:tblGrid>
      <w:tr w14:paraId="16AF0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74" w:type="dxa"/>
            <w:noWrap w:val="0"/>
            <w:vAlign w:val="center"/>
          </w:tcPr>
          <w:p w14:paraId="2A325A42">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2361" w:type="dxa"/>
            <w:noWrap w:val="0"/>
            <w:vAlign w:val="center"/>
          </w:tcPr>
          <w:p w14:paraId="5CB91B04">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条 款 名 称</w:t>
            </w:r>
          </w:p>
        </w:tc>
        <w:tc>
          <w:tcPr>
            <w:tcW w:w="6204" w:type="dxa"/>
            <w:noWrap w:val="0"/>
            <w:vAlign w:val="center"/>
          </w:tcPr>
          <w:p w14:paraId="7CD959D2">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编 列 内 容</w:t>
            </w:r>
          </w:p>
        </w:tc>
      </w:tr>
      <w:tr w14:paraId="0191A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74" w:type="dxa"/>
            <w:noWrap w:val="0"/>
            <w:vAlign w:val="center"/>
          </w:tcPr>
          <w:p w14:paraId="570C38E8">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2361" w:type="dxa"/>
            <w:noWrap w:val="0"/>
            <w:vAlign w:val="center"/>
          </w:tcPr>
          <w:p w14:paraId="1DF2CB2A">
            <w:pPr>
              <w:wordWrap/>
              <w:topLinePunct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采购人</w:t>
            </w:r>
          </w:p>
        </w:tc>
        <w:tc>
          <w:tcPr>
            <w:tcW w:w="6204" w:type="dxa"/>
            <w:noWrap w:val="0"/>
            <w:vAlign w:val="center"/>
          </w:tcPr>
          <w:p w14:paraId="09E1A6F1">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采购人：郏县第二人民医院</w:t>
            </w:r>
          </w:p>
          <w:p w14:paraId="40323201">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    址：郏县龙山街道经二路中段198号</w:t>
            </w:r>
          </w:p>
          <w:p w14:paraId="1688E3A7">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 系 人：张女士</w:t>
            </w:r>
          </w:p>
          <w:p w14:paraId="7145E174">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联系电话：15738157811</w:t>
            </w:r>
          </w:p>
        </w:tc>
      </w:tr>
      <w:tr w14:paraId="05C9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74" w:type="dxa"/>
            <w:noWrap w:val="0"/>
            <w:vAlign w:val="center"/>
          </w:tcPr>
          <w:p w14:paraId="265AD98F">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2361" w:type="dxa"/>
            <w:noWrap w:val="0"/>
            <w:vAlign w:val="center"/>
          </w:tcPr>
          <w:p w14:paraId="625C7A52">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采购代理机构</w:t>
            </w:r>
          </w:p>
        </w:tc>
        <w:tc>
          <w:tcPr>
            <w:tcW w:w="6204" w:type="dxa"/>
            <w:noWrap w:val="0"/>
            <w:vAlign w:val="center"/>
          </w:tcPr>
          <w:p w14:paraId="30123273">
            <w:pPr>
              <w:wordWrap/>
              <w:topLinePunct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采购代理机构：</w:t>
            </w:r>
            <w:r>
              <w:rPr>
                <w:rFonts w:hint="eastAsia" w:ascii="宋体" w:hAnsi="宋体" w:eastAsia="宋体" w:cs="宋体"/>
                <w:color w:val="auto"/>
                <w:sz w:val="21"/>
                <w:szCs w:val="21"/>
                <w:highlight w:val="none"/>
                <w:lang w:eastAsia="zh-CN"/>
              </w:rPr>
              <w:t>师梦勘测设计集团有限公司</w:t>
            </w:r>
          </w:p>
          <w:p w14:paraId="49A748BC">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地址：河南省郑州市高新技术开发区冬青街46号B区007号</w:t>
            </w:r>
          </w:p>
          <w:p w14:paraId="168FB7FD">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联系人：韩小芳</w:t>
            </w:r>
          </w:p>
          <w:p w14:paraId="2D3DA518">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联系方式：15225010639</w:t>
            </w:r>
          </w:p>
        </w:tc>
      </w:tr>
      <w:tr w14:paraId="1DFC2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 w:hRule="atLeast"/>
          <w:jc w:val="center"/>
        </w:trPr>
        <w:tc>
          <w:tcPr>
            <w:tcW w:w="974" w:type="dxa"/>
            <w:noWrap w:val="0"/>
            <w:vAlign w:val="center"/>
          </w:tcPr>
          <w:p w14:paraId="10713B50">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p>
        </w:tc>
        <w:tc>
          <w:tcPr>
            <w:tcW w:w="2361" w:type="dxa"/>
            <w:noWrap w:val="0"/>
            <w:vAlign w:val="center"/>
          </w:tcPr>
          <w:p w14:paraId="0B34CC32">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采购方式</w:t>
            </w:r>
          </w:p>
        </w:tc>
        <w:tc>
          <w:tcPr>
            <w:tcW w:w="6204" w:type="dxa"/>
            <w:noWrap w:val="0"/>
            <w:vAlign w:val="center"/>
          </w:tcPr>
          <w:p w14:paraId="0F810F1E">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竞争性磋商</w:t>
            </w:r>
          </w:p>
        </w:tc>
      </w:tr>
      <w:tr w14:paraId="036F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974" w:type="dxa"/>
            <w:noWrap w:val="0"/>
            <w:vAlign w:val="center"/>
          </w:tcPr>
          <w:p w14:paraId="1A4A21CB">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2361" w:type="dxa"/>
            <w:noWrap w:val="0"/>
            <w:vAlign w:val="center"/>
          </w:tcPr>
          <w:p w14:paraId="2A1A0A2E">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6204" w:type="dxa"/>
            <w:noWrap w:val="0"/>
            <w:vAlign w:val="center"/>
          </w:tcPr>
          <w:p w14:paraId="4DFA8E2B">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郏县第二人民医院128排CT（2025）年度维保项目</w:t>
            </w:r>
          </w:p>
        </w:tc>
      </w:tr>
      <w:tr w14:paraId="420E1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74" w:type="dxa"/>
            <w:noWrap w:val="0"/>
            <w:vAlign w:val="center"/>
          </w:tcPr>
          <w:p w14:paraId="5056A22D">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2361" w:type="dxa"/>
            <w:noWrap w:val="0"/>
            <w:vAlign w:val="center"/>
          </w:tcPr>
          <w:p w14:paraId="0B26B85E">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资金来源</w:t>
            </w:r>
          </w:p>
        </w:tc>
        <w:tc>
          <w:tcPr>
            <w:tcW w:w="6204" w:type="dxa"/>
            <w:noWrap w:val="0"/>
            <w:vAlign w:val="center"/>
          </w:tcPr>
          <w:p w14:paraId="6B7995B9">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自筹资金</w:t>
            </w:r>
          </w:p>
        </w:tc>
      </w:tr>
      <w:tr w14:paraId="53759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74" w:type="dxa"/>
            <w:noWrap w:val="0"/>
            <w:vAlign w:val="center"/>
          </w:tcPr>
          <w:p w14:paraId="6E783494">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6</w:t>
            </w:r>
          </w:p>
        </w:tc>
        <w:tc>
          <w:tcPr>
            <w:tcW w:w="2361" w:type="dxa"/>
            <w:noWrap w:val="0"/>
            <w:vAlign w:val="center"/>
          </w:tcPr>
          <w:p w14:paraId="0D65C2AF">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采购预算金额</w:t>
            </w:r>
          </w:p>
        </w:tc>
        <w:tc>
          <w:tcPr>
            <w:tcW w:w="6204" w:type="dxa"/>
            <w:noWrap w:val="0"/>
            <w:vAlign w:val="center"/>
          </w:tcPr>
          <w:p w14:paraId="1681FDC5">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lang w:val="en-US" w:eastAsia="zh-CN"/>
              </w:rPr>
              <w:t>390000.00</w:t>
            </w:r>
            <w:r>
              <w:rPr>
                <w:rFonts w:hint="eastAsia" w:ascii="宋体" w:hAnsi="宋体" w:eastAsia="宋体" w:cs="宋体"/>
                <w:b/>
                <w:color w:val="auto"/>
                <w:sz w:val="21"/>
                <w:szCs w:val="21"/>
                <w:highlight w:val="none"/>
              </w:rPr>
              <w:t>元</w:t>
            </w:r>
          </w:p>
        </w:tc>
      </w:tr>
      <w:tr w14:paraId="3F8D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74" w:type="dxa"/>
            <w:noWrap w:val="0"/>
            <w:vAlign w:val="center"/>
          </w:tcPr>
          <w:p w14:paraId="1B379FE6">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7</w:t>
            </w:r>
          </w:p>
        </w:tc>
        <w:tc>
          <w:tcPr>
            <w:tcW w:w="2361" w:type="dxa"/>
            <w:noWrap w:val="0"/>
            <w:vAlign w:val="center"/>
          </w:tcPr>
          <w:p w14:paraId="2B74B8AE">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采购项目性质</w:t>
            </w:r>
          </w:p>
        </w:tc>
        <w:tc>
          <w:tcPr>
            <w:tcW w:w="6204" w:type="dxa"/>
            <w:noWrap w:val="0"/>
            <w:vAlign w:val="top"/>
          </w:tcPr>
          <w:p w14:paraId="5AE908C2">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w:t>
            </w:r>
          </w:p>
        </w:tc>
      </w:tr>
      <w:tr w14:paraId="7CA18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74" w:type="dxa"/>
            <w:noWrap w:val="0"/>
            <w:vAlign w:val="center"/>
          </w:tcPr>
          <w:p w14:paraId="3D140A90">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8</w:t>
            </w:r>
          </w:p>
        </w:tc>
        <w:tc>
          <w:tcPr>
            <w:tcW w:w="2361" w:type="dxa"/>
            <w:noWrap w:val="0"/>
            <w:vAlign w:val="center"/>
          </w:tcPr>
          <w:p w14:paraId="57D930B2">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资金落实情况</w:t>
            </w:r>
          </w:p>
        </w:tc>
        <w:tc>
          <w:tcPr>
            <w:tcW w:w="6204" w:type="dxa"/>
            <w:noWrap w:val="0"/>
            <w:vAlign w:val="top"/>
          </w:tcPr>
          <w:p w14:paraId="650F99FB">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已落实</w:t>
            </w:r>
          </w:p>
        </w:tc>
      </w:tr>
      <w:tr w14:paraId="1F678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74" w:type="dxa"/>
            <w:noWrap w:val="0"/>
            <w:vAlign w:val="center"/>
          </w:tcPr>
          <w:p w14:paraId="324CE2B6">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9</w:t>
            </w:r>
          </w:p>
        </w:tc>
        <w:tc>
          <w:tcPr>
            <w:tcW w:w="2361" w:type="dxa"/>
            <w:noWrap w:val="0"/>
            <w:vAlign w:val="center"/>
          </w:tcPr>
          <w:p w14:paraId="03430A44">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采购范围</w:t>
            </w:r>
          </w:p>
        </w:tc>
        <w:tc>
          <w:tcPr>
            <w:tcW w:w="6204" w:type="dxa"/>
            <w:noWrap w:val="0"/>
            <w:vAlign w:val="top"/>
          </w:tcPr>
          <w:p w14:paraId="3C4CBBA7">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rPr>
              <w:t>采购</w:t>
            </w:r>
            <w:r>
              <w:rPr>
                <w:rFonts w:hint="eastAsia" w:ascii="宋体" w:hAnsi="宋体" w:eastAsia="宋体" w:cs="宋体"/>
                <w:bCs/>
                <w:color w:val="auto"/>
                <w:sz w:val="21"/>
                <w:szCs w:val="21"/>
                <w:highlight w:val="none"/>
                <w:lang w:val="en-US" w:eastAsia="zh-CN"/>
              </w:rPr>
              <w:t>128排CT（2025）年度维保</w:t>
            </w:r>
            <w:r>
              <w:rPr>
                <w:rFonts w:hint="eastAsia" w:ascii="宋体" w:hAnsi="宋体" w:eastAsia="宋体" w:cs="宋体"/>
                <w:bCs/>
                <w:color w:val="auto"/>
                <w:sz w:val="21"/>
                <w:szCs w:val="21"/>
                <w:highlight w:val="none"/>
              </w:rPr>
              <w:t>等，具体服务内容及要求详见磋商文件</w:t>
            </w:r>
          </w:p>
        </w:tc>
      </w:tr>
      <w:tr w14:paraId="2DE6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74" w:type="dxa"/>
            <w:noWrap w:val="0"/>
            <w:vAlign w:val="center"/>
          </w:tcPr>
          <w:p w14:paraId="65F9DF67">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w:t>
            </w:r>
          </w:p>
        </w:tc>
        <w:tc>
          <w:tcPr>
            <w:tcW w:w="2361" w:type="dxa"/>
            <w:noWrap w:val="0"/>
            <w:vAlign w:val="center"/>
          </w:tcPr>
          <w:p w14:paraId="076DCDE9">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服务期限</w:t>
            </w:r>
          </w:p>
        </w:tc>
        <w:tc>
          <w:tcPr>
            <w:tcW w:w="6204" w:type="dxa"/>
            <w:noWrap w:val="0"/>
            <w:vAlign w:val="top"/>
          </w:tcPr>
          <w:p w14:paraId="309304C7">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自合同签订之日起一年</w:t>
            </w:r>
          </w:p>
        </w:tc>
      </w:tr>
      <w:tr w14:paraId="6781C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974" w:type="dxa"/>
            <w:noWrap w:val="0"/>
            <w:vAlign w:val="center"/>
          </w:tcPr>
          <w:p w14:paraId="59A3C4D9">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11</w:t>
            </w:r>
          </w:p>
        </w:tc>
        <w:tc>
          <w:tcPr>
            <w:tcW w:w="2361" w:type="dxa"/>
            <w:noWrap w:val="0"/>
            <w:vAlign w:val="center"/>
          </w:tcPr>
          <w:p w14:paraId="7FE6FF5C">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服务地点</w:t>
            </w:r>
          </w:p>
        </w:tc>
        <w:tc>
          <w:tcPr>
            <w:tcW w:w="6204" w:type="dxa"/>
            <w:noWrap w:val="0"/>
            <w:vAlign w:val="top"/>
          </w:tcPr>
          <w:p w14:paraId="3A88FC52">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采购人指定地点</w:t>
            </w:r>
            <w:r>
              <w:rPr>
                <w:rFonts w:hint="eastAsia" w:ascii="宋体" w:hAnsi="宋体" w:eastAsia="宋体" w:cs="宋体"/>
                <w:color w:val="auto"/>
                <w:sz w:val="21"/>
                <w:szCs w:val="21"/>
                <w:highlight w:val="none"/>
                <w:lang w:eastAsia="zh-CN"/>
              </w:rPr>
              <w:t>。</w:t>
            </w:r>
          </w:p>
        </w:tc>
      </w:tr>
      <w:tr w14:paraId="101B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974" w:type="dxa"/>
            <w:noWrap w:val="0"/>
            <w:vAlign w:val="center"/>
          </w:tcPr>
          <w:p w14:paraId="1E1FD476">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w:t>
            </w:r>
          </w:p>
        </w:tc>
        <w:tc>
          <w:tcPr>
            <w:tcW w:w="2361" w:type="dxa"/>
            <w:noWrap w:val="0"/>
            <w:vAlign w:val="center"/>
          </w:tcPr>
          <w:p w14:paraId="5FF7DD15">
            <w:pPr>
              <w:wordWrap/>
              <w:topLinePunct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服务标准</w:t>
            </w:r>
          </w:p>
        </w:tc>
        <w:tc>
          <w:tcPr>
            <w:tcW w:w="6204" w:type="dxa"/>
            <w:noWrap w:val="0"/>
            <w:vAlign w:val="bottom"/>
          </w:tcPr>
          <w:p w14:paraId="23A1C2DE">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达到国家及行业相关服务规定合格标准</w:t>
            </w:r>
          </w:p>
        </w:tc>
      </w:tr>
      <w:tr w14:paraId="3BBFB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9" w:hRule="atLeast"/>
          <w:jc w:val="center"/>
        </w:trPr>
        <w:tc>
          <w:tcPr>
            <w:tcW w:w="974" w:type="dxa"/>
            <w:noWrap w:val="0"/>
            <w:vAlign w:val="center"/>
          </w:tcPr>
          <w:p w14:paraId="57808266">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13</w:t>
            </w:r>
          </w:p>
        </w:tc>
        <w:tc>
          <w:tcPr>
            <w:tcW w:w="2361" w:type="dxa"/>
            <w:noWrap w:val="0"/>
            <w:vAlign w:val="center"/>
          </w:tcPr>
          <w:p w14:paraId="57618AB7">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供应商资质条件</w:t>
            </w:r>
          </w:p>
        </w:tc>
        <w:tc>
          <w:tcPr>
            <w:tcW w:w="6204" w:type="dxa"/>
            <w:noWrap w:val="0"/>
            <w:vAlign w:val="top"/>
          </w:tcPr>
          <w:p w14:paraId="13119855">
            <w:pPr>
              <w:spacing w:line="24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1、满足《中华人民共和国政府采购法》第二十二条规定；</w:t>
            </w:r>
          </w:p>
          <w:p w14:paraId="02292494">
            <w:pPr>
              <w:spacing w:line="24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2、落实政府采购政策满足的资格要求：</w:t>
            </w:r>
          </w:p>
          <w:p w14:paraId="17FCF5C3">
            <w:pPr>
              <w:spacing w:line="24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政府采购促进中小企业发展管理办法》财库〔2020〕46号、《财政部关于进一步加大政府采购支持中小企业力度的通知》财库〔2022〕19号规定，支持节能环保政策，扶持监狱、残疾人福利性单位等政府采购政策。本项目属于非专门面向中小企业采购的项目。本项目非专门面向中小企业采购。</w:t>
            </w:r>
          </w:p>
          <w:p w14:paraId="5531E2DD">
            <w:pPr>
              <w:spacing w:line="24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3、本项目的特定资格要求</w:t>
            </w:r>
          </w:p>
          <w:p w14:paraId="779ED2DD">
            <w:pPr>
              <w:spacing w:line="24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3.1供应商具有独立承担民事责任的能力（提供有效的三证合一营业执照扫描件或复印件，也可提供电子营业执照截图）；</w:t>
            </w:r>
          </w:p>
          <w:p w14:paraId="0A860E22">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为贯彻落实《关于促进政府采购公平竞争优化营商环境的通知》（财库〔2019〕38号）和《关于全面推行证明事项和涉企经营许可事项告知承诺制的指导意见》（国办发[2020]42号），降低供应商参与政府采购活动的制度性交易成本，持续优化政府采购营商环境。按照《郏县财政局关于推行政府采购信用承诺制的通知》（郏财字[2022]35号）要求，在本次招标活动中，供应商只需在资格审查满足相应条件的书面承诺书（格式详见后附件：郏县政府采购供应商信用承诺书），不再需要提供以下证明材料：</w:t>
            </w:r>
          </w:p>
          <w:p w14:paraId="7FE42726">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（1）具有独立承担民事责任的能力；</w:t>
            </w:r>
          </w:p>
          <w:p w14:paraId="260D7B59">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（2）具有良好的商业信誉和健全的财务会计制度；</w:t>
            </w:r>
          </w:p>
          <w:p w14:paraId="5589AF6B">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（3）具有履行合同所必需的设备和专业技术能力；</w:t>
            </w:r>
          </w:p>
          <w:p w14:paraId="239FCA67">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（4）有依法缴纳税收和社会保障资金的良好记录；</w:t>
            </w:r>
          </w:p>
          <w:p w14:paraId="7480BE46">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（5）参加政府采购活动前三年内，在经营活动中没有重大违法记录；</w:t>
            </w:r>
          </w:p>
          <w:p w14:paraId="3EE8A1AB">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（6）未被列入失信被执行人、</w:t>
            </w:r>
            <w:r>
              <w:rPr>
                <w:rFonts w:hint="eastAsia" w:ascii="宋体" w:hAnsi="宋体" w:eastAsia="宋体" w:cs="宋体"/>
                <w:color w:val="auto"/>
                <w:sz w:val="21"/>
                <w:szCs w:val="21"/>
                <w:highlight w:val="none"/>
                <w:lang w:val="zh-CN" w:eastAsia="zh-CN"/>
              </w:rPr>
              <w:t>重大税收违法失信主体</w:t>
            </w:r>
            <w:r>
              <w:rPr>
                <w:rFonts w:hint="eastAsia" w:ascii="宋体" w:hAnsi="宋体" w:eastAsia="宋体" w:cs="宋体"/>
                <w:color w:val="auto"/>
                <w:sz w:val="21"/>
                <w:szCs w:val="21"/>
                <w:highlight w:val="none"/>
                <w:lang w:val="en-US" w:eastAsia="zh-CN"/>
              </w:rPr>
              <w:t>、政府采购严重违法失信行为记录名单。</w:t>
            </w:r>
          </w:p>
          <w:p w14:paraId="1A69EBEF">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）法律、行政法规规定的其他条件。</w:t>
            </w:r>
          </w:p>
          <w:p w14:paraId="3D7D571F">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3.3</w:t>
            </w:r>
            <w:r>
              <w:rPr>
                <w:rFonts w:hint="eastAsia" w:ascii="宋体" w:hAnsi="宋体" w:eastAsia="宋体" w:cs="宋体"/>
                <w:color w:val="auto"/>
                <w:sz w:val="21"/>
                <w:szCs w:val="21"/>
                <w:highlight w:val="none"/>
              </w:rPr>
              <w:t>单位负责人为同一人或存在控股、管理关系的不同单位，不得同时参加本项目的采购活动（提供加盖单位公章承诺函，格式自拟）；</w:t>
            </w:r>
          </w:p>
          <w:p w14:paraId="27C9446E">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本项目资格审查方式为资格后审，不允许分包或转包。</w:t>
            </w:r>
          </w:p>
          <w:p w14:paraId="25ACDEC5">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3.5</w:t>
            </w:r>
            <w:r>
              <w:rPr>
                <w:rFonts w:hint="eastAsia" w:ascii="宋体" w:hAnsi="宋体" w:eastAsia="宋体" w:cs="宋体"/>
                <w:color w:val="auto"/>
                <w:sz w:val="21"/>
                <w:szCs w:val="21"/>
                <w:highlight w:val="none"/>
              </w:rPr>
              <w:t>投标人须保证投标期间提供的所有资料真实有效，一经发现其提供虚假资料将被视为放弃投标资格并承担由此引起的一切不良和法律后果（提供加盖单位公章承诺函，格式自拟）</w:t>
            </w:r>
          </w:p>
          <w:p w14:paraId="7E6DDF22">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ascii="宋体" w:hAnsi="宋体" w:eastAsia="宋体" w:cs="宋体"/>
                <w:bCs/>
                <w:color w:val="auto"/>
                <w:sz w:val="21"/>
                <w:szCs w:val="21"/>
                <w:highlight w:val="none"/>
                <w:lang w:eastAsia="zh-CN"/>
              </w:rPr>
            </w:pPr>
            <w:r>
              <w:rPr>
                <w:rFonts w:hint="eastAsia" w:ascii="宋体" w:hAnsi="宋体" w:eastAsia="宋体" w:cs="宋体"/>
                <w:color w:val="auto"/>
                <w:sz w:val="21"/>
                <w:szCs w:val="21"/>
                <w:highlight w:val="none"/>
                <w:lang w:val="en-US" w:eastAsia="zh-CN"/>
              </w:rPr>
              <w:t>注：</w:t>
            </w:r>
            <w:r>
              <w:rPr>
                <w:rFonts w:hint="eastAsia" w:ascii="宋体" w:hAnsi="宋体" w:eastAsia="宋体" w:cs="宋体"/>
                <w:color w:val="auto"/>
                <w:sz w:val="21"/>
                <w:szCs w:val="21"/>
                <w:highlight w:val="none"/>
              </w:rPr>
              <w:t>按照财库〔2016〕125号文，采购人、代理机构在开标时通过“中国执行信息公开网”“信用中国”及“中国政府采购网”查询供应商信用情况，如有不良情况，按无效标处理。</w:t>
            </w:r>
          </w:p>
        </w:tc>
      </w:tr>
      <w:tr w14:paraId="1F133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74" w:type="dxa"/>
            <w:noWrap w:val="0"/>
            <w:vAlign w:val="center"/>
          </w:tcPr>
          <w:p w14:paraId="13F876B2">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14</w:t>
            </w:r>
          </w:p>
        </w:tc>
        <w:tc>
          <w:tcPr>
            <w:tcW w:w="2361" w:type="dxa"/>
            <w:noWrap w:val="0"/>
            <w:vAlign w:val="center"/>
          </w:tcPr>
          <w:p w14:paraId="13547369">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是否接受联合体参加磋商</w:t>
            </w:r>
          </w:p>
        </w:tc>
        <w:tc>
          <w:tcPr>
            <w:tcW w:w="6204" w:type="dxa"/>
            <w:noWrap w:val="0"/>
            <w:vAlign w:val="top"/>
          </w:tcPr>
          <w:p w14:paraId="446F22A5">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不接受</w:t>
            </w:r>
          </w:p>
        </w:tc>
      </w:tr>
      <w:tr w14:paraId="30FD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74" w:type="dxa"/>
            <w:noWrap w:val="0"/>
            <w:vAlign w:val="center"/>
          </w:tcPr>
          <w:p w14:paraId="3408C0DC">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w:t>
            </w:r>
          </w:p>
        </w:tc>
        <w:tc>
          <w:tcPr>
            <w:tcW w:w="2361" w:type="dxa"/>
            <w:noWrap w:val="0"/>
            <w:vAlign w:val="center"/>
          </w:tcPr>
          <w:p w14:paraId="1D456215">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现场考察</w:t>
            </w:r>
          </w:p>
        </w:tc>
        <w:tc>
          <w:tcPr>
            <w:tcW w:w="6204" w:type="dxa"/>
            <w:noWrap w:val="0"/>
            <w:vAlign w:val="center"/>
          </w:tcPr>
          <w:p w14:paraId="3B275C60">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w:t>
            </w:r>
            <w:r>
              <w:rPr>
                <w:rFonts w:hint="eastAsia" w:ascii="宋体" w:hAnsi="宋体" w:eastAsia="宋体" w:cs="宋体"/>
                <w:color w:val="auto"/>
                <w:sz w:val="21"/>
                <w:szCs w:val="21"/>
                <w:highlight w:val="none"/>
                <w:lang w:val="en-US" w:eastAsia="zh-CN"/>
              </w:rPr>
              <w:t>统一</w:t>
            </w:r>
            <w:r>
              <w:rPr>
                <w:rFonts w:hint="eastAsia" w:ascii="宋体" w:hAnsi="宋体" w:eastAsia="宋体" w:cs="宋体"/>
                <w:color w:val="auto"/>
                <w:sz w:val="21"/>
                <w:szCs w:val="21"/>
                <w:highlight w:val="none"/>
              </w:rPr>
              <w:t>组织</w:t>
            </w:r>
          </w:p>
        </w:tc>
      </w:tr>
      <w:tr w14:paraId="7E9C0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974" w:type="dxa"/>
            <w:noWrap w:val="0"/>
            <w:vAlign w:val="center"/>
          </w:tcPr>
          <w:p w14:paraId="56FE42ED">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16</w:t>
            </w:r>
          </w:p>
        </w:tc>
        <w:tc>
          <w:tcPr>
            <w:tcW w:w="2361" w:type="dxa"/>
            <w:noWrap w:val="0"/>
            <w:vAlign w:val="center"/>
          </w:tcPr>
          <w:p w14:paraId="2973EC89">
            <w:pPr>
              <w:wordWrap/>
              <w:topLinePunct w:val="0"/>
              <w:spacing w:line="400" w:lineRule="exact"/>
              <w:ind w:left="38" w:leftChars="18"/>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答 疑 会</w:t>
            </w:r>
          </w:p>
        </w:tc>
        <w:tc>
          <w:tcPr>
            <w:tcW w:w="6204" w:type="dxa"/>
            <w:noWrap w:val="0"/>
            <w:vAlign w:val="center"/>
          </w:tcPr>
          <w:p w14:paraId="54BE5C4C">
            <w:pPr>
              <w:tabs>
                <w:tab w:val="left" w:pos="720"/>
                <w:tab w:val="left" w:pos="1904"/>
              </w:tabs>
              <w:wordWrap/>
              <w:topLinePunct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不召开</w:t>
            </w:r>
          </w:p>
        </w:tc>
      </w:tr>
      <w:tr w14:paraId="76E8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974" w:type="dxa"/>
            <w:noWrap w:val="0"/>
            <w:vAlign w:val="center"/>
          </w:tcPr>
          <w:p w14:paraId="6199DB31">
            <w:pPr>
              <w:wordWrap/>
              <w:topLinePunct w:val="0"/>
              <w:spacing w:line="360" w:lineRule="auto"/>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17</w:t>
            </w:r>
          </w:p>
        </w:tc>
        <w:tc>
          <w:tcPr>
            <w:tcW w:w="2361" w:type="dxa"/>
            <w:noWrap w:val="0"/>
            <w:vAlign w:val="center"/>
          </w:tcPr>
          <w:p w14:paraId="1BA75A02">
            <w:pPr>
              <w:wordWrap/>
              <w:topLinePunct w:val="0"/>
              <w:spacing w:line="360" w:lineRule="auto"/>
              <w:ind w:firstLine="840" w:firstLineChars="4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分包</w:t>
            </w:r>
          </w:p>
        </w:tc>
        <w:tc>
          <w:tcPr>
            <w:tcW w:w="6204" w:type="dxa"/>
            <w:noWrap w:val="0"/>
            <w:vAlign w:val="center"/>
          </w:tcPr>
          <w:p w14:paraId="3EF5AB49">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tc>
      </w:tr>
      <w:tr w14:paraId="493E9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74" w:type="dxa"/>
            <w:noWrap w:val="0"/>
            <w:vAlign w:val="center"/>
          </w:tcPr>
          <w:p w14:paraId="63CDCAEF">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18</w:t>
            </w:r>
          </w:p>
        </w:tc>
        <w:tc>
          <w:tcPr>
            <w:tcW w:w="2361" w:type="dxa"/>
            <w:noWrap w:val="0"/>
            <w:vAlign w:val="center"/>
          </w:tcPr>
          <w:p w14:paraId="447E08AF">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实质性偏差</w:t>
            </w:r>
          </w:p>
        </w:tc>
        <w:tc>
          <w:tcPr>
            <w:tcW w:w="6204" w:type="dxa"/>
            <w:noWrap w:val="0"/>
            <w:vAlign w:val="center"/>
          </w:tcPr>
          <w:p w14:paraId="350DEA5E">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不允许</w:t>
            </w:r>
          </w:p>
        </w:tc>
      </w:tr>
      <w:tr w14:paraId="40D1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74" w:type="dxa"/>
            <w:noWrap w:val="0"/>
            <w:vAlign w:val="center"/>
          </w:tcPr>
          <w:p w14:paraId="37F66179">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19</w:t>
            </w:r>
          </w:p>
        </w:tc>
        <w:tc>
          <w:tcPr>
            <w:tcW w:w="2361" w:type="dxa"/>
            <w:noWrap w:val="0"/>
            <w:vAlign w:val="center"/>
          </w:tcPr>
          <w:p w14:paraId="79105CCA">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是否接受选择性报价方案</w:t>
            </w:r>
          </w:p>
        </w:tc>
        <w:tc>
          <w:tcPr>
            <w:tcW w:w="6204" w:type="dxa"/>
            <w:noWrap w:val="0"/>
            <w:vAlign w:val="center"/>
          </w:tcPr>
          <w:p w14:paraId="067C8F39">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不接受</w:t>
            </w:r>
          </w:p>
        </w:tc>
      </w:tr>
      <w:tr w14:paraId="0357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74" w:type="dxa"/>
            <w:noWrap w:val="0"/>
            <w:vAlign w:val="center"/>
          </w:tcPr>
          <w:p w14:paraId="2D970537">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20</w:t>
            </w:r>
          </w:p>
        </w:tc>
        <w:tc>
          <w:tcPr>
            <w:tcW w:w="2361" w:type="dxa"/>
            <w:noWrap w:val="0"/>
            <w:vAlign w:val="center"/>
          </w:tcPr>
          <w:p w14:paraId="4D737F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构成竞争性磋商文件的其他材料</w:t>
            </w:r>
          </w:p>
        </w:tc>
        <w:tc>
          <w:tcPr>
            <w:tcW w:w="6204" w:type="dxa"/>
            <w:noWrap w:val="0"/>
            <w:vAlign w:val="center"/>
          </w:tcPr>
          <w:p w14:paraId="50D82CD3">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无</w:t>
            </w:r>
          </w:p>
        </w:tc>
      </w:tr>
      <w:tr w14:paraId="7DD8A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74" w:type="dxa"/>
            <w:vMerge w:val="restart"/>
            <w:noWrap w:val="0"/>
            <w:vAlign w:val="center"/>
          </w:tcPr>
          <w:p w14:paraId="53BA68A7">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21</w:t>
            </w:r>
          </w:p>
        </w:tc>
        <w:tc>
          <w:tcPr>
            <w:tcW w:w="2361" w:type="dxa"/>
            <w:vMerge w:val="restart"/>
            <w:noWrap w:val="0"/>
            <w:vAlign w:val="center"/>
          </w:tcPr>
          <w:p w14:paraId="14871B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供应商要求澄清竞争性磋商文件</w:t>
            </w:r>
          </w:p>
        </w:tc>
        <w:tc>
          <w:tcPr>
            <w:tcW w:w="6204" w:type="dxa"/>
            <w:noWrap w:val="0"/>
            <w:vAlign w:val="center"/>
          </w:tcPr>
          <w:p w14:paraId="6285A980">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时间：提交首次响应文件截止时间</w:t>
            </w:r>
            <w:r>
              <w:rPr>
                <w:rFonts w:hint="eastAsia" w:ascii="宋体" w:hAnsi="宋体" w:eastAsia="宋体" w:cs="宋体"/>
                <w:color w:val="auto"/>
                <w:sz w:val="21"/>
                <w:szCs w:val="21"/>
                <w:highlight w:val="none"/>
                <w:u w:val="single"/>
              </w:rPr>
              <w:t xml:space="preserve">  5  </w:t>
            </w:r>
            <w:r>
              <w:rPr>
                <w:rFonts w:hint="eastAsia" w:ascii="宋体" w:hAnsi="宋体" w:eastAsia="宋体" w:cs="宋体"/>
                <w:color w:val="auto"/>
                <w:sz w:val="21"/>
                <w:szCs w:val="21"/>
                <w:highlight w:val="none"/>
              </w:rPr>
              <w:t>日</w:t>
            </w:r>
            <w:r>
              <w:rPr>
                <w:rFonts w:hint="eastAsia" w:ascii="宋体" w:hAnsi="宋体" w:eastAsia="宋体" w:cs="宋体"/>
                <w:color w:val="auto"/>
                <w:sz w:val="21"/>
                <w:szCs w:val="21"/>
                <w:highlight w:val="none"/>
                <w:lang w:val="en-US" w:eastAsia="zh-CN"/>
              </w:rPr>
              <w:t>前</w:t>
            </w:r>
          </w:p>
        </w:tc>
      </w:tr>
      <w:tr w14:paraId="17BCA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74" w:type="dxa"/>
            <w:vMerge w:val="continue"/>
            <w:noWrap w:val="0"/>
            <w:vAlign w:val="center"/>
          </w:tcPr>
          <w:p w14:paraId="2ED92F31">
            <w:pPr>
              <w:wordWrap/>
              <w:topLinePunct w:val="0"/>
              <w:spacing w:line="360" w:lineRule="auto"/>
              <w:rPr>
                <w:rFonts w:hint="eastAsia" w:ascii="宋体" w:hAnsi="宋体" w:eastAsia="宋体" w:cs="宋体"/>
                <w:color w:val="auto"/>
                <w:sz w:val="21"/>
                <w:szCs w:val="21"/>
                <w:highlight w:val="none"/>
              </w:rPr>
            </w:pPr>
          </w:p>
        </w:tc>
        <w:tc>
          <w:tcPr>
            <w:tcW w:w="2361" w:type="dxa"/>
            <w:vMerge w:val="continue"/>
            <w:noWrap w:val="0"/>
            <w:vAlign w:val="center"/>
          </w:tcPr>
          <w:p w14:paraId="56653D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6204" w:type="dxa"/>
            <w:noWrap w:val="0"/>
            <w:vAlign w:val="center"/>
          </w:tcPr>
          <w:p w14:paraId="0EB40D94">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形式：在</w:t>
            </w:r>
            <w:r>
              <w:rPr>
                <w:rFonts w:hint="eastAsia" w:ascii="宋体" w:hAnsi="宋体" w:eastAsia="宋体" w:cs="宋体"/>
                <w:color w:val="auto"/>
                <w:kern w:val="0"/>
                <w:sz w:val="21"/>
                <w:szCs w:val="21"/>
                <w:highlight w:val="none"/>
              </w:rPr>
              <w:t>全国公共资源交易平台（河南省·平顶山市）系统内</w:t>
            </w:r>
            <w:r>
              <w:rPr>
                <w:rFonts w:hint="eastAsia" w:ascii="宋体" w:hAnsi="宋体" w:eastAsia="宋体" w:cs="宋体"/>
                <w:color w:val="auto"/>
                <w:sz w:val="21"/>
                <w:szCs w:val="21"/>
                <w:highlight w:val="none"/>
              </w:rPr>
              <w:t>提出</w:t>
            </w:r>
          </w:p>
        </w:tc>
      </w:tr>
      <w:tr w14:paraId="6AB0B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74" w:type="dxa"/>
            <w:noWrap w:val="0"/>
            <w:vAlign w:val="center"/>
          </w:tcPr>
          <w:p w14:paraId="7AC3CBF7">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22</w:t>
            </w:r>
          </w:p>
        </w:tc>
        <w:tc>
          <w:tcPr>
            <w:tcW w:w="2361" w:type="dxa"/>
            <w:noWrap w:val="0"/>
            <w:vAlign w:val="center"/>
          </w:tcPr>
          <w:p w14:paraId="1F2E303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竞争性磋商文件澄清发出的形式</w:t>
            </w:r>
          </w:p>
        </w:tc>
        <w:tc>
          <w:tcPr>
            <w:tcW w:w="6204" w:type="dxa"/>
            <w:noWrap w:val="0"/>
            <w:vAlign w:val="center"/>
          </w:tcPr>
          <w:p w14:paraId="6A0951C2">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w:t>
            </w:r>
            <w:r>
              <w:rPr>
                <w:rFonts w:hint="eastAsia" w:ascii="宋体" w:hAnsi="宋体" w:eastAsia="宋体" w:cs="宋体"/>
                <w:color w:val="auto"/>
                <w:kern w:val="0"/>
                <w:sz w:val="21"/>
                <w:szCs w:val="21"/>
                <w:highlight w:val="none"/>
              </w:rPr>
              <w:t>全国公共资源交易平台（河南省·平顶山市）</w:t>
            </w:r>
            <w:r>
              <w:rPr>
                <w:rFonts w:hint="eastAsia" w:ascii="宋体" w:hAnsi="宋体" w:eastAsia="宋体" w:cs="宋体"/>
                <w:color w:val="auto"/>
                <w:sz w:val="21"/>
                <w:szCs w:val="21"/>
                <w:highlight w:val="none"/>
              </w:rPr>
              <w:t>发布且同时在原公告媒体发布澄清公告</w:t>
            </w:r>
          </w:p>
        </w:tc>
      </w:tr>
      <w:tr w14:paraId="52566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74" w:type="dxa"/>
            <w:vMerge w:val="restart"/>
            <w:noWrap w:val="0"/>
            <w:vAlign w:val="center"/>
          </w:tcPr>
          <w:p w14:paraId="160D2E7A">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23</w:t>
            </w:r>
          </w:p>
        </w:tc>
        <w:tc>
          <w:tcPr>
            <w:tcW w:w="2361" w:type="dxa"/>
            <w:vMerge w:val="restart"/>
            <w:noWrap w:val="0"/>
            <w:vAlign w:val="center"/>
          </w:tcPr>
          <w:p w14:paraId="2B806B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供应商确认收到竞争性磋商文件澄清</w:t>
            </w:r>
          </w:p>
        </w:tc>
        <w:tc>
          <w:tcPr>
            <w:tcW w:w="6204" w:type="dxa"/>
            <w:noWrap w:val="0"/>
            <w:vAlign w:val="center"/>
          </w:tcPr>
          <w:p w14:paraId="49083911">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时间：在收到相应澄清文件后 24 小时内</w:t>
            </w:r>
          </w:p>
        </w:tc>
      </w:tr>
      <w:tr w14:paraId="026DE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74" w:type="dxa"/>
            <w:vMerge w:val="continue"/>
            <w:noWrap w:val="0"/>
            <w:vAlign w:val="center"/>
          </w:tcPr>
          <w:p w14:paraId="0C209CB8">
            <w:pPr>
              <w:wordWrap/>
              <w:topLinePunct w:val="0"/>
              <w:spacing w:line="360" w:lineRule="auto"/>
              <w:rPr>
                <w:rFonts w:hint="eastAsia" w:ascii="宋体" w:hAnsi="宋体" w:eastAsia="宋体" w:cs="宋体"/>
                <w:color w:val="auto"/>
                <w:sz w:val="21"/>
                <w:szCs w:val="21"/>
                <w:highlight w:val="none"/>
              </w:rPr>
            </w:pPr>
          </w:p>
        </w:tc>
        <w:tc>
          <w:tcPr>
            <w:tcW w:w="2361" w:type="dxa"/>
            <w:vMerge w:val="continue"/>
            <w:noWrap w:val="0"/>
            <w:vAlign w:val="center"/>
          </w:tcPr>
          <w:p w14:paraId="255E58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6204" w:type="dxa"/>
            <w:noWrap w:val="0"/>
            <w:vAlign w:val="center"/>
          </w:tcPr>
          <w:p w14:paraId="678447D8">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形式：</w:t>
            </w:r>
            <w:r>
              <w:rPr>
                <w:rFonts w:hint="eastAsia" w:ascii="宋体" w:hAnsi="宋体" w:eastAsia="宋体" w:cs="宋体"/>
                <w:color w:val="auto"/>
                <w:kern w:val="0"/>
                <w:sz w:val="21"/>
                <w:szCs w:val="21"/>
                <w:highlight w:val="none"/>
              </w:rPr>
              <w:t>在全国公共资源交易平台（河南省·平顶山市）进行确认</w:t>
            </w:r>
          </w:p>
        </w:tc>
      </w:tr>
      <w:tr w14:paraId="76F0A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74" w:type="dxa"/>
            <w:noWrap w:val="0"/>
            <w:vAlign w:val="center"/>
          </w:tcPr>
          <w:p w14:paraId="752B230A">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24</w:t>
            </w:r>
          </w:p>
        </w:tc>
        <w:tc>
          <w:tcPr>
            <w:tcW w:w="2361" w:type="dxa"/>
            <w:noWrap w:val="0"/>
            <w:vAlign w:val="center"/>
          </w:tcPr>
          <w:p w14:paraId="54B60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竞争性磋商文件修改发出的形式</w:t>
            </w:r>
          </w:p>
        </w:tc>
        <w:tc>
          <w:tcPr>
            <w:tcW w:w="6204" w:type="dxa"/>
            <w:noWrap w:val="0"/>
            <w:vAlign w:val="center"/>
          </w:tcPr>
          <w:p w14:paraId="46026F2B">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w:t>
            </w:r>
            <w:r>
              <w:rPr>
                <w:rFonts w:hint="eastAsia" w:ascii="宋体" w:hAnsi="宋体" w:eastAsia="宋体" w:cs="宋体"/>
                <w:color w:val="auto"/>
                <w:kern w:val="0"/>
                <w:sz w:val="21"/>
                <w:szCs w:val="21"/>
                <w:highlight w:val="none"/>
              </w:rPr>
              <w:t>全国公共资源交易平台（河南省·平顶山市）</w:t>
            </w:r>
            <w:r>
              <w:rPr>
                <w:rFonts w:hint="eastAsia" w:ascii="宋体" w:hAnsi="宋体" w:eastAsia="宋体" w:cs="宋体"/>
                <w:color w:val="auto"/>
                <w:sz w:val="21"/>
                <w:szCs w:val="21"/>
                <w:highlight w:val="none"/>
              </w:rPr>
              <w:t>发布且同时在原公告媒体发布澄清公告</w:t>
            </w:r>
          </w:p>
        </w:tc>
      </w:tr>
      <w:tr w14:paraId="2C44F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74" w:type="dxa"/>
            <w:vMerge w:val="restart"/>
            <w:noWrap w:val="0"/>
            <w:vAlign w:val="center"/>
          </w:tcPr>
          <w:p w14:paraId="5705CDF4">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25</w:t>
            </w:r>
          </w:p>
        </w:tc>
        <w:tc>
          <w:tcPr>
            <w:tcW w:w="2361" w:type="dxa"/>
            <w:vMerge w:val="restart"/>
            <w:noWrap w:val="0"/>
            <w:vAlign w:val="center"/>
          </w:tcPr>
          <w:p w14:paraId="1CE66E2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供应商确认收到竞争性磋商文件修改</w:t>
            </w:r>
          </w:p>
        </w:tc>
        <w:tc>
          <w:tcPr>
            <w:tcW w:w="6204" w:type="dxa"/>
            <w:noWrap w:val="0"/>
            <w:vAlign w:val="center"/>
          </w:tcPr>
          <w:p w14:paraId="13E5B6BD">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时间：在收到相应修改文件后 24 小时内</w:t>
            </w:r>
          </w:p>
        </w:tc>
      </w:tr>
      <w:tr w14:paraId="546E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974" w:type="dxa"/>
            <w:vMerge w:val="continue"/>
            <w:noWrap w:val="0"/>
            <w:vAlign w:val="center"/>
          </w:tcPr>
          <w:p w14:paraId="170B4501">
            <w:pPr>
              <w:wordWrap/>
              <w:topLinePunct w:val="0"/>
              <w:spacing w:line="360" w:lineRule="auto"/>
              <w:rPr>
                <w:rFonts w:hint="eastAsia" w:ascii="宋体" w:hAnsi="宋体" w:eastAsia="宋体" w:cs="宋体"/>
                <w:color w:val="auto"/>
                <w:sz w:val="21"/>
                <w:szCs w:val="21"/>
                <w:highlight w:val="none"/>
              </w:rPr>
            </w:pPr>
          </w:p>
        </w:tc>
        <w:tc>
          <w:tcPr>
            <w:tcW w:w="2361" w:type="dxa"/>
            <w:vMerge w:val="continue"/>
            <w:noWrap w:val="0"/>
            <w:vAlign w:val="center"/>
          </w:tcPr>
          <w:p w14:paraId="1890D02F">
            <w:pPr>
              <w:wordWrap/>
              <w:topLinePunct w:val="0"/>
              <w:spacing w:line="360" w:lineRule="auto"/>
              <w:jc w:val="center"/>
              <w:rPr>
                <w:rFonts w:hint="eastAsia" w:ascii="宋体" w:hAnsi="宋体" w:eastAsia="宋体" w:cs="宋体"/>
                <w:color w:val="auto"/>
                <w:sz w:val="21"/>
                <w:szCs w:val="21"/>
                <w:highlight w:val="none"/>
              </w:rPr>
            </w:pPr>
          </w:p>
        </w:tc>
        <w:tc>
          <w:tcPr>
            <w:tcW w:w="6204" w:type="dxa"/>
            <w:noWrap w:val="0"/>
            <w:vAlign w:val="center"/>
          </w:tcPr>
          <w:p w14:paraId="418A7072">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形式：</w:t>
            </w:r>
            <w:r>
              <w:rPr>
                <w:rFonts w:hint="eastAsia" w:ascii="宋体" w:hAnsi="宋体" w:eastAsia="宋体" w:cs="宋体"/>
                <w:color w:val="auto"/>
                <w:kern w:val="0"/>
                <w:sz w:val="21"/>
                <w:szCs w:val="21"/>
                <w:highlight w:val="none"/>
              </w:rPr>
              <w:t>在全国公共资源交易平台（河南省·平顶山市）进行确认</w:t>
            </w:r>
          </w:p>
        </w:tc>
      </w:tr>
      <w:tr w14:paraId="711D1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74" w:type="dxa"/>
            <w:noWrap w:val="0"/>
            <w:vAlign w:val="center"/>
          </w:tcPr>
          <w:p w14:paraId="44F219DE">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26</w:t>
            </w:r>
          </w:p>
        </w:tc>
        <w:tc>
          <w:tcPr>
            <w:tcW w:w="2361" w:type="dxa"/>
            <w:noWrap w:val="0"/>
            <w:vAlign w:val="center"/>
          </w:tcPr>
          <w:p w14:paraId="208EBE1D">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磋商有效期</w:t>
            </w:r>
          </w:p>
        </w:tc>
        <w:tc>
          <w:tcPr>
            <w:tcW w:w="6204" w:type="dxa"/>
            <w:noWrap w:val="0"/>
            <w:vAlign w:val="top"/>
          </w:tcPr>
          <w:p w14:paraId="212BA3E3">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响应文件递交截止之日起</w:t>
            </w:r>
            <w:r>
              <w:rPr>
                <w:rFonts w:hint="eastAsia" w:ascii="宋体" w:hAnsi="宋体" w:eastAsia="宋体" w:cs="宋体"/>
                <w:color w:val="auto"/>
                <w:sz w:val="21"/>
                <w:szCs w:val="21"/>
                <w:highlight w:val="none"/>
                <w:u w:val="single"/>
              </w:rPr>
              <w:t xml:space="preserve">  60  </w:t>
            </w:r>
            <w:r>
              <w:rPr>
                <w:rFonts w:hint="eastAsia" w:ascii="宋体" w:hAnsi="宋体" w:eastAsia="宋体" w:cs="宋体"/>
                <w:color w:val="auto"/>
                <w:sz w:val="21"/>
                <w:szCs w:val="21"/>
                <w:highlight w:val="none"/>
              </w:rPr>
              <w:t>日历天</w:t>
            </w:r>
          </w:p>
        </w:tc>
      </w:tr>
      <w:tr w14:paraId="1BF1C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74" w:type="dxa"/>
            <w:noWrap w:val="0"/>
            <w:vAlign w:val="center"/>
          </w:tcPr>
          <w:p w14:paraId="0F025AC1">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27</w:t>
            </w:r>
          </w:p>
        </w:tc>
        <w:tc>
          <w:tcPr>
            <w:tcW w:w="2361" w:type="dxa"/>
            <w:noWrap w:val="0"/>
            <w:vAlign w:val="center"/>
          </w:tcPr>
          <w:p w14:paraId="01D60338">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磋商保证金</w:t>
            </w:r>
          </w:p>
        </w:tc>
        <w:tc>
          <w:tcPr>
            <w:tcW w:w="6204" w:type="dxa"/>
            <w:noWrap w:val="0"/>
            <w:vAlign w:val="top"/>
          </w:tcPr>
          <w:p w14:paraId="3D2FC044">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不要求，根据豫财购[2019]4号文件的相关规定，本次磋商不收取磋商保证金。</w:t>
            </w:r>
          </w:p>
        </w:tc>
      </w:tr>
      <w:tr w14:paraId="2BC8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74" w:type="dxa"/>
            <w:noWrap w:val="0"/>
            <w:vAlign w:val="center"/>
          </w:tcPr>
          <w:p w14:paraId="49D0C755">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28</w:t>
            </w:r>
          </w:p>
        </w:tc>
        <w:tc>
          <w:tcPr>
            <w:tcW w:w="2361" w:type="dxa"/>
            <w:noWrap w:val="0"/>
            <w:vAlign w:val="center"/>
          </w:tcPr>
          <w:p w14:paraId="4041FB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响应文件签字或盖章要求</w:t>
            </w:r>
          </w:p>
        </w:tc>
        <w:tc>
          <w:tcPr>
            <w:tcW w:w="6204" w:type="dxa"/>
            <w:noWrap w:val="0"/>
            <w:vAlign w:val="center"/>
          </w:tcPr>
          <w:p w14:paraId="43B6161C">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按响应文件格式</w:t>
            </w:r>
            <w:r>
              <w:rPr>
                <w:rFonts w:hint="eastAsia" w:ascii="宋体" w:hAnsi="宋体" w:eastAsia="宋体" w:cs="宋体"/>
                <w:color w:val="auto"/>
                <w:sz w:val="21"/>
                <w:szCs w:val="21"/>
                <w:highlight w:val="none"/>
              </w:rPr>
              <w:t>加盖企业电子印章和法定代表人或其委托代理人电子印章。</w:t>
            </w:r>
          </w:p>
        </w:tc>
      </w:tr>
      <w:tr w14:paraId="5B12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74" w:type="dxa"/>
            <w:noWrap w:val="0"/>
            <w:vAlign w:val="center"/>
          </w:tcPr>
          <w:p w14:paraId="6AAAC038">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29</w:t>
            </w:r>
          </w:p>
        </w:tc>
        <w:tc>
          <w:tcPr>
            <w:tcW w:w="2361" w:type="dxa"/>
            <w:noWrap w:val="0"/>
            <w:vAlign w:val="center"/>
          </w:tcPr>
          <w:p w14:paraId="5859F1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响应文件加密要求</w:t>
            </w:r>
          </w:p>
        </w:tc>
        <w:tc>
          <w:tcPr>
            <w:tcW w:w="6204" w:type="dxa"/>
            <w:noWrap w:val="0"/>
            <w:vAlign w:val="center"/>
          </w:tcPr>
          <w:p w14:paraId="4F6DBF4E">
            <w:pP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加密</w:t>
            </w:r>
          </w:p>
        </w:tc>
      </w:tr>
      <w:tr w14:paraId="728D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74" w:type="dxa"/>
            <w:noWrap w:val="0"/>
            <w:vAlign w:val="center"/>
          </w:tcPr>
          <w:p w14:paraId="6ECE9C7A">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30</w:t>
            </w:r>
          </w:p>
        </w:tc>
        <w:tc>
          <w:tcPr>
            <w:tcW w:w="2361" w:type="dxa"/>
            <w:noWrap w:val="0"/>
            <w:vAlign w:val="center"/>
          </w:tcPr>
          <w:p w14:paraId="1769F2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提交首次响应文件截止时间</w:t>
            </w:r>
          </w:p>
        </w:tc>
        <w:tc>
          <w:tcPr>
            <w:tcW w:w="6204" w:type="dxa"/>
            <w:noWrap w:val="0"/>
            <w:vAlign w:val="top"/>
          </w:tcPr>
          <w:p w14:paraId="6216E87A">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4"/>
                <w:highlight w:val="none"/>
                <w:lang w:eastAsia="zh-CN"/>
              </w:rPr>
              <w:t>2025年</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 xml:space="preserve">22 </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 xml:space="preserve"> 8</w:t>
            </w:r>
            <w:r>
              <w:rPr>
                <w:rFonts w:hint="eastAsia" w:ascii="宋体" w:hAnsi="宋体" w:eastAsia="宋体" w:cs="宋体"/>
                <w:color w:val="auto"/>
                <w:sz w:val="24"/>
                <w:highlight w:val="none"/>
              </w:rPr>
              <w:t>点</w:t>
            </w:r>
            <w:r>
              <w:rPr>
                <w:rFonts w:hint="eastAsia" w:ascii="宋体" w:hAnsi="宋体" w:eastAsia="宋体" w:cs="宋体"/>
                <w:color w:val="auto"/>
                <w:sz w:val="24"/>
                <w:highlight w:val="none"/>
                <w:lang w:val="en-US" w:eastAsia="zh-CN"/>
              </w:rPr>
              <w:t xml:space="preserve"> 40 </w:t>
            </w:r>
            <w:r>
              <w:rPr>
                <w:rFonts w:hint="eastAsia" w:ascii="宋体" w:hAnsi="宋体" w:eastAsia="宋体" w:cs="宋体"/>
                <w:color w:val="auto"/>
                <w:sz w:val="24"/>
                <w:highlight w:val="none"/>
              </w:rPr>
              <w:t>分</w:t>
            </w:r>
            <w:r>
              <w:rPr>
                <w:rFonts w:hint="eastAsia" w:ascii="宋体" w:hAnsi="宋体" w:eastAsia="宋体" w:cs="宋体"/>
                <w:color w:val="auto"/>
                <w:sz w:val="21"/>
                <w:szCs w:val="21"/>
                <w:highlight w:val="none"/>
                <w:lang w:eastAsia="zh-CN"/>
              </w:rPr>
              <w:t>（北京时间）</w:t>
            </w:r>
          </w:p>
        </w:tc>
      </w:tr>
      <w:tr w14:paraId="3C87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974" w:type="dxa"/>
            <w:noWrap w:val="0"/>
            <w:vAlign w:val="center"/>
          </w:tcPr>
          <w:p w14:paraId="51642986">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31</w:t>
            </w:r>
          </w:p>
        </w:tc>
        <w:tc>
          <w:tcPr>
            <w:tcW w:w="2361" w:type="dxa"/>
            <w:noWrap w:val="0"/>
            <w:vAlign w:val="center"/>
          </w:tcPr>
          <w:p w14:paraId="7C63914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提交首次响应文件地点</w:t>
            </w:r>
          </w:p>
        </w:tc>
        <w:tc>
          <w:tcPr>
            <w:tcW w:w="6204" w:type="dxa"/>
            <w:noWrap w:val="0"/>
            <w:vAlign w:val="center"/>
          </w:tcPr>
          <w:p w14:paraId="6DA37EC2">
            <w:pPr>
              <w:wordWrap/>
              <w:topLinePunct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平顶山市公共资源交易中心系统</w:t>
            </w:r>
          </w:p>
        </w:tc>
      </w:tr>
      <w:tr w14:paraId="13A40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974" w:type="dxa"/>
            <w:noWrap w:val="0"/>
            <w:vAlign w:val="center"/>
          </w:tcPr>
          <w:p w14:paraId="6E4BBFC5">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32</w:t>
            </w:r>
          </w:p>
        </w:tc>
        <w:tc>
          <w:tcPr>
            <w:tcW w:w="2361" w:type="dxa"/>
            <w:noWrap w:val="0"/>
            <w:vAlign w:val="center"/>
          </w:tcPr>
          <w:p w14:paraId="310073F3">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是否退还磋商响应文件</w:t>
            </w:r>
          </w:p>
        </w:tc>
        <w:tc>
          <w:tcPr>
            <w:tcW w:w="6204" w:type="dxa"/>
            <w:noWrap w:val="0"/>
            <w:vAlign w:val="center"/>
          </w:tcPr>
          <w:p w14:paraId="1DBD54ED">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w:t>
            </w:r>
          </w:p>
        </w:tc>
      </w:tr>
      <w:tr w14:paraId="4C853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974" w:type="dxa"/>
            <w:noWrap w:val="0"/>
            <w:vAlign w:val="center"/>
          </w:tcPr>
          <w:p w14:paraId="742DE6BC">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33</w:t>
            </w:r>
          </w:p>
        </w:tc>
        <w:tc>
          <w:tcPr>
            <w:tcW w:w="2361" w:type="dxa"/>
            <w:noWrap w:val="0"/>
            <w:vAlign w:val="center"/>
          </w:tcPr>
          <w:p w14:paraId="036A324F">
            <w:pPr>
              <w:wordWrap/>
              <w:topLinePunct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开启时间和地点</w:t>
            </w:r>
          </w:p>
        </w:tc>
        <w:tc>
          <w:tcPr>
            <w:tcW w:w="6204" w:type="dxa"/>
            <w:noWrap w:val="0"/>
            <w:vAlign w:val="top"/>
          </w:tcPr>
          <w:p w14:paraId="50AF1359">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开启时间：同提交首次响应文件截止时间</w:t>
            </w:r>
          </w:p>
          <w:p w14:paraId="58380C35">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开启地点：同提交首次响应文件地点</w:t>
            </w:r>
          </w:p>
        </w:tc>
      </w:tr>
      <w:tr w14:paraId="4EE33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974" w:type="dxa"/>
            <w:noWrap w:val="0"/>
            <w:vAlign w:val="center"/>
          </w:tcPr>
          <w:p w14:paraId="11D313B8">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34</w:t>
            </w:r>
          </w:p>
        </w:tc>
        <w:tc>
          <w:tcPr>
            <w:tcW w:w="2361" w:type="dxa"/>
            <w:noWrap w:val="0"/>
            <w:vAlign w:val="center"/>
          </w:tcPr>
          <w:p w14:paraId="059012BC">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磋商小组的组建</w:t>
            </w:r>
          </w:p>
        </w:tc>
        <w:tc>
          <w:tcPr>
            <w:tcW w:w="6204" w:type="dxa"/>
            <w:noWrap w:val="0"/>
            <w:vAlign w:val="top"/>
          </w:tcPr>
          <w:p w14:paraId="78C92987">
            <w:pPr>
              <w:wordWrap/>
              <w:topLinePunct w:val="0"/>
              <w:spacing w:line="360" w:lineRule="auto"/>
              <w:rPr>
                <w:rFonts w:hint="eastAsia" w:ascii="宋体" w:hAnsi="宋体" w:eastAsia="宋体" w:cs="宋体"/>
                <w:color w:val="auto"/>
                <w:sz w:val="21"/>
                <w:szCs w:val="21"/>
                <w:highlight w:val="none"/>
                <w:lang w:eastAsia="en-US"/>
              </w:rPr>
            </w:pPr>
            <w:r>
              <w:rPr>
                <w:rFonts w:hint="eastAsia" w:ascii="宋体" w:hAnsi="宋体" w:eastAsia="宋体" w:cs="宋体"/>
                <w:color w:val="auto"/>
                <w:sz w:val="21"/>
                <w:szCs w:val="21"/>
                <w:highlight w:val="none"/>
                <w:lang w:eastAsia="en-US"/>
              </w:rPr>
              <w:t>磋商小组</w:t>
            </w:r>
            <w:r>
              <w:rPr>
                <w:rFonts w:hint="eastAsia" w:ascii="宋体" w:hAnsi="宋体" w:eastAsia="宋体" w:cs="宋体"/>
                <w:color w:val="auto"/>
                <w:sz w:val="21"/>
                <w:szCs w:val="21"/>
                <w:highlight w:val="none"/>
                <w:lang w:val="en-US" w:eastAsia="zh-CN"/>
              </w:rPr>
              <w:t>可以</w:t>
            </w:r>
            <w:r>
              <w:rPr>
                <w:rFonts w:hint="eastAsia" w:ascii="宋体" w:hAnsi="宋体" w:eastAsia="宋体" w:cs="宋体"/>
                <w:color w:val="auto"/>
                <w:sz w:val="21"/>
                <w:szCs w:val="21"/>
                <w:highlight w:val="none"/>
                <w:lang w:eastAsia="en-US"/>
              </w:rPr>
              <w:t>由采购人代表和评审专家共3人以上单数组成，其中评审专家不得少于磋商小组成员总数的2/3.</w:t>
            </w:r>
          </w:p>
          <w:p w14:paraId="378BC8E5">
            <w:pPr>
              <w:wordWrap/>
              <w:topLinePunct w:val="0"/>
              <w:spacing w:line="360" w:lineRule="auto"/>
              <w:rPr>
                <w:rFonts w:hint="eastAsia" w:ascii="宋体" w:hAnsi="宋体" w:eastAsia="宋体" w:cs="宋体"/>
                <w:color w:val="auto"/>
                <w:sz w:val="21"/>
                <w:szCs w:val="21"/>
                <w:highlight w:val="none"/>
                <w:lang w:eastAsia="en-US"/>
              </w:rPr>
            </w:pPr>
            <w:r>
              <w:rPr>
                <w:rFonts w:hint="eastAsia" w:ascii="宋体" w:hAnsi="宋体" w:eastAsia="宋体" w:cs="宋体"/>
                <w:color w:val="auto"/>
                <w:sz w:val="21"/>
                <w:szCs w:val="21"/>
                <w:highlight w:val="none"/>
                <w:lang w:eastAsia="en-US"/>
              </w:rPr>
              <w:t>评标专家确定方式：评审专家应当从政府采购评审专家库内相关专业的专家名单中随机抽取。上述规定为一组评标专家组成方式，根据项目标段数量和评标工作量，可由多组专家完成评审，但每个标段只能由同一组专家评审.</w:t>
            </w:r>
          </w:p>
          <w:p w14:paraId="54791C92">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en-US"/>
              </w:rPr>
              <w:t>（注：可根据标段及评标工作量大小，组建多组评标委员会。</w:t>
            </w:r>
          </w:p>
        </w:tc>
      </w:tr>
      <w:tr w14:paraId="11F03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974" w:type="dxa"/>
            <w:noWrap w:val="0"/>
            <w:vAlign w:val="center"/>
          </w:tcPr>
          <w:p w14:paraId="79B74A35">
            <w:pPr>
              <w:wordWrap/>
              <w:topLinePunct w:val="0"/>
              <w:spacing w:line="360" w:lineRule="auto"/>
              <w:rPr>
                <w:rFonts w:hint="eastAsia" w:ascii="宋体" w:hAnsi="宋体" w:eastAsia="宋体" w:cs="宋体"/>
                <w:color w:val="auto"/>
                <w:sz w:val="21"/>
                <w:szCs w:val="21"/>
                <w:highlight w:val="none"/>
              </w:rPr>
            </w:pPr>
          </w:p>
        </w:tc>
        <w:tc>
          <w:tcPr>
            <w:tcW w:w="2361" w:type="dxa"/>
            <w:noWrap w:val="0"/>
            <w:vAlign w:val="center"/>
          </w:tcPr>
          <w:p w14:paraId="1468122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是否授权磋商小组确定成交供应商</w:t>
            </w:r>
          </w:p>
        </w:tc>
        <w:tc>
          <w:tcPr>
            <w:tcW w:w="6204" w:type="dxa"/>
            <w:noWrap w:val="0"/>
            <w:vAlign w:val="center"/>
          </w:tcPr>
          <w:p w14:paraId="25295887">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否，推荐的成交候选人数：</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3名</w:t>
            </w:r>
          </w:p>
        </w:tc>
      </w:tr>
      <w:tr w14:paraId="589BD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974" w:type="dxa"/>
            <w:noWrap w:val="0"/>
            <w:vAlign w:val="center"/>
          </w:tcPr>
          <w:p w14:paraId="1FF583EB">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35</w:t>
            </w:r>
          </w:p>
        </w:tc>
        <w:tc>
          <w:tcPr>
            <w:tcW w:w="2361" w:type="dxa"/>
            <w:noWrap w:val="0"/>
            <w:vAlign w:val="center"/>
          </w:tcPr>
          <w:p w14:paraId="4CE0096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履约保证金</w:t>
            </w:r>
          </w:p>
        </w:tc>
        <w:tc>
          <w:tcPr>
            <w:tcW w:w="6204" w:type="dxa"/>
            <w:noWrap w:val="0"/>
            <w:vAlign w:val="center"/>
          </w:tcPr>
          <w:p w14:paraId="15F70DED">
            <w:pPr>
              <w:wordWrap/>
              <w:topLinePunct w:val="0"/>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不要求</w:t>
            </w:r>
          </w:p>
        </w:tc>
      </w:tr>
      <w:tr w14:paraId="5B9CF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74" w:type="dxa"/>
            <w:noWrap w:val="0"/>
            <w:vAlign w:val="center"/>
          </w:tcPr>
          <w:p w14:paraId="555334BE">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36</w:t>
            </w:r>
          </w:p>
        </w:tc>
        <w:tc>
          <w:tcPr>
            <w:tcW w:w="2361" w:type="dxa"/>
            <w:noWrap w:val="0"/>
            <w:vAlign w:val="center"/>
          </w:tcPr>
          <w:p w14:paraId="04145C2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代理费用收取方式及标准</w:t>
            </w:r>
          </w:p>
        </w:tc>
        <w:tc>
          <w:tcPr>
            <w:tcW w:w="6204" w:type="dxa"/>
            <w:noWrap w:val="0"/>
            <w:vAlign w:val="center"/>
          </w:tcPr>
          <w:p w14:paraId="36BA455C">
            <w:pPr>
              <w:wordWrap/>
              <w:topLinePunct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highlight w:val="none"/>
              </w:rPr>
              <w:t>理服务费按照《河南省招标代理服务收费指导意见》（豫招协【2023】002号</w:t>
            </w:r>
            <w:r>
              <w:rPr>
                <w:rFonts w:hint="eastAsia" w:ascii="宋体" w:hAnsi="宋体" w:eastAsia="宋体" w:cs="宋体"/>
                <w:color w:val="auto"/>
                <w:sz w:val="21"/>
                <w:szCs w:val="21"/>
                <w:highlight w:val="none"/>
              </w:rPr>
              <w:t>文件规定向中标人收取，此费用</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人</w:t>
            </w:r>
            <w:r>
              <w:rPr>
                <w:rFonts w:hint="eastAsia" w:ascii="宋体" w:hAnsi="宋体" w:eastAsia="宋体" w:cs="宋体"/>
                <w:color w:val="auto"/>
                <w:sz w:val="21"/>
                <w:szCs w:val="21"/>
                <w:highlight w:val="none"/>
                <w:lang w:val="en-US" w:eastAsia="zh-CN"/>
              </w:rPr>
              <w:t>在报价时</w:t>
            </w:r>
            <w:r>
              <w:rPr>
                <w:rFonts w:hint="eastAsia" w:ascii="宋体" w:hAnsi="宋体" w:eastAsia="宋体" w:cs="宋体"/>
                <w:color w:val="auto"/>
                <w:sz w:val="21"/>
                <w:szCs w:val="21"/>
                <w:highlight w:val="none"/>
              </w:rPr>
              <w:t>应综合</w:t>
            </w:r>
            <w:r>
              <w:rPr>
                <w:rFonts w:hint="eastAsia" w:ascii="宋体" w:hAnsi="宋体" w:eastAsia="宋体" w:cs="宋体"/>
                <w:color w:val="auto"/>
                <w:sz w:val="21"/>
                <w:szCs w:val="21"/>
                <w:highlight w:val="none"/>
                <w:lang w:val="en-US" w:eastAsia="zh-CN"/>
              </w:rPr>
              <w:t>考虑</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highlight w:val="none"/>
              </w:rPr>
              <w:t>由中标人在领取中标通知书时以现金或转账方式向采购代理机构缴纳。</w:t>
            </w:r>
          </w:p>
        </w:tc>
      </w:tr>
      <w:tr w14:paraId="3450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1" w:hRule="atLeast"/>
          <w:jc w:val="center"/>
        </w:trPr>
        <w:tc>
          <w:tcPr>
            <w:tcW w:w="974" w:type="dxa"/>
            <w:noWrap w:val="0"/>
            <w:vAlign w:val="center"/>
          </w:tcPr>
          <w:p w14:paraId="4F558912">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38</w:t>
            </w:r>
          </w:p>
        </w:tc>
        <w:tc>
          <w:tcPr>
            <w:tcW w:w="2361" w:type="dxa"/>
            <w:noWrap w:val="0"/>
            <w:vAlign w:val="center"/>
          </w:tcPr>
          <w:p w14:paraId="7D216033">
            <w:pPr>
              <w:wordWrap/>
              <w:topLinePunct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投标限价</w:t>
            </w:r>
          </w:p>
        </w:tc>
        <w:tc>
          <w:tcPr>
            <w:tcW w:w="6204" w:type="dxa"/>
            <w:noWrap w:val="0"/>
            <w:vAlign w:val="center"/>
          </w:tcPr>
          <w:p w14:paraId="7217E756">
            <w:pPr>
              <w:numPr>
                <w:ilvl w:val="0"/>
                <w:numId w:val="1"/>
              </w:numPr>
              <w:wordWrap/>
              <w:topLinePunct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本项目设置最高投标限价，最高投标限价为</w:t>
            </w:r>
            <w:r>
              <w:rPr>
                <w:rFonts w:hint="eastAsia" w:ascii="宋体" w:hAnsi="宋体" w:eastAsia="宋体" w:cs="宋体"/>
                <w:b/>
                <w:bCs/>
                <w:color w:val="auto"/>
                <w:sz w:val="21"/>
                <w:szCs w:val="21"/>
                <w:highlight w:val="none"/>
                <w:lang w:val="en-US" w:eastAsia="zh-CN"/>
              </w:rPr>
              <w:t>390000.00</w:t>
            </w:r>
            <w:r>
              <w:rPr>
                <w:rFonts w:hint="eastAsia" w:ascii="宋体" w:hAnsi="宋体" w:eastAsia="宋体" w:cs="宋体"/>
                <w:b/>
                <w:bCs/>
                <w:color w:val="auto"/>
                <w:sz w:val="21"/>
                <w:szCs w:val="21"/>
                <w:highlight w:val="none"/>
              </w:rPr>
              <w:t>元</w:t>
            </w:r>
            <w:r>
              <w:rPr>
                <w:rFonts w:hint="eastAsia" w:ascii="宋体" w:hAnsi="宋体" w:eastAsia="宋体" w:cs="宋体"/>
                <w:b/>
                <w:color w:val="auto"/>
                <w:sz w:val="21"/>
                <w:szCs w:val="21"/>
                <w:highlight w:val="none"/>
              </w:rPr>
              <w:t>。</w:t>
            </w:r>
            <w:r>
              <w:rPr>
                <w:rFonts w:hint="eastAsia" w:ascii="宋体" w:hAnsi="宋体" w:eastAsia="宋体" w:cs="宋体"/>
                <w:b/>
                <w:color w:val="auto"/>
                <w:sz w:val="21"/>
                <w:szCs w:val="21"/>
                <w:highlight w:val="none"/>
                <w:lang w:val="en-US" w:eastAsia="zh-CN"/>
              </w:rPr>
              <w:t>磋商</w:t>
            </w:r>
            <w:r>
              <w:rPr>
                <w:rFonts w:hint="eastAsia" w:ascii="宋体" w:hAnsi="宋体" w:eastAsia="宋体" w:cs="宋体"/>
                <w:b/>
                <w:color w:val="auto"/>
                <w:sz w:val="21"/>
                <w:szCs w:val="21"/>
                <w:highlight w:val="none"/>
              </w:rPr>
              <w:t>报价不得超过其最高投标限价。否则其投标将被否决。</w:t>
            </w:r>
          </w:p>
          <w:p w14:paraId="1CDB1795">
            <w:pPr>
              <w:wordWrap/>
              <w:topLinePunct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.成交单位与采购人签订合同后，将合同副本原件报采购代理机构备案 。</w:t>
            </w:r>
          </w:p>
        </w:tc>
      </w:tr>
      <w:tr w14:paraId="4BE9B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974" w:type="dxa"/>
            <w:noWrap w:val="0"/>
            <w:vAlign w:val="center"/>
          </w:tcPr>
          <w:p w14:paraId="5AD02581">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39</w:t>
            </w:r>
          </w:p>
        </w:tc>
        <w:tc>
          <w:tcPr>
            <w:tcW w:w="2361" w:type="dxa"/>
            <w:noWrap w:val="0"/>
            <w:vAlign w:val="center"/>
          </w:tcPr>
          <w:p w14:paraId="131486BA">
            <w:pPr>
              <w:wordWrap/>
              <w:topLinePunct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付款方式</w:t>
            </w:r>
          </w:p>
        </w:tc>
        <w:tc>
          <w:tcPr>
            <w:tcW w:w="6204" w:type="dxa"/>
            <w:noWrap w:val="0"/>
            <w:vAlign w:val="center"/>
          </w:tcPr>
          <w:p w14:paraId="07BB7E12">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按月支付，乙方开具票据支付上月服务费。</w:t>
            </w:r>
          </w:p>
        </w:tc>
      </w:tr>
      <w:tr w14:paraId="57833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jc w:val="center"/>
        </w:trPr>
        <w:tc>
          <w:tcPr>
            <w:tcW w:w="974" w:type="dxa"/>
            <w:noWrap w:val="0"/>
            <w:vAlign w:val="center"/>
          </w:tcPr>
          <w:p w14:paraId="0DE28236">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40</w:t>
            </w:r>
          </w:p>
        </w:tc>
        <w:tc>
          <w:tcPr>
            <w:tcW w:w="2361" w:type="dxa"/>
            <w:noWrap w:val="0"/>
            <w:vAlign w:val="center"/>
          </w:tcPr>
          <w:p w14:paraId="79C8EB81">
            <w:pPr>
              <w:wordWrap/>
              <w:topLinePunct w:val="0"/>
              <w:spacing w:line="36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4"/>
                <w:highlight w:val="none"/>
                <w:lang w:eastAsia="en-US"/>
              </w:rPr>
              <w:t>采购标的所属行业</w:t>
            </w:r>
          </w:p>
        </w:tc>
        <w:tc>
          <w:tcPr>
            <w:tcW w:w="6204" w:type="dxa"/>
            <w:noWrap w:val="0"/>
            <w:vAlign w:val="center"/>
          </w:tcPr>
          <w:p w14:paraId="7A45D792">
            <w:pPr>
              <w:widowControl/>
              <w:kinsoku w:val="0"/>
              <w:autoSpaceDE w:val="0"/>
              <w:autoSpaceDN w:val="0"/>
              <w:adjustRightInd w:val="0"/>
              <w:snapToGrid w:val="0"/>
              <w:spacing w:line="240" w:lineRule="auto"/>
              <w:jc w:val="both"/>
              <w:textAlignment w:val="baseline"/>
              <w:outlineLvl w:val="9"/>
              <w:rPr>
                <w:rFonts w:hint="eastAsia" w:ascii="宋体" w:hAnsi="宋体" w:eastAsia="宋体" w:cs="宋体"/>
                <w:snapToGrid w:val="0"/>
                <w:color w:val="auto"/>
                <w:kern w:val="0"/>
                <w:sz w:val="24"/>
                <w:highlight w:val="none"/>
                <w:lang w:eastAsia="en-US"/>
              </w:rPr>
            </w:pPr>
            <w:r>
              <w:rPr>
                <w:rFonts w:hint="eastAsia" w:ascii="宋体" w:hAnsi="宋体" w:eastAsia="宋体" w:cs="宋体"/>
                <w:b/>
                <w:bCs/>
                <w:snapToGrid w:val="0"/>
                <w:color w:val="auto"/>
                <w:kern w:val="0"/>
                <w:sz w:val="24"/>
                <w:highlight w:val="none"/>
                <w:lang w:eastAsia="en-US"/>
              </w:rPr>
              <w:t>采购标的所属行业：</w:t>
            </w:r>
            <w:r>
              <w:rPr>
                <w:rFonts w:hint="eastAsia" w:ascii="宋体" w:hAnsi="宋体" w:eastAsia="宋体" w:cs="宋体"/>
                <w:b/>
                <w:bCs/>
                <w:snapToGrid w:val="0"/>
                <w:color w:val="auto"/>
                <w:kern w:val="0"/>
                <w:sz w:val="24"/>
                <w:highlight w:val="none"/>
                <w:lang w:val="en-US" w:eastAsia="zh-CN"/>
              </w:rPr>
              <w:t>其他为列明行业</w:t>
            </w:r>
            <w:r>
              <w:rPr>
                <w:rFonts w:hint="eastAsia" w:ascii="宋体" w:hAnsi="宋体" w:eastAsia="宋体" w:cs="宋体"/>
                <w:b/>
                <w:bCs/>
                <w:snapToGrid w:val="0"/>
                <w:color w:val="auto"/>
                <w:kern w:val="0"/>
                <w:sz w:val="24"/>
                <w:highlight w:val="none"/>
                <w:lang w:eastAsia="en-US"/>
              </w:rPr>
              <w:t>。</w:t>
            </w:r>
          </w:p>
          <w:p w14:paraId="38972FE2">
            <w:pPr>
              <w:widowControl/>
              <w:kinsoku w:val="0"/>
              <w:autoSpaceDE w:val="0"/>
              <w:autoSpaceDN w:val="0"/>
              <w:adjustRightInd w:val="0"/>
              <w:snapToGrid w:val="0"/>
              <w:spacing w:line="240" w:lineRule="auto"/>
              <w:jc w:val="both"/>
              <w:textAlignment w:val="baseline"/>
              <w:outlineLvl w:val="9"/>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eastAsia="en-US"/>
              </w:rPr>
              <w:t>划定标准为：中小微企业划分按照《国家统计局关于印发&lt;统计上大中小微型企业划分办法（2017）&gt;的通知》国统字【2017】213号文件及《工业和信息化部、国家统计局、国家发展和改革委员会、财政部关于印发&lt;中小企业划型标准规定&gt;（工信部联企业〔2011〕300号）规定的划分标准为依据。</w:t>
            </w:r>
          </w:p>
          <w:p w14:paraId="0ADE04C4">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snapToGrid w:val="0"/>
                <w:color w:val="auto"/>
                <w:kern w:val="0"/>
                <w:sz w:val="24"/>
                <w:highlight w:val="none"/>
                <w:lang w:eastAsia="en-US"/>
              </w:rPr>
              <w:t>（见附件）</w:t>
            </w:r>
          </w:p>
        </w:tc>
      </w:tr>
      <w:tr w14:paraId="4E93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974" w:type="dxa"/>
            <w:noWrap w:val="0"/>
            <w:vAlign w:val="center"/>
          </w:tcPr>
          <w:p w14:paraId="747602F9">
            <w:pPr>
              <w:wordWrap/>
              <w:topLinePunct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41</w:t>
            </w:r>
          </w:p>
        </w:tc>
        <w:tc>
          <w:tcPr>
            <w:tcW w:w="2361" w:type="dxa"/>
            <w:noWrap w:val="0"/>
            <w:vAlign w:val="center"/>
          </w:tcPr>
          <w:p w14:paraId="347EAC6D">
            <w:pPr>
              <w:wordWrap/>
              <w:topLinePunct w:val="0"/>
              <w:spacing w:line="360" w:lineRule="auto"/>
              <w:jc w:val="center"/>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eastAsia="en-US"/>
              </w:rPr>
              <w:t>维护企业在政府采购活动中的知情权</w:t>
            </w:r>
          </w:p>
        </w:tc>
        <w:tc>
          <w:tcPr>
            <w:tcW w:w="6204" w:type="dxa"/>
            <w:noWrap w:val="0"/>
            <w:vAlign w:val="center"/>
          </w:tcPr>
          <w:p w14:paraId="3BCD9468">
            <w:pPr>
              <w:wordWrap/>
              <w:topLinePunct w:val="0"/>
              <w:spacing w:line="360" w:lineRule="auto"/>
              <w:rPr>
                <w:rFonts w:hint="eastAsia" w:ascii="宋体" w:hAnsi="宋体" w:eastAsia="宋体" w:cs="宋体"/>
                <w:snapToGrid w:val="0"/>
                <w:color w:val="auto"/>
                <w:kern w:val="0"/>
                <w:sz w:val="24"/>
                <w:highlight w:val="none"/>
                <w:lang w:eastAsia="en-US"/>
              </w:rPr>
            </w:pPr>
            <w:r>
              <w:rPr>
                <w:rFonts w:hint="eastAsia" w:ascii="宋体" w:hAnsi="宋体" w:eastAsia="宋体" w:cs="宋体"/>
                <w:snapToGrid w:val="0"/>
                <w:color w:val="auto"/>
                <w:kern w:val="0"/>
                <w:sz w:val="24"/>
                <w:highlight w:val="none"/>
                <w:lang w:eastAsia="en-US"/>
              </w:rPr>
              <w:t>采用公开招标采购方式的政府采购项目，在公告中标结果的同时，对未通过资格审查的投标人，采购人或者采购代理机构应告知其未通过的原因；采用综合评分法评审的，还应当告知未中标人本人的评审得分与排序。采用竞争性谈判、竞争性磋商、询价、单一来源采购方式的政府采购项目，对供应商未实质性响应的文件按无效响应处理的，采购人或者采购代理机构应当告知供应商原因。</w:t>
            </w:r>
          </w:p>
        </w:tc>
      </w:tr>
      <w:tr w14:paraId="3042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9" w:hRule="atLeast"/>
          <w:jc w:val="center"/>
        </w:trPr>
        <w:tc>
          <w:tcPr>
            <w:tcW w:w="9539" w:type="dxa"/>
            <w:gridSpan w:val="3"/>
            <w:noWrap w:val="0"/>
            <w:vAlign w:val="center"/>
          </w:tcPr>
          <w:p w14:paraId="1C9BF65E">
            <w:pPr>
              <w:snapToGrid w:val="0"/>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全流程电子化交易注意事项</w:t>
            </w:r>
          </w:p>
          <w:p w14:paraId="715F4AF6">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子化交易项目投标文件是投标人、供应商（以下简称“投标人”）通过中心投标文件制作系统制作，并经过签章和加密后生成的电子版投标文件。（电子化投标文件具体制作教材请投标人通过CA证书登录公共资源电子化交易系统在右上角“组件下载”中查看）制作电子化投标文件，需仔细阅读以下条款。</w:t>
            </w:r>
          </w:p>
          <w:p w14:paraId="6DFBA7A8">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一、电子化投标</w:t>
            </w:r>
          </w:p>
          <w:p w14:paraId="6120010F">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（一）网上投标保证金的缴纳</w:t>
            </w:r>
          </w:p>
          <w:p w14:paraId="13AA3B03">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1、递交形式: 投标人的投标保证金必须通过投标人基本账户以转账或电汇的形式缴纳（账户必须是已加入平顶山市公共资源交易投标人或供应商诚信库中的账户）。</w:t>
            </w:r>
          </w:p>
          <w:p w14:paraId="2EB47921">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投标人缴纳投标保证金后，应在规定的缴纳截止时间前通过平顶山市公共资源电子化交易系统将保证金成功绑定至所投标项目和标段。保证金绑定操作手册，请登录平顶山市公共资源交易中心网站在办事指南中网上投标栏目查看。</w:t>
            </w:r>
          </w:p>
          <w:p w14:paraId="12B9B4AB">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3、投标人在成功绑定后，可以将系统生成的回执单图片制作在投标文件中，作为缴纳保证金的依据。</w:t>
            </w:r>
          </w:p>
          <w:p w14:paraId="2B693263">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4、投标人应仔细阅读操作手册并充分考虑异地跨行转账到账时间等因素，因投标人操作不当或银行到账时间等问题造成保证金无法正常绑定影响投标的，由投标人自行承担后果。</w:t>
            </w:r>
          </w:p>
          <w:p w14:paraId="146C6C41">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5、未中标投标人的投标保证金在项目结束后，由中介服务机构向中心项目负责人提出退款申请，项目负责人同意并经财务部门核对后，通过中心交易平台退还给投标人。</w:t>
            </w:r>
          </w:p>
          <w:p w14:paraId="2F8E9706">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（二）电子化投标文件的签章</w:t>
            </w:r>
          </w:p>
          <w:p w14:paraId="4FF0735F">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1、投标人在生成电子化投标文件后，应对电子化投标文件进行签章，未进行签章的视为无效投标。</w:t>
            </w:r>
          </w:p>
          <w:p w14:paraId="79547109">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招标文件中要求法定代表人或授权委托人签字或盖章的，投标人在进行电子化投标文件签章时，以签盖法定代表人签章为准。电子化投标文件具体制作教材请投标人通过CA证书登录平顶山市公共资源电子化交易系统在右上角“组件下载”中查看。</w:t>
            </w:r>
          </w:p>
          <w:p w14:paraId="3C2235C4">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（三）电子化投标文件的格式及上传投标；</w:t>
            </w:r>
          </w:p>
          <w:p w14:paraId="7C93D231">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1、投标人所上传的电子化投标文件，应是通过中心投标文件制作系统制作的，经过签章和加密后生成的电子版投标文件。生成的电子版投标文件包含用于投标文件上传的主文件（项目文件格式为：xxx公司_ 项目名称.file）和用于应急补救的投标文件备份文件（项目文件格式为：xxx公司_ 项目名称.bin），备份文件主要用于电子化开标出现技术问题后的补救，请投标人随身携带。</w:t>
            </w:r>
          </w:p>
          <w:p w14:paraId="46403A63">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注：（1）投标人投报多个标段的，根据标段制作各个标段的投标文件后上传。</w:t>
            </w:r>
          </w:p>
          <w:p w14:paraId="32C103E4">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2、电子化投标文件应在投标截止时间前成功上传至平顶山市公共资源电子化交易系统。至投标截止时间止，仍未上传成功的电子化投标文件将不予接收。</w:t>
            </w:r>
          </w:p>
          <w:p w14:paraId="0265CE11">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如按照电子化投标操作教材制作完成的电子化投标文件无法上传的，投标人应在投标截止时间前尽早的联系中心技术人员，以便有充分的时间进行处理。投标人应充分考虑到处理技术问题和上传数据等工作所需的时间问题，投标文件未在投标截止时间前成功上传的，其投标文件不予接收。</w:t>
            </w:r>
          </w:p>
          <w:p w14:paraId="69F34054">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3、投标人编辑电子投标文件时，根据招标文件要求用法定代表人 CA 密钥和企业CA 密钥进行签章制作；最后一步生成电子投标文件时，只能用本单位的企业 CA 密钥。</w:t>
            </w:r>
          </w:p>
          <w:p w14:paraId="74100DAD">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（四）电子化项目开标、解密、唱标、评标</w:t>
            </w:r>
          </w:p>
          <w:p w14:paraId="2D14BC8A">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1、电子化投标文件采用双重加密方式。开标时，首先由投标人使用CA证书，在规定时间内对其电子化投标文件进行首次解密，投标人解密完成后，再由中介服务机构使用CA证书对投标文件进行再次解密。</w:t>
            </w:r>
          </w:p>
          <w:p w14:paraId="60D23B51">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2、电子化投标文件解密异常的处理</w:t>
            </w:r>
          </w:p>
          <w:p w14:paraId="4D26FE56">
            <w:pPr>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如出现投标人的电子投标文件无法解密的情况，投标人应及时联系中介服务机构说明。投标文件解密异常，按以下步骤进行处理：</w:t>
            </w:r>
          </w:p>
          <w:p w14:paraId="5398267B">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（1）首先由技术人员进行问题排查。</w:t>
            </w:r>
          </w:p>
          <w:p w14:paraId="089E38B6">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（2）经技术人员排查后，是投标人文件自身问题导致投标文件无法解密的，该投标文件将不予接收、解密和唱标，开标会议继续进行。</w:t>
            </w:r>
          </w:p>
          <w:p w14:paraId="2A37B526">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经技术人员排查后，如果是电子化交易系统问题造成投标文件无法解密的，将由技术人员对问题进行处理。如短时间内问题无法解决的，将由中介服务机构向监督部门申请，经监督部门同意后，暂停开标会议，待问题解决后继续开标。</w:t>
            </w:r>
          </w:p>
          <w:p w14:paraId="6FE3C1AD">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3、待所有投标人投标文件解密完成后，由中介服务机构操作，对所有已解密投标文件进行唱标。</w:t>
            </w:r>
          </w:p>
          <w:p w14:paraId="69BB1133">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标时，评标委员会对电子化投标文件有质疑的，将通过电子化交易系统对投标人发起质疑。质疑回复内容确认后，投标人的回复文件必须以经过投标人和其法定代表人签章的PDF格式文件为准，并通过电子化交易系统提交至评标委员会。</w:t>
            </w:r>
          </w:p>
          <w:p w14:paraId="203D5C11">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5、如评标委员会对需要回复的投标人回复内容有异议的，经过几次回复仍不清楚的，需在监督下进行免提电话进行质疑。</w:t>
            </w:r>
          </w:p>
          <w:p w14:paraId="39593A22">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6、评标时如因系统异常、停电、电脑病毒、网络堵塞等原因无法正常进行的，由技术人员排查解决，短时间无法解决的，经监督部门同意后，暂停评标活动，待问题解决后继续评标。</w:t>
            </w:r>
          </w:p>
          <w:p w14:paraId="4D1EF820">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 、澄清与变更</w:t>
            </w:r>
          </w:p>
          <w:p w14:paraId="3BD9EB7B">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因公共资源交易中心平台在开标前具有保密性，投标人在投标文件递交截止时间前须自行查看项目进展、变更通知、澄清及回复，因投标人未及时查看而造成的后果自负。</w:t>
            </w:r>
          </w:p>
          <w:p w14:paraId="53AD3C04">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8、“不见面”开标注意事项</w:t>
            </w:r>
          </w:p>
          <w:p w14:paraId="4F1679F4">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1、招标人和代理机构应当提前做好各项准备工作，准时开标。</w:t>
            </w:r>
          </w:p>
          <w:p w14:paraId="5AE881C4">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开标时，投标人采用网上远程异地解密时，请用CA证书登录平顶山市公共资源交易中心业务系统，进入本项目开标大厅点击解密来完成投标文件的解密工作。每位投标人的解密时间从开标时间起60分钟内完成，超过规定时间解密的投标文件不予接收。</w:t>
            </w:r>
          </w:p>
          <w:p w14:paraId="6D3771F5">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3、如出现投标人的电子投标文件无法解密的情况，投标人应及时联系招标人（代理机构）进行说明。投标文件解密异常，按以下步骤进行处理：</w:t>
            </w:r>
          </w:p>
          <w:p w14:paraId="149C2E5F">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（1）如果是投标文件自身问题导致投标文件无法解密的，该投标文件将不予接收、解密。</w:t>
            </w:r>
          </w:p>
          <w:p w14:paraId="6076358E">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（2）如果是电子化交易系统问题造成投标文件无法解密的，将由技术人员进行排查处理。如短时间内问题无法解决的，将由招标人（代理机构）联系监督部门申请暂停开标，待问题解决后继续开标。</w:t>
            </w:r>
          </w:p>
          <w:p w14:paraId="5BF55675">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4、所有投标文件解密完成后，由招标人（代理机构）操作，对开标结果进行公示。</w:t>
            </w:r>
          </w:p>
          <w:p w14:paraId="00FAEF73">
            <w:pPr>
              <w:snapToGrid w:val="0"/>
              <w:spacing w:line="360" w:lineRule="auto"/>
              <w:ind w:firstLine="210" w:firstLineChars="1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5、投标人应保证在开标期间电话、电脑、网络等能够正常使用，投标人因停电、电脑病毒、网络堵塞等原因，未在规定的解密时间内对投标文件进行解密的，其投标文件不予接收。</w:t>
            </w:r>
          </w:p>
          <w:p w14:paraId="59610CD1">
            <w:pPr>
              <w:wordWrap/>
              <w:topLinePunct w:val="0"/>
              <w:spacing w:line="360" w:lineRule="auto"/>
              <w:rPr>
                <w:rFonts w:hint="eastAsia" w:ascii="宋体" w:hAnsi="宋体" w:eastAsia="宋体" w:cs="宋体"/>
                <w:bCs/>
                <w:color w:val="auto"/>
                <w:sz w:val="21"/>
                <w:szCs w:val="21"/>
                <w:highlight w:val="none"/>
              </w:rPr>
            </w:pPr>
            <w:r>
              <w:rPr>
                <w:rFonts w:hint="eastAsia" w:ascii="宋体" w:hAnsi="宋体" w:eastAsia="宋体" w:cs="宋体"/>
                <w:color w:val="auto"/>
                <w:sz w:val="21"/>
                <w:szCs w:val="21"/>
                <w:highlight w:val="none"/>
              </w:rPr>
              <w:t>6、解密完成后，投标人可登录到交易系统查看自己的投标报价。如对自己的报价内容有异议的，应在报价内容显示后20分钟内联系招标人（代理机构）进行质疑，投标人未在规定时间内提出质疑的，视为认可开标结果显示内容。</w:t>
            </w:r>
          </w:p>
        </w:tc>
      </w:tr>
    </w:tbl>
    <w:p w14:paraId="1CBBD65C">
      <w:pPr>
        <w:pStyle w:val="32"/>
        <w:rPr>
          <w:rFonts w:hint="eastAsia" w:ascii="宋体" w:hAnsi="宋体" w:eastAsia="宋体" w:cs="宋体"/>
          <w:color w:val="auto"/>
          <w:highlight w:val="none"/>
          <w:lang w:eastAsia="zh-CN"/>
        </w:rPr>
      </w:pPr>
      <w:bookmarkStart w:id="29" w:name="_Toc335435260"/>
    </w:p>
    <w:p w14:paraId="34861003">
      <w:pP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008D8D32">
      <w:pPr>
        <w:keepNext w:val="0"/>
        <w:keepLines w:val="0"/>
        <w:pageBreakBefore w:val="0"/>
        <w:widowControl w:val="0"/>
        <w:kinsoku/>
        <w:wordWrap/>
        <w:overflowPunct/>
        <w:topLinePunct w:val="0"/>
        <w:autoSpaceDE/>
        <w:autoSpaceDN/>
        <w:bidi w:val="0"/>
        <w:adjustRightInd/>
        <w:snapToGrid/>
        <w:spacing w:before="156" w:beforeLines="50" w:after="156" w:afterLines="50" w:line="420" w:lineRule="exact"/>
        <w:ind w:left="0" w:leftChars="0" w:right="0" w:rightChars="0" w:firstLine="2650" w:firstLineChars="1100"/>
        <w:jc w:val="both"/>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eastAsia="zh-CN"/>
        </w:rPr>
        <w:t>二．供应商须知</w:t>
      </w:r>
      <w:bookmarkEnd w:id="29"/>
    </w:p>
    <w:p w14:paraId="34591412">
      <w:pPr>
        <w:pStyle w:val="8"/>
        <w:numPr>
          <w:ilvl w:val="0"/>
          <w:numId w:val="2"/>
        </w:numPr>
        <w:tabs>
          <w:tab w:val="left" w:pos="360"/>
        </w:tabs>
        <w:snapToGrid w:val="0"/>
        <w:spacing w:line="360" w:lineRule="auto"/>
        <w:ind w:firstLine="422"/>
        <w:contextualSpacing/>
        <w:jc w:val="both"/>
        <w:outlineLvl w:val="1"/>
        <w:rPr>
          <w:rFonts w:hint="eastAsia" w:ascii="宋体" w:hAnsi="宋体" w:eastAsia="宋体" w:cs="宋体"/>
          <w:b/>
          <w:color w:val="auto"/>
          <w:kern w:val="2"/>
          <w:sz w:val="24"/>
          <w:szCs w:val="24"/>
          <w:highlight w:val="none"/>
        </w:rPr>
      </w:pPr>
      <w:bookmarkStart w:id="30" w:name="_Toc30116"/>
      <w:r>
        <w:rPr>
          <w:rStyle w:val="35"/>
          <w:rFonts w:hint="eastAsia" w:ascii="宋体" w:hAnsi="宋体" w:eastAsia="宋体" w:cs="宋体"/>
          <w:color w:val="auto"/>
          <w:sz w:val="24"/>
          <w:szCs w:val="24"/>
          <w:highlight w:val="none"/>
        </w:rPr>
        <w:t xml:space="preserve"> </w:t>
      </w:r>
      <w:bookmarkStart w:id="31" w:name="_Toc362"/>
      <w:bookmarkStart w:id="32" w:name="_Toc12193"/>
      <w:bookmarkStart w:id="33" w:name="_Toc29623284"/>
      <w:bookmarkStart w:id="34" w:name="_Toc8177"/>
      <w:r>
        <w:rPr>
          <w:rStyle w:val="35"/>
          <w:rFonts w:hint="eastAsia" w:ascii="宋体" w:hAnsi="宋体" w:eastAsia="宋体" w:cs="宋体"/>
          <w:color w:val="auto"/>
          <w:sz w:val="24"/>
          <w:szCs w:val="24"/>
          <w:highlight w:val="none"/>
        </w:rPr>
        <w:t>总则</w:t>
      </w:r>
      <w:bookmarkEnd w:id="31"/>
      <w:bookmarkEnd w:id="32"/>
      <w:bookmarkEnd w:id="33"/>
      <w:bookmarkEnd w:id="34"/>
    </w:p>
    <w:p w14:paraId="4C42EE9E">
      <w:pPr>
        <w:pStyle w:val="4"/>
        <w:numPr>
          <w:ilvl w:val="1"/>
          <w:numId w:val="3"/>
        </w:numPr>
        <w:jc w:val="left"/>
        <w:rPr>
          <w:rFonts w:hint="eastAsia" w:ascii="宋体" w:hAnsi="宋体" w:eastAsia="宋体" w:cs="宋体"/>
          <w:bCs w:val="0"/>
          <w:color w:val="auto"/>
          <w:sz w:val="24"/>
          <w:szCs w:val="24"/>
          <w:highlight w:val="none"/>
        </w:rPr>
      </w:pPr>
      <w:bookmarkStart w:id="35" w:name="_Toc428276569"/>
      <w:bookmarkStart w:id="36" w:name="_Toc454788009"/>
      <w:bookmarkStart w:id="37" w:name="_Toc29623285"/>
      <w:bookmarkStart w:id="38" w:name="_Toc455678100"/>
      <w:bookmarkStart w:id="39" w:name="_Toc22531"/>
      <w:bookmarkStart w:id="40" w:name="_Toc27089"/>
      <w:bookmarkStart w:id="41" w:name="_Toc462934274"/>
      <w:bookmarkStart w:id="42" w:name="_Toc463011253"/>
      <w:bookmarkStart w:id="43" w:name="_Toc27753936"/>
      <w:bookmarkStart w:id="44" w:name="_Toc277149365"/>
      <w:bookmarkStart w:id="45" w:name="_Toc13394"/>
      <w:bookmarkStart w:id="46" w:name="_Toc428351629"/>
      <w:bookmarkStart w:id="47" w:name="_Toc25531"/>
      <w:r>
        <w:rPr>
          <w:rFonts w:hint="eastAsia" w:ascii="宋体" w:hAnsi="宋体" w:eastAsia="宋体" w:cs="宋体"/>
          <w:bCs w:val="0"/>
          <w:color w:val="auto"/>
          <w:sz w:val="24"/>
          <w:szCs w:val="24"/>
          <w:highlight w:val="none"/>
        </w:rPr>
        <w:t>项目概况</w:t>
      </w:r>
      <w:bookmarkEnd w:id="35"/>
      <w:bookmarkEnd w:id="36"/>
      <w:bookmarkEnd w:id="37"/>
      <w:bookmarkEnd w:id="38"/>
      <w:bookmarkEnd w:id="39"/>
      <w:bookmarkEnd w:id="40"/>
      <w:bookmarkEnd w:id="41"/>
      <w:bookmarkEnd w:id="42"/>
      <w:bookmarkEnd w:id="43"/>
      <w:bookmarkEnd w:id="44"/>
      <w:bookmarkEnd w:id="45"/>
      <w:bookmarkEnd w:id="46"/>
      <w:bookmarkEnd w:id="47"/>
    </w:p>
    <w:p w14:paraId="015E0B0E">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根据《中华人民共和国政府采购法》《中华人民共和国政府采购法实施条例》等有关法律、法规和规章的规定，本采购项目已具备竞争性磋商条件，现对本项目进行竞争性磋商。</w:t>
      </w:r>
    </w:p>
    <w:p w14:paraId="7E1722F6">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采购人：供应商须知前附表中所述的，依法进行政府采购的国家机关、事业单位、团体组织。</w:t>
      </w:r>
    </w:p>
    <w:p w14:paraId="3C8662B5">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采购代理机构：受采购人委托组织采购活动，在采购过程中负有相应责任的社会中介组织。</w:t>
      </w:r>
    </w:p>
    <w:p w14:paraId="57D9F92B">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采购方式：见供应商须知前附表。</w:t>
      </w:r>
    </w:p>
    <w:p w14:paraId="65592A78">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项目名称及采购编号：见供应商须知前附表。</w:t>
      </w:r>
    </w:p>
    <w:p w14:paraId="6B9F14C4">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项目地点：见供应商须知前附表。</w:t>
      </w:r>
    </w:p>
    <w:p w14:paraId="1A87B0F9">
      <w:pPr>
        <w:pStyle w:val="4"/>
        <w:numPr>
          <w:ilvl w:val="1"/>
          <w:numId w:val="3"/>
        </w:numPr>
        <w:jc w:val="left"/>
        <w:rPr>
          <w:rFonts w:hint="eastAsia" w:ascii="宋体" w:hAnsi="宋体" w:eastAsia="宋体" w:cs="宋体"/>
          <w:bCs w:val="0"/>
          <w:color w:val="auto"/>
          <w:sz w:val="24"/>
          <w:szCs w:val="24"/>
          <w:highlight w:val="none"/>
        </w:rPr>
      </w:pPr>
      <w:bookmarkStart w:id="48" w:name="_Toc26643"/>
      <w:bookmarkStart w:id="49" w:name="_Toc428351630"/>
      <w:bookmarkStart w:id="50" w:name="_Toc270604577"/>
      <w:bookmarkStart w:id="51" w:name="_Toc428276570"/>
      <w:bookmarkStart w:id="52" w:name="_Toc19738"/>
      <w:bookmarkStart w:id="53" w:name="_Toc455678101"/>
      <w:bookmarkStart w:id="54" w:name="_Toc27753937"/>
      <w:bookmarkStart w:id="55" w:name="_Toc462934275"/>
      <w:bookmarkStart w:id="56" w:name="_Toc277149366"/>
      <w:bookmarkStart w:id="57" w:name="_Toc13259"/>
      <w:bookmarkStart w:id="58" w:name="_Toc454788010"/>
      <w:bookmarkStart w:id="59" w:name="_Toc29176"/>
      <w:bookmarkStart w:id="60" w:name="_Toc270604804"/>
      <w:bookmarkStart w:id="61" w:name="_Toc29623286"/>
      <w:bookmarkStart w:id="62" w:name="_Toc463011254"/>
      <w:bookmarkStart w:id="63" w:name="_Toc269470296"/>
      <w:r>
        <w:rPr>
          <w:rFonts w:hint="eastAsia" w:ascii="宋体" w:hAnsi="宋体" w:eastAsia="宋体" w:cs="宋体"/>
          <w:bCs w:val="0"/>
          <w:color w:val="auto"/>
          <w:sz w:val="24"/>
          <w:szCs w:val="24"/>
          <w:highlight w:val="none"/>
        </w:rPr>
        <w:t>资金来源和落实情况</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2DF93008">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资金来源：见供应商须知前附表。</w:t>
      </w:r>
    </w:p>
    <w:p w14:paraId="69C604EA">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采购预算金额：见供应商须知前附表。</w:t>
      </w:r>
    </w:p>
    <w:p w14:paraId="7C51E0A6">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采购项目性质：见供应商须知前附表。</w:t>
      </w:r>
    </w:p>
    <w:p w14:paraId="4868C88B">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资金落实情况：见供应商须知前附表。</w:t>
      </w:r>
    </w:p>
    <w:p w14:paraId="7561D148">
      <w:pPr>
        <w:pStyle w:val="4"/>
        <w:numPr>
          <w:ilvl w:val="1"/>
          <w:numId w:val="3"/>
        </w:numPr>
        <w:jc w:val="left"/>
        <w:rPr>
          <w:rFonts w:hint="eastAsia" w:ascii="宋体" w:hAnsi="宋体" w:eastAsia="宋体" w:cs="宋体"/>
          <w:bCs w:val="0"/>
          <w:color w:val="auto"/>
          <w:sz w:val="24"/>
          <w:szCs w:val="24"/>
          <w:highlight w:val="none"/>
        </w:rPr>
      </w:pPr>
      <w:bookmarkStart w:id="64" w:name="_Toc20155"/>
      <w:bookmarkStart w:id="65" w:name="_Toc428351631"/>
      <w:bookmarkStart w:id="66" w:name="_Toc455678102"/>
      <w:bookmarkStart w:id="67" w:name="_Toc27753938"/>
      <w:bookmarkStart w:id="68" w:name="_Toc25629"/>
      <w:bookmarkStart w:id="69" w:name="_Toc74"/>
      <w:bookmarkStart w:id="70" w:name="_Toc270604578"/>
      <w:bookmarkStart w:id="71" w:name="_Toc29623287"/>
      <w:bookmarkStart w:id="72" w:name="_Toc454788011"/>
      <w:bookmarkStart w:id="73" w:name="_Toc9637"/>
      <w:bookmarkStart w:id="74" w:name="_Toc462934276"/>
      <w:bookmarkStart w:id="75" w:name="_Toc277149367"/>
      <w:bookmarkStart w:id="76" w:name="_Toc270604805"/>
      <w:bookmarkStart w:id="77" w:name="_Toc428276571"/>
      <w:bookmarkStart w:id="78" w:name="_Toc463011255"/>
      <w:bookmarkStart w:id="79" w:name="_Toc269470297"/>
      <w:r>
        <w:rPr>
          <w:rFonts w:hint="eastAsia" w:ascii="宋体" w:hAnsi="宋体" w:eastAsia="宋体" w:cs="宋体"/>
          <w:bCs w:val="0"/>
          <w:color w:val="auto"/>
          <w:sz w:val="24"/>
          <w:szCs w:val="24"/>
          <w:highlight w:val="none"/>
        </w:rPr>
        <w:t>采购范围、</w:t>
      </w:r>
      <w:r>
        <w:rPr>
          <w:rFonts w:hint="eastAsia" w:ascii="宋体" w:hAnsi="宋体" w:eastAsia="宋体" w:cs="宋体"/>
          <w:color w:val="auto"/>
          <w:sz w:val="24"/>
          <w:szCs w:val="24"/>
          <w:highlight w:val="none"/>
        </w:rPr>
        <w:t>服务期限、服务地点</w:t>
      </w:r>
      <w:r>
        <w:rPr>
          <w:rFonts w:hint="eastAsia" w:ascii="宋体" w:hAnsi="宋体" w:eastAsia="宋体" w:cs="宋体"/>
          <w:bCs w:val="0"/>
          <w:color w:val="auto"/>
          <w:sz w:val="24"/>
          <w:szCs w:val="24"/>
          <w:highlight w:val="none"/>
        </w:rPr>
        <w:t>和</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Pr>
          <w:rFonts w:hint="eastAsia" w:ascii="宋体" w:hAnsi="宋体" w:eastAsia="宋体" w:cs="宋体"/>
          <w:color w:val="auto"/>
          <w:sz w:val="24"/>
          <w:szCs w:val="24"/>
          <w:highlight w:val="none"/>
        </w:rPr>
        <w:t>质量要求</w:t>
      </w:r>
    </w:p>
    <w:p w14:paraId="7A4A6DD8">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采购范围：见供应商须知前附表。</w:t>
      </w:r>
    </w:p>
    <w:p w14:paraId="7EABBD3A">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服务期限：见供应商须知前附表。</w:t>
      </w:r>
    </w:p>
    <w:p w14:paraId="3E88F494">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服务地点：见供应商须知前附表。</w:t>
      </w:r>
    </w:p>
    <w:p w14:paraId="302D89ED">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服务标准</w:t>
      </w:r>
      <w:r>
        <w:rPr>
          <w:rFonts w:hint="eastAsia" w:ascii="宋体" w:hAnsi="宋体" w:eastAsia="宋体" w:cs="宋体"/>
          <w:color w:val="auto"/>
          <w:sz w:val="24"/>
          <w:szCs w:val="24"/>
          <w:highlight w:val="none"/>
        </w:rPr>
        <w:t>：见供应商须知前附表。</w:t>
      </w:r>
    </w:p>
    <w:p w14:paraId="410767C1">
      <w:pPr>
        <w:pStyle w:val="4"/>
        <w:numPr>
          <w:ilvl w:val="1"/>
          <w:numId w:val="3"/>
        </w:numPr>
        <w:jc w:val="left"/>
        <w:rPr>
          <w:rFonts w:hint="eastAsia" w:ascii="宋体" w:hAnsi="宋体" w:eastAsia="宋体" w:cs="宋体"/>
          <w:bCs w:val="0"/>
          <w:color w:val="auto"/>
          <w:sz w:val="24"/>
          <w:szCs w:val="24"/>
          <w:highlight w:val="none"/>
        </w:rPr>
      </w:pPr>
      <w:bookmarkStart w:id="80" w:name="_Toc270604579"/>
      <w:bookmarkStart w:id="81" w:name="_Toc29623288"/>
      <w:bookmarkStart w:id="82" w:name="_Toc428351632"/>
      <w:bookmarkStart w:id="83" w:name="_Toc463011256"/>
      <w:bookmarkStart w:id="84" w:name="_Toc428276572"/>
      <w:bookmarkStart w:id="85" w:name="_Toc270604806"/>
      <w:bookmarkStart w:id="86" w:name="_Toc27753939"/>
      <w:bookmarkStart w:id="87" w:name="_Toc16958"/>
      <w:bookmarkStart w:id="88" w:name="_Toc269470298"/>
      <w:bookmarkStart w:id="89" w:name="_Toc11519"/>
      <w:bookmarkStart w:id="90" w:name="_Toc6648"/>
      <w:bookmarkStart w:id="91" w:name="_Toc7938"/>
      <w:bookmarkStart w:id="92" w:name="_Toc277149368"/>
      <w:bookmarkStart w:id="93" w:name="_Toc462934277"/>
      <w:bookmarkStart w:id="94" w:name="_Toc455678103"/>
      <w:bookmarkStart w:id="95" w:name="_Toc454788012"/>
      <w:r>
        <w:rPr>
          <w:rFonts w:hint="eastAsia" w:ascii="宋体" w:hAnsi="宋体" w:eastAsia="宋体" w:cs="宋体"/>
          <w:bCs w:val="0"/>
          <w:color w:val="auto"/>
          <w:sz w:val="24"/>
          <w:szCs w:val="24"/>
          <w:highlight w:val="none"/>
        </w:rPr>
        <w:t>供应商资格要求</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14:paraId="57F4A781">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供应商应具备的资格条件</w:t>
      </w:r>
    </w:p>
    <w:p w14:paraId="60D13B19">
      <w:pPr>
        <w:wordWrap/>
        <w:topLinePunct w:val="0"/>
        <w:autoSpaceDE w:val="0"/>
        <w:autoSpaceDN w:val="0"/>
        <w:adjustRightInd w:val="0"/>
        <w:spacing w:line="360" w:lineRule="auto"/>
        <w:ind w:left="420" w:right="4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见供应商须知前附表“供应商资格要求”。</w:t>
      </w:r>
    </w:p>
    <w:p w14:paraId="0F1E7F8B">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供应商须知前附表规定接受联合体参与竞争性磋商的，联合体除应符合本章第1.4.1项和供应商须知前附表的要求外，还应遵守以下规定：</w:t>
      </w:r>
    </w:p>
    <w:p w14:paraId="2945CA0B">
      <w:pPr>
        <w:numPr>
          <w:ilvl w:val="0"/>
          <w:numId w:val="4"/>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联合体各方均应符合《中华人民共和国政府采购法》第二十二条规定的条件。</w:t>
      </w:r>
    </w:p>
    <w:p w14:paraId="7175D3A5">
      <w:pPr>
        <w:numPr>
          <w:ilvl w:val="0"/>
          <w:numId w:val="4"/>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采购人根据采购项目对供应商的特殊要求，联合体中至少应当有一方符合相关规定。</w:t>
      </w:r>
    </w:p>
    <w:p w14:paraId="75586214">
      <w:pPr>
        <w:numPr>
          <w:ilvl w:val="0"/>
          <w:numId w:val="4"/>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联合体各方应签订联合体协议书，明确约定联合体各方承担的工作和相应的责任，并将联合体协议书作为响应文件的一部分内容提交。</w:t>
      </w:r>
    </w:p>
    <w:p w14:paraId="0AB0F6A5">
      <w:pPr>
        <w:numPr>
          <w:ilvl w:val="0"/>
          <w:numId w:val="4"/>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大中型企业、其他自然人、法人或者非法人组织与小型、微型企业组成联合体共同参加竞争性磋商的，联合体协议书中应明确小型、微型企业在联合体磋商中所占合同总金额的比例。</w:t>
      </w:r>
    </w:p>
    <w:p w14:paraId="109AAA36">
      <w:pPr>
        <w:numPr>
          <w:ilvl w:val="0"/>
          <w:numId w:val="4"/>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联合体中有同类资质的供应商按照联合体分工承担相同工作的，按照较低的资质等级确定联合体的资质等级。</w:t>
      </w:r>
    </w:p>
    <w:p w14:paraId="54C999A6">
      <w:pPr>
        <w:numPr>
          <w:ilvl w:val="0"/>
          <w:numId w:val="4"/>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 以联合体形式参加政府采购活动的，联合体各方不得再单独参加或者与其他供应商另外组成联合体参加本项目磋商，否则相关投标将被认定为无效。</w:t>
      </w:r>
    </w:p>
    <w:p w14:paraId="6A598F14">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供应商不得存在下列情形之一：</w:t>
      </w:r>
    </w:p>
    <w:p w14:paraId="127EA5C7">
      <w:pPr>
        <w:numPr>
          <w:ilvl w:val="0"/>
          <w:numId w:val="5"/>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与采购人存在利害关系且可能影响磋商公正性；</w:t>
      </w:r>
    </w:p>
    <w:p w14:paraId="5F25A01F">
      <w:pPr>
        <w:numPr>
          <w:ilvl w:val="0"/>
          <w:numId w:val="5"/>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与本磋商项目的其他供应商为同一个单位负责人；</w:t>
      </w:r>
    </w:p>
    <w:p w14:paraId="046AE2F2">
      <w:pPr>
        <w:numPr>
          <w:ilvl w:val="0"/>
          <w:numId w:val="5"/>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与本磋商项目的其他供应商存在控股、管理关系；</w:t>
      </w:r>
    </w:p>
    <w:p w14:paraId="72454955">
      <w:pPr>
        <w:numPr>
          <w:ilvl w:val="0"/>
          <w:numId w:val="5"/>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为本磋商项目提供过整体设计、规范编制或者项目管理、监理、检测等服务；</w:t>
      </w:r>
    </w:p>
    <w:p w14:paraId="33DE9AA7">
      <w:pPr>
        <w:numPr>
          <w:ilvl w:val="0"/>
          <w:numId w:val="5"/>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为本磋商项目的采购代理机构；</w:t>
      </w:r>
    </w:p>
    <w:p w14:paraId="44286DD3">
      <w:pPr>
        <w:numPr>
          <w:ilvl w:val="0"/>
          <w:numId w:val="5"/>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供应商以他人名义投标、串通投标、以行贿手段牟取中标，或在投标中弄虚作假的；</w:t>
      </w:r>
    </w:p>
    <w:p w14:paraId="06927198">
      <w:pPr>
        <w:numPr>
          <w:ilvl w:val="0"/>
          <w:numId w:val="5"/>
        </w:numPr>
        <w:wordWrap/>
        <w:topLinePunct w:val="0"/>
        <w:autoSpaceDE w:val="0"/>
        <w:autoSpaceDN w:val="0"/>
        <w:adjustRightInd w:val="0"/>
        <w:spacing w:line="360" w:lineRule="auto"/>
        <w:ind w:left="0" w:right="4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法律法规规定的其他情形。</w:t>
      </w:r>
    </w:p>
    <w:p w14:paraId="1010443B">
      <w:pPr>
        <w:pStyle w:val="4"/>
        <w:numPr>
          <w:ilvl w:val="1"/>
          <w:numId w:val="3"/>
        </w:numPr>
        <w:jc w:val="left"/>
        <w:rPr>
          <w:rFonts w:hint="eastAsia" w:ascii="宋体" w:hAnsi="宋体" w:eastAsia="宋体" w:cs="宋体"/>
          <w:bCs w:val="0"/>
          <w:color w:val="auto"/>
          <w:sz w:val="24"/>
          <w:szCs w:val="24"/>
          <w:highlight w:val="none"/>
        </w:rPr>
      </w:pPr>
      <w:bookmarkStart w:id="96" w:name="_Toc463011257"/>
      <w:bookmarkStart w:id="97" w:name="_Toc1590"/>
      <w:bookmarkStart w:id="98" w:name="_Toc19948"/>
      <w:bookmarkStart w:id="99" w:name="_Toc28593"/>
      <w:bookmarkStart w:id="100" w:name="_Toc428351633"/>
      <w:bookmarkStart w:id="101" w:name="_Toc27753940"/>
      <w:bookmarkStart w:id="102" w:name="_Toc462934278"/>
      <w:bookmarkStart w:id="103" w:name="_Toc428276573"/>
      <w:bookmarkStart w:id="104" w:name="_Toc270604807"/>
      <w:bookmarkStart w:id="105" w:name="_Toc455678104"/>
      <w:bookmarkStart w:id="106" w:name="_Toc269470299"/>
      <w:bookmarkStart w:id="107" w:name="_Toc14128"/>
      <w:bookmarkStart w:id="108" w:name="_Toc454788013"/>
      <w:bookmarkStart w:id="109" w:name="_Toc29623289"/>
      <w:bookmarkStart w:id="110" w:name="_Toc277149369"/>
      <w:bookmarkStart w:id="111" w:name="_Toc270604580"/>
      <w:r>
        <w:rPr>
          <w:rFonts w:hint="eastAsia" w:ascii="宋体" w:hAnsi="宋体" w:eastAsia="宋体" w:cs="宋体"/>
          <w:bCs w:val="0"/>
          <w:color w:val="auto"/>
          <w:sz w:val="24"/>
          <w:szCs w:val="24"/>
          <w:highlight w:val="none"/>
        </w:rPr>
        <w:t>费用承担</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3C01623E">
      <w:pPr>
        <w:wordWrap/>
        <w:topLinePunct w:val="0"/>
        <w:spacing w:line="360" w:lineRule="auto"/>
        <w:ind w:left="420" w:leftChars="200"/>
        <w:rPr>
          <w:rFonts w:hint="eastAsia" w:ascii="宋体" w:hAnsi="宋体" w:eastAsia="宋体" w:cs="宋体"/>
          <w:color w:val="auto"/>
          <w:sz w:val="24"/>
          <w:szCs w:val="24"/>
          <w:highlight w:val="none"/>
        </w:rPr>
      </w:pPr>
      <w:bookmarkStart w:id="112" w:name="_Toc428276574"/>
      <w:bookmarkStart w:id="113" w:name="_Toc7854"/>
      <w:bookmarkStart w:id="114" w:name="_Toc454788014"/>
      <w:bookmarkStart w:id="115" w:name="_Toc269470300"/>
      <w:bookmarkStart w:id="116" w:name="_Toc455678105"/>
      <w:bookmarkStart w:id="117" w:name="_Toc270604808"/>
      <w:bookmarkStart w:id="118" w:name="_Toc463011258"/>
      <w:bookmarkStart w:id="119" w:name="_Toc277149370"/>
      <w:bookmarkStart w:id="120" w:name="_Toc428351634"/>
      <w:bookmarkStart w:id="121" w:name="_Toc270604581"/>
      <w:bookmarkStart w:id="122" w:name="_Toc29742"/>
      <w:bookmarkStart w:id="123" w:name="_Toc462934279"/>
      <w:r>
        <w:rPr>
          <w:rFonts w:hint="eastAsia" w:ascii="宋体" w:hAnsi="宋体" w:eastAsia="宋体" w:cs="宋体"/>
          <w:color w:val="auto"/>
          <w:sz w:val="24"/>
          <w:szCs w:val="24"/>
          <w:highlight w:val="none"/>
        </w:rPr>
        <w:t>供应商准备和参加竞争性磋商活动发生的费用自理。</w:t>
      </w:r>
    </w:p>
    <w:p w14:paraId="25E34CDC">
      <w:pPr>
        <w:pStyle w:val="4"/>
        <w:numPr>
          <w:ilvl w:val="1"/>
          <w:numId w:val="3"/>
        </w:numPr>
        <w:jc w:val="left"/>
        <w:rPr>
          <w:rFonts w:hint="eastAsia" w:ascii="宋体" w:hAnsi="宋体" w:eastAsia="宋体" w:cs="宋体"/>
          <w:bCs w:val="0"/>
          <w:color w:val="auto"/>
          <w:sz w:val="24"/>
          <w:szCs w:val="24"/>
          <w:highlight w:val="none"/>
        </w:rPr>
      </w:pPr>
      <w:bookmarkStart w:id="124" w:name="_Toc32336"/>
      <w:bookmarkStart w:id="125" w:name="_Toc27753941"/>
      <w:bookmarkStart w:id="126" w:name="_Toc29623290"/>
      <w:bookmarkStart w:id="127" w:name="_Toc23073"/>
      <w:r>
        <w:rPr>
          <w:rFonts w:hint="eastAsia" w:ascii="宋体" w:hAnsi="宋体" w:eastAsia="宋体" w:cs="宋体"/>
          <w:bCs w:val="0"/>
          <w:color w:val="auto"/>
          <w:sz w:val="24"/>
          <w:szCs w:val="24"/>
          <w:highlight w:val="none"/>
        </w:rPr>
        <w:t>保密</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609624D3">
      <w:pPr>
        <w:wordWrap/>
        <w:topLinePunct w:val="0"/>
        <w:spacing w:line="360" w:lineRule="auto"/>
        <w:ind w:firstLine="480" w:firstLineChars="200"/>
        <w:rPr>
          <w:rFonts w:hint="eastAsia" w:ascii="宋体" w:hAnsi="宋体" w:eastAsia="宋体" w:cs="宋体"/>
          <w:color w:val="auto"/>
          <w:sz w:val="24"/>
          <w:szCs w:val="24"/>
          <w:highlight w:val="none"/>
        </w:rPr>
      </w:pPr>
      <w:bookmarkStart w:id="128" w:name="_Toc463011259"/>
      <w:bookmarkStart w:id="129" w:name="_Toc277149371"/>
      <w:bookmarkStart w:id="130" w:name="_Toc7606"/>
      <w:bookmarkStart w:id="131" w:name="_Toc19438"/>
      <w:bookmarkStart w:id="132" w:name="_Toc270604582"/>
      <w:bookmarkStart w:id="133" w:name="_Toc462934280"/>
      <w:bookmarkStart w:id="134" w:name="_Toc428351635"/>
      <w:bookmarkStart w:id="135" w:name="_Toc428276575"/>
      <w:bookmarkStart w:id="136" w:name="_Toc454788015"/>
      <w:bookmarkStart w:id="137" w:name="_Toc269470301"/>
      <w:bookmarkStart w:id="138" w:name="_Toc455678106"/>
      <w:bookmarkStart w:id="139" w:name="_Toc270604809"/>
      <w:r>
        <w:rPr>
          <w:rFonts w:hint="eastAsia" w:ascii="宋体" w:hAnsi="宋体" w:eastAsia="宋体" w:cs="宋体"/>
          <w:color w:val="auto"/>
          <w:sz w:val="24"/>
          <w:szCs w:val="24"/>
          <w:highlight w:val="none"/>
        </w:rPr>
        <w:t>参与竞争性磋商活动的各方应对竞争性磋商文件和响应文件中的商业和技术等秘密保密，否则应承担相应的法律责任。</w:t>
      </w:r>
    </w:p>
    <w:p w14:paraId="52B5C611">
      <w:pPr>
        <w:pStyle w:val="4"/>
        <w:numPr>
          <w:ilvl w:val="1"/>
          <w:numId w:val="3"/>
        </w:numPr>
        <w:jc w:val="left"/>
        <w:rPr>
          <w:rFonts w:hint="eastAsia" w:ascii="宋体" w:hAnsi="宋体" w:eastAsia="宋体" w:cs="宋体"/>
          <w:bCs w:val="0"/>
          <w:color w:val="auto"/>
          <w:sz w:val="24"/>
          <w:szCs w:val="24"/>
          <w:highlight w:val="none"/>
        </w:rPr>
      </w:pPr>
      <w:bookmarkStart w:id="140" w:name="_Toc25734"/>
      <w:bookmarkStart w:id="141" w:name="_Toc29623291"/>
      <w:bookmarkStart w:id="142" w:name="_Toc27753942"/>
      <w:bookmarkStart w:id="143" w:name="_Toc3641"/>
      <w:r>
        <w:rPr>
          <w:rFonts w:hint="eastAsia" w:ascii="宋体" w:hAnsi="宋体" w:eastAsia="宋体" w:cs="宋体"/>
          <w:bCs w:val="0"/>
          <w:color w:val="auto"/>
          <w:sz w:val="24"/>
          <w:szCs w:val="24"/>
          <w:highlight w:val="none"/>
        </w:rPr>
        <w:t>语言文字</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3A552AA8">
      <w:pPr>
        <w:wordWrap/>
        <w:topLinePunct w:val="0"/>
        <w:spacing w:line="360" w:lineRule="auto"/>
        <w:ind w:firstLine="480" w:firstLineChars="200"/>
        <w:rPr>
          <w:rFonts w:hint="eastAsia" w:ascii="宋体" w:hAnsi="宋体" w:eastAsia="宋体" w:cs="宋体"/>
          <w:color w:val="auto"/>
          <w:sz w:val="24"/>
          <w:szCs w:val="24"/>
          <w:highlight w:val="none"/>
        </w:rPr>
      </w:pPr>
      <w:bookmarkStart w:id="144" w:name="_Toc428276576"/>
      <w:bookmarkStart w:id="145" w:name="_Toc462934281"/>
      <w:bookmarkStart w:id="146" w:name="_Toc269470302"/>
      <w:bookmarkStart w:id="147" w:name="_Toc455678107"/>
      <w:bookmarkStart w:id="148" w:name="_Toc277149372"/>
      <w:bookmarkStart w:id="149" w:name="_Toc29299"/>
      <w:bookmarkStart w:id="150" w:name="_Toc463011260"/>
      <w:bookmarkStart w:id="151" w:name="_Toc270604583"/>
      <w:bookmarkStart w:id="152" w:name="_Toc9894"/>
      <w:bookmarkStart w:id="153" w:name="_Toc454788016"/>
      <w:bookmarkStart w:id="154" w:name="_Toc428351636"/>
      <w:bookmarkStart w:id="155" w:name="_Toc270604810"/>
      <w:r>
        <w:rPr>
          <w:rFonts w:hint="eastAsia" w:ascii="宋体" w:hAnsi="宋体" w:eastAsia="宋体" w:cs="宋体"/>
          <w:color w:val="auto"/>
          <w:kern w:val="0"/>
          <w:sz w:val="24"/>
          <w:szCs w:val="24"/>
          <w:highlight w:val="none"/>
        </w:rPr>
        <w:t>竞争性磋商文件及响应文件</w:t>
      </w:r>
      <w:r>
        <w:rPr>
          <w:rFonts w:hint="eastAsia" w:ascii="宋体" w:hAnsi="宋体" w:eastAsia="宋体" w:cs="宋体"/>
          <w:color w:val="auto"/>
          <w:spacing w:val="-2"/>
          <w:kern w:val="0"/>
          <w:sz w:val="24"/>
          <w:szCs w:val="24"/>
          <w:highlight w:val="none"/>
        </w:rPr>
        <w:t>使</w:t>
      </w:r>
      <w:r>
        <w:rPr>
          <w:rFonts w:hint="eastAsia" w:ascii="宋体" w:hAnsi="宋体" w:eastAsia="宋体" w:cs="宋体"/>
          <w:color w:val="auto"/>
          <w:kern w:val="0"/>
          <w:sz w:val="24"/>
          <w:szCs w:val="24"/>
          <w:highlight w:val="none"/>
        </w:rPr>
        <w:t>用语</w:t>
      </w:r>
      <w:r>
        <w:rPr>
          <w:rFonts w:hint="eastAsia" w:ascii="宋体" w:hAnsi="宋体" w:eastAsia="宋体" w:cs="宋体"/>
          <w:color w:val="auto"/>
          <w:spacing w:val="-2"/>
          <w:kern w:val="0"/>
          <w:sz w:val="24"/>
          <w:szCs w:val="24"/>
          <w:highlight w:val="none"/>
        </w:rPr>
        <w:t>言</w:t>
      </w:r>
      <w:r>
        <w:rPr>
          <w:rFonts w:hint="eastAsia" w:ascii="宋体" w:hAnsi="宋体" w:eastAsia="宋体" w:cs="宋体"/>
          <w:color w:val="auto"/>
          <w:kern w:val="0"/>
          <w:sz w:val="24"/>
          <w:szCs w:val="24"/>
          <w:highlight w:val="none"/>
        </w:rPr>
        <w:t>文字应</w:t>
      </w:r>
      <w:r>
        <w:rPr>
          <w:rFonts w:hint="eastAsia" w:ascii="宋体" w:hAnsi="宋体" w:eastAsia="宋体" w:cs="宋体"/>
          <w:color w:val="auto"/>
          <w:spacing w:val="-2"/>
          <w:kern w:val="0"/>
          <w:sz w:val="24"/>
          <w:szCs w:val="24"/>
          <w:highlight w:val="none"/>
        </w:rPr>
        <w:t>为</w:t>
      </w:r>
      <w:r>
        <w:rPr>
          <w:rFonts w:hint="eastAsia" w:ascii="宋体" w:hAnsi="宋体" w:eastAsia="宋体" w:cs="宋体"/>
          <w:color w:val="auto"/>
          <w:kern w:val="0"/>
          <w:sz w:val="24"/>
          <w:szCs w:val="24"/>
          <w:highlight w:val="none"/>
        </w:rPr>
        <w:t>中</w:t>
      </w:r>
      <w:r>
        <w:rPr>
          <w:rFonts w:hint="eastAsia" w:ascii="宋体" w:hAnsi="宋体" w:eastAsia="宋体" w:cs="宋体"/>
          <w:color w:val="auto"/>
          <w:spacing w:val="-2"/>
          <w:kern w:val="0"/>
          <w:sz w:val="24"/>
          <w:szCs w:val="24"/>
          <w:highlight w:val="none"/>
        </w:rPr>
        <w:t>文</w:t>
      </w:r>
      <w:r>
        <w:rPr>
          <w:rFonts w:hint="eastAsia" w:ascii="宋体" w:hAnsi="宋体" w:eastAsia="宋体" w:cs="宋体"/>
          <w:color w:val="auto"/>
          <w:kern w:val="0"/>
          <w:sz w:val="24"/>
          <w:szCs w:val="24"/>
          <w:highlight w:val="none"/>
        </w:rPr>
        <w:t>。</w:t>
      </w:r>
      <w:r>
        <w:rPr>
          <w:rFonts w:hint="eastAsia" w:ascii="宋体" w:hAnsi="宋体" w:eastAsia="宋体" w:cs="宋体"/>
          <w:color w:val="auto"/>
          <w:spacing w:val="-2"/>
          <w:kern w:val="0"/>
          <w:sz w:val="24"/>
          <w:szCs w:val="24"/>
          <w:highlight w:val="none"/>
        </w:rPr>
        <w:t>专</w:t>
      </w:r>
      <w:r>
        <w:rPr>
          <w:rFonts w:hint="eastAsia" w:ascii="宋体" w:hAnsi="宋体" w:eastAsia="宋体" w:cs="宋体"/>
          <w:color w:val="auto"/>
          <w:kern w:val="0"/>
          <w:sz w:val="24"/>
          <w:szCs w:val="24"/>
          <w:highlight w:val="none"/>
        </w:rPr>
        <w:t>用</w:t>
      </w:r>
      <w:r>
        <w:rPr>
          <w:rFonts w:hint="eastAsia" w:ascii="宋体" w:hAnsi="宋体" w:eastAsia="宋体" w:cs="宋体"/>
          <w:color w:val="auto"/>
          <w:spacing w:val="-2"/>
          <w:kern w:val="0"/>
          <w:sz w:val="24"/>
          <w:szCs w:val="24"/>
          <w:highlight w:val="none"/>
        </w:rPr>
        <w:t>术</w:t>
      </w:r>
      <w:r>
        <w:rPr>
          <w:rFonts w:hint="eastAsia" w:ascii="宋体" w:hAnsi="宋体" w:eastAsia="宋体" w:cs="宋体"/>
          <w:color w:val="auto"/>
          <w:kern w:val="0"/>
          <w:sz w:val="24"/>
          <w:szCs w:val="24"/>
          <w:highlight w:val="none"/>
        </w:rPr>
        <w:t>语</w:t>
      </w:r>
      <w:r>
        <w:rPr>
          <w:rFonts w:hint="eastAsia" w:ascii="宋体" w:hAnsi="宋体" w:eastAsia="宋体" w:cs="宋体"/>
          <w:color w:val="auto"/>
          <w:spacing w:val="-2"/>
          <w:kern w:val="0"/>
          <w:sz w:val="24"/>
          <w:szCs w:val="24"/>
          <w:highlight w:val="none"/>
        </w:rPr>
        <w:t>使</w:t>
      </w:r>
      <w:r>
        <w:rPr>
          <w:rFonts w:hint="eastAsia" w:ascii="宋体" w:hAnsi="宋体" w:eastAsia="宋体" w:cs="宋体"/>
          <w:color w:val="auto"/>
          <w:kern w:val="0"/>
          <w:sz w:val="24"/>
          <w:szCs w:val="24"/>
          <w:highlight w:val="none"/>
        </w:rPr>
        <w:t>用外</w:t>
      </w:r>
      <w:r>
        <w:rPr>
          <w:rFonts w:hint="eastAsia" w:ascii="宋体" w:hAnsi="宋体" w:eastAsia="宋体" w:cs="宋体"/>
          <w:color w:val="auto"/>
          <w:spacing w:val="-2"/>
          <w:kern w:val="0"/>
          <w:sz w:val="24"/>
          <w:szCs w:val="24"/>
          <w:highlight w:val="none"/>
        </w:rPr>
        <w:t>文</w:t>
      </w:r>
      <w:r>
        <w:rPr>
          <w:rFonts w:hint="eastAsia" w:ascii="宋体" w:hAnsi="宋体" w:eastAsia="宋体" w:cs="宋体"/>
          <w:color w:val="auto"/>
          <w:kern w:val="0"/>
          <w:sz w:val="24"/>
          <w:szCs w:val="24"/>
          <w:highlight w:val="none"/>
        </w:rPr>
        <w:t>的</w:t>
      </w:r>
      <w:r>
        <w:rPr>
          <w:rFonts w:hint="eastAsia" w:ascii="宋体" w:hAnsi="宋体" w:eastAsia="宋体" w:cs="宋体"/>
          <w:color w:val="auto"/>
          <w:spacing w:val="-2"/>
          <w:kern w:val="0"/>
          <w:sz w:val="24"/>
          <w:szCs w:val="24"/>
          <w:highlight w:val="none"/>
        </w:rPr>
        <w:t>，</w:t>
      </w:r>
      <w:r>
        <w:rPr>
          <w:rFonts w:hint="eastAsia" w:ascii="宋体" w:hAnsi="宋体" w:eastAsia="宋体" w:cs="宋体"/>
          <w:color w:val="auto"/>
          <w:kern w:val="0"/>
          <w:sz w:val="24"/>
          <w:szCs w:val="24"/>
          <w:highlight w:val="none"/>
        </w:rPr>
        <w:t>应</w:t>
      </w:r>
      <w:r>
        <w:rPr>
          <w:rFonts w:hint="eastAsia" w:ascii="宋体" w:hAnsi="宋体" w:eastAsia="宋体" w:cs="宋体"/>
          <w:color w:val="auto"/>
          <w:spacing w:val="-2"/>
          <w:kern w:val="0"/>
          <w:sz w:val="24"/>
          <w:szCs w:val="24"/>
          <w:highlight w:val="none"/>
        </w:rPr>
        <w:t>附</w:t>
      </w:r>
      <w:r>
        <w:rPr>
          <w:rFonts w:hint="eastAsia" w:ascii="宋体" w:hAnsi="宋体" w:eastAsia="宋体" w:cs="宋体"/>
          <w:color w:val="auto"/>
          <w:kern w:val="0"/>
          <w:sz w:val="24"/>
          <w:szCs w:val="24"/>
          <w:highlight w:val="none"/>
        </w:rPr>
        <w:t>有</w:t>
      </w:r>
      <w:r>
        <w:rPr>
          <w:rFonts w:hint="eastAsia" w:ascii="宋体" w:hAnsi="宋体" w:eastAsia="宋体" w:cs="宋体"/>
          <w:color w:val="auto"/>
          <w:spacing w:val="-2"/>
          <w:kern w:val="0"/>
          <w:sz w:val="24"/>
          <w:szCs w:val="24"/>
          <w:highlight w:val="none"/>
        </w:rPr>
        <w:t>中</w:t>
      </w:r>
      <w:r>
        <w:rPr>
          <w:rFonts w:hint="eastAsia" w:ascii="宋体" w:hAnsi="宋体" w:eastAsia="宋体" w:cs="宋体"/>
          <w:color w:val="auto"/>
          <w:kern w:val="0"/>
          <w:sz w:val="24"/>
          <w:szCs w:val="24"/>
          <w:highlight w:val="none"/>
        </w:rPr>
        <w:t>文</w:t>
      </w:r>
      <w:r>
        <w:rPr>
          <w:rFonts w:hint="eastAsia" w:ascii="宋体" w:hAnsi="宋体" w:eastAsia="宋体" w:cs="宋体"/>
          <w:color w:val="auto"/>
          <w:spacing w:val="-2"/>
          <w:kern w:val="0"/>
          <w:sz w:val="24"/>
          <w:szCs w:val="24"/>
          <w:highlight w:val="none"/>
        </w:rPr>
        <w:t>注</w:t>
      </w:r>
      <w:r>
        <w:rPr>
          <w:rFonts w:hint="eastAsia" w:ascii="宋体" w:hAnsi="宋体" w:eastAsia="宋体" w:cs="宋体"/>
          <w:color w:val="auto"/>
          <w:kern w:val="0"/>
          <w:sz w:val="24"/>
          <w:szCs w:val="24"/>
          <w:highlight w:val="none"/>
        </w:rPr>
        <w:t>释</w:t>
      </w:r>
      <w:r>
        <w:rPr>
          <w:rFonts w:hint="eastAsia" w:ascii="宋体" w:hAnsi="宋体" w:eastAsia="宋体" w:cs="宋体"/>
          <w:color w:val="auto"/>
          <w:sz w:val="24"/>
          <w:szCs w:val="24"/>
          <w:highlight w:val="none"/>
        </w:rPr>
        <w:t>。</w:t>
      </w:r>
    </w:p>
    <w:p w14:paraId="198AC76D">
      <w:pPr>
        <w:pStyle w:val="4"/>
        <w:numPr>
          <w:ilvl w:val="1"/>
          <w:numId w:val="3"/>
        </w:numPr>
        <w:jc w:val="left"/>
        <w:rPr>
          <w:rFonts w:hint="eastAsia" w:ascii="宋体" w:hAnsi="宋体" w:eastAsia="宋体" w:cs="宋体"/>
          <w:bCs w:val="0"/>
          <w:color w:val="auto"/>
          <w:sz w:val="24"/>
          <w:szCs w:val="24"/>
          <w:highlight w:val="none"/>
        </w:rPr>
      </w:pPr>
      <w:bookmarkStart w:id="156" w:name="_Toc30996"/>
      <w:bookmarkStart w:id="157" w:name="_Toc27753943"/>
      <w:bookmarkStart w:id="158" w:name="_Toc29623292"/>
      <w:bookmarkStart w:id="159" w:name="_Toc15644"/>
      <w:r>
        <w:rPr>
          <w:rFonts w:hint="eastAsia" w:ascii="宋体" w:hAnsi="宋体" w:eastAsia="宋体" w:cs="宋体"/>
          <w:bCs w:val="0"/>
          <w:color w:val="auto"/>
          <w:sz w:val="24"/>
          <w:szCs w:val="24"/>
          <w:highlight w:val="none"/>
        </w:rPr>
        <w:t>计量单位</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328E1FE6">
      <w:pPr>
        <w:autoSpaceDE w:val="0"/>
        <w:autoSpaceDN w:val="0"/>
        <w:adjustRightInd w:val="0"/>
        <w:snapToGrid w:val="0"/>
        <w:spacing w:line="360" w:lineRule="auto"/>
        <w:ind w:firstLine="480" w:firstLineChars="200"/>
        <w:contextualSpacing/>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所有计量均采用中华人民共和国法定计量标准单位。</w:t>
      </w:r>
    </w:p>
    <w:p w14:paraId="467A45D3">
      <w:pPr>
        <w:pStyle w:val="4"/>
        <w:numPr>
          <w:ilvl w:val="1"/>
          <w:numId w:val="3"/>
        </w:numPr>
        <w:jc w:val="left"/>
        <w:rPr>
          <w:rFonts w:hint="eastAsia" w:ascii="宋体" w:hAnsi="宋体" w:eastAsia="宋体" w:cs="宋体"/>
          <w:bCs w:val="0"/>
          <w:color w:val="auto"/>
          <w:sz w:val="24"/>
          <w:szCs w:val="24"/>
          <w:highlight w:val="none"/>
        </w:rPr>
      </w:pPr>
      <w:bookmarkStart w:id="160" w:name="_Toc11248"/>
      <w:bookmarkStart w:id="161" w:name="_Toc7491"/>
      <w:bookmarkStart w:id="162" w:name="_Toc428351637"/>
      <w:bookmarkStart w:id="163" w:name="_Toc454788017"/>
      <w:bookmarkStart w:id="164" w:name="_Toc455678108"/>
      <w:bookmarkStart w:id="165" w:name="_Toc428276577"/>
      <w:bookmarkStart w:id="166" w:name="_Toc462934282"/>
      <w:bookmarkStart w:id="167" w:name="_Toc270604584"/>
      <w:bookmarkStart w:id="168" w:name="_Toc277149373"/>
      <w:bookmarkStart w:id="169" w:name="_Toc269470303"/>
      <w:bookmarkStart w:id="170" w:name="_Toc270604811"/>
      <w:bookmarkStart w:id="171" w:name="_Toc463011261"/>
      <w:bookmarkStart w:id="172" w:name="_Toc14349"/>
      <w:bookmarkStart w:id="173" w:name="_Toc32480"/>
      <w:bookmarkStart w:id="174" w:name="_Toc29623293"/>
      <w:bookmarkStart w:id="175" w:name="_Toc27753944"/>
      <w:r>
        <w:rPr>
          <w:rFonts w:hint="eastAsia" w:ascii="宋体" w:hAnsi="宋体" w:eastAsia="宋体" w:cs="宋体"/>
          <w:bCs w:val="0"/>
          <w:color w:val="auto"/>
          <w:sz w:val="24"/>
          <w:szCs w:val="24"/>
          <w:highlight w:val="none"/>
        </w:rPr>
        <w:t>现场</w:t>
      </w:r>
      <w:bookmarkEnd w:id="160"/>
      <w:bookmarkEnd w:id="161"/>
      <w:bookmarkEnd w:id="162"/>
      <w:bookmarkEnd w:id="163"/>
      <w:bookmarkEnd w:id="164"/>
      <w:bookmarkEnd w:id="165"/>
      <w:bookmarkEnd w:id="166"/>
      <w:bookmarkEnd w:id="167"/>
      <w:bookmarkEnd w:id="168"/>
      <w:bookmarkEnd w:id="169"/>
      <w:bookmarkEnd w:id="170"/>
      <w:bookmarkEnd w:id="171"/>
      <w:r>
        <w:rPr>
          <w:rFonts w:hint="eastAsia" w:ascii="宋体" w:hAnsi="宋体" w:eastAsia="宋体" w:cs="宋体"/>
          <w:bCs w:val="0"/>
          <w:color w:val="auto"/>
          <w:sz w:val="24"/>
          <w:szCs w:val="24"/>
          <w:highlight w:val="none"/>
        </w:rPr>
        <w:t>考察</w:t>
      </w:r>
      <w:bookmarkEnd w:id="172"/>
      <w:r>
        <w:rPr>
          <w:rFonts w:hint="eastAsia" w:ascii="宋体" w:hAnsi="宋体" w:eastAsia="宋体" w:cs="宋体"/>
          <w:bCs w:val="0"/>
          <w:color w:val="auto"/>
          <w:sz w:val="24"/>
          <w:szCs w:val="24"/>
          <w:highlight w:val="none"/>
        </w:rPr>
        <w:t>或答疑会</w:t>
      </w:r>
      <w:bookmarkEnd w:id="173"/>
      <w:bookmarkEnd w:id="174"/>
      <w:bookmarkEnd w:id="175"/>
    </w:p>
    <w:p w14:paraId="781B2D8A">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现场考察：供应商须知前附表规定组织现场考察的，采购人按供应商须知前附表规定的时间、地点组织供应商考察项目现场。部分供应商未按时参加现场考察的，不影响现场考察的正常进行。</w:t>
      </w:r>
    </w:p>
    <w:p w14:paraId="3270EEF1">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供应商现场考察发生的费用自理。</w:t>
      </w:r>
    </w:p>
    <w:p w14:paraId="614C95B0">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除采购人的原因外，供应商自行负责在现场考察中所发生的人员伤亡和财产损失。</w:t>
      </w:r>
    </w:p>
    <w:p w14:paraId="0DDEAF87">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采购人在现场考察中介绍的项目场地和相关的周边环境情况，供供应商在编制响应文件时参考，采购人不对供应商据此作出的判断和决策负责。</w:t>
      </w:r>
    </w:p>
    <w:p w14:paraId="60D94DD1">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答疑会：见供应商须知前附表。</w:t>
      </w:r>
    </w:p>
    <w:p w14:paraId="56B58F31">
      <w:pPr>
        <w:pStyle w:val="4"/>
        <w:numPr>
          <w:ilvl w:val="1"/>
          <w:numId w:val="3"/>
        </w:numPr>
        <w:jc w:val="left"/>
        <w:rPr>
          <w:rFonts w:hint="eastAsia" w:ascii="宋体" w:hAnsi="宋体" w:eastAsia="宋体" w:cs="宋体"/>
          <w:bCs w:val="0"/>
          <w:color w:val="auto"/>
          <w:sz w:val="24"/>
          <w:szCs w:val="24"/>
          <w:highlight w:val="none"/>
        </w:rPr>
      </w:pPr>
      <w:bookmarkStart w:id="176" w:name="_Toc27753945"/>
      <w:bookmarkStart w:id="177" w:name="_Toc270604813"/>
      <w:bookmarkStart w:id="178" w:name="_Toc455678110"/>
      <w:bookmarkStart w:id="179" w:name="_Toc454788019"/>
      <w:bookmarkStart w:id="180" w:name="_Toc24091"/>
      <w:bookmarkStart w:id="181" w:name="_Toc20135"/>
      <w:bookmarkStart w:id="182" w:name="_Toc269470305"/>
      <w:bookmarkStart w:id="183" w:name="_Toc428351639"/>
      <w:bookmarkStart w:id="184" w:name="_Toc462934284"/>
      <w:bookmarkStart w:id="185" w:name="_Toc32376"/>
      <w:bookmarkStart w:id="186" w:name="_Toc277149375"/>
      <w:bookmarkStart w:id="187" w:name="_Toc29623294"/>
      <w:bookmarkStart w:id="188" w:name="_Toc428276579"/>
      <w:bookmarkStart w:id="189" w:name="_Toc270604586"/>
      <w:bookmarkStart w:id="190" w:name="_Toc463011263"/>
      <w:bookmarkStart w:id="191" w:name="_Toc8646"/>
      <w:r>
        <w:rPr>
          <w:rFonts w:hint="eastAsia" w:ascii="宋体" w:hAnsi="宋体" w:eastAsia="宋体" w:cs="宋体"/>
          <w:bCs w:val="0"/>
          <w:color w:val="auto"/>
          <w:sz w:val="24"/>
          <w:szCs w:val="24"/>
          <w:highlight w:val="none"/>
        </w:rPr>
        <w:t>分包</w:t>
      </w:r>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770D05DE">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bookmarkStart w:id="192" w:name="_Toc428351640"/>
      <w:bookmarkStart w:id="193" w:name="_Toc428276580"/>
      <w:bookmarkStart w:id="194" w:name="_Toc270604587"/>
      <w:bookmarkStart w:id="195" w:name="_Toc8513"/>
      <w:bookmarkStart w:id="196" w:name="_Toc270604814"/>
      <w:bookmarkStart w:id="197" w:name="_Toc455678111"/>
      <w:bookmarkStart w:id="198" w:name="_Toc462934285"/>
      <w:bookmarkStart w:id="199" w:name="_Toc29688"/>
      <w:bookmarkStart w:id="200" w:name="_Toc454788020"/>
      <w:bookmarkStart w:id="201" w:name="_Toc269470306"/>
      <w:bookmarkStart w:id="202" w:name="_Toc277149376"/>
      <w:bookmarkStart w:id="203" w:name="_Toc10220"/>
      <w:bookmarkStart w:id="204" w:name="_Toc463011264"/>
      <w:r>
        <w:rPr>
          <w:rFonts w:hint="eastAsia" w:ascii="宋体" w:hAnsi="宋体" w:eastAsia="宋体" w:cs="宋体"/>
          <w:color w:val="auto"/>
          <w:sz w:val="24"/>
          <w:szCs w:val="24"/>
          <w:highlight w:val="none"/>
        </w:rPr>
        <w:t>供应商拟在成交后将成交项目的非主体、非关键性工作进行分包的，应符合供应商须知前附表规定的分包内容、分包金额和资质要求等限制性条件，除供应商须知前附表规定的非主体、非关键性工作外，其他工作不得分包。</w:t>
      </w:r>
    </w:p>
    <w:p w14:paraId="7B1C2BAB">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成交供应商不得向他人转让成交项目，接受分包的人不得再次分包。成交供应商应当就分包项目向采购人负责，接受分包的人就分包项目承担连带责任。 </w:t>
      </w:r>
    </w:p>
    <w:bookmarkEnd w:id="192"/>
    <w:bookmarkEnd w:id="193"/>
    <w:bookmarkEnd w:id="194"/>
    <w:bookmarkEnd w:id="195"/>
    <w:bookmarkEnd w:id="196"/>
    <w:bookmarkEnd w:id="197"/>
    <w:bookmarkEnd w:id="198"/>
    <w:bookmarkEnd w:id="199"/>
    <w:bookmarkEnd w:id="200"/>
    <w:bookmarkEnd w:id="201"/>
    <w:bookmarkEnd w:id="202"/>
    <w:bookmarkEnd w:id="203"/>
    <w:bookmarkEnd w:id="204"/>
    <w:p w14:paraId="548F0263">
      <w:pPr>
        <w:pStyle w:val="4"/>
        <w:numPr>
          <w:ilvl w:val="1"/>
          <w:numId w:val="3"/>
        </w:numPr>
        <w:jc w:val="left"/>
        <w:rPr>
          <w:rFonts w:hint="eastAsia" w:ascii="宋体" w:hAnsi="宋体" w:eastAsia="宋体" w:cs="宋体"/>
          <w:bCs w:val="0"/>
          <w:color w:val="auto"/>
          <w:sz w:val="24"/>
          <w:szCs w:val="24"/>
          <w:highlight w:val="none"/>
        </w:rPr>
      </w:pPr>
      <w:bookmarkStart w:id="205" w:name="_Toc24689"/>
      <w:bookmarkStart w:id="206" w:name="_Toc27753946"/>
      <w:bookmarkStart w:id="207" w:name="_Toc29623295"/>
      <w:r>
        <w:rPr>
          <w:rFonts w:hint="eastAsia" w:ascii="宋体" w:hAnsi="宋体" w:eastAsia="宋体" w:cs="宋体"/>
          <w:bCs w:val="0"/>
          <w:color w:val="auto"/>
          <w:sz w:val="24"/>
          <w:szCs w:val="24"/>
          <w:highlight w:val="none"/>
        </w:rPr>
        <w:t>响应和偏差</w:t>
      </w:r>
      <w:bookmarkEnd w:id="205"/>
      <w:bookmarkEnd w:id="206"/>
      <w:bookmarkEnd w:id="207"/>
    </w:p>
    <w:p w14:paraId="3E4A0C4E">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响应文件应当对竞争性磋商文件的实质性要求和条件作出满足性或更有利于采购人的响应，否则，供应商的响应文件将被否决。实质性要求和条件见供应商须知前附表。</w:t>
      </w:r>
    </w:p>
    <w:p w14:paraId="5CD94A09">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供应商应根据竞争性磋商文件的要求提供投标服务方案等内容以对竞争性磋商文件作出响应。</w:t>
      </w:r>
    </w:p>
    <w:p w14:paraId="49F5A4FD">
      <w:pPr>
        <w:numPr>
          <w:ilvl w:val="2"/>
          <w:numId w:val="3"/>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允许响应文件偏离竞争性磋商文件某些要求的，偏差应当符合竞争性磋商文件规定的偏差范围和幅度。</w:t>
      </w:r>
    </w:p>
    <w:p w14:paraId="7E52E8CE">
      <w:pPr>
        <w:pStyle w:val="4"/>
        <w:numPr>
          <w:ilvl w:val="1"/>
          <w:numId w:val="3"/>
        </w:numPr>
        <w:jc w:val="left"/>
        <w:rPr>
          <w:rFonts w:hint="eastAsia" w:ascii="宋体" w:hAnsi="宋体" w:eastAsia="宋体" w:cs="宋体"/>
          <w:bCs w:val="0"/>
          <w:color w:val="auto"/>
          <w:sz w:val="24"/>
          <w:szCs w:val="24"/>
          <w:highlight w:val="none"/>
        </w:rPr>
      </w:pPr>
      <w:bookmarkStart w:id="208" w:name="_Toc17145"/>
      <w:bookmarkStart w:id="209" w:name="_Toc23956"/>
      <w:bookmarkStart w:id="210" w:name="_Toc11809"/>
      <w:bookmarkStart w:id="211" w:name="_Toc463011265"/>
      <w:bookmarkStart w:id="212" w:name="_Toc29623296"/>
      <w:bookmarkStart w:id="213" w:name="_Toc455678112"/>
      <w:bookmarkStart w:id="214" w:name="_Toc18933"/>
      <w:bookmarkStart w:id="215" w:name="_Toc27753947"/>
      <w:bookmarkStart w:id="216" w:name="_Toc462934286"/>
      <w:r>
        <w:rPr>
          <w:rFonts w:hint="eastAsia" w:ascii="宋体" w:hAnsi="宋体" w:eastAsia="宋体" w:cs="宋体"/>
          <w:bCs w:val="0"/>
          <w:color w:val="auto"/>
          <w:sz w:val="24"/>
          <w:szCs w:val="24"/>
          <w:highlight w:val="none"/>
        </w:rPr>
        <w:t>选择性报价方案</w:t>
      </w:r>
      <w:bookmarkEnd w:id="208"/>
      <w:bookmarkEnd w:id="209"/>
      <w:bookmarkEnd w:id="210"/>
      <w:bookmarkEnd w:id="211"/>
      <w:bookmarkEnd w:id="212"/>
      <w:bookmarkEnd w:id="213"/>
      <w:bookmarkEnd w:id="214"/>
      <w:bookmarkEnd w:id="215"/>
      <w:bookmarkEnd w:id="216"/>
    </w:p>
    <w:p w14:paraId="602CDD46">
      <w:pPr>
        <w:tabs>
          <w:tab w:val="left" w:pos="720"/>
          <w:tab w:val="left" w:pos="1320"/>
        </w:tabs>
        <w:snapToGrid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选择性报价方案：见供应商须知前附表。</w:t>
      </w:r>
    </w:p>
    <w:p w14:paraId="12F00296">
      <w:pPr>
        <w:pStyle w:val="8"/>
        <w:keepNext w:val="0"/>
        <w:keepLines w:val="0"/>
        <w:pageBreakBefore w:val="0"/>
        <w:widowControl w:val="0"/>
        <w:numPr>
          <w:ilvl w:val="0"/>
          <w:numId w:val="2"/>
        </w:numPr>
        <w:tabs>
          <w:tab w:val="left" w:pos="360"/>
        </w:tabs>
        <w:kinsoku/>
        <w:wordWrap/>
        <w:overflowPunct/>
        <w:topLinePunct w:val="0"/>
        <w:autoSpaceDE w:val="0"/>
        <w:autoSpaceDN w:val="0"/>
        <w:bidi w:val="0"/>
        <w:adjustRightInd w:val="0"/>
        <w:snapToGrid w:val="0"/>
        <w:spacing w:line="360" w:lineRule="auto"/>
        <w:ind w:left="0" w:firstLine="0"/>
        <w:contextualSpacing/>
        <w:jc w:val="left"/>
        <w:textAlignment w:val="auto"/>
        <w:outlineLvl w:val="1"/>
        <w:rPr>
          <w:rStyle w:val="35"/>
          <w:rFonts w:hint="eastAsia" w:ascii="宋体" w:hAnsi="宋体" w:eastAsia="宋体" w:cs="宋体"/>
          <w:color w:val="auto"/>
          <w:sz w:val="24"/>
          <w:szCs w:val="24"/>
          <w:highlight w:val="none"/>
        </w:rPr>
      </w:pPr>
      <w:bookmarkStart w:id="217" w:name="_Toc6260"/>
      <w:bookmarkStart w:id="218" w:name="_Toc270604588"/>
      <w:r>
        <w:rPr>
          <w:rStyle w:val="35"/>
          <w:rFonts w:hint="eastAsia" w:ascii="宋体" w:hAnsi="宋体" w:eastAsia="宋体" w:cs="宋体"/>
          <w:color w:val="auto"/>
          <w:sz w:val="24"/>
          <w:szCs w:val="24"/>
          <w:highlight w:val="none"/>
        </w:rPr>
        <w:t xml:space="preserve"> </w:t>
      </w:r>
      <w:bookmarkStart w:id="219" w:name="_Toc29623297"/>
      <w:bookmarkStart w:id="220" w:name="_Toc5446"/>
      <w:bookmarkStart w:id="221" w:name="_Toc14606"/>
      <w:bookmarkStart w:id="222" w:name="_Toc18247"/>
      <w:r>
        <w:rPr>
          <w:rStyle w:val="35"/>
          <w:rFonts w:hint="eastAsia" w:ascii="宋体" w:hAnsi="宋体" w:eastAsia="宋体" w:cs="宋体"/>
          <w:color w:val="auto"/>
          <w:sz w:val="24"/>
          <w:szCs w:val="24"/>
          <w:highlight w:val="none"/>
        </w:rPr>
        <w:t>竞争性磋商文件</w:t>
      </w:r>
      <w:bookmarkEnd w:id="217"/>
      <w:bookmarkEnd w:id="218"/>
      <w:bookmarkEnd w:id="219"/>
      <w:bookmarkEnd w:id="220"/>
      <w:bookmarkEnd w:id="221"/>
      <w:bookmarkEnd w:id="222"/>
    </w:p>
    <w:p w14:paraId="67AB2243">
      <w:pPr>
        <w:pStyle w:val="4"/>
        <w:numPr>
          <w:ilvl w:val="1"/>
          <w:numId w:val="2"/>
        </w:numPr>
        <w:jc w:val="left"/>
        <w:rPr>
          <w:rFonts w:hint="eastAsia" w:ascii="宋体" w:hAnsi="宋体" w:eastAsia="宋体" w:cs="宋体"/>
          <w:color w:val="auto"/>
          <w:sz w:val="24"/>
          <w:szCs w:val="24"/>
          <w:highlight w:val="none"/>
        </w:rPr>
      </w:pPr>
      <w:bookmarkStart w:id="223" w:name="_Toc27664"/>
      <w:bookmarkStart w:id="224" w:name="_Toc4863"/>
      <w:bookmarkStart w:id="225" w:name="_Toc10962"/>
      <w:bookmarkStart w:id="226" w:name="_Toc277149378"/>
      <w:bookmarkStart w:id="227" w:name="_Toc455678114"/>
      <w:bookmarkStart w:id="228" w:name="_Toc454788022"/>
      <w:bookmarkStart w:id="229" w:name="_Toc270604816"/>
      <w:bookmarkStart w:id="230" w:name="_Toc19729"/>
      <w:bookmarkStart w:id="231" w:name="_Toc428276582"/>
      <w:bookmarkStart w:id="232" w:name="_Toc269470308"/>
      <w:bookmarkStart w:id="233" w:name="_Toc463011267"/>
      <w:bookmarkStart w:id="234" w:name="_Toc27753949"/>
      <w:bookmarkStart w:id="235" w:name="_Toc462934288"/>
      <w:bookmarkStart w:id="236" w:name="_Toc428351642"/>
      <w:bookmarkStart w:id="237" w:name="_Toc29623298"/>
      <w:bookmarkStart w:id="238" w:name="_Toc270604589"/>
      <w:r>
        <w:rPr>
          <w:rFonts w:hint="eastAsia" w:ascii="宋体" w:hAnsi="宋体" w:eastAsia="宋体" w:cs="宋体"/>
          <w:bCs w:val="0"/>
          <w:color w:val="auto"/>
          <w:sz w:val="24"/>
          <w:szCs w:val="24"/>
          <w:highlight w:val="none"/>
        </w:rPr>
        <w:t>竞争性磋商文件的组成</w:t>
      </w:r>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p>
    <w:p w14:paraId="7347A9F2">
      <w:pPr>
        <w:tabs>
          <w:tab w:val="left" w:pos="1260"/>
        </w:tabs>
        <w:autoSpaceDE w:val="0"/>
        <w:autoSpaceDN w:val="0"/>
        <w:adjustRightInd w:val="0"/>
        <w:snapToGrid w:val="0"/>
        <w:spacing w:line="360" w:lineRule="auto"/>
        <w:ind w:firstLine="540" w:firstLineChars="225"/>
        <w:contextualSpacing/>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本竞争性磋商文件包括：</w:t>
      </w:r>
    </w:p>
    <w:p w14:paraId="62BD5F2D">
      <w:pPr>
        <w:tabs>
          <w:tab w:val="left" w:pos="1260"/>
        </w:tabs>
        <w:autoSpaceDE w:val="0"/>
        <w:autoSpaceDN w:val="0"/>
        <w:adjustRightInd w:val="0"/>
        <w:snapToGrid w:val="0"/>
        <w:spacing w:line="360" w:lineRule="auto"/>
        <w:ind w:leftChars="200"/>
        <w:contextualSpacing/>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第一章 </w:t>
      </w:r>
      <w:r>
        <w:rPr>
          <w:rFonts w:hint="eastAsia" w:ascii="宋体" w:hAnsi="宋体" w:eastAsia="宋体" w:cs="宋体"/>
          <w:color w:val="auto"/>
          <w:kern w:val="0"/>
          <w:highlight w:val="none"/>
          <w:lang w:eastAsia="zh-CN"/>
        </w:rPr>
        <w:t>竞争性</w:t>
      </w:r>
      <w:r>
        <w:rPr>
          <w:rFonts w:hint="eastAsia" w:ascii="宋体" w:hAnsi="宋体" w:eastAsia="宋体" w:cs="宋体"/>
          <w:color w:val="auto"/>
          <w:kern w:val="0"/>
          <w:highlight w:val="none"/>
          <w:lang w:val="en-US" w:eastAsia="zh-CN"/>
        </w:rPr>
        <w:t>磋商</w:t>
      </w:r>
      <w:r>
        <w:rPr>
          <w:rFonts w:hint="eastAsia" w:ascii="宋体" w:hAnsi="宋体" w:eastAsia="宋体" w:cs="宋体"/>
          <w:color w:val="auto"/>
          <w:kern w:val="0"/>
          <w:highlight w:val="none"/>
        </w:rPr>
        <w:t>公告</w:t>
      </w:r>
    </w:p>
    <w:p w14:paraId="0E40E99B">
      <w:pPr>
        <w:tabs>
          <w:tab w:val="left" w:pos="1260"/>
        </w:tabs>
        <w:autoSpaceDE w:val="0"/>
        <w:autoSpaceDN w:val="0"/>
        <w:adjustRightInd w:val="0"/>
        <w:snapToGrid w:val="0"/>
        <w:spacing w:line="360" w:lineRule="auto"/>
        <w:ind w:leftChars="200"/>
        <w:contextualSpacing/>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lang w:val="en-US" w:eastAsia="zh-CN"/>
        </w:rPr>
        <w:t>第二章 供应商须知</w:t>
      </w:r>
      <w:r>
        <w:rPr>
          <w:rFonts w:hint="eastAsia" w:ascii="宋体" w:hAnsi="宋体" w:eastAsia="宋体" w:cs="宋体"/>
          <w:color w:val="auto"/>
          <w:kern w:val="0"/>
          <w:highlight w:val="none"/>
          <w:lang w:val="en-US" w:eastAsia="zh-CN"/>
        </w:rPr>
        <w:br w:type="textWrapping"/>
      </w:r>
      <w:r>
        <w:rPr>
          <w:rFonts w:hint="eastAsia" w:ascii="宋体" w:hAnsi="宋体" w:eastAsia="宋体" w:cs="宋体"/>
          <w:color w:val="auto"/>
          <w:kern w:val="0"/>
          <w:highlight w:val="none"/>
        </w:rPr>
        <w:t>第三章  评审办法</w:t>
      </w:r>
      <w:r>
        <w:rPr>
          <w:rFonts w:hint="eastAsia" w:ascii="宋体" w:hAnsi="宋体" w:eastAsia="宋体" w:cs="宋体"/>
          <w:color w:val="auto"/>
          <w:kern w:val="0"/>
          <w:highlight w:val="none"/>
        </w:rPr>
        <w:br w:type="textWrapping"/>
      </w:r>
      <w:r>
        <w:rPr>
          <w:rFonts w:hint="eastAsia" w:ascii="宋体" w:hAnsi="宋体" w:eastAsia="宋体" w:cs="宋体"/>
          <w:color w:val="auto"/>
          <w:kern w:val="0"/>
          <w:highlight w:val="none"/>
          <w:lang w:val="en-US" w:eastAsia="zh-CN"/>
        </w:rPr>
        <w:t>第四章 合同条款及格式</w:t>
      </w:r>
      <w:r>
        <w:rPr>
          <w:rFonts w:hint="eastAsia" w:ascii="宋体" w:hAnsi="宋体" w:eastAsia="宋体" w:cs="宋体"/>
          <w:color w:val="auto"/>
          <w:kern w:val="0"/>
          <w:highlight w:val="none"/>
          <w:lang w:val="en-US" w:eastAsia="zh-CN"/>
        </w:rPr>
        <w:br w:type="textWrapping"/>
      </w:r>
      <w:r>
        <w:rPr>
          <w:rFonts w:hint="eastAsia" w:ascii="宋体" w:hAnsi="宋体" w:eastAsia="宋体" w:cs="宋体"/>
          <w:color w:val="auto"/>
          <w:kern w:val="0"/>
          <w:highlight w:val="none"/>
        </w:rPr>
        <w:t xml:space="preserve">第五章  </w:t>
      </w:r>
      <w:r>
        <w:rPr>
          <w:rFonts w:hint="eastAsia" w:ascii="宋体" w:hAnsi="宋体" w:eastAsia="宋体" w:cs="宋体"/>
          <w:color w:val="auto"/>
          <w:kern w:val="0"/>
          <w:highlight w:val="none"/>
          <w:lang w:eastAsia="zh-CN"/>
        </w:rPr>
        <w:t>采购内容及要求</w:t>
      </w:r>
      <w:r>
        <w:rPr>
          <w:rFonts w:hint="eastAsia" w:ascii="宋体" w:hAnsi="宋体" w:eastAsia="宋体" w:cs="宋体"/>
          <w:color w:val="auto"/>
          <w:kern w:val="0"/>
          <w:highlight w:val="none"/>
          <w:lang w:eastAsia="zh-CN"/>
        </w:rPr>
        <w:br w:type="textWrapping"/>
      </w:r>
      <w:r>
        <w:rPr>
          <w:rFonts w:hint="eastAsia" w:ascii="宋体" w:hAnsi="宋体" w:eastAsia="宋体" w:cs="宋体"/>
          <w:color w:val="auto"/>
          <w:kern w:val="0"/>
          <w:highlight w:val="none"/>
        </w:rPr>
        <w:t>第六章  磋商响应文件格式</w:t>
      </w:r>
    </w:p>
    <w:p w14:paraId="30FB6F4A">
      <w:pPr>
        <w:tabs>
          <w:tab w:val="left" w:pos="1260"/>
        </w:tabs>
        <w:autoSpaceDE w:val="0"/>
        <w:autoSpaceDN w:val="0"/>
        <w:adjustRightInd w:val="0"/>
        <w:snapToGrid w:val="0"/>
        <w:spacing w:line="360" w:lineRule="auto"/>
        <w:ind w:firstLine="540" w:firstLineChars="225"/>
        <w:contextualSpacing/>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根据本章第2.2 款和第2.3 款对竞争性磋商文件所作的澄清、修改，构成竞争性磋商文件的组成部分。</w:t>
      </w:r>
    </w:p>
    <w:p w14:paraId="4AB5ACB9">
      <w:pPr>
        <w:pStyle w:val="4"/>
        <w:numPr>
          <w:ilvl w:val="1"/>
          <w:numId w:val="2"/>
        </w:numPr>
        <w:jc w:val="left"/>
        <w:rPr>
          <w:rFonts w:hint="eastAsia" w:ascii="宋体" w:hAnsi="宋体" w:eastAsia="宋体" w:cs="宋体"/>
          <w:bCs w:val="0"/>
          <w:color w:val="auto"/>
          <w:sz w:val="24"/>
          <w:szCs w:val="24"/>
          <w:highlight w:val="none"/>
        </w:rPr>
      </w:pPr>
      <w:bookmarkStart w:id="239" w:name="_Toc27753950"/>
      <w:bookmarkStart w:id="240" w:name="_Toc455678115"/>
      <w:bookmarkStart w:id="241" w:name="_Toc270604817"/>
      <w:bookmarkStart w:id="242" w:name="_Toc428351643"/>
      <w:bookmarkStart w:id="243" w:name="_Toc11511"/>
      <w:bookmarkStart w:id="244" w:name="_Toc454788023"/>
      <w:bookmarkStart w:id="245" w:name="_Toc270604590"/>
      <w:bookmarkStart w:id="246" w:name="_Toc462934289"/>
      <w:bookmarkStart w:id="247" w:name="_Toc13094"/>
      <w:bookmarkStart w:id="248" w:name="_Toc277149379"/>
      <w:bookmarkStart w:id="249" w:name="_Toc5047"/>
      <w:bookmarkStart w:id="250" w:name="_Toc269470309"/>
      <w:bookmarkStart w:id="251" w:name="_Toc463011268"/>
      <w:bookmarkStart w:id="252" w:name="_Toc428276583"/>
      <w:bookmarkStart w:id="253" w:name="_Toc7911"/>
      <w:bookmarkStart w:id="254" w:name="_Toc29623299"/>
      <w:r>
        <w:rPr>
          <w:rFonts w:hint="eastAsia" w:ascii="宋体" w:hAnsi="宋体" w:eastAsia="宋体" w:cs="宋体"/>
          <w:bCs w:val="0"/>
          <w:color w:val="auto"/>
          <w:sz w:val="24"/>
          <w:szCs w:val="24"/>
          <w:highlight w:val="none"/>
        </w:rPr>
        <w:t>竞争性磋商文件的澄清</w:t>
      </w:r>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00AD3BA4">
      <w:pPr>
        <w:spacing w:line="400" w:lineRule="exact"/>
        <w:ind w:firstLine="480" w:firstLineChars="200"/>
        <w:rPr>
          <w:rFonts w:hint="eastAsia" w:ascii="宋体" w:hAnsi="宋体" w:eastAsia="宋体" w:cs="宋体"/>
          <w:color w:val="auto"/>
          <w:sz w:val="24"/>
          <w:szCs w:val="24"/>
          <w:highlight w:val="none"/>
        </w:rPr>
      </w:pPr>
      <w:bookmarkStart w:id="255" w:name="_Toc5535"/>
      <w:bookmarkStart w:id="256" w:name="_Toc27753951"/>
      <w:bookmarkStart w:id="257" w:name="_Toc16316"/>
      <w:bookmarkStart w:id="258" w:name="_Toc20316"/>
      <w:bookmarkStart w:id="259" w:name="_Toc270604818"/>
      <w:bookmarkStart w:id="260" w:name="_Toc29623300"/>
      <w:bookmarkStart w:id="261" w:name="_Toc428351644"/>
      <w:bookmarkStart w:id="262" w:name="_Toc455678116"/>
      <w:bookmarkStart w:id="263" w:name="_Toc269470310"/>
      <w:bookmarkStart w:id="264" w:name="_Toc454788024"/>
      <w:bookmarkStart w:id="265" w:name="_Toc270604591"/>
      <w:bookmarkStart w:id="266" w:name="_Toc428276584"/>
      <w:bookmarkStart w:id="267" w:name="_Toc277149380"/>
      <w:bookmarkStart w:id="268" w:name="_Toc463011269"/>
      <w:bookmarkStart w:id="269" w:name="_Toc400"/>
      <w:bookmarkStart w:id="270" w:name="_Toc462934290"/>
      <w:r>
        <w:rPr>
          <w:rFonts w:hint="eastAsia" w:ascii="宋体" w:hAnsi="宋体" w:eastAsia="宋体" w:cs="宋体"/>
          <w:color w:val="auto"/>
          <w:sz w:val="24"/>
          <w:szCs w:val="24"/>
          <w:highlight w:val="none"/>
        </w:rPr>
        <w:t>2.2.1 供应商应仔细阅读和检查磋商文件的全部内容。如发现缺页或附件不全，应在供应商须知前附表规定的时间前登陆电子交易系统向采购代理机构提出，要求对磋商文件予以澄清。</w:t>
      </w:r>
    </w:p>
    <w:p w14:paraId="1B37B3F2">
      <w:pPr>
        <w:autoSpaceDE w:val="0"/>
        <w:autoSpaceDN w:val="0"/>
        <w:adjustRightInd w:val="0"/>
        <w:spacing w:before="30" w:line="400" w:lineRule="exact"/>
        <w:ind w:right="-23"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2.2.2 磋商文件的澄清采购代理机构将登陆电子交易系统发给所有购买磋商文件的供应商，但不指明澄清问题的来源。澄清发出的时间距供应商须知前附表规定的投标截止时间不足5天的，并且澄清内容影响响应文件编制的，将在电子交易系统内相应延长投标截止时间</w:t>
      </w:r>
      <w:r>
        <w:rPr>
          <w:rFonts w:hint="eastAsia" w:ascii="宋体" w:hAnsi="宋体" w:eastAsia="宋体" w:cs="宋体"/>
          <w:color w:val="auto"/>
          <w:kern w:val="0"/>
          <w:sz w:val="24"/>
          <w:szCs w:val="24"/>
          <w:highlight w:val="none"/>
        </w:rPr>
        <w:t>。</w:t>
      </w:r>
    </w:p>
    <w:p w14:paraId="31C5B310">
      <w:pPr>
        <w:pStyle w:val="4"/>
        <w:numPr>
          <w:ilvl w:val="1"/>
          <w:numId w:val="2"/>
        </w:numPr>
        <w:jc w:val="left"/>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竞争性磋商文件的修改</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12B0CA6F">
      <w:pPr>
        <w:wordWrap/>
        <w:topLinePunct w:val="0"/>
        <w:spacing w:line="360" w:lineRule="auto"/>
        <w:ind w:firstLine="480" w:firstLineChars="200"/>
        <w:rPr>
          <w:rFonts w:hint="eastAsia" w:ascii="宋体" w:hAnsi="宋体" w:eastAsia="宋体" w:cs="宋体"/>
          <w:color w:val="auto"/>
          <w:sz w:val="24"/>
          <w:szCs w:val="24"/>
          <w:highlight w:val="none"/>
        </w:rPr>
      </w:pPr>
      <w:bookmarkStart w:id="271" w:name="_Toc270604592"/>
      <w:bookmarkStart w:id="272" w:name="_Toc12045"/>
      <w:r>
        <w:rPr>
          <w:rFonts w:hint="eastAsia" w:ascii="宋体" w:hAnsi="宋体" w:eastAsia="宋体" w:cs="宋体"/>
          <w:color w:val="auto"/>
          <w:sz w:val="24"/>
          <w:szCs w:val="24"/>
          <w:highlight w:val="none"/>
        </w:rPr>
        <w:t>2.3.1采购代理机构可以登陆电子交易系统修改</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文件，并通知所有已购买</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rPr>
        <w:t>文件的投标人。修改磋商文件的时间距供应商须知前附表规定的投标截止时间不足5天的，并且澄清内容影响响应文件编制的，将在电子交易系统内相应延长投标截止时间。</w:t>
      </w:r>
    </w:p>
    <w:p w14:paraId="6AACE563">
      <w:pPr>
        <w:pStyle w:val="8"/>
        <w:rPr>
          <w:rFonts w:hint="eastAsia" w:ascii="宋体" w:hAnsi="宋体" w:eastAsia="宋体" w:cs="宋体"/>
          <w:color w:val="auto"/>
          <w:sz w:val="24"/>
          <w:szCs w:val="24"/>
          <w:highlight w:val="none"/>
        </w:rPr>
      </w:pPr>
    </w:p>
    <w:p w14:paraId="5365D257">
      <w:pPr>
        <w:pStyle w:val="8"/>
        <w:keepNext w:val="0"/>
        <w:keepLines w:val="0"/>
        <w:pageBreakBefore w:val="0"/>
        <w:widowControl w:val="0"/>
        <w:numPr>
          <w:ilvl w:val="0"/>
          <w:numId w:val="2"/>
        </w:numPr>
        <w:tabs>
          <w:tab w:val="left" w:pos="360"/>
        </w:tabs>
        <w:kinsoku/>
        <w:wordWrap/>
        <w:overflowPunct/>
        <w:topLinePunct w:val="0"/>
        <w:autoSpaceDE w:val="0"/>
        <w:autoSpaceDN w:val="0"/>
        <w:bidi w:val="0"/>
        <w:adjustRightInd w:val="0"/>
        <w:snapToGrid w:val="0"/>
        <w:spacing w:line="360" w:lineRule="auto"/>
        <w:ind w:left="0" w:firstLine="0"/>
        <w:contextualSpacing/>
        <w:jc w:val="both"/>
        <w:textAlignment w:val="auto"/>
        <w:outlineLvl w:val="1"/>
        <w:rPr>
          <w:rStyle w:val="35"/>
          <w:rFonts w:hint="eastAsia" w:ascii="宋体" w:hAnsi="宋体" w:eastAsia="宋体" w:cs="宋体"/>
          <w:color w:val="auto"/>
          <w:sz w:val="24"/>
          <w:szCs w:val="24"/>
          <w:highlight w:val="none"/>
        </w:rPr>
      </w:pPr>
      <w:bookmarkStart w:id="273" w:name="_Toc17615"/>
      <w:bookmarkStart w:id="274" w:name="_Toc28297"/>
      <w:bookmarkStart w:id="275" w:name="_Toc29623301"/>
      <w:bookmarkStart w:id="276" w:name="_Toc16518"/>
      <w:r>
        <w:rPr>
          <w:rStyle w:val="35"/>
          <w:rFonts w:hint="eastAsia" w:ascii="宋体" w:hAnsi="宋体" w:eastAsia="宋体" w:cs="宋体"/>
          <w:color w:val="auto"/>
          <w:sz w:val="24"/>
          <w:szCs w:val="24"/>
          <w:highlight w:val="none"/>
        </w:rPr>
        <w:t>磋商响应文件</w:t>
      </w:r>
      <w:bookmarkEnd w:id="271"/>
      <w:bookmarkEnd w:id="272"/>
      <w:r>
        <w:rPr>
          <w:rStyle w:val="35"/>
          <w:rFonts w:hint="eastAsia" w:ascii="宋体" w:hAnsi="宋体" w:eastAsia="宋体" w:cs="宋体"/>
          <w:color w:val="auto"/>
          <w:sz w:val="24"/>
          <w:szCs w:val="24"/>
          <w:highlight w:val="none"/>
        </w:rPr>
        <w:t>编写</w:t>
      </w:r>
      <w:bookmarkEnd w:id="273"/>
      <w:bookmarkEnd w:id="274"/>
      <w:bookmarkEnd w:id="275"/>
      <w:bookmarkEnd w:id="276"/>
    </w:p>
    <w:p w14:paraId="15791B1F">
      <w:pPr>
        <w:pStyle w:val="4"/>
        <w:numPr>
          <w:ilvl w:val="1"/>
          <w:numId w:val="2"/>
        </w:numPr>
        <w:jc w:val="left"/>
        <w:rPr>
          <w:rFonts w:hint="eastAsia" w:ascii="宋体" w:hAnsi="宋体" w:eastAsia="宋体" w:cs="宋体"/>
          <w:bCs w:val="0"/>
          <w:color w:val="auto"/>
          <w:sz w:val="24"/>
          <w:szCs w:val="24"/>
          <w:highlight w:val="none"/>
        </w:rPr>
      </w:pPr>
      <w:bookmarkStart w:id="277" w:name="_Toc6521"/>
      <w:bookmarkStart w:id="278" w:name="_Toc454788026"/>
      <w:bookmarkStart w:id="279" w:name="_Toc27753953"/>
      <w:bookmarkStart w:id="280" w:name="_Toc270604593"/>
      <w:bookmarkStart w:id="281" w:name="_Toc26455"/>
      <w:bookmarkStart w:id="282" w:name="_Toc20143"/>
      <w:bookmarkStart w:id="283" w:name="_Toc270604820"/>
      <w:bookmarkStart w:id="284" w:name="_Toc455678118"/>
      <w:bookmarkStart w:id="285" w:name="_Toc12181"/>
      <w:bookmarkStart w:id="286" w:name="_Toc277149382"/>
      <w:bookmarkStart w:id="287" w:name="_Toc29623302"/>
      <w:bookmarkStart w:id="288" w:name="_Toc428351646"/>
      <w:bookmarkStart w:id="289" w:name="_Toc428276586"/>
      <w:bookmarkStart w:id="290" w:name="_Toc463011271"/>
      <w:bookmarkStart w:id="291" w:name="_Toc462934292"/>
      <w:bookmarkStart w:id="292" w:name="_Toc269470312"/>
      <w:r>
        <w:rPr>
          <w:rFonts w:hint="eastAsia" w:ascii="宋体" w:hAnsi="宋体" w:eastAsia="宋体" w:cs="宋体"/>
          <w:bCs w:val="0"/>
          <w:color w:val="auto"/>
          <w:sz w:val="24"/>
          <w:szCs w:val="24"/>
          <w:highlight w:val="none"/>
        </w:rPr>
        <w:t>磋商响应文件的组成</w:t>
      </w:r>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3B8040EB">
      <w:pPr>
        <w:pStyle w:val="8"/>
        <w:snapToGrid w:val="0"/>
        <w:spacing w:line="360" w:lineRule="auto"/>
        <w:ind w:left="540"/>
        <w:contextualSpacing/>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磋商响应文件应包括下列内容：</w:t>
      </w:r>
    </w:p>
    <w:p w14:paraId="11701B6D">
      <w:pPr>
        <w:ind w:leftChars="200"/>
        <w:rPr>
          <w:rFonts w:hint="eastAsia" w:ascii="宋体" w:hAnsi="宋体" w:eastAsia="宋体" w:cs="宋体"/>
          <w:color w:val="auto"/>
          <w:highlight w:val="none"/>
          <w:lang w:val="zh-CN" w:eastAsia="zh-CN"/>
        </w:rPr>
      </w:pPr>
      <w:bookmarkStart w:id="293" w:name="_Toc462934293"/>
      <w:bookmarkStart w:id="294" w:name="_Toc455678119"/>
      <w:bookmarkStart w:id="295" w:name="_Toc4803"/>
      <w:bookmarkStart w:id="296" w:name="_Toc22898"/>
      <w:bookmarkStart w:id="297" w:name="_Toc463011272"/>
      <w:bookmarkStart w:id="298" w:name="_Toc21496"/>
      <w:bookmarkStart w:id="299" w:name="_Toc277149384"/>
      <w:bookmarkStart w:id="300" w:name="_Toc269470314"/>
      <w:bookmarkStart w:id="301" w:name="_Toc270604822"/>
      <w:bookmarkStart w:id="302" w:name="_Toc270604595"/>
      <w:r>
        <w:rPr>
          <w:rFonts w:hint="eastAsia" w:ascii="宋体" w:hAnsi="宋体" w:eastAsia="宋体" w:cs="宋体"/>
          <w:color w:val="auto"/>
          <w:highlight w:val="none"/>
          <w:lang w:val="en-US" w:eastAsia="zh-CN"/>
        </w:rPr>
        <w:t>一、磋商</w:t>
      </w:r>
      <w:r>
        <w:rPr>
          <w:rFonts w:hint="eastAsia" w:ascii="宋体" w:hAnsi="宋体" w:eastAsia="宋体" w:cs="宋体"/>
          <w:color w:val="auto"/>
          <w:highlight w:val="none"/>
          <w:lang w:val="zh-CN" w:eastAsia="zh-CN"/>
        </w:rPr>
        <w:t>函及</w:t>
      </w:r>
      <w:r>
        <w:rPr>
          <w:rFonts w:hint="eastAsia" w:ascii="宋体" w:hAnsi="宋体" w:eastAsia="宋体" w:cs="宋体"/>
          <w:color w:val="auto"/>
          <w:highlight w:val="none"/>
          <w:lang w:val="en-US" w:eastAsia="zh-CN"/>
        </w:rPr>
        <w:t>磋商</w:t>
      </w:r>
      <w:r>
        <w:rPr>
          <w:rFonts w:hint="eastAsia" w:ascii="宋体" w:hAnsi="宋体" w:eastAsia="宋体" w:cs="宋体"/>
          <w:color w:val="auto"/>
          <w:highlight w:val="none"/>
          <w:lang w:val="zh-CN" w:eastAsia="zh-CN"/>
        </w:rPr>
        <w:t>函附录</w:t>
      </w:r>
    </w:p>
    <w:p w14:paraId="60B7DF5A">
      <w:pPr>
        <w:ind w:left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zh-CN" w:eastAsia="zh-CN"/>
        </w:rPr>
        <w:t>二、</w:t>
      </w:r>
      <w:r>
        <w:rPr>
          <w:rFonts w:hint="eastAsia" w:ascii="宋体" w:hAnsi="宋体" w:eastAsia="宋体" w:cs="宋体"/>
          <w:color w:val="auto"/>
          <w:highlight w:val="none"/>
          <w:lang w:val="en-US" w:eastAsia="zh-CN"/>
        </w:rPr>
        <w:t>法定代表人身份证明或授权委托书</w:t>
      </w:r>
    </w:p>
    <w:p w14:paraId="56A5ECF3">
      <w:pPr>
        <w:ind w:leftChars="200"/>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eastAsia="zh-CN"/>
        </w:rPr>
        <w:t>三、响应承诺函</w:t>
      </w:r>
    </w:p>
    <w:p w14:paraId="05926EAB">
      <w:pPr>
        <w:ind w:leftChars="200"/>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eastAsia="zh-CN"/>
        </w:rPr>
        <w:t>四、供应商资格证明文件</w:t>
      </w:r>
    </w:p>
    <w:p w14:paraId="056EC319">
      <w:pPr>
        <w:ind w:left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zh-CN" w:eastAsia="zh-CN"/>
        </w:rPr>
        <w:t>五、</w:t>
      </w:r>
      <w:r>
        <w:rPr>
          <w:rFonts w:hint="eastAsia" w:ascii="宋体" w:hAnsi="宋体" w:eastAsia="宋体" w:cs="宋体"/>
          <w:color w:val="auto"/>
          <w:highlight w:val="none"/>
          <w:lang w:val="en-US" w:eastAsia="zh-CN"/>
        </w:rPr>
        <w:t>技术部分</w:t>
      </w:r>
    </w:p>
    <w:p w14:paraId="1BE9947F">
      <w:pPr>
        <w:ind w:leftChars="2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zh-CN" w:eastAsia="zh-CN"/>
        </w:rPr>
        <w:t>六、</w:t>
      </w:r>
      <w:r>
        <w:rPr>
          <w:rFonts w:hint="eastAsia" w:ascii="宋体" w:hAnsi="宋体" w:eastAsia="宋体" w:cs="宋体"/>
          <w:color w:val="auto"/>
          <w:highlight w:val="none"/>
          <w:lang w:val="en-US" w:eastAsia="zh-CN"/>
        </w:rPr>
        <w:t>商务部分</w:t>
      </w:r>
    </w:p>
    <w:p w14:paraId="1629DC4D">
      <w:pPr>
        <w:ind w:leftChars="200"/>
        <w:rPr>
          <w:rFonts w:hint="eastAsia" w:ascii="宋体" w:hAnsi="宋体" w:eastAsia="宋体" w:cs="宋体"/>
          <w:color w:val="auto"/>
          <w:highlight w:val="none"/>
          <w:lang w:val="zh-CN" w:eastAsia="zh-CN"/>
        </w:rPr>
      </w:pPr>
      <w:r>
        <w:rPr>
          <w:rFonts w:hint="eastAsia" w:ascii="宋体" w:hAnsi="宋体" w:eastAsia="宋体" w:cs="宋体"/>
          <w:color w:val="auto"/>
          <w:highlight w:val="none"/>
          <w:lang w:val="zh-CN" w:eastAsia="zh-CN"/>
        </w:rPr>
        <w:t>七、人员配备状况</w:t>
      </w:r>
    </w:p>
    <w:p w14:paraId="136B8502">
      <w:pPr>
        <w:numPr>
          <w:ilvl w:val="0"/>
          <w:numId w:val="0"/>
        </w:numPr>
        <w:wordWrap/>
        <w:topLinePunct w:val="0"/>
        <w:autoSpaceDE w:val="0"/>
        <w:autoSpaceDN w:val="0"/>
        <w:adjustRightInd w:val="0"/>
        <w:spacing w:line="360" w:lineRule="auto"/>
        <w:ind w:leftChars="200" w:right="40" w:rightChars="0"/>
        <w:jc w:val="left"/>
        <w:rPr>
          <w:rFonts w:hint="eastAsia" w:ascii="宋体" w:hAnsi="宋体" w:eastAsia="宋体" w:cs="宋体"/>
          <w:color w:val="auto"/>
          <w:kern w:val="0"/>
          <w:sz w:val="24"/>
          <w:szCs w:val="24"/>
          <w:highlight w:val="none"/>
        </w:rPr>
      </w:pPr>
      <w:r>
        <w:rPr>
          <w:rFonts w:hint="eastAsia" w:ascii="宋体" w:hAnsi="宋体" w:eastAsia="宋体" w:cs="宋体"/>
          <w:color w:val="auto"/>
          <w:highlight w:val="none"/>
          <w:lang w:val="en-US" w:eastAsia="zh-CN"/>
        </w:rPr>
        <w:t>八、其他资料</w:t>
      </w:r>
    </w:p>
    <w:p w14:paraId="01977F81">
      <w:pPr>
        <w:pStyle w:val="4"/>
        <w:numPr>
          <w:ilvl w:val="1"/>
          <w:numId w:val="2"/>
        </w:numPr>
        <w:jc w:val="left"/>
        <w:rPr>
          <w:rFonts w:hint="eastAsia" w:ascii="宋体" w:hAnsi="宋体" w:eastAsia="宋体" w:cs="宋体"/>
          <w:bCs w:val="0"/>
          <w:color w:val="auto"/>
          <w:sz w:val="24"/>
          <w:szCs w:val="24"/>
          <w:highlight w:val="none"/>
        </w:rPr>
      </w:pPr>
      <w:bookmarkStart w:id="303" w:name="_Toc27753954"/>
      <w:bookmarkStart w:id="304" w:name="_Toc4889"/>
      <w:bookmarkStart w:id="305" w:name="_Toc29623303"/>
      <w:r>
        <w:rPr>
          <w:rFonts w:hint="eastAsia" w:ascii="宋体" w:hAnsi="宋体" w:eastAsia="宋体" w:cs="宋体"/>
          <w:bCs w:val="0"/>
          <w:color w:val="auto"/>
          <w:sz w:val="24"/>
          <w:szCs w:val="24"/>
          <w:highlight w:val="none"/>
        </w:rPr>
        <w:t>磋商价格构成及报价要求</w:t>
      </w:r>
      <w:bookmarkEnd w:id="293"/>
      <w:bookmarkEnd w:id="294"/>
      <w:bookmarkEnd w:id="295"/>
      <w:bookmarkEnd w:id="296"/>
      <w:bookmarkEnd w:id="297"/>
      <w:bookmarkEnd w:id="298"/>
      <w:bookmarkEnd w:id="303"/>
      <w:bookmarkEnd w:id="304"/>
      <w:bookmarkEnd w:id="305"/>
    </w:p>
    <w:p w14:paraId="19AAB938">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306" w:name="_Toc455678120"/>
      <w:bookmarkStart w:id="307" w:name="_Toc462934294"/>
      <w:bookmarkStart w:id="308" w:name="_Toc17969"/>
      <w:bookmarkStart w:id="309" w:name="_Toc58"/>
      <w:bookmarkStart w:id="310" w:name="_Toc454788028"/>
      <w:bookmarkStart w:id="311" w:name="_Toc428351648"/>
      <w:bookmarkStart w:id="312" w:name="_Toc463011273"/>
      <w:bookmarkStart w:id="313" w:name="_Toc9193"/>
      <w:bookmarkStart w:id="314" w:name="_Toc428276588"/>
      <w:r>
        <w:rPr>
          <w:rFonts w:hint="eastAsia" w:ascii="宋体" w:hAnsi="宋体" w:eastAsia="宋体" w:cs="宋体"/>
          <w:color w:val="auto"/>
          <w:sz w:val="24"/>
          <w:szCs w:val="24"/>
          <w:highlight w:val="none"/>
        </w:rPr>
        <w:t>磋商报价应是指满足</w:t>
      </w:r>
      <w:r>
        <w:rPr>
          <w:rFonts w:hint="eastAsia" w:ascii="宋体" w:hAnsi="宋体" w:eastAsia="宋体" w:cs="宋体"/>
          <w:color w:val="auto"/>
          <w:sz w:val="24"/>
          <w:szCs w:val="24"/>
          <w:highlight w:val="none"/>
          <w:lang w:eastAsia="zh-CN"/>
        </w:rPr>
        <w:t>采购内容及要求</w:t>
      </w:r>
      <w:r>
        <w:rPr>
          <w:rFonts w:hint="eastAsia" w:ascii="宋体" w:hAnsi="宋体" w:eastAsia="宋体" w:cs="宋体"/>
          <w:color w:val="auto"/>
          <w:sz w:val="24"/>
          <w:szCs w:val="24"/>
          <w:highlight w:val="none"/>
        </w:rPr>
        <w:t>所需的全部费用。</w:t>
      </w:r>
    </w:p>
    <w:p w14:paraId="04B51276">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成交总报价为成交供应商在竞争性磋商文件中提出的各项支付金额的总和。</w:t>
      </w:r>
    </w:p>
    <w:p w14:paraId="168F2CFC">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成交供应商的竞争性磋商报价均包括完成该项目的成本、利润、税金、风险等所有伴随的其他费用。</w:t>
      </w:r>
    </w:p>
    <w:p w14:paraId="7CC1E944">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成交供应商不得以任何理由在竞争性磋商截止后对竞争性磋商报价予以修改，报价在磋商有效期内是固定的，不因任何原因而改变。任何包含价格调整要求和条件的磋商，将被视为非实质性响应磋商而予与拒绝。</w:t>
      </w:r>
    </w:p>
    <w:p w14:paraId="1CC19345">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的磋商报价应按照竞争性磋商文件、补充通知、答疑纪要、现场情况、承包范围，并充分考虑服务期间各类市场风险和国家政策性调整等风险系数，由各供应商根据自身情况，在合理范围内，自主考虑、优惠报价，但不得低于企业成本。</w:t>
      </w:r>
    </w:p>
    <w:p w14:paraId="587529B8">
      <w:pPr>
        <w:pStyle w:val="4"/>
        <w:numPr>
          <w:ilvl w:val="1"/>
          <w:numId w:val="2"/>
        </w:numPr>
        <w:jc w:val="left"/>
        <w:rPr>
          <w:rFonts w:hint="eastAsia" w:ascii="宋体" w:hAnsi="宋体" w:eastAsia="宋体" w:cs="宋体"/>
          <w:bCs w:val="0"/>
          <w:color w:val="auto"/>
          <w:sz w:val="24"/>
          <w:szCs w:val="24"/>
          <w:highlight w:val="none"/>
        </w:rPr>
      </w:pPr>
      <w:bookmarkStart w:id="315" w:name="_Toc27753955"/>
      <w:bookmarkStart w:id="316" w:name="_Toc29623304"/>
      <w:bookmarkStart w:id="317" w:name="_Toc5505"/>
      <w:r>
        <w:rPr>
          <w:rFonts w:hint="eastAsia" w:ascii="宋体" w:hAnsi="宋体" w:eastAsia="宋体" w:cs="宋体"/>
          <w:bCs w:val="0"/>
          <w:color w:val="auto"/>
          <w:sz w:val="24"/>
          <w:szCs w:val="24"/>
          <w:highlight w:val="none"/>
        </w:rPr>
        <w:t>磋商有效期</w:t>
      </w:r>
      <w:bookmarkEnd w:id="299"/>
      <w:bookmarkEnd w:id="300"/>
      <w:bookmarkEnd w:id="301"/>
      <w:bookmarkEnd w:id="302"/>
      <w:bookmarkEnd w:id="306"/>
      <w:bookmarkEnd w:id="307"/>
      <w:bookmarkEnd w:id="308"/>
      <w:bookmarkEnd w:id="309"/>
      <w:bookmarkEnd w:id="310"/>
      <w:bookmarkEnd w:id="311"/>
      <w:bookmarkEnd w:id="312"/>
      <w:bookmarkEnd w:id="313"/>
      <w:bookmarkEnd w:id="314"/>
      <w:bookmarkEnd w:id="315"/>
      <w:bookmarkEnd w:id="316"/>
      <w:bookmarkEnd w:id="317"/>
    </w:p>
    <w:p w14:paraId="17CBFFCA">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磋商有效期见供应商须知前附表，从提交首次响应文件的截止之日起算。</w:t>
      </w:r>
    </w:p>
    <w:p w14:paraId="3AE2301A">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在磋商有效期内，供应商撤销响应文件的，应承担竞争性磋商文件和法律规定的责任。</w:t>
      </w:r>
    </w:p>
    <w:p w14:paraId="0820E124">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出现特殊情况需要延长磋商有效期的，采购人以书面形式通知所有供应商延长磋商有效期。供应商应予以书面答复，但不得要求或被允许修改其响应文件；供应商拒绝延长的，其磋商失效。</w:t>
      </w:r>
    </w:p>
    <w:p w14:paraId="3A2105DE">
      <w:pPr>
        <w:pStyle w:val="4"/>
        <w:numPr>
          <w:ilvl w:val="1"/>
          <w:numId w:val="2"/>
        </w:numPr>
        <w:jc w:val="left"/>
        <w:rPr>
          <w:rFonts w:hint="eastAsia" w:ascii="宋体" w:hAnsi="宋体" w:eastAsia="宋体" w:cs="宋体"/>
          <w:color w:val="auto"/>
          <w:kern w:val="0"/>
          <w:sz w:val="24"/>
          <w:szCs w:val="24"/>
          <w:highlight w:val="none"/>
        </w:rPr>
      </w:pPr>
      <w:bookmarkStart w:id="318" w:name="_Toc454788029"/>
      <w:bookmarkStart w:id="319" w:name="_Toc428351649"/>
      <w:bookmarkStart w:id="320" w:name="_Toc12642"/>
      <w:bookmarkStart w:id="321" w:name="_Toc462934295"/>
      <w:bookmarkStart w:id="322" w:name="_Toc27753956"/>
      <w:bookmarkStart w:id="323" w:name="_Toc25039"/>
      <w:bookmarkStart w:id="324" w:name="_Toc15074"/>
      <w:bookmarkStart w:id="325" w:name="_Toc463011274"/>
      <w:bookmarkStart w:id="326" w:name="_Toc23856"/>
      <w:bookmarkStart w:id="327" w:name="_Toc455678121"/>
      <w:bookmarkStart w:id="328" w:name="_Toc29623305"/>
      <w:bookmarkStart w:id="329" w:name="_Toc428276589"/>
      <w:r>
        <w:rPr>
          <w:rFonts w:hint="eastAsia" w:ascii="宋体" w:hAnsi="宋体" w:eastAsia="宋体" w:cs="宋体"/>
          <w:bCs w:val="0"/>
          <w:color w:val="auto"/>
          <w:sz w:val="24"/>
          <w:szCs w:val="24"/>
          <w:highlight w:val="none"/>
        </w:rPr>
        <w:t>磋商保证金</w:t>
      </w:r>
      <w:bookmarkEnd w:id="318"/>
      <w:bookmarkEnd w:id="319"/>
      <w:bookmarkEnd w:id="320"/>
      <w:bookmarkEnd w:id="321"/>
      <w:bookmarkEnd w:id="322"/>
      <w:bookmarkEnd w:id="323"/>
      <w:bookmarkEnd w:id="324"/>
      <w:bookmarkEnd w:id="325"/>
      <w:bookmarkEnd w:id="326"/>
      <w:bookmarkEnd w:id="327"/>
      <w:bookmarkEnd w:id="328"/>
      <w:bookmarkEnd w:id="329"/>
      <w:r>
        <w:rPr>
          <w:rFonts w:hint="eastAsia" w:ascii="宋体" w:hAnsi="宋体" w:eastAsia="宋体" w:cs="宋体"/>
          <w:bCs w:val="0"/>
          <w:color w:val="auto"/>
          <w:sz w:val="24"/>
          <w:szCs w:val="24"/>
          <w:highlight w:val="none"/>
        </w:rPr>
        <w:t xml:space="preserve"> </w:t>
      </w:r>
    </w:p>
    <w:p w14:paraId="3B918535">
      <w:pPr>
        <w:wordWrap/>
        <w:topLinePunct w:val="0"/>
        <w:spacing w:line="360" w:lineRule="auto"/>
        <w:ind w:left="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不需要缴纳。</w:t>
      </w:r>
    </w:p>
    <w:p w14:paraId="64D02354">
      <w:pPr>
        <w:pStyle w:val="4"/>
        <w:numPr>
          <w:ilvl w:val="1"/>
          <w:numId w:val="2"/>
        </w:numPr>
        <w:jc w:val="left"/>
        <w:rPr>
          <w:rFonts w:hint="eastAsia" w:ascii="宋体" w:hAnsi="宋体" w:eastAsia="宋体" w:cs="宋体"/>
          <w:bCs w:val="0"/>
          <w:color w:val="auto"/>
          <w:sz w:val="24"/>
          <w:szCs w:val="24"/>
          <w:highlight w:val="none"/>
        </w:rPr>
      </w:pPr>
      <w:bookmarkStart w:id="330" w:name="_Toc270604823"/>
      <w:bookmarkStart w:id="331" w:name="_Toc455678122"/>
      <w:bookmarkStart w:id="332" w:name="_Toc24993"/>
      <w:bookmarkStart w:id="333" w:name="_Toc428351650"/>
      <w:bookmarkStart w:id="334" w:name="_Toc7919"/>
      <w:bookmarkStart w:id="335" w:name="_Toc29623306"/>
      <w:bookmarkStart w:id="336" w:name="_Toc32308"/>
      <w:bookmarkStart w:id="337" w:name="_Toc277149385"/>
      <w:bookmarkStart w:id="338" w:name="_Toc27753957"/>
      <w:bookmarkStart w:id="339" w:name="_Toc4446"/>
      <w:bookmarkStart w:id="340" w:name="_Toc462934296"/>
      <w:bookmarkStart w:id="341" w:name="_Toc428276590"/>
      <w:bookmarkStart w:id="342" w:name="_Toc269470318"/>
      <w:bookmarkStart w:id="343" w:name="_Toc463011275"/>
      <w:bookmarkStart w:id="344" w:name="_Toc454788030"/>
      <w:bookmarkStart w:id="345" w:name="_Toc270604596"/>
      <w:r>
        <w:rPr>
          <w:rFonts w:hint="eastAsia" w:ascii="宋体" w:hAnsi="宋体" w:eastAsia="宋体" w:cs="宋体"/>
          <w:bCs w:val="0"/>
          <w:color w:val="auto"/>
          <w:sz w:val="24"/>
          <w:szCs w:val="24"/>
          <w:highlight w:val="none"/>
        </w:rPr>
        <w:t>磋商响应文件的编制</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14:paraId="1143699C">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磋商响应文件应按第六章磋商响应文件格式进行编写，如有必要，可以增加附页，作为磋商响应文件的组成部分。其中，</w:t>
      </w:r>
      <w:r>
        <w:rPr>
          <w:rFonts w:hint="eastAsia" w:ascii="宋体" w:hAnsi="宋体" w:eastAsia="宋体" w:cs="宋体"/>
          <w:color w:val="auto"/>
          <w:sz w:val="24"/>
          <w:szCs w:val="24"/>
          <w:highlight w:val="none"/>
          <w:lang w:val="en-US" w:eastAsia="zh-CN"/>
        </w:rPr>
        <w:t>磋商函及磋商函</w:t>
      </w:r>
      <w:r>
        <w:rPr>
          <w:rFonts w:hint="eastAsia" w:ascii="宋体" w:hAnsi="宋体" w:eastAsia="宋体" w:cs="宋体"/>
          <w:color w:val="auto"/>
          <w:sz w:val="24"/>
          <w:szCs w:val="24"/>
          <w:highlight w:val="none"/>
        </w:rPr>
        <w:t>附录在满足竞争性磋商文件实质性要求的基础上，可以提出比竞争性磋商文件要求更有利于采购人的承诺。</w:t>
      </w:r>
    </w:p>
    <w:p w14:paraId="10215E94">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磋商响应文件应当对竞争性磋商文件有关磋商报价、服务期限、服务地点、磋商有效期、</w:t>
      </w:r>
      <w:r>
        <w:rPr>
          <w:rFonts w:hint="eastAsia" w:ascii="宋体" w:hAnsi="宋体" w:eastAsia="宋体" w:cs="宋体"/>
          <w:color w:val="auto"/>
          <w:sz w:val="24"/>
          <w:szCs w:val="24"/>
          <w:highlight w:val="none"/>
          <w:lang w:eastAsia="zh-CN"/>
        </w:rPr>
        <w:t>服务标准</w:t>
      </w:r>
      <w:r>
        <w:rPr>
          <w:rFonts w:hint="eastAsia" w:ascii="宋体" w:hAnsi="宋体" w:eastAsia="宋体" w:cs="宋体"/>
          <w:color w:val="auto"/>
          <w:sz w:val="24"/>
          <w:szCs w:val="24"/>
          <w:highlight w:val="none"/>
        </w:rPr>
        <w:t>等实质性内容作出响应。</w:t>
      </w:r>
    </w:p>
    <w:p w14:paraId="33AC38D9">
      <w:pPr>
        <w:wordWrap/>
        <w:topLinePunct w:val="0"/>
        <w:autoSpaceDE w:val="0"/>
        <w:autoSpaceDN w:val="0"/>
        <w:adjustRightInd w:val="0"/>
        <w:spacing w:line="360" w:lineRule="auto"/>
        <w:ind w:right="41"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3.5.3</w:t>
      </w:r>
      <w:r>
        <w:rPr>
          <w:rFonts w:hint="eastAsia" w:ascii="宋体" w:hAnsi="宋体" w:eastAsia="宋体" w:cs="宋体"/>
          <w:color w:val="auto"/>
          <w:spacing w:val="2"/>
          <w:kern w:val="0"/>
          <w:sz w:val="24"/>
          <w:szCs w:val="24"/>
          <w:highlight w:val="none"/>
        </w:rPr>
        <w:t>磋商</w:t>
      </w:r>
      <w:r>
        <w:rPr>
          <w:rFonts w:hint="eastAsia" w:ascii="宋体" w:hAnsi="宋体" w:eastAsia="宋体" w:cs="宋体"/>
          <w:color w:val="auto"/>
          <w:kern w:val="0"/>
          <w:sz w:val="24"/>
          <w:szCs w:val="24"/>
          <w:highlight w:val="none"/>
        </w:rPr>
        <w:t>响应文件</w:t>
      </w:r>
      <w:r>
        <w:rPr>
          <w:rFonts w:hint="eastAsia" w:ascii="宋体" w:hAnsi="宋体" w:eastAsia="宋体" w:cs="宋体"/>
          <w:color w:val="auto"/>
          <w:spacing w:val="2"/>
          <w:kern w:val="0"/>
          <w:sz w:val="24"/>
          <w:szCs w:val="24"/>
          <w:highlight w:val="none"/>
        </w:rPr>
        <w:t>全</w:t>
      </w:r>
      <w:r>
        <w:rPr>
          <w:rFonts w:hint="eastAsia" w:ascii="宋体" w:hAnsi="宋体" w:eastAsia="宋体" w:cs="宋体"/>
          <w:color w:val="auto"/>
          <w:kern w:val="0"/>
          <w:sz w:val="24"/>
          <w:szCs w:val="24"/>
          <w:highlight w:val="none"/>
        </w:rPr>
        <w:t>部</w:t>
      </w:r>
      <w:r>
        <w:rPr>
          <w:rFonts w:hint="eastAsia" w:ascii="宋体" w:hAnsi="宋体" w:eastAsia="宋体" w:cs="宋体"/>
          <w:color w:val="auto"/>
          <w:spacing w:val="2"/>
          <w:kern w:val="0"/>
          <w:sz w:val="24"/>
          <w:szCs w:val="24"/>
          <w:highlight w:val="none"/>
        </w:rPr>
        <w:t>采用电</w:t>
      </w:r>
      <w:r>
        <w:rPr>
          <w:rFonts w:hint="eastAsia" w:ascii="宋体" w:hAnsi="宋体" w:eastAsia="宋体" w:cs="宋体"/>
          <w:color w:val="auto"/>
          <w:kern w:val="0"/>
          <w:sz w:val="24"/>
          <w:szCs w:val="24"/>
          <w:highlight w:val="none"/>
        </w:rPr>
        <w:t>子</w:t>
      </w:r>
      <w:r>
        <w:rPr>
          <w:rFonts w:hint="eastAsia" w:ascii="宋体" w:hAnsi="宋体" w:eastAsia="宋体" w:cs="宋体"/>
          <w:color w:val="auto"/>
          <w:spacing w:val="2"/>
          <w:kern w:val="0"/>
          <w:sz w:val="24"/>
          <w:szCs w:val="24"/>
          <w:highlight w:val="none"/>
        </w:rPr>
        <w:t>文</w:t>
      </w:r>
      <w:r>
        <w:rPr>
          <w:rFonts w:hint="eastAsia" w:ascii="宋体" w:hAnsi="宋体" w:eastAsia="宋体" w:cs="宋体"/>
          <w:color w:val="auto"/>
          <w:kern w:val="0"/>
          <w:sz w:val="24"/>
          <w:szCs w:val="24"/>
          <w:highlight w:val="none"/>
        </w:rPr>
        <w:t>档</w:t>
      </w:r>
      <w:r>
        <w:rPr>
          <w:rFonts w:hint="eastAsia" w:ascii="宋体" w:hAnsi="宋体" w:eastAsia="宋体" w:cs="宋体"/>
          <w:color w:val="auto"/>
          <w:spacing w:val="5"/>
          <w:kern w:val="0"/>
          <w:sz w:val="24"/>
          <w:szCs w:val="24"/>
          <w:highlight w:val="none"/>
        </w:rPr>
        <w:t>，</w:t>
      </w:r>
      <w:r>
        <w:rPr>
          <w:rFonts w:hint="eastAsia" w:ascii="宋体" w:hAnsi="宋体" w:eastAsia="宋体" w:cs="宋体"/>
          <w:color w:val="auto"/>
          <w:spacing w:val="2"/>
          <w:kern w:val="0"/>
          <w:sz w:val="24"/>
          <w:szCs w:val="24"/>
          <w:highlight w:val="none"/>
        </w:rPr>
        <w:t>除</w:t>
      </w:r>
      <w:r>
        <w:rPr>
          <w:rFonts w:hint="eastAsia" w:ascii="宋体" w:hAnsi="宋体" w:eastAsia="宋体" w:cs="宋体"/>
          <w:color w:val="auto"/>
          <w:kern w:val="0"/>
          <w:sz w:val="24"/>
          <w:szCs w:val="24"/>
          <w:highlight w:val="none"/>
        </w:rPr>
        <w:t>供应商</w:t>
      </w:r>
      <w:r>
        <w:rPr>
          <w:rFonts w:hint="eastAsia" w:ascii="宋体" w:hAnsi="宋体" w:eastAsia="宋体" w:cs="宋体"/>
          <w:color w:val="auto"/>
          <w:spacing w:val="2"/>
          <w:kern w:val="0"/>
          <w:sz w:val="24"/>
          <w:szCs w:val="24"/>
          <w:highlight w:val="none"/>
        </w:rPr>
        <w:t>须知前</w:t>
      </w:r>
      <w:r>
        <w:rPr>
          <w:rFonts w:hint="eastAsia" w:ascii="宋体" w:hAnsi="宋体" w:eastAsia="宋体" w:cs="宋体"/>
          <w:color w:val="auto"/>
          <w:kern w:val="0"/>
          <w:sz w:val="24"/>
          <w:szCs w:val="24"/>
          <w:highlight w:val="none"/>
        </w:rPr>
        <w:t>附</w:t>
      </w:r>
      <w:r>
        <w:rPr>
          <w:rFonts w:hint="eastAsia" w:ascii="宋体" w:hAnsi="宋体" w:eastAsia="宋体" w:cs="宋体"/>
          <w:color w:val="auto"/>
          <w:spacing w:val="2"/>
          <w:kern w:val="0"/>
          <w:sz w:val="24"/>
          <w:szCs w:val="24"/>
          <w:highlight w:val="none"/>
        </w:rPr>
        <w:t>表</w:t>
      </w:r>
      <w:r>
        <w:rPr>
          <w:rFonts w:hint="eastAsia" w:ascii="宋体" w:hAnsi="宋体" w:eastAsia="宋体" w:cs="宋体"/>
          <w:color w:val="auto"/>
          <w:kern w:val="0"/>
          <w:sz w:val="24"/>
          <w:szCs w:val="24"/>
          <w:highlight w:val="none"/>
        </w:rPr>
        <w:t>另</w:t>
      </w:r>
      <w:r>
        <w:rPr>
          <w:rFonts w:hint="eastAsia" w:ascii="宋体" w:hAnsi="宋体" w:eastAsia="宋体" w:cs="宋体"/>
          <w:color w:val="auto"/>
          <w:spacing w:val="2"/>
          <w:kern w:val="0"/>
          <w:sz w:val="24"/>
          <w:szCs w:val="24"/>
          <w:highlight w:val="none"/>
        </w:rPr>
        <w:t>有规</w:t>
      </w:r>
      <w:r>
        <w:rPr>
          <w:rFonts w:hint="eastAsia" w:ascii="宋体" w:hAnsi="宋体" w:eastAsia="宋体" w:cs="宋体"/>
          <w:color w:val="auto"/>
          <w:kern w:val="0"/>
          <w:sz w:val="24"/>
          <w:szCs w:val="24"/>
          <w:highlight w:val="none"/>
        </w:rPr>
        <w:t>定</w:t>
      </w:r>
      <w:r>
        <w:rPr>
          <w:rFonts w:hint="eastAsia" w:ascii="宋体" w:hAnsi="宋体" w:eastAsia="宋体" w:cs="宋体"/>
          <w:color w:val="auto"/>
          <w:spacing w:val="2"/>
          <w:kern w:val="0"/>
          <w:sz w:val="24"/>
          <w:szCs w:val="24"/>
          <w:highlight w:val="none"/>
        </w:rPr>
        <w:t>外</w:t>
      </w:r>
      <w:r>
        <w:rPr>
          <w:rFonts w:hint="eastAsia" w:ascii="宋体" w:hAnsi="宋体" w:eastAsia="宋体" w:cs="宋体"/>
          <w:color w:val="auto"/>
          <w:spacing w:val="3"/>
          <w:kern w:val="0"/>
          <w:sz w:val="24"/>
          <w:szCs w:val="24"/>
          <w:highlight w:val="none"/>
        </w:rPr>
        <w:t>，</w:t>
      </w:r>
      <w:r>
        <w:rPr>
          <w:rFonts w:hint="eastAsia" w:ascii="宋体" w:hAnsi="宋体" w:eastAsia="宋体" w:cs="宋体"/>
          <w:color w:val="auto"/>
          <w:spacing w:val="2"/>
          <w:kern w:val="0"/>
          <w:sz w:val="24"/>
          <w:szCs w:val="24"/>
          <w:highlight w:val="none"/>
        </w:rPr>
        <w:t>响应文件所</w:t>
      </w:r>
      <w:r>
        <w:rPr>
          <w:rFonts w:hint="eastAsia" w:ascii="宋体" w:hAnsi="宋体" w:eastAsia="宋体" w:cs="宋体"/>
          <w:color w:val="auto"/>
          <w:kern w:val="0"/>
          <w:sz w:val="24"/>
          <w:szCs w:val="24"/>
          <w:highlight w:val="none"/>
        </w:rPr>
        <w:t>附证书证件均为原</w:t>
      </w:r>
      <w:r>
        <w:rPr>
          <w:rFonts w:hint="eastAsia" w:ascii="宋体" w:hAnsi="宋体" w:eastAsia="宋体" w:cs="宋体"/>
          <w:color w:val="auto"/>
          <w:spacing w:val="-2"/>
          <w:kern w:val="0"/>
          <w:sz w:val="24"/>
          <w:szCs w:val="24"/>
          <w:highlight w:val="none"/>
        </w:rPr>
        <w:t>件</w:t>
      </w:r>
      <w:r>
        <w:rPr>
          <w:rFonts w:hint="eastAsia" w:ascii="宋体" w:hAnsi="宋体" w:eastAsia="宋体" w:cs="宋体"/>
          <w:color w:val="auto"/>
          <w:kern w:val="0"/>
          <w:sz w:val="24"/>
          <w:szCs w:val="24"/>
          <w:highlight w:val="none"/>
        </w:rPr>
        <w:t>扫描</w:t>
      </w:r>
      <w:r>
        <w:rPr>
          <w:rFonts w:hint="eastAsia" w:ascii="宋体" w:hAnsi="宋体" w:eastAsia="宋体" w:cs="宋体"/>
          <w:color w:val="auto"/>
          <w:spacing w:val="-2"/>
          <w:kern w:val="0"/>
          <w:sz w:val="24"/>
          <w:szCs w:val="24"/>
          <w:highlight w:val="none"/>
        </w:rPr>
        <w:t>件</w:t>
      </w:r>
      <w:r>
        <w:rPr>
          <w:rFonts w:hint="eastAsia" w:ascii="宋体" w:hAnsi="宋体" w:eastAsia="宋体" w:cs="宋体"/>
          <w:color w:val="auto"/>
          <w:kern w:val="0"/>
          <w:sz w:val="24"/>
          <w:szCs w:val="24"/>
          <w:highlight w:val="none"/>
        </w:rPr>
        <w:t>，并采用单位和</w:t>
      </w:r>
      <w:r>
        <w:rPr>
          <w:rFonts w:hint="eastAsia" w:ascii="宋体" w:hAnsi="宋体" w:eastAsia="宋体" w:cs="宋体"/>
          <w:color w:val="auto"/>
          <w:spacing w:val="-2"/>
          <w:kern w:val="0"/>
          <w:sz w:val="24"/>
          <w:szCs w:val="24"/>
          <w:highlight w:val="none"/>
        </w:rPr>
        <w:t>个</w:t>
      </w:r>
      <w:r>
        <w:rPr>
          <w:rFonts w:hint="eastAsia" w:ascii="宋体" w:hAnsi="宋体" w:eastAsia="宋体" w:cs="宋体"/>
          <w:color w:val="auto"/>
          <w:kern w:val="0"/>
          <w:sz w:val="24"/>
          <w:szCs w:val="24"/>
          <w:highlight w:val="none"/>
        </w:rPr>
        <w:t>人数</w:t>
      </w:r>
      <w:r>
        <w:rPr>
          <w:rFonts w:hint="eastAsia" w:ascii="宋体" w:hAnsi="宋体" w:eastAsia="宋体" w:cs="宋体"/>
          <w:color w:val="auto"/>
          <w:spacing w:val="-2"/>
          <w:kern w:val="0"/>
          <w:sz w:val="24"/>
          <w:szCs w:val="24"/>
          <w:highlight w:val="none"/>
        </w:rPr>
        <w:t>字</w:t>
      </w:r>
      <w:r>
        <w:rPr>
          <w:rFonts w:hint="eastAsia" w:ascii="宋体" w:hAnsi="宋体" w:eastAsia="宋体" w:cs="宋体"/>
          <w:color w:val="auto"/>
          <w:kern w:val="0"/>
          <w:sz w:val="24"/>
          <w:szCs w:val="24"/>
          <w:highlight w:val="none"/>
        </w:rPr>
        <w:t>证书，按竞争性磋商文件要求</w:t>
      </w:r>
      <w:r>
        <w:rPr>
          <w:rFonts w:hint="eastAsia" w:ascii="宋体" w:hAnsi="宋体" w:eastAsia="宋体" w:cs="宋体"/>
          <w:color w:val="auto"/>
          <w:spacing w:val="-2"/>
          <w:kern w:val="0"/>
          <w:sz w:val="24"/>
          <w:szCs w:val="24"/>
          <w:highlight w:val="none"/>
        </w:rPr>
        <w:t>在</w:t>
      </w:r>
      <w:r>
        <w:rPr>
          <w:rFonts w:hint="eastAsia" w:ascii="宋体" w:hAnsi="宋体" w:eastAsia="宋体" w:cs="宋体"/>
          <w:color w:val="auto"/>
          <w:kern w:val="0"/>
          <w:sz w:val="24"/>
          <w:szCs w:val="24"/>
          <w:highlight w:val="none"/>
        </w:rPr>
        <w:t>相应位置加盖</w:t>
      </w:r>
      <w:r>
        <w:rPr>
          <w:rFonts w:hint="eastAsia" w:ascii="宋体" w:hAnsi="宋体" w:eastAsia="宋体" w:cs="宋体"/>
          <w:color w:val="auto"/>
          <w:spacing w:val="-2"/>
          <w:kern w:val="0"/>
          <w:sz w:val="24"/>
          <w:szCs w:val="24"/>
          <w:highlight w:val="none"/>
        </w:rPr>
        <w:t>电</w:t>
      </w:r>
      <w:r>
        <w:rPr>
          <w:rFonts w:hint="eastAsia" w:ascii="宋体" w:hAnsi="宋体" w:eastAsia="宋体" w:cs="宋体"/>
          <w:color w:val="auto"/>
          <w:kern w:val="0"/>
          <w:sz w:val="24"/>
          <w:szCs w:val="24"/>
          <w:highlight w:val="none"/>
        </w:rPr>
        <w:t>子印章。由供应商</w:t>
      </w:r>
      <w:r>
        <w:rPr>
          <w:rFonts w:hint="eastAsia" w:ascii="宋体" w:hAnsi="宋体" w:eastAsia="宋体" w:cs="宋体"/>
          <w:color w:val="auto"/>
          <w:spacing w:val="-2"/>
          <w:kern w:val="0"/>
          <w:sz w:val="24"/>
          <w:szCs w:val="24"/>
          <w:highlight w:val="none"/>
        </w:rPr>
        <w:t>的</w:t>
      </w:r>
      <w:r>
        <w:rPr>
          <w:rFonts w:hint="eastAsia" w:ascii="宋体" w:hAnsi="宋体" w:eastAsia="宋体" w:cs="宋体"/>
          <w:color w:val="auto"/>
          <w:kern w:val="0"/>
          <w:sz w:val="24"/>
          <w:szCs w:val="24"/>
          <w:highlight w:val="none"/>
        </w:rPr>
        <w:t>法定</w:t>
      </w:r>
      <w:r>
        <w:rPr>
          <w:rFonts w:hint="eastAsia" w:ascii="宋体" w:hAnsi="宋体" w:eastAsia="宋体" w:cs="宋体"/>
          <w:color w:val="auto"/>
          <w:spacing w:val="-2"/>
          <w:kern w:val="0"/>
          <w:sz w:val="24"/>
          <w:szCs w:val="24"/>
          <w:highlight w:val="none"/>
        </w:rPr>
        <w:t>代</w:t>
      </w:r>
      <w:r>
        <w:rPr>
          <w:rFonts w:hint="eastAsia" w:ascii="宋体" w:hAnsi="宋体" w:eastAsia="宋体" w:cs="宋体"/>
          <w:color w:val="auto"/>
          <w:kern w:val="0"/>
          <w:sz w:val="24"/>
          <w:szCs w:val="24"/>
          <w:highlight w:val="none"/>
        </w:rPr>
        <w:t>表人（单位负责</w:t>
      </w:r>
      <w:r>
        <w:rPr>
          <w:rFonts w:hint="eastAsia" w:ascii="宋体" w:hAnsi="宋体" w:eastAsia="宋体" w:cs="宋体"/>
          <w:color w:val="auto"/>
          <w:spacing w:val="-2"/>
          <w:kern w:val="0"/>
          <w:sz w:val="24"/>
          <w:szCs w:val="24"/>
          <w:highlight w:val="none"/>
        </w:rPr>
        <w:t>人</w:t>
      </w:r>
      <w:r>
        <w:rPr>
          <w:rFonts w:hint="eastAsia" w:ascii="宋体" w:hAnsi="宋体" w:eastAsia="宋体" w:cs="宋体"/>
          <w:color w:val="auto"/>
          <w:kern w:val="0"/>
          <w:sz w:val="24"/>
          <w:szCs w:val="24"/>
          <w:highlight w:val="none"/>
        </w:rPr>
        <w:t>）签</w:t>
      </w:r>
      <w:r>
        <w:rPr>
          <w:rFonts w:hint="eastAsia" w:ascii="宋体" w:hAnsi="宋体" w:eastAsia="宋体" w:cs="宋体"/>
          <w:color w:val="auto"/>
          <w:spacing w:val="-2"/>
          <w:kern w:val="0"/>
          <w:sz w:val="24"/>
          <w:szCs w:val="24"/>
          <w:highlight w:val="none"/>
        </w:rPr>
        <w:t>字</w:t>
      </w:r>
      <w:r>
        <w:rPr>
          <w:rFonts w:hint="eastAsia" w:ascii="宋体" w:hAnsi="宋体" w:eastAsia="宋体" w:cs="宋体"/>
          <w:color w:val="auto"/>
          <w:kern w:val="0"/>
          <w:sz w:val="24"/>
          <w:szCs w:val="24"/>
          <w:highlight w:val="none"/>
        </w:rPr>
        <w:t>或加盖电子印章</w:t>
      </w:r>
      <w:r>
        <w:rPr>
          <w:rFonts w:hint="eastAsia" w:ascii="宋体" w:hAnsi="宋体" w:eastAsia="宋体" w:cs="宋体"/>
          <w:color w:val="auto"/>
          <w:spacing w:val="-2"/>
          <w:kern w:val="0"/>
          <w:sz w:val="24"/>
          <w:szCs w:val="24"/>
          <w:highlight w:val="none"/>
        </w:rPr>
        <w:t>的</w:t>
      </w:r>
      <w:r>
        <w:rPr>
          <w:rFonts w:hint="eastAsia" w:ascii="宋体" w:hAnsi="宋体" w:eastAsia="宋体" w:cs="宋体"/>
          <w:color w:val="auto"/>
          <w:kern w:val="0"/>
          <w:sz w:val="24"/>
          <w:szCs w:val="24"/>
          <w:highlight w:val="none"/>
        </w:rPr>
        <w:t>，应</w:t>
      </w:r>
      <w:r>
        <w:rPr>
          <w:rFonts w:hint="eastAsia" w:ascii="宋体" w:hAnsi="宋体" w:eastAsia="宋体" w:cs="宋体"/>
          <w:color w:val="auto"/>
          <w:spacing w:val="-2"/>
          <w:kern w:val="0"/>
          <w:sz w:val="24"/>
          <w:szCs w:val="24"/>
          <w:highlight w:val="none"/>
        </w:rPr>
        <w:t>附</w:t>
      </w:r>
      <w:r>
        <w:rPr>
          <w:rFonts w:hint="eastAsia" w:ascii="宋体" w:hAnsi="宋体" w:eastAsia="宋体" w:cs="宋体"/>
          <w:color w:val="auto"/>
          <w:kern w:val="0"/>
          <w:sz w:val="24"/>
          <w:szCs w:val="24"/>
          <w:highlight w:val="none"/>
        </w:rPr>
        <w:t>法定代表</w:t>
      </w:r>
      <w:r>
        <w:rPr>
          <w:rFonts w:hint="eastAsia" w:ascii="宋体" w:hAnsi="宋体" w:eastAsia="宋体" w:cs="宋体"/>
          <w:color w:val="auto"/>
          <w:spacing w:val="1"/>
          <w:kern w:val="0"/>
          <w:sz w:val="24"/>
          <w:szCs w:val="24"/>
          <w:highlight w:val="none"/>
        </w:rPr>
        <w:t>人</w:t>
      </w:r>
      <w:r>
        <w:rPr>
          <w:rFonts w:hint="eastAsia" w:ascii="宋体" w:hAnsi="宋体" w:eastAsia="宋体" w:cs="宋体"/>
          <w:color w:val="auto"/>
          <w:kern w:val="0"/>
          <w:sz w:val="24"/>
          <w:szCs w:val="24"/>
          <w:highlight w:val="none"/>
        </w:rPr>
        <w:t>（</w:t>
      </w:r>
      <w:r>
        <w:rPr>
          <w:rFonts w:hint="eastAsia" w:ascii="宋体" w:hAnsi="宋体" w:eastAsia="宋体" w:cs="宋体"/>
          <w:color w:val="auto"/>
          <w:spacing w:val="-2"/>
          <w:kern w:val="0"/>
          <w:sz w:val="24"/>
          <w:szCs w:val="24"/>
          <w:highlight w:val="none"/>
        </w:rPr>
        <w:t>单</w:t>
      </w:r>
      <w:r>
        <w:rPr>
          <w:rFonts w:hint="eastAsia" w:ascii="宋体" w:hAnsi="宋体" w:eastAsia="宋体" w:cs="宋体"/>
          <w:color w:val="auto"/>
          <w:kern w:val="0"/>
          <w:sz w:val="24"/>
          <w:szCs w:val="24"/>
          <w:highlight w:val="none"/>
        </w:rPr>
        <w:t>位负责人）身份证</w:t>
      </w:r>
      <w:r>
        <w:rPr>
          <w:rFonts w:hint="eastAsia" w:ascii="宋体" w:hAnsi="宋体" w:eastAsia="宋体" w:cs="宋体"/>
          <w:color w:val="auto"/>
          <w:spacing w:val="-2"/>
          <w:kern w:val="0"/>
          <w:sz w:val="24"/>
          <w:szCs w:val="24"/>
          <w:highlight w:val="none"/>
        </w:rPr>
        <w:t>明</w:t>
      </w:r>
      <w:r>
        <w:rPr>
          <w:rFonts w:hint="eastAsia" w:ascii="宋体" w:hAnsi="宋体" w:eastAsia="宋体" w:cs="宋体"/>
          <w:color w:val="auto"/>
          <w:kern w:val="0"/>
          <w:sz w:val="24"/>
          <w:szCs w:val="24"/>
          <w:highlight w:val="none"/>
        </w:rPr>
        <w:t>，由</w:t>
      </w:r>
      <w:r>
        <w:rPr>
          <w:rFonts w:hint="eastAsia" w:ascii="宋体" w:hAnsi="宋体" w:eastAsia="宋体" w:cs="宋体"/>
          <w:color w:val="auto"/>
          <w:spacing w:val="-2"/>
          <w:kern w:val="0"/>
          <w:sz w:val="24"/>
          <w:szCs w:val="24"/>
          <w:highlight w:val="none"/>
        </w:rPr>
        <w:t>代</w:t>
      </w:r>
      <w:r>
        <w:rPr>
          <w:rFonts w:hint="eastAsia" w:ascii="宋体" w:hAnsi="宋体" w:eastAsia="宋体" w:cs="宋体"/>
          <w:color w:val="auto"/>
          <w:kern w:val="0"/>
          <w:sz w:val="24"/>
          <w:szCs w:val="24"/>
          <w:highlight w:val="none"/>
        </w:rPr>
        <w:t>理人签字或加盖</w:t>
      </w:r>
      <w:r>
        <w:rPr>
          <w:rFonts w:hint="eastAsia" w:ascii="宋体" w:hAnsi="宋体" w:eastAsia="宋体" w:cs="宋体"/>
          <w:color w:val="auto"/>
          <w:spacing w:val="-2"/>
          <w:kern w:val="0"/>
          <w:sz w:val="24"/>
          <w:szCs w:val="24"/>
          <w:highlight w:val="none"/>
        </w:rPr>
        <w:t>电</w:t>
      </w:r>
      <w:r>
        <w:rPr>
          <w:rFonts w:hint="eastAsia" w:ascii="宋体" w:hAnsi="宋体" w:eastAsia="宋体" w:cs="宋体"/>
          <w:color w:val="auto"/>
          <w:kern w:val="0"/>
          <w:sz w:val="24"/>
          <w:szCs w:val="24"/>
          <w:highlight w:val="none"/>
        </w:rPr>
        <w:t>子印</w:t>
      </w:r>
      <w:r>
        <w:rPr>
          <w:rFonts w:hint="eastAsia" w:ascii="宋体" w:hAnsi="宋体" w:eastAsia="宋体" w:cs="宋体"/>
          <w:color w:val="auto"/>
          <w:spacing w:val="-2"/>
          <w:kern w:val="0"/>
          <w:sz w:val="24"/>
          <w:szCs w:val="24"/>
          <w:highlight w:val="none"/>
        </w:rPr>
        <w:t>章</w:t>
      </w:r>
      <w:r>
        <w:rPr>
          <w:rFonts w:hint="eastAsia" w:ascii="宋体" w:hAnsi="宋体" w:eastAsia="宋体" w:cs="宋体"/>
          <w:color w:val="auto"/>
          <w:kern w:val="0"/>
          <w:sz w:val="24"/>
          <w:szCs w:val="24"/>
          <w:highlight w:val="none"/>
        </w:rPr>
        <w:t>的，应附由法定</w:t>
      </w:r>
      <w:r>
        <w:rPr>
          <w:rFonts w:hint="eastAsia" w:ascii="宋体" w:hAnsi="宋体" w:eastAsia="宋体" w:cs="宋体"/>
          <w:color w:val="auto"/>
          <w:spacing w:val="-2"/>
          <w:kern w:val="0"/>
          <w:sz w:val="24"/>
          <w:szCs w:val="24"/>
          <w:highlight w:val="none"/>
        </w:rPr>
        <w:t>代</w:t>
      </w:r>
      <w:r>
        <w:rPr>
          <w:rFonts w:hint="eastAsia" w:ascii="宋体" w:hAnsi="宋体" w:eastAsia="宋体" w:cs="宋体"/>
          <w:color w:val="auto"/>
          <w:kern w:val="0"/>
          <w:sz w:val="24"/>
          <w:szCs w:val="24"/>
          <w:highlight w:val="none"/>
        </w:rPr>
        <w:t>表</w:t>
      </w:r>
      <w:r>
        <w:rPr>
          <w:rFonts w:hint="eastAsia" w:ascii="宋体" w:hAnsi="宋体" w:eastAsia="宋体" w:cs="宋体"/>
          <w:color w:val="auto"/>
          <w:spacing w:val="1"/>
          <w:kern w:val="0"/>
          <w:sz w:val="24"/>
          <w:szCs w:val="24"/>
          <w:highlight w:val="none"/>
        </w:rPr>
        <w:t>人</w:t>
      </w:r>
      <w:r>
        <w:rPr>
          <w:rFonts w:hint="eastAsia" w:ascii="宋体" w:hAnsi="宋体" w:eastAsia="宋体" w:cs="宋体"/>
          <w:color w:val="auto"/>
          <w:spacing w:val="-2"/>
          <w:kern w:val="0"/>
          <w:sz w:val="24"/>
          <w:szCs w:val="24"/>
          <w:highlight w:val="none"/>
        </w:rPr>
        <w:t>（</w:t>
      </w:r>
      <w:r>
        <w:rPr>
          <w:rFonts w:hint="eastAsia" w:ascii="宋体" w:hAnsi="宋体" w:eastAsia="宋体" w:cs="宋体"/>
          <w:color w:val="auto"/>
          <w:kern w:val="0"/>
          <w:sz w:val="24"/>
          <w:szCs w:val="24"/>
          <w:highlight w:val="none"/>
        </w:rPr>
        <w:t>单位负责人</w:t>
      </w:r>
      <w:r>
        <w:rPr>
          <w:rFonts w:hint="eastAsia" w:ascii="宋体" w:hAnsi="宋体" w:eastAsia="宋体" w:cs="宋体"/>
          <w:color w:val="auto"/>
          <w:spacing w:val="1"/>
          <w:kern w:val="0"/>
          <w:sz w:val="24"/>
          <w:szCs w:val="24"/>
          <w:highlight w:val="none"/>
        </w:rPr>
        <w:t>）</w:t>
      </w:r>
      <w:r>
        <w:rPr>
          <w:rFonts w:hint="eastAsia" w:ascii="宋体" w:hAnsi="宋体" w:eastAsia="宋体" w:cs="宋体"/>
          <w:color w:val="auto"/>
          <w:spacing w:val="-2"/>
          <w:kern w:val="0"/>
          <w:sz w:val="24"/>
          <w:szCs w:val="24"/>
          <w:highlight w:val="none"/>
        </w:rPr>
        <w:t>签署</w:t>
      </w:r>
      <w:r>
        <w:rPr>
          <w:rFonts w:hint="eastAsia" w:ascii="宋体" w:hAnsi="宋体" w:eastAsia="宋体" w:cs="宋体"/>
          <w:color w:val="auto"/>
          <w:kern w:val="0"/>
          <w:sz w:val="24"/>
          <w:szCs w:val="24"/>
          <w:highlight w:val="none"/>
        </w:rPr>
        <w:t>的授</w:t>
      </w:r>
      <w:r>
        <w:rPr>
          <w:rFonts w:hint="eastAsia" w:ascii="宋体" w:hAnsi="宋体" w:eastAsia="宋体" w:cs="宋体"/>
          <w:color w:val="auto"/>
          <w:spacing w:val="-2"/>
          <w:kern w:val="0"/>
          <w:sz w:val="24"/>
          <w:szCs w:val="24"/>
          <w:highlight w:val="none"/>
        </w:rPr>
        <w:t>权</w:t>
      </w:r>
      <w:r>
        <w:rPr>
          <w:rFonts w:hint="eastAsia" w:ascii="宋体" w:hAnsi="宋体" w:eastAsia="宋体" w:cs="宋体"/>
          <w:color w:val="auto"/>
          <w:kern w:val="0"/>
          <w:sz w:val="24"/>
          <w:szCs w:val="24"/>
          <w:highlight w:val="none"/>
        </w:rPr>
        <w:t>委</w:t>
      </w:r>
      <w:r>
        <w:rPr>
          <w:rFonts w:hint="eastAsia" w:ascii="宋体" w:hAnsi="宋体" w:eastAsia="宋体" w:cs="宋体"/>
          <w:color w:val="auto"/>
          <w:spacing w:val="-2"/>
          <w:kern w:val="0"/>
          <w:sz w:val="24"/>
          <w:szCs w:val="24"/>
          <w:highlight w:val="none"/>
        </w:rPr>
        <w:t>托</w:t>
      </w:r>
      <w:r>
        <w:rPr>
          <w:rFonts w:hint="eastAsia" w:ascii="宋体" w:hAnsi="宋体" w:eastAsia="宋体" w:cs="宋体"/>
          <w:color w:val="auto"/>
          <w:kern w:val="0"/>
          <w:sz w:val="24"/>
          <w:szCs w:val="24"/>
          <w:highlight w:val="none"/>
        </w:rPr>
        <w:t>书</w:t>
      </w:r>
      <w:r>
        <w:rPr>
          <w:rFonts w:hint="eastAsia" w:ascii="宋体" w:hAnsi="宋体" w:eastAsia="宋体" w:cs="宋体"/>
          <w:color w:val="auto"/>
          <w:spacing w:val="-2"/>
          <w:kern w:val="0"/>
          <w:sz w:val="24"/>
          <w:szCs w:val="24"/>
          <w:highlight w:val="none"/>
        </w:rPr>
        <w:t>。</w:t>
      </w:r>
      <w:r>
        <w:rPr>
          <w:rFonts w:hint="eastAsia" w:ascii="宋体" w:hAnsi="宋体" w:eastAsia="宋体" w:cs="宋体"/>
          <w:color w:val="auto"/>
          <w:kern w:val="0"/>
          <w:sz w:val="24"/>
          <w:szCs w:val="24"/>
          <w:highlight w:val="none"/>
        </w:rPr>
        <w:t>签</w:t>
      </w:r>
      <w:r>
        <w:rPr>
          <w:rFonts w:hint="eastAsia" w:ascii="宋体" w:hAnsi="宋体" w:eastAsia="宋体" w:cs="宋体"/>
          <w:color w:val="auto"/>
          <w:spacing w:val="-2"/>
          <w:kern w:val="0"/>
          <w:sz w:val="24"/>
          <w:szCs w:val="24"/>
          <w:highlight w:val="none"/>
        </w:rPr>
        <w:t>字</w:t>
      </w:r>
      <w:r>
        <w:rPr>
          <w:rFonts w:hint="eastAsia" w:ascii="宋体" w:hAnsi="宋体" w:eastAsia="宋体" w:cs="宋体"/>
          <w:color w:val="auto"/>
          <w:kern w:val="0"/>
          <w:sz w:val="24"/>
          <w:szCs w:val="24"/>
          <w:highlight w:val="none"/>
        </w:rPr>
        <w:t>或</w:t>
      </w:r>
      <w:r>
        <w:rPr>
          <w:rFonts w:hint="eastAsia" w:ascii="宋体" w:hAnsi="宋体" w:eastAsia="宋体" w:cs="宋体"/>
          <w:color w:val="auto"/>
          <w:spacing w:val="-2"/>
          <w:kern w:val="0"/>
          <w:sz w:val="24"/>
          <w:szCs w:val="24"/>
          <w:highlight w:val="none"/>
        </w:rPr>
        <w:t>盖</w:t>
      </w:r>
      <w:r>
        <w:rPr>
          <w:rFonts w:hint="eastAsia" w:ascii="宋体" w:hAnsi="宋体" w:eastAsia="宋体" w:cs="宋体"/>
          <w:color w:val="auto"/>
          <w:kern w:val="0"/>
          <w:sz w:val="24"/>
          <w:szCs w:val="24"/>
          <w:highlight w:val="none"/>
        </w:rPr>
        <w:t>章的</w:t>
      </w:r>
      <w:r>
        <w:rPr>
          <w:rFonts w:hint="eastAsia" w:ascii="宋体" w:hAnsi="宋体" w:eastAsia="宋体" w:cs="宋体"/>
          <w:color w:val="auto"/>
          <w:spacing w:val="-2"/>
          <w:kern w:val="0"/>
          <w:sz w:val="24"/>
          <w:szCs w:val="24"/>
          <w:highlight w:val="none"/>
        </w:rPr>
        <w:t>具</w:t>
      </w:r>
      <w:r>
        <w:rPr>
          <w:rFonts w:hint="eastAsia" w:ascii="宋体" w:hAnsi="宋体" w:eastAsia="宋体" w:cs="宋体"/>
          <w:color w:val="auto"/>
          <w:kern w:val="0"/>
          <w:sz w:val="24"/>
          <w:szCs w:val="24"/>
          <w:highlight w:val="none"/>
        </w:rPr>
        <w:t>体</w:t>
      </w:r>
      <w:r>
        <w:rPr>
          <w:rFonts w:hint="eastAsia" w:ascii="宋体" w:hAnsi="宋体" w:eastAsia="宋体" w:cs="宋体"/>
          <w:color w:val="auto"/>
          <w:spacing w:val="-2"/>
          <w:kern w:val="0"/>
          <w:sz w:val="24"/>
          <w:szCs w:val="24"/>
          <w:highlight w:val="none"/>
        </w:rPr>
        <w:t>要</w:t>
      </w:r>
      <w:r>
        <w:rPr>
          <w:rFonts w:hint="eastAsia" w:ascii="宋体" w:hAnsi="宋体" w:eastAsia="宋体" w:cs="宋体"/>
          <w:color w:val="auto"/>
          <w:kern w:val="0"/>
          <w:sz w:val="24"/>
          <w:szCs w:val="24"/>
          <w:highlight w:val="none"/>
        </w:rPr>
        <w:t>求</w:t>
      </w:r>
      <w:r>
        <w:rPr>
          <w:rFonts w:hint="eastAsia" w:ascii="宋体" w:hAnsi="宋体" w:eastAsia="宋体" w:cs="宋体"/>
          <w:color w:val="auto"/>
          <w:spacing w:val="-2"/>
          <w:kern w:val="0"/>
          <w:sz w:val="24"/>
          <w:szCs w:val="24"/>
          <w:highlight w:val="none"/>
        </w:rPr>
        <w:t>见</w:t>
      </w:r>
      <w:r>
        <w:rPr>
          <w:rFonts w:hint="eastAsia" w:ascii="宋体" w:hAnsi="宋体" w:eastAsia="宋体" w:cs="宋体"/>
          <w:color w:val="auto"/>
          <w:kern w:val="0"/>
          <w:sz w:val="24"/>
          <w:szCs w:val="24"/>
          <w:highlight w:val="none"/>
        </w:rPr>
        <w:t>供应商</w:t>
      </w:r>
      <w:r>
        <w:rPr>
          <w:rFonts w:hint="eastAsia" w:ascii="宋体" w:hAnsi="宋体" w:eastAsia="宋体" w:cs="宋体"/>
          <w:color w:val="auto"/>
          <w:spacing w:val="-2"/>
          <w:kern w:val="0"/>
          <w:sz w:val="24"/>
          <w:szCs w:val="24"/>
          <w:highlight w:val="none"/>
        </w:rPr>
        <w:t>须</w:t>
      </w:r>
      <w:r>
        <w:rPr>
          <w:rFonts w:hint="eastAsia" w:ascii="宋体" w:hAnsi="宋体" w:eastAsia="宋体" w:cs="宋体"/>
          <w:color w:val="auto"/>
          <w:kern w:val="0"/>
          <w:sz w:val="24"/>
          <w:szCs w:val="24"/>
          <w:highlight w:val="none"/>
        </w:rPr>
        <w:t>知前</w:t>
      </w:r>
      <w:r>
        <w:rPr>
          <w:rFonts w:hint="eastAsia" w:ascii="宋体" w:hAnsi="宋体" w:eastAsia="宋体" w:cs="宋体"/>
          <w:color w:val="auto"/>
          <w:spacing w:val="-2"/>
          <w:kern w:val="0"/>
          <w:sz w:val="24"/>
          <w:szCs w:val="24"/>
          <w:highlight w:val="none"/>
        </w:rPr>
        <w:t>附</w:t>
      </w:r>
      <w:r>
        <w:rPr>
          <w:rFonts w:hint="eastAsia" w:ascii="宋体" w:hAnsi="宋体" w:eastAsia="宋体" w:cs="宋体"/>
          <w:color w:val="auto"/>
          <w:kern w:val="0"/>
          <w:sz w:val="24"/>
          <w:szCs w:val="24"/>
          <w:highlight w:val="none"/>
        </w:rPr>
        <w:t>表。</w:t>
      </w:r>
    </w:p>
    <w:p w14:paraId="2268C5D8">
      <w:pPr>
        <w:pStyle w:val="8"/>
        <w:rPr>
          <w:rFonts w:hint="eastAsia" w:ascii="宋体" w:hAnsi="宋体" w:eastAsia="宋体" w:cs="宋体"/>
          <w:color w:val="auto"/>
          <w:kern w:val="0"/>
          <w:sz w:val="24"/>
          <w:szCs w:val="24"/>
          <w:highlight w:val="none"/>
        </w:rPr>
      </w:pPr>
    </w:p>
    <w:p w14:paraId="2DF13F41">
      <w:pPr>
        <w:pStyle w:val="8"/>
        <w:keepNext w:val="0"/>
        <w:keepLines w:val="0"/>
        <w:pageBreakBefore w:val="0"/>
        <w:widowControl w:val="0"/>
        <w:numPr>
          <w:ilvl w:val="0"/>
          <w:numId w:val="2"/>
        </w:numPr>
        <w:tabs>
          <w:tab w:val="left" w:pos="360"/>
        </w:tabs>
        <w:kinsoku/>
        <w:wordWrap/>
        <w:overflowPunct/>
        <w:topLinePunct w:val="0"/>
        <w:autoSpaceDE w:val="0"/>
        <w:autoSpaceDN w:val="0"/>
        <w:bidi w:val="0"/>
        <w:adjustRightInd w:val="0"/>
        <w:snapToGrid w:val="0"/>
        <w:spacing w:line="360" w:lineRule="auto"/>
        <w:ind w:left="0" w:firstLine="0"/>
        <w:contextualSpacing/>
        <w:jc w:val="both"/>
        <w:textAlignment w:val="auto"/>
        <w:outlineLvl w:val="1"/>
        <w:rPr>
          <w:rStyle w:val="35"/>
          <w:rFonts w:hint="eastAsia" w:ascii="宋体" w:hAnsi="宋体" w:eastAsia="宋体" w:cs="宋体"/>
          <w:color w:val="auto"/>
          <w:sz w:val="24"/>
          <w:szCs w:val="24"/>
          <w:highlight w:val="none"/>
        </w:rPr>
      </w:pPr>
      <w:bookmarkStart w:id="346" w:name="_Toc6530"/>
      <w:r>
        <w:rPr>
          <w:rStyle w:val="35"/>
          <w:rFonts w:hint="eastAsia" w:ascii="宋体" w:hAnsi="宋体" w:eastAsia="宋体" w:cs="宋体"/>
          <w:color w:val="auto"/>
          <w:sz w:val="24"/>
          <w:szCs w:val="24"/>
          <w:highlight w:val="none"/>
        </w:rPr>
        <w:t xml:space="preserve"> </w:t>
      </w:r>
      <w:bookmarkStart w:id="347" w:name="_Toc12187"/>
      <w:bookmarkStart w:id="348" w:name="_Toc29623307"/>
      <w:bookmarkStart w:id="349" w:name="_Toc4174"/>
      <w:bookmarkStart w:id="350" w:name="_Toc32420"/>
      <w:r>
        <w:rPr>
          <w:rStyle w:val="35"/>
          <w:rFonts w:hint="eastAsia" w:ascii="宋体" w:hAnsi="宋体" w:eastAsia="宋体" w:cs="宋体"/>
          <w:color w:val="auto"/>
          <w:sz w:val="24"/>
          <w:szCs w:val="24"/>
          <w:highlight w:val="none"/>
        </w:rPr>
        <w:t>响应文件的递交</w:t>
      </w:r>
      <w:bookmarkEnd w:id="346"/>
      <w:bookmarkEnd w:id="347"/>
      <w:bookmarkEnd w:id="348"/>
      <w:bookmarkEnd w:id="349"/>
      <w:bookmarkEnd w:id="350"/>
    </w:p>
    <w:p w14:paraId="0FF2ED77">
      <w:pPr>
        <w:pStyle w:val="4"/>
        <w:numPr>
          <w:ilvl w:val="1"/>
          <w:numId w:val="2"/>
        </w:numPr>
        <w:jc w:val="left"/>
        <w:rPr>
          <w:rFonts w:hint="eastAsia" w:ascii="宋体" w:hAnsi="宋体" w:eastAsia="宋体" w:cs="宋体"/>
          <w:bCs w:val="0"/>
          <w:color w:val="auto"/>
          <w:sz w:val="24"/>
          <w:szCs w:val="24"/>
          <w:highlight w:val="none"/>
        </w:rPr>
      </w:pPr>
      <w:bookmarkStart w:id="351" w:name="_Toc428351652"/>
      <w:bookmarkStart w:id="352" w:name="_Toc14828"/>
      <w:bookmarkStart w:id="353" w:name="_Toc454788032"/>
      <w:bookmarkStart w:id="354" w:name="_Toc462934298"/>
      <w:bookmarkStart w:id="355" w:name="_Toc29623308"/>
      <w:bookmarkStart w:id="356" w:name="_Toc270604598"/>
      <w:bookmarkStart w:id="357" w:name="_Toc277149387"/>
      <w:bookmarkStart w:id="358" w:name="_Toc270604825"/>
      <w:bookmarkStart w:id="359" w:name="_Toc27477"/>
      <w:bookmarkStart w:id="360" w:name="_Toc269470320"/>
      <w:bookmarkStart w:id="361" w:name="_Toc27753959"/>
      <w:bookmarkStart w:id="362" w:name="_Toc463011277"/>
      <w:bookmarkStart w:id="363" w:name="_Toc31608"/>
      <w:bookmarkStart w:id="364" w:name="_Toc21528"/>
      <w:bookmarkStart w:id="365" w:name="_Toc428276592"/>
      <w:bookmarkStart w:id="366" w:name="_Toc455678124"/>
      <w:r>
        <w:rPr>
          <w:rFonts w:hint="eastAsia" w:ascii="宋体" w:hAnsi="宋体" w:eastAsia="宋体" w:cs="宋体"/>
          <w:bCs w:val="0"/>
          <w:color w:val="auto"/>
          <w:sz w:val="24"/>
          <w:szCs w:val="24"/>
          <w:highlight w:val="none"/>
        </w:rPr>
        <w:t>响应文件的密封和标记</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14:paraId="38845EA9">
      <w:pPr>
        <w:pStyle w:val="8"/>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2"/>
          <w:sz w:val="24"/>
          <w:szCs w:val="24"/>
          <w:highlight w:val="none"/>
        </w:rPr>
        <w:t xml:space="preserve"> 4.1.1</w:t>
      </w:r>
      <w:r>
        <w:rPr>
          <w:rFonts w:hint="eastAsia" w:ascii="宋体" w:hAnsi="宋体" w:eastAsia="宋体" w:cs="宋体"/>
          <w:color w:val="auto"/>
          <w:sz w:val="24"/>
          <w:szCs w:val="24"/>
          <w:highlight w:val="none"/>
        </w:rPr>
        <w:t xml:space="preserve"> 供应商应当按照竞争性磋商文件和电子招标投标交易平台的要求加密响应文件，具体要求见供应商须知前附表。 </w:t>
      </w:r>
    </w:p>
    <w:p w14:paraId="50C6196B">
      <w:pPr>
        <w:wordWrap/>
        <w:topLinePunct w:val="0"/>
        <w:snapToGrid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4.1.2 未按</w:t>
      </w:r>
      <w:r>
        <w:rPr>
          <w:rFonts w:hint="eastAsia" w:ascii="宋体" w:hAnsi="宋体" w:eastAsia="宋体" w:cs="宋体"/>
          <w:color w:val="auto"/>
          <w:sz w:val="24"/>
          <w:szCs w:val="24"/>
          <w:highlight w:val="none"/>
          <w:lang w:val="en-US" w:eastAsia="zh-CN"/>
        </w:rPr>
        <w:t>供应商须知前附表递交</w:t>
      </w:r>
      <w:r>
        <w:rPr>
          <w:rFonts w:hint="eastAsia" w:ascii="宋体" w:hAnsi="宋体" w:eastAsia="宋体" w:cs="宋体"/>
          <w:color w:val="auto"/>
          <w:sz w:val="24"/>
          <w:szCs w:val="24"/>
          <w:highlight w:val="none"/>
        </w:rPr>
        <w:t>磋商响应文件，采购人或磋商小组不予受理。</w:t>
      </w:r>
    </w:p>
    <w:p w14:paraId="58B94679">
      <w:pPr>
        <w:pStyle w:val="4"/>
        <w:numPr>
          <w:ilvl w:val="1"/>
          <w:numId w:val="2"/>
        </w:numPr>
        <w:jc w:val="left"/>
        <w:rPr>
          <w:rFonts w:hint="eastAsia" w:ascii="宋体" w:hAnsi="宋体" w:eastAsia="宋体" w:cs="宋体"/>
          <w:bCs w:val="0"/>
          <w:color w:val="auto"/>
          <w:sz w:val="24"/>
          <w:szCs w:val="24"/>
          <w:highlight w:val="none"/>
        </w:rPr>
      </w:pPr>
      <w:bookmarkStart w:id="367" w:name="_Toc463011278"/>
      <w:bookmarkStart w:id="368" w:name="_Toc270604599"/>
      <w:bookmarkStart w:id="369" w:name="_Toc29167"/>
      <w:bookmarkStart w:id="370" w:name="_Toc277149388"/>
      <w:bookmarkStart w:id="371" w:name="_Toc5938"/>
      <w:bookmarkStart w:id="372" w:name="_Toc269470321"/>
      <w:bookmarkStart w:id="373" w:name="_Toc20197"/>
      <w:bookmarkStart w:id="374" w:name="_Toc428351653"/>
      <w:bookmarkStart w:id="375" w:name="_Toc428276593"/>
      <w:bookmarkStart w:id="376" w:name="_Toc454788033"/>
      <w:bookmarkStart w:id="377" w:name="_Toc27753960"/>
      <w:bookmarkStart w:id="378" w:name="_Toc20478"/>
      <w:bookmarkStart w:id="379" w:name="_Toc29623309"/>
      <w:bookmarkStart w:id="380" w:name="_Toc462934299"/>
      <w:bookmarkStart w:id="381" w:name="_Toc270604826"/>
      <w:bookmarkStart w:id="382" w:name="_Toc455678125"/>
      <w:r>
        <w:rPr>
          <w:rFonts w:hint="eastAsia" w:ascii="宋体" w:hAnsi="宋体" w:eastAsia="宋体" w:cs="宋体"/>
          <w:bCs w:val="0"/>
          <w:color w:val="auto"/>
          <w:sz w:val="24"/>
          <w:szCs w:val="24"/>
          <w:highlight w:val="none"/>
        </w:rPr>
        <w:t>磋商响应文件的递交</w:t>
      </w:r>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p w14:paraId="1B491A82">
      <w:pPr>
        <w:wordWrap/>
        <w:topLinePunct w:val="0"/>
        <w:autoSpaceDE w:val="0"/>
        <w:autoSpaceDN w:val="0"/>
        <w:adjustRightInd w:val="0"/>
        <w:spacing w:line="360" w:lineRule="auto"/>
        <w:ind w:right="-20" w:firstLine="480" w:firstLineChars="200"/>
        <w:jc w:val="left"/>
        <w:rPr>
          <w:rFonts w:hint="eastAsia" w:ascii="宋体" w:hAnsi="宋体" w:eastAsia="宋体" w:cs="宋体"/>
          <w:color w:val="auto"/>
          <w:kern w:val="0"/>
          <w:sz w:val="24"/>
          <w:szCs w:val="24"/>
          <w:highlight w:val="none"/>
        </w:rPr>
      </w:pPr>
      <w:bookmarkStart w:id="383" w:name="_Toc428351654"/>
      <w:bookmarkStart w:id="384" w:name="_Toc277149389"/>
      <w:bookmarkStart w:id="385" w:name="_Toc269470322"/>
      <w:bookmarkStart w:id="386" w:name="_Toc31097"/>
      <w:bookmarkStart w:id="387" w:name="_Toc270604600"/>
      <w:bookmarkStart w:id="388" w:name="_Toc454788034"/>
      <w:bookmarkStart w:id="389" w:name="_Toc455678126"/>
      <w:bookmarkStart w:id="390" w:name="_Toc26556"/>
      <w:bookmarkStart w:id="391" w:name="_Toc270604827"/>
      <w:bookmarkStart w:id="392" w:name="_Toc27108"/>
      <w:bookmarkStart w:id="393" w:name="_Toc463011279"/>
      <w:bookmarkStart w:id="394" w:name="_Toc29096"/>
      <w:bookmarkStart w:id="395" w:name="_Toc462934300"/>
      <w:bookmarkStart w:id="396" w:name="_Toc428276594"/>
      <w:r>
        <w:rPr>
          <w:rFonts w:hint="eastAsia" w:ascii="宋体" w:hAnsi="宋体" w:eastAsia="宋体" w:cs="宋体"/>
          <w:color w:val="auto"/>
          <w:sz w:val="24"/>
          <w:szCs w:val="24"/>
          <w:highlight w:val="none"/>
        </w:rPr>
        <w:t>4.2.1 供应商</w:t>
      </w:r>
      <w:r>
        <w:rPr>
          <w:rFonts w:hint="eastAsia" w:ascii="宋体" w:hAnsi="宋体" w:eastAsia="宋体" w:cs="宋体"/>
          <w:color w:val="auto"/>
          <w:spacing w:val="-2"/>
          <w:kern w:val="0"/>
          <w:sz w:val="24"/>
          <w:szCs w:val="24"/>
          <w:highlight w:val="none"/>
        </w:rPr>
        <w:t>应</w:t>
      </w:r>
      <w:r>
        <w:rPr>
          <w:rFonts w:hint="eastAsia" w:ascii="宋体" w:hAnsi="宋体" w:eastAsia="宋体" w:cs="宋体"/>
          <w:color w:val="auto"/>
          <w:kern w:val="0"/>
          <w:sz w:val="24"/>
          <w:szCs w:val="24"/>
          <w:highlight w:val="none"/>
        </w:rPr>
        <w:t>在</w:t>
      </w:r>
      <w:r>
        <w:rPr>
          <w:rFonts w:hint="eastAsia" w:ascii="宋体" w:hAnsi="宋体" w:eastAsia="宋体" w:cs="宋体"/>
          <w:color w:val="auto"/>
          <w:spacing w:val="-2"/>
          <w:kern w:val="0"/>
          <w:sz w:val="24"/>
          <w:szCs w:val="24"/>
          <w:highlight w:val="none"/>
        </w:rPr>
        <w:t>供应商须</w:t>
      </w:r>
      <w:r>
        <w:rPr>
          <w:rFonts w:hint="eastAsia" w:ascii="宋体" w:hAnsi="宋体" w:eastAsia="宋体" w:cs="宋体"/>
          <w:color w:val="auto"/>
          <w:kern w:val="0"/>
          <w:sz w:val="24"/>
          <w:szCs w:val="24"/>
          <w:highlight w:val="none"/>
        </w:rPr>
        <w:t>知前</w:t>
      </w:r>
      <w:r>
        <w:rPr>
          <w:rFonts w:hint="eastAsia" w:ascii="宋体" w:hAnsi="宋体" w:eastAsia="宋体" w:cs="宋体"/>
          <w:color w:val="auto"/>
          <w:spacing w:val="-2"/>
          <w:kern w:val="0"/>
          <w:sz w:val="24"/>
          <w:szCs w:val="24"/>
          <w:highlight w:val="none"/>
        </w:rPr>
        <w:t>附</w:t>
      </w:r>
      <w:r>
        <w:rPr>
          <w:rFonts w:hint="eastAsia" w:ascii="宋体" w:hAnsi="宋体" w:eastAsia="宋体" w:cs="宋体"/>
          <w:color w:val="auto"/>
          <w:kern w:val="0"/>
          <w:sz w:val="24"/>
          <w:szCs w:val="24"/>
          <w:highlight w:val="none"/>
        </w:rPr>
        <w:t>表</w:t>
      </w:r>
      <w:r>
        <w:rPr>
          <w:rFonts w:hint="eastAsia" w:ascii="宋体" w:hAnsi="宋体" w:eastAsia="宋体" w:cs="宋体"/>
          <w:color w:val="auto"/>
          <w:spacing w:val="-2"/>
          <w:kern w:val="0"/>
          <w:sz w:val="24"/>
          <w:szCs w:val="24"/>
          <w:highlight w:val="none"/>
        </w:rPr>
        <w:t>规</w:t>
      </w:r>
      <w:r>
        <w:rPr>
          <w:rFonts w:hint="eastAsia" w:ascii="宋体" w:hAnsi="宋体" w:eastAsia="宋体" w:cs="宋体"/>
          <w:color w:val="auto"/>
          <w:kern w:val="0"/>
          <w:sz w:val="24"/>
          <w:szCs w:val="24"/>
          <w:highlight w:val="none"/>
        </w:rPr>
        <w:t>定</w:t>
      </w:r>
      <w:r>
        <w:rPr>
          <w:rFonts w:hint="eastAsia" w:ascii="宋体" w:hAnsi="宋体" w:eastAsia="宋体" w:cs="宋体"/>
          <w:color w:val="auto"/>
          <w:spacing w:val="-2"/>
          <w:kern w:val="0"/>
          <w:sz w:val="24"/>
          <w:szCs w:val="24"/>
          <w:highlight w:val="none"/>
        </w:rPr>
        <w:t>的提交首次</w:t>
      </w:r>
      <w:r>
        <w:rPr>
          <w:rFonts w:hint="eastAsia" w:ascii="宋体" w:hAnsi="宋体" w:eastAsia="宋体" w:cs="宋体"/>
          <w:color w:val="auto"/>
          <w:kern w:val="0"/>
          <w:sz w:val="24"/>
          <w:szCs w:val="24"/>
          <w:highlight w:val="none"/>
        </w:rPr>
        <w:t>响应文件截</w:t>
      </w:r>
      <w:r>
        <w:rPr>
          <w:rFonts w:hint="eastAsia" w:ascii="宋体" w:hAnsi="宋体" w:eastAsia="宋体" w:cs="宋体"/>
          <w:color w:val="auto"/>
          <w:spacing w:val="-2"/>
          <w:kern w:val="0"/>
          <w:sz w:val="24"/>
          <w:szCs w:val="24"/>
          <w:highlight w:val="none"/>
        </w:rPr>
        <w:t>止</w:t>
      </w:r>
      <w:r>
        <w:rPr>
          <w:rFonts w:hint="eastAsia" w:ascii="宋体" w:hAnsi="宋体" w:eastAsia="宋体" w:cs="宋体"/>
          <w:color w:val="auto"/>
          <w:kern w:val="0"/>
          <w:sz w:val="24"/>
          <w:szCs w:val="24"/>
          <w:highlight w:val="none"/>
        </w:rPr>
        <w:t>时间</w:t>
      </w:r>
      <w:r>
        <w:rPr>
          <w:rFonts w:hint="eastAsia" w:ascii="宋体" w:hAnsi="宋体" w:eastAsia="宋体" w:cs="宋体"/>
          <w:color w:val="auto"/>
          <w:spacing w:val="-2"/>
          <w:kern w:val="0"/>
          <w:sz w:val="24"/>
          <w:szCs w:val="24"/>
          <w:highlight w:val="none"/>
        </w:rPr>
        <w:t>前递交</w:t>
      </w:r>
      <w:r>
        <w:rPr>
          <w:rFonts w:hint="eastAsia" w:ascii="宋体" w:hAnsi="宋体" w:eastAsia="宋体" w:cs="宋体"/>
          <w:color w:val="auto"/>
          <w:kern w:val="0"/>
          <w:sz w:val="24"/>
          <w:szCs w:val="24"/>
          <w:highlight w:val="none"/>
        </w:rPr>
        <w:t>响应文</w:t>
      </w:r>
      <w:r>
        <w:rPr>
          <w:rFonts w:hint="eastAsia" w:ascii="宋体" w:hAnsi="宋体" w:eastAsia="宋体" w:cs="宋体"/>
          <w:color w:val="auto"/>
          <w:spacing w:val="-2"/>
          <w:kern w:val="0"/>
          <w:sz w:val="24"/>
          <w:szCs w:val="24"/>
          <w:highlight w:val="none"/>
        </w:rPr>
        <w:t>件</w:t>
      </w:r>
      <w:r>
        <w:rPr>
          <w:rFonts w:hint="eastAsia" w:ascii="宋体" w:hAnsi="宋体" w:eastAsia="宋体" w:cs="宋体"/>
          <w:color w:val="auto"/>
          <w:kern w:val="0"/>
          <w:sz w:val="24"/>
          <w:szCs w:val="24"/>
          <w:highlight w:val="none"/>
        </w:rPr>
        <w:t>。</w:t>
      </w:r>
    </w:p>
    <w:p w14:paraId="085539E3">
      <w:pPr>
        <w:wordWrap/>
        <w:topLinePunct w:val="0"/>
        <w:autoSpaceDE w:val="0"/>
        <w:autoSpaceDN w:val="0"/>
        <w:adjustRightInd w:val="0"/>
        <w:spacing w:line="360" w:lineRule="auto"/>
        <w:ind w:right="-20"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4.2.2 </w:t>
      </w:r>
      <w:r>
        <w:rPr>
          <w:rFonts w:hint="eastAsia" w:ascii="宋体" w:hAnsi="宋体" w:eastAsia="宋体" w:cs="宋体"/>
          <w:color w:val="auto"/>
          <w:spacing w:val="-2"/>
          <w:kern w:val="0"/>
          <w:sz w:val="24"/>
          <w:szCs w:val="24"/>
          <w:highlight w:val="none"/>
        </w:rPr>
        <w:t>供应商</w:t>
      </w:r>
      <w:r>
        <w:rPr>
          <w:rFonts w:hint="eastAsia" w:ascii="宋体" w:hAnsi="宋体" w:eastAsia="宋体" w:cs="宋体"/>
          <w:color w:val="auto"/>
          <w:kern w:val="0"/>
          <w:sz w:val="24"/>
          <w:szCs w:val="24"/>
          <w:highlight w:val="none"/>
        </w:rPr>
        <w:t>通</w:t>
      </w:r>
      <w:r>
        <w:rPr>
          <w:rFonts w:hint="eastAsia" w:ascii="宋体" w:hAnsi="宋体" w:eastAsia="宋体" w:cs="宋体"/>
          <w:color w:val="auto"/>
          <w:spacing w:val="-2"/>
          <w:kern w:val="0"/>
          <w:sz w:val="24"/>
          <w:szCs w:val="24"/>
          <w:highlight w:val="none"/>
        </w:rPr>
        <w:t>过下</w:t>
      </w:r>
      <w:r>
        <w:rPr>
          <w:rFonts w:hint="eastAsia" w:ascii="宋体" w:hAnsi="宋体" w:eastAsia="宋体" w:cs="宋体"/>
          <w:color w:val="auto"/>
          <w:kern w:val="0"/>
          <w:sz w:val="24"/>
          <w:szCs w:val="24"/>
          <w:highlight w:val="none"/>
        </w:rPr>
        <w:t>载竞争性磋商文</w:t>
      </w:r>
      <w:r>
        <w:rPr>
          <w:rFonts w:hint="eastAsia" w:ascii="宋体" w:hAnsi="宋体" w:eastAsia="宋体" w:cs="宋体"/>
          <w:color w:val="auto"/>
          <w:spacing w:val="-2"/>
          <w:kern w:val="0"/>
          <w:sz w:val="24"/>
          <w:szCs w:val="24"/>
          <w:highlight w:val="none"/>
        </w:rPr>
        <w:t>件</w:t>
      </w:r>
      <w:r>
        <w:rPr>
          <w:rFonts w:hint="eastAsia" w:ascii="宋体" w:hAnsi="宋体" w:eastAsia="宋体" w:cs="宋体"/>
          <w:color w:val="auto"/>
          <w:kern w:val="0"/>
          <w:sz w:val="24"/>
          <w:szCs w:val="24"/>
          <w:highlight w:val="none"/>
        </w:rPr>
        <w:t>的全国公共资源交易平台（河南省·平顶山市）递</w:t>
      </w:r>
      <w:r>
        <w:rPr>
          <w:rFonts w:hint="eastAsia" w:ascii="宋体" w:hAnsi="宋体" w:eastAsia="宋体" w:cs="宋体"/>
          <w:color w:val="auto"/>
          <w:spacing w:val="-2"/>
          <w:kern w:val="0"/>
          <w:sz w:val="24"/>
          <w:szCs w:val="24"/>
          <w:highlight w:val="none"/>
        </w:rPr>
        <w:t>交</w:t>
      </w:r>
      <w:r>
        <w:rPr>
          <w:rFonts w:hint="eastAsia" w:ascii="宋体" w:hAnsi="宋体" w:eastAsia="宋体" w:cs="宋体"/>
          <w:color w:val="auto"/>
          <w:kern w:val="0"/>
          <w:sz w:val="24"/>
          <w:szCs w:val="24"/>
          <w:highlight w:val="none"/>
        </w:rPr>
        <w:t>电</w:t>
      </w:r>
      <w:r>
        <w:rPr>
          <w:rFonts w:hint="eastAsia" w:ascii="宋体" w:hAnsi="宋体" w:eastAsia="宋体" w:cs="宋体"/>
          <w:color w:val="auto"/>
          <w:spacing w:val="-2"/>
          <w:kern w:val="0"/>
          <w:sz w:val="24"/>
          <w:szCs w:val="24"/>
          <w:highlight w:val="none"/>
        </w:rPr>
        <w:t>子</w:t>
      </w:r>
      <w:r>
        <w:rPr>
          <w:rFonts w:hint="eastAsia" w:ascii="宋体" w:hAnsi="宋体" w:eastAsia="宋体" w:cs="宋体"/>
          <w:color w:val="auto"/>
          <w:kern w:val="0"/>
          <w:sz w:val="24"/>
          <w:szCs w:val="24"/>
          <w:highlight w:val="none"/>
        </w:rPr>
        <w:t>响应文件。</w:t>
      </w:r>
    </w:p>
    <w:p w14:paraId="23E9FAA5">
      <w:pPr>
        <w:wordWrap/>
        <w:topLinePunct w:val="0"/>
        <w:autoSpaceDE w:val="0"/>
        <w:autoSpaceDN w:val="0"/>
        <w:adjustRightInd w:val="0"/>
        <w:spacing w:line="360" w:lineRule="auto"/>
        <w:ind w:right="-2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4.2.3</w:t>
      </w:r>
      <w:r>
        <w:rPr>
          <w:rFonts w:hint="eastAsia" w:ascii="宋体" w:hAnsi="宋体" w:eastAsia="宋体" w:cs="宋体"/>
          <w:color w:val="auto"/>
          <w:kern w:val="0"/>
          <w:sz w:val="24"/>
          <w:szCs w:val="24"/>
          <w:highlight w:val="none"/>
        </w:rPr>
        <w:t xml:space="preserve"> 除</w:t>
      </w:r>
      <w:r>
        <w:rPr>
          <w:rFonts w:hint="eastAsia" w:ascii="宋体" w:hAnsi="宋体" w:eastAsia="宋体" w:cs="宋体"/>
          <w:color w:val="auto"/>
          <w:spacing w:val="-2"/>
          <w:kern w:val="0"/>
          <w:sz w:val="24"/>
          <w:szCs w:val="24"/>
          <w:highlight w:val="none"/>
        </w:rPr>
        <w:t>供应商</w:t>
      </w:r>
      <w:r>
        <w:rPr>
          <w:rFonts w:hint="eastAsia" w:ascii="宋体" w:hAnsi="宋体" w:eastAsia="宋体" w:cs="宋体"/>
          <w:color w:val="auto"/>
          <w:kern w:val="0"/>
          <w:sz w:val="24"/>
          <w:szCs w:val="24"/>
          <w:highlight w:val="none"/>
        </w:rPr>
        <w:t>须</w:t>
      </w:r>
      <w:r>
        <w:rPr>
          <w:rFonts w:hint="eastAsia" w:ascii="宋体" w:hAnsi="宋体" w:eastAsia="宋体" w:cs="宋体"/>
          <w:color w:val="auto"/>
          <w:spacing w:val="-2"/>
          <w:kern w:val="0"/>
          <w:sz w:val="24"/>
          <w:szCs w:val="24"/>
          <w:highlight w:val="none"/>
        </w:rPr>
        <w:t>知</w:t>
      </w:r>
      <w:r>
        <w:rPr>
          <w:rFonts w:hint="eastAsia" w:ascii="宋体" w:hAnsi="宋体" w:eastAsia="宋体" w:cs="宋体"/>
          <w:color w:val="auto"/>
          <w:kern w:val="0"/>
          <w:sz w:val="24"/>
          <w:szCs w:val="24"/>
          <w:highlight w:val="none"/>
        </w:rPr>
        <w:t>前</w:t>
      </w:r>
      <w:r>
        <w:rPr>
          <w:rFonts w:hint="eastAsia" w:ascii="宋体" w:hAnsi="宋体" w:eastAsia="宋体" w:cs="宋体"/>
          <w:color w:val="auto"/>
          <w:spacing w:val="-2"/>
          <w:kern w:val="0"/>
          <w:sz w:val="24"/>
          <w:szCs w:val="24"/>
          <w:highlight w:val="none"/>
        </w:rPr>
        <w:t>附表</w:t>
      </w:r>
      <w:r>
        <w:rPr>
          <w:rFonts w:hint="eastAsia" w:ascii="宋体" w:hAnsi="宋体" w:eastAsia="宋体" w:cs="宋体"/>
          <w:color w:val="auto"/>
          <w:kern w:val="0"/>
          <w:sz w:val="24"/>
          <w:szCs w:val="24"/>
          <w:highlight w:val="none"/>
        </w:rPr>
        <w:t>另有</w:t>
      </w:r>
      <w:r>
        <w:rPr>
          <w:rFonts w:hint="eastAsia" w:ascii="宋体" w:hAnsi="宋体" w:eastAsia="宋体" w:cs="宋体"/>
          <w:color w:val="auto"/>
          <w:spacing w:val="-2"/>
          <w:kern w:val="0"/>
          <w:sz w:val="24"/>
          <w:szCs w:val="24"/>
          <w:highlight w:val="none"/>
        </w:rPr>
        <w:t>规</w:t>
      </w:r>
      <w:r>
        <w:rPr>
          <w:rFonts w:hint="eastAsia" w:ascii="宋体" w:hAnsi="宋体" w:eastAsia="宋体" w:cs="宋体"/>
          <w:color w:val="auto"/>
          <w:kern w:val="0"/>
          <w:sz w:val="24"/>
          <w:szCs w:val="24"/>
          <w:highlight w:val="none"/>
        </w:rPr>
        <w:t>定</w:t>
      </w:r>
      <w:r>
        <w:rPr>
          <w:rFonts w:hint="eastAsia" w:ascii="宋体" w:hAnsi="宋体" w:eastAsia="宋体" w:cs="宋体"/>
          <w:color w:val="auto"/>
          <w:spacing w:val="-2"/>
          <w:kern w:val="0"/>
          <w:sz w:val="24"/>
          <w:szCs w:val="24"/>
          <w:highlight w:val="none"/>
        </w:rPr>
        <w:t>外</w:t>
      </w:r>
      <w:r>
        <w:rPr>
          <w:rFonts w:hint="eastAsia" w:ascii="宋体" w:hAnsi="宋体" w:eastAsia="宋体" w:cs="宋体"/>
          <w:color w:val="auto"/>
          <w:kern w:val="0"/>
          <w:sz w:val="24"/>
          <w:szCs w:val="24"/>
          <w:highlight w:val="none"/>
        </w:rPr>
        <w:t>供应商所</w:t>
      </w:r>
      <w:r>
        <w:rPr>
          <w:rFonts w:hint="eastAsia" w:ascii="宋体" w:hAnsi="宋体" w:eastAsia="宋体" w:cs="宋体"/>
          <w:color w:val="auto"/>
          <w:spacing w:val="-2"/>
          <w:kern w:val="0"/>
          <w:sz w:val="24"/>
          <w:szCs w:val="24"/>
          <w:highlight w:val="none"/>
        </w:rPr>
        <w:t>递</w:t>
      </w:r>
      <w:r>
        <w:rPr>
          <w:rFonts w:hint="eastAsia" w:ascii="宋体" w:hAnsi="宋体" w:eastAsia="宋体" w:cs="宋体"/>
          <w:color w:val="auto"/>
          <w:kern w:val="0"/>
          <w:sz w:val="24"/>
          <w:szCs w:val="24"/>
          <w:highlight w:val="none"/>
        </w:rPr>
        <w:t>交的</w:t>
      </w:r>
      <w:r>
        <w:rPr>
          <w:rFonts w:hint="eastAsia" w:ascii="宋体" w:hAnsi="宋体" w:eastAsia="宋体" w:cs="宋体"/>
          <w:color w:val="auto"/>
          <w:spacing w:val="-2"/>
          <w:kern w:val="0"/>
          <w:sz w:val="24"/>
          <w:szCs w:val="24"/>
          <w:highlight w:val="none"/>
        </w:rPr>
        <w:t>响应文</w:t>
      </w:r>
      <w:r>
        <w:rPr>
          <w:rFonts w:hint="eastAsia" w:ascii="宋体" w:hAnsi="宋体" w:eastAsia="宋体" w:cs="宋体"/>
          <w:color w:val="auto"/>
          <w:kern w:val="0"/>
          <w:sz w:val="24"/>
          <w:szCs w:val="24"/>
          <w:highlight w:val="none"/>
        </w:rPr>
        <w:t>件</w:t>
      </w:r>
      <w:r>
        <w:rPr>
          <w:rFonts w:hint="eastAsia" w:ascii="宋体" w:hAnsi="宋体" w:eastAsia="宋体" w:cs="宋体"/>
          <w:color w:val="auto"/>
          <w:spacing w:val="-2"/>
          <w:kern w:val="0"/>
          <w:sz w:val="24"/>
          <w:szCs w:val="24"/>
          <w:highlight w:val="none"/>
        </w:rPr>
        <w:t>不</w:t>
      </w:r>
      <w:r>
        <w:rPr>
          <w:rFonts w:hint="eastAsia" w:ascii="宋体" w:hAnsi="宋体" w:eastAsia="宋体" w:cs="宋体"/>
          <w:color w:val="auto"/>
          <w:kern w:val="0"/>
          <w:sz w:val="24"/>
          <w:szCs w:val="24"/>
          <w:highlight w:val="none"/>
        </w:rPr>
        <w:t>予</w:t>
      </w:r>
      <w:r>
        <w:rPr>
          <w:rFonts w:hint="eastAsia" w:ascii="宋体" w:hAnsi="宋体" w:eastAsia="宋体" w:cs="宋体"/>
          <w:color w:val="auto"/>
          <w:spacing w:val="-2"/>
          <w:kern w:val="0"/>
          <w:sz w:val="24"/>
          <w:szCs w:val="24"/>
          <w:highlight w:val="none"/>
        </w:rPr>
        <w:t>退</w:t>
      </w:r>
      <w:r>
        <w:rPr>
          <w:rFonts w:hint="eastAsia" w:ascii="宋体" w:hAnsi="宋体" w:eastAsia="宋体" w:cs="宋体"/>
          <w:color w:val="auto"/>
          <w:kern w:val="0"/>
          <w:sz w:val="24"/>
          <w:szCs w:val="24"/>
          <w:highlight w:val="none"/>
        </w:rPr>
        <w:t>还。</w:t>
      </w:r>
    </w:p>
    <w:p w14:paraId="393EE964">
      <w:pPr>
        <w:wordWrap/>
        <w:topLinePunct w:val="0"/>
        <w:autoSpaceDE w:val="0"/>
        <w:autoSpaceDN w:val="0"/>
        <w:adjustRightInd w:val="0"/>
        <w:spacing w:line="360" w:lineRule="auto"/>
        <w:ind w:right="4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4.2.4 </w:t>
      </w:r>
      <w:r>
        <w:rPr>
          <w:rFonts w:hint="eastAsia" w:ascii="宋体" w:hAnsi="宋体" w:eastAsia="宋体" w:cs="宋体"/>
          <w:color w:val="auto"/>
          <w:kern w:val="0"/>
          <w:sz w:val="24"/>
          <w:szCs w:val="24"/>
          <w:highlight w:val="none"/>
        </w:rPr>
        <w:t>供应商</w:t>
      </w:r>
      <w:r>
        <w:rPr>
          <w:rFonts w:hint="eastAsia" w:ascii="宋体" w:hAnsi="宋体" w:eastAsia="宋体" w:cs="宋体"/>
          <w:color w:val="auto"/>
          <w:spacing w:val="-2"/>
          <w:kern w:val="0"/>
          <w:sz w:val="24"/>
          <w:szCs w:val="24"/>
          <w:highlight w:val="none"/>
        </w:rPr>
        <w:t>完</w:t>
      </w:r>
      <w:r>
        <w:rPr>
          <w:rFonts w:hint="eastAsia" w:ascii="宋体" w:hAnsi="宋体" w:eastAsia="宋体" w:cs="宋体"/>
          <w:color w:val="auto"/>
          <w:kern w:val="0"/>
          <w:sz w:val="24"/>
          <w:szCs w:val="24"/>
          <w:highlight w:val="none"/>
        </w:rPr>
        <w:t>成</w:t>
      </w:r>
      <w:r>
        <w:rPr>
          <w:rFonts w:hint="eastAsia" w:ascii="宋体" w:hAnsi="宋体" w:eastAsia="宋体" w:cs="宋体"/>
          <w:color w:val="auto"/>
          <w:spacing w:val="-2"/>
          <w:kern w:val="0"/>
          <w:sz w:val="24"/>
          <w:szCs w:val="24"/>
          <w:highlight w:val="none"/>
        </w:rPr>
        <w:t>电</w:t>
      </w:r>
      <w:r>
        <w:rPr>
          <w:rFonts w:hint="eastAsia" w:ascii="宋体" w:hAnsi="宋体" w:eastAsia="宋体" w:cs="宋体"/>
          <w:color w:val="auto"/>
          <w:kern w:val="0"/>
          <w:sz w:val="24"/>
          <w:szCs w:val="24"/>
          <w:highlight w:val="none"/>
        </w:rPr>
        <w:t>子响应文</w:t>
      </w:r>
      <w:r>
        <w:rPr>
          <w:rFonts w:hint="eastAsia" w:ascii="宋体" w:hAnsi="宋体" w:eastAsia="宋体" w:cs="宋体"/>
          <w:color w:val="auto"/>
          <w:spacing w:val="-2"/>
          <w:kern w:val="0"/>
          <w:sz w:val="24"/>
          <w:szCs w:val="24"/>
          <w:highlight w:val="none"/>
        </w:rPr>
        <w:t>件</w:t>
      </w:r>
      <w:r>
        <w:rPr>
          <w:rFonts w:hint="eastAsia" w:ascii="宋体" w:hAnsi="宋体" w:eastAsia="宋体" w:cs="宋体"/>
          <w:color w:val="auto"/>
          <w:kern w:val="0"/>
          <w:sz w:val="24"/>
          <w:szCs w:val="24"/>
          <w:highlight w:val="none"/>
        </w:rPr>
        <w:t>上</w:t>
      </w:r>
      <w:r>
        <w:rPr>
          <w:rFonts w:hint="eastAsia" w:ascii="宋体" w:hAnsi="宋体" w:eastAsia="宋体" w:cs="宋体"/>
          <w:color w:val="auto"/>
          <w:spacing w:val="-2"/>
          <w:kern w:val="0"/>
          <w:sz w:val="24"/>
          <w:szCs w:val="24"/>
          <w:highlight w:val="none"/>
        </w:rPr>
        <w:t>传</w:t>
      </w:r>
      <w:r>
        <w:rPr>
          <w:rFonts w:hint="eastAsia" w:ascii="宋体" w:hAnsi="宋体" w:eastAsia="宋体" w:cs="宋体"/>
          <w:color w:val="auto"/>
          <w:kern w:val="0"/>
          <w:sz w:val="24"/>
          <w:szCs w:val="24"/>
          <w:highlight w:val="none"/>
        </w:rPr>
        <w:t>后</w:t>
      </w:r>
      <w:r>
        <w:rPr>
          <w:rFonts w:hint="eastAsia" w:ascii="宋体" w:hAnsi="宋体" w:eastAsia="宋体" w:cs="宋体"/>
          <w:color w:val="auto"/>
          <w:spacing w:val="-5"/>
          <w:kern w:val="0"/>
          <w:sz w:val="24"/>
          <w:szCs w:val="24"/>
          <w:highlight w:val="none"/>
        </w:rPr>
        <w:t>，</w:t>
      </w:r>
      <w:r>
        <w:rPr>
          <w:rFonts w:hint="eastAsia" w:ascii="宋体" w:hAnsi="宋体" w:eastAsia="宋体" w:cs="宋体"/>
          <w:color w:val="auto"/>
          <w:kern w:val="0"/>
          <w:sz w:val="24"/>
          <w:szCs w:val="24"/>
          <w:highlight w:val="none"/>
        </w:rPr>
        <w:t>全国公共资源交易平台（河南省·平顶山市）</w:t>
      </w:r>
      <w:r>
        <w:rPr>
          <w:rFonts w:hint="eastAsia" w:ascii="宋体" w:hAnsi="宋体" w:eastAsia="宋体" w:cs="宋体"/>
          <w:color w:val="auto"/>
          <w:spacing w:val="-2"/>
          <w:kern w:val="0"/>
          <w:sz w:val="24"/>
          <w:szCs w:val="24"/>
          <w:highlight w:val="none"/>
        </w:rPr>
        <w:t>即</w:t>
      </w:r>
      <w:r>
        <w:rPr>
          <w:rFonts w:hint="eastAsia" w:ascii="宋体" w:hAnsi="宋体" w:eastAsia="宋体" w:cs="宋体"/>
          <w:color w:val="auto"/>
          <w:kern w:val="0"/>
          <w:sz w:val="24"/>
          <w:szCs w:val="24"/>
          <w:highlight w:val="none"/>
        </w:rPr>
        <w:t>时</w:t>
      </w:r>
      <w:r>
        <w:rPr>
          <w:rFonts w:hint="eastAsia" w:ascii="宋体" w:hAnsi="宋体" w:eastAsia="宋体" w:cs="宋体"/>
          <w:color w:val="auto"/>
          <w:spacing w:val="-2"/>
          <w:kern w:val="0"/>
          <w:sz w:val="24"/>
          <w:szCs w:val="24"/>
          <w:highlight w:val="none"/>
        </w:rPr>
        <w:t>向</w:t>
      </w:r>
      <w:r>
        <w:rPr>
          <w:rFonts w:hint="eastAsia" w:ascii="宋体" w:hAnsi="宋体" w:eastAsia="宋体" w:cs="宋体"/>
          <w:color w:val="auto"/>
          <w:kern w:val="0"/>
          <w:sz w:val="24"/>
          <w:szCs w:val="24"/>
          <w:highlight w:val="none"/>
        </w:rPr>
        <w:t>供应商发</w:t>
      </w:r>
      <w:r>
        <w:rPr>
          <w:rFonts w:hint="eastAsia" w:ascii="宋体" w:hAnsi="宋体" w:eastAsia="宋体" w:cs="宋体"/>
          <w:color w:val="auto"/>
          <w:spacing w:val="-2"/>
          <w:kern w:val="0"/>
          <w:sz w:val="24"/>
          <w:szCs w:val="24"/>
          <w:highlight w:val="none"/>
        </w:rPr>
        <w:t>出</w:t>
      </w:r>
      <w:r>
        <w:rPr>
          <w:rFonts w:hint="eastAsia" w:ascii="宋体" w:hAnsi="宋体" w:eastAsia="宋体" w:cs="宋体"/>
          <w:color w:val="auto"/>
          <w:kern w:val="0"/>
          <w:sz w:val="24"/>
          <w:szCs w:val="24"/>
          <w:highlight w:val="none"/>
        </w:rPr>
        <w:t>递交回</w:t>
      </w:r>
      <w:r>
        <w:rPr>
          <w:rFonts w:hint="eastAsia" w:ascii="宋体" w:hAnsi="宋体" w:eastAsia="宋体" w:cs="宋体"/>
          <w:color w:val="auto"/>
          <w:spacing w:val="-2"/>
          <w:kern w:val="0"/>
          <w:sz w:val="24"/>
          <w:szCs w:val="24"/>
          <w:highlight w:val="none"/>
        </w:rPr>
        <w:t>执</w:t>
      </w:r>
      <w:r>
        <w:rPr>
          <w:rFonts w:hint="eastAsia" w:ascii="宋体" w:hAnsi="宋体" w:eastAsia="宋体" w:cs="宋体"/>
          <w:color w:val="auto"/>
          <w:kern w:val="0"/>
          <w:sz w:val="24"/>
          <w:szCs w:val="24"/>
          <w:highlight w:val="none"/>
        </w:rPr>
        <w:t>通</w:t>
      </w:r>
      <w:r>
        <w:rPr>
          <w:rFonts w:hint="eastAsia" w:ascii="宋体" w:hAnsi="宋体" w:eastAsia="宋体" w:cs="宋体"/>
          <w:color w:val="auto"/>
          <w:spacing w:val="-3"/>
          <w:kern w:val="0"/>
          <w:sz w:val="24"/>
          <w:szCs w:val="24"/>
          <w:highlight w:val="none"/>
        </w:rPr>
        <w:t>知</w:t>
      </w:r>
      <w:r>
        <w:rPr>
          <w:rFonts w:hint="eastAsia" w:ascii="宋体" w:hAnsi="宋体" w:eastAsia="宋体" w:cs="宋体"/>
          <w:color w:val="auto"/>
          <w:kern w:val="0"/>
          <w:sz w:val="24"/>
          <w:szCs w:val="24"/>
          <w:highlight w:val="none"/>
        </w:rPr>
        <w:t>。</w:t>
      </w:r>
      <w:r>
        <w:rPr>
          <w:rFonts w:hint="eastAsia" w:ascii="宋体" w:hAnsi="宋体" w:eastAsia="宋体" w:cs="宋体"/>
          <w:color w:val="auto"/>
          <w:spacing w:val="-2"/>
          <w:kern w:val="0"/>
          <w:sz w:val="24"/>
          <w:szCs w:val="24"/>
          <w:highlight w:val="none"/>
        </w:rPr>
        <w:t>递</w:t>
      </w:r>
      <w:r>
        <w:rPr>
          <w:rFonts w:hint="eastAsia" w:ascii="宋体" w:hAnsi="宋体" w:eastAsia="宋体" w:cs="宋体"/>
          <w:color w:val="auto"/>
          <w:kern w:val="0"/>
          <w:sz w:val="24"/>
          <w:szCs w:val="24"/>
          <w:highlight w:val="none"/>
        </w:rPr>
        <w:t>交</w:t>
      </w:r>
      <w:r>
        <w:rPr>
          <w:rFonts w:hint="eastAsia" w:ascii="宋体" w:hAnsi="宋体" w:eastAsia="宋体" w:cs="宋体"/>
          <w:color w:val="auto"/>
          <w:spacing w:val="-2"/>
          <w:kern w:val="0"/>
          <w:sz w:val="24"/>
          <w:szCs w:val="24"/>
          <w:highlight w:val="none"/>
        </w:rPr>
        <w:t>时</w:t>
      </w:r>
      <w:r>
        <w:rPr>
          <w:rFonts w:hint="eastAsia" w:ascii="宋体" w:hAnsi="宋体" w:eastAsia="宋体" w:cs="宋体"/>
          <w:color w:val="auto"/>
          <w:kern w:val="0"/>
          <w:sz w:val="24"/>
          <w:szCs w:val="24"/>
          <w:highlight w:val="none"/>
        </w:rPr>
        <w:t>间</w:t>
      </w:r>
      <w:r>
        <w:rPr>
          <w:rFonts w:hint="eastAsia" w:ascii="宋体" w:hAnsi="宋体" w:eastAsia="宋体" w:cs="宋体"/>
          <w:color w:val="auto"/>
          <w:spacing w:val="-2"/>
          <w:kern w:val="0"/>
          <w:sz w:val="24"/>
          <w:szCs w:val="24"/>
          <w:highlight w:val="none"/>
        </w:rPr>
        <w:t>以</w:t>
      </w:r>
      <w:r>
        <w:rPr>
          <w:rFonts w:hint="eastAsia" w:ascii="宋体" w:hAnsi="宋体" w:eastAsia="宋体" w:cs="宋体"/>
          <w:color w:val="auto"/>
          <w:kern w:val="0"/>
          <w:sz w:val="24"/>
          <w:szCs w:val="24"/>
          <w:highlight w:val="none"/>
        </w:rPr>
        <w:t>递交</w:t>
      </w:r>
      <w:r>
        <w:rPr>
          <w:rFonts w:hint="eastAsia" w:ascii="宋体" w:hAnsi="宋体" w:eastAsia="宋体" w:cs="宋体"/>
          <w:color w:val="auto"/>
          <w:spacing w:val="-2"/>
          <w:kern w:val="0"/>
          <w:sz w:val="24"/>
          <w:szCs w:val="24"/>
          <w:highlight w:val="none"/>
        </w:rPr>
        <w:t>回</w:t>
      </w:r>
      <w:r>
        <w:rPr>
          <w:rFonts w:hint="eastAsia" w:ascii="宋体" w:hAnsi="宋体" w:eastAsia="宋体" w:cs="宋体"/>
          <w:color w:val="auto"/>
          <w:kern w:val="0"/>
          <w:sz w:val="24"/>
          <w:szCs w:val="24"/>
          <w:highlight w:val="none"/>
        </w:rPr>
        <w:t>执</w:t>
      </w:r>
      <w:r>
        <w:rPr>
          <w:rFonts w:hint="eastAsia" w:ascii="宋体" w:hAnsi="宋体" w:eastAsia="宋体" w:cs="宋体"/>
          <w:color w:val="auto"/>
          <w:spacing w:val="-2"/>
          <w:kern w:val="0"/>
          <w:sz w:val="24"/>
          <w:szCs w:val="24"/>
          <w:highlight w:val="none"/>
        </w:rPr>
        <w:t>通</w:t>
      </w:r>
      <w:r>
        <w:rPr>
          <w:rFonts w:hint="eastAsia" w:ascii="宋体" w:hAnsi="宋体" w:eastAsia="宋体" w:cs="宋体"/>
          <w:color w:val="auto"/>
          <w:kern w:val="0"/>
          <w:sz w:val="24"/>
          <w:szCs w:val="24"/>
          <w:highlight w:val="none"/>
        </w:rPr>
        <w:t>知</w:t>
      </w:r>
      <w:r>
        <w:rPr>
          <w:rFonts w:hint="eastAsia" w:ascii="宋体" w:hAnsi="宋体" w:eastAsia="宋体" w:cs="宋体"/>
          <w:color w:val="auto"/>
          <w:spacing w:val="-2"/>
          <w:kern w:val="0"/>
          <w:sz w:val="24"/>
          <w:szCs w:val="24"/>
          <w:highlight w:val="none"/>
        </w:rPr>
        <w:t>载</w:t>
      </w:r>
      <w:r>
        <w:rPr>
          <w:rFonts w:hint="eastAsia" w:ascii="宋体" w:hAnsi="宋体" w:eastAsia="宋体" w:cs="宋体"/>
          <w:color w:val="auto"/>
          <w:kern w:val="0"/>
          <w:sz w:val="24"/>
          <w:szCs w:val="24"/>
          <w:highlight w:val="none"/>
        </w:rPr>
        <w:t>明</w:t>
      </w:r>
      <w:r>
        <w:rPr>
          <w:rFonts w:hint="eastAsia" w:ascii="宋体" w:hAnsi="宋体" w:eastAsia="宋体" w:cs="宋体"/>
          <w:color w:val="auto"/>
          <w:spacing w:val="-2"/>
          <w:kern w:val="0"/>
          <w:sz w:val="24"/>
          <w:szCs w:val="24"/>
          <w:highlight w:val="none"/>
        </w:rPr>
        <w:t>的</w:t>
      </w:r>
      <w:r>
        <w:rPr>
          <w:rFonts w:hint="eastAsia" w:ascii="宋体" w:hAnsi="宋体" w:eastAsia="宋体" w:cs="宋体"/>
          <w:color w:val="auto"/>
          <w:kern w:val="0"/>
          <w:sz w:val="24"/>
          <w:szCs w:val="24"/>
          <w:highlight w:val="none"/>
        </w:rPr>
        <w:t>传</w:t>
      </w:r>
      <w:r>
        <w:rPr>
          <w:rFonts w:hint="eastAsia" w:ascii="宋体" w:hAnsi="宋体" w:eastAsia="宋体" w:cs="宋体"/>
          <w:color w:val="auto"/>
          <w:spacing w:val="-2"/>
          <w:kern w:val="0"/>
          <w:sz w:val="24"/>
          <w:szCs w:val="24"/>
          <w:highlight w:val="none"/>
        </w:rPr>
        <w:t>输</w:t>
      </w:r>
      <w:r>
        <w:rPr>
          <w:rFonts w:hint="eastAsia" w:ascii="宋体" w:hAnsi="宋体" w:eastAsia="宋体" w:cs="宋体"/>
          <w:color w:val="auto"/>
          <w:kern w:val="0"/>
          <w:sz w:val="24"/>
          <w:szCs w:val="24"/>
          <w:highlight w:val="none"/>
        </w:rPr>
        <w:t>完成</w:t>
      </w:r>
      <w:r>
        <w:rPr>
          <w:rFonts w:hint="eastAsia" w:ascii="宋体" w:hAnsi="宋体" w:eastAsia="宋体" w:cs="宋体"/>
          <w:color w:val="auto"/>
          <w:spacing w:val="-2"/>
          <w:kern w:val="0"/>
          <w:sz w:val="24"/>
          <w:szCs w:val="24"/>
          <w:highlight w:val="none"/>
        </w:rPr>
        <w:t>时</w:t>
      </w:r>
      <w:r>
        <w:rPr>
          <w:rFonts w:hint="eastAsia" w:ascii="宋体" w:hAnsi="宋体" w:eastAsia="宋体" w:cs="宋体"/>
          <w:color w:val="auto"/>
          <w:kern w:val="0"/>
          <w:sz w:val="24"/>
          <w:szCs w:val="24"/>
          <w:highlight w:val="none"/>
        </w:rPr>
        <w:t>间</w:t>
      </w:r>
      <w:r>
        <w:rPr>
          <w:rFonts w:hint="eastAsia" w:ascii="宋体" w:hAnsi="宋体" w:eastAsia="宋体" w:cs="宋体"/>
          <w:color w:val="auto"/>
          <w:spacing w:val="-2"/>
          <w:kern w:val="0"/>
          <w:sz w:val="24"/>
          <w:szCs w:val="24"/>
          <w:highlight w:val="none"/>
        </w:rPr>
        <w:t>为</w:t>
      </w:r>
      <w:r>
        <w:rPr>
          <w:rFonts w:hint="eastAsia" w:ascii="宋体" w:hAnsi="宋体" w:eastAsia="宋体" w:cs="宋体"/>
          <w:color w:val="auto"/>
          <w:kern w:val="0"/>
          <w:sz w:val="24"/>
          <w:szCs w:val="24"/>
          <w:highlight w:val="none"/>
        </w:rPr>
        <w:t>准。</w:t>
      </w:r>
    </w:p>
    <w:p w14:paraId="3799AAE1">
      <w:pPr>
        <w:wordWrap/>
        <w:topLinePunct w:val="0"/>
        <w:autoSpaceDE w:val="0"/>
        <w:autoSpaceDN w:val="0"/>
        <w:adjustRightInd w:val="0"/>
        <w:spacing w:line="360" w:lineRule="auto"/>
        <w:ind w:right="-2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 xml:space="preserve">4.2.5 </w:t>
      </w:r>
      <w:r>
        <w:rPr>
          <w:rFonts w:hint="eastAsia" w:ascii="宋体" w:hAnsi="宋体" w:eastAsia="宋体" w:cs="宋体"/>
          <w:color w:val="auto"/>
          <w:spacing w:val="-2"/>
          <w:kern w:val="0"/>
          <w:sz w:val="24"/>
          <w:szCs w:val="24"/>
          <w:highlight w:val="none"/>
        </w:rPr>
        <w:t>逾</w:t>
      </w:r>
      <w:r>
        <w:rPr>
          <w:rFonts w:hint="eastAsia" w:ascii="宋体" w:hAnsi="宋体" w:eastAsia="宋体" w:cs="宋体"/>
          <w:color w:val="auto"/>
          <w:kern w:val="0"/>
          <w:sz w:val="24"/>
          <w:szCs w:val="24"/>
          <w:highlight w:val="none"/>
        </w:rPr>
        <w:t>期</w:t>
      </w:r>
      <w:r>
        <w:rPr>
          <w:rFonts w:hint="eastAsia" w:ascii="宋体" w:hAnsi="宋体" w:eastAsia="宋体" w:cs="宋体"/>
          <w:color w:val="auto"/>
          <w:spacing w:val="-2"/>
          <w:kern w:val="0"/>
          <w:sz w:val="24"/>
          <w:szCs w:val="24"/>
          <w:highlight w:val="none"/>
        </w:rPr>
        <w:t>送</w:t>
      </w:r>
      <w:r>
        <w:rPr>
          <w:rFonts w:hint="eastAsia" w:ascii="宋体" w:hAnsi="宋体" w:eastAsia="宋体" w:cs="宋体"/>
          <w:color w:val="auto"/>
          <w:kern w:val="0"/>
          <w:sz w:val="24"/>
          <w:szCs w:val="24"/>
          <w:highlight w:val="none"/>
        </w:rPr>
        <w:t>达</w:t>
      </w:r>
      <w:r>
        <w:rPr>
          <w:rFonts w:hint="eastAsia" w:ascii="宋体" w:hAnsi="宋体" w:eastAsia="宋体" w:cs="宋体"/>
          <w:color w:val="auto"/>
          <w:spacing w:val="-2"/>
          <w:kern w:val="0"/>
          <w:sz w:val="24"/>
          <w:szCs w:val="24"/>
          <w:highlight w:val="none"/>
        </w:rPr>
        <w:t>的响应</w:t>
      </w:r>
      <w:r>
        <w:rPr>
          <w:rFonts w:hint="eastAsia" w:ascii="宋体" w:hAnsi="宋体" w:eastAsia="宋体" w:cs="宋体"/>
          <w:color w:val="auto"/>
          <w:kern w:val="0"/>
          <w:sz w:val="24"/>
          <w:szCs w:val="24"/>
          <w:highlight w:val="none"/>
        </w:rPr>
        <w:t>文</w:t>
      </w:r>
      <w:r>
        <w:rPr>
          <w:rFonts w:hint="eastAsia" w:ascii="宋体" w:hAnsi="宋体" w:eastAsia="宋体" w:cs="宋体"/>
          <w:color w:val="auto"/>
          <w:spacing w:val="-2"/>
          <w:kern w:val="0"/>
          <w:sz w:val="24"/>
          <w:szCs w:val="24"/>
          <w:highlight w:val="none"/>
        </w:rPr>
        <w:t>件</w:t>
      </w:r>
      <w:r>
        <w:rPr>
          <w:rFonts w:hint="eastAsia" w:ascii="宋体" w:hAnsi="宋体" w:eastAsia="宋体" w:cs="宋体"/>
          <w:color w:val="auto"/>
          <w:kern w:val="0"/>
          <w:sz w:val="24"/>
          <w:szCs w:val="24"/>
          <w:highlight w:val="none"/>
        </w:rPr>
        <w:t>，全国公共资源交易平台（河南省·平顶山市）将</w:t>
      </w:r>
      <w:r>
        <w:rPr>
          <w:rFonts w:hint="eastAsia" w:ascii="宋体" w:hAnsi="宋体" w:eastAsia="宋体" w:cs="宋体"/>
          <w:color w:val="auto"/>
          <w:spacing w:val="-2"/>
          <w:kern w:val="0"/>
          <w:sz w:val="24"/>
          <w:szCs w:val="24"/>
          <w:highlight w:val="none"/>
        </w:rPr>
        <w:t>予</w:t>
      </w:r>
      <w:r>
        <w:rPr>
          <w:rFonts w:hint="eastAsia" w:ascii="宋体" w:hAnsi="宋体" w:eastAsia="宋体" w:cs="宋体"/>
          <w:color w:val="auto"/>
          <w:kern w:val="0"/>
          <w:sz w:val="24"/>
          <w:szCs w:val="24"/>
          <w:highlight w:val="none"/>
        </w:rPr>
        <w:t>以</w:t>
      </w:r>
      <w:r>
        <w:rPr>
          <w:rFonts w:hint="eastAsia" w:ascii="宋体" w:hAnsi="宋体" w:eastAsia="宋体" w:cs="宋体"/>
          <w:color w:val="auto"/>
          <w:spacing w:val="-2"/>
          <w:kern w:val="0"/>
          <w:sz w:val="24"/>
          <w:szCs w:val="24"/>
          <w:highlight w:val="none"/>
        </w:rPr>
        <w:t>拒</w:t>
      </w:r>
      <w:r>
        <w:rPr>
          <w:rFonts w:hint="eastAsia" w:ascii="宋体" w:hAnsi="宋体" w:eastAsia="宋体" w:cs="宋体"/>
          <w:color w:val="auto"/>
          <w:kern w:val="0"/>
          <w:sz w:val="24"/>
          <w:szCs w:val="24"/>
          <w:highlight w:val="none"/>
        </w:rPr>
        <w:t>收。</w:t>
      </w:r>
    </w:p>
    <w:p w14:paraId="72F36DD4">
      <w:pPr>
        <w:pStyle w:val="4"/>
        <w:numPr>
          <w:ilvl w:val="1"/>
          <w:numId w:val="2"/>
        </w:numPr>
        <w:jc w:val="left"/>
        <w:rPr>
          <w:rFonts w:hint="eastAsia" w:ascii="宋体" w:hAnsi="宋体" w:eastAsia="宋体" w:cs="宋体"/>
          <w:bCs w:val="0"/>
          <w:color w:val="auto"/>
          <w:sz w:val="24"/>
          <w:szCs w:val="24"/>
          <w:highlight w:val="none"/>
        </w:rPr>
      </w:pPr>
      <w:bookmarkStart w:id="397" w:name="_Toc27753961"/>
      <w:bookmarkStart w:id="398" w:name="_Toc29623310"/>
      <w:r>
        <w:rPr>
          <w:rFonts w:hint="eastAsia" w:ascii="宋体" w:hAnsi="宋体" w:eastAsia="宋体" w:cs="宋体"/>
          <w:bCs w:val="0"/>
          <w:color w:val="auto"/>
          <w:sz w:val="24"/>
          <w:szCs w:val="24"/>
          <w:highlight w:val="none"/>
        </w:rPr>
        <w:t>磋商响应文件的补充、修改与撤回</w:t>
      </w:r>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p>
    <w:p w14:paraId="43D1FB27">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399" w:name="_Toc270604601"/>
      <w:bookmarkStart w:id="400" w:name="_Toc5513"/>
      <w:r>
        <w:rPr>
          <w:rFonts w:hint="eastAsia" w:ascii="宋体" w:hAnsi="宋体" w:eastAsia="宋体" w:cs="宋体"/>
          <w:color w:val="auto"/>
          <w:sz w:val="24"/>
          <w:szCs w:val="24"/>
          <w:highlight w:val="none"/>
        </w:rPr>
        <w:t>在本章第4.2.1项规定的递交首次磋商截止时间前，供应商可以补充、修改或撤回已递交的磋商响应文件，但应以书面形式通知采购人、采购代理机构。</w:t>
      </w:r>
    </w:p>
    <w:p w14:paraId="4BBF2ED8">
      <w:pPr>
        <w:snapToGrid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4.3.2供应商补充、修改或撤回已递交响应文件的通知，应按照本章第 3.5.3项的要求加盖电子印章。电子招标投标交易平台收到通知后，即时向供应商发出确认回执通知。</w:t>
      </w:r>
    </w:p>
    <w:p w14:paraId="3F15468F">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补充、修改的内容为磋商响应文件的组成部分。补充、修改的内容与响应文件不一致的，以补充、修改的内容为准。修改的磋商响应文件应按照本章规定进行编制、密封、标记和递交，并标明“修改”字样。</w:t>
      </w:r>
    </w:p>
    <w:p w14:paraId="32A9B0C1">
      <w:pPr>
        <w:pStyle w:val="8"/>
        <w:rPr>
          <w:rFonts w:hint="eastAsia" w:ascii="宋体" w:hAnsi="宋体" w:eastAsia="宋体" w:cs="宋体"/>
          <w:color w:val="auto"/>
          <w:sz w:val="24"/>
          <w:szCs w:val="24"/>
          <w:highlight w:val="none"/>
        </w:rPr>
      </w:pPr>
    </w:p>
    <w:p w14:paraId="0297E319">
      <w:pPr>
        <w:pStyle w:val="8"/>
        <w:keepNext w:val="0"/>
        <w:keepLines w:val="0"/>
        <w:pageBreakBefore w:val="0"/>
        <w:widowControl w:val="0"/>
        <w:numPr>
          <w:ilvl w:val="0"/>
          <w:numId w:val="2"/>
        </w:numPr>
        <w:tabs>
          <w:tab w:val="left" w:pos="360"/>
        </w:tabs>
        <w:kinsoku/>
        <w:wordWrap/>
        <w:overflowPunct/>
        <w:topLinePunct w:val="0"/>
        <w:autoSpaceDE w:val="0"/>
        <w:autoSpaceDN w:val="0"/>
        <w:bidi w:val="0"/>
        <w:adjustRightInd w:val="0"/>
        <w:snapToGrid w:val="0"/>
        <w:spacing w:line="360" w:lineRule="auto"/>
        <w:ind w:left="0" w:firstLine="0"/>
        <w:contextualSpacing/>
        <w:jc w:val="both"/>
        <w:textAlignment w:val="auto"/>
        <w:outlineLvl w:val="1"/>
        <w:rPr>
          <w:rStyle w:val="35"/>
          <w:rFonts w:hint="eastAsia" w:ascii="宋体" w:hAnsi="宋体" w:eastAsia="宋体" w:cs="宋体"/>
          <w:color w:val="auto"/>
          <w:sz w:val="24"/>
          <w:szCs w:val="24"/>
          <w:highlight w:val="none"/>
        </w:rPr>
      </w:pPr>
      <w:r>
        <w:rPr>
          <w:rStyle w:val="35"/>
          <w:rFonts w:hint="eastAsia" w:ascii="宋体" w:hAnsi="宋体" w:eastAsia="宋体" w:cs="宋体"/>
          <w:color w:val="auto"/>
          <w:sz w:val="24"/>
          <w:szCs w:val="24"/>
          <w:highlight w:val="none"/>
        </w:rPr>
        <w:t xml:space="preserve"> </w:t>
      </w:r>
      <w:bookmarkStart w:id="401" w:name="_Toc8171"/>
      <w:bookmarkStart w:id="402" w:name="_Toc29623311"/>
      <w:bookmarkStart w:id="403" w:name="_Toc3386"/>
      <w:bookmarkStart w:id="404" w:name="_Toc5800"/>
      <w:r>
        <w:rPr>
          <w:rStyle w:val="35"/>
          <w:rFonts w:hint="eastAsia" w:ascii="宋体" w:hAnsi="宋体" w:eastAsia="宋体" w:cs="宋体"/>
          <w:color w:val="auto"/>
          <w:sz w:val="24"/>
          <w:szCs w:val="24"/>
          <w:highlight w:val="none"/>
        </w:rPr>
        <w:t>竞争性</w:t>
      </w:r>
      <w:bookmarkEnd w:id="399"/>
      <w:r>
        <w:rPr>
          <w:rStyle w:val="35"/>
          <w:rFonts w:hint="eastAsia" w:ascii="宋体" w:hAnsi="宋体" w:eastAsia="宋体" w:cs="宋体"/>
          <w:color w:val="auto"/>
          <w:sz w:val="24"/>
          <w:szCs w:val="24"/>
          <w:highlight w:val="none"/>
        </w:rPr>
        <w:t>磋商</w:t>
      </w:r>
      <w:bookmarkEnd w:id="400"/>
      <w:bookmarkEnd w:id="401"/>
      <w:bookmarkEnd w:id="402"/>
      <w:bookmarkEnd w:id="403"/>
      <w:bookmarkEnd w:id="404"/>
    </w:p>
    <w:p w14:paraId="1B652E49">
      <w:pPr>
        <w:pStyle w:val="4"/>
        <w:jc w:val="left"/>
        <w:rPr>
          <w:rFonts w:hint="eastAsia" w:ascii="宋体" w:hAnsi="宋体" w:eastAsia="宋体" w:cs="宋体"/>
          <w:bCs w:val="0"/>
          <w:color w:val="auto"/>
          <w:sz w:val="24"/>
          <w:szCs w:val="24"/>
          <w:highlight w:val="none"/>
        </w:rPr>
      </w:pPr>
      <w:bookmarkStart w:id="405" w:name="_Toc27753963"/>
      <w:bookmarkStart w:id="406" w:name="_Toc16126"/>
      <w:bookmarkStart w:id="407" w:name="_Toc29623312"/>
      <w:bookmarkStart w:id="408" w:name="_Toc2705"/>
      <w:bookmarkStart w:id="409" w:name="_Toc455678130"/>
      <w:bookmarkStart w:id="410" w:name="_Toc31993"/>
      <w:bookmarkStart w:id="411" w:name="_Toc14210"/>
      <w:bookmarkStart w:id="412" w:name="_Toc8282"/>
      <w:bookmarkStart w:id="413" w:name="_Toc462934304"/>
      <w:bookmarkStart w:id="414" w:name="_Toc463011283"/>
      <w:bookmarkStart w:id="415" w:name="_Toc269470330"/>
      <w:r>
        <w:rPr>
          <w:rFonts w:hint="eastAsia" w:ascii="宋体" w:hAnsi="宋体" w:eastAsia="宋体" w:cs="宋体"/>
          <w:bCs w:val="0"/>
          <w:color w:val="auto"/>
          <w:sz w:val="24"/>
          <w:szCs w:val="24"/>
          <w:highlight w:val="none"/>
        </w:rPr>
        <w:t>5.1开启时间和地点</w:t>
      </w:r>
      <w:bookmarkEnd w:id="405"/>
      <w:bookmarkEnd w:id="406"/>
      <w:bookmarkEnd w:id="407"/>
    </w:p>
    <w:p w14:paraId="038E3894">
      <w:pPr>
        <w:autoSpaceDE w:val="0"/>
        <w:autoSpaceDN w:val="0"/>
        <w:adjustRightInd w:val="0"/>
        <w:snapToGrid w:val="0"/>
        <w:spacing w:line="360" w:lineRule="auto"/>
        <w:ind w:firstLine="480" w:firstLineChars="200"/>
        <w:contextualSpacing/>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规定的提交首次响应文件截止时间（开启时间）和供应商须知前附表规定的地点通</w:t>
      </w:r>
      <w:r>
        <w:rPr>
          <w:rFonts w:hint="eastAsia" w:ascii="宋体" w:hAnsi="宋体" w:eastAsia="宋体" w:cs="宋体"/>
          <w:color w:val="auto"/>
          <w:spacing w:val="-2"/>
          <w:kern w:val="0"/>
          <w:sz w:val="24"/>
          <w:szCs w:val="24"/>
          <w:highlight w:val="none"/>
        </w:rPr>
        <w:t>过</w:t>
      </w:r>
      <w:r>
        <w:rPr>
          <w:rFonts w:hint="eastAsia" w:ascii="宋体" w:hAnsi="宋体" w:eastAsia="宋体" w:cs="宋体"/>
          <w:color w:val="auto"/>
          <w:kern w:val="0"/>
          <w:sz w:val="24"/>
          <w:szCs w:val="24"/>
          <w:highlight w:val="none"/>
        </w:rPr>
        <w:t>全国公共资源交易平台（河南省·平顶山市）系统进行竞争性磋商。</w:t>
      </w:r>
    </w:p>
    <w:p w14:paraId="4B48C1A8">
      <w:pPr>
        <w:pStyle w:val="4"/>
        <w:numPr>
          <w:ilvl w:val="1"/>
          <w:numId w:val="2"/>
        </w:numPr>
        <w:jc w:val="left"/>
        <w:rPr>
          <w:rFonts w:hint="eastAsia" w:ascii="宋体" w:hAnsi="宋体" w:eastAsia="宋体" w:cs="宋体"/>
          <w:bCs w:val="0"/>
          <w:color w:val="auto"/>
          <w:sz w:val="24"/>
          <w:szCs w:val="24"/>
          <w:highlight w:val="none"/>
        </w:rPr>
      </w:pPr>
      <w:bookmarkStart w:id="416" w:name="_Toc29623313"/>
      <w:bookmarkStart w:id="417" w:name="_Toc269470325"/>
      <w:bookmarkStart w:id="418" w:name="_Toc277149392"/>
      <w:bookmarkStart w:id="419" w:name="_Toc454788037"/>
      <w:bookmarkStart w:id="420" w:name="_Toc463011282"/>
      <w:bookmarkStart w:id="421" w:name="_Toc462934303"/>
      <w:bookmarkStart w:id="422" w:name="_Toc14109"/>
      <w:bookmarkStart w:id="423" w:name="_Toc428351657"/>
      <w:bookmarkStart w:id="424" w:name="_Toc270604603"/>
      <w:bookmarkStart w:id="425" w:name="_Toc27753964"/>
      <w:bookmarkStart w:id="426" w:name="_Toc12033"/>
      <w:bookmarkStart w:id="427" w:name="_Toc455678129"/>
      <w:bookmarkStart w:id="428" w:name="_Toc21367"/>
      <w:bookmarkStart w:id="429" w:name="_Toc428276597"/>
      <w:bookmarkStart w:id="430" w:name="_Toc270604830"/>
      <w:r>
        <w:rPr>
          <w:rFonts w:hint="eastAsia" w:ascii="宋体" w:hAnsi="宋体" w:eastAsia="宋体" w:cs="宋体"/>
          <w:bCs w:val="0"/>
          <w:color w:val="auto"/>
          <w:sz w:val="24"/>
          <w:szCs w:val="24"/>
          <w:highlight w:val="none"/>
        </w:rPr>
        <w:t>磋商程序</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56DC5CE1">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600" w:lineRule="atLeast"/>
        <w:ind w:left="0" w:right="0" w:firstLine="0"/>
        <w:jc w:val="both"/>
        <w:rPr>
          <w:rFonts w:hint="eastAsia" w:ascii="宋体" w:hAnsi="宋体" w:eastAsia="宋体" w:cs="宋体"/>
          <w:color w:val="auto"/>
          <w:sz w:val="24"/>
          <w:szCs w:val="24"/>
          <w:highlight w:val="none"/>
        </w:rPr>
      </w:pPr>
      <w:bookmarkStart w:id="431" w:name="_Toc29623314"/>
      <w:bookmarkStart w:id="432" w:name="_Toc27753965"/>
      <w:r>
        <w:rPr>
          <w:rFonts w:hint="eastAsia" w:ascii="宋体" w:hAnsi="宋体" w:eastAsia="宋体" w:cs="宋体"/>
          <w:b w:val="0"/>
          <w:bCs w:val="0"/>
          <w:color w:val="auto"/>
          <w:sz w:val="24"/>
          <w:szCs w:val="24"/>
          <w:highlight w:val="none"/>
        </w:rPr>
        <w:t>详见《投标人（供应商）全电子流程操作手册》http://ggzy.pds.gov.cn/fwzn/26096.jhtml</w:t>
      </w:r>
    </w:p>
    <w:p w14:paraId="3F918B9B">
      <w:pPr>
        <w:pStyle w:val="4"/>
        <w:numPr>
          <w:ilvl w:val="1"/>
          <w:numId w:val="2"/>
        </w:numPr>
        <w:jc w:val="left"/>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t>磋商</w:t>
      </w:r>
      <w:bookmarkEnd w:id="408"/>
      <w:bookmarkEnd w:id="409"/>
      <w:bookmarkEnd w:id="410"/>
      <w:bookmarkEnd w:id="411"/>
      <w:bookmarkEnd w:id="412"/>
      <w:bookmarkEnd w:id="413"/>
      <w:bookmarkEnd w:id="414"/>
      <w:bookmarkEnd w:id="431"/>
      <w:bookmarkEnd w:id="432"/>
    </w:p>
    <w:p w14:paraId="25C0EA78">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w:t>
      </w:r>
    </w:p>
    <w:p w14:paraId="6203FDC5">
      <w:pPr>
        <w:snapToGrid w:val="0"/>
        <w:spacing w:line="360" w:lineRule="auto"/>
        <w:ind w:firstLine="600" w:firstLineChars="25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（1）磋商工作由磋商小组独立进行，磋商小组由采购人代表和评审专家组成，成员人数应该为3人以上单数，其中评审专家不少于总人数的2/3。采购代理机构人员不得参加本机构代理的采购项目的评审。</w:t>
      </w:r>
    </w:p>
    <w:p w14:paraId="48F4080F">
      <w:pPr>
        <w:snapToGrid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采用竞争性磋商方式的政府采购项目，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79222C4B">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w:t>
      </w:r>
    </w:p>
    <w:p w14:paraId="4F335A99">
      <w:pPr>
        <w:numPr>
          <w:ilvl w:val="0"/>
          <w:numId w:val="6"/>
        </w:numPr>
        <w:snapToGrid w:val="0"/>
        <w:spacing w:line="360" w:lineRule="auto"/>
        <w:ind w:lef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成员应当按照客观、公正、审慎的原则，根据竞争性磋商文件第三章规定的评审程序、评审方法和评审标准进行独立评审。未实质性响应磋商文件的响应文件按无效响应处理，磋商小组应当告知提交响应文件的供应商。</w:t>
      </w:r>
    </w:p>
    <w:p w14:paraId="5FDFB9D1">
      <w:pPr>
        <w:numPr>
          <w:ilvl w:val="0"/>
          <w:numId w:val="6"/>
        </w:numPr>
        <w:snapToGrid w:val="0"/>
        <w:spacing w:line="360" w:lineRule="auto"/>
        <w:ind w:lef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竞争性磋商文件内容违反国家有关强制性规定的，磋商小组应当停止评审并向采购人或者采购代理机构说明情况。</w:t>
      </w:r>
    </w:p>
    <w:p w14:paraId="7F34A6DD">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433" w:name="_Toc109550798"/>
      <w:bookmarkStart w:id="434" w:name="_Toc109537522"/>
      <w:bookmarkStart w:id="435" w:name="_Toc90713357"/>
      <w:bookmarkStart w:id="436" w:name="_Toc90712538"/>
      <w:r>
        <w:rPr>
          <w:rFonts w:hint="eastAsia" w:ascii="宋体" w:hAnsi="宋体" w:eastAsia="宋体" w:cs="宋体"/>
          <w:color w:val="auto"/>
          <w:sz w:val="24"/>
          <w:szCs w:val="24"/>
          <w:highlight w:val="none"/>
        </w:rPr>
        <w:t>评审报告</w:t>
      </w:r>
    </w:p>
    <w:p w14:paraId="02286343">
      <w:pPr>
        <w:snapToGrid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磋商小组应当根据评审记录和评审结果编写评审报告，其主要内容包括：</w:t>
      </w:r>
    </w:p>
    <w:p w14:paraId="0455D344">
      <w:pPr>
        <w:numPr>
          <w:ilvl w:val="0"/>
          <w:numId w:val="7"/>
        </w:numPr>
        <w:snapToGrid w:val="0"/>
        <w:spacing w:line="360" w:lineRule="auto"/>
        <w:ind w:lef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供应商参加采购活动的具体方式和相关情况；</w:t>
      </w:r>
    </w:p>
    <w:p w14:paraId="366A6BB1">
      <w:pPr>
        <w:numPr>
          <w:ilvl w:val="0"/>
          <w:numId w:val="7"/>
        </w:numPr>
        <w:snapToGrid w:val="0"/>
        <w:spacing w:line="360" w:lineRule="auto"/>
        <w:ind w:lef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响应文件开启日期和地点；</w:t>
      </w:r>
    </w:p>
    <w:p w14:paraId="464CDCCE">
      <w:pPr>
        <w:numPr>
          <w:ilvl w:val="0"/>
          <w:numId w:val="7"/>
        </w:numPr>
        <w:snapToGrid w:val="0"/>
        <w:spacing w:line="360" w:lineRule="auto"/>
        <w:ind w:lef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获取竞争性磋商文件的供应商名单和磋商小组成员名单；</w:t>
      </w:r>
    </w:p>
    <w:p w14:paraId="6937E212">
      <w:pPr>
        <w:numPr>
          <w:ilvl w:val="0"/>
          <w:numId w:val="7"/>
        </w:numPr>
        <w:snapToGrid w:val="0"/>
        <w:spacing w:line="360" w:lineRule="auto"/>
        <w:ind w:lef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评审情况记录和说明，包括对供应商的资格审查情况、供应商响应文件评审情况、磋商情况、报价情况等；</w:t>
      </w:r>
    </w:p>
    <w:p w14:paraId="569B4EE8">
      <w:pPr>
        <w:numPr>
          <w:ilvl w:val="0"/>
          <w:numId w:val="7"/>
        </w:numPr>
        <w:snapToGrid w:val="0"/>
        <w:spacing w:line="360" w:lineRule="auto"/>
        <w:ind w:lef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提出的成交候选供应商的排序名单及理由。</w:t>
      </w:r>
    </w:p>
    <w:p w14:paraId="5B77822A">
      <w:pPr>
        <w:snapToGrid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报告应当由磋商小组全体人员签字认可。磋商小组成员对评审报告有异议的，磋商小组按照少数服从多数的原则推荐成交候选人，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55C655B">
      <w:pPr>
        <w:snapToGrid w:val="0"/>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评审完成后，磋商小组应当向采购人提交书面评审报告和成交候选人名单。磋商小组推荐成交候选人的人数见供应商须知前附表。</w:t>
      </w:r>
    </w:p>
    <w:p w14:paraId="2F103637">
      <w:pPr>
        <w:pStyle w:val="4"/>
        <w:numPr>
          <w:ilvl w:val="1"/>
          <w:numId w:val="2"/>
        </w:numPr>
        <w:jc w:val="left"/>
        <w:rPr>
          <w:rFonts w:hint="eastAsia" w:ascii="宋体" w:hAnsi="宋体" w:eastAsia="宋体" w:cs="宋体"/>
          <w:bCs w:val="0"/>
          <w:color w:val="auto"/>
          <w:sz w:val="24"/>
          <w:szCs w:val="24"/>
          <w:highlight w:val="none"/>
        </w:rPr>
      </w:pPr>
      <w:bookmarkStart w:id="437" w:name="_Toc422126473"/>
      <w:bookmarkStart w:id="438" w:name="_Toc454788039"/>
      <w:bookmarkStart w:id="439" w:name="_Toc26984"/>
      <w:bookmarkStart w:id="440" w:name="_Toc21137"/>
      <w:bookmarkStart w:id="441" w:name="_Toc7481"/>
      <w:bookmarkStart w:id="442" w:name="_Toc428351659"/>
      <w:bookmarkStart w:id="443" w:name="_Toc462934305"/>
      <w:bookmarkStart w:id="444" w:name="_Toc463011284"/>
      <w:bookmarkStart w:id="445" w:name="_Toc428276599"/>
      <w:bookmarkStart w:id="446" w:name="_Toc29623315"/>
      <w:bookmarkStart w:id="447" w:name="_Toc19623"/>
      <w:bookmarkStart w:id="448" w:name="_Toc27753966"/>
      <w:bookmarkStart w:id="449" w:name="_Toc455678131"/>
      <w:r>
        <w:rPr>
          <w:rFonts w:hint="eastAsia" w:ascii="宋体" w:hAnsi="宋体" w:eastAsia="宋体" w:cs="宋体"/>
          <w:bCs w:val="0"/>
          <w:color w:val="auto"/>
          <w:sz w:val="24"/>
          <w:szCs w:val="24"/>
          <w:highlight w:val="none"/>
        </w:rPr>
        <w:t>磋商过程的保密性</w:t>
      </w:r>
      <w:bookmarkEnd w:id="437"/>
      <w:bookmarkEnd w:id="438"/>
      <w:bookmarkEnd w:id="439"/>
      <w:bookmarkEnd w:id="440"/>
      <w:bookmarkEnd w:id="441"/>
      <w:bookmarkEnd w:id="442"/>
      <w:bookmarkEnd w:id="443"/>
      <w:bookmarkEnd w:id="444"/>
      <w:bookmarkEnd w:id="445"/>
      <w:bookmarkEnd w:id="446"/>
      <w:bookmarkEnd w:id="447"/>
      <w:bookmarkEnd w:id="448"/>
      <w:bookmarkEnd w:id="449"/>
    </w:p>
    <w:p w14:paraId="18C7E0AA">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磋商期间，直到授予成交供应商合同止，凡是与磋商响应文件审查、澄清、评价、比较以及推荐成交供应商等方面的情况，均不得向供应商或其他无关的人员透露。</w:t>
      </w:r>
    </w:p>
    <w:p w14:paraId="73DDC7B8">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在磋商过程中，供应商如向磋商小组成员施加任何影响，都将会导致其磋商被拒绝，政府采购监管部门将记录其不良行为。</w:t>
      </w:r>
    </w:p>
    <w:p w14:paraId="2B42E342">
      <w:pPr>
        <w:pStyle w:val="4"/>
        <w:numPr>
          <w:ilvl w:val="1"/>
          <w:numId w:val="2"/>
        </w:numPr>
        <w:jc w:val="left"/>
        <w:rPr>
          <w:rFonts w:hint="eastAsia" w:ascii="宋体" w:hAnsi="宋体" w:eastAsia="宋体" w:cs="宋体"/>
          <w:bCs w:val="0"/>
          <w:color w:val="auto"/>
          <w:sz w:val="24"/>
          <w:szCs w:val="24"/>
          <w:highlight w:val="none"/>
        </w:rPr>
      </w:pPr>
      <w:bookmarkStart w:id="450" w:name="_Toc455678132"/>
      <w:bookmarkStart w:id="451" w:name="_Toc463011285"/>
      <w:bookmarkStart w:id="452" w:name="_Toc8228"/>
      <w:bookmarkStart w:id="453" w:name="_Toc13834"/>
      <w:bookmarkStart w:id="454" w:name="_Toc21281"/>
      <w:bookmarkStart w:id="455" w:name="_Toc462934306"/>
      <w:bookmarkStart w:id="456" w:name="_Toc5212"/>
      <w:bookmarkStart w:id="457" w:name="_Toc29623316"/>
      <w:bookmarkStart w:id="458" w:name="_Toc27753967"/>
      <w:r>
        <w:rPr>
          <w:rFonts w:hint="eastAsia" w:ascii="宋体" w:hAnsi="宋体" w:eastAsia="宋体" w:cs="宋体"/>
          <w:bCs w:val="0"/>
          <w:color w:val="auto"/>
          <w:sz w:val="24"/>
          <w:szCs w:val="24"/>
          <w:highlight w:val="none"/>
        </w:rPr>
        <w:t>终止竞争性磋商采购活动</w:t>
      </w:r>
      <w:bookmarkEnd w:id="450"/>
      <w:bookmarkEnd w:id="451"/>
      <w:bookmarkEnd w:id="452"/>
      <w:bookmarkEnd w:id="453"/>
      <w:bookmarkEnd w:id="454"/>
      <w:bookmarkEnd w:id="455"/>
      <w:bookmarkEnd w:id="456"/>
      <w:bookmarkEnd w:id="457"/>
      <w:bookmarkEnd w:id="458"/>
    </w:p>
    <w:p w14:paraId="7009E152">
      <w:pPr>
        <w:pStyle w:val="5"/>
        <w:snapToGrid w:val="0"/>
        <w:spacing w:line="360" w:lineRule="auto"/>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出现下列情形之一的，采购人或者采购代理机构应当终止竞争性磋商采购活动，发布项目终止公告并说明原因，重新开展采购活动：</w:t>
      </w:r>
    </w:p>
    <w:p w14:paraId="23DF38F5">
      <w:pPr>
        <w:numPr>
          <w:ilvl w:val="0"/>
          <w:numId w:val="8"/>
        </w:numPr>
        <w:snapToGrid w:val="0"/>
        <w:spacing w:line="360" w:lineRule="auto"/>
        <w:ind w:lef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因情况变化，不再符合规定的竞争性磋商采购方式适用情形的；</w:t>
      </w:r>
    </w:p>
    <w:p w14:paraId="2D9F843A">
      <w:pPr>
        <w:numPr>
          <w:ilvl w:val="0"/>
          <w:numId w:val="8"/>
        </w:numPr>
        <w:snapToGrid w:val="0"/>
        <w:spacing w:line="360" w:lineRule="auto"/>
        <w:ind w:left="0"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出现影响采购公正的违法、违规行为的；</w:t>
      </w:r>
    </w:p>
    <w:p w14:paraId="2D610FF5">
      <w:pPr>
        <w:numPr>
          <w:ilvl w:val="0"/>
          <w:numId w:val="8"/>
        </w:numPr>
        <w:snapToGrid w:val="0"/>
        <w:spacing w:line="360" w:lineRule="auto"/>
        <w:ind w:left="0" w:firstLine="480" w:firstLineChars="200"/>
        <w:contextualSpacing/>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rPr>
        <w:t>在采购过程中符合要求的供应商或者报价未超过采购预算的供应商不足3家的。</w:t>
      </w:r>
    </w:p>
    <w:bookmarkEnd w:id="433"/>
    <w:bookmarkEnd w:id="434"/>
    <w:bookmarkEnd w:id="435"/>
    <w:bookmarkEnd w:id="436"/>
    <w:p w14:paraId="1F873700">
      <w:pPr>
        <w:pStyle w:val="4"/>
        <w:numPr>
          <w:ilvl w:val="1"/>
          <w:numId w:val="2"/>
        </w:numPr>
        <w:jc w:val="left"/>
        <w:rPr>
          <w:rFonts w:hint="eastAsia" w:ascii="宋体" w:hAnsi="宋体" w:eastAsia="宋体" w:cs="宋体"/>
          <w:bCs w:val="0"/>
          <w:color w:val="auto"/>
          <w:sz w:val="24"/>
          <w:szCs w:val="24"/>
          <w:highlight w:val="none"/>
        </w:rPr>
      </w:pPr>
      <w:bookmarkStart w:id="459" w:name="_Toc428276600"/>
      <w:bookmarkStart w:id="460" w:name="_Toc12985"/>
      <w:bookmarkStart w:id="461" w:name="_Toc463011286"/>
      <w:bookmarkStart w:id="462" w:name="_Toc454788040"/>
      <w:bookmarkStart w:id="463" w:name="_Toc462934307"/>
      <w:bookmarkStart w:id="464" w:name="_Toc21857"/>
      <w:bookmarkStart w:id="465" w:name="_Toc29623317"/>
      <w:bookmarkStart w:id="466" w:name="_Toc455678133"/>
      <w:bookmarkStart w:id="467" w:name="_Toc31756"/>
      <w:bookmarkStart w:id="468" w:name="_Toc428351660"/>
      <w:bookmarkStart w:id="469" w:name="_Toc7308"/>
      <w:bookmarkStart w:id="470" w:name="_Toc27753968"/>
      <w:r>
        <w:rPr>
          <w:rFonts w:hint="eastAsia" w:ascii="宋体" w:hAnsi="宋体" w:eastAsia="宋体" w:cs="宋体"/>
          <w:bCs w:val="0"/>
          <w:color w:val="auto"/>
          <w:sz w:val="24"/>
          <w:szCs w:val="24"/>
          <w:highlight w:val="none"/>
        </w:rPr>
        <w:t>确定成交供应商</w:t>
      </w:r>
      <w:bookmarkEnd w:id="459"/>
      <w:bookmarkEnd w:id="460"/>
      <w:bookmarkEnd w:id="461"/>
      <w:bookmarkEnd w:id="462"/>
      <w:bookmarkEnd w:id="463"/>
      <w:bookmarkEnd w:id="464"/>
      <w:bookmarkEnd w:id="465"/>
      <w:bookmarkEnd w:id="466"/>
      <w:bookmarkEnd w:id="467"/>
      <w:bookmarkEnd w:id="468"/>
      <w:bookmarkEnd w:id="469"/>
      <w:bookmarkEnd w:id="470"/>
    </w:p>
    <w:p w14:paraId="161FEAFB">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机构应当自评审结束之日起2个工作日内将评审报告送交采购人。采购人应当自收到评审报告之日起5个工作日内在评审报告推荐的成交候选人中按顺序确定成交供应商。成交候选人并列的，由采购人采取随机抽取的方式确定成交供应商。</w:t>
      </w:r>
    </w:p>
    <w:p w14:paraId="24BAD148">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采购人也可以书面授权磋商小组直接确定成交供应商。磋商小组直接确定成交供应商的应在竞争性磋商文件中写明。</w:t>
      </w:r>
    </w:p>
    <w:p w14:paraId="01E4C10C">
      <w:pPr>
        <w:pStyle w:val="4"/>
        <w:numPr>
          <w:ilvl w:val="1"/>
          <w:numId w:val="2"/>
        </w:numPr>
        <w:jc w:val="left"/>
        <w:rPr>
          <w:rFonts w:hint="eastAsia" w:ascii="宋体" w:hAnsi="宋体" w:eastAsia="宋体" w:cs="宋体"/>
          <w:bCs w:val="0"/>
          <w:color w:val="auto"/>
          <w:sz w:val="24"/>
          <w:szCs w:val="24"/>
          <w:highlight w:val="none"/>
        </w:rPr>
      </w:pPr>
      <w:bookmarkStart w:id="471" w:name="_Toc428351661"/>
      <w:bookmarkStart w:id="472" w:name="_Toc455678134"/>
      <w:bookmarkStart w:id="473" w:name="_Toc422126474"/>
      <w:bookmarkStart w:id="474" w:name="_Toc428276601"/>
      <w:bookmarkStart w:id="475" w:name="_Toc454788041"/>
      <w:bookmarkStart w:id="476" w:name="_Toc2677"/>
      <w:bookmarkStart w:id="477" w:name="_Toc15190"/>
      <w:bookmarkStart w:id="478" w:name="_Toc27753969"/>
      <w:bookmarkStart w:id="479" w:name="_Toc11552"/>
      <w:bookmarkStart w:id="480" w:name="_Toc16692"/>
      <w:bookmarkStart w:id="481" w:name="_Toc463011287"/>
      <w:bookmarkStart w:id="482" w:name="_Toc462934308"/>
      <w:bookmarkStart w:id="483" w:name="_Toc29623318"/>
      <w:r>
        <w:rPr>
          <w:rFonts w:hint="eastAsia" w:ascii="宋体" w:hAnsi="宋体" w:eastAsia="宋体" w:cs="宋体"/>
          <w:bCs w:val="0"/>
          <w:color w:val="auto"/>
          <w:sz w:val="24"/>
          <w:szCs w:val="24"/>
          <w:highlight w:val="none"/>
        </w:rPr>
        <w:t>成交结果</w:t>
      </w:r>
      <w:bookmarkEnd w:id="471"/>
      <w:bookmarkEnd w:id="472"/>
      <w:bookmarkEnd w:id="473"/>
      <w:bookmarkEnd w:id="474"/>
      <w:bookmarkEnd w:id="475"/>
      <w:r>
        <w:rPr>
          <w:rFonts w:hint="eastAsia" w:ascii="宋体" w:hAnsi="宋体" w:eastAsia="宋体" w:cs="宋体"/>
          <w:bCs w:val="0"/>
          <w:color w:val="auto"/>
          <w:sz w:val="24"/>
          <w:szCs w:val="24"/>
          <w:highlight w:val="none"/>
        </w:rPr>
        <w:t>公告</w:t>
      </w:r>
      <w:bookmarkEnd w:id="476"/>
      <w:bookmarkEnd w:id="477"/>
      <w:bookmarkEnd w:id="478"/>
      <w:bookmarkEnd w:id="479"/>
      <w:bookmarkEnd w:id="480"/>
      <w:bookmarkEnd w:id="481"/>
      <w:bookmarkEnd w:id="482"/>
      <w:bookmarkEnd w:id="483"/>
    </w:p>
    <w:p w14:paraId="4AD728A7">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采购人或者采购代理机构自成交供应商确定之日起</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个工作日内，在公告发布的同一媒介上公告成交结果，同时向成交供应商发出成交通知书，并将竞争性磋商文件随成交结果同时公告，公告期限1个工作日。</w:t>
      </w:r>
    </w:p>
    <w:p w14:paraId="616FE129">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484" w:name="_Toc270604607"/>
      <w:r>
        <w:rPr>
          <w:rFonts w:hint="eastAsia" w:ascii="宋体" w:hAnsi="宋体" w:eastAsia="宋体" w:cs="宋体"/>
          <w:color w:val="auto"/>
          <w:sz w:val="24"/>
          <w:szCs w:val="24"/>
          <w:highlight w:val="none"/>
        </w:rPr>
        <w:t>成交结果公告内容包括</w:t>
      </w:r>
      <w:bookmarkEnd w:id="415"/>
      <w:bookmarkEnd w:id="484"/>
      <w:r>
        <w:rPr>
          <w:rFonts w:hint="eastAsia" w:ascii="宋体" w:hAnsi="宋体" w:eastAsia="宋体" w:cs="宋体"/>
          <w:color w:val="auto"/>
          <w:sz w:val="24"/>
          <w:szCs w:val="24"/>
          <w:highlight w:val="none"/>
        </w:rPr>
        <w:t>采购人和采购代理机构的名称、地址和联系方式、项目名称和采购编号、成交供应商名称、地址和成交金额、主要成交标的的名称、规格型号、数量、单价、服务要求、磋商小组成员名单，采用书面推荐供应商参加采购活动的，还应当公告采购人和评审专家的推荐意见。</w:t>
      </w:r>
    </w:p>
    <w:p w14:paraId="4CFF336A">
      <w:pPr>
        <w:pStyle w:val="4"/>
        <w:numPr>
          <w:ilvl w:val="1"/>
          <w:numId w:val="2"/>
        </w:numPr>
        <w:jc w:val="left"/>
        <w:rPr>
          <w:rFonts w:hint="eastAsia" w:ascii="宋体" w:hAnsi="宋体" w:eastAsia="宋体" w:cs="宋体"/>
          <w:bCs w:val="0"/>
          <w:color w:val="auto"/>
          <w:sz w:val="24"/>
          <w:szCs w:val="24"/>
          <w:highlight w:val="none"/>
        </w:rPr>
      </w:pPr>
      <w:bookmarkStart w:id="485" w:name="_Toc4900"/>
      <w:bookmarkStart w:id="486" w:name="_Toc455678136"/>
      <w:bookmarkStart w:id="487" w:name="_Toc27436"/>
      <w:bookmarkStart w:id="488" w:name="_Toc29623319"/>
      <w:bookmarkStart w:id="489" w:name="_Toc18026"/>
      <w:bookmarkStart w:id="490" w:name="_Toc27753970"/>
      <w:bookmarkStart w:id="491" w:name="_Toc463011289"/>
      <w:bookmarkStart w:id="492" w:name="_Toc462934310"/>
      <w:bookmarkStart w:id="493" w:name="_Toc11152"/>
      <w:r>
        <w:rPr>
          <w:rFonts w:hint="eastAsia" w:ascii="宋体" w:hAnsi="宋体" w:eastAsia="宋体" w:cs="宋体"/>
          <w:bCs w:val="0"/>
          <w:color w:val="auto"/>
          <w:sz w:val="24"/>
          <w:szCs w:val="24"/>
          <w:highlight w:val="none"/>
        </w:rPr>
        <w:t>成交通知书</w:t>
      </w:r>
      <w:bookmarkEnd w:id="485"/>
      <w:bookmarkEnd w:id="486"/>
      <w:bookmarkEnd w:id="487"/>
      <w:bookmarkEnd w:id="488"/>
      <w:bookmarkEnd w:id="489"/>
      <w:bookmarkEnd w:id="490"/>
      <w:bookmarkEnd w:id="491"/>
      <w:bookmarkEnd w:id="492"/>
      <w:bookmarkEnd w:id="493"/>
      <w:bookmarkStart w:id="494" w:name="_Toc463011290"/>
      <w:bookmarkStart w:id="495" w:name="_Toc455678137"/>
      <w:bookmarkStart w:id="496" w:name="_Toc11018"/>
      <w:bookmarkStart w:id="497" w:name="_Toc462934311"/>
      <w:bookmarkStart w:id="498" w:name="_Toc23963"/>
      <w:bookmarkStart w:id="499" w:name="_Toc269470335"/>
    </w:p>
    <w:bookmarkEnd w:id="494"/>
    <w:bookmarkEnd w:id="495"/>
    <w:bookmarkEnd w:id="496"/>
    <w:bookmarkEnd w:id="497"/>
    <w:bookmarkEnd w:id="498"/>
    <w:p w14:paraId="605C364B">
      <w:pPr>
        <w:wordWrap/>
        <w:topLinePunct w:val="0"/>
        <w:spacing w:line="360" w:lineRule="auto"/>
        <w:ind w:firstLine="480" w:firstLineChars="200"/>
        <w:rPr>
          <w:rFonts w:hint="eastAsia" w:ascii="宋体" w:hAnsi="宋体" w:eastAsia="宋体" w:cs="宋体"/>
          <w:color w:val="auto"/>
          <w:sz w:val="24"/>
          <w:szCs w:val="24"/>
          <w:highlight w:val="none"/>
        </w:rPr>
      </w:pPr>
      <w:bookmarkStart w:id="500" w:name="_Toc720"/>
      <w:bookmarkStart w:id="501" w:name="_Toc463011292"/>
      <w:bookmarkStart w:id="502" w:name="_Toc455678139"/>
      <w:bookmarkStart w:id="503" w:name="_Toc462934313"/>
      <w:bookmarkStart w:id="504" w:name="_Toc10798"/>
      <w:r>
        <w:rPr>
          <w:rFonts w:hint="eastAsia" w:ascii="宋体" w:hAnsi="宋体" w:eastAsia="宋体" w:cs="宋体"/>
          <w:color w:val="auto"/>
          <w:sz w:val="24"/>
          <w:szCs w:val="24"/>
          <w:highlight w:val="none"/>
        </w:rPr>
        <w:t>自中标、成交供应商确定之日起2个工作日内发出中标、成交通知书，并在省级以上人民政府财政部门指定的媒体上公告中标、成交结果。成交通知书将作为进行合同磋商和签订合同的依据。</w:t>
      </w:r>
    </w:p>
    <w:p w14:paraId="1A5093E1">
      <w:pPr>
        <w:pStyle w:val="4"/>
        <w:numPr>
          <w:ilvl w:val="1"/>
          <w:numId w:val="2"/>
        </w:numPr>
        <w:jc w:val="left"/>
        <w:rPr>
          <w:rFonts w:hint="eastAsia" w:ascii="宋体" w:hAnsi="宋体" w:eastAsia="宋体" w:cs="宋体"/>
          <w:bCs w:val="0"/>
          <w:color w:val="auto"/>
          <w:sz w:val="24"/>
          <w:szCs w:val="24"/>
          <w:highlight w:val="none"/>
        </w:rPr>
      </w:pPr>
      <w:bookmarkStart w:id="505" w:name="_Toc29623320"/>
      <w:bookmarkStart w:id="506" w:name="_Toc27753971"/>
      <w:bookmarkStart w:id="507" w:name="_Toc7705"/>
      <w:bookmarkStart w:id="508" w:name="_Toc17481"/>
      <w:r>
        <w:rPr>
          <w:rFonts w:hint="eastAsia" w:ascii="宋体" w:hAnsi="宋体" w:eastAsia="宋体" w:cs="宋体"/>
          <w:bCs w:val="0"/>
          <w:color w:val="auto"/>
          <w:sz w:val="24"/>
          <w:szCs w:val="24"/>
          <w:highlight w:val="none"/>
        </w:rPr>
        <w:t>履约保证金</w:t>
      </w:r>
      <w:bookmarkEnd w:id="500"/>
      <w:bookmarkEnd w:id="501"/>
      <w:bookmarkEnd w:id="502"/>
      <w:bookmarkEnd w:id="503"/>
      <w:bookmarkEnd w:id="504"/>
      <w:bookmarkEnd w:id="505"/>
      <w:bookmarkEnd w:id="506"/>
      <w:bookmarkEnd w:id="507"/>
      <w:bookmarkEnd w:id="508"/>
    </w:p>
    <w:p w14:paraId="2C90239C">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供应商应按供应商须知前附表规定的形式、金额和竞争性磋商文件第四章“合同”规定的履约保证金格式向采购人提交履约保证金。履约保证金不超过采购合同金额的10%。联合体成交的，其履约保证金以联合体各方或者联合体中牵头人的名义提交。</w:t>
      </w:r>
    </w:p>
    <w:p w14:paraId="130586D1">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成交供应商不能按要求提交履约保证金的，视为放弃成交，成交供应商还应当予以赔偿。</w:t>
      </w:r>
    </w:p>
    <w:p w14:paraId="1C9E7811">
      <w:pPr>
        <w:pStyle w:val="8"/>
        <w:keepNext w:val="0"/>
        <w:keepLines w:val="0"/>
        <w:pageBreakBefore w:val="0"/>
        <w:widowControl w:val="0"/>
        <w:numPr>
          <w:ilvl w:val="0"/>
          <w:numId w:val="2"/>
        </w:numPr>
        <w:tabs>
          <w:tab w:val="left" w:pos="360"/>
        </w:tabs>
        <w:kinsoku/>
        <w:wordWrap/>
        <w:overflowPunct/>
        <w:topLinePunct w:val="0"/>
        <w:autoSpaceDE w:val="0"/>
        <w:autoSpaceDN w:val="0"/>
        <w:bidi w:val="0"/>
        <w:adjustRightInd w:val="0"/>
        <w:snapToGrid w:val="0"/>
        <w:spacing w:line="360" w:lineRule="auto"/>
        <w:ind w:left="0" w:firstLine="0"/>
        <w:contextualSpacing/>
        <w:jc w:val="both"/>
        <w:textAlignment w:val="auto"/>
        <w:outlineLvl w:val="1"/>
        <w:rPr>
          <w:rFonts w:hint="eastAsia" w:ascii="宋体" w:hAnsi="宋体" w:eastAsia="宋体" w:cs="宋体"/>
          <w:bCs/>
          <w:color w:val="auto"/>
          <w:sz w:val="24"/>
          <w:szCs w:val="24"/>
          <w:highlight w:val="none"/>
        </w:rPr>
      </w:pPr>
      <w:r>
        <w:rPr>
          <w:rStyle w:val="35"/>
          <w:rFonts w:hint="eastAsia" w:ascii="宋体" w:hAnsi="宋体" w:eastAsia="宋体" w:cs="宋体"/>
          <w:color w:val="auto"/>
          <w:sz w:val="24"/>
          <w:szCs w:val="24"/>
          <w:highlight w:val="none"/>
        </w:rPr>
        <w:t xml:space="preserve"> </w:t>
      </w:r>
      <w:bookmarkStart w:id="509" w:name="_Toc29623321"/>
      <w:bookmarkStart w:id="510" w:name="_Toc25241"/>
      <w:bookmarkStart w:id="511" w:name="_Toc23149"/>
      <w:bookmarkStart w:id="512" w:name="_Toc13607"/>
      <w:r>
        <w:rPr>
          <w:rStyle w:val="35"/>
          <w:rFonts w:hint="eastAsia" w:ascii="宋体" w:hAnsi="宋体" w:eastAsia="宋体" w:cs="宋体"/>
          <w:color w:val="auto"/>
          <w:sz w:val="24"/>
          <w:szCs w:val="24"/>
          <w:highlight w:val="none"/>
        </w:rPr>
        <w:t>授予合同</w:t>
      </w:r>
      <w:bookmarkEnd w:id="509"/>
      <w:bookmarkEnd w:id="510"/>
      <w:bookmarkEnd w:id="511"/>
      <w:bookmarkEnd w:id="512"/>
      <w:bookmarkStart w:id="513" w:name="_Toc32765"/>
    </w:p>
    <w:p w14:paraId="340C3BC9">
      <w:pPr>
        <w:snapToGrid w:val="0"/>
        <w:spacing w:line="360" w:lineRule="auto"/>
        <w:ind w:firstLine="480" w:firstLineChars="200"/>
        <w:contextualSpacing/>
        <w:rPr>
          <w:rFonts w:hint="eastAsia" w:ascii="宋体" w:hAnsi="宋体" w:eastAsia="宋体" w:cs="宋体"/>
          <w:color w:val="auto"/>
          <w:sz w:val="24"/>
          <w:szCs w:val="24"/>
          <w:highlight w:val="none"/>
        </w:rPr>
      </w:pPr>
      <w:bookmarkStart w:id="514" w:name="_Toc29019"/>
      <w:bookmarkStart w:id="515" w:name="_Toc27753973"/>
      <w:bookmarkStart w:id="516" w:name="_Toc29623322"/>
      <w:bookmarkStart w:id="517" w:name="_Toc26749"/>
      <w:bookmarkStart w:id="518" w:name="_Toc9895"/>
      <w:bookmarkStart w:id="519" w:name="_Toc10779"/>
      <w:bookmarkStart w:id="520" w:name="_Toc8375"/>
      <w:bookmarkStart w:id="521" w:name="_Toc28514"/>
      <w:bookmarkStart w:id="522" w:name="_Toc8361"/>
      <w:r>
        <w:rPr>
          <w:rFonts w:hint="eastAsia" w:ascii="宋体" w:hAnsi="宋体" w:eastAsia="宋体" w:cs="宋体"/>
          <w:color w:val="auto"/>
          <w:sz w:val="24"/>
          <w:szCs w:val="24"/>
          <w:highlight w:val="none"/>
        </w:rPr>
        <w:t>6.1采购人自成交通知书发出之日起30日内，按照竞争性磋商文件和成交供应商响应文件的规定，与成交供应商签订书面合同。所签订的合同不得对竞争性磋商文件确定的事项和成交供应商响应文件作实质性修改。</w:t>
      </w:r>
      <w:bookmarkEnd w:id="513"/>
      <w:bookmarkEnd w:id="514"/>
      <w:bookmarkEnd w:id="515"/>
      <w:bookmarkEnd w:id="516"/>
      <w:bookmarkEnd w:id="517"/>
      <w:bookmarkEnd w:id="518"/>
      <w:bookmarkEnd w:id="519"/>
      <w:bookmarkEnd w:id="520"/>
      <w:bookmarkEnd w:id="521"/>
      <w:bookmarkEnd w:id="522"/>
      <w:bookmarkStart w:id="523" w:name="_Toc26954"/>
    </w:p>
    <w:bookmarkEnd w:id="523"/>
    <w:p w14:paraId="5DB74BD8">
      <w:pPr>
        <w:snapToGrid w:val="0"/>
        <w:spacing w:line="360" w:lineRule="auto"/>
        <w:ind w:firstLine="480" w:firstLineChars="200"/>
        <w:contextualSpacing/>
        <w:rPr>
          <w:rFonts w:hint="eastAsia" w:ascii="宋体" w:hAnsi="宋体" w:eastAsia="宋体" w:cs="宋体"/>
          <w:color w:val="auto"/>
          <w:sz w:val="24"/>
          <w:szCs w:val="24"/>
          <w:highlight w:val="none"/>
        </w:rPr>
      </w:pPr>
      <w:bookmarkStart w:id="524" w:name="_Toc10652"/>
      <w:bookmarkStart w:id="525" w:name="_Toc27753974"/>
      <w:bookmarkStart w:id="526" w:name="_Toc14039"/>
      <w:bookmarkStart w:id="527" w:name="_Toc5127"/>
      <w:bookmarkStart w:id="528" w:name="_Toc21772"/>
      <w:bookmarkStart w:id="529" w:name="_Toc14610"/>
      <w:bookmarkStart w:id="530" w:name="_Toc3581"/>
      <w:bookmarkStart w:id="531" w:name="_Toc1839"/>
      <w:bookmarkStart w:id="532" w:name="_Toc9269"/>
      <w:bookmarkStart w:id="533" w:name="_Toc29623323"/>
      <w:r>
        <w:rPr>
          <w:rFonts w:hint="eastAsia" w:ascii="宋体" w:hAnsi="宋体" w:eastAsia="宋体" w:cs="宋体"/>
          <w:color w:val="auto"/>
          <w:sz w:val="24"/>
          <w:szCs w:val="24"/>
          <w:highlight w:val="none"/>
        </w:rPr>
        <w:t>6.2竞争性磋商文件、成交供应商的响应文件和澄清文件等，均应作为签约的合同文本的基础。</w:t>
      </w:r>
      <w:bookmarkEnd w:id="524"/>
      <w:bookmarkEnd w:id="525"/>
      <w:bookmarkEnd w:id="526"/>
      <w:bookmarkEnd w:id="527"/>
      <w:bookmarkEnd w:id="528"/>
      <w:bookmarkEnd w:id="529"/>
      <w:bookmarkEnd w:id="530"/>
      <w:bookmarkEnd w:id="531"/>
      <w:bookmarkEnd w:id="532"/>
      <w:bookmarkEnd w:id="533"/>
      <w:bookmarkStart w:id="534" w:name="_Toc5481"/>
    </w:p>
    <w:bookmarkEnd w:id="534"/>
    <w:p w14:paraId="6B939E13">
      <w:pPr>
        <w:snapToGrid w:val="0"/>
        <w:spacing w:line="360" w:lineRule="auto"/>
        <w:ind w:firstLine="480" w:firstLineChars="200"/>
        <w:contextualSpacing/>
        <w:rPr>
          <w:rFonts w:hint="eastAsia" w:ascii="宋体" w:hAnsi="宋体" w:eastAsia="宋体" w:cs="宋体"/>
          <w:color w:val="auto"/>
          <w:sz w:val="24"/>
          <w:szCs w:val="24"/>
          <w:highlight w:val="none"/>
        </w:rPr>
      </w:pPr>
      <w:bookmarkStart w:id="535" w:name="_Toc26830"/>
      <w:bookmarkStart w:id="536" w:name="_Toc4762"/>
      <w:bookmarkStart w:id="537" w:name="_Toc26076"/>
      <w:bookmarkStart w:id="538" w:name="_Toc1465"/>
      <w:bookmarkStart w:id="539" w:name="_Toc31694"/>
      <w:bookmarkStart w:id="540" w:name="_Toc11818"/>
      <w:bookmarkStart w:id="541" w:name="_Toc29623324"/>
      <w:bookmarkStart w:id="542" w:name="_Toc27753975"/>
      <w:bookmarkStart w:id="543" w:name="_Toc10089"/>
      <w:bookmarkStart w:id="544" w:name="_Toc18228"/>
      <w:r>
        <w:rPr>
          <w:rFonts w:hint="eastAsia" w:ascii="宋体" w:hAnsi="宋体" w:eastAsia="宋体" w:cs="宋体"/>
          <w:color w:val="auto"/>
          <w:sz w:val="24"/>
          <w:szCs w:val="24"/>
          <w:highlight w:val="none"/>
        </w:rPr>
        <w:t>6.3政府采购合同包括采购人与成交供应商的名称和住所、标的、数量、质量、价款或者报酬、履行期限及地点和方式、验收要求、违约责任、解决争议的方法等内容。</w:t>
      </w:r>
      <w:bookmarkEnd w:id="535"/>
      <w:bookmarkEnd w:id="536"/>
      <w:bookmarkEnd w:id="537"/>
      <w:bookmarkEnd w:id="538"/>
      <w:bookmarkEnd w:id="539"/>
      <w:bookmarkEnd w:id="540"/>
      <w:bookmarkEnd w:id="541"/>
      <w:bookmarkEnd w:id="542"/>
      <w:bookmarkEnd w:id="543"/>
      <w:bookmarkEnd w:id="544"/>
      <w:bookmarkStart w:id="545" w:name="_Toc7717"/>
    </w:p>
    <w:p w14:paraId="591B3618">
      <w:pPr>
        <w:snapToGrid w:val="0"/>
        <w:spacing w:line="360" w:lineRule="auto"/>
        <w:ind w:firstLine="480" w:firstLineChars="200"/>
        <w:contextualSpacing/>
        <w:rPr>
          <w:rFonts w:hint="eastAsia" w:ascii="宋体" w:hAnsi="宋体" w:eastAsia="宋体" w:cs="宋体"/>
          <w:color w:val="auto"/>
          <w:sz w:val="24"/>
          <w:szCs w:val="24"/>
          <w:highlight w:val="none"/>
        </w:rPr>
      </w:pPr>
      <w:bookmarkStart w:id="546" w:name="_Toc17486"/>
      <w:bookmarkStart w:id="547" w:name="_Toc27813"/>
      <w:bookmarkStart w:id="548" w:name="_Toc31748"/>
      <w:bookmarkStart w:id="549" w:name="_Toc29623325"/>
      <w:bookmarkStart w:id="550" w:name="_Toc5311"/>
      <w:bookmarkStart w:id="551" w:name="_Toc6035"/>
      <w:bookmarkStart w:id="552" w:name="_Toc30158"/>
      <w:bookmarkStart w:id="553" w:name="_Toc27753976"/>
      <w:bookmarkStart w:id="554" w:name="_Toc20765"/>
      <w:r>
        <w:rPr>
          <w:rFonts w:hint="eastAsia" w:ascii="宋体" w:hAnsi="宋体" w:eastAsia="宋体" w:cs="宋体"/>
          <w:color w:val="auto"/>
          <w:sz w:val="24"/>
          <w:szCs w:val="24"/>
          <w:highlight w:val="none"/>
        </w:rPr>
        <w:t>6.4如成交供应商不按本章第6.1项约定签订合同，采购人将报请取消其成交决定。采购人可按照磋商小组推荐的成交候选人名单排序，确定下一候选人为成交供应商或者重新采购。</w:t>
      </w:r>
      <w:bookmarkEnd w:id="545"/>
      <w:bookmarkEnd w:id="546"/>
      <w:bookmarkEnd w:id="547"/>
      <w:bookmarkEnd w:id="548"/>
      <w:bookmarkEnd w:id="549"/>
      <w:bookmarkEnd w:id="550"/>
      <w:bookmarkEnd w:id="551"/>
      <w:bookmarkEnd w:id="552"/>
      <w:bookmarkEnd w:id="553"/>
      <w:bookmarkEnd w:id="554"/>
    </w:p>
    <w:bookmarkEnd w:id="499"/>
    <w:p w14:paraId="77EBAA66">
      <w:pPr>
        <w:pStyle w:val="8"/>
        <w:keepNext w:val="0"/>
        <w:keepLines w:val="0"/>
        <w:pageBreakBefore w:val="0"/>
        <w:widowControl w:val="0"/>
        <w:numPr>
          <w:ilvl w:val="0"/>
          <w:numId w:val="2"/>
        </w:numPr>
        <w:tabs>
          <w:tab w:val="left" w:pos="360"/>
        </w:tabs>
        <w:kinsoku/>
        <w:wordWrap/>
        <w:overflowPunct/>
        <w:topLinePunct w:val="0"/>
        <w:autoSpaceDE w:val="0"/>
        <w:autoSpaceDN w:val="0"/>
        <w:bidi w:val="0"/>
        <w:adjustRightInd w:val="0"/>
        <w:snapToGrid w:val="0"/>
        <w:spacing w:line="360" w:lineRule="auto"/>
        <w:ind w:left="0" w:firstLine="0"/>
        <w:contextualSpacing/>
        <w:jc w:val="both"/>
        <w:textAlignment w:val="auto"/>
        <w:outlineLvl w:val="1"/>
        <w:rPr>
          <w:rStyle w:val="35"/>
          <w:rFonts w:hint="eastAsia" w:ascii="宋体" w:hAnsi="宋体" w:eastAsia="宋体" w:cs="宋体"/>
          <w:color w:val="auto"/>
          <w:sz w:val="24"/>
          <w:szCs w:val="24"/>
          <w:highlight w:val="none"/>
        </w:rPr>
      </w:pPr>
      <w:bookmarkStart w:id="555" w:name="_Toc269470338"/>
      <w:bookmarkStart w:id="556" w:name="_Toc25425"/>
      <w:bookmarkStart w:id="557" w:name="_Toc270604610"/>
      <w:r>
        <w:rPr>
          <w:rStyle w:val="35"/>
          <w:rFonts w:hint="eastAsia" w:ascii="宋体" w:hAnsi="宋体" w:eastAsia="宋体" w:cs="宋体"/>
          <w:color w:val="auto"/>
          <w:sz w:val="24"/>
          <w:szCs w:val="24"/>
          <w:highlight w:val="none"/>
        </w:rPr>
        <w:t xml:space="preserve"> </w:t>
      </w:r>
      <w:bookmarkStart w:id="558" w:name="_Toc29623326"/>
      <w:bookmarkStart w:id="559" w:name="_Toc27882"/>
      <w:bookmarkStart w:id="560" w:name="_Toc27264"/>
      <w:bookmarkStart w:id="561" w:name="_Toc26730"/>
      <w:r>
        <w:rPr>
          <w:rStyle w:val="35"/>
          <w:rFonts w:hint="eastAsia" w:ascii="宋体" w:hAnsi="宋体" w:eastAsia="宋体" w:cs="宋体"/>
          <w:color w:val="auto"/>
          <w:sz w:val="24"/>
          <w:szCs w:val="24"/>
          <w:highlight w:val="none"/>
        </w:rPr>
        <w:t>纪律和监督</w:t>
      </w:r>
      <w:bookmarkEnd w:id="555"/>
      <w:bookmarkEnd w:id="556"/>
      <w:bookmarkEnd w:id="557"/>
      <w:bookmarkEnd w:id="558"/>
      <w:bookmarkEnd w:id="559"/>
      <w:bookmarkEnd w:id="560"/>
      <w:bookmarkEnd w:id="561"/>
    </w:p>
    <w:p w14:paraId="11667F11">
      <w:pPr>
        <w:pStyle w:val="4"/>
        <w:numPr>
          <w:ilvl w:val="1"/>
          <w:numId w:val="2"/>
        </w:numPr>
        <w:jc w:val="left"/>
        <w:rPr>
          <w:rFonts w:hint="eastAsia" w:ascii="宋体" w:hAnsi="宋体" w:eastAsia="宋体" w:cs="宋体"/>
          <w:bCs w:val="0"/>
          <w:color w:val="auto"/>
          <w:sz w:val="24"/>
          <w:szCs w:val="24"/>
          <w:highlight w:val="none"/>
        </w:rPr>
      </w:pPr>
      <w:bookmarkStart w:id="562" w:name="_Toc29623327"/>
      <w:bookmarkStart w:id="563" w:name="_Toc31772"/>
      <w:bookmarkStart w:id="564" w:name="_Toc18636"/>
      <w:bookmarkStart w:id="565" w:name="_Toc462934323"/>
      <w:bookmarkStart w:id="566" w:name="_Toc27753978"/>
      <w:bookmarkStart w:id="567" w:name="_Toc277149399"/>
      <w:bookmarkStart w:id="568" w:name="_Toc455678149"/>
      <w:bookmarkStart w:id="569" w:name="_Toc270604611"/>
      <w:bookmarkStart w:id="570" w:name="_Toc269470339"/>
      <w:bookmarkStart w:id="571" w:name="_Toc454788046"/>
      <w:bookmarkStart w:id="572" w:name="_Toc2717"/>
      <w:bookmarkStart w:id="573" w:name="_Toc428351666"/>
      <w:bookmarkStart w:id="574" w:name="_Toc463011302"/>
      <w:bookmarkStart w:id="575" w:name="_Toc270604838"/>
      <w:bookmarkStart w:id="576" w:name="_Toc428276606"/>
      <w:bookmarkStart w:id="577" w:name="_Toc13152"/>
      <w:r>
        <w:rPr>
          <w:rFonts w:hint="eastAsia" w:ascii="宋体" w:hAnsi="宋体" w:eastAsia="宋体" w:cs="宋体"/>
          <w:bCs w:val="0"/>
          <w:color w:val="auto"/>
          <w:sz w:val="24"/>
          <w:szCs w:val="24"/>
          <w:highlight w:val="none"/>
        </w:rPr>
        <w:t>对采购人的纪律要求</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p>
    <w:p w14:paraId="5D2C6683">
      <w:pPr>
        <w:autoSpaceDE w:val="0"/>
        <w:autoSpaceDN w:val="0"/>
        <w:adjustRightInd w:val="0"/>
        <w:snapToGrid w:val="0"/>
        <w:spacing w:line="360" w:lineRule="auto"/>
        <w:ind w:firstLine="480" w:firstLineChars="200"/>
        <w:contextualSpacing/>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采购人不得泄漏竞争性磋商中应当保密的情况和资料，不得与供应商串通损害国家利益、社会公共利益或者他人合法权益。</w:t>
      </w:r>
    </w:p>
    <w:p w14:paraId="323874C7">
      <w:pPr>
        <w:pStyle w:val="4"/>
        <w:numPr>
          <w:ilvl w:val="1"/>
          <w:numId w:val="2"/>
        </w:numPr>
        <w:jc w:val="left"/>
        <w:rPr>
          <w:rFonts w:hint="eastAsia" w:ascii="宋体" w:hAnsi="宋体" w:eastAsia="宋体" w:cs="宋体"/>
          <w:bCs w:val="0"/>
          <w:color w:val="auto"/>
          <w:sz w:val="24"/>
          <w:szCs w:val="24"/>
          <w:highlight w:val="none"/>
        </w:rPr>
      </w:pPr>
      <w:bookmarkStart w:id="578" w:name="_Toc428351667"/>
      <w:bookmarkStart w:id="579" w:name="_Toc270604839"/>
      <w:bookmarkStart w:id="580" w:name="_Toc1136"/>
      <w:bookmarkStart w:id="581" w:name="_Toc428276607"/>
      <w:bookmarkStart w:id="582" w:name="_Toc454788047"/>
      <w:bookmarkStart w:id="583" w:name="_Toc24245"/>
      <w:bookmarkStart w:id="584" w:name="_Toc10123"/>
      <w:bookmarkStart w:id="585" w:name="_Toc29623328"/>
      <w:bookmarkStart w:id="586" w:name="_Toc277149400"/>
      <w:bookmarkStart w:id="587" w:name="_Toc269470340"/>
      <w:bookmarkStart w:id="588" w:name="_Toc463011303"/>
      <w:bookmarkStart w:id="589" w:name="_Toc270604612"/>
      <w:bookmarkStart w:id="590" w:name="_Toc462934324"/>
      <w:bookmarkStart w:id="591" w:name="_Toc455678150"/>
      <w:bookmarkStart w:id="592" w:name="_Toc30206"/>
      <w:bookmarkStart w:id="593" w:name="_Toc27753979"/>
      <w:r>
        <w:rPr>
          <w:rFonts w:hint="eastAsia" w:ascii="宋体" w:hAnsi="宋体" w:eastAsia="宋体" w:cs="宋体"/>
          <w:bCs w:val="0"/>
          <w:color w:val="auto"/>
          <w:sz w:val="24"/>
          <w:szCs w:val="24"/>
          <w:highlight w:val="none"/>
        </w:rPr>
        <w:t>对供应商的纪律要求</w:t>
      </w:r>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 w14:paraId="7E11168D">
      <w:pPr>
        <w:autoSpaceDE w:val="0"/>
        <w:autoSpaceDN w:val="0"/>
        <w:adjustRightInd w:val="0"/>
        <w:snapToGrid w:val="0"/>
        <w:spacing w:line="360" w:lineRule="auto"/>
        <w:ind w:firstLine="480" w:firstLineChars="200"/>
        <w:contextualSpacing/>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供应商不得相互串通或者与采购人串通，不得向采购人或者磋商小组成员行贿谋取成交，不得以他人名义磋商或者以其他方式弄虚作假骗取成交；供应商不得以任何方式干扰、影响磋商工作。</w:t>
      </w:r>
    </w:p>
    <w:p w14:paraId="6323C1B2">
      <w:pPr>
        <w:pStyle w:val="4"/>
        <w:numPr>
          <w:ilvl w:val="1"/>
          <w:numId w:val="2"/>
        </w:numPr>
        <w:jc w:val="left"/>
        <w:rPr>
          <w:rFonts w:hint="eastAsia" w:ascii="宋体" w:hAnsi="宋体" w:eastAsia="宋体" w:cs="宋体"/>
          <w:bCs w:val="0"/>
          <w:color w:val="auto"/>
          <w:sz w:val="24"/>
          <w:szCs w:val="24"/>
          <w:highlight w:val="none"/>
        </w:rPr>
      </w:pPr>
      <w:bookmarkStart w:id="594" w:name="_Toc29623329"/>
      <w:bookmarkStart w:id="595" w:name="_Toc428276608"/>
      <w:bookmarkStart w:id="596" w:name="_Toc26184"/>
      <w:bookmarkStart w:id="597" w:name="_Toc454788048"/>
      <w:bookmarkStart w:id="598" w:name="_Toc27753980"/>
      <w:bookmarkStart w:id="599" w:name="_Toc270604613"/>
      <w:bookmarkStart w:id="600" w:name="_Toc462934325"/>
      <w:bookmarkStart w:id="601" w:name="_Toc428351668"/>
      <w:bookmarkStart w:id="602" w:name="_Toc269470341"/>
      <w:bookmarkStart w:id="603" w:name="_Toc15953"/>
      <w:bookmarkStart w:id="604" w:name="_Toc270604840"/>
      <w:bookmarkStart w:id="605" w:name="_Toc463011304"/>
      <w:bookmarkStart w:id="606" w:name="_Toc32730"/>
      <w:bookmarkStart w:id="607" w:name="_Toc23588"/>
      <w:bookmarkStart w:id="608" w:name="_Toc277149401"/>
      <w:bookmarkStart w:id="609" w:name="_Toc455678151"/>
      <w:r>
        <w:rPr>
          <w:rFonts w:hint="eastAsia" w:ascii="宋体" w:hAnsi="宋体" w:eastAsia="宋体" w:cs="宋体"/>
          <w:bCs w:val="0"/>
          <w:color w:val="auto"/>
          <w:sz w:val="24"/>
          <w:szCs w:val="24"/>
          <w:highlight w:val="none"/>
        </w:rPr>
        <w:t>对磋商小组成员的纪律要求</w:t>
      </w:r>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p>
    <w:p w14:paraId="19AB535F">
      <w:pPr>
        <w:autoSpaceDE w:val="0"/>
        <w:autoSpaceDN w:val="0"/>
        <w:adjustRightInd w:val="0"/>
        <w:snapToGrid w:val="0"/>
        <w:spacing w:line="360" w:lineRule="auto"/>
        <w:ind w:firstLine="480" w:firstLineChars="200"/>
        <w:contextualSpacing/>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磋商小组成员不得收受他人的财物或者其他好处，不得向他人透漏对磋商响应文件的评审和比较、成交候选人的推荐情况以及与磋商有关的其他情况。在磋商活动中，磋商小组成员不得擅离职守，影响磋商程序正常进行。</w:t>
      </w:r>
    </w:p>
    <w:p w14:paraId="4ECBD5D1">
      <w:pPr>
        <w:pStyle w:val="4"/>
        <w:numPr>
          <w:ilvl w:val="1"/>
          <w:numId w:val="2"/>
        </w:numPr>
        <w:jc w:val="left"/>
        <w:rPr>
          <w:rFonts w:hint="eastAsia" w:ascii="宋体" w:hAnsi="宋体" w:eastAsia="宋体" w:cs="宋体"/>
          <w:bCs w:val="0"/>
          <w:color w:val="auto"/>
          <w:sz w:val="24"/>
          <w:szCs w:val="24"/>
          <w:highlight w:val="none"/>
        </w:rPr>
      </w:pPr>
      <w:bookmarkStart w:id="610" w:name="_Toc27753981"/>
      <w:bookmarkStart w:id="611" w:name="_Toc270604614"/>
      <w:bookmarkStart w:id="612" w:name="_Toc2139"/>
      <w:bookmarkStart w:id="613" w:name="_Toc454788049"/>
      <w:bookmarkStart w:id="614" w:name="_Toc463011305"/>
      <w:bookmarkStart w:id="615" w:name="_Toc29623330"/>
      <w:bookmarkStart w:id="616" w:name="_Toc277149402"/>
      <w:bookmarkStart w:id="617" w:name="_Toc462934326"/>
      <w:bookmarkStart w:id="618" w:name="_Toc270604841"/>
      <w:bookmarkStart w:id="619" w:name="_Toc4673"/>
      <w:bookmarkStart w:id="620" w:name="_Toc428351669"/>
      <w:bookmarkStart w:id="621" w:name="_Toc8563"/>
      <w:bookmarkStart w:id="622" w:name="_Toc428276609"/>
      <w:bookmarkStart w:id="623" w:name="_Toc455678152"/>
      <w:bookmarkStart w:id="624" w:name="_Toc14202"/>
      <w:bookmarkStart w:id="625" w:name="_Toc269470342"/>
      <w:r>
        <w:rPr>
          <w:rFonts w:hint="eastAsia" w:ascii="宋体" w:hAnsi="宋体" w:eastAsia="宋体" w:cs="宋体"/>
          <w:bCs w:val="0"/>
          <w:color w:val="auto"/>
          <w:sz w:val="24"/>
          <w:szCs w:val="24"/>
          <w:highlight w:val="none"/>
        </w:rPr>
        <w:t>对与磋商活动有关的工作人员的纪律要求</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018E8EEB">
      <w:pPr>
        <w:autoSpaceDE w:val="0"/>
        <w:autoSpaceDN w:val="0"/>
        <w:adjustRightInd w:val="0"/>
        <w:snapToGrid w:val="0"/>
        <w:spacing w:line="360" w:lineRule="auto"/>
        <w:ind w:firstLine="480" w:firstLineChars="200"/>
        <w:contextualSpacing/>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与磋商活动有关的工作人员不得收受他人的财物或者其他好处，不得向他人透漏对磋商响应文件的评审和比较、成交候选人的推荐情况以及与磋商有关的其他情况。在磋商活动中，与磋商活动有关的工作人员不得擅离职守，影响磋商程序正常进行。</w:t>
      </w:r>
    </w:p>
    <w:p w14:paraId="448789D8">
      <w:pPr>
        <w:pStyle w:val="4"/>
        <w:numPr>
          <w:ilvl w:val="1"/>
          <w:numId w:val="2"/>
        </w:numPr>
        <w:jc w:val="left"/>
        <w:rPr>
          <w:rFonts w:hint="eastAsia" w:ascii="宋体" w:hAnsi="宋体" w:eastAsia="宋体" w:cs="宋体"/>
          <w:bCs w:val="0"/>
          <w:color w:val="auto"/>
          <w:sz w:val="24"/>
          <w:szCs w:val="24"/>
          <w:highlight w:val="none"/>
        </w:rPr>
      </w:pPr>
      <w:bookmarkStart w:id="626" w:name="_Toc277149403"/>
      <w:bookmarkStart w:id="627" w:name="_Toc270604615"/>
      <w:bookmarkStart w:id="628" w:name="_Toc270604842"/>
      <w:bookmarkStart w:id="629" w:name="_Toc454788050"/>
      <w:bookmarkStart w:id="630" w:name="_Toc428351670"/>
      <w:bookmarkStart w:id="631" w:name="_Toc428276610"/>
      <w:bookmarkStart w:id="632" w:name="_Toc29089"/>
      <w:bookmarkStart w:id="633" w:name="_Toc269470343"/>
      <w:r>
        <w:rPr>
          <w:rFonts w:hint="eastAsia" w:ascii="宋体" w:hAnsi="宋体" w:eastAsia="宋体" w:cs="宋体"/>
          <w:bCs w:val="0"/>
          <w:color w:val="auto"/>
          <w:sz w:val="24"/>
          <w:szCs w:val="24"/>
          <w:highlight w:val="none"/>
        </w:rPr>
        <w:t xml:space="preserve"> </w:t>
      </w:r>
      <w:bookmarkStart w:id="634" w:name="_Toc29623331"/>
      <w:bookmarkStart w:id="635" w:name="_Toc27033"/>
      <w:bookmarkStart w:id="636" w:name="_Toc11594"/>
      <w:bookmarkStart w:id="637" w:name="_Toc27753982"/>
      <w:r>
        <w:rPr>
          <w:rFonts w:hint="eastAsia" w:ascii="宋体" w:hAnsi="宋体" w:eastAsia="宋体" w:cs="宋体"/>
          <w:bCs w:val="0"/>
          <w:color w:val="auto"/>
          <w:sz w:val="24"/>
          <w:szCs w:val="24"/>
          <w:highlight w:val="none"/>
        </w:rPr>
        <w:t>询问、质疑和投诉</w:t>
      </w:r>
      <w:bookmarkEnd w:id="626"/>
      <w:bookmarkEnd w:id="627"/>
      <w:bookmarkEnd w:id="628"/>
      <w:bookmarkEnd w:id="629"/>
      <w:bookmarkEnd w:id="630"/>
      <w:bookmarkEnd w:id="631"/>
      <w:bookmarkEnd w:id="632"/>
      <w:bookmarkEnd w:id="633"/>
      <w:bookmarkEnd w:id="634"/>
      <w:bookmarkEnd w:id="635"/>
      <w:bookmarkEnd w:id="636"/>
      <w:bookmarkEnd w:id="637"/>
    </w:p>
    <w:p w14:paraId="15B53084">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638" w:name="_Toc455678154"/>
      <w:bookmarkStart w:id="639" w:name="_Toc11785"/>
      <w:bookmarkStart w:id="640" w:name="_Toc463011307"/>
      <w:bookmarkStart w:id="641" w:name="_Toc17445"/>
      <w:bookmarkStart w:id="642" w:name="_Toc462934328"/>
      <w:r>
        <w:rPr>
          <w:rFonts w:hint="eastAsia" w:ascii="宋体" w:hAnsi="宋体" w:eastAsia="宋体" w:cs="宋体"/>
          <w:color w:val="auto"/>
          <w:sz w:val="24"/>
          <w:szCs w:val="24"/>
          <w:highlight w:val="none"/>
        </w:rPr>
        <w:t>供应商或有关当事人对磋商过程、成交结果有异议的，可以向采购人或者采购代理机构提出询问。</w:t>
      </w:r>
      <w:bookmarkEnd w:id="638"/>
      <w:bookmarkEnd w:id="639"/>
      <w:bookmarkEnd w:id="640"/>
      <w:bookmarkEnd w:id="641"/>
      <w:bookmarkEnd w:id="642"/>
    </w:p>
    <w:p w14:paraId="697F58EB">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643" w:name="_Toc455678155"/>
      <w:bookmarkStart w:id="644" w:name="_Toc462934329"/>
      <w:bookmarkStart w:id="645" w:name="_Toc463011308"/>
      <w:bookmarkStart w:id="646" w:name="_Toc27421"/>
      <w:bookmarkStart w:id="647" w:name="_Toc24621"/>
      <w:r>
        <w:rPr>
          <w:rFonts w:hint="eastAsia" w:ascii="宋体" w:hAnsi="宋体" w:eastAsia="宋体" w:cs="宋体"/>
          <w:color w:val="auto"/>
          <w:sz w:val="24"/>
          <w:szCs w:val="24"/>
          <w:highlight w:val="none"/>
        </w:rPr>
        <w:t>采购人或者采购代理机构应当在三个工作日内对供应商依法提出的询问作出答复。</w:t>
      </w:r>
      <w:bookmarkEnd w:id="643"/>
      <w:bookmarkEnd w:id="644"/>
      <w:bookmarkEnd w:id="645"/>
      <w:bookmarkEnd w:id="646"/>
      <w:bookmarkEnd w:id="647"/>
    </w:p>
    <w:p w14:paraId="4A684B38">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648" w:name="_Toc30298"/>
      <w:bookmarkStart w:id="649" w:name="_Toc28381"/>
      <w:bookmarkStart w:id="650" w:name="_Toc463011309"/>
      <w:bookmarkStart w:id="651" w:name="_Toc455678156"/>
      <w:bookmarkStart w:id="652" w:name="_Toc462934330"/>
      <w:r>
        <w:rPr>
          <w:rFonts w:hint="eastAsia" w:ascii="宋体" w:hAnsi="宋体" w:eastAsia="宋体" w:cs="宋体"/>
          <w:color w:val="auto"/>
          <w:sz w:val="24"/>
          <w:szCs w:val="24"/>
          <w:highlight w:val="none"/>
        </w:rPr>
        <w:t>供应商认为竞争性磋商文件、采购过程使自己的权益受到损害的，可以在知道或者应知其权益受到损害之日起七个工作日内，以书面形式向采购人提出质疑。</w:t>
      </w:r>
      <w:bookmarkEnd w:id="648"/>
      <w:bookmarkEnd w:id="649"/>
      <w:bookmarkEnd w:id="650"/>
      <w:bookmarkEnd w:id="651"/>
      <w:bookmarkEnd w:id="652"/>
    </w:p>
    <w:p w14:paraId="5331232D">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653" w:name="_Toc288"/>
      <w:bookmarkStart w:id="654" w:name="_Toc16614"/>
      <w:bookmarkStart w:id="655" w:name="_Toc463011310"/>
      <w:bookmarkStart w:id="656" w:name="_Toc462934331"/>
      <w:r>
        <w:rPr>
          <w:rFonts w:hint="eastAsia" w:ascii="宋体" w:hAnsi="宋体" w:eastAsia="宋体" w:cs="宋体"/>
          <w:color w:val="auto"/>
          <w:sz w:val="24"/>
          <w:szCs w:val="24"/>
          <w:highlight w:val="none"/>
        </w:rPr>
        <w:t>供应商认为成交结果使自己的权益受到损害的，可以在成交结果公告期限届满之日起七个工作日内，以书面形式向采购人提出质疑，接收质疑函联系部门、电话及地址详见竞争性磋商公告。</w:t>
      </w:r>
      <w:bookmarkEnd w:id="653"/>
      <w:bookmarkEnd w:id="654"/>
      <w:bookmarkEnd w:id="655"/>
      <w:bookmarkEnd w:id="656"/>
      <w:r>
        <w:rPr>
          <w:rFonts w:hint="eastAsia" w:ascii="宋体" w:hAnsi="宋体" w:eastAsia="宋体" w:cs="宋体"/>
          <w:color w:val="auto"/>
          <w:sz w:val="24"/>
          <w:szCs w:val="24"/>
          <w:highlight w:val="none"/>
        </w:rPr>
        <w:t>在法定质疑期内供应商针对同一采购程序环节的质疑应当一次性提出。</w:t>
      </w:r>
    </w:p>
    <w:p w14:paraId="4EC24E0B">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657" w:name="_Toc455678157"/>
      <w:bookmarkStart w:id="658" w:name="_Toc462934332"/>
      <w:bookmarkStart w:id="659" w:name="_Toc463011311"/>
      <w:bookmarkStart w:id="660" w:name="_Toc18478"/>
      <w:bookmarkStart w:id="661" w:name="_Toc5258"/>
      <w:r>
        <w:rPr>
          <w:rFonts w:hint="eastAsia" w:ascii="宋体" w:hAnsi="宋体" w:eastAsia="宋体" w:cs="宋体"/>
          <w:color w:val="auto"/>
          <w:sz w:val="24"/>
          <w:szCs w:val="24"/>
          <w:highlight w:val="none"/>
        </w:rPr>
        <w:t>采购人或者采购代理机构应当在收到供应商的书面质疑后七个工作日内作出答复，并以书面形式通知质疑供应商和其他有关供应商，但答复的内容不得涉及商业秘密。</w:t>
      </w:r>
      <w:bookmarkEnd w:id="657"/>
      <w:bookmarkEnd w:id="658"/>
      <w:bookmarkEnd w:id="659"/>
      <w:bookmarkEnd w:id="660"/>
      <w:bookmarkEnd w:id="661"/>
    </w:p>
    <w:p w14:paraId="3D17D891">
      <w:pPr>
        <w:numPr>
          <w:ilvl w:val="2"/>
          <w:numId w:val="2"/>
        </w:numPr>
        <w:wordWrap/>
        <w:topLinePunct w:val="0"/>
        <w:spacing w:line="360" w:lineRule="auto"/>
        <w:ind w:firstLine="480" w:firstLineChars="200"/>
        <w:rPr>
          <w:rFonts w:hint="eastAsia" w:ascii="宋体" w:hAnsi="宋体" w:eastAsia="宋体" w:cs="宋体"/>
          <w:color w:val="auto"/>
          <w:sz w:val="24"/>
          <w:szCs w:val="24"/>
          <w:highlight w:val="none"/>
        </w:rPr>
      </w:pPr>
      <w:bookmarkStart w:id="662" w:name="_Toc463011312"/>
      <w:bookmarkStart w:id="663" w:name="_Toc4898"/>
      <w:bookmarkStart w:id="664" w:name="_Toc21390"/>
      <w:bookmarkStart w:id="665" w:name="_Toc462934333"/>
      <w:bookmarkStart w:id="666" w:name="_Toc455678158"/>
      <w:r>
        <w:rPr>
          <w:rFonts w:hint="eastAsia" w:ascii="宋体" w:hAnsi="宋体" w:eastAsia="宋体" w:cs="宋体"/>
          <w:color w:val="auto"/>
          <w:sz w:val="24"/>
          <w:szCs w:val="24"/>
          <w:highlight w:val="none"/>
        </w:rPr>
        <w:t>质疑供应商对采购人、采购代理机构的答复不满意或者采购人、采购代理机构未在规定的时间内作出答复的，可以在答复期满后十五个工作日内向同级政府采购监督管理部门投诉。</w:t>
      </w:r>
      <w:bookmarkEnd w:id="662"/>
      <w:bookmarkEnd w:id="663"/>
      <w:bookmarkEnd w:id="664"/>
      <w:bookmarkEnd w:id="665"/>
      <w:bookmarkEnd w:id="666"/>
    </w:p>
    <w:p w14:paraId="675592FF">
      <w:pPr>
        <w:numPr>
          <w:ilvl w:val="2"/>
          <w:numId w:val="2"/>
        </w:numPr>
        <w:wordWrap/>
        <w:topLinePunct w:val="0"/>
        <w:spacing w:line="360" w:lineRule="auto"/>
        <w:ind w:firstLine="480" w:firstLineChars="200"/>
        <w:rPr>
          <w:rFonts w:hint="eastAsia" w:ascii="宋体" w:hAnsi="宋体" w:eastAsia="宋体" w:cs="宋体"/>
          <w:b/>
          <w:bCs/>
          <w:color w:val="auto"/>
          <w:sz w:val="32"/>
          <w:szCs w:val="32"/>
          <w:highlight w:val="none"/>
        </w:rPr>
      </w:pPr>
      <w:bookmarkStart w:id="667" w:name="_Toc455678159"/>
      <w:bookmarkStart w:id="668" w:name="_Toc11631"/>
      <w:bookmarkStart w:id="669" w:name="_Toc462934334"/>
      <w:bookmarkStart w:id="670" w:name="_Toc463011313"/>
      <w:bookmarkStart w:id="671" w:name="_Toc17682"/>
      <w:r>
        <w:rPr>
          <w:rFonts w:hint="eastAsia" w:ascii="宋体" w:hAnsi="宋体" w:eastAsia="宋体" w:cs="宋体"/>
          <w:color w:val="auto"/>
          <w:sz w:val="24"/>
          <w:szCs w:val="24"/>
          <w:highlight w:val="none"/>
        </w:rPr>
        <w:t>供应商质疑、投诉应当有明确的请求和必要的证明材料。供应商投诉的事项不得超出已质疑事项的范围。</w:t>
      </w:r>
      <w:bookmarkEnd w:id="667"/>
      <w:bookmarkEnd w:id="668"/>
      <w:bookmarkEnd w:id="669"/>
      <w:bookmarkEnd w:id="670"/>
      <w:bookmarkEnd w:id="671"/>
      <w:bookmarkStart w:id="672" w:name="_Toc1582"/>
      <w:bookmarkStart w:id="673" w:name="_Toc18892"/>
      <w:r>
        <w:rPr>
          <w:rFonts w:hint="eastAsia" w:ascii="宋体" w:hAnsi="宋体" w:eastAsia="宋体" w:cs="宋体"/>
          <w:b/>
          <w:bCs/>
          <w:color w:val="auto"/>
          <w:sz w:val="32"/>
          <w:szCs w:val="32"/>
          <w:highlight w:val="none"/>
        </w:rPr>
        <w:br w:type="page"/>
      </w:r>
    </w:p>
    <w:p w14:paraId="006CAF1C">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rPr>
      </w:pPr>
      <w:bookmarkStart w:id="674" w:name="_Toc26507"/>
      <w:r>
        <w:rPr>
          <w:rFonts w:hint="eastAsia" w:ascii="宋体" w:hAnsi="宋体" w:eastAsia="宋体" w:cs="宋体"/>
          <w:b/>
          <w:bCs/>
          <w:color w:val="auto"/>
          <w:sz w:val="32"/>
          <w:szCs w:val="32"/>
          <w:highlight w:val="none"/>
        </w:rPr>
        <w:t>第三章  评审办法</w:t>
      </w:r>
      <w:bookmarkEnd w:id="672"/>
      <w:bookmarkEnd w:id="673"/>
      <w:bookmarkEnd w:id="674"/>
    </w:p>
    <w:p w14:paraId="5770E974">
      <w:pPr>
        <w:pStyle w:val="4"/>
        <w:ind w:left="482"/>
        <w:jc w:val="center"/>
        <w:rPr>
          <w:rFonts w:hint="eastAsia" w:ascii="宋体" w:hAnsi="宋体" w:eastAsia="宋体" w:cs="宋体"/>
          <w:color w:val="auto"/>
          <w:sz w:val="24"/>
          <w:szCs w:val="24"/>
          <w:highlight w:val="none"/>
        </w:rPr>
      </w:pPr>
      <w:bookmarkStart w:id="675" w:name="_Toc16950"/>
      <w:bookmarkStart w:id="676" w:name="_Toc12415"/>
      <w:bookmarkStart w:id="677" w:name="_Toc22649"/>
      <w:bookmarkStart w:id="678" w:name="_Toc23659"/>
      <w:bookmarkStart w:id="679" w:name="_Toc27753987"/>
      <w:bookmarkStart w:id="680" w:name="_Toc6633"/>
      <w:bookmarkStart w:id="681" w:name="_Toc16535"/>
      <w:bookmarkStart w:id="682" w:name="_Toc4734"/>
      <w:bookmarkStart w:id="683" w:name="_Toc29623336"/>
      <w:bookmarkStart w:id="684" w:name="_Toc1534"/>
      <w:bookmarkStart w:id="685" w:name="_Toc21398"/>
      <w:bookmarkStart w:id="686" w:name="_Toc26467"/>
      <w:bookmarkStart w:id="687" w:name="_Toc14114"/>
      <w:bookmarkStart w:id="688" w:name="_Toc22753"/>
      <w:r>
        <w:rPr>
          <w:rFonts w:hint="eastAsia" w:ascii="宋体" w:hAnsi="宋体" w:eastAsia="宋体" w:cs="宋体"/>
          <w:color w:val="auto"/>
          <w:sz w:val="24"/>
          <w:szCs w:val="24"/>
          <w:highlight w:val="none"/>
        </w:rPr>
        <w:t>评审办法前附表</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tbl>
      <w:tblPr>
        <w:tblStyle w:val="23"/>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5"/>
        <w:gridCol w:w="993"/>
        <w:gridCol w:w="1984"/>
        <w:gridCol w:w="5670"/>
      </w:tblGrid>
      <w:tr w14:paraId="147EF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1618" w:type="dxa"/>
            <w:gridSpan w:val="2"/>
            <w:noWrap w:val="0"/>
            <w:vAlign w:val="center"/>
          </w:tcPr>
          <w:p w14:paraId="5F02CB31">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条款</w:t>
            </w:r>
          </w:p>
        </w:tc>
        <w:tc>
          <w:tcPr>
            <w:tcW w:w="1984" w:type="dxa"/>
            <w:noWrap w:val="0"/>
            <w:vAlign w:val="center"/>
          </w:tcPr>
          <w:p w14:paraId="608B6DF7">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评审因素</w:t>
            </w:r>
          </w:p>
        </w:tc>
        <w:tc>
          <w:tcPr>
            <w:tcW w:w="5670" w:type="dxa"/>
            <w:noWrap w:val="0"/>
            <w:vAlign w:val="center"/>
          </w:tcPr>
          <w:p w14:paraId="2519D51B">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评审标准</w:t>
            </w:r>
          </w:p>
        </w:tc>
      </w:tr>
      <w:tr w14:paraId="651A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625" w:type="dxa"/>
            <w:vMerge w:val="restart"/>
            <w:noWrap w:val="0"/>
            <w:vAlign w:val="center"/>
          </w:tcPr>
          <w:p w14:paraId="10F39DEF">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2.1.1</w:t>
            </w:r>
          </w:p>
        </w:tc>
        <w:tc>
          <w:tcPr>
            <w:tcW w:w="993" w:type="dxa"/>
            <w:vMerge w:val="restart"/>
            <w:noWrap w:val="0"/>
            <w:vAlign w:val="center"/>
          </w:tcPr>
          <w:p w14:paraId="628AC493">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形式性评审</w:t>
            </w:r>
          </w:p>
        </w:tc>
        <w:tc>
          <w:tcPr>
            <w:tcW w:w="1984" w:type="dxa"/>
            <w:noWrap w:val="0"/>
            <w:vAlign w:val="center"/>
          </w:tcPr>
          <w:p w14:paraId="6A7E150C">
            <w:pPr>
              <w:pStyle w:val="7"/>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供应商名称</w:t>
            </w:r>
          </w:p>
        </w:tc>
        <w:tc>
          <w:tcPr>
            <w:tcW w:w="5670" w:type="dxa"/>
            <w:noWrap w:val="0"/>
            <w:vAlign w:val="center"/>
          </w:tcPr>
          <w:p w14:paraId="614668F6">
            <w:pPr>
              <w:pStyle w:val="7"/>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与营业执照一致</w:t>
            </w:r>
          </w:p>
        </w:tc>
      </w:tr>
      <w:tr w14:paraId="43472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625" w:type="dxa"/>
            <w:vMerge w:val="continue"/>
            <w:noWrap w:val="0"/>
            <w:vAlign w:val="center"/>
          </w:tcPr>
          <w:p w14:paraId="3A7EC307">
            <w:pPr>
              <w:widowControl/>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12AB41B2">
            <w:pPr>
              <w:widowControl/>
              <w:jc w:val="center"/>
              <w:rPr>
                <w:rFonts w:hint="eastAsia" w:ascii="宋体" w:hAnsi="宋体" w:eastAsia="宋体" w:cs="宋体"/>
                <w:color w:val="auto"/>
                <w:kern w:val="0"/>
                <w:sz w:val="21"/>
                <w:szCs w:val="21"/>
                <w:highlight w:val="none"/>
              </w:rPr>
            </w:pPr>
          </w:p>
        </w:tc>
        <w:tc>
          <w:tcPr>
            <w:tcW w:w="1984" w:type="dxa"/>
            <w:noWrap w:val="0"/>
            <w:vAlign w:val="center"/>
          </w:tcPr>
          <w:p w14:paraId="15D9C0D2">
            <w:pPr>
              <w:pStyle w:val="7"/>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磋商函签字或盖章</w:t>
            </w:r>
          </w:p>
        </w:tc>
        <w:tc>
          <w:tcPr>
            <w:tcW w:w="5670" w:type="dxa"/>
            <w:noWrap w:val="0"/>
            <w:vAlign w:val="center"/>
          </w:tcPr>
          <w:p w14:paraId="1CEB5500">
            <w:pPr>
              <w:pStyle w:val="7"/>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符合第六章“</w:t>
            </w:r>
            <w:r>
              <w:rPr>
                <w:rFonts w:hint="eastAsia" w:ascii="宋体" w:hAnsi="宋体" w:eastAsia="宋体" w:cs="宋体"/>
                <w:color w:val="auto"/>
                <w:sz w:val="21"/>
                <w:szCs w:val="21"/>
                <w:highlight w:val="none"/>
                <w:lang w:val="en-US" w:eastAsia="zh-CN"/>
              </w:rPr>
              <w:t>竞争性磋商</w:t>
            </w:r>
            <w:r>
              <w:rPr>
                <w:rFonts w:hint="eastAsia" w:ascii="宋体" w:hAnsi="宋体" w:eastAsia="宋体" w:cs="宋体"/>
                <w:color w:val="auto"/>
                <w:sz w:val="21"/>
                <w:szCs w:val="21"/>
                <w:highlight w:val="none"/>
                <w:lang w:eastAsia="zh-CN"/>
              </w:rPr>
              <w:t>文件</w:t>
            </w:r>
            <w:r>
              <w:rPr>
                <w:rFonts w:hint="eastAsia" w:ascii="宋体" w:hAnsi="宋体" w:eastAsia="宋体" w:cs="宋体"/>
                <w:color w:val="auto"/>
                <w:sz w:val="21"/>
                <w:szCs w:val="21"/>
                <w:highlight w:val="none"/>
              </w:rPr>
              <w:t>格式”的要求</w:t>
            </w:r>
          </w:p>
        </w:tc>
      </w:tr>
      <w:tr w14:paraId="10C7E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625" w:type="dxa"/>
            <w:vMerge w:val="continue"/>
            <w:noWrap w:val="0"/>
            <w:vAlign w:val="center"/>
          </w:tcPr>
          <w:p w14:paraId="0574CA74">
            <w:pPr>
              <w:widowControl/>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59E3A6F6">
            <w:pPr>
              <w:widowControl/>
              <w:jc w:val="center"/>
              <w:rPr>
                <w:rFonts w:hint="eastAsia" w:ascii="宋体" w:hAnsi="宋体" w:eastAsia="宋体" w:cs="宋体"/>
                <w:color w:val="auto"/>
                <w:kern w:val="0"/>
                <w:sz w:val="21"/>
                <w:szCs w:val="21"/>
                <w:highlight w:val="none"/>
              </w:rPr>
            </w:pPr>
          </w:p>
        </w:tc>
        <w:tc>
          <w:tcPr>
            <w:tcW w:w="1984" w:type="dxa"/>
            <w:noWrap w:val="0"/>
            <w:vAlign w:val="center"/>
          </w:tcPr>
          <w:p w14:paraId="6DD1A637">
            <w:pPr>
              <w:pStyle w:val="7"/>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竞争性磋商文件格式</w:t>
            </w:r>
          </w:p>
        </w:tc>
        <w:tc>
          <w:tcPr>
            <w:tcW w:w="5670" w:type="dxa"/>
            <w:noWrap w:val="0"/>
            <w:vAlign w:val="center"/>
          </w:tcPr>
          <w:p w14:paraId="308F87FC">
            <w:pPr>
              <w:pStyle w:val="7"/>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符合第六章“</w:t>
            </w:r>
            <w:r>
              <w:rPr>
                <w:rFonts w:hint="eastAsia" w:ascii="宋体" w:hAnsi="宋体" w:eastAsia="宋体" w:cs="宋体"/>
                <w:color w:val="auto"/>
                <w:sz w:val="21"/>
                <w:szCs w:val="21"/>
                <w:highlight w:val="none"/>
                <w:lang w:val="en-US" w:eastAsia="zh-CN"/>
              </w:rPr>
              <w:t>竞争性磋商文件</w:t>
            </w:r>
            <w:r>
              <w:rPr>
                <w:rFonts w:hint="eastAsia" w:ascii="宋体" w:hAnsi="宋体" w:eastAsia="宋体" w:cs="宋体"/>
                <w:color w:val="auto"/>
                <w:sz w:val="21"/>
                <w:szCs w:val="21"/>
                <w:highlight w:val="none"/>
              </w:rPr>
              <w:t>格式”的要求</w:t>
            </w:r>
          </w:p>
        </w:tc>
      </w:tr>
      <w:tr w14:paraId="2B642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625" w:type="dxa"/>
            <w:vMerge w:val="continue"/>
            <w:noWrap w:val="0"/>
            <w:vAlign w:val="center"/>
          </w:tcPr>
          <w:p w14:paraId="65165FB2">
            <w:pPr>
              <w:widowControl/>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7B68FACD">
            <w:pPr>
              <w:widowControl/>
              <w:jc w:val="center"/>
              <w:rPr>
                <w:rFonts w:hint="eastAsia" w:ascii="宋体" w:hAnsi="宋体" w:eastAsia="宋体" w:cs="宋体"/>
                <w:color w:val="auto"/>
                <w:kern w:val="0"/>
                <w:sz w:val="21"/>
                <w:szCs w:val="21"/>
                <w:highlight w:val="none"/>
              </w:rPr>
            </w:pPr>
          </w:p>
        </w:tc>
        <w:tc>
          <w:tcPr>
            <w:tcW w:w="1984" w:type="dxa"/>
            <w:noWrap w:val="0"/>
            <w:vAlign w:val="center"/>
          </w:tcPr>
          <w:p w14:paraId="568ED3ED">
            <w:pPr>
              <w:pStyle w:val="7"/>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报价唯一</w:t>
            </w:r>
          </w:p>
        </w:tc>
        <w:tc>
          <w:tcPr>
            <w:tcW w:w="5670" w:type="dxa"/>
            <w:noWrap w:val="0"/>
            <w:vAlign w:val="center"/>
          </w:tcPr>
          <w:p w14:paraId="5D76726B">
            <w:pPr>
              <w:pStyle w:val="7"/>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只能有一个有效报价</w:t>
            </w:r>
          </w:p>
        </w:tc>
      </w:tr>
      <w:tr w14:paraId="0C45A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exact"/>
          <w:jc w:val="center"/>
        </w:trPr>
        <w:tc>
          <w:tcPr>
            <w:tcW w:w="625" w:type="dxa"/>
            <w:vMerge w:val="restart"/>
            <w:noWrap w:val="0"/>
            <w:vAlign w:val="center"/>
          </w:tcPr>
          <w:p w14:paraId="15BE440A">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2.1.2</w:t>
            </w:r>
          </w:p>
        </w:tc>
        <w:tc>
          <w:tcPr>
            <w:tcW w:w="993" w:type="dxa"/>
            <w:vMerge w:val="restart"/>
            <w:noWrap w:val="0"/>
            <w:vAlign w:val="center"/>
          </w:tcPr>
          <w:p w14:paraId="6B6C7A66">
            <w:pPr>
              <w:widowControl/>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资格审查</w:t>
            </w:r>
            <w:r>
              <w:rPr>
                <w:rFonts w:hint="eastAsia" w:ascii="宋体" w:hAnsi="宋体" w:eastAsia="宋体" w:cs="宋体"/>
                <w:color w:val="auto"/>
                <w:kern w:val="0"/>
                <w:sz w:val="21"/>
                <w:szCs w:val="21"/>
                <w:highlight w:val="none"/>
              </w:rPr>
              <w:t>标准</w:t>
            </w:r>
          </w:p>
        </w:tc>
        <w:tc>
          <w:tcPr>
            <w:tcW w:w="1984" w:type="dxa"/>
            <w:noWrap w:val="0"/>
            <w:vAlign w:val="center"/>
          </w:tcPr>
          <w:p w14:paraId="2A5A8F73">
            <w:pPr>
              <w:pStyle w:val="7"/>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营业执照</w:t>
            </w:r>
          </w:p>
        </w:tc>
        <w:tc>
          <w:tcPr>
            <w:tcW w:w="5670" w:type="dxa"/>
            <w:noWrap w:val="0"/>
            <w:vAlign w:val="center"/>
          </w:tcPr>
          <w:p w14:paraId="5ACE9970">
            <w:pPr>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符合第二章“</w:t>
            </w:r>
            <w:r>
              <w:rPr>
                <w:rFonts w:hint="eastAsia" w:ascii="宋体" w:hAnsi="宋体" w:eastAsia="宋体" w:cs="宋体"/>
                <w:color w:val="auto"/>
                <w:sz w:val="21"/>
                <w:szCs w:val="21"/>
                <w:highlight w:val="none"/>
                <w:lang w:eastAsia="zh-CN"/>
              </w:rPr>
              <w:t>供应商须知</w:t>
            </w:r>
            <w:r>
              <w:rPr>
                <w:rFonts w:hint="eastAsia" w:ascii="宋体" w:hAnsi="宋体" w:eastAsia="宋体" w:cs="宋体"/>
                <w:color w:val="auto"/>
                <w:sz w:val="21"/>
                <w:szCs w:val="21"/>
                <w:highlight w:val="none"/>
              </w:rPr>
              <w:t>前附表”规定</w:t>
            </w:r>
          </w:p>
        </w:tc>
      </w:tr>
      <w:tr w14:paraId="0F875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exact"/>
          <w:jc w:val="center"/>
        </w:trPr>
        <w:tc>
          <w:tcPr>
            <w:tcW w:w="625" w:type="dxa"/>
            <w:vMerge w:val="continue"/>
            <w:noWrap w:val="0"/>
            <w:vAlign w:val="center"/>
          </w:tcPr>
          <w:p w14:paraId="558256A9">
            <w:pPr>
              <w:widowControl/>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2BC1D711">
            <w:pPr>
              <w:widowControl/>
              <w:jc w:val="center"/>
              <w:rPr>
                <w:rFonts w:hint="eastAsia" w:ascii="宋体" w:hAnsi="宋体" w:eastAsia="宋体" w:cs="宋体"/>
                <w:color w:val="auto"/>
                <w:sz w:val="21"/>
                <w:szCs w:val="21"/>
                <w:highlight w:val="none"/>
              </w:rPr>
            </w:pPr>
          </w:p>
        </w:tc>
        <w:tc>
          <w:tcPr>
            <w:tcW w:w="1984" w:type="dxa"/>
            <w:noWrap w:val="0"/>
            <w:vAlign w:val="center"/>
          </w:tcPr>
          <w:p w14:paraId="0F6E5998">
            <w:pPr>
              <w:pStyle w:val="7"/>
              <w:ind w:left="0" w:leftChars="0" w:right="63" w:rightChars="3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具有良好的商业信誉和健全的财务会计制度</w:t>
            </w:r>
          </w:p>
        </w:tc>
        <w:tc>
          <w:tcPr>
            <w:tcW w:w="5670" w:type="dxa"/>
            <w:noWrap w:val="0"/>
            <w:vAlign w:val="center"/>
          </w:tcPr>
          <w:p w14:paraId="2DAF62AE">
            <w:pPr>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符合第二章“</w:t>
            </w:r>
            <w:r>
              <w:rPr>
                <w:rFonts w:hint="eastAsia" w:ascii="宋体" w:hAnsi="宋体" w:eastAsia="宋体" w:cs="宋体"/>
                <w:color w:val="auto"/>
                <w:sz w:val="21"/>
                <w:szCs w:val="21"/>
                <w:highlight w:val="none"/>
                <w:lang w:eastAsia="zh-CN"/>
              </w:rPr>
              <w:t>供应商须知</w:t>
            </w:r>
            <w:r>
              <w:rPr>
                <w:rFonts w:hint="eastAsia" w:ascii="宋体" w:hAnsi="宋体" w:eastAsia="宋体" w:cs="宋体"/>
                <w:color w:val="auto"/>
                <w:sz w:val="21"/>
                <w:szCs w:val="21"/>
                <w:highlight w:val="none"/>
              </w:rPr>
              <w:t>前附表”规定</w:t>
            </w:r>
          </w:p>
        </w:tc>
      </w:tr>
      <w:tr w14:paraId="644CC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exact"/>
          <w:jc w:val="center"/>
        </w:trPr>
        <w:tc>
          <w:tcPr>
            <w:tcW w:w="625" w:type="dxa"/>
            <w:vMerge w:val="continue"/>
            <w:noWrap w:val="0"/>
            <w:vAlign w:val="center"/>
          </w:tcPr>
          <w:p w14:paraId="57046960">
            <w:pPr>
              <w:widowControl/>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3CDE245E">
            <w:pPr>
              <w:widowControl/>
              <w:jc w:val="center"/>
              <w:rPr>
                <w:rFonts w:hint="eastAsia" w:ascii="宋体" w:hAnsi="宋体" w:eastAsia="宋体" w:cs="宋体"/>
                <w:color w:val="auto"/>
                <w:kern w:val="0"/>
                <w:sz w:val="21"/>
                <w:szCs w:val="21"/>
                <w:highlight w:val="none"/>
              </w:rPr>
            </w:pPr>
          </w:p>
        </w:tc>
        <w:tc>
          <w:tcPr>
            <w:tcW w:w="1984" w:type="dxa"/>
            <w:noWrap w:val="0"/>
            <w:vAlign w:val="center"/>
          </w:tcPr>
          <w:p w14:paraId="3D679CBC">
            <w:pPr>
              <w:pStyle w:val="7"/>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具备履行合同所必需的设备和专业技术能力</w:t>
            </w:r>
          </w:p>
        </w:tc>
        <w:tc>
          <w:tcPr>
            <w:tcW w:w="5670" w:type="dxa"/>
            <w:noWrap w:val="0"/>
            <w:vAlign w:val="center"/>
          </w:tcPr>
          <w:p w14:paraId="6670569E">
            <w:pPr>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符合第二章“</w:t>
            </w:r>
            <w:r>
              <w:rPr>
                <w:rFonts w:hint="eastAsia" w:ascii="宋体" w:hAnsi="宋体" w:eastAsia="宋体" w:cs="宋体"/>
                <w:color w:val="auto"/>
                <w:sz w:val="21"/>
                <w:szCs w:val="21"/>
                <w:highlight w:val="none"/>
                <w:lang w:eastAsia="zh-CN"/>
              </w:rPr>
              <w:t>供应商须知</w:t>
            </w:r>
            <w:r>
              <w:rPr>
                <w:rFonts w:hint="eastAsia" w:ascii="宋体" w:hAnsi="宋体" w:eastAsia="宋体" w:cs="宋体"/>
                <w:color w:val="auto"/>
                <w:sz w:val="21"/>
                <w:szCs w:val="21"/>
                <w:highlight w:val="none"/>
              </w:rPr>
              <w:t>前附表”规定</w:t>
            </w:r>
          </w:p>
        </w:tc>
      </w:tr>
      <w:tr w14:paraId="7FE34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exact"/>
          <w:jc w:val="center"/>
        </w:trPr>
        <w:tc>
          <w:tcPr>
            <w:tcW w:w="625" w:type="dxa"/>
            <w:vMerge w:val="continue"/>
            <w:noWrap w:val="0"/>
            <w:vAlign w:val="center"/>
          </w:tcPr>
          <w:p w14:paraId="62645891">
            <w:pPr>
              <w:widowControl/>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291CAD33">
            <w:pPr>
              <w:widowControl/>
              <w:jc w:val="center"/>
              <w:rPr>
                <w:rFonts w:hint="eastAsia" w:ascii="宋体" w:hAnsi="宋体" w:eastAsia="宋体" w:cs="宋体"/>
                <w:color w:val="auto"/>
                <w:kern w:val="0"/>
                <w:sz w:val="21"/>
                <w:szCs w:val="21"/>
                <w:highlight w:val="none"/>
              </w:rPr>
            </w:pPr>
          </w:p>
        </w:tc>
        <w:tc>
          <w:tcPr>
            <w:tcW w:w="1984" w:type="dxa"/>
            <w:noWrap w:val="0"/>
            <w:vAlign w:val="center"/>
          </w:tcPr>
          <w:p w14:paraId="574CE7C3">
            <w:pPr>
              <w:pStyle w:val="7"/>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lang w:val="en-US" w:eastAsia="zh-CN"/>
              </w:rPr>
              <w:t>具有依法缴纳税收和社会保障资金的良好记录</w:t>
            </w:r>
          </w:p>
        </w:tc>
        <w:tc>
          <w:tcPr>
            <w:tcW w:w="5670" w:type="dxa"/>
            <w:noWrap w:val="0"/>
            <w:vAlign w:val="center"/>
          </w:tcPr>
          <w:p w14:paraId="7DBE2DEF">
            <w:pPr>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符合第二章“</w:t>
            </w:r>
            <w:r>
              <w:rPr>
                <w:rFonts w:hint="eastAsia" w:ascii="宋体" w:hAnsi="宋体" w:eastAsia="宋体" w:cs="宋体"/>
                <w:color w:val="auto"/>
                <w:sz w:val="21"/>
                <w:szCs w:val="21"/>
                <w:highlight w:val="none"/>
                <w:lang w:eastAsia="zh-CN"/>
              </w:rPr>
              <w:t>供应商须知</w:t>
            </w:r>
            <w:r>
              <w:rPr>
                <w:rFonts w:hint="eastAsia" w:ascii="宋体" w:hAnsi="宋体" w:eastAsia="宋体" w:cs="宋体"/>
                <w:color w:val="auto"/>
                <w:sz w:val="21"/>
                <w:szCs w:val="21"/>
                <w:highlight w:val="none"/>
              </w:rPr>
              <w:t>前附表”规定</w:t>
            </w:r>
          </w:p>
        </w:tc>
      </w:tr>
      <w:tr w14:paraId="48745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25" w:type="dxa"/>
            <w:vMerge w:val="continue"/>
            <w:noWrap w:val="0"/>
            <w:vAlign w:val="center"/>
          </w:tcPr>
          <w:p w14:paraId="73602677">
            <w:pPr>
              <w:widowControl/>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334055E2">
            <w:pPr>
              <w:widowControl/>
              <w:jc w:val="center"/>
              <w:rPr>
                <w:rFonts w:hint="eastAsia" w:ascii="宋体" w:hAnsi="宋体" w:eastAsia="宋体" w:cs="宋体"/>
                <w:color w:val="auto"/>
                <w:kern w:val="0"/>
                <w:sz w:val="21"/>
                <w:szCs w:val="21"/>
                <w:highlight w:val="none"/>
              </w:rPr>
            </w:pPr>
          </w:p>
        </w:tc>
        <w:tc>
          <w:tcPr>
            <w:tcW w:w="1984" w:type="dxa"/>
            <w:noWrap w:val="0"/>
            <w:vAlign w:val="center"/>
          </w:tcPr>
          <w:p w14:paraId="3409BC7C">
            <w:pPr>
              <w:pStyle w:val="7"/>
              <w:ind w:left="0" w:leftChars="0" w:right="63" w:rightChars="30" w:firstLine="0" w:firstLineChars="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参加政府采购活动前三年内，在经营活动中没有重大违法记录</w:t>
            </w:r>
          </w:p>
        </w:tc>
        <w:tc>
          <w:tcPr>
            <w:tcW w:w="5670" w:type="dxa"/>
            <w:noWrap w:val="0"/>
            <w:vAlign w:val="center"/>
          </w:tcPr>
          <w:p w14:paraId="3851504D">
            <w:pPr>
              <w:ind w:left="0" w:leftChars="0" w:right="63" w:rightChars="30" w:firstLine="0" w:firstLineChars="0"/>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符合第二章“</w:t>
            </w:r>
            <w:r>
              <w:rPr>
                <w:rFonts w:hint="eastAsia" w:ascii="宋体" w:hAnsi="宋体" w:eastAsia="宋体" w:cs="宋体"/>
                <w:color w:val="auto"/>
                <w:sz w:val="21"/>
                <w:szCs w:val="21"/>
                <w:highlight w:val="none"/>
                <w:lang w:eastAsia="zh-CN"/>
              </w:rPr>
              <w:t>供应商须知</w:t>
            </w:r>
            <w:r>
              <w:rPr>
                <w:rFonts w:hint="eastAsia" w:ascii="宋体" w:hAnsi="宋体" w:eastAsia="宋体" w:cs="宋体"/>
                <w:color w:val="auto"/>
                <w:sz w:val="21"/>
                <w:szCs w:val="21"/>
                <w:highlight w:val="none"/>
              </w:rPr>
              <w:t>前附表”规定</w:t>
            </w:r>
          </w:p>
        </w:tc>
      </w:tr>
      <w:tr w14:paraId="5BC58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25" w:type="dxa"/>
            <w:vMerge w:val="continue"/>
            <w:noWrap w:val="0"/>
            <w:vAlign w:val="center"/>
          </w:tcPr>
          <w:p w14:paraId="6534A624">
            <w:pPr>
              <w:widowControl/>
              <w:jc w:val="center"/>
              <w:rPr>
                <w:rFonts w:hint="eastAsia" w:ascii="宋体" w:hAnsi="宋体" w:eastAsia="宋体" w:cs="宋体"/>
                <w:color w:val="auto"/>
                <w:sz w:val="21"/>
                <w:szCs w:val="21"/>
                <w:highlight w:val="none"/>
              </w:rPr>
            </w:pPr>
          </w:p>
        </w:tc>
        <w:tc>
          <w:tcPr>
            <w:tcW w:w="993" w:type="dxa"/>
            <w:vMerge w:val="continue"/>
            <w:noWrap w:val="0"/>
            <w:vAlign w:val="center"/>
          </w:tcPr>
          <w:p w14:paraId="10187429">
            <w:pPr>
              <w:widowControl/>
              <w:jc w:val="center"/>
              <w:rPr>
                <w:rFonts w:hint="eastAsia" w:ascii="宋体" w:hAnsi="宋体" w:eastAsia="宋体" w:cs="宋体"/>
                <w:color w:val="auto"/>
                <w:sz w:val="21"/>
                <w:szCs w:val="21"/>
                <w:highlight w:val="none"/>
              </w:rPr>
            </w:pPr>
          </w:p>
        </w:tc>
        <w:tc>
          <w:tcPr>
            <w:tcW w:w="1984" w:type="dxa"/>
            <w:noWrap w:val="0"/>
            <w:vAlign w:val="center"/>
          </w:tcPr>
          <w:p w14:paraId="38FBBFC6">
            <w:pPr>
              <w:pStyle w:val="7"/>
              <w:ind w:left="0" w:leftChars="0" w:right="63" w:rightChars="3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信用查询</w:t>
            </w:r>
          </w:p>
        </w:tc>
        <w:tc>
          <w:tcPr>
            <w:tcW w:w="5670" w:type="dxa"/>
            <w:noWrap w:val="0"/>
            <w:vAlign w:val="center"/>
          </w:tcPr>
          <w:p w14:paraId="1F6357BE">
            <w:pPr>
              <w:ind w:left="0" w:leftChars="0" w:right="63" w:rightChars="3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符合第二章“</w:t>
            </w:r>
            <w:r>
              <w:rPr>
                <w:rFonts w:hint="eastAsia" w:ascii="宋体" w:hAnsi="宋体" w:eastAsia="宋体" w:cs="宋体"/>
                <w:color w:val="auto"/>
                <w:sz w:val="21"/>
                <w:szCs w:val="21"/>
                <w:highlight w:val="none"/>
                <w:lang w:eastAsia="zh-CN"/>
              </w:rPr>
              <w:t>供应商须知</w:t>
            </w:r>
            <w:r>
              <w:rPr>
                <w:rFonts w:hint="eastAsia" w:ascii="宋体" w:hAnsi="宋体" w:eastAsia="宋体" w:cs="宋体"/>
                <w:color w:val="auto"/>
                <w:sz w:val="21"/>
                <w:szCs w:val="21"/>
                <w:highlight w:val="none"/>
              </w:rPr>
              <w:t>前附表”规定</w:t>
            </w:r>
          </w:p>
        </w:tc>
      </w:tr>
      <w:tr w14:paraId="3063B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625" w:type="dxa"/>
            <w:vMerge w:val="continue"/>
            <w:noWrap w:val="0"/>
            <w:vAlign w:val="center"/>
          </w:tcPr>
          <w:p w14:paraId="247849AA">
            <w:pPr>
              <w:widowControl/>
              <w:jc w:val="center"/>
              <w:rPr>
                <w:rFonts w:hint="eastAsia" w:ascii="宋体" w:hAnsi="宋体" w:eastAsia="宋体" w:cs="宋体"/>
                <w:color w:val="auto"/>
                <w:sz w:val="21"/>
                <w:szCs w:val="21"/>
                <w:highlight w:val="none"/>
              </w:rPr>
            </w:pPr>
          </w:p>
        </w:tc>
        <w:tc>
          <w:tcPr>
            <w:tcW w:w="993" w:type="dxa"/>
            <w:vMerge w:val="continue"/>
            <w:noWrap w:val="0"/>
            <w:vAlign w:val="center"/>
          </w:tcPr>
          <w:p w14:paraId="3FD60EDE">
            <w:pPr>
              <w:widowControl/>
              <w:jc w:val="center"/>
              <w:rPr>
                <w:rFonts w:hint="eastAsia" w:ascii="宋体" w:hAnsi="宋体" w:eastAsia="宋体" w:cs="宋体"/>
                <w:color w:val="auto"/>
                <w:sz w:val="21"/>
                <w:szCs w:val="21"/>
                <w:highlight w:val="none"/>
              </w:rPr>
            </w:pPr>
          </w:p>
        </w:tc>
        <w:tc>
          <w:tcPr>
            <w:tcW w:w="1984" w:type="dxa"/>
            <w:noWrap w:val="0"/>
            <w:vAlign w:val="center"/>
          </w:tcPr>
          <w:p w14:paraId="60CFA18A">
            <w:pPr>
              <w:pStyle w:val="7"/>
              <w:ind w:left="0" w:leftChars="0" w:right="63" w:rightChars="30" w:firstLine="0" w:firstLineChars="0"/>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其他要求</w:t>
            </w:r>
          </w:p>
        </w:tc>
        <w:tc>
          <w:tcPr>
            <w:tcW w:w="5670" w:type="dxa"/>
            <w:noWrap w:val="0"/>
            <w:vAlign w:val="center"/>
          </w:tcPr>
          <w:p w14:paraId="590283F0">
            <w:pPr>
              <w:ind w:left="0" w:leftChars="0" w:right="63" w:rightChars="30" w:firstLine="0" w:firstLineChars="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符合第二章“</w:t>
            </w:r>
            <w:r>
              <w:rPr>
                <w:rFonts w:hint="eastAsia" w:ascii="宋体" w:hAnsi="宋体" w:eastAsia="宋体" w:cs="宋体"/>
                <w:color w:val="auto"/>
                <w:sz w:val="21"/>
                <w:szCs w:val="21"/>
                <w:highlight w:val="none"/>
                <w:lang w:eastAsia="zh-CN"/>
              </w:rPr>
              <w:t>供应商须知</w:t>
            </w:r>
            <w:r>
              <w:rPr>
                <w:rFonts w:hint="eastAsia" w:ascii="宋体" w:hAnsi="宋体" w:eastAsia="宋体" w:cs="宋体"/>
                <w:color w:val="auto"/>
                <w:sz w:val="21"/>
                <w:szCs w:val="21"/>
                <w:highlight w:val="none"/>
              </w:rPr>
              <w:t>前附表”规定</w:t>
            </w:r>
          </w:p>
        </w:tc>
      </w:tr>
      <w:tr w14:paraId="2760C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625" w:type="dxa"/>
            <w:vMerge w:val="restart"/>
            <w:noWrap w:val="0"/>
            <w:vAlign w:val="center"/>
          </w:tcPr>
          <w:p w14:paraId="4F04396A">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2.1.3</w:t>
            </w:r>
          </w:p>
        </w:tc>
        <w:tc>
          <w:tcPr>
            <w:tcW w:w="993" w:type="dxa"/>
            <w:vMerge w:val="restart"/>
            <w:noWrap w:val="0"/>
            <w:vAlign w:val="center"/>
          </w:tcPr>
          <w:p w14:paraId="1C1BF942">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响应性审查</w:t>
            </w:r>
            <w:r>
              <w:rPr>
                <w:rFonts w:hint="eastAsia" w:ascii="宋体" w:hAnsi="宋体" w:eastAsia="宋体" w:cs="宋体"/>
                <w:color w:val="auto"/>
                <w:kern w:val="0"/>
                <w:sz w:val="21"/>
                <w:szCs w:val="21"/>
                <w:highlight w:val="none"/>
              </w:rPr>
              <w:t>标准</w:t>
            </w:r>
          </w:p>
        </w:tc>
        <w:tc>
          <w:tcPr>
            <w:tcW w:w="1984" w:type="dxa"/>
            <w:noWrap w:val="0"/>
            <w:vAlign w:val="center"/>
          </w:tcPr>
          <w:p w14:paraId="55B996C4">
            <w:pPr>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磋商报价</w:t>
            </w:r>
          </w:p>
        </w:tc>
        <w:tc>
          <w:tcPr>
            <w:tcW w:w="5670" w:type="dxa"/>
            <w:noWrap w:val="0"/>
            <w:vAlign w:val="center"/>
          </w:tcPr>
          <w:p w14:paraId="6826BB99">
            <w:pPr>
              <w:spacing w:line="360" w:lineRule="auto"/>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低于（含等于）竞争性磋商文件中规定</w:t>
            </w:r>
            <w:r>
              <w:rPr>
                <w:rFonts w:hint="eastAsia" w:ascii="宋体" w:hAnsi="宋体" w:eastAsia="宋体" w:cs="宋体"/>
                <w:color w:val="auto"/>
                <w:kern w:val="0"/>
                <w:sz w:val="21"/>
                <w:szCs w:val="21"/>
                <w:highlight w:val="none"/>
                <w:lang w:val="en-US" w:eastAsia="zh-CN"/>
              </w:rPr>
              <w:t>的</w:t>
            </w:r>
            <w:r>
              <w:rPr>
                <w:rFonts w:hint="eastAsia" w:ascii="宋体" w:hAnsi="宋体" w:eastAsia="宋体" w:cs="宋体"/>
                <w:color w:val="auto"/>
                <w:kern w:val="0"/>
                <w:sz w:val="21"/>
                <w:szCs w:val="21"/>
                <w:highlight w:val="none"/>
              </w:rPr>
              <w:t>最高限价</w:t>
            </w:r>
          </w:p>
        </w:tc>
      </w:tr>
      <w:tr w14:paraId="033E4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exact"/>
          <w:jc w:val="center"/>
        </w:trPr>
        <w:tc>
          <w:tcPr>
            <w:tcW w:w="625" w:type="dxa"/>
            <w:vMerge w:val="continue"/>
            <w:noWrap w:val="0"/>
            <w:vAlign w:val="center"/>
          </w:tcPr>
          <w:p w14:paraId="3A9DCFD2">
            <w:pPr>
              <w:widowControl/>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5B10F6CE">
            <w:pPr>
              <w:widowControl/>
              <w:jc w:val="center"/>
              <w:rPr>
                <w:rFonts w:hint="eastAsia" w:ascii="宋体" w:hAnsi="宋体" w:eastAsia="宋体" w:cs="宋体"/>
                <w:color w:val="auto"/>
                <w:kern w:val="0"/>
                <w:sz w:val="21"/>
                <w:szCs w:val="21"/>
                <w:highlight w:val="none"/>
              </w:rPr>
            </w:pPr>
          </w:p>
        </w:tc>
        <w:tc>
          <w:tcPr>
            <w:tcW w:w="1984" w:type="dxa"/>
            <w:noWrap w:val="0"/>
            <w:vAlign w:val="center"/>
          </w:tcPr>
          <w:p w14:paraId="1601489A">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服务期限</w:t>
            </w:r>
          </w:p>
        </w:tc>
        <w:tc>
          <w:tcPr>
            <w:tcW w:w="5670" w:type="dxa"/>
            <w:noWrap w:val="0"/>
            <w:vAlign w:val="center"/>
          </w:tcPr>
          <w:p w14:paraId="25E30EA2">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符合第二章“供应商须知前附表”规定</w:t>
            </w:r>
          </w:p>
        </w:tc>
      </w:tr>
      <w:tr w14:paraId="3724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625" w:type="dxa"/>
            <w:vMerge w:val="continue"/>
            <w:noWrap w:val="0"/>
            <w:vAlign w:val="center"/>
          </w:tcPr>
          <w:p w14:paraId="1EB8C305">
            <w:pPr>
              <w:widowControl/>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0D8B801B">
            <w:pPr>
              <w:widowControl/>
              <w:jc w:val="center"/>
              <w:rPr>
                <w:rFonts w:hint="eastAsia" w:ascii="宋体" w:hAnsi="宋体" w:eastAsia="宋体" w:cs="宋体"/>
                <w:color w:val="auto"/>
                <w:kern w:val="0"/>
                <w:sz w:val="21"/>
                <w:szCs w:val="21"/>
                <w:highlight w:val="none"/>
              </w:rPr>
            </w:pPr>
          </w:p>
        </w:tc>
        <w:tc>
          <w:tcPr>
            <w:tcW w:w="1984" w:type="dxa"/>
            <w:noWrap w:val="0"/>
            <w:vAlign w:val="center"/>
          </w:tcPr>
          <w:p w14:paraId="6BC5C460">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服务地点</w:t>
            </w:r>
          </w:p>
        </w:tc>
        <w:tc>
          <w:tcPr>
            <w:tcW w:w="5670" w:type="dxa"/>
            <w:noWrap w:val="0"/>
            <w:vAlign w:val="center"/>
          </w:tcPr>
          <w:p w14:paraId="1403D7B2">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符合第二章“供应商须知前附表”规定</w:t>
            </w:r>
          </w:p>
        </w:tc>
      </w:tr>
      <w:tr w14:paraId="5399D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625" w:type="dxa"/>
            <w:vMerge w:val="continue"/>
            <w:noWrap w:val="0"/>
            <w:vAlign w:val="center"/>
          </w:tcPr>
          <w:p w14:paraId="714C4480">
            <w:pPr>
              <w:widowControl/>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00E8D913">
            <w:pPr>
              <w:widowControl/>
              <w:jc w:val="center"/>
              <w:rPr>
                <w:rFonts w:hint="eastAsia" w:ascii="宋体" w:hAnsi="宋体" w:eastAsia="宋体" w:cs="宋体"/>
                <w:color w:val="auto"/>
                <w:kern w:val="0"/>
                <w:sz w:val="21"/>
                <w:szCs w:val="21"/>
                <w:highlight w:val="none"/>
              </w:rPr>
            </w:pPr>
          </w:p>
        </w:tc>
        <w:tc>
          <w:tcPr>
            <w:tcW w:w="1984" w:type="dxa"/>
            <w:shd w:val="clear" w:color="auto" w:fill="auto"/>
            <w:noWrap w:val="0"/>
            <w:vAlign w:val="center"/>
          </w:tcPr>
          <w:p w14:paraId="7D5F25D4">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服务要求</w:t>
            </w:r>
          </w:p>
        </w:tc>
        <w:tc>
          <w:tcPr>
            <w:tcW w:w="5670" w:type="dxa"/>
            <w:shd w:val="clear" w:color="auto" w:fill="auto"/>
            <w:noWrap w:val="0"/>
            <w:vAlign w:val="center"/>
          </w:tcPr>
          <w:p w14:paraId="48F73E76">
            <w:pPr>
              <w:widowControl/>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符合第二章“供应商须知前附表”规定</w:t>
            </w:r>
          </w:p>
        </w:tc>
      </w:tr>
      <w:tr w14:paraId="7B3D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exact"/>
          <w:jc w:val="center"/>
        </w:trPr>
        <w:tc>
          <w:tcPr>
            <w:tcW w:w="625" w:type="dxa"/>
            <w:vMerge w:val="continue"/>
            <w:noWrap w:val="0"/>
            <w:vAlign w:val="center"/>
          </w:tcPr>
          <w:p w14:paraId="668C11DE">
            <w:pPr>
              <w:widowControl/>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6CDBC89B">
            <w:pPr>
              <w:widowControl/>
              <w:jc w:val="center"/>
              <w:rPr>
                <w:rFonts w:hint="eastAsia" w:ascii="宋体" w:hAnsi="宋体" w:eastAsia="宋体" w:cs="宋体"/>
                <w:color w:val="auto"/>
                <w:kern w:val="0"/>
                <w:sz w:val="21"/>
                <w:szCs w:val="21"/>
                <w:highlight w:val="none"/>
              </w:rPr>
            </w:pPr>
          </w:p>
        </w:tc>
        <w:tc>
          <w:tcPr>
            <w:tcW w:w="1984" w:type="dxa"/>
            <w:noWrap w:val="0"/>
            <w:vAlign w:val="center"/>
          </w:tcPr>
          <w:p w14:paraId="07C8A368">
            <w:pPr>
              <w:widowControl/>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sz w:val="21"/>
                <w:szCs w:val="21"/>
                <w:highlight w:val="none"/>
                <w:lang w:val="en-US" w:eastAsia="zh-CN"/>
              </w:rPr>
              <w:t>其他要求</w:t>
            </w:r>
          </w:p>
        </w:tc>
        <w:tc>
          <w:tcPr>
            <w:tcW w:w="5670" w:type="dxa"/>
            <w:noWrap w:val="0"/>
            <w:vAlign w:val="center"/>
          </w:tcPr>
          <w:p w14:paraId="68C0C1C8">
            <w:pPr>
              <w:widowControl/>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符合</w:t>
            </w:r>
            <w:r>
              <w:rPr>
                <w:rFonts w:hint="eastAsia" w:ascii="宋体" w:hAnsi="宋体" w:eastAsia="宋体" w:cs="宋体"/>
                <w:color w:val="auto"/>
                <w:kern w:val="0"/>
                <w:sz w:val="21"/>
                <w:szCs w:val="21"/>
                <w:highlight w:val="none"/>
                <w:lang w:val="en-US" w:eastAsia="zh-CN"/>
              </w:rPr>
              <w:t>竞争性磋商文件实质性响应及法律法规规定</w:t>
            </w:r>
          </w:p>
        </w:tc>
      </w:tr>
      <w:tr w14:paraId="3F8E9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gridSpan w:val="2"/>
            <w:noWrap w:val="0"/>
            <w:vAlign w:val="center"/>
          </w:tcPr>
          <w:p w14:paraId="658932B7">
            <w:pPr>
              <w:autoSpaceDE w:val="0"/>
              <w:autoSpaceDN w:val="0"/>
              <w:adjustRightInd w:val="0"/>
              <w:spacing w:line="400" w:lineRule="exact"/>
              <w:ind w:left="38" w:leftChars="18"/>
              <w:jc w:val="center"/>
              <w:rPr>
                <w:rFonts w:hint="eastAsia" w:ascii="宋体" w:hAnsi="宋体" w:eastAsia="宋体" w:cs="宋体"/>
                <w:color w:val="auto"/>
                <w:kern w:val="0"/>
                <w:sz w:val="21"/>
                <w:szCs w:val="21"/>
                <w:highlight w:val="none"/>
              </w:rPr>
            </w:pPr>
            <w:r>
              <w:rPr>
                <w:rFonts w:hint="eastAsia" w:ascii="宋体" w:hAnsi="宋体" w:eastAsia="宋体" w:cs="宋体"/>
                <w:color w:val="auto"/>
                <w:sz w:val="21"/>
                <w:szCs w:val="21"/>
                <w:highlight w:val="none"/>
              </w:rPr>
              <w:t>详细磋商</w:t>
            </w:r>
          </w:p>
        </w:tc>
        <w:tc>
          <w:tcPr>
            <w:tcW w:w="7654" w:type="dxa"/>
            <w:gridSpan w:val="2"/>
            <w:noWrap w:val="0"/>
            <w:vAlign w:val="center"/>
          </w:tcPr>
          <w:p w14:paraId="7895E921">
            <w:pPr>
              <w:numPr>
                <w:ilvl w:val="0"/>
                <w:numId w:val="9"/>
              </w:numPr>
              <w:autoSpaceDE w:val="0"/>
              <w:autoSpaceDN w:val="0"/>
              <w:adjustRightIn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磋商小组根据本章第3.2款内容</w:t>
            </w:r>
            <w:r>
              <w:rPr>
                <w:rFonts w:hint="eastAsia" w:ascii="宋体" w:hAnsi="宋体" w:eastAsia="宋体" w:cs="宋体"/>
                <w:bCs/>
                <w:color w:val="auto"/>
                <w:kern w:val="0"/>
                <w:sz w:val="21"/>
                <w:szCs w:val="21"/>
                <w:highlight w:val="none"/>
              </w:rPr>
              <w:t>集中与单一供应商分别进行磋商，</w:t>
            </w:r>
            <w:r>
              <w:rPr>
                <w:rFonts w:hint="eastAsia" w:ascii="宋体" w:hAnsi="宋体" w:eastAsia="宋体" w:cs="宋体"/>
                <w:color w:val="auto"/>
                <w:sz w:val="21"/>
                <w:szCs w:val="21"/>
                <w:highlight w:val="none"/>
              </w:rPr>
              <w:t>磋商结束后，并要求其在规定时间内提交最后报价。</w:t>
            </w:r>
          </w:p>
          <w:p w14:paraId="1B432858">
            <w:pPr>
              <w:numPr>
                <w:ilvl w:val="0"/>
                <w:numId w:val="9"/>
              </w:numPr>
              <w:autoSpaceDE w:val="0"/>
              <w:autoSpaceDN w:val="0"/>
              <w:adjustRightInd w:val="0"/>
              <w:spacing w:line="360" w:lineRule="auto"/>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rPr>
              <w:t>供应商对所参加磋商项目根据市场行情自主报价，分二次报价（情况特殊,经磋商小组根据磋商现场情况，可以要求供应商适当进行多轮报价），一次报价须按照磋商文件的报价格式填报，第二次报价在磋商中填报</w:t>
            </w:r>
            <w:r>
              <w:rPr>
                <w:rFonts w:hint="eastAsia" w:ascii="宋体" w:hAnsi="宋体" w:eastAsia="宋体" w:cs="宋体"/>
                <w:b/>
                <w:bCs/>
                <w:color w:val="auto"/>
                <w:kern w:val="0"/>
                <w:sz w:val="21"/>
                <w:szCs w:val="21"/>
                <w:highlight w:val="none"/>
              </w:rPr>
              <w:t>（</w:t>
            </w:r>
            <w:r>
              <w:rPr>
                <w:rFonts w:hint="eastAsia" w:ascii="宋体" w:hAnsi="宋体" w:eastAsia="宋体" w:cs="宋体"/>
                <w:b/>
                <w:bCs/>
                <w:color w:val="auto"/>
                <w:sz w:val="21"/>
                <w:szCs w:val="21"/>
                <w:highlight w:val="none"/>
              </w:rPr>
              <w:t>注：最后报价明显低于成本价的，供应商需做出合理说明，否则将承担不被接受的风险</w:t>
            </w:r>
            <w:r>
              <w:rPr>
                <w:rFonts w:hint="eastAsia" w:ascii="宋体" w:hAnsi="宋体" w:eastAsia="宋体" w:cs="宋体"/>
                <w:b/>
                <w:bCs/>
                <w:color w:val="auto"/>
                <w:kern w:val="0"/>
                <w:sz w:val="21"/>
                <w:szCs w:val="21"/>
                <w:highlight w:val="none"/>
              </w:rPr>
              <w:t>）。</w:t>
            </w:r>
          </w:p>
          <w:p w14:paraId="78E4FAD8">
            <w:pPr>
              <w:numPr>
                <w:ilvl w:val="0"/>
                <w:numId w:val="9"/>
              </w:numPr>
              <w:autoSpaceDE w:val="0"/>
              <w:autoSpaceDN w:val="0"/>
              <w:adjustRightInd w:val="0"/>
              <w:spacing w:line="360" w:lineRule="auto"/>
              <w:jc w:val="left"/>
              <w:rPr>
                <w:rFonts w:hint="eastAsia" w:ascii="宋体" w:hAnsi="宋体" w:eastAsia="宋体" w:cs="宋体"/>
                <w:color w:val="auto"/>
                <w:kern w:val="0"/>
                <w:sz w:val="21"/>
                <w:szCs w:val="21"/>
                <w:highlight w:val="none"/>
              </w:rPr>
            </w:pPr>
            <w:r>
              <w:rPr>
                <w:rFonts w:hint="eastAsia" w:ascii="宋体" w:hAnsi="宋体" w:eastAsia="宋体" w:cs="宋体"/>
                <w:bCs/>
                <w:color w:val="auto"/>
                <w:kern w:val="0"/>
                <w:sz w:val="21"/>
                <w:szCs w:val="21"/>
                <w:highlight w:val="none"/>
              </w:rPr>
              <w:t>经磋商确定最终</w:t>
            </w:r>
            <w:r>
              <w:rPr>
                <w:rFonts w:hint="eastAsia" w:ascii="宋体" w:hAnsi="宋体" w:eastAsia="宋体" w:cs="宋体"/>
                <w:bCs/>
                <w:color w:val="auto"/>
                <w:kern w:val="0"/>
                <w:sz w:val="21"/>
                <w:szCs w:val="21"/>
                <w:highlight w:val="none"/>
                <w:lang w:eastAsia="zh-CN"/>
              </w:rPr>
              <w:t>采购内容及要求</w:t>
            </w:r>
            <w:r>
              <w:rPr>
                <w:rFonts w:hint="eastAsia" w:ascii="宋体" w:hAnsi="宋体" w:eastAsia="宋体" w:cs="宋体"/>
                <w:bCs/>
                <w:color w:val="auto"/>
                <w:kern w:val="0"/>
                <w:sz w:val="21"/>
                <w:szCs w:val="21"/>
                <w:highlight w:val="none"/>
              </w:rPr>
              <w:t>和提交最后报价的供应商后，由磋商小组采用综合评分法对提交最后报价的供应商的响应文件和最后报价按照本章第2.2款内容进行详细性评审。</w:t>
            </w:r>
          </w:p>
        </w:tc>
      </w:tr>
      <w:tr w14:paraId="1018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exact"/>
          <w:jc w:val="center"/>
        </w:trPr>
        <w:tc>
          <w:tcPr>
            <w:tcW w:w="1618" w:type="dxa"/>
            <w:gridSpan w:val="2"/>
            <w:noWrap w:val="0"/>
            <w:vAlign w:val="center"/>
          </w:tcPr>
          <w:p w14:paraId="49803908">
            <w:pPr>
              <w:autoSpaceDE w:val="0"/>
              <w:autoSpaceDN w:val="0"/>
              <w:adjustRightInd w:val="0"/>
              <w:spacing w:line="400" w:lineRule="exact"/>
              <w:ind w:left="38" w:leftChars="18"/>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条款号</w:t>
            </w:r>
          </w:p>
        </w:tc>
        <w:tc>
          <w:tcPr>
            <w:tcW w:w="1984" w:type="dxa"/>
            <w:noWrap w:val="0"/>
            <w:vAlign w:val="center"/>
          </w:tcPr>
          <w:p w14:paraId="003900EE">
            <w:pPr>
              <w:autoSpaceDE w:val="0"/>
              <w:autoSpaceDN w:val="0"/>
              <w:adjustRightInd w:val="0"/>
              <w:spacing w:line="400" w:lineRule="exact"/>
              <w:ind w:left="38" w:leftChars="18"/>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条款内容</w:t>
            </w:r>
          </w:p>
        </w:tc>
        <w:tc>
          <w:tcPr>
            <w:tcW w:w="5670" w:type="dxa"/>
            <w:noWrap w:val="0"/>
            <w:vAlign w:val="center"/>
          </w:tcPr>
          <w:p w14:paraId="0274D7FF">
            <w:pPr>
              <w:autoSpaceDE w:val="0"/>
              <w:autoSpaceDN w:val="0"/>
              <w:adjustRightInd w:val="0"/>
              <w:spacing w:line="400" w:lineRule="exact"/>
              <w:ind w:left="38" w:leftChars="18"/>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编列内容</w:t>
            </w:r>
          </w:p>
        </w:tc>
      </w:tr>
      <w:tr w14:paraId="7DA00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gridSpan w:val="2"/>
            <w:noWrap w:val="0"/>
            <w:vAlign w:val="center"/>
          </w:tcPr>
          <w:p w14:paraId="61EC7EC9">
            <w:pPr>
              <w:autoSpaceDE w:val="0"/>
              <w:autoSpaceDN w:val="0"/>
              <w:adjustRightInd w:val="0"/>
              <w:spacing w:line="400" w:lineRule="exact"/>
              <w:ind w:left="38" w:leftChars="18"/>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2.2.1</w:t>
            </w:r>
          </w:p>
        </w:tc>
        <w:tc>
          <w:tcPr>
            <w:tcW w:w="1984" w:type="dxa"/>
            <w:noWrap w:val="0"/>
            <w:vAlign w:val="center"/>
          </w:tcPr>
          <w:p w14:paraId="2C334F32">
            <w:pPr>
              <w:autoSpaceDE w:val="0"/>
              <w:autoSpaceDN w:val="0"/>
              <w:adjustRightInd w:val="0"/>
              <w:spacing w:line="400" w:lineRule="exact"/>
              <w:ind w:left="38" w:leftChars="18"/>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分值构成</w:t>
            </w:r>
          </w:p>
          <w:p w14:paraId="5960D371">
            <w:pPr>
              <w:autoSpaceDE w:val="0"/>
              <w:autoSpaceDN w:val="0"/>
              <w:adjustRightInd w:val="0"/>
              <w:spacing w:line="400" w:lineRule="exact"/>
              <w:ind w:left="38" w:leftChars="18"/>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(总分100分)</w:t>
            </w:r>
          </w:p>
        </w:tc>
        <w:tc>
          <w:tcPr>
            <w:tcW w:w="5670" w:type="dxa"/>
            <w:noWrap w:val="0"/>
            <w:vAlign w:val="center"/>
          </w:tcPr>
          <w:p w14:paraId="1AB08714">
            <w:pPr>
              <w:autoSpaceDE w:val="0"/>
              <w:autoSpaceDN w:val="0"/>
              <w:adjustRightInd w:val="0"/>
              <w:spacing w:line="400" w:lineRule="exact"/>
              <w:ind w:left="38" w:leftChars="18"/>
              <w:jc w:val="left"/>
              <w:rPr>
                <w:rFonts w:hint="eastAsia" w:ascii="宋体" w:hAnsi="宋体" w:eastAsia="宋体" w:cs="宋体"/>
                <w:b/>
                <w:bCs/>
                <w:color w:val="auto"/>
                <w:kern w:val="0"/>
                <w:sz w:val="21"/>
                <w:szCs w:val="21"/>
                <w:highlight w:val="none"/>
              </w:rPr>
            </w:pPr>
            <w:r>
              <w:rPr>
                <w:rFonts w:hint="eastAsia" w:ascii="宋体" w:hAnsi="宋体" w:eastAsia="宋体" w:cs="宋体"/>
                <w:b/>
                <w:bCs/>
                <w:color w:val="auto"/>
                <w:kern w:val="0"/>
                <w:sz w:val="21"/>
                <w:szCs w:val="21"/>
                <w:highlight w:val="none"/>
              </w:rPr>
              <w:t>报价得分：</w:t>
            </w:r>
            <w:r>
              <w:rPr>
                <w:rFonts w:hint="eastAsia" w:ascii="宋体" w:hAnsi="宋体" w:eastAsia="宋体" w:cs="宋体"/>
                <w:b/>
                <w:bCs/>
                <w:color w:val="auto"/>
                <w:kern w:val="0"/>
                <w:sz w:val="21"/>
                <w:szCs w:val="21"/>
                <w:highlight w:val="none"/>
                <w:lang w:val="en-US" w:eastAsia="zh-CN"/>
              </w:rPr>
              <w:t>1</w:t>
            </w:r>
            <w:r>
              <w:rPr>
                <w:rFonts w:hint="eastAsia" w:ascii="宋体" w:hAnsi="宋体" w:eastAsia="宋体" w:cs="宋体"/>
                <w:b/>
                <w:bCs/>
                <w:color w:val="auto"/>
                <w:kern w:val="0"/>
                <w:sz w:val="21"/>
                <w:szCs w:val="21"/>
                <w:highlight w:val="none"/>
              </w:rPr>
              <w:t>0 分</w:t>
            </w:r>
          </w:p>
          <w:p w14:paraId="6DC41F5C">
            <w:pPr>
              <w:autoSpaceDE w:val="0"/>
              <w:autoSpaceDN w:val="0"/>
              <w:adjustRightInd w:val="0"/>
              <w:spacing w:line="400" w:lineRule="exact"/>
              <w:ind w:left="38" w:leftChars="18"/>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r>
              <w:rPr>
                <w:rFonts w:hint="eastAsia" w:ascii="宋体" w:hAnsi="宋体" w:eastAsia="宋体" w:cs="宋体"/>
                <w:b/>
                <w:color w:val="auto"/>
                <w:sz w:val="21"/>
                <w:szCs w:val="21"/>
                <w:highlight w:val="none"/>
                <w:lang w:val="en-US" w:eastAsia="zh-CN"/>
              </w:rPr>
              <w:t>70</w:t>
            </w:r>
            <w:r>
              <w:rPr>
                <w:rFonts w:hint="eastAsia" w:ascii="宋体" w:hAnsi="宋体" w:eastAsia="宋体" w:cs="宋体"/>
                <w:b/>
                <w:color w:val="auto"/>
                <w:sz w:val="21"/>
                <w:szCs w:val="21"/>
                <w:highlight w:val="none"/>
              </w:rPr>
              <w:t xml:space="preserve"> 分</w:t>
            </w:r>
          </w:p>
          <w:p w14:paraId="23765416">
            <w:pPr>
              <w:autoSpaceDE w:val="0"/>
              <w:autoSpaceDN w:val="0"/>
              <w:adjustRightInd w:val="0"/>
              <w:spacing w:line="400" w:lineRule="exact"/>
              <w:ind w:left="38" w:leftChars="18"/>
              <w:jc w:val="left"/>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0分</w:t>
            </w:r>
          </w:p>
        </w:tc>
      </w:tr>
      <w:tr w14:paraId="17DC9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18" w:type="dxa"/>
            <w:gridSpan w:val="2"/>
            <w:noWrap w:val="0"/>
            <w:vAlign w:val="center"/>
          </w:tcPr>
          <w:p w14:paraId="5C52C18E">
            <w:pPr>
              <w:autoSpaceDE w:val="0"/>
              <w:autoSpaceDN w:val="0"/>
              <w:adjustRightInd w:val="0"/>
              <w:spacing w:line="400" w:lineRule="exact"/>
              <w:ind w:left="38" w:leftChars="18"/>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条款号</w:t>
            </w:r>
          </w:p>
        </w:tc>
        <w:tc>
          <w:tcPr>
            <w:tcW w:w="1984" w:type="dxa"/>
            <w:noWrap w:val="0"/>
            <w:vAlign w:val="center"/>
          </w:tcPr>
          <w:p w14:paraId="2EB62836">
            <w:pPr>
              <w:autoSpaceDE w:val="0"/>
              <w:autoSpaceDN w:val="0"/>
              <w:adjustRightInd w:val="0"/>
              <w:spacing w:line="400" w:lineRule="exact"/>
              <w:ind w:left="38" w:leftChars="18"/>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评分因素</w:t>
            </w:r>
          </w:p>
        </w:tc>
        <w:tc>
          <w:tcPr>
            <w:tcW w:w="5670" w:type="dxa"/>
            <w:noWrap w:val="0"/>
            <w:vAlign w:val="center"/>
          </w:tcPr>
          <w:p w14:paraId="1CD687EA">
            <w:pPr>
              <w:autoSpaceDE w:val="0"/>
              <w:autoSpaceDN w:val="0"/>
              <w:adjustRightInd w:val="0"/>
              <w:spacing w:line="400" w:lineRule="exact"/>
              <w:ind w:left="38" w:leftChars="18"/>
              <w:jc w:val="center"/>
              <w:rPr>
                <w:rFonts w:hint="eastAsia" w:ascii="宋体" w:hAnsi="宋体" w:eastAsia="宋体" w:cs="宋体"/>
                <w:b/>
                <w:color w:val="auto"/>
                <w:sz w:val="21"/>
                <w:szCs w:val="21"/>
                <w:highlight w:val="none"/>
              </w:rPr>
            </w:pPr>
            <w:r>
              <w:rPr>
                <w:rFonts w:hint="eastAsia" w:ascii="宋体" w:hAnsi="宋体" w:eastAsia="宋体" w:cs="宋体"/>
                <w:color w:val="auto"/>
                <w:kern w:val="0"/>
                <w:sz w:val="21"/>
                <w:szCs w:val="21"/>
                <w:highlight w:val="none"/>
              </w:rPr>
              <w:t>评分标准</w:t>
            </w:r>
          </w:p>
        </w:tc>
      </w:tr>
      <w:tr w14:paraId="41E15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noWrap w:val="0"/>
            <w:vAlign w:val="center"/>
          </w:tcPr>
          <w:p w14:paraId="7D773507">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2.2.2（1）</w:t>
            </w:r>
          </w:p>
        </w:tc>
        <w:tc>
          <w:tcPr>
            <w:tcW w:w="993" w:type="dxa"/>
            <w:noWrap w:val="0"/>
            <w:vAlign w:val="center"/>
          </w:tcPr>
          <w:p w14:paraId="4235BE03">
            <w:pPr>
              <w:widowControl/>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报价得分（</w:t>
            </w:r>
            <w:r>
              <w:rPr>
                <w:rFonts w:hint="eastAsia" w:ascii="宋体" w:hAnsi="宋体" w:eastAsia="宋体" w:cs="宋体"/>
                <w:b/>
                <w:color w:val="auto"/>
                <w:sz w:val="21"/>
                <w:szCs w:val="21"/>
                <w:highlight w:val="none"/>
                <w:lang w:val="en-US" w:eastAsia="zh-CN"/>
              </w:rPr>
              <w:t>10</w:t>
            </w:r>
            <w:r>
              <w:rPr>
                <w:rFonts w:hint="eastAsia" w:ascii="宋体" w:hAnsi="宋体" w:eastAsia="宋体" w:cs="宋体"/>
                <w:b/>
                <w:color w:val="auto"/>
                <w:sz w:val="21"/>
                <w:szCs w:val="21"/>
                <w:highlight w:val="none"/>
              </w:rPr>
              <w:t>分）</w:t>
            </w:r>
          </w:p>
        </w:tc>
        <w:tc>
          <w:tcPr>
            <w:tcW w:w="1984" w:type="dxa"/>
            <w:noWrap w:val="0"/>
            <w:vAlign w:val="center"/>
          </w:tcPr>
          <w:p w14:paraId="3B94D50C">
            <w:pPr>
              <w:widowControl/>
              <w:jc w:val="center"/>
              <w:rPr>
                <w:rFonts w:hint="eastAsia" w:ascii="宋体" w:hAnsi="宋体" w:eastAsia="宋体" w:cs="宋体"/>
                <w:color w:val="auto"/>
                <w:kern w:val="0"/>
                <w:sz w:val="21"/>
                <w:szCs w:val="21"/>
                <w:highlight w:val="none"/>
              </w:rPr>
            </w:pPr>
            <w:r>
              <w:rPr>
                <w:rFonts w:hint="eastAsia" w:ascii="宋体" w:hAnsi="宋体" w:eastAsia="宋体" w:cs="宋体"/>
                <w:b/>
                <w:color w:val="auto"/>
                <w:sz w:val="21"/>
                <w:szCs w:val="21"/>
                <w:highlight w:val="none"/>
              </w:rPr>
              <w:t>磋商报价评分标准</w:t>
            </w:r>
          </w:p>
        </w:tc>
        <w:tc>
          <w:tcPr>
            <w:tcW w:w="5670" w:type="dxa"/>
            <w:noWrap w:val="0"/>
            <w:vAlign w:val="center"/>
          </w:tcPr>
          <w:p w14:paraId="629E3D7B">
            <w:pPr>
              <w:wordWrap/>
              <w:topLinePunct w:val="0"/>
              <w:spacing w:line="400" w:lineRule="exact"/>
              <w:ind w:firstLine="422" w:firstLineChars="200"/>
              <w:rPr>
                <w:rFonts w:hint="eastAsia" w:ascii="宋体" w:hAnsi="宋体" w:eastAsia="宋体" w:cs="宋体"/>
                <w:color w:val="auto"/>
                <w:sz w:val="21"/>
                <w:szCs w:val="21"/>
                <w:highlight w:val="none"/>
              </w:rPr>
            </w:pPr>
            <w:r>
              <w:rPr>
                <w:rFonts w:hint="eastAsia" w:ascii="宋体" w:hAnsi="宋体" w:eastAsia="宋体" w:cs="宋体"/>
                <w:b/>
                <w:color w:val="auto"/>
                <w:sz w:val="21"/>
                <w:szCs w:val="21"/>
                <w:highlight w:val="none"/>
              </w:rPr>
              <w:t>价格分采用低价优先法计算，</w:t>
            </w:r>
            <w:r>
              <w:rPr>
                <w:rFonts w:hint="eastAsia" w:ascii="宋体" w:hAnsi="宋体" w:eastAsia="宋体" w:cs="宋体"/>
                <w:color w:val="auto"/>
                <w:sz w:val="21"/>
                <w:szCs w:val="21"/>
                <w:highlight w:val="none"/>
              </w:rPr>
              <w:t>即满足竞争性磋商文件要求且评审报价最低的为评审基准价，其价格分为满分。其他供应商的价格分统一按照下列公式计算：</w:t>
            </w:r>
          </w:p>
          <w:p w14:paraId="602A515C">
            <w:pPr>
              <w:wordWrap/>
              <w:topLinePunct w:val="0"/>
              <w:spacing w:line="400" w:lineRule="exact"/>
              <w:ind w:firstLine="422" w:firstLineChars="200"/>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rPr>
              <w:t>最后磋商报价得分=(评审基准价／评审报价)×</w:t>
            </w:r>
            <w:r>
              <w:rPr>
                <w:rFonts w:hint="eastAsia" w:ascii="宋体" w:hAnsi="宋体" w:eastAsia="宋体" w:cs="宋体"/>
                <w:b/>
                <w:color w:val="auto"/>
                <w:sz w:val="21"/>
                <w:szCs w:val="21"/>
                <w:highlight w:val="none"/>
                <w:lang w:val="en-US" w:eastAsia="zh-CN"/>
              </w:rPr>
              <w:t>10</w:t>
            </w:r>
          </w:p>
          <w:p w14:paraId="12211EAE">
            <w:pPr>
              <w:pStyle w:val="21"/>
              <w:jc w:val="both"/>
              <w:rPr>
                <w:rFonts w:hint="eastAsia" w:ascii="宋体" w:hAnsi="宋体" w:eastAsia="宋体" w:cs="宋体"/>
                <w:color w:val="auto"/>
                <w:highlight w:val="none"/>
                <w:lang w:val="en-US" w:eastAsia="zh-CN"/>
              </w:rPr>
            </w:pPr>
            <w:r>
              <w:rPr>
                <w:rFonts w:hint="eastAsia" w:ascii="宋体" w:hAnsi="宋体" w:eastAsia="宋体" w:cs="宋体"/>
                <w:color w:val="auto"/>
                <w:kern w:val="2"/>
                <w:sz w:val="21"/>
                <w:szCs w:val="21"/>
                <w:highlight w:val="none"/>
                <w:lang w:val="en-US" w:eastAsia="zh-CN" w:bidi="ar-SA"/>
              </w:rPr>
              <w:t>支持节能环保政策，扶持监狱、残疾人福利性单位等政府采购政策。小微企业、监狱企业、残疾人福 利性单位用扣除20%后价格计算得分，优惠只享受一次，不重复享受。须提供相关声明函或证明资料。</w:t>
            </w:r>
          </w:p>
        </w:tc>
      </w:tr>
      <w:tr w14:paraId="2CC0E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25" w:type="dxa"/>
            <w:vMerge w:val="restart"/>
            <w:noWrap w:val="0"/>
            <w:vAlign w:val="center"/>
          </w:tcPr>
          <w:p w14:paraId="5CCAAE06">
            <w:pPr>
              <w:widowControl/>
              <w:jc w:val="center"/>
              <w:rPr>
                <w:rFonts w:hint="eastAsia" w:ascii="宋体" w:hAnsi="宋体" w:eastAsia="宋体" w:cs="宋体"/>
                <w:color w:val="auto"/>
                <w:kern w:val="0"/>
                <w:sz w:val="21"/>
                <w:szCs w:val="21"/>
                <w:highlight w:val="none"/>
              </w:rPr>
            </w:pPr>
          </w:p>
          <w:p w14:paraId="5FE6E1E2">
            <w:pPr>
              <w:widowControl/>
              <w:jc w:val="center"/>
              <w:rPr>
                <w:rFonts w:hint="eastAsia" w:ascii="宋体" w:hAnsi="宋体" w:eastAsia="宋体" w:cs="宋体"/>
                <w:color w:val="auto"/>
                <w:kern w:val="0"/>
                <w:sz w:val="21"/>
                <w:szCs w:val="21"/>
                <w:highlight w:val="none"/>
              </w:rPr>
            </w:pPr>
          </w:p>
          <w:p w14:paraId="6E8AF411">
            <w:pPr>
              <w:widowControl/>
              <w:jc w:val="center"/>
              <w:rPr>
                <w:rFonts w:hint="eastAsia" w:ascii="宋体" w:hAnsi="宋体" w:eastAsia="宋体" w:cs="宋体"/>
                <w:color w:val="auto"/>
                <w:kern w:val="0"/>
                <w:sz w:val="21"/>
                <w:szCs w:val="21"/>
                <w:highlight w:val="none"/>
              </w:rPr>
            </w:pPr>
          </w:p>
          <w:p w14:paraId="2FCD7D18">
            <w:pPr>
              <w:widowControl/>
              <w:jc w:val="center"/>
              <w:rPr>
                <w:rFonts w:hint="eastAsia" w:ascii="宋体" w:hAnsi="宋体" w:eastAsia="宋体" w:cs="宋体"/>
                <w:color w:val="auto"/>
                <w:kern w:val="0"/>
                <w:sz w:val="21"/>
                <w:szCs w:val="21"/>
                <w:highlight w:val="none"/>
              </w:rPr>
            </w:pPr>
          </w:p>
          <w:p w14:paraId="338B4D0A">
            <w:pPr>
              <w:widowControl/>
              <w:jc w:val="center"/>
              <w:rPr>
                <w:rFonts w:hint="eastAsia" w:ascii="宋体" w:hAnsi="宋体" w:eastAsia="宋体" w:cs="宋体"/>
                <w:color w:val="auto"/>
                <w:kern w:val="0"/>
                <w:sz w:val="21"/>
                <w:szCs w:val="21"/>
                <w:highlight w:val="none"/>
              </w:rPr>
            </w:pPr>
          </w:p>
          <w:p w14:paraId="1294FFA2">
            <w:pPr>
              <w:widowControl/>
              <w:jc w:val="center"/>
              <w:rPr>
                <w:rFonts w:hint="eastAsia" w:ascii="宋体" w:hAnsi="宋体" w:eastAsia="宋体" w:cs="宋体"/>
                <w:color w:val="auto"/>
                <w:kern w:val="0"/>
                <w:sz w:val="21"/>
                <w:szCs w:val="21"/>
                <w:highlight w:val="none"/>
              </w:rPr>
            </w:pPr>
          </w:p>
          <w:p w14:paraId="79683369">
            <w:pPr>
              <w:widowControl/>
              <w:jc w:val="center"/>
              <w:rPr>
                <w:rFonts w:hint="eastAsia" w:ascii="宋体" w:hAnsi="宋体" w:eastAsia="宋体" w:cs="宋体"/>
                <w:color w:val="auto"/>
                <w:kern w:val="0"/>
                <w:sz w:val="21"/>
                <w:szCs w:val="21"/>
                <w:highlight w:val="none"/>
              </w:rPr>
            </w:pPr>
          </w:p>
          <w:p w14:paraId="45215F85">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2.2.2（2）</w:t>
            </w:r>
          </w:p>
        </w:tc>
        <w:tc>
          <w:tcPr>
            <w:tcW w:w="993" w:type="dxa"/>
            <w:vMerge w:val="restart"/>
            <w:noWrap w:val="0"/>
            <w:vAlign w:val="center"/>
          </w:tcPr>
          <w:p w14:paraId="34417BBF">
            <w:pPr>
              <w:widowControl/>
              <w:jc w:val="center"/>
              <w:rPr>
                <w:rFonts w:hint="eastAsia" w:ascii="宋体" w:hAnsi="宋体" w:eastAsia="宋体" w:cs="宋体"/>
                <w:b/>
                <w:color w:val="auto"/>
                <w:sz w:val="21"/>
                <w:szCs w:val="21"/>
                <w:highlight w:val="none"/>
              </w:rPr>
            </w:pPr>
          </w:p>
          <w:p w14:paraId="2C4FA833">
            <w:pPr>
              <w:widowControl/>
              <w:jc w:val="center"/>
              <w:rPr>
                <w:rFonts w:hint="eastAsia" w:ascii="宋体" w:hAnsi="宋体" w:eastAsia="宋体" w:cs="宋体"/>
                <w:b/>
                <w:color w:val="auto"/>
                <w:sz w:val="21"/>
                <w:szCs w:val="21"/>
                <w:highlight w:val="none"/>
              </w:rPr>
            </w:pPr>
          </w:p>
          <w:p w14:paraId="069592B1">
            <w:pPr>
              <w:widowControl/>
              <w:jc w:val="center"/>
              <w:rPr>
                <w:rFonts w:hint="eastAsia" w:ascii="宋体" w:hAnsi="宋体" w:eastAsia="宋体" w:cs="宋体"/>
                <w:b/>
                <w:color w:val="auto"/>
                <w:sz w:val="21"/>
                <w:szCs w:val="21"/>
                <w:highlight w:val="none"/>
              </w:rPr>
            </w:pPr>
          </w:p>
          <w:p w14:paraId="787181A8">
            <w:pPr>
              <w:widowControl/>
              <w:jc w:val="center"/>
              <w:rPr>
                <w:rFonts w:hint="eastAsia" w:ascii="宋体" w:hAnsi="宋体" w:eastAsia="宋体" w:cs="宋体"/>
                <w:b/>
                <w:color w:val="auto"/>
                <w:sz w:val="21"/>
                <w:szCs w:val="21"/>
                <w:highlight w:val="none"/>
              </w:rPr>
            </w:pPr>
          </w:p>
          <w:p w14:paraId="5CBF3BAA">
            <w:pPr>
              <w:widowControl/>
              <w:jc w:val="center"/>
              <w:rPr>
                <w:rFonts w:hint="eastAsia" w:ascii="宋体" w:hAnsi="宋体" w:eastAsia="宋体" w:cs="宋体"/>
                <w:b/>
                <w:color w:val="auto"/>
                <w:sz w:val="21"/>
                <w:szCs w:val="21"/>
                <w:highlight w:val="none"/>
              </w:rPr>
            </w:pPr>
          </w:p>
          <w:p w14:paraId="73E06364">
            <w:pPr>
              <w:widowControl/>
              <w:jc w:val="center"/>
              <w:rPr>
                <w:rFonts w:hint="eastAsia" w:ascii="宋体" w:hAnsi="宋体" w:eastAsia="宋体" w:cs="宋体"/>
                <w:b/>
                <w:color w:val="auto"/>
                <w:sz w:val="21"/>
                <w:szCs w:val="21"/>
                <w:highlight w:val="none"/>
              </w:rPr>
            </w:pPr>
          </w:p>
          <w:p w14:paraId="19D6D8EC">
            <w:pPr>
              <w:widowControl/>
              <w:jc w:val="center"/>
              <w:rPr>
                <w:rFonts w:hint="eastAsia" w:ascii="宋体" w:hAnsi="宋体" w:eastAsia="宋体" w:cs="宋体"/>
                <w:b/>
                <w:color w:val="auto"/>
                <w:sz w:val="21"/>
                <w:szCs w:val="21"/>
                <w:highlight w:val="none"/>
              </w:rPr>
            </w:pPr>
          </w:p>
          <w:p w14:paraId="77FC97F6">
            <w:pPr>
              <w:widowControl/>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技术部分（</w:t>
            </w:r>
            <w:r>
              <w:rPr>
                <w:rFonts w:hint="eastAsia" w:ascii="宋体" w:hAnsi="宋体" w:eastAsia="宋体" w:cs="宋体"/>
                <w:b/>
                <w:color w:val="auto"/>
                <w:sz w:val="21"/>
                <w:szCs w:val="21"/>
                <w:highlight w:val="none"/>
                <w:lang w:val="en-US" w:eastAsia="zh-CN"/>
              </w:rPr>
              <w:t>7</w:t>
            </w:r>
            <w:r>
              <w:rPr>
                <w:rFonts w:hint="eastAsia" w:ascii="宋体" w:hAnsi="宋体" w:eastAsia="宋体" w:cs="宋体"/>
                <w:b/>
                <w:color w:val="auto"/>
                <w:sz w:val="21"/>
                <w:szCs w:val="21"/>
                <w:highlight w:val="none"/>
              </w:rPr>
              <w:t>0分）</w:t>
            </w:r>
          </w:p>
        </w:tc>
        <w:tc>
          <w:tcPr>
            <w:tcW w:w="1984" w:type="dxa"/>
            <w:noWrap w:val="0"/>
            <w:vAlign w:val="center"/>
          </w:tcPr>
          <w:p w14:paraId="7D771B5D">
            <w:pPr>
              <w:pStyle w:val="7"/>
              <w:ind w:left="63" w:right="63"/>
              <w:jc w:val="both"/>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rPr>
              <w:t>技术指标响应情况</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c>
          <w:tcPr>
            <w:tcW w:w="5670" w:type="dxa"/>
            <w:noWrap w:val="0"/>
            <w:vAlign w:val="center"/>
          </w:tcPr>
          <w:p w14:paraId="31A8CDC7">
            <w:pPr>
              <w:pStyle w:val="7"/>
              <w:ind w:right="63"/>
              <w:jc w:val="both"/>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lang w:eastAsia="zh-CN"/>
              </w:rPr>
              <w:t>服务内容</w:t>
            </w:r>
            <w:r>
              <w:rPr>
                <w:rFonts w:hint="eastAsia" w:ascii="宋体" w:hAnsi="宋体" w:eastAsia="宋体" w:cs="宋体"/>
                <w:b w:val="0"/>
                <w:bCs w:val="0"/>
                <w:color w:val="auto"/>
                <w:sz w:val="21"/>
                <w:szCs w:val="21"/>
                <w:highlight w:val="none"/>
              </w:rPr>
              <w:t>能够全部满足</w:t>
            </w:r>
            <w:r>
              <w:rPr>
                <w:rFonts w:hint="eastAsia" w:ascii="宋体" w:hAnsi="宋体" w:eastAsia="宋体" w:cs="宋体"/>
                <w:b w:val="0"/>
                <w:bCs w:val="0"/>
                <w:color w:val="auto"/>
                <w:sz w:val="21"/>
                <w:szCs w:val="21"/>
                <w:highlight w:val="none"/>
                <w:lang w:val="en-US" w:eastAsia="zh-CN"/>
              </w:rPr>
              <w:t>或优于</w:t>
            </w:r>
            <w:r>
              <w:rPr>
                <w:rFonts w:hint="eastAsia" w:ascii="宋体" w:hAnsi="宋体" w:eastAsia="宋体" w:cs="宋体"/>
                <w:b w:val="0"/>
                <w:bCs w:val="0"/>
                <w:color w:val="auto"/>
                <w:sz w:val="21"/>
                <w:szCs w:val="21"/>
                <w:highlight w:val="none"/>
              </w:rPr>
              <w:t>竞争性磋商文件</w:t>
            </w:r>
            <w:r>
              <w:rPr>
                <w:rFonts w:hint="eastAsia" w:ascii="宋体" w:hAnsi="宋体" w:eastAsia="宋体" w:cs="宋体"/>
                <w:b w:val="0"/>
                <w:bCs w:val="0"/>
                <w:color w:val="auto"/>
                <w:sz w:val="21"/>
                <w:szCs w:val="21"/>
                <w:highlight w:val="none"/>
                <w:lang w:val="en-US" w:eastAsia="zh-CN"/>
              </w:rPr>
              <w:t>采购内容及</w:t>
            </w:r>
            <w:r>
              <w:rPr>
                <w:rFonts w:hint="eastAsia" w:ascii="宋体" w:hAnsi="宋体" w:eastAsia="宋体" w:cs="宋体"/>
                <w:b w:val="0"/>
                <w:bCs w:val="0"/>
                <w:color w:val="auto"/>
                <w:sz w:val="21"/>
                <w:szCs w:val="21"/>
                <w:highlight w:val="none"/>
              </w:rPr>
              <w:t>要求的,得</w:t>
            </w:r>
            <w:r>
              <w:rPr>
                <w:rFonts w:hint="eastAsia" w:ascii="宋体" w:hAnsi="宋体" w:eastAsia="宋体" w:cs="宋体"/>
                <w:b w:val="0"/>
                <w:bCs w:val="0"/>
                <w:color w:val="auto"/>
                <w:sz w:val="21"/>
                <w:szCs w:val="21"/>
                <w:highlight w:val="none"/>
                <w:lang w:val="en-US" w:eastAsia="zh-CN"/>
              </w:rPr>
              <w:t>30</w:t>
            </w:r>
            <w:r>
              <w:rPr>
                <w:rFonts w:hint="eastAsia" w:ascii="宋体" w:hAnsi="宋体" w:eastAsia="宋体" w:cs="宋体"/>
                <w:b w:val="0"/>
                <w:bCs w:val="0"/>
                <w:color w:val="auto"/>
                <w:sz w:val="21"/>
                <w:szCs w:val="21"/>
                <w:highlight w:val="none"/>
              </w:rPr>
              <w:t>分；</w:t>
            </w:r>
            <w:r>
              <w:rPr>
                <w:rFonts w:hint="eastAsia" w:ascii="宋体" w:hAnsi="宋体" w:eastAsia="宋体" w:cs="宋体"/>
                <w:b w:val="0"/>
                <w:bCs w:val="0"/>
                <w:color w:val="auto"/>
                <w:sz w:val="21"/>
                <w:szCs w:val="21"/>
                <w:highlight w:val="none"/>
                <w:lang w:eastAsia="zh-CN"/>
              </w:rPr>
              <w:t>服务内容</w:t>
            </w:r>
            <w:r>
              <w:rPr>
                <w:rFonts w:hint="eastAsia" w:ascii="宋体" w:hAnsi="宋体" w:eastAsia="宋体" w:cs="宋体"/>
                <w:b w:val="0"/>
                <w:bCs w:val="0"/>
                <w:color w:val="auto"/>
                <w:sz w:val="21"/>
                <w:szCs w:val="21"/>
                <w:highlight w:val="none"/>
              </w:rPr>
              <w:t>不满足竞争性磋商文件要求的,每有一项不满足扣</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rPr>
              <w:t>分，扣完为止。</w:t>
            </w:r>
          </w:p>
        </w:tc>
      </w:tr>
      <w:tr w14:paraId="0EAF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25" w:type="dxa"/>
            <w:vMerge w:val="continue"/>
            <w:noWrap w:val="0"/>
            <w:vAlign w:val="center"/>
          </w:tcPr>
          <w:p w14:paraId="23CCB8EC">
            <w:pPr>
              <w:widowControl/>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49514948">
            <w:pPr>
              <w:widowControl/>
              <w:jc w:val="center"/>
              <w:rPr>
                <w:rFonts w:hint="eastAsia" w:ascii="宋体" w:hAnsi="宋体" w:eastAsia="宋体" w:cs="宋体"/>
                <w:b/>
                <w:color w:val="auto"/>
                <w:sz w:val="21"/>
                <w:szCs w:val="21"/>
                <w:highlight w:val="none"/>
              </w:rPr>
            </w:pPr>
          </w:p>
        </w:tc>
        <w:tc>
          <w:tcPr>
            <w:tcW w:w="1984" w:type="dxa"/>
            <w:noWrap w:val="0"/>
            <w:vAlign w:val="center"/>
          </w:tcPr>
          <w:p w14:paraId="48A822D8">
            <w:pPr>
              <w:pStyle w:val="7"/>
              <w:ind w:left="63" w:right="63"/>
              <w:jc w:val="both"/>
              <w:rPr>
                <w:rFonts w:hint="eastAsia" w:ascii="宋体" w:hAnsi="宋体" w:eastAsia="宋体" w:cs="宋体"/>
                <w:color w:val="auto"/>
                <w:sz w:val="21"/>
                <w:szCs w:val="21"/>
                <w:highlight w:val="none"/>
              </w:rPr>
            </w:pPr>
            <w:r>
              <w:rPr>
                <w:rFonts w:hint="eastAsia" w:ascii="宋体" w:hAnsi="宋体" w:eastAsia="宋体" w:cs="宋体"/>
                <w:b w:val="0"/>
                <w:bCs w:val="0"/>
                <w:color w:val="auto"/>
                <w:sz w:val="21"/>
                <w:szCs w:val="21"/>
                <w:highlight w:val="none"/>
              </w:rPr>
              <w:t>实施方案</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5670" w:type="dxa"/>
            <w:noWrap w:val="0"/>
            <w:vAlign w:val="center"/>
          </w:tcPr>
          <w:p w14:paraId="13803B5B">
            <w:pPr>
              <w:spacing w:line="360" w:lineRule="auto"/>
              <w:ind w:firstLine="420" w:firstLineChars="200"/>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eastAsia="zh-CN"/>
              </w:rPr>
              <w:t>实施方案内容应包含整体实施计划方案、项目实施计划保障、质量保证措施、服务管理流程等内容。</w:t>
            </w:r>
            <w:r>
              <w:rPr>
                <w:rFonts w:hint="eastAsia" w:ascii="宋体" w:hAnsi="宋体" w:eastAsia="宋体" w:cs="宋体"/>
                <w:b w:val="0"/>
                <w:bCs w:val="0"/>
                <w:color w:val="auto"/>
                <w:sz w:val="21"/>
                <w:szCs w:val="21"/>
                <w:highlight w:val="none"/>
                <w:lang w:val="en-US" w:eastAsia="zh-CN"/>
              </w:rPr>
              <w:t xml:space="preserve">  </w:t>
            </w:r>
          </w:p>
          <w:p w14:paraId="4E366EAC">
            <w:pPr>
              <w:numPr>
                <w:ilvl w:val="0"/>
                <w:numId w:val="0"/>
              </w:num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w:t>
            </w:r>
            <w:r>
              <w:rPr>
                <w:rFonts w:hint="eastAsia" w:ascii="宋体" w:hAnsi="宋体" w:eastAsia="宋体" w:cs="宋体"/>
                <w:b w:val="0"/>
                <w:bCs w:val="0"/>
                <w:color w:val="auto"/>
                <w:sz w:val="21"/>
                <w:szCs w:val="21"/>
                <w:highlight w:val="none"/>
                <w:lang w:eastAsia="zh-CN"/>
              </w:rPr>
              <w:t>项目实施方案全面透彻（明确可行的管理模式和机制，科学设定组织机构和运作程序等内容），阐述清晰、措施科学得当、切实可行、高效合理、针对性强的，得</w:t>
            </w:r>
            <w:r>
              <w:rPr>
                <w:rFonts w:hint="eastAsia" w:ascii="宋体" w:hAnsi="宋体" w:eastAsia="宋体" w:cs="宋体"/>
                <w:b w:val="0"/>
                <w:bCs w:val="0"/>
                <w:color w:val="auto"/>
                <w:sz w:val="21"/>
                <w:szCs w:val="21"/>
                <w:highlight w:val="none"/>
                <w:lang w:val="en-US" w:eastAsia="zh-CN"/>
              </w:rPr>
              <w:t>8</w:t>
            </w:r>
            <w:r>
              <w:rPr>
                <w:rFonts w:hint="eastAsia" w:ascii="宋体" w:hAnsi="宋体" w:eastAsia="宋体" w:cs="宋体"/>
                <w:b w:val="0"/>
                <w:bCs w:val="0"/>
                <w:color w:val="auto"/>
                <w:sz w:val="21"/>
                <w:szCs w:val="21"/>
                <w:highlight w:val="none"/>
                <w:lang w:eastAsia="zh-CN"/>
              </w:rPr>
              <w:t>分。</w:t>
            </w:r>
          </w:p>
          <w:p w14:paraId="1BEC9904">
            <w:pPr>
              <w:numPr>
                <w:ilvl w:val="0"/>
                <w:numId w:val="0"/>
              </w:num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eastAsia="zh-CN"/>
              </w:rPr>
              <w:t>项目实施方案</w:t>
            </w:r>
            <w:r>
              <w:rPr>
                <w:rFonts w:hint="eastAsia" w:ascii="宋体" w:hAnsi="宋体" w:eastAsia="宋体" w:cs="宋体"/>
                <w:b w:val="0"/>
                <w:bCs w:val="0"/>
                <w:color w:val="auto"/>
                <w:sz w:val="21"/>
                <w:szCs w:val="21"/>
                <w:highlight w:val="none"/>
                <w:lang w:val="en-US" w:eastAsia="zh-CN"/>
              </w:rPr>
              <w:t>编制</w:t>
            </w:r>
            <w:r>
              <w:rPr>
                <w:rFonts w:hint="eastAsia" w:ascii="宋体" w:hAnsi="宋体" w:eastAsia="宋体" w:cs="宋体"/>
                <w:b w:val="0"/>
                <w:bCs w:val="0"/>
                <w:color w:val="auto"/>
                <w:sz w:val="21"/>
                <w:szCs w:val="21"/>
                <w:highlight w:val="none"/>
                <w:lang w:eastAsia="zh-CN"/>
              </w:rPr>
              <w:t>基本全面（能够体现项目特点，明确服务重点和管理重点）、阐述基本清晰、措施基本满足要求、基本可行、针对性较强的，得</w:t>
            </w:r>
            <w:r>
              <w:rPr>
                <w:rFonts w:hint="eastAsia" w:ascii="宋体" w:hAnsi="宋体" w:eastAsia="宋体" w:cs="宋体"/>
                <w:b w:val="0"/>
                <w:bCs w:val="0"/>
                <w:color w:val="auto"/>
                <w:sz w:val="21"/>
                <w:szCs w:val="21"/>
                <w:highlight w:val="none"/>
                <w:lang w:val="en-US" w:eastAsia="zh-CN"/>
              </w:rPr>
              <w:t>7</w:t>
            </w:r>
            <w:r>
              <w:rPr>
                <w:rFonts w:hint="eastAsia" w:ascii="宋体" w:hAnsi="宋体" w:eastAsia="宋体" w:cs="宋体"/>
                <w:b w:val="0"/>
                <w:bCs w:val="0"/>
                <w:color w:val="auto"/>
                <w:sz w:val="21"/>
                <w:szCs w:val="21"/>
                <w:highlight w:val="none"/>
                <w:lang w:eastAsia="zh-CN"/>
              </w:rPr>
              <w:t>分。</w:t>
            </w:r>
          </w:p>
          <w:p w14:paraId="534FE9DB">
            <w:pPr>
              <w:numPr>
                <w:ilvl w:val="0"/>
                <w:numId w:val="0"/>
              </w:numPr>
              <w:spacing w:line="360" w:lineRule="auto"/>
              <w:rPr>
                <w:rFonts w:hint="eastAsia" w:ascii="宋体" w:hAnsi="宋体" w:eastAsia="宋体" w:cs="宋体"/>
                <w:b w:val="0"/>
                <w:bCs w:val="0"/>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eastAsia="zh-CN"/>
              </w:rPr>
              <w:t>项目实施方案</w:t>
            </w:r>
            <w:r>
              <w:rPr>
                <w:rFonts w:hint="eastAsia" w:ascii="宋体" w:hAnsi="宋体" w:eastAsia="宋体" w:cs="宋体"/>
                <w:b w:val="0"/>
                <w:bCs w:val="0"/>
                <w:color w:val="auto"/>
                <w:sz w:val="21"/>
                <w:szCs w:val="21"/>
                <w:highlight w:val="none"/>
                <w:lang w:val="en-US" w:eastAsia="zh-CN"/>
              </w:rPr>
              <w:t>编制一般</w:t>
            </w:r>
            <w:r>
              <w:rPr>
                <w:rFonts w:hint="eastAsia" w:ascii="宋体" w:hAnsi="宋体" w:eastAsia="宋体" w:cs="宋体"/>
                <w:b w:val="0"/>
                <w:bCs w:val="0"/>
                <w:color w:val="auto"/>
                <w:sz w:val="21"/>
                <w:szCs w:val="21"/>
                <w:highlight w:val="none"/>
                <w:lang w:eastAsia="zh-CN"/>
              </w:rPr>
              <w:t>（能够体现项目特点，明确服务重点和管理重点）、阐述基本清晰、措施基本满足要求、基本可行、针对性</w:t>
            </w:r>
            <w:r>
              <w:rPr>
                <w:rFonts w:hint="eastAsia" w:ascii="宋体" w:hAnsi="宋体" w:eastAsia="宋体" w:cs="宋体"/>
                <w:b w:val="0"/>
                <w:bCs w:val="0"/>
                <w:color w:val="auto"/>
                <w:sz w:val="21"/>
                <w:szCs w:val="21"/>
                <w:highlight w:val="none"/>
                <w:lang w:val="en-US" w:eastAsia="zh-CN"/>
              </w:rPr>
              <w:t>不太</w:t>
            </w:r>
            <w:r>
              <w:rPr>
                <w:rFonts w:hint="eastAsia" w:ascii="宋体" w:hAnsi="宋体" w:eastAsia="宋体" w:cs="宋体"/>
                <w:b w:val="0"/>
                <w:bCs w:val="0"/>
                <w:color w:val="auto"/>
                <w:sz w:val="21"/>
                <w:szCs w:val="21"/>
                <w:highlight w:val="none"/>
                <w:lang w:eastAsia="zh-CN"/>
              </w:rPr>
              <w:t>强的，得</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lang w:eastAsia="zh-CN"/>
              </w:rPr>
              <w:t>分。</w:t>
            </w:r>
          </w:p>
          <w:p w14:paraId="17399FB0">
            <w:pPr>
              <w:numPr>
                <w:ilvl w:val="0"/>
                <w:numId w:val="0"/>
              </w:numPr>
              <w:spacing w:line="360" w:lineRule="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4.</w:t>
            </w:r>
            <w:r>
              <w:rPr>
                <w:rFonts w:hint="eastAsia" w:ascii="宋体" w:hAnsi="宋体" w:eastAsia="宋体" w:cs="宋体"/>
                <w:b w:val="0"/>
                <w:bCs w:val="0"/>
                <w:color w:val="auto"/>
                <w:sz w:val="21"/>
                <w:szCs w:val="21"/>
                <w:highlight w:val="none"/>
                <w:lang w:eastAsia="zh-CN"/>
              </w:rPr>
              <w:t>有项目实施方案，</w:t>
            </w:r>
            <w:r>
              <w:rPr>
                <w:rFonts w:hint="eastAsia" w:ascii="宋体" w:hAnsi="宋体" w:eastAsia="宋体" w:cs="宋体"/>
                <w:b w:val="0"/>
                <w:bCs w:val="0"/>
                <w:color w:val="auto"/>
                <w:sz w:val="21"/>
                <w:szCs w:val="21"/>
                <w:highlight w:val="none"/>
                <w:lang w:val="en-US" w:eastAsia="zh-CN"/>
              </w:rPr>
              <w:t>方案</w:t>
            </w:r>
            <w:r>
              <w:rPr>
                <w:rFonts w:hint="eastAsia" w:ascii="宋体" w:hAnsi="宋体" w:eastAsia="宋体" w:cs="宋体"/>
                <w:b w:val="0"/>
                <w:bCs w:val="0"/>
                <w:color w:val="auto"/>
                <w:sz w:val="21"/>
                <w:szCs w:val="21"/>
                <w:highlight w:val="none"/>
                <w:lang w:eastAsia="zh-CN"/>
              </w:rPr>
              <w:t>清晰性、专业性、可操作性差，得</w:t>
            </w:r>
            <w:r>
              <w:rPr>
                <w:rFonts w:hint="eastAsia" w:ascii="宋体" w:hAnsi="宋体" w:eastAsia="宋体" w:cs="宋体"/>
                <w:b w:val="0"/>
                <w:bCs w:val="0"/>
                <w:color w:val="auto"/>
                <w:sz w:val="21"/>
                <w:szCs w:val="21"/>
                <w:highlight w:val="none"/>
                <w:lang w:val="en-US" w:eastAsia="zh-CN"/>
              </w:rPr>
              <w:t>3</w:t>
            </w:r>
            <w:r>
              <w:rPr>
                <w:rFonts w:hint="eastAsia" w:ascii="宋体" w:hAnsi="宋体" w:eastAsia="宋体" w:cs="宋体"/>
                <w:b w:val="0"/>
                <w:bCs w:val="0"/>
                <w:color w:val="auto"/>
                <w:sz w:val="21"/>
                <w:szCs w:val="21"/>
                <w:highlight w:val="none"/>
                <w:lang w:eastAsia="zh-CN"/>
              </w:rPr>
              <w:t>分。</w:t>
            </w:r>
            <w:r>
              <w:rPr>
                <w:rFonts w:hint="eastAsia" w:ascii="宋体" w:hAnsi="宋体" w:eastAsia="宋体" w:cs="宋体"/>
                <w:b w:val="0"/>
                <w:bCs w:val="0"/>
                <w:color w:val="auto"/>
                <w:sz w:val="21"/>
                <w:szCs w:val="21"/>
                <w:highlight w:val="none"/>
                <w:lang w:val="en-US" w:eastAsia="zh-CN"/>
              </w:rPr>
              <w:t xml:space="preserve">  </w:t>
            </w:r>
          </w:p>
          <w:p w14:paraId="41EA68A7">
            <w:pPr>
              <w:pStyle w:val="21"/>
              <w:ind w:left="0" w:leftChars="0" w:firstLine="0" w:firstLineChars="0"/>
              <w:jc w:val="both"/>
              <w:rPr>
                <w:rFonts w:hint="eastAsia" w:ascii="宋体" w:hAnsi="宋体" w:eastAsia="宋体" w:cs="宋体"/>
                <w:color w:val="auto"/>
                <w:highlight w:val="none"/>
              </w:rPr>
            </w:pPr>
            <w:r>
              <w:rPr>
                <w:rFonts w:hint="eastAsia" w:ascii="宋体" w:hAnsi="宋体" w:eastAsia="宋体" w:cs="宋体"/>
                <w:b/>
                <w:color w:val="auto"/>
                <w:sz w:val="21"/>
                <w:szCs w:val="21"/>
                <w:highlight w:val="none"/>
              </w:rPr>
              <w:t>如缺项，该小项得</w:t>
            </w:r>
            <w:r>
              <w:rPr>
                <w:rFonts w:hint="eastAsia" w:ascii="宋体" w:hAnsi="宋体" w:eastAsia="宋体" w:cs="宋体"/>
                <w:b/>
                <w:color w:val="auto"/>
                <w:sz w:val="21"/>
                <w:szCs w:val="21"/>
                <w:highlight w:val="none"/>
                <w:lang w:val="en-US" w:eastAsia="zh-CN"/>
              </w:rPr>
              <w:t>0</w:t>
            </w:r>
            <w:r>
              <w:rPr>
                <w:rFonts w:hint="eastAsia" w:ascii="宋体" w:hAnsi="宋体" w:eastAsia="宋体" w:cs="宋体"/>
                <w:b/>
                <w:color w:val="auto"/>
                <w:sz w:val="21"/>
                <w:szCs w:val="21"/>
                <w:highlight w:val="none"/>
              </w:rPr>
              <w:t>分</w:t>
            </w:r>
          </w:p>
        </w:tc>
      </w:tr>
      <w:tr w14:paraId="0C66D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25" w:type="dxa"/>
            <w:vMerge w:val="continue"/>
            <w:noWrap w:val="0"/>
            <w:vAlign w:val="center"/>
          </w:tcPr>
          <w:p w14:paraId="2F1D2FE8">
            <w:pPr>
              <w:widowControl/>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4745AB71">
            <w:pPr>
              <w:widowControl/>
              <w:jc w:val="center"/>
              <w:rPr>
                <w:rFonts w:hint="eastAsia" w:ascii="宋体" w:hAnsi="宋体" w:eastAsia="宋体" w:cs="宋体"/>
                <w:b/>
                <w:color w:val="auto"/>
                <w:sz w:val="21"/>
                <w:szCs w:val="21"/>
                <w:highlight w:val="none"/>
              </w:rPr>
            </w:pPr>
          </w:p>
        </w:tc>
        <w:tc>
          <w:tcPr>
            <w:tcW w:w="1984" w:type="dxa"/>
            <w:noWrap w:val="0"/>
            <w:vAlign w:val="center"/>
          </w:tcPr>
          <w:p w14:paraId="2A7EC536">
            <w:pPr>
              <w:pStyle w:val="7"/>
              <w:ind w:left="63" w:right="63"/>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定期保养服务方案</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5670" w:type="dxa"/>
            <w:noWrap w:val="0"/>
            <w:vAlign w:val="center"/>
          </w:tcPr>
          <w:p w14:paraId="65EA6878">
            <w:pPr>
              <w:pStyle w:val="7"/>
              <w:ind w:right="63" w:firstLine="210" w:firstLineChars="100"/>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0"/>
                <w:sz w:val="21"/>
                <w:szCs w:val="21"/>
                <w:highlight w:val="none"/>
                <w:lang w:eastAsia="zh-CN"/>
              </w:rPr>
              <w:t>定期保养服务方案应包含</w:t>
            </w:r>
            <w:r>
              <w:rPr>
                <w:rFonts w:hint="eastAsia" w:ascii="宋体" w:hAnsi="宋体" w:eastAsia="宋体" w:cs="宋体"/>
                <w:b w:val="0"/>
                <w:bCs w:val="0"/>
                <w:color w:val="auto"/>
                <w:sz w:val="21"/>
                <w:szCs w:val="21"/>
                <w:highlight w:val="none"/>
                <w:lang w:val="en-US" w:eastAsia="zh-CN"/>
              </w:rPr>
              <w:t>保养内容、保养</w:t>
            </w:r>
            <w:r>
              <w:rPr>
                <w:rFonts w:hint="eastAsia" w:ascii="宋体" w:hAnsi="宋体" w:eastAsia="宋体" w:cs="宋体"/>
                <w:b w:val="0"/>
                <w:bCs w:val="0"/>
                <w:color w:val="auto"/>
                <w:sz w:val="21"/>
                <w:szCs w:val="21"/>
                <w:highlight w:val="none"/>
              </w:rPr>
              <w:t>工作流程、</w:t>
            </w:r>
            <w:r>
              <w:rPr>
                <w:rFonts w:hint="eastAsia" w:ascii="宋体" w:hAnsi="宋体" w:eastAsia="宋体" w:cs="宋体"/>
                <w:b w:val="0"/>
                <w:bCs w:val="0"/>
                <w:color w:val="auto"/>
                <w:sz w:val="21"/>
                <w:szCs w:val="21"/>
                <w:highlight w:val="none"/>
                <w:lang w:val="en-US" w:eastAsia="zh-CN"/>
              </w:rPr>
              <w:t>保养时间、保养措施</w:t>
            </w:r>
            <w:r>
              <w:rPr>
                <w:rFonts w:hint="eastAsia" w:ascii="宋体" w:hAnsi="宋体" w:eastAsia="宋体" w:cs="宋体"/>
                <w:b w:val="0"/>
                <w:bCs w:val="0"/>
                <w:color w:val="auto"/>
                <w:sz w:val="21"/>
                <w:szCs w:val="21"/>
                <w:highlight w:val="none"/>
              </w:rPr>
              <w:t>及人员组织</w:t>
            </w:r>
            <w:r>
              <w:rPr>
                <w:rFonts w:hint="eastAsia" w:ascii="宋体" w:hAnsi="宋体" w:eastAsia="宋体" w:cs="宋体"/>
                <w:b w:val="0"/>
                <w:bCs w:val="0"/>
                <w:color w:val="auto"/>
                <w:sz w:val="21"/>
                <w:szCs w:val="21"/>
                <w:highlight w:val="none"/>
                <w:lang w:val="en-US" w:eastAsia="zh-CN"/>
              </w:rPr>
              <w:t>安排等方案</w:t>
            </w:r>
            <w:r>
              <w:rPr>
                <w:rFonts w:hint="eastAsia" w:ascii="宋体" w:hAnsi="宋体" w:eastAsia="宋体" w:cs="宋体"/>
                <w:b w:val="0"/>
                <w:bCs w:val="0"/>
                <w:color w:val="auto"/>
                <w:sz w:val="21"/>
                <w:szCs w:val="21"/>
                <w:highlight w:val="none"/>
              </w:rPr>
              <w:t>详细阐述。</w:t>
            </w:r>
          </w:p>
          <w:p w14:paraId="6DD260A3">
            <w:pPr>
              <w:numPr>
                <w:ilvl w:val="0"/>
                <w:numId w:val="0"/>
              </w:numPr>
              <w:spacing w:line="360" w:lineRule="auto"/>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val="en-US" w:eastAsia="zh-CN"/>
              </w:rPr>
              <w:t>1.</w:t>
            </w:r>
            <w:r>
              <w:rPr>
                <w:rFonts w:hint="eastAsia" w:ascii="宋体" w:hAnsi="宋体" w:eastAsia="宋体" w:cs="宋体"/>
                <w:b w:val="0"/>
                <w:bCs w:val="0"/>
                <w:color w:val="auto"/>
                <w:kern w:val="0"/>
                <w:sz w:val="21"/>
                <w:szCs w:val="21"/>
                <w:highlight w:val="none"/>
                <w:lang w:eastAsia="zh-CN"/>
              </w:rPr>
              <w:t>定期保养服务方案</w:t>
            </w:r>
            <w:r>
              <w:rPr>
                <w:rFonts w:hint="eastAsia" w:ascii="宋体" w:hAnsi="宋体" w:eastAsia="宋体" w:cs="宋体"/>
                <w:b w:val="0"/>
                <w:bCs w:val="0"/>
                <w:color w:val="auto"/>
                <w:kern w:val="0"/>
                <w:sz w:val="21"/>
                <w:szCs w:val="21"/>
                <w:highlight w:val="none"/>
                <w:lang w:val="en-US" w:eastAsia="zh-CN"/>
              </w:rPr>
              <w:t>对</w:t>
            </w:r>
            <w:r>
              <w:rPr>
                <w:rFonts w:hint="eastAsia" w:ascii="宋体" w:hAnsi="宋体" w:eastAsia="宋体" w:cs="宋体"/>
                <w:b w:val="0"/>
                <w:bCs w:val="0"/>
                <w:color w:val="auto"/>
                <w:sz w:val="21"/>
                <w:szCs w:val="21"/>
                <w:highlight w:val="none"/>
                <w:lang w:val="en-US" w:eastAsia="zh-CN"/>
              </w:rPr>
              <w:t>保养内容、保养</w:t>
            </w:r>
            <w:r>
              <w:rPr>
                <w:rFonts w:hint="eastAsia" w:ascii="宋体" w:hAnsi="宋体" w:eastAsia="宋体" w:cs="宋体"/>
                <w:b w:val="0"/>
                <w:bCs w:val="0"/>
                <w:color w:val="auto"/>
                <w:sz w:val="21"/>
                <w:szCs w:val="21"/>
                <w:highlight w:val="none"/>
              </w:rPr>
              <w:t>工作流程、</w:t>
            </w:r>
            <w:r>
              <w:rPr>
                <w:rFonts w:hint="eastAsia" w:ascii="宋体" w:hAnsi="宋体" w:eastAsia="宋体" w:cs="宋体"/>
                <w:b w:val="0"/>
                <w:bCs w:val="0"/>
                <w:color w:val="auto"/>
                <w:sz w:val="21"/>
                <w:szCs w:val="21"/>
                <w:highlight w:val="none"/>
                <w:lang w:val="en-US" w:eastAsia="zh-CN"/>
              </w:rPr>
              <w:t>保养时间、保养措施</w:t>
            </w:r>
            <w:r>
              <w:rPr>
                <w:rFonts w:hint="eastAsia" w:ascii="宋体" w:hAnsi="宋体" w:eastAsia="宋体" w:cs="宋体"/>
                <w:b w:val="0"/>
                <w:bCs w:val="0"/>
                <w:color w:val="auto"/>
                <w:sz w:val="21"/>
                <w:szCs w:val="21"/>
                <w:highlight w:val="none"/>
              </w:rPr>
              <w:t>及人员组织</w:t>
            </w:r>
            <w:r>
              <w:rPr>
                <w:rFonts w:hint="eastAsia" w:ascii="宋体" w:hAnsi="宋体" w:eastAsia="宋体" w:cs="宋体"/>
                <w:b w:val="0"/>
                <w:bCs w:val="0"/>
                <w:color w:val="auto"/>
                <w:sz w:val="21"/>
                <w:szCs w:val="21"/>
                <w:highlight w:val="none"/>
                <w:lang w:val="en-US" w:eastAsia="zh-CN"/>
              </w:rPr>
              <w:t>安排等</w:t>
            </w:r>
            <w:r>
              <w:rPr>
                <w:rFonts w:hint="eastAsia" w:ascii="宋体" w:hAnsi="宋体" w:eastAsia="宋体" w:cs="宋体"/>
                <w:b w:val="0"/>
                <w:bCs w:val="0"/>
                <w:color w:val="auto"/>
                <w:kern w:val="0"/>
                <w:sz w:val="21"/>
                <w:szCs w:val="21"/>
                <w:highlight w:val="none"/>
                <w:lang w:eastAsia="zh-CN"/>
              </w:rPr>
              <w:t>阐述</w:t>
            </w:r>
            <w:r>
              <w:rPr>
                <w:rFonts w:hint="eastAsia" w:ascii="宋体" w:hAnsi="宋体" w:eastAsia="宋体" w:cs="宋体"/>
                <w:b w:val="0"/>
                <w:bCs w:val="0"/>
                <w:color w:val="auto"/>
                <w:kern w:val="0"/>
                <w:sz w:val="21"/>
                <w:szCs w:val="21"/>
                <w:highlight w:val="none"/>
                <w:lang w:val="en-US" w:eastAsia="zh-CN"/>
              </w:rPr>
              <w:t>内容非常</w:t>
            </w:r>
            <w:r>
              <w:rPr>
                <w:rFonts w:hint="eastAsia" w:ascii="宋体" w:hAnsi="宋体" w:eastAsia="宋体" w:cs="宋体"/>
                <w:b w:val="0"/>
                <w:bCs w:val="0"/>
                <w:color w:val="auto"/>
                <w:kern w:val="0"/>
                <w:sz w:val="21"/>
                <w:szCs w:val="21"/>
                <w:highlight w:val="none"/>
                <w:lang w:eastAsia="zh-CN"/>
              </w:rPr>
              <w:t>完整、明确、科学合理、</w:t>
            </w:r>
            <w:r>
              <w:rPr>
                <w:rFonts w:hint="eastAsia" w:ascii="宋体" w:hAnsi="宋体" w:eastAsia="宋体" w:cs="宋体"/>
                <w:b w:val="0"/>
                <w:bCs w:val="0"/>
                <w:color w:val="auto"/>
                <w:kern w:val="0"/>
                <w:sz w:val="21"/>
                <w:szCs w:val="21"/>
                <w:highlight w:val="none"/>
                <w:lang w:val="en-US" w:eastAsia="zh-CN"/>
              </w:rPr>
              <w:t>措施非常得当</w:t>
            </w:r>
            <w:r>
              <w:rPr>
                <w:rFonts w:hint="eastAsia" w:ascii="宋体" w:hAnsi="宋体" w:eastAsia="宋体" w:cs="宋体"/>
                <w:b w:val="0"/>
                <w:bCs w:val="0"/>
                <w:color w:val="auto"/>
                <w:kern w:val="0"/>
                <w:sz w:val="21"/>
                <w:szCs w:val="21"/>
                <w:highlight w:val="none"/>
                <w:lang w:eastAsia="zh-CN"/>
              </w:rPr>
              <w:t>的，得</w:t>
            </w:r>
            <w:r>
              <w:rPr>
                <w:rFonts w:hint="eastAsia" w:ascii="宋体" w:hAnsi="宋体" w:eastAsia="宋体" w:cs="宋体"/>
                <w:b w:val="0"/>
                <w:bCs w:val="0"/>
                <w:color w:val="auto"/>
                <w:kern w:val="0"/>
                <w:sz w:val="21"/>
                <w:szCs w:val="21"/>
                <w:highlight w:val="none"/>
                <w:lang w:val="en-US" w:eastAsia="zh-CN"/>
              </w:rPr>
              <w:t>8</w:t>
            </w:r>
            <w:r>
              <w:rPr>
                <w:rFonts w:hint="eastAsia" w:ascii="宋体" w:hAnsi="宋体" w:eastAsia="宋体" w:cs="宋体"/>
                <w:b w:val="0"/>
                <w:bCs w:val="0"/>
                <w:color w:val="auto"/>
                <w:kern w:val="0"/>
                <w:sz w:val="21"/>
                <w:szCs w:val="21"/>
                <w:highlight w:val="none"/>
                <w:lang w:eastAsia="zh-CN"/>
              </w:rPr>
              <w:t>分。</w:t>
            </w:r>
          </w:p>
          <w:p w14:paraId="5979D379">
            <w:pPr>
              <w:numPr>
                <w:ilvl w:val="0"/>
                <w:numId w:val="0"/>
              </w:numPr>
              <w:spacing w:line="360" w:lineRule="auto"/>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val="en-US" w:eastAsia="zh-CN"/>
              </w:rPr>
              <w:t>2.</w:t>
            </w:r>
            <w:r>
              <w:rPr>
                <w:rFonts w:hint="eastAsia" w:ascii="宋体" w:hAnsi="宋体" w:eastAsia="宋体" w:cs="宋体"/>
                <w:b w:val="0"/>
                <w:bCs w:val="0"/>
                <w:color w:val="auto"/>
                <w:kern w:val="0"/>
                <w:sz w:val="21"/>
                <w:szCs w:val="21"/>
                <w:highlight w:val="none"/>
                <w:lang w:eastAsia="zh-CN"/>
              </w:rPr>
              <w:t>定期保养服务方案</w:t>
            </w:r>
            <w:r>
              <w:rPr>
                <w:rFonts w:hint="eastAsia" w:ascii="宋体" w:hAnsi="宋体" w:eastAsia="宋体" w:cs="宋体"/>
                <w:b w:val="0"/>
                <w:bCs w:val="0"/>
                <w:color w:val="auto"/>
                <w:kern w:val="0"/>
                <w:sz w:val="21"/>
                <w:szCs w:val="21"/>
                <w:highlight w:val="none"/>
                <w:lang w:val="en-US" w:eastAsia="zh-CN"/>
              </w:rPr>
              <w:t>对</w:t>
            </w:r>
            <w:r>
              <w:rPr>
                <w:rFonts w:hint="eastAsia" w:ascii="宋体" w:hAnsi="宋体" w:eastAsia="宋体" w:cs="宋体"/>
                <w:b w:val="0"/>
                <w:bCs w:val="0"/>
                <w:color w:val="auto"/>
                <w:sz w:val="21"/>
                <w:szCs w:val="21"/>
                <w:highlight w:val="none"/>
                <w:lang w:val="en-US" w:eastAsia="zh-CN"/>
              </w:rPr>
              <w:t>保养内容、保养</w:t>
            </w:r>
            <w:r>
              <w:rPr>
                <w:rFonts w:hint="eastAsia" w:ascii="宋体" w:hAnsi="宋体" w:eastAsia="宋体" w:cs="宋体"/>
                <w:b w:val="0"/>
                <w:bCs w:val="0"/>
                <w:color w:val="auto"/>
                <w:sz w:val="21"/>
                <w:szCs w:val="21"/>
                <w:highlight w:val="none"/>
              </w:rPr>
              <w:t>工作流程、</w:t>
            </w:r>
            <w:r>
              <w:rPr>
                <w:rFonts w:hint="eastAsia" w:ascii="宋体" w:hAnsi="宋体" w:eastAsia="宋体" w:cs="宋体"/>
                <w:b w:val="0"/>
                <w:bCs w:val="0"/>
                <w:color w:val="auto"/>
                <w:sz w:val="21"/>
                <w:szCs w:val="21"/>
                <w:highlight w:val="none"/>
                <w:lang w:val="en-US" w:eastAsia="zh-CN"/>
              </w:rPr>
              <w:t>保养时间、保养措施</w:t>
            </w:r>
            <w:r>
              <w:rPr>
                <w:rFonts w:hint="eastAsia" w:ascii="宋体" w:hAnsi="宋体" w:eastAsia="宋体" w:cs="宋体"/>
                <w:b w:val="0"/>
                <w:bCs w:val="0"/>
                <w:color w:val="auto"/>
                <w:sz w:val="21"/>
                <w:szCs w:val="21"/>
                <w:highlight w:val="none"/>
              </w:rPr>
              <w:t>及人员组织</w:t>
            </w:r>
            <w:r>
              <w:rPr>
                <w:rFonts w:hint="eastAsia" w:ascii="宋体" w:hAnsi="宋体" w:eastAsia="宋体" w:cs="宋体"/>
                <w:b w:val="0"/>
                <w:bCs w:val="0"/>
                <w:color w:val="auto"/>
                <w:sz w:val="21"/>
                <w:szCs w:val="21"/>
                <w:highlight w:val="none"/>
                <w:lang w:val="en-US" w:eastAsia="zh-CN"/>
              </w:rPr>
              <w:t>安排等</w:t>
            </w:r>
            <w:r>
              <w:rPr>
                <w:rFonts w:hint="eastAsia" w:ascii="宋体" w:hAnsi="宋体" w:eastAsia="宋体" w:cs="宋体"/>
                <w:b w:val="0"/>
                <w:bCs w:val="0"/>
                <w:color w:val="auto"/>
                <w:kern w:val="0"/>
                <w:sz w:val="21"/>
                <w:szCs w:val="21"/>
                <w:highlight w:val="none"/>
                <w:lang w:eastAsia="zh-CN"/>
              </w:rPr>
              <w:t>阐述完整、明确、科学合理、</w:t>
            </w:r>
            <w:r>
              <w:rPr>
                <w:rFonts w:hint="eastAsia" w:ascii="宋体" w:hAnsi="宋体" w:eastAsia="宋体" w:cs="宋体"/>
                <w:b w:val="0"/>
                <w:bCs w:val="0"/>
                <w:color w:val="auto"/>
                <w:kern w:val="0"/>
                <w:sz w:val="21"/>
                <w:szCs w:val="21"/>
                <w:highlight w:val="none"/>
                <w:lang w:val="en-US" w:eastAsia="zh-CN"/>
              </w:rPr>
              <w:t>措施得当</w:t>
            </w:r>
            <w:r>
              <w:rPr>
                <w:rFonts w:hint="eastAsia" w:ascii="宋体" w:hAnsi="宋体" w:eastAsia="宋体" w:cs="宋体"/>
                <w:b w:val="0"/>
                <w:bCs w:val="0"/>
                <w:color w:val="auto"/>
                <w:kern w:val="0"/>
                <w:sz w:val="21"/>
                <w:szCs w:val="21"/>
                <w:highlight w:val="none"/>
                <w:lang w:eastAsia="zh-CN"/>
              </w:rPr>
              <w:t>的，得</w:t>
            </w:r>
            <w:r>
              <w:rPr>
                <w:rFonts w:hint="eastAsia" w:ascii="宋体" w:hAnsi="宋体" w:eastAsia="宋体" w:cs="宋体"/>
                <w:b w:val="0"/>
                <w:bCs w:val="0"/>
                <w:color w:val="auto"/>
                <w:kern w:val="0"/>
                <w:sz w:val="21"/>
                <w:szCs w:val="21"/>
                <w:highlight w:val="none"/>
                <w:lang w:val="en-US" w:eastAsia="zh-CN"/>
              </w:rPr>
              <w:t>7</w:t>
            </w:r>
            <w:r>
              <w:rPr>
                <w:rFonts w:hint="eastAsia" w:ascii="宋体" w:hAnsi="宋体" w:eastAsia="宋体" w:cs="宋体"/>
                <w:b w:val="0"/>
                <w:bCs w:val="0"/>
                <w:color w:val="auto"/>
                <w:kern w:val="0"/>
                <w:sz w:val="21"/>
                <w:szCs w:val="21"/>
                <w:highlight w:val="none"/>
                <w:lang w:eastAsia="zh-CN"/>
              </w:rPr>
              <w:t>分。</w:t>
            </w:r>
          </w:p>
          <w:p w14:paraId="0EE4595C">
            <w:pPr>
              <w:numPr>
                <w:ilvl w:val="0"/>
                <w:numId w:val="0"/>
              </w:numPr>
              <w:spacing w:line="360" w:lineRule="auto"/>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val="en-US" w:eastAsia="zh-CN"/>
              </w:rPr>
              <w:t>3.</w:t>
            </w:r>
            <w:r>
              <w:rPr>
                <w:rFonts w:hint="eastAsia" w:ascii="宋体" w:hAnsi="宋体" w:eastAsia="宋体" w:cs="宋体"/>
                <w:b w:val="0"/>
                <w:bCs w:val="0"/>
                <w:color w:val="auto"/>
                <w:kern w:val="0"/>
                <w:sz w:val="21"/>
                <w:szCs w:val="21"/>
                <w:highlight w:val="none"/>
                <w:lang w:eastAsia="zh-CN"/>
              </w:rPr>
              <w:t>定期保养服务方案</w:t>
            </w:r>
            <w:r>
              <w:rPr>
                <w:rFonts w:hint="eastAsia" w:ascii="宋体" w:hAnsi="宋体" w:eastAsia="宋体" w:cs="宋体"/>
                <w:b w:val="0"/>
                <w:bCs w:val="0"/>
                <w:color w:val="auto"/>
                <w:kern w:val="0"/>
                <w:sz w:val="21"/>
                <w:szCs w:val="21"/>
                <w:highlight w:val="none"/>
                <w:lang w:val="en-US" w:eastAsia="zh-CN"/>
              </w:rPr>
              <w:t>对</w:t>
            </w:r>
            <w:r>
              <w:rPr>
                <w:rFonts w:hint="eastAsia" w:ascii="宋体" w:hAnsi="宋体" w:eastAsia="宋体" w:cs="宋体"/>
                <w:b w:val="0"/>
                <w:bCs w:val="0"/>
                <w:color w:val="auto"/>
                <w:sz w:val="21"/>
                <w:szCs w:val="21"/>
                <w:highlight w:val="none"/>
                <w:lang w:val="en-US" w:eastAsia="zh-CN"/>
              </w:rPr>
              <w:t>保养内容、保养</w:t>
            </w:r>
            <w:r>
              <w:rPr>
                <w:rFonts w:hint="eastAsia" w:ascii="宋体" w:hAnsi="宋体" w:eastAsia="宋体" w:cs="宋体"/>
                <w:b w:val="0"/>
                <w:bCs w:val="0"/>
                <w:color w:val="auto"/>
                <w:sz w:val="21"/>
                <w:szCs w:val="21"/>
                <w:highlight w:val="none"/>
              </w:rPr>
              <w:t>工作流程、</w:t>
            </w:r>
            <w:r>
              <w:rPr>
                <w:rFonts w:hint="eastAsia" w:ascii="宋体" w:hAnsi="宋体" w:eastAsia="宋体" w:cs="宋体"/>
                <w:b w:val="0"/>
                <w:bCs w:val="0"/>
                <w:color w:val="auto"/>
                <w:sz w:val="21"/>
                <w:szCs w:val="21"/>
                <w:highlight w:val="none"/>
                <w:lang w:val="en-US" w:eastAsia="zh-CN"/>
              </w:rPr>
              <w:t>保养时间、保养措施</w:t>
            </w:r>
            <w:r>
              <w:rPr>
                <w:rFonts w:hint="eastAsia" w:ascii="宋体" w:hAnsi="宋体" w:eastAsia="宋体" w:cs="宋体"/>
                <w:b w:val="0"/>
                <w:bCs w:val="0"/>
                <w:color w:val="auto"/>
                <w:sz w:val="21"/>
                <w:szCs w:val="21"/>
                <w:highlight w:val="none"/>
              </w:rPr>
              <w:t>及人员组织</w:t>
            </w:r>
            <w:r>
              <w:rPr>
                <w:rFonts w:hint="eastAsia" w:ascii="宋体" w:hAnsi="宋体" w:eastAsia="宋体" w:cs="宋体"/>
                <w:b w:val="0"/>
                <w:bCs w:val="0"/>
                <w:color w:val="auto"/>
                <w:sz w:val="21"/>
                <w:szCs w:val="21"/>
                <w:highlight w:val="none"/>
                <w:lang w:val="en-US" w:eastAsia="zh-CN"/>
              </w:rPr>
              <w:t>安排等</w:t>
            </w:r>
            <w:r>
              <w:rPr>
                <w:rFonts w:hint="eastAsia" w:ascii="宋体" w:hAnsi="宋体" w:eastAsia="宋体" w:cs="宋体"/>
                <w:b w:val="0"/>
                <w:bCs w:val="0"/>
                <w:color w:val="auto"/>
                <w:kern w:val="0"/>
                <w:sz w:val="21"/>
                <w:szCs w:val="21"/>
                <w:highlight w:val="none"/>
                <w:lang w:eastAsia="zh-CN"/>
              </w:rPr>
              <w:t>阐述满足基本技术要求需要的，得</w:t>
            </w:r>
            <w:r>
              <w:rPr>
                <w:rFonts w:hint="eastAsia" w:ascii="宋体" w:hAnsi="宋体" w:eastAsia="宋体" w:cs="宋体"/>
                <w:b w:val="0"/>
                <w:bCs w:val="0"/>
                <w:color w:val="auto"/>
                <w:kern w:val="0"/>
                <w:sz w:val="21"/>
                <w:szCs w:val="21"/>
                <w:highlight w:val="none"/>
                <w:lang w:val="en-US" w:eastAsia="zh-CN"/>
              </w:rPr>
              <w:t>5</w:t>
            </w:r>
            <w:r>
              <w:rPr>
                <w:rFonts w:hint="eastAsia" w:ascii="宋体" w:hAnsi="宋体" w:eastAsia="宋体" w:cs="宋体"/>
                <w:b w:val="0"/>
                <w:bCs w:val="0"/>
                <w:color w:val="auto"/>
                <w:kern w:val="0"/>
                <w:sz w:val="21"/>
                <w:szCs w:val="21"/>
                <w:highlight w:val="none"/>
                <w:lang w:eastAsia="zh-CN"/>
              </w:rPr>
              <w:t>分。</w:t>
            </w:r>
          </w:p>
          <w:p w14:paraId="51178A94">
            <w:pPr>
              <w:numPr>
                <w:ilvl w:val="0"/>
                <w:numId w:val="0"/>
              </w:numPr>
              <w:spacing w:line="360" w:lineRule="auto"/>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val="en-US" w:eastAsia="zh-CN"/>
              </w:rPr>
              <w:t>4.</w:t>
            </w:r>
            <w:r>
              <w:rPr>
                <w:rFonts w:hint="eastAsia" w:ascii="宋体" w:hAnsi="宋体" w:eastAsia="宋体" w:cs="宋体"/>
                <w:b w:val="0"/>
                <w:bCs w:val="0"/>
                <w:color w:val="auto"/>
                <w:kern w:val="0"/>
                <w:sz w:val="21"/>
                <w:szCs w:val="21"/>
                <w:highlight w:val="none"/>
                <w:lang w:eastAsia="zh-CN"/>
              </w:rPr>
              <w:t>定期保养服务方案</w:t>
            </w:r>
            <w:r>
              <w:rPr>
                <w:rFonts w:hint="eastAsia" w:ascii="宋体" w:hAnsi="宋体" w:eastAsia="宋体" w:cs="宋体"/>
                <w:b w:val="0"/>
                <w:bCs w:val="0"/>
                <w:color w:val="auto"/>
                <w:kern w:val="0"/>
                <w:sz w:val="21"/>
                <w:szCs w:val="21"/>
                <w:highlight w:val="none"/>
                <w:lang w:val="en-US" w:eastAsia="zh-CN"/>
              </w:rPr>
              <w:t>对</w:t>
            </w:r>
            <w:r>
              <w:rPr>
                <w:rFonts w:hint="eastAsia" w:ascii="宋体" w:hAnsi="宋体" w:eastAsia="宋体" w:cs="宋体"/>
                <w:b w:val="0"/>
                <w:bCs w:val="0"/>
                <w:color w:val="auto"/>
                <w:sz w:val="21"/>
                <w:szCs w:val="21"/>
                <w:highlight w:val="none"/>
                <w:lang w:val="en-US" w:eastAsia="zh-CN"/>
              </w:rPr>
              <w:t>保养内容、保养</w:t>
            </w:r>
            <w:r>
              <w:rPr>
                <w:rFonts w:hint="eastAsia" w:ascii="宋体" w:hAnsi="宋体" w:eastAsia="宋体" w:cs="宋体"/>
                <w:b w:val="0"/>
                <w:bCs w:val="0"/>
                <w:color w:val="auto"/>
                <w:sz w:val="21"/>
                <w:szCs w:val="21"/>
                <w:highlight w:val="none"/>
              </w:rPr>
              <w:t>工作流程、</w:t>
            </w:r>
            <w:r>
              <w:rPr>
                <w:rFonts w:hint="eastAsia" w:ascii="宋体" w:hAnsi="宋体" w:eastAsia="宋体" w:cs="宋体"/>
                <w:b w:val="0"/>
                <w:bCs w:val="0"/>
                <w:color w:val="auto"/>
                <w:sz w:val="21"/>
                <w:szCs w:val="21"/>
                <w:highlight w:val="none"/>
                <w:lang w:val="en-US" w:eastAsia="zh-CN"/>
              </w:rPr>
              <w:t>保养时间、保养措施</w:t>
            </w:r>
            <w:r>
              <w:rPr>
                <w:rFonts w:hint="eastAsia" w:ascii="宋体" w:hAnsi="宋体" w:eastAsia="宋体" w:cs="宋体"/>
                <w:b w:val="0"/>
                <w:bCs w:val="0"/>
                <w:color w:val="auto"/>
                <w:sz w:val="21"/>
                <w:szCs w:val="21"/>
                <w:highlight w:val="none"/>
              </w:rPr>
              <w:t>及人员组织</w:t>
            </w:r>
            <w:r>
              <w:rPr>
                <w:rFonts w:hint="eastAsia" w:ascii="宋体" w:hAnsi="宋体" w:eastAsia="宋体" w:cs="宋体"/>
                <w:b w:val="0"/>
                <w:bCs w:val="0"/>
                <w:color w:val="auto"/>
                <w:sz w:val="21"/>
                <w:szCs w:val="21"/>
                <w:highlight w:val="none"/>
                <w:lang w:val="en-US" w:eastAsia="zh-CN"/>
              </w:rPr>
              <w:t>安排等</w:t>
            </w:r>
            <w:r>
              <w:rPr>
                <w:rFonts w:hint="eastAsia" w:ascii="宋体" w:hAnsi="宋体" w:eastAsia="宋体" w:cs="宋体"/>
                <w:b w:val="0"/>
                <w:bCs w:val="0"/>
                <w:color w:val="auto"/>
                <w:kern w:val="0"/>
                <w:sz w:val="21"/>
                <w:szCs w:val="21"/>
                <w:highlight w:val="none"/>
                <w:lang w:eastAsia="zh-CN"/>
              </w:rPr>
              <w:t>阐述</w:t>
            </w:r>
            <w:r>
              <w:rPr>
                <w:rFonts w:hint="eastAsia" w:ascii="宋体" w:hAnsi="宋体" w:eastAsia="宋体" w:cs="宋体"/>
                <w:b w:val="0"/>
                <w:bCs w:val="0"/>
                <w:color w:val="auto"/>
                <w:kern w:val="0"/>
                <w:sz w:val="21"/>
                <w:szCs w:val="21"/>
                <w:highlight w:val="none"/>
                <w:lang w:val="en-US" w:eastAsia="zh-CN"/>
              </w:rPr>
              <w:t>一般</w:t>
            </w:r>
            <w:r>
              <w:rPr>
                <w:rFonts w:hint="eastAsia" w:ascii="宋体" w:hAnsi="宋体" w:eastAsia="宋体" w:cs="宋体"/>
                <w:b w:val="0"/>
                <w:bCs w:val="0"/>
                <w:color w:val="auto"/>
                <w:kern w:val="0"/>
                <w:sz w:val="21"/>
                <w:szCs w:val="21"/>
                <w:highlight w:val="none"/>
                <w:lang w:eastAsia="zh-CN"/>
              </w:rPr>
              <w:t>的，得</w:t>
            </w:r>
            <w:r>
              <w:rPr>
                <w:rFonts w:hint="eastAsia" w:ascii="宋体" w:hAnsi="宋体" w:eastAsia="宋体" w:cs="宋体"/>
                <w:b w:val="0"/>
                <w:bCs w:val="0"/>
                <w:color w:val="auto"/>
                <w:kern w:val="0"/>
                <w:sz w:val="21"/>
                <w:szCs w:val="21"/>
                <w:highlight w:val="none"/>
                <w:lang w:val="en-US" w:eastAsia="zh-CN"/>
              </w:rPr>
              <w:t>3</w:t>
            </w:r>
            <w:r>
              <w:rPr>
                <w:rFonts w:hint="eastAsia" w:ascii="宋体" w:hAnsi="宋体" w:eastAsia="宋体" w:cs="宋体"/>
                <w:b w:val="0"/>
                <w:bCs w:val="0"/>
                <w:color w:val="auto"/>
                <w:kern w:val="0"/>
                <w:sz w:val="21"/>
                <w:szCs w:val="21"/>
                <w:highlight w:val="none"/>
                <w:lang w:eastAsia="zh-CN"/>
              </w:rPr>
              <w:t>分。</w:t>
            </w:r>
          </w:p>
          <w:p w14:paraId="0F273193">
            <w:pPr>
              <w:pStyle w:val="21"/>
              <w:ind w:left="0" w:leftChars="0" w:firstLine="0" w:firstLineChars="0"/>
              <w:jc w:val="both"/>
              <w:rPr>
                <w:rFonts w:hint="eastAsia" w:ascii="宋体" w:hAnsi="宋体" w:eastAsia="宋体" w:cs="宋体"/>
                <w:color w:val="auto"/>
                <w:highlight w:val="none"/>
                <w:lang w:val="en-US" w:eastAsia="zh-CN"/>
              </w:rPr>
            </w:pPr>
            <w:r>
              <w:rPr>
                <w:rFonts w:hint="eastAsia" w:ascii="宋体" w:hAnsi="宋体" w:eastAsia="宋体" w:cs="宋体"/>
                <w:b/>
                <w:color w:val="auto"/>
                <w:sz w:val="21"/>
                <w:szCs w:val="21"/>
                <w:highlight w:val="none"/>
              </w:rPr>
              <w:t>如缺项，该小项得</w:t>
            </w:r>
            <w:r>
              <w:rPr>
                <w:rFonts w:hint="eastAsia" w:ascii="宋体" w:hAnsi="宋体" w:eastAsia="宋体" w:cs="宋体"/>
                <w:b/>
                <w:color w:val="auto"/>
                <w:sz w:val="21"/>
                <w:szCs w:val="21"/>
                <w:highlight w:val="none"/>
                <w:lang w:val="en-US" w:eastAsia="zh-CN"/>
              </w:rPr>
              <w:t>0</w:t>
            </w:r>
            <w:r>
              <w:rPr>
                <w:rFonts w:hint="eastAsia" w:ascii="宋体" w:hAnsi="宋体" w:eastAsia="宋体" w:cs="宋体"/>
                <w:b/>
                <w:color w:val="auto"/>
                <w:sz w:val="21"/>
                <w:szCs w:val="21"/>
                <w:highlight w:val="none"/>
              </w:rPr>
              <w:t>分</w:t>
            </w:r>
          </w:p>
        </w:tc>
      </w:tr>
      <w:tr w14:paraId="06637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25" w:type="dxa"/>
            <w:vMerge w:val="continue"/>
            <w:noWrap w:val="0"/>
            <w:vAlign w:val="center"/>
          </w:tcPr>
          <w:p w14:paraId="494CF2CD">
            <w:pPr>
              <w:widowControl/>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1D2FFB03">
            <w:pPr>
              <w:widowControl/>
              <w:jc w:val="center"/>
              <w:rPr>
                <w:rFonts w:hint="eastAsia" w:ascii="宋体" w:hAnsi="宋体" w:eastAsia="宋体" w:cs="宋体"/>
                <w:b/>
                <w:color w:val="auto"/>
                <w:sz w:val="21"/>
                <w:szCs w:val="21"/>
                <w:highlight w:val="none"/>
              </w:rPr>
            </w:pPr>
          </w:p>
        </w:tc>
        <w:tc>
          <w:tcPr>
            <w:tcW w:w="1984" w:type="dxa"/>
            <w:noWrap w:val="0"/>
            <w:vAlign w:val="center"/>
          </w:tcPr>
          <w:p w14:paraId="1969C34C">
            <w:pPr>
              <w:pStyle w:val="7"/>
              <w:ind w:left="63" w:right="63"/>
              <w:jc w:val="both"/>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kern w:val="2"/>
                <w:sz w:val="21"/>
                <w:szCs w:val="21"/>
                <w:highlight w:val="none"/>
                <w:lang w:val="en-US" w:eastAsia="zh-CN" w:bidi="ar-SA"/>
              </w:rPr>
              <w:t>设备常见故障分析及预防措施</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5670" w:type="dxa"/>
            <w:noWrap w:val="0"/>
            <w:vAlign w:val="center"/>
          </w:tcPr>
          <w:p w14:paraId="08DCF3E6">
            <w:pPr>
              <w:numPr>
                <w:ilvl w:val="0"/>
                <w:numId w:val="0"/>
              </w:numPr>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设备设备常见故障包括分析科学合理性、处理方法正确性、预防措施得当</w:t>
            </w:r>
            <w:r>
              <w:rPr>
                <w:rFonts w:hint="eastAsia" w:ascii="宋体" w:hAnsi="宋体" w:eastAsia="宋体" w:cs="宋体"/>
                <w:b w:val="0"/>
                <w:bCs w:val="0"/>
                <w:color w:val="auto"/>
                <w:sz w:val="21"/>
                <w:szCs w:val="21"/>
                <w:highlight w:val="none"/>
                <w:lang w:val="en-US" w:eastAsia="zh-CN"/>
              </w:rPr>
              <w:t>等</w:t>
            </w:r>
            <w:r>
              <w:rPr>
                <w:rFonts w:hint="eastAsia" w:ascii="宋体" w:hAnsi="宋体" w:eastAsia="宋体" w:cs="宋体"/>
                <w:b w:val="0"/>
                <w:bCs w:val="0"/>
                <w:color w:val="auto"/>
                <w:sz w:val="21"/>
                <w:szCs w:val="21"/>
                <w:highlight w:val="none"/>
              </w:rPr>
              <w:t>详细阐述。</w:t>
            </w:r>
          </w:p>
          <w:p w14:paraId="29A0F44C">
            <w:pPr>
              <w:numPr>
                <w:ilvl w:val="0"/>
                <w:numId w:val="0"/>
              </w:numPr>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1.故障分析全面详尽，预防措施非常科学合理、可行，完全满足采购需求的，得8分。</w:t>
            </w:r>
          </w:p>
          <w:p w14:paraId="38ADFA58">
            <w:pPr>
              <w:numPr>
                <w:ilvl w:val="0"/>
                <w:numId w:val="0"/>
              </w:numPr>
              <w:spacing w:line="360" w:lineRule="auto"/>
              <w:ind w:left="0" w:leftChars="0" w:firstLine="0" w:firstLineChars="0"/>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2.故障分析全面详尽，预防措施科学合理、可行，完全满足采购需求的，得7分。</w:t>
            </w:r>
          </w:p>
          <w:p w14:paraId="47E66FCD">
            <w:pPr>
              <w:numPr>
                <w:ilvl w:val="0"/>
                <w:numId w:val="0"/>
              </w:numPr>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3.故障分析全不太全面，预防措施科学合理、可行一般，基本满足采购需求，得5分。</w:t>
            </w:r>
          </w:p>
          <w:p w14:paraId="49909615">
            <w:pPr>
              <w:numPr>
                <w:ilvl w:val="0"/>
                <w:numId w:val="0"/>
              </w:numPr>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4.故障分析不全面，预防措施一般的，得3 分。</w:t>
            </w:r>
          </w:p>
          <w:p w14:paraId="6AA03C5F">
            <w:pPr>
              <w:pStyle w:val="21"/>
              <w:ind w:left="0" w:leftChars="0" w:firstLine="0" w:firstLineChars="0"/>
              <w:jc w:val="both"/>
              <w:rPr>
                <w:rFonts w:hint="eastAsia" w:ascii="宋体" w:hAnsi="宋体" w:eastAsia="宋体" w:cs="宋体"/>
                <w:color w:val="auto"/>
                <w:highlight w:val="none"/>
                <w:lang w:val="en-US" w:eastAsia="zh-CN"/>
              </w:rPr>
            </w:pPr>
            <w:r>
              <w:rPr>
                <w:rFonts w:hint="eastAsia" w:ascii="宋体" w:hAnsi="宋体" w:eastAsia="宋体" w:cs="宋体"/>
                <w:b/>
                <w:color w:val="auto"/>
                <w:sz w:val="21"/>
                <w:szCs w:val="21"/>
                <w:highlight w:val="none"/>
              </w:rPr>
              <w:t>如缺项，该小项得</w:t>
            </w:r>
            <w:r>
              <w:rPr>
                <w:rFonts w:hint="eastAsia" w:ascii="宋体" w:hAnsi="宋体" w:eastAsia="宋体" w:cs="宋体"/>
                <w:b/>
                <w:color w:val="auto"/>
                <w:sz w:val="21"/>
                <w:szCs w:val="21"/>
                <w:highlight w:val="none"/>
                <w:lang w:val="en-US" w:eastAsia="zh-CN"/>
              </w:rPr>
              <w:t>0</w:t>
            </w:r>
            <w:r>
              <w:rPr>
                <w:rFonts w:hint="eastAsia" w:ascii="宋体" w:hAnsi="宋体" w:eastAsia="宋体" w:cs="宋体"/>
                <w:b/>
                <w:color w:val="auto"/>
                <w:sz w:val="21"/>
                <w:szCs w:val="21"/>
                <w:highlight w:val="none"/>
              </w:rPr>
              <w:t>分</w:t>
            </w:r>
          </w:p>
        </w:tc>
      </w:tr>
      <w:tr w14:paraId="64326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25" w:type="dxa"/>
            <w:vMerge w:val="continue"/>
            <w:noWrap w:val="0"/>
            <w:vAlign w:val="center"/>
          </w:tcPr>
          <w:p w14:paraId="6482B456">
            <w:pPr>
              <w:widowControl/>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0B1A76CB">
            <w:pPr>
              <w:widowControl/>
              <w:jc w:val="center"/>
              <w:rPr>
                <w:rFonts w:hint="eastAsia" w:ascii="宋体" w:hAnsi="宋体" w:eastAsia="宋体" w:cs="宋体"/>
                <w:b/>
                <w:color w:val="auto"/>
                <w:sz w:val="21"/>
                <w:szCs w:val="21"/>
                <w:highlight w:val="none"/>
              </w:rPr>
            </w:pPr>
          </w:p>
        </w:tc>
        <w:tc>
          <w:tcPr>
            <w:tcW w:w="1984" w:type="dxa"/>
            <w:noWrap w:val="0"/>
            <w:vAlign w:val="center"/>
          </w:tcPr>
          <w:p w14:paraId="54C89B9C">
            <w:pPr>
              <w:pStyle w:val="7"/>
              <w:ind w:left="63" w:right="63"/>
              <w:jc w:val="both"/>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0"/>
                <w:sz w:val="21"/>
                <w:szCs w:val="21"/>
                <w:highlight w:val="none"/>
              </w:rPr>
              <w:t>设备维保应急响应方案</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5670" w:type="dxa"/>
            <w:noWrap w:val="0"/>
            <w:vAlign w:val="center"/>
          </w:tcPr>
          <w:p w14:paraId="77BF6A4F">
            <w:pPr>
              <w:numPr>
                <w:ilvl w:val="0"/>
                <w:numId w:val="0"/>
              </w:numPr>
              <w:spacing w:line="360" w:lineRule="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0"/>
                <w:sz w:val="21"/>
                <w:szCs w:val="21"/>
                <w:highlight w:val="none"/>
              </w:rPr>
              <w:t>设备维保应急响应方案</w:t>
            </w:r>
            <w:r>
              <w:rPr>
                <w:rFonts w:hint="eastAsia" w:ascii="宋体" w:hAnsi="宋体" w:eastAsia="宋体" w:cs="宋体"/>
                <w:b w:val="0"/>
                <w:bCs w:val="0"/>
                <w:color w:val="auto"/>
                <w:kern w:val="0"/>
                <w:sz w:val="21"/>
                <w:szCs w:val="21"/>
                <w:highlight w:val="none"/>
                <w:lang w:val="en-US" w:eastAsia="zh-CN"/>
              </w:rPr>
              <w:t>包括方案全面性、</w:t>
            </w:r>
            <w:r>
              <w:rPr>
                <w:rFonts w:hint="eastAsia" w:ascii="宋体" w:hAnsi="宋体" w:eastAsia="宋体" w:cs="宋体"/>
                <w:b w:val="0"/>
                <w:bCs w:val="0"/>
                <w:color w:val="auto"/>
                <w:kern w:val="0"/>
                <w:sz w:val="21"/>
                <w:szCs w:val="21"/>
                <w:highlight w:val="none"/>
                <w:lang w:eastAsia="zh-CN"/>
              </w:rPr>
              <w:t>应急处理流程</w:t>
            </w:r>
            <w:r>
              <w:rPr>
                <w:rFonts w:hint="eastAsia" w:ascii="宋体" w:hAnsi="宋体" w:eastAsia="宋体" w:cs="宋体"/>
                <w:b w:val="0"/>
                <w:bCs w:val="0"/>
                <w:color w:val="auto"/>
                <w:kern w:val="0"/>
                <w:sz w:val="21"/>
                <w:szCs w:val="21"/>
                <w:highlight w:val="none"/>
                <w:lang w:val="en-US" w:eastAsia="zh-CN"/>
              </w:rPr>
              <w:t>正确性、</w:t>
            </w:r>
            <w:r>
              <w:rPr>
                <w:rFonts w:hint="eastAsia" w:ascii="宋体" w:hAnsi="宋体" w:eastAsia="宋体" w:cs="宋体"/>
                <w:b w:val="0"/>
                <w:bCs w:val="0"/>
                <w:color w:val="auto"/>
                <w:kern w:val="0"/>
                <w:sz w:val="21"/>
                <w:szCs w:val="21"/>
                <w:highlight w:val="none"/>
                <w:lang w:eastAsia="zh-CN"/>
              </w:rPr>
              <w:t>处置方法</w:t>
            </w:r>
            <w:r>
              <w:rPr>
                <w:rFonts w:hint="eastAsia" w:ascii="宋体" w:hAnsi="宋体" w:eastAsia="宋体" w:cs="宋体"/>
                <w:b w:val="0"/>
                <w:bCs w:val="0"/>
                <w:color w:val="auto"/>
                <w:kern w:val="0"/>
                <w:sz w:val="21"/>
                <w:szCs w:val="21"/>
                <w:highlight w:val="none"/>
                <w:lang w:val="en-US" w:eastAsia="zh-CN"/>
              </w:rPr>
              <w:t>科学合理性</w:t>
            </w:r>
            <w:r>
              <w:rPr>
                <w:rFonts w:hint="eastAsia" w:ascii="宋体" w:hAnsi="宋体" w:eastAsia="宋体" w:cs="宋体"/>
                <w:b w:val="0"/>
                <w:bCs w:val="0"/>
                <w:color w:val="auto"/>
                <w:sz w:val="21"/>
                <w:szCs w:val="21"/>
                <w:highlight w:val="none"/>
                <w:lang w:val="en-US" w:eastAsia="zh-CN"/>
              </w:rPr>
              <w:t>等</w:t>
            </w:r>
            <w:r>
              <w:rPr>
                <w:rFonts w:hint="eastAsia" w:ascii="宋体" w:hAnsi="宋体" w:eastAsia="宋体" w:cs="宋体"/>
                <w:b w:val="0"/>
                <w:bCs w:val="0"/>
                <w:color w:val="auto"/>
                <w:sz w:val="21"/>
                <w:szCs w:val="21"/>
                <w:highlight w:val="none"/>
              </w:rPr>
              <w:t>详细阐述。</w:t>
            </w:r>
          </w:p>
          <w:p w14:paraId="6912C178">
            <w:pPr>
              <w:numPr>
                <w:ilvl w:val="0"/>
                <w:numId w:val="0"/>
              </w:numPr>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1.</w:t>
            </w:r>
            <w:r>
              <w:rPr>
                <w:rFonts w:hint="eastAsia" w:ascii="宋体" w:hAnsi="宋体" w:eastAsia="宋体" w:cs="宋体"/>
                <w:b w:val="0"/>
                <w:bCs w:val="0"/>
                <w:color w:val="auto"/>
                <w:kern w:val="0"/>
                <w:sz w:val="21"/>
                <w:szCs w:val="21"/>
                <w:highlight w:val="none"/>
                <w:lang w:eastAsia="zh-CN"/>
              </w:rPr>
              <w:t>应急响应方案</w:t>
            </w:r>
            <w:r>
              <w:rPr>
                <w:rFonts w:hint="eastAsia" w:ascii="宋体" w:hAnsi="宋体" w:eastAsia="宋体" w:cs="宋体"/>
                <w:b w:val="0"/>
                <w:bCs w:val="0"/>
                <w:color w:val="auto"/>
                <w:kern w:val="0"/>
                <w:sz w:val="21"/>
                <w:szCs w:val="21"/>
                <w:highlight w:val="none"/>
                <w:lang w:val="en-US" w:eastAsia="zh-CN"/>
              </w:rPr>
              <w:t>非常</w:t>
            </w:r>
            <w:r>
              <w:rPr>
                <w:rFonts w:hint="eastAsia" w:ascii="宋体" w:hAnsi="宋体" w:eastAsia="宋体" w:cs="宋体"/>
                <w:b w:val="0"/>
                <w:bCs w:val="0"/>
                <w:color w:val="auto"/>
                <w:kern w:val="0"/>
                <w:sz w:val="21"/>
                <w:szCs w:val="21"/>
                <w:highlight w:val="none"/>
                <w:lang w:eastAsia="zh-CN"/>
              </w:rPr>
              <w:t>全面详尽，应急处理流程、处置方法</w:t>
            </w:r>
            <w:r>
              <w:rPr>
                <w:rFonts w:hint="eastAsia" w:ascii="宋体" w:hAnsi="宋体" w:eastAsia="宋体" w:cs="宋体"/>
                <w:b w:val="0"/>
                <w:bCs w:val="0"/>
                <w:color w:val="auto"/>
                <w:kern w:val="0"/>
                <w:sz w:val="21"/>
                <w:szCs w:val="21"/>
                <w:highlight w:val="none"/>
                <w:lang w:val="en-US" w:eastAsia="zh-CN"/>
              </w:rPr>
              <w:t>非常</w:t>
            </w:r>
            <w:r>
              <w:rPr>
                <w:rFonts w:hint="eastAsia" w:ascii="宋体" w:hAnsi="宋体" w:eastAsia="宋体" w:cs="宋体"/>
                <w:b w:val="0"/>
                <w:bCs w:val="0"/>
                <w:color w:val="auto"/>
                <w:kern w:val="0"/>
                <w:sz w:val="21"/>
                <w:szCs w:val="21"/>
                <w:highlight w:val="none"/>
                <w:lang w:eastAsia="zh-CN"/>
              </w:rPr>
              <w:t>科学合理、可行的，得</w:t>
            </w:r>
            <w:r>
              <w:rPr>
                <w:rFonts w:hint="eastAsia" w:ascii="宋体" w:hAnsi="宋体" w:eastAsia="宋体" w:cs="宋体"/>
                <w:b w:val="0"/>
                <w:bCs w:val="0"/>
                <w:color w:val="auto"/>
                <w:kern w:val="0"/>
                <w:sz w:val="21"/>
                <w:szCs w:val="21"/>
                <w:highlight w:val="none"/>
                <w:lang w:val="en-US" w:eastAsia="zh-CN"/>
              </w:rPr>
              <w:t>8</w:t>
            </w:r>
            <w:r>
              <w:rPr>
                <w:rFonts w:hint="eastAsia" w:ascii="宋体" w:hAnsi="宋体" w:eastAsia="宋体" w:cs="宋体"/>
                <w:b w:val="0"/>
                <w:bCs w:val="0"/>
                <w:color w:val="auto"/>
                <w:kern w:val="0"/>
                <w:sz w:val="21"/>
                <w:szCs w:val="21"/>
                <w:highlight w:val="none"/>
                <w:lang w:eastAsia="zh-CN"/>
              </w:rPr>
              <w:t>分。</w:t>
            </w:r>
          </w:p>
          <w:p w14:paraId="317E760F">
            <w:pPr>
              <w:numPr>
                <w:ilvl w:val="0"/>
                <w:numId w:val="0"/>
              </w:numPr>
              <w:spacing w:line="360" w:lineRule="auto"/>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2"/>
                <w:sz w:val="21"/>
                <w:szCs w:val="21"/>
                <w:highlight w:val="none"/>
                <w:lang w:val="en-US" w:eastAsia="zh-CN" w:bidi="ar-SA"/>
              </w:rPr>
              <w:t>2.</w:t>
            </w:r>
            <w:r>
              <w:rPr>
                <w:rFonts w:hint="eastAsia" w:ascii="宋体" w:hAnsi="宋体" w:eastAsia="宋体" w:cs="宋体"/>
                <w:b w:val="0"/>
                <w:bCs w:val="0"/>
                <w:color w:val="auto"/>
                <w:kern w:val="0"/>
                <w:sz w:val="21"/>
                <w:szCs w:val="21"/>
                <w:highlight w:val="none"/>
                <w:lang w:eastAsia="zh-CN"/>
              </w:rPr>
              <w:t>应急响应方案全面详尽，应急处理流程、处置方法科学合理、可行的，得</w:t>
            </w:r>
            <w:r>
              <w:rPr>
                <w:rFonts w:hint="eastAsia" w:ascii="宋体" w:hAnsi="宋体" w:eastAsia="宋体" w:cs="宋体"/>
                <w:b w:val="0"/>
                <w:bCs w:val="0"/>
                <w:color w:val="auto"/>
                <w:kern w:val="0"/>
                <w:sz w:val="21"/>
                <w:szCs w:val="21"/>
                <w:highlight w:val="none"/>
                <w:lang w:val="en-US" w:eastAsia="zh-CN"/>
              </w:rPr>
              <w:t>7</w:t>
            </w:r>
            <w:r>
              <w:rPr>
                <w:rFonts w:hint="eastAsia" w:ascii="宋体" w:hAnsi="宋体" w:eastAsia="宋体" w:cs="宋体"/>
                <w:b w:val="0"/>
                <w:bCs w:val="0"/>
                <w:color w:val="auto"/>
                <w:kern w:val="0"/>
                <w:sz w:val="21"/>
                <w:szCs w:val="21"/>
                <w:highlight w:val="none"/>
                <w:lang w:eastAsia="zh-CN"/>
              </w:rPr>
              <w:t>分。</w:t>
            </w:r>
          </w:p>
          <w:p w14:paraId="21BCAC5E">
            <w:pPr>
              <w:numPr>
                <w:ilvl w:val="0"/>
                <w:numId w:val="0"/>
              </w:numPr>
              <w:spacing w:line="360" w:lineRule="auto"/>
              <w:rPr>
                <w:rFonts w:hint="eastAsia" w:ascii="宋体" w:hAnsi="宋体" w:eastAsia="宋体" w:cs="宋体"/>
                <w:b w:val="0"/>
                <w:bCs w:val="0"/>
                <w:color w:val="auto"/>
                <w:kern w:val="0"/>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rPr>
              <w:t>3.</w:t>
            </w:r>
            <w:r>
              <w:rPr>
                <w:rFonts w:hint="eastAsia" w:ascii="宋体" w:hAnsi="宋体" w:eastAsia="宋体" w:cs="宋体"/>
                <w:b w:val="0"/>
                <w:bCs w:val="0"/>
                <w:color w:val="auto"/>
                <w:kern w:val="0"/>
                <w:sz w:val="21"/>
                <w:szCs w:val="21"/>
                <w:highlight w:val="none"/>
                <w:lang w:eastAsia="zh-CN"/>
              </w:rPr>
              <w:t xml:space="preserve">急响应方案不全面，应急处理流程、处置方法基本合理可行的，得 </w:t>
            </w:r>
            <w:r>
              <w:rPr>
                <w:rFonts w:hint="eastAsia" w:ascii="宋体" w:hAnsi="宋体" w:eastAsia="宋体" w:cs="宋体"/>
                <w:b w:val="0"/>
                <w:bCs w:val="0"/>
                <w:color w:val="auto"/>
                <w:kern w:val="0"/>
                <w:sz w:val="21"/>
                <w:szCs w:val="21"/>
                <w:highlight w:val="none"/>
                <w:lang w:val="en-US" w:eastAsia="zh-CN"/>
              </w:rPr>
              <w:t>5</w:t>
            </w:r>
            <w:r>
              <w:rPr>
                <w:rFonts w:hint="eastAsia" w:ascii="宋体" w:hAnsi="宋体" w:eastAsia="宋体" w:cs="宋体"/>
                <w:b w:val="0"/>
                <w:bCs w:val="0"/>
                <w:color w:val="auto"/>
                <w:kern w:val="0"/>
                <w:sz w:val="21"/>
                <w:szCs w:val="21"/>
                <w:highlight w:val="none"/>
                <w:lang w:eastAsia="zh-CN"/>
              </w:rPr>
              <w:t>分。</w:t>
            </w:r>
          </w:p>
          <w:p w14:paraId="6EADC62B">
            <w:pPr>
              <w:numPr>
                <w:ilvl w:val="0"/>
                <w:numId w:val="0"/>
              </w:numPr>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rPr>
              <w:t>4.</w:t>
            </w:r>
            <w:r>
              <w:rPr>
                <w:rFonts w:hint="eastAsia" w:ascii="宋体" w:hAnsi="宋体" w:eastAsia="宋体" w:cs="宋体"/>
                <w:b w:val="0"/>
                <w:bCs w:val="0"/>
                <w:color w:val="auto"/>
                <w:kern w:val="0"/>
                <w:sz w:val="21"/>
                <w:szCs w:val="21"/>
                <w:highlight w:val="none"/>
                <w:lang w:eastAsia="zh-CN"/>
              </w:rPr>
              <w:t>有设备维保应急响应方案的，得</w:t>
            </w:r>
            <w:r>
              <w:rPr>
                <w:rFonts w:hint="eastAsia" w:ascii="宋体" w:hAnsi="宋体" w:eastAsia="宋体" w:cs="宋体"/>
                <w:b w:val="0"/>
                <w:bCs w:val="0"/>
                <w:color w:val="auto"/>
                <w:kern w:val="0"/>
                <w:sz w:val="21"/>
                <w:szCs w:val="21"/>
                <w:highlight w:val="none"/>
                <w:lang w:val="en-US" w:eastAsia="zh-CN"/>
              </w:rPr>
              <w:t>3</w:t>
            </w:r>
            <w:r>
              <w:rPr>
                <w:rFonts w:hint="eastAsia" w:ascii="宋体" w:hAnsi="宋体" w:eastAsia="宋体" w:cs="宋体"/>
                <w:b w:val="0"/>
                <w:bCs w:val="0"/>
                <w:color w:val="auto"/>
                <w:kern w:val="0"/>
                <w:sz w:val="21"/>
                <w:szCs w:val="21"/>
                <w:highlight w:val="none"/>
                <w:lang w:eastAsia="zh-CN"/>
              </w:rPr>
              <w:t>分。</w:t>
            </w:r>
            <w:r>
              <w:rPr>
                <w:rFonts w:hint="eastAsia" w:ascii="宋体" w:hAnsi="宋体" w:eastAsia="宋体" w:cs="宋体"/>
                <w:b w:val="0"/>
                <w:bCs w:val="0"/>
                <w:color w:val="auto"/>
                <w:kern w:val="0"/>
                <w:sz w:val="21"/>
                <w:szCs w:val="21"/>
                <w:highlight w:val="none"/>
                <w:lang w:eastAsia="zh-CN"/>
              </w:rPr>
              <w:br w:type="textWrapping"/>
            </w:r>
            <w:r>
              <w:rPr>
                <w:rFonts w:hint="eastAsia" w:ascii="宋体" w:hAnsi="宋体" w:eastAsia="宋体" w:cs="宋体"/>
                <w:b/>
                <w:color w:val="auto"/>
                <w:sz w:val="21"/>
                <w:szCs w:val="21"/>
                <w:highlight w:val="none"/>
              </w:rPr>
              <w:t>如缺项，该小项得</w:t>
            </w:r>
            <w:r>
              <w:rPr>
                <w:rFonts w:hint="eastAsia" w:ascii="宋体" w:hAnsi="宋体" w:eastAsia="宋体" w:cs="宋体"/>
                <w:b/>
                <w:color w:val="auto"/>
                <w:sz w:val="21"/>
                <w:szCs w:val="21"/>
                <w:highlight w:val="none"/>
                <w:lang w:val="en-US" w:eastAsia="zh-CN"/>
              </w:rPr>
              <w:t>0</w:t>
            </w:r>
            <w:r>
              <w:rPr>
                <w:rFonts w:hint="eastAsia" w:ascii="宋体" w:hAnsi="宋体" w:eastAsia="宋体" w:cs="宋体"/>
                <w:b/>
                <w:color w:val="auto"/>
                <w:sz w:val="21"/>
                <w:szCs w:val="21"/>
                <w:highlight w:val="none"/>
              </w:rPr>
              <w:t>分</w:t>
            </w:r>
          </w:p>
        </w:tc>
      </w:tr>
      <w:tr w14:paraId="07DEF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25" w:type="dxa"/>
            <w:vMerge w:val="continue"/>
            <w:noWrap w:val="0"/>
            <w:vAlign w:val="center"/>
          </w:tcPr>
          <w:p w14:paraId="211C9617">
            <w:pPr>
              <w:widowControl/>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699AB87D">
            <w:pPr>
              <w:widowControl/>
              <w:jc w:val="center"/>
              <w:rPr>
                <w:rFonts w:hint="eastAsia" w:ascii="宋体" w:hAnsi="宋体" w:eastAsia="宋体" w:cs="宋体"/>
                <w:b/>
                <w:color w:val="auto"/>
                <w:sz w:val="21"/>
                <w:szCs w:val="21"/>
                <w:highlight w:val="none"/>
              </w:rPr>
            </w:pPr>
          </w:p>
        </w:tc>
        <w:tc>
          <w:tcPr>
            <w:tcW w:w="1984" w:type="dxa"/>
            <w:noWrap w:val="0"/>
            <w:vAlign w:val="center"/>
          </w:tcPr>
          <w:p w14:paraId="4F630A54">
            <w:pPr>
              <w:pStyle w:val="7"/>
              <w:ind w:left="63" w:right="63"/>
              <w:jc w:val="both"/>
              <w:rPr>
                <w:rFonts w:hint="eastAsia" w:ascii="宋体" w:hAnsi="宋体" w:eastAsia="宋体" w:cs="宋体"/>
                <w:b w:val="0"/>
                <w:bCs w:val="0"/>
                <w:color w:val="auto"/>
                <w:kern w:val="0"/>
                <w:sz w:val="21"/>
                <w:szCs w:val="21"/>
                <w:highlight w:val="none"/>
              </w:rPr>
            </w:pPr>
            <w:r>
              <w:rPr>
                <w:rFonts w:hint="eastAsia" w:ascii="宋体" w:hAnsi="宋体" w:eastAsia="宋体" w:cs="宋体"/>
                <w:b w:val="0"/>
                <w:bCs w:val="0"/>
                <w:color w:val="auto"/>
                <w:kern w:val="0"/>
                <w:sz w:val="21"/>
                <w:szCs w:val="21"/>
                <w:highlight w:val="none"/>
              </w:rPr>
              <w:t>设备维保巡检服务</w:t>
            </w:r>
            <w:r>
              <w:rPr>
                <w:rFonts w:hint="eastAsia" w:ascii="宋体" w:hAnsi="宋体" w:eastAsia="宋体" w:cs="宋体"/>
                <w:b w:val="0"/>
                <w:bCs w:val="0"/>
                <w:color w:val="auto"/>
                <w:kern w:val="0"/>
                <w:sz w:val="21"/>
                <w:szCs w:val="21"/>
                <w:highlight w:val="none"/>
                <w:lang w:val="en-US" w:eastAsia="zh-CN"/>
              </w:rPr>
              <w:t>方</w:t>
            </w:r>
            <w:r>
              <w:rPr>
                <w:rFonts w:hint="eastAsia" w:ascii="宋体" w:hAnsi="宋体" w:eastAsia="宋体" w:cs="宋体"/>
                <w:b w:val="0"/>
                <w:bCs w:val="0"/>
                <w:color w:val="auto"/>
                <w:kern w:val="0"/>
                <w:sz w:val="21"/>
                <w:szCs w:val="21"/>
                <w:highlight w:val="none"/>
              </w:rPr>
              <w:t>案</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分）</w:t>
            </w:r>
          </w:p>
        </w:tc>
        <w:tc>
          <w:tcPr>
            <w:tcW w:w="5670" w:type="dxa"/>
            <w:noWrap w:val="0"/>
            <w:vAlign w:val="center"/>
          </w:tcPr>
          <w:p w14:paraId="022AEF37">
            <w:pPr>
              <w:spacing w:line="360" w:lineRule="auto"/>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eastAsia="zh-CN"/>
              </w:rPr>
              <w:t>设备维保巡检服务预案应包含设备的安全检查、运行状态检查、影像质量检查</w:t>
            </w:r>
            <w:r>
              <w:rPr>
                <w:rFonts w:hint="eastAsia" w:ascii="宋体" w:hAnsi="宋体" w:eastAsia="宋体" w:cs="宋体"/>
                <w:b w:val="0"/>
                <w:bCs w:val="0"/>
                <w:color w:val="auto"/>
                <w:sz w:val="21"/>
                <w:szCs w:val="21"/>
                <w:highlight w:val="none"/>
                <w:lang w:val="en-US" w:eastAsia="zh-CN"/>
              </w:rPr>
              <w:t>等方案</w:t>
            </w:r>
            <w:r>
              <w:rPr>
                <w:rFonts w:hint="eastAsia" w:ascii="宋体" w:hAnsi="宋体" w:eastAsia="宋体" w:cs="宋体"/>
                <w:b w:val="0"/>
                <w:bCs w:val="0"/>
                <w:color w:val="auto"/>
                <w:sz w:val="21"/>
                <w:szCs w:val="21"/>
                <w:highlight w:val="none"/>
              </w:rPr>
              <w:t>详细阐述。</w:t>
            </w:r>
          </w:p>
          <w:p w14:paraId="1B3B4724">
            <w:pPr>
              <w:numPr>
                <w:ilvl w:val="0"/>
                <w:numId w:val="0"/>
              </w:numPr>
              <w:spacing w:line="360" w:lineRule="auto"/>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val="en-US" w:eastAsia="zh-CN" w:bidi="ar-SA"/>
              </w:rPr>
              <w:t>1.</w:t>
            </w:r>
            <w:r>
              <w:rPr>
                <w:rFonts w:hint="eastAsia" w:ascii="宋体" w:hAnsi="宋体" w:eastAsia="宋体" w:cs="宋体"/>
                <w:b w:val="0"/>
                <w:bCs w:val="0"/>
                <w:color w:val="auto"/>
                <w:kern w:val="0"/>
                <w:sz w:val="21"/>
                <w:szCs w:val="21"/>
                <w:highlight w:val="none"/>
                <w:lang w:eastAsia="zh-CN"/>
              </w:rPr>
              <w:t>设备维保巡检服务全面详尽、符合项目特点，完全满足采购需求的，得</w:t>
            </w:r>
            <w:r>
              <w:rPr>
                <w:rFonts w:hint="eastAsia" w:ascii="宋体" w:hAnsi="宋体" w:eastAsia="宋体" w:cs="宋体"/>
                <w:b w:val="0"/>
                <w:bCs w:val="0"/>
                <w:color w:val="auto"/>
                <w:kern w:val="0"/>
                <w:sz w:val="21"/>
                <w:szCs w:val="21"/>
                <w:highlight w:val="none"/>
                <w:lang w:val="en-US" w:eastAsia="zh-CN"/>
              </w:rPr>
              <w:t>8</w:t>
            </w:r>
            <w:r>
              <w:rPr>
                <w:rFonts w:hint="eastAsia" w:ascii="宋体" w:hAnsi="宋体" w:eastAsia="宋体" w:cs="宋体"/>
                <w:b w:val="0"/>
                <w:bCs w:val="0"/>
                <w:color w:val="auto"/>
                <w:kern w:val="0"/>
                <w:sz w:val="21"/>
                <w:szCs w:val="21"/>
                <w:highlight w:val="none"/>
                <w:lang w:eastAsia="zh-CN"/>
              </w:rPr>
              <w:t>分。</w:t>
            </w:r>
          </w:p>
          <w:p w14:paraId="16081C0D">
            <w:pPr>
              <w:numPr>
                <w:ilvl w:val="0"/>
                <w:numId w:val="0"/>
              </w:numPr>
              <w:spacing w:line="360" w:lineRule="auto"/>
              <w:rPr>
                <w:rFonts w:hint="eastAsia" w:ascii="宋体" w:hAnsi="宋体" w:eastAsia="宋体" w:cs="宋体"/>
                <w:b w:val="0"/>
                <w:bCs w:val="0"/>
                <w:color w:val="auto"/>
                <w:kern w:val="2"/>
                <w:sz w:val="21"/>
                <w:szCs w:val="21"/>
                <w:highlight w:val="none"/>
                <w:lang w:val="en-US" w:eastAsia="zh-CN" w:bidi="ar-SA"/>
              </w:rPr>
            </w:pPr>
            <w:r>
              <w:rPr>
                <w:rFonts w:hint="eastAsia" w:ascii="宋体" w:hAnsi="宋体" w:eastAsia="宋体" w:cs="宋体"/>
                <w:b w:val="0"/>
                <w:bCs w:val="0"/>
                <w:color w:val="auto"/>
                <w:kern w:val="0"/>
                <w:sz w:val="21"/>
                <w:szCs w:val="21"/>
                <w:highlight w:val="none"/>
                <w:lang w:val="en-US" w:eastAsia="zh-CN"/>
              </w:rPr>
              <w:t>2.</w:t>
            </w:r>
            <w:r>
              <w:rPr>
                <w:rFonts w:hint="eastAsia" w:ascii="宋体" w:hAnsi="宋体" w:eastAsia="宋体" w:cs="宋体"/>
                <w:b w:val="0"/>
                <w:bCs w:val="0"/>
                <w:color w:val="auto"/>
                <w:kern w:val="0"/>
                <w:sz w:val="21"/>
                <w:szCs w:val="21"/>
                <w:highlight w:val="none"/>
                <w:lang w:eastAsia="zh-CN"/>
              </w:rPr>
              <w:t>设备维保巡检服务全面详尽、符合项目特点，</w:t>
            </w:r>
            <w:r>
              <w:rPr>
                <w:rFonts w:hint="eastAsia" w:ascii="宋体" w:hAnsi="宋体" w:eastAsia="宋体" w:cs="宋体"/>
                <w:b w:val="0"/>
                <w:bCs w:val="0"/>
                <w:color w:val="auto"/>
                <w:kern w:val="0"/>
                <w:sz w:val="21"/>
                <w:szCs w:val="21"/>
                <w:highlight w:val="none"/>
                <w:lang w:val="en-US" w:eastAsia="zh-CN"/>
              </w:rPr>
              <w:t>能</w:t>
            </w:r>
            <w:r>
              <w:rPr>
                <w:rFonts w:hint="eastAsia" w:ascii="宋体" w:hAnsi="宋体" w:eastAsia="宋体" w:cs="宋体"/>
                <w:b w:val="0"/>
                <w:bCs w:val="0"/>
                <w:color w:val="auto"/>
                <w:kern w:val="0"/>
                <w:sz w:val="21"/>
                <w:szCs w:val="21"/>
                <w:highlight w:val="none"/>
                <w:lang w:eastAsia="zh-CN"/>
              </w:rPr>
              <w:t xml:space="preserve">满足采购需求的，得 </w:t>
            </w:r>
            <w:r>
              <w:rPr>
                <w:rFonts w:hint="eastAsia" w:ascii="宋体" w:hAnsi="宋体" w:eastAsia="宋体" w:cs="宋体"/>
                <w:b w:val="0"/>
                <w:bCs w:val="0"/>
                <w:color w:val="auto"/>
                <w:kern w:val="0"/>
                <w:sz w:val="21"/>
                <w:szCs w:val="21"/>
                <w:highlight w:val="none"/>
                <w:lang w:val="en-US" w:eastAsia="zh-CN"/>
              </w:rPr>
              <w:t>7</w:t>
            </w:r>
            <w:r>
              <w:rPr>
                <w:rFonts w:hint="eastAsia" w:ascii="宋体" w:hAnsi="宋体" w:eastAsia="宋体" w:cs="宋体"/>
                <w:b w:val="0"/>
                <w:bCs w:val="0"/>
                <w:color w:val="auto"/>
                <w:kern w:val="0"/>
                <w:sz w:val="21"/>
                <w:szCs w:val="21"/>
                <w:highlight w:val="none"/>
                <w:lang w:eastAsia="zh-CN"/>
              </w:rPr>
              <w:t>分。</w:t>
            </w:r>
          </w:p>
          <w:p w14:paraId="48DD679C">
            <w:pPr>
              <w:numPr>
                <w:ilvl w:val="0"/>
                <w:numId w:val="0"/>
              </w:numPr>
              <w:spacing w:line="360" w:lineRule="auto"/>
              <w:rPr>
                <w:rFonts w:hint="eastAsia" w:ascii="宋体" w:hAnsi="宋体" w:eastAsia="宋体" w:cs="宋体"/>
                <w:b w:val="0"/>
                <w:bCs w:val="0"/>
                <w:color w:val="auto"/>
                <w:kern w:val="0"/>
                <w:sz w:val="21"/>
                <w:szCs w:val="21"/>
                <w:highlight w:val="none"/>
                <w:lang w:val="en-US" w:eastAsia="zh-CN"/>
              </w:rPr>
            </w:pPr>
            <w:r>
              <w:rPr>
                <w:rFonts w:hint="eastAsia" w:ascii="宋体" w:hAnsi="宋体" w:eastAsia="宋体" w:cs="宋体"/>
                <w:b w:val="0"/>
                <w:bCs w:val="0"/>
                <w:color w:val="auto"/>
                <w:kern w:val="2"/>
                <w:sz w:val="21"/>
                <w:szCs w:val="21"/>
                <w:highlight w:val="none"/>
                <w:lang w:val="en-US" w:eastAsia="zh-CN" w:bidi="ar-SA"/>
              </w:rPr>
              <w:t>3.</w:t>
            </w:r>
            <w:r>
              <w:rPr>
                <w:rFonts w:hint="eastAsia" w:ascii="宋体" w:hAnsi="宋体" w:eastAsia="宋体" w:cs="宋体"/>
                <w:b w:val="0"/>
                <w:bCs w:val="0"/>
                <w:color w:val="auto"/>
                <w:kern w:val="0"/>
                <w:sz w:val="21"/>
                <w:szCs w:val="21"/>
                <w:highlight w:val="none"/>
                <w:lang w:eastAsia="zh-CN"/>
              </w:rPr>
              <w:t>设备维保巡检服务预案满足基本技术要求需要的，得</w:t>
            </w:r>
            <w:r>
              <w:rPr>
                <w:rFonts w:hint="eastAsia" w:ascii="宋体" w:hAnsi="宋体" w:eastAsia="宋体" w:cs="宋体"/>
                <w:b w:val="0"/>
                <w:bCs w:val="0"/>
                <w:color w:val="auto"/>
                <w:kern w:val="0"/>
                <w:sz w:val="21"/>
                <w:szCs w:val="21"/>
                <w:highlight w:val="none"/>
                <w:lang w:val="en-US" w:eastAsia="zh-CN"/>
              </w:rPr>
              <w:t>5</w:t>
            </w:r>
            <w:r>
              <w:rPr>
                <w:rFonts w:hint="eastAsia" w:ascii="宋体" w:hAnsi="宋体" w:eastAsia="宋体" w:cs="宋体"/>
                <w:b w:val="0"/>
                <w:bCs w:val="0"/>
                <w:color w:val="auto"/>
                <w:kern w:val="0"/>
                <w:sz w:val="21"/>
                <w:szCs w:val="21"/>
                <w:highlight w:val="none"/>
                <w:lang w:eastAsia="zh-CN"/>
              </w:rPr>
              <w:t>分。</w:t>
            </w:r>
          </w:p>
          <w:p w14:paraId="27BA7EAF">
            <w:pPr>
              <w:numPr>
                <w:ilvl w:val="0"/>
                <w:numId w:val="0"/>
              </w:numPr>
              <w:spacing w:line="360" w:lineRule="auto"/>
              <w:rPr>
                <w:rFonts w:hint="eastAsia" w:ascii="宋体" w:hAnsi="宋体" w:eastAsia="宋体" w:cs="宋体"/>
                <w:b w:val="0"/>
                <w:bCs w:val="0"/>
                <w:color w:val="auto"/>
                <w:kern w:val="0"/>
                <w:sz w:val="21"/>
                <w:szCs w:val="21"/>
                <w:highlight w:val="none"/>
                <w:lang w:eastAsia="zh-CN"/>
              </w:rPr>
            </w:pPr>
            <w:r>
              <w:rPr>
                <w:rFonts w:hint="eastAsia" w:ascii="宋体" w:hAnsi="宋体" w:eastAsia="宋体" w:cs="宋体"/>
                <w:b w:val="0"/>
                <w:bCs w:val="0"/>
                <w:color w:val="auto"/>
                <w:kern w:val="0"/>
                <w:sz w:val="21"/>
                <w:szCs w:val="21"/>
                <w:highlight w:val="none"/>
                <w:lang w:val="en-US" w:eastAsia="zh-CN" w:bidi="ar-SA"/>
              </w:rPr>
              <w:t>4.</w:t>
            </w:r>
            <w:r>
              <w:rPr>
                <w:rFonts w:hint="eastAsia" w:ascii="宋体" w:hAnsi="宋体" w:eastAsia="宋体" w:cs="宋体"/>
                <w:b w:val="0"/>
                <w:bCs w:val="0"/>
                <w:color w:val="auto"/>
                <w:kern w:val="0"/>
                <w:sz w:val="21"/>
                <w:szCs w:val="21"/>
                <w:highlight w:val="none"/>
                <w:lang w:eastAsia="zh-CN"/>
              </w:rPr>
              <w:t>有设备维保巡检服务预案的，得</w:t>
            </w:r>
            <w:r>
              <w:rPr>
                <w:rFonts w:hint="eastAsia" w:ascii="宋体" w:hAnsi="宋体" w:eastAsia="宋体" w:cs="宋体"/>
                <w:b w:val="0"/>
                <w:bCs w:val="0"/>
                <w:color w:val="auto"/>
                <w:kern w:val="0"/>
                <w:sz w:val="21"/>
                <w:szCs w:val="21"/>
                <w:highlight w:val="none"/>
                <w:lang w:val="en-US" w:eastAsia="zh-CN"/>
              </w:rPr>
              <w:t>3</w:t>
            </w:r>
            <w:r>
              <w:rPr>
                <w:rFonts w:hint="eastAsia" w:ascii="宋体" w:hAnsi="宋体" w:eastAsia="宋体" w:cs="宋体"/>
                <w:b w:val="0"/>
                <w:bCs w:val="0"/>
                <w:color w:val="auto"/>
                <w:kern w:val="0"/>
                <w:sz w:val="21"/>
                <w:szCs w:val="21"/>
                <w:highlight w:val="none"/>
                <w:lang w:eastAsia="zh-CN"/>
              </w:rPr>
              <w:t>分。</w:t>
            </w:r>
            <w:r>
              <w:rPr>
                <w:rFonts w:hint="eastAsia" w:ascii="宋体" w:hAnsi="宋体" w:eastAsia="宋体" w:cs="宋体"/>
                <w:b w:val="0"/>
                <w:bCs w:val="0"/>
                <w:color w:val="auto"/>
                <w:kern w:val="0"/>
                <w:sz w:val="21"/>
                <w:szCs w:val="21"/>
                <w:highlight w:val="none"/>
                <w:lang w:eastAsia="zh-CN"/>
              </w:rPr>
              <w:br w:type="textWrapping"/>
            </w:r>
            <w:r>
              <w:rPr>
                <w:rFonts w:hint="eastAsia" w:ascii="宋体" w:hAnsi="宋体" w:eastAsia="宋体" w:cs="宋体"/>
                <w:b/>
                <w:color w:val="auto"/>
                <w:sz w:val="21"/>
                <w:szCs w:val="21"/>
                <w:highlight w:val="none"/>
              </w:rPr>
              <w:t>如缺项，该小项得</w:t>
            </w:r>
            <w:r>
              <w:rPr>
                <w:rFonts w:hint="eastAsia" w:ascii="宋体" w:hAnsi="宋体" w:eastAsia="宋体" w:cs="宋体"/>
                <w:b/>
                <w:color w:val="auto"/>
                <w:sz w:val="21"/>
                <w:szCs w:val="21"/>
                <w:highlight w:val="none"/>
                <w:lang w:val="en-US" w:eastAsia="zh-CN"/>
              </w:rPr>
              <w:t>0</w:t>
            </w:r>
            <w:r>
              <w:rPr>
                <w:rFonts w:hint="eastAsia" w:ascii="宋体" w:hAnsi="宋体" w:eastAsia="宋体" w:cs="宋体"/>
                <w:b/>
                <w:color w:val="auto"/>
                <w:sz w:val="21"/>
                <w:szCs w:val="21"/>
                <w:highlight w:val="none"/>
              </w:rPr>
              <w:t>分</w:t>
            </w:r>
          </w:p>
        </w:tc>
      </w:tr>
      <w:tr w14:paraId="2BBD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625" w:type="dxa"/>
            <w:vMerge w:val="restart"/>
            <w:noWrap w:val="0"/>
            <w:vAlign w:val="center"/>
          </w:tcPr>
          <w:p w14:paraId="14F33DB3">
            <w:pPr>
              <w:widowControl/>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2.2.2（3）</w:t>
            </w:r>
          </w:p>
        </w:tc>
        <w:tc>
          <w:tcPr>
            <w:tcW w:w="993" w:type="dxa"/>
            <w:vMerge w:val="restart"/>
            <w:noWrap w:val="0"/>
            <w:vAlign w:val="center"/>
          </w:tcPr>
          <w:p w14:paraId="6763BC94">
            <w:pPr>
              <w:widowControl/>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商务部分（</w:t>
            </w:r>
            <w:r>
              <w:rPr>
                <w:rFonts w:hint="eastAsia" w:ascii="宋体" w:hAnsi="宋体" w:eastAsia="宋体" w:cs="宋体"/>
                <w:b/>
                <w:color w:val="auto"/>
                <w:sz w:val="21"/>
                <w:szCs w:val="21"/>
                <w:highlight w:val="none"/>
                <w:lang w:val="en-US" w:eastAsia="zh-CN"/>
              </w:rPr>
              <w:t>2</w:t>
            </w:r>
            <w:r>
              <w:rPr>
                <w:rFonts w:hint="eastAsia" w:ascii="宋体" w:hAnsi="宋体" w:eastAsia="宋体" w:cs="宋体"/>
                <w:b/>
                <w:color w:val="auto"/>
                <w:sz w:val="21"/>
                <w:szCs w:val="21"/>
                <w:highlight w:val="none"/>
              </w:rPr>
              <w:t>0分）</w:t>
            </w:r>
          </w:p>
          <w:p w14:paraId="733859F0">
            <w:pPr>
              <w:widowControl/>
              <w:jc w:val="center"/>
              <w:rPr>
                <w:rFonts w:hint="eastAsia" w:ascii="宋体" w:hAnsi="宋体" w:eastAsia="宋体" w:cs="宋体"/>
                <w:b/>
                <w:color w:val="auto"/>
                <w:sz w:val="21"/>
                <w:szCs w:val="21"/>
                <w:highlight w:val="none"/>
              </w:rPr>
            </w:pPr>
          </w:p>
        </w:tc>
        <w:tc>
          <w:tcPr>
            <w:tcW w:w="1984" w:type="dxa"/>
            <w:noWrap w:val="0"/>
            <w:vAlign w:val="center"/>
          </w:tcPr>
          <w:p w14:paraId="4F97305D">
            <w:pPr>
              <w:pStyle w:val="7"/>
              <w:ind w:left="63" w:right="63"/>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5670" w:type="dxa"/>
            <w:noWrap w:val="0"/>
            <w:vAlign w:val="top"/>
          </w:tcPr>
          <w:p w14:paraId="299A0F09">
            <w:pPr>
              <w:pStyle w:val="7"/>
              <w:ind w:left="63" w:right="63"/>
              <w:jc w:val="both"/>
              <w:rPr>
                <w:rFonts w:hint="eastAsia" w:ascii="宋体" w:hAnsi="宋体" w:eastAsia="宋体" w:cs="宋体"/>
                <w:color w:val="auto"/>
                <w:sz w:val="21"/>
                <w:szCs w:val="21"/>
                <w:highlight w:val="none"/>
                <w:lang w:val="en-US" w:eastAsia="zh-CN"/>
              </w:rPr>
            </w:pPr>
            <w:r>
              <w:rPr>
                <w:rFonts w:hint="eastAsia" w:ascii="宋体" w:hAnsi="宋体" w:eastAsia="宋体" w:cs="宋体"/>
                <w:b w:val="0"/>
                <w:bCs w:val="0"/>
                <w:color w:val="auto"/>
                <w:sz w:val="21"/>
                <w:szCs w:val="21"/>
                <w:highlight w:val="none"/>
              </w:rPr>
              <w:t>投标人20</w:t>
            </w:r>
            <w:r>
              <w:rPr>
                <w:rFonts w:hint="eastAsia" w:ascii="宋体" w:hAnsi="宋体" w:eastAsia="宋体" w:cs="宋体"/>
                <w:b w:val="0"/>
                <w:bCs w:val="0"/>
                <w:color w:val="auto"/>
                <w:sz w:val="21"/>
                <w:szCs w:val="21"/>
                <w:highlight w:val="none"/>
                <w:lang w:val="en-US" w:eastAsia="zh-CN"/>
              </w:rPr>
              <w:t>22</w:t>
            </w:r>
            <w:r>
              <w:rPr>
                <w:rFonts w:hint="eastAsia" w:ascii="宋体" w:hAnsi="宋体" w:eastAsia="宋体" w:cs="宋体"/>
                <w:b w:val="0"/>
                <w:bCs w:val="0"/>
                <w:color w:val="auto"/>
                <w:sz w:val="21"/>
                <w:szCs w:val="21"/>
                <w:highlight w:val="none"/>
              </w:rPr>
              <w:t>年以来在每提供一份</w:t>
            </w:r>
            <w:r>
              <w:rPr>
                <w:rFonts w:hint="eastAsia" w:ascii="宋体" w:hAnsi="宋体" w:eastAsia="宋体" w:cs="宋体"/>
                <w:b w:val="0"/>
                <w:bCs w:val="0"/>
                <w:color w:val="auto"/>
                <w:sz w:val="21"/>
                <w:szCs w:val="21"/>
                <w:highlight w:val="none"/>
                <w:lang w:val="en-US" w:eastAsia="zh-CN"/>
              </w:rPr>
              <w:t>CT维保</w:t>
            </w:r>
            <w:r>
              <w:rPr>
                <w:rFonts w:hint="eastAsia" w:ascii="宋体" w:hAnsi="宋体" w:eastAsia="宋体" w:cs="宋体"/>
                <w:b w:val="0"/>
                <w:bCs w:val="0"/>
                <w:color w:val="auto"/>
                <w:sz w:val="21"/>
                <w:szCs w:val="21"/>
                <w:highlight w:val="none"/>
              </w:rPr>
              <w:t>项目合同业绩得5分，最多得</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分</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提供</w:t>
            </w:r>
            <w:r>
              <w:rPr>
                <w:rFonts w:hint="eastAsia" w:ascii="宋体" w:hAnsi="宋体" w:eastAsia="宋体" w:cs="宋体"/>
                <w:b w:val="0"/>
                <w:bCs w:val="0"/>
                <w:color w:val="auto"/>
                <w:sz w:val="21"/>
                <w:szCs w:val="21"/>
                <w:highlight w:val="none"/>
              </w:rPr>
              <w:t>合同协议书原件扫描件（</w:t>
            </w:r>
            <w:r>
              <w:rPr>
                <w:rFonts w:hint="eastAsia" w:ascii="宋体" w:hAnsi="宋体" w:eastAsia="宋体" w:cs="宋体"/>
                <w:color w:val="auto"/>
                <w:sz w:val="21"/>
                <w:szCs w:val="21"/>
                <w:highlight w:val="none"/>
              </w:rPr>
              <w:t>或图片）。</w:t>
            </w:r>
            <w:r>
              <w:rPr>
                <w:rFonts w:hint="eastAsia" w:ascii="宋体" w:hAnsi="宋体" w:eastAsia="宋体" w:cs="宋体"/>
                <w:color w:val="auto"/>
                <w:sz w:val="21"/>
                <w:szCs w:val="21"/>
                <w:highlight w:val="none"/>
                <w:lang w:val="en-US" w:eastAsia="zh-CN"/>
              </w:rPr>
              <w:t>以合同签订时间为准。</w:t>
            </w:r>
          </w:p>
        </w:tc>
      </w:tr>
      <w:tr w14:paraId="4B326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625" w:type="dxa"/>
            <w:vMerge w:val="continue"/>
            <w:noWrap w:val="0"/>
            <w:vAlign w:val="center"/>
          </w:tcPr>
          <w:p w14:paraId="69D12937">
            <w:pPr>
              <w:widowControl/>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0354802F">
            <w:pPr>
              <w:widowControl/>
              <w:jc w:val="center"/>
              <w:rPr>
                <w:rFonts w:hint="eastAsia" w:ascii="宋体" w:hAnsi="宋体" w:eastAsia="宋体" w:cs="宋体"/>
                <w:b/>
                <w:color w:val="auto"/>
                <w:sz w:val="21"/>
                <w:szCs w:val="21"/>
                <w:highlight w:val="none"/>
              </w:rPr>
            </w:pPr>
          </w:p>
        </w:tc>
        <w:tc>
          <w:tcPr>
            <w:tcW w:w="1984" w:type="dxa"/>
            <w:shd w:val="clear" w:color="auto" w:fill="auto"/>
            <w:noWrap w:val="0"/>
            <w:vAlign w:val="center"/>
          </w:tcPr>
          <w:p w14:paraId="7C1EEDC3">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sz w:val="21"/>
                <w:szCs w:val="21"/>
                <w:highlight w:val="none"/>
              </w:rPr>
              <w:t>备件供应（</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分</w:t>
            </w:r>
            <w:r>
              <w:rPr>
                <w:rFonts w:hint="eastAsia" w:ascii="宋体" w:hAnsi="宋体" w:eastAsia="宋体" w:cs="宋体"/>
                <w:color w:val="auto"/>
                <w:sz w:val="21"/>
                <w:szCs w:val="21"/>
                <w:highlight w:val="none"/>
              </w:rPr>
              <w:t>）</w:t>
            </w:r>
          </w:p>
        </w:tc>
        <w:tc>
          <w:tcPr>
            <w:tcW w:w="5670" w:type="dxa"/>
            <w:shd w:val="clear" w:color="auto" w:fill="auto"/>
            <w:noWrap w:val="0"/>
            <w:vAlign w:val="center"/>
          </w:tcPr>
          <w:p w14:paraId="5D0E1DD1">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具备充足的备件供应能力，并保证我院备件的优先供应。承诺所更换的配件为经原厂验证合格备件，维修备件确保100%保障供应。</w:t>
            </w:r>
          </w:p>
          <w:p w14:paraId="5A2D2663">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备件送达期限：国内≤2个工作日，国外≤5个工作日。</w:t>
            </w:r>
            <w:r>
              <w:rPr>
                <w:rFonts w:hint="eastAsia" w:ascii="宋体" w:hAnsi="宋体" w:eastAsia="宋体" w:cs="宋体"/>
                <w:b/>
                <w:bCs/>
                <w:color w:val="auto"/>
                <w:sz w:val="21"/>
                <w:szCs w:val="21"/>
                <w:highlight w:val="none"/>
                <w:lang w:eastAsia="zh-CN"/>
              </w:rPr>
              <w:t>得</w:t>
            </w:r>
            <w:r>
              <w:rPr>
                <w:rFonts w:hint="eastAsia" w:ascii="宋体" w:hAnsi="宋体" w:eastAsia="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eastAsia="zh-CN"/>
              </w:rPr>
              <w:t>分</w:t>
            </w:r>
            <w:r>
              <w:rPr>
                <w:rFonts w:hint="eastAsia" w:ascii="宋体" w:hAnsi="宋体" w:eastAsia="宋体" w:cs="宋体"/>
                <w:b/>
                <w:bCs/>
                <w:color w:val="auto"/>
                <w:sz w:val="21"/>
                <w:szCs w:val="21"/>
                <w:highlight w:val="none"/>
                <w:lang w:val="en-US" w:eastAsia="zh-CN"/>
              </w:rPr>
              <w:t>；</w:t>
            </w:r>
            <w:r>
              <w:rPr>
                <w:rFonts w:hint="eastAsia" w:ascii="宋体" w:hAnsi="宋体" w:eastAsia="宋体" w:cs="宋体"/>
                <w:color w:val="auto"/>
                <w:sz w:val="21"/>
                <w:szCs w:val="21"/>
                <w:highlight w:val="none"/>
              </w:rPr>
              <w:t>其他不得分。</w:t>
            </w:r>
          </w:p>
        </w:tc>
      </w:tr>
      <w:tr w14:paraId="6A894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625" w:type="dxa"/>
            <w:vMerge w:val="continue"/>
            <w:noWrap w:val="0"/>
            <w:vAlign w:val="center"/>
          </w:tcPr>
          <w:p w14:paraId="549D5F86">
            <w:pPr>
              <w:widowControl/>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7D0EF7F6">
            <w:pPr>
              <w:widowControl/>
              <w:jc w:val="center"/>
              <w:rPr>
                <w:rFonts w:hint="eastAsia" w:ascii="宋体" w:hAnsi="宋体" w:eastAsia="宋体" w:cs="宋体"/>
                <w:b/>
                <w:color w:val="auto"/>
                <w:sz w:val="21"/>
                <w:szCs w:val="21"/>
                <w:highlight w:val="none"/>
              </w:rPr>
            </w:pPr>
          </w:p>
        </w:tc>
        <w:tc>
          <w:tcPr>
            <w:tcW w:w="1984" w:type="dxa"/>
            <w:noWrap w:val="0"/>
            <w:vAlign w:val="center"/>
          </w:tcPr>
          <w:p w14:paraId="42CB6590">
            <w:pPr>
              <w:pStyle w:val="7"/>
              <w:ind w:left="63" w:right="63"/>
              <w:jc w:val="both"/>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技术培训（</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tc>
        <w:tc>
          <w:tcPr>
            <w:tcW w:w="5670" w:type="dxa"/>
            <w:noWrap w:val="0"/>
            <w:vAlign w:val="top"/>
          </w:tcPr>
          <w:p w14:paraId="2DB5E368">
            <w:pPr>
              <w:pStyle w:val="7"/>
              <w:ind w:left="63" w:right="63"/>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根据供应商对本项目背景、培训目标的整体理解及实操培训具体计划安排和培训内容进行综合评定得分。</w:t>
            </w:r>
          </w:p>
          <w:p w14:paraId="408E241C">
            <w:pPr>
              <w:pStyle w:val="7"/>
              <w:ind w:left="63" w:right="63"/>
              <w:jc w:val="both"/>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培训方案方案内容科学、详尽、全面、切合实际得</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分</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培训方案内容基本合理、完整无缺陷的得</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分</w:t>
            </w:r>
            <w:r>
              <w:rPr>
                <w:rFonts w:hint="eastAsia" w:ascii="宋体" w:hAnsi="宋体" w:eastAsia="宋体" w:cs="宋体"/>
                <w:color w:val="auto"/>
                <w:kern w:val="0"/>
                <w:sz w:val="21"/>
                <w:szCs w:val="21"/>
                <w:highlight w:val="none"/>
                <w:lang w:eastAsia="zh-CN"/>
              </w:rPr>
              <w:t>。</w:t>
            </w:r>
          </w:p>
          <w:p w14:paraId="169530E8">
            <w:pPr>
              <w:pStyle w:val="7"/>
              <w:ind w:left="63" w:right="63"/>
              <w:jc w:val="both"/>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培训方案内容能满足项目基本要求得</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分</w:t>
            </w:r>
            <w:r>
              <w:rPr>
                <w:rFonts w:hint="eastAsia" w:ascii="宋体" w:hAnsi="宋体" w:eastAsia="宋体" w:cs="宋体"/>
                <w:color w:val="auto"/>
                <w:kern w:val="0"/>
                <w:sz w:val="21"/>
                <w:szCs w:val="21"/>
                <w:highlight w:val="none"/>
                <w:lang w:eastAsia="zh-CN"/>
              </w:rPr>
              <w:t>。</w:t>
            </w:r>
          </w:p>
          <w:p w14:paraId="32A81A97">
            <w:pPr>
              <w:pStyle w:val="7"/>
              <w:ind w:left="63" w:right="63"/>
              <w:jc w:val="both"/>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如缺项，该小项得</w:t>
            </w:r>
            <w:r>
              <w:rPr>
                <w:rFonts w:hint="eastAsia" w:ascii="宋体" w:hAnsi="宋体" w:eastAsia="宋体" w:cs="宋体"/>
                <w:b/>
                <w:color w:val="auto"/>
                <w:sz w:val="21"/>
                <w:szCs w:val="21"/>
                <w:highlight w:val="none"/>
                <w:lang w:val="en-US" w:eastAsia="zh-CN"/>
              </w:rPr>
              <w:t>0</w:t>
            </w:r>
            <w:r>
              <w:rPr>
                <w:rFonts w:hint="eastAsia" w:ascii="宋体" w:hAnsi="宋体" w:eastAsia="宋体" w:cs="宋体"/>
                <w:b/>
                <w:color w:val="auto"/>
                <w:sz w:val="21"/>
                <w:szCs w:val="21"/>
                <w:highlight w:val="none"/>
              </w:rPr>
              <w:t>分</w:t>
            </w:r>
          </w:p>
        </w:tc>
      </w:tr>
      <w:tr w14:paraId="5C8F1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5" w:type="dxa"/>
            <w:vMerge w:val="continue"/>
            <w:noWrap w:val="0"/>
            <w:vAlign w:val="center"/>
          </w:tcPr>
          <w:p w14:paraId="7D0D7FF9">
            <w:pPr>
              <w:widowControl/>
              <w:jc w:val="center"/>
              <w:rPr>
                <w:rFonts w:hint="eastAsia" w:ascii="宋体" w:hAnsi="宋体" w:eastAsia="宋体" w:cs="宋体"/>
                <w:color w:val="auto"/>
                <w:kern w:val="0"/>
                <w:sz w:val="21"/>
                <w:szCs w:val="21"/>
                <w:highlight w:val="none"/>
              </w:rPr>
            </w:pPr>
          </w:p>
        </w:tc>
        <w:tc>
          <w:tcPr>
            <w:tcW w:w="993" w:type="dxa"/>
            <w:vMerge w:val="continue"/>
            <w:noWrap w:val="0"/>
            <w:vAlign w:val="center"/>
          </w:tcPr>
          <w:p w14:paraId="7077A00F">
            <w:pPr>
              <w:widowControl/>
              <w:jc w:val="center"/>
              <w:rPr>
                <w:rFonts w:hint="eastAsia" w:ascii="宋体" w:hAnsi="宋体" w:eastAsia="宋体" w:cs="宋体"/>
                <w:color w:val="auto"/>
                <w:kern w:val="0"/>
                <w:sz w:val="21"/>
                <w:szCs w:val="21"/>
                <w:highlight w:val="none"/>
              </w:rPr>
            </w:pPr>
          </w:p>
        </w:tc>
        <w:tc>
          <w:tcPr>
            <w:tcW w:w="1984" w:type="dxa"/>
            <w:noWrap w:val="0"/>
            <w:vAlign w:val="center"/>
          </w:tcPr>
          <w:p w14:paraId="33E570F2">
            <w:pPr>
              <w:pStyle w:val="7"/>
              <w:ind w:left="63" w:right="63"/>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优惠及服务承诺</w:t>
            </w:r>
          </w:p>
          <w:p w14:paraId="6CD32023">
            <w:pPr>
              <w:pStyle w:val="7"/>
              <w:ind w:left="63" w:right="6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p>
          <w:p w14:paraId="064D7E8F">
            <w:pPr>
              <w:pStyle w:val="7"/>
              <w:ind w:left="0" w:leftChars="0" w:right="63"/>
              <w:jc w:val="both"/>
              <w:rPr>
                <w:rFonts w:hint="eastAsia" w:ascii="宋体" w:hAnsi="宋体" w:eastAsia="宋体" w:cs="宋体"/>
                <w:color w:val="auto"/>
                <w:sz w:val="21"/>
                <w:szCs w:val="21"/>
                <w:highlight w:val="none"/>
              </w:rPr>
            </w:pPr>
          </w:p>
        </w:tc>
        <w:tc>
          <w:tcPr>
            <w:tcW w:w="5670" w:type="dxa"/>
            <w:noWrap w:val="0"/>
            <w:vAlign w:val="center"/>
          </w:tcPr>
          <w:p w14:paraId="0B83200B">
            <w:pPr>
              <w:pStyle w:val="7"/>
              <w:ind w:left="63" w:right="63"/>
              <w:jc w:val="both"/>
              <w:rPr>
                <w:rFonts w:hint="eastAsia" w:ascii="宋体" w:hAnsi="宋体" w:eastAsia="宋体" w:cs="宋体"/>
                <w:b/>
                <w:bCs/>
                <w:color w:val="auto"/>
                <w:sz w:val="21"/>
                <w:szCs w:val="21"/>
                <w:highlight w:val="none"/>
                <w:lang w:eastAsia="zh-CN"/>
              </w:rPr>
            </w:pPr>
            <w:r>
              <w:rPr>
                <w:rFonts w:hint="eastAsia" w:ascii="宋体" w:hAnsi="宋体" w:eastAsia="宋体" w:cs="宋体"/>
                <w:b w:val="0"/>
                <w:bCs w:val="0"/>
                <w:color w:val="auto"/>
                <w:sz w:val="21"/>
                <w:szCs w:val="21"/>
                <w:highlight w:val="none"/>
                <w:lang w:val="en-US" w:eastAsia="zh-CN"/>
              </w:rPr>
              <w:t>1.承诺有实质性</w:t>
            </w:r>
            <w:r>
              <w:rPr>
                <w:rFonts w:hint="eastAsia" w:ascii="宋体" w:hAnsi="宋体" w:eastAsia="宋体" w:cs="宋体"/>
                <w:b w:val="0"/>
                <w:bCs w:val="0"/>
                <w:color w:val="auto"/>
                <w:sz w:val="21"/>
                <w:szCs w:val="21"/>
                <w:highlight w:val="none"/>
              </w:rPr>
              <w:t>优惠</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rPr>
              <w:t>服务承诺内容全面、技术措施有针对性、</w:t>
            </w:r>
            <w:r>
              <w:rPr>
                <w:rFonts w:hint="eastAsia" w:ascii="宋体" w:hAnsi="宋体" w:eastAsia="宋体" w:cs="宋体"/>
                <w:b w:val="0"/>
                <w:bCs w:val="0"/>
                <w:color w:val="auto"/>
                <w:sz w:val="21"/>
                <w:szCs w:val="21"/>
                <w:highlight w:val="none"/>
                <w:lang w:val="en-US" w:eastAsia="zh-CN"/>
              </w:rPr>
              <w:t>优秀</w:t>
            </w:r>
            <w:r>
              <w:rPr>
                <w:rFonts w:hint="eastAsia" w:ascii="宋体" w:hAnsi="宋体" w:eastAsia="宋体" w:cs="宋体"/>
                <w:b w:val="0"/>
                <w:bCs w:val="0"/>
                <w:color w:val="auto"/>
                <w:sz w:val="21"/>
                <w:szCs w:val="21"/>
                <w:highlight w:val="none"/>
              </w:rPr>
              <w:t>可行的，得</w:t>
            </w:r>
            <w:r>
              <w:rPr>
                <w:rFonts w:hint="eastAsia" w:ascii="宋体" w:hAnsi="宋体" w:eastAsia="宋体" w:cs="宋体"/>
                <w:b w:val="0"/>
                <w:bCs w:val="0"/>
                <w:color w:val="auto"/>
                <w:sz w:val="21"/>
                <w:szCs w:val="21"/>
                <w:highlight w:val="none"/>
                <w:lang w:val="en-US" w:eastAsia="zh-CN"/>
              </w:rPr>
              <w:t>5</w:t>
            </w:r>
            <w:r>
              <w:rPr>
                <w:rFonts w:hint="eastAsia" w:ascii="宋体" w:hAnsi="宋体" w:eastAsia="宋体" w:cs="宋体"/>
                <w:b w:val="0"/>
                <w:bCs w:val="0"/>
                <w:color w:val="auto"/>
                <w:sz w:val="21"/>
                <w:szCs w:val="21"/>
                <w:highlight w:val="none"/>
              </w:rPr>
              <w:t>分</w:t>
            </w:r>
            <w:r>
              <w:rPr>
                <w:rFonts w:hint="eastAsia" w:ascii="宋体" w:hAnsi="宋体" w:eastAsia="宋体" w:cs="宋体"/>
                <w:b w:val="0"/>
                <w:bCs w:val="0"/>
                <w:color w:val="auto"/>
                <w:sz w:val="21"/>
                <w:szCs w:val="21"/>
                <w:highlight w:val="none"/>
                <w:lang w:eastAsia="zh-CN"/>
              </w:rPr>
              <w:t>。</w:t>
            </w:r>
          </w:p>
          <w:p w14:paraId="109E7E7F">
            <w:pPr>
              <w:pStyle w:val="7"/>
              <w:ind w:left="63" w:right="63"/>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优惠及服务承诺内容全面、技术措施有针对性、合理可行的，得</w:t>
            </w: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7DFAFC63">
            <w:pPr>
              <w:pStyle w:val="7"/>
              <w:ind w:left="63" w:right="63"/>
              <w:jc w:val="both"/>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有优惠及服务承诺内容、技术措施基本可行的得</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p>
          <w:p w14:paraId="536F125B">
            <w:pPr>
              <w:pStyle w:val="7"/>
              <w:ind w:left="63" w:right="63"/>
              <w:jc w:val="both"/>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优惠及服务承诺内容一般、技术措施可行性较差的，得</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eastAsia="zh-CN"/>
              </w:rPr>
              <w:t>。</w:t>
            </w:r>
            <w:r>
              <w:rPr>
                <w:rFonts w:hint="eastAsia" w:ascii="宋体" w:hAnsi="宋体" w:eastAsia="宋体" w:cs="宋体"/>
                <w:b/>
                <w:color w:val="auto"/>
                <w:sz w:val="21"/>
                <w:szCs w:val="21"/>
                <w:highlight w:val="none"/>
              </w:rPr>
              <w:t>如缺项，该小项得</w:t>
            </w:r>
            <w:r>
              <w:rPr>
                <w:rFonts w:hint="eastAsia" w:ascii="宋体" w:hAnsi="宋体" w:eastAsia="宋体" w:cs="宋体"/>
                <w:b/>
                <w:color w:val="auto"/>
                <w:sz w:val="21"/>
                <w:szCs w:val="21"/>
                <w:highlight w:val="none"/>
                <w:lang w:val="en-US" w:eastAsia="zh-CN"/>
              </w:rPr>
              <w:t>0</w:t>
            </w:r>
            <w:r>
              <w:rPr>
                <w:rFonts w:hint="eastAsia" w:ascii="宋体" w:hAnsi="宋体" w:eastAsia="宋体" w:cs="宋体"/>
                <w:b/>
                <w:color w:val="auto"/>
                <w:sz w:val="21"/>
                <w:szCs w:val="21"/>
                <w:highlight w:val="none"/>
              </w:rPr>
              <w:t>分</w:t>
            </w:r>
          </w:p>
        </w:tc>
      </w:tr>
    </w:tbl>
    <w:p w14:paraId="0F65A6AC">
      <w:pPr>
        <w:ind w:firstLine="422" w:firstLineChars="200"/>
        <w:rPr>
          <w:rFonts w:hint="eastAsia" w:ascii="宋体" w:hAnsi="宋体" w:eastAsia="宋体" w:cs="宋体"/>
          <w:b/>
          <w:color w:val="auto"/>
          <w:highlight w:val="none"/>
        </w:rPr>
      </w:pPr>
    </w:p>
    <w:p w14:paraId="4482CDB8">
      <w:pPr>
        <w:pStyle w:val="4"/>
        <w:numPr>
          <w:ilvl w:val="0"/>
          <w:numId w:val="10"/>
        </w:numPr>
        <w:rPr>
          <w:rFonts w:hint="eastAsia" w:ascii="宋体" w:hAnsi="宋体" w:eastAsia="宋体" w:cs="宋体"/>
          <w:bCs w:val="0"/>
          <w:color w:val="auto"/>
          <w:sz w:val="24"/>
          <w:szCs w:val="24"/>
          <w:highlight w:val="none"/>
        </w:rPr>
      </w:pPr>
      <w:bookmarkStart w:id="689" w:name="_Toc29623337"/>
      <w:bookmarkStart w:id="690" w:name="_Toc27753988"/>
      <w:bookmarkStart w:id="691" w:name="_Toc13027"/>
      <w:bookmarkStart w:id="692" w:name="_Toc28378"/>
      <w:r>
        <w:rPr>
          <w:rFonts w:hint="eastAsia" w:ascii="宋体" w:hAnsi="宋体" w:eastAsia="宋体" w:cs="宋体"/>
          <w:bCs w:val="0"/>
          <w:color w:val="auto"/>
          <w:sz w:val="24"/>
          <w:szCs w:val="24"/>
          <w:highlight w:val="none"/>
        </w:rPr>
        <w:t>评审办法</w:t>
      </w:r>
      <w:bookmarkEnd w:id="689"/>
      <w:bookmarkEnd w:id="690"/>
      <w:bookmarkEnd w:id="691"/>
      <w:bookmarkEnd w:id="692"/>
    </w:p>
    <w:p w14:paraId="3B5D7961">
      <w:pPr>
        <w:wordWrap/>
        <w:topLinePunct w:val="0"/>
        <w:autoSpaceDE w:val="0"/>
        <w:autoSpaceDN w:val="0"/>
        <w:adjustRightInd w:val="0"/>
        <w:spacing w:line="360" w:lineRule="auto"/>
        <w:ind w:right="-23"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本次竞争性磋商采用综合评分法评审，磋商小组对满</w:t>
      </w:r>
      <w:r>
        <w:rPr>
          <w:rFonts w:hint="eastAsia" w:ascii="宋体" w:hAnsi="宋体" w:eastAsia="宋体" w:cs="宋体"/>
          <w:color w:val="auto"/>
          <w:spacing w:val="-2"/>
          <w:kern w:val="0"/>
          <w:highlight w:val="none"/>
        </w:rPr>
        <w:t>足</w:t>
      </w:r>
      <w:r>
        <w:rPr>
          <w:rFonts w:hint="eastAsia" w:ascii="宋体" w:hAnsi="宋体" w:eastAsia="宋体" w:cs="宋体"/>
          <w:color w:val="auto"/>
          <w:kern w:val="0"/>
          <w:highlight w:val="none"/>
        </w:rPr>
        <w:t>竞争性磋商文件实质性要求且最终确定</w:t>
      </w:r>
      <w:r>
        <w:rPr>
          <w:rFonts w:hint="eastAsia" w:ascii="宋体" w:hAnsi="宋体" w:eastAsia="宋体" w:cs="宋体"/>
          <w:color w:val="auto"/>
          <w:kern w:val="0"/>
          <w:highlight w:val="none"/>
          <w:lang w:eastAsia="zh-CN"/>
        </w:rPr>
        <w:t>采购内容及要求</w:t>
      </w:r>
      <w:r>
        <w:rPr>
          <w:rFonts w:hint="eastAsia" w:ascii="宋体" w:hAnsi="宋体" w:eastAsia="宋体" w:cs="宋体"/>
          <w:color w:val="auto"/>
          <w:kern w:val="0"/>
          <w:highlight w:val="none"/>
        </w:rPr>
        <w:t>和在规定时间提交最后报价的</w:t>
      </w:r>
      <w:r>
        <w:rPr>
          <w:rFonts w:hint="eastAsia" w:ascii="宋体" w:hAnsi="宋体" w:eastAsia="宋体" w:cs="宋体"/>
          <w:color w:val="auto"/>
          <w:spacing w:val="-2"/>
          <w:kern w:val="0"/>
          <w:highlight w:val="none"/>
        </w:rPr>
        <w:t>响应文</w:t>
      </w:r>
      <w:r>
        <w:rPr>
          <w:rFonts w:hint="eastAsia" w:ascii="宋体" w:hAnsi="宋体" w:eastAsia="宋体" w:cs="宋体"/>
          <w:color w:val="auto"/>
          <w:kern w:val="0"/>
          <w:highlight w:val="none"/>
        </w:rPr>
        <w:t>件，且按照评审因素的量化指标评审得分最高的供应商为成交候选人的评审方法。</w:t>
      </w:r>
    </w:p>
    <w:p w14:paraId="23157C4F">
      <w:pPr>
        <w:pStyle w:val="4"/>
        <w:numPr>
          <w:ilvl w:val="0"/>
          <w:numId w:val="10"/>
        </w:numPr>
        <w:rPr>
          <w:rFonts w:hint="eastAsia" w:ascii="宋体" w:hAnsi="宋体" w:eastAsia="宋体" w:cs="宋体"/>
          <w:bCs w:val="0"/>
          <w:color w:val="auto"/>
          <w:sz w:val="24"/>
          <w:szCs w:val="24"/>
          <w:highlight w:val="none"/>
        </w:rPr>
      </w:pPr>
      <w:bookmarkStart w:id="693" w:name="_Toc27802"/>
      <w:bookmarkStart w:id="694" w:name="_Toc26533"/>
      <w:bookmarkStart w:id="695" w:name="_Toc27753989"/>
      <w:bookmarkStart w:id="696" w:name="_Toc4003"/>
      <w:bookmarkStart w:id="697" w:name="_Toc5920"/>
      <w:bookmarkStart w:id="698" w:name="_Toc29623338"/>
      <w:bookmarkStart w:id="699" w:name="_Toc3406"/>
      <w:bookmarkStart w:id="700" w:name="_Toc13454"/>
      <w:bookmarkStart w:id="701" w:name="_Toc6135"/>
      <w:bookmarkStart w:id="702" w:name="_Toc30234"/>
      <w:bookmarkStart w:id="703" w:name="_Toc9376"/>
      <w:bookmarkStart w:id="704" w:name="_Toc17219"/>
      <w:bookmarkStart w:id="705" w:name="_Toc30895"/>
      <w:r>
        <w:rPr>
          <w:rFonts w:hint="eastAsia" w:ascii="宋体" w:hAnsi="宋体" w:eastAsia="宋体" w:cs="宋体"/>
          <w:bCs w:val="0"/>
          <w:color w:val="auto"/>
          <w:sz w:val="24"/>
          <w:szCs w:val="24"/>
          <w:highlight w:val="none"/>
        </w:rPr>
        <w:t>评审标准</w:t>
      </w:r>
      <w:bookmarkEnd w:id="693"/>
      <w:bookmarkEnd w:id="694"/>
      <w:bookmarkEnd w:id="695"/>
      <w:bookmarkEnd w:id="696"/>
      <w:bookmarkEnd w:id="697"/>
      <w:bookmarkEnd w:id="698"/>
      <w:bookmarkEnd w:id="699"/>
      <w:bookmarkEnd w:id="700"/>
      <w:bookmarkEnd w:id="701"/>
      <w:bookmarkEnd w:id="702"/>
      <w:bookmarkEnd w:id="703"/>
      <w:bookmarkEnd w:id="704"/>
      <w:bookmarkEnd w:id="705"/>
    </w:p>
    <w:p w14:paraId="66660C01">
      <w:pPr>
        <w:pStyle w:val="4"/>
        <w:numPr>
          <w:ilvl w:val="1"/>
          <w:numId w:val="10"/>
        </w:numPr>
        <w:rPr>
          <w:rFonts w:hint="eastAsia" w:ascii="宋体" w:hAnsi="宋体" w:eastAsia="宋体" w:cs="宋体"/>
          <w:color w:val="auto"/>
          <w:highlight w:val="none"/>
        </w:rPr>
      </w:pPr>
      <w:bookmarkStart w:id="706" w:name="_Toc25181"/>
      <w:bookmarkStart w:id="707" w:name="_Toc29623339"/>
      <w:bookmarkStart w:id="708" w:name="_Toc11754"/>
      <w:bookmarkStart w:id="709" w:name="_Toc27753990"/>
      <w:bookmarkStart w:id="710" w:name="_Toc30525"/>
      <w:bookmarkStart w:id="711" w:name="_Toc29139"/>
      <w:bookmarkStart w:id="712" w:name="_Toc7259"/>
      <w:bookmarkStart w:id="713" w:name="_Toc5467"/>
      <w:bookmarkStart w:id="714" w:name="_Toc28336"/>
      <w:bookmarkStart w:id="715" w:name="_Toc10856"/>
      <w:bookmarkStart w:id="716" w:name="_Toc31651"/>
      <w:bookmarkStart w:id="717" w:name="_Toc27094"/>
      <w:bookmarkStart w:id="718" w:name="_Toc17735"/>
      <w:bookmarkStart w:id="719" w:name="_Toc6724"/>
      <w:r>
        <w:rPr>
          <w:rFonts w:hint="eastAsia" w:ascii="宋体" w:hAnsi="宋体" w:eastAsia="宋体" w:cs="宋体"/>
          <w:color w:val="auto"/>
          <w:highlight w:val="none"/>
        </w:rPr>
        <w:t>初步评审标准</w:t>
      </w:r>
      <w:bookmarkEnd w:id="706"/>
      <w:bookmarkEnd w:id="707"/>
      <w:bookmarkEnd w:id="708"/>
      <w:bookmarkEnd w:id="709"/>
      <w:bookmarkEnd w:id="710"/>
    </w:p>
    <w:p w14:paraId="58B2C2DC">
      <w:pPr>
        <w:numPr>
          <w:ilvl w:val="2"/>
          <w:numId w:val="10"/>
        </w:numPr>
        <w:autoSpaceDE w:val="0"/>
        <w:autoSpaceDN w:val="0"/>
        <w:adjustRightInd w:val="0"/>
        <w:spacing w:line="360" w:lineRule="auto"/>
        <w:ind w:right="-23"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形</w:t>
      </w:r>
      <w:r>
        <w:rPr>
          <w:rFonts w:hint="eastAsia" w:ascii="宋体" w:hAnsi="宋体" w:eastAsia="宋体" w:cs="宋体"/>
          <w:color w:val="auto"/>
          <w:spacing w:val="-2"/>
          <w:kern w:val="0"/>
          <w:highlight w:val="none"/>
        </w:rPr>
        <w:t>式</w:t>
      </w:r>
      <w:r>
        <w:rPr>
          <w:rFonts w:hint="eastAsia" w:ascii="宋体" w:hAnsi="宋体" w:eastAsia="宋体" w:cs="宋体"/>
          <w:color w:val="auto"/>
          <w:kern w:val="0"/>
          <w:highlight w:val="none"/>
        </w:rPr>
        <w:t>评</w:t>
      </w:r>
      <w:r>
        <w:rPr>
          <w:rFonts w:hint="eastAsia" w:ascii="宋体" w:hAnsi="宋体" w:eastAsia="宋体" w:cs="宋体"/>
          <w:color w:val="auto"/>
          <w:spacing w:val="-2"/>
          <w:kern w:val="0"/>
          <w:highlight w:val="none"/>
        </w:rPr>
        <w:t>审</w:t>
      </w:r>
      <w:r>
        <w:rPr>
          <w:rFonts w:hint="eastAsia" w:ascii="宋体" w:hAnsi="宋体" w:eastAsia="宋体" w:cs="宋体"/>
          <w:color w:val="auto"/>
          <w:kern w:val="0"/>
          <w:highlight w:val="none"/>
        </w:rPr>
        <w:t>标</w:t>
      </w:r>
      <w:r>
        <w:rPr>
          <w:rFonts w:hint="eastAsia" w:ascii="宋体" w:hAnsi="宋体" w:eastAsia="宋体" w:cs="宋体"/>
          <w:color w:val="auto"/>
          <w:spacing w:val="-2"/>
          <w:kern w:val="0"/>
          <w:highlight w:val="none"/>
        </w:rPr>
        <w:t>准</w:t>
      </w:r>
      <w:r>
        <w:rPr>
          <w:rFonts w:hint="eastAsia" w:ascii="宋体" w:hAnsi="宋体" w:eastAsia="宋体" w:cs="宋体"/>
          <w:color w:val="auto"/>
          <w:kern w:val="0"/>
          <w:highlight w:val="none"/>
        </w:rPr>
        <w:t>：</w:t>
      </w:r>
      <w:r>
        <w:rPr>
          <w:rFonts w:hint="eastAsia" w:ascii="宋体" w:hAnsi="宋体" w:eastAsia="宋体" w:cs="宋体"/>
          <w:color w:val="auto"/>
          <w:spacing w:val="-2"/>
          <w:kern w:val="0"/>
          <w:highlight w:val="none"/>
        </w:rPr>
        <w:t>见评审办法</w:t>
      </w:r>
      <w:r>
        <w:rPr>
          <w:rFonts w:hint="eastAsia" w:ascii="宋体" w:hAnsi="宋体" w:eastAsia="宋体" w:cs="宋体"/>
          <w:color w:val="auto"/>
          <w:kern w:val="0"/>
          <w:highlight w:val="none"/>
        </w:rPr>
        <w:t>前</w:t>
      </w:r>
      <w:r>
        <w:rPr>
          <w:rFonts w:hint="eastAsia" w:ascii="宋体" w:hAnsi="宋体" w:eastAsia="宋体" w:cs="宋体"/>
          <w:color w:val="auto"/>
          <w:spacing w:val="-2"/>
          <w:kern w:val="0"/>
          <w:highlight w:val="none"/>
        </w:rPr>
        <w:t>附</w:t>
      </w:r>
      <w:r>
        <w:rPr>
          <w:rFonts w:hint="eastAsia" w:ascii="宋体" w:hAnsi="宋体" w:eastAsia="宋体" w:cs="宋体"/>
          <w:color w:val="auto"/>
          <w:kern w:val="0"/>
          <w:highlight w:val="none"/>
        </w:rPr>
        <w:t>表。</w:t>
      </w:r>
    </w:p>
    <w:p w14:paraId="47C2B835">
      <w:pPr>
        <w:numPr>
          <w:ilvl w:val="2"/>
          <w:numId w:val="10"/>
        </w:numPr>
        <w:autoSpaceDE w:val="0"/>
        <w:autoSpaceDN w:val="0"/>
        <w:adjustRightInd w:val="0"/>
        <w:spacing w:line="360" w:lineRule="auto"/>
        <w:ind w:right="-23"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资</w:t>
      </w:r>
      <w:r>
        <w:rPr>
          <w:rFonts w:hint="eastAsia" w:ascii="宋体" w:hAnsi="宋体" w:eastAsia="宋体" w:cs="宋体"/>
          <w:color w:val="auto"/>
          <w:spacing w:val="-2"/>
          <w:kern w:val="0"/>
          <w:highlight w:val="none"/>
        </w:rPr>
        <w:t>格</w:t>
      </w:r>
      <w:r>
        <w:rPr>
          <w:rFonts w:hint="eastAsia" w:ascii="宋体" w:hAnsi="宋体" w:eastAsia="宋体" w:cs="宋体"/>
          <w:color w:val="auto"/>
          <w:kern w:val="0"/>
          <w:highlight w:val="none"/>
        </w:rPr>
        <w:t>评</w:t>
      </w:r>
      <w:r>
        <w:rPr>
          <w:rFonts w:hint="eastAsia" w:ascii="宋体" w:hAnsi="宋体" w:eastAsia="宋体" w:cs="宋体"/>
          <w:color w:val="auto"/>
          <w:spacing w:val="-2"/>
          <w:kern w:val="0"/>
          <w:highlight w:val="none"/>
        </w:rPr>
        <w:t>审</w:t>
      </w:r>
      <w:r>
        <w:rPr>
          <w:rFonts w:hint="eastAsia" w:ascii="宋体" w:hAnsi="宋体" w:eastAsia="宋体" w:cs="宋体"/>
          <w:color w:val="auto"/>
          <w:kern w:val="0"/>
          <w:highlight w:val="none"/>
        </w:rPr>
        <w:t>标</w:t>
      </w:r>
      <w:r>
        <w:rPr>
          <w:rFonts w:hint="eastAsia" w:ascii="宋体" w:hAnsi="宋体" w:eastAsia="宋体" w:cs="宋体"/>
          <w:color w:val="auto"/>
          <w:spacing w:val="-2"/>
          <w:kern w:val="0"/>
          <w:highlight w:val="none"/>
        </w:rPr>
        <w:t>准</w:t>
      </w:r>
      <w:r>
        <w:rPr>
          <w:rFonts w:hint="eastAsia" w:ascii="宋体" w:hAnsi="宋体" w:eastAsia="宋体" w:cs="宋体"/>
          <w:color w:val="auto"/>
          <w:kern w:val="0"/>
          <w:highlight w:val="none"/>
        </w:rPr>
        <w:t>：</w:t>
      </w:r>
      <w:r>
        <w:rPr>
          <w:rFonts w:hint="eastAsia" w:ascii="宋体" w:hAnsi="宋体" w:eastAsia="宋体" w:cs="宋体"/>
          <w:color w:val="auto"/>
          <w:spacing w:val="-2"/>
          <w:kern w:val="0"/>
          <w:highlight w:val="none"/>
        </w:rPr>
        <w:t>见评审办法</w:t>
      </w:r>
      <w:r>
        <w:rPr>
          <w:rFonts w:hint="eastAsia" w:ascii="宋体" w:hAnsi="宋体" w:eastAsia="宋体" w:cs="宋体"/>
          <w:color w:val="auto"/>
          <w:kern w:val="0"/>
          <w:highlight w:val="none"/>
        </w:rPr>
        <w:t>前</w:t>
      </w:r>
      <w:r>
        <w:rPr>
          <w:rFonts w:hint="eastAsia" w:ascii="宋体" w:hAnsi="宋体" w:eastAsia="宋体" w:cs="宋体"/>
          <w:color w:val="auto"/>
          <w:spacing w:val="-2"/>
          <w:kern w:val="0"/>
          <w:highlight w:val="none"/>
        </w:rPr>
        <w:t>附</w:t>
      </w:r>
      <w:r>
        <w:rPr>
          <w:rFonts w:hint="eastAsia" w:ascii="宋体" w:hAnsi="宋体" w:eastAsia="宋体" w:cs="宋体"/>
          <w:color w:val="auto"/>
          <w:kern w:val="0"/>
          <w:highlight w:val="none"/>
        </w:rPr>
        <w:t>表。</w:t>
      </w:r>
    </w:p>
    <w:p w14:paraId="36AED05E">
      <w:pPr>
        <w:numPr>
          <w:ilvl w:val="2"/>
          <w:numId w:val="10"/>
        </w:numPr>
        <w:autoSpaceDE w:val="0"/>
        <w:autoSpaceDN w:val="0"/>
        <w:adjustRightInd w:val="0"/>
        <w:spacing w:line="360" w:lineRule="auto"/>
        <w:ind w:right="-23"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响</w:t>
      </w:r>
      <w:r>
        <w:rPr>
          <w:rFonts w:hint="eastAsia" w:ascii="宋体" w:hAnsi="宋体" w:eastAsia="宋体" w:cs="宋体"/>
          <w:color w:val="auto"/>
          <w:spacing w:val="-2"/>
          <w:kern w:val="0"/>
          <w:highlight w:val="none"/>
        </w:rPr>
        <w:t>应</w:t>
      </w:r>
      <w:r>
        <w:rPr>
          <w:rFonts w:hint="eastAsia" w:ascii="宋体" w:hAnsi="宋体" w:eastAsia="宋体" w:cs="宋体"/>
          <w:color w:val="auto"/>
          <w:kern w:val="0"/>
          <w:highlight w:val="none"/>
        </w:rPr>
        <w:t>性</w:t>
      </w:r>
      <w:r>
        <w:rPr>
          <w:rFonts w:hint="eastAsia" w:ascii="宋体" w:hAnsi="宋体" w:eastAsia="宋体" w:cs="宋体"/>
          <w:color w:val="auto"/>
          <w:spacing w:val="-2"/>
          <w:kern w:val="0"/>
          <w:highlight w:val="none"/>
        </w:rPr>
        <w:t>评</w:t>
      </w:r>
      <w:r>
        <w:rPr>
          <w:rFonts w:hint="eastAsia" w:ascii="宋体" w:hAnsi="宋体" w:eastAsia="宋体" w:cs="宋体"/>
          <w:color w:val="auto"/>
          <w:kern w:val="0"/>
          <w:highlight w:val="none"/>
        </w:rPr>
        <w:t>审</w:t>
      </w:r>
      <w:r>
        <w:rPr>
          <w:rFonts w:hint="eastAsia" w:ascii="宋体" w:hAnsi="宋体" w:eastAsia="宋体" w:cs="宋体"/>
          <w:color w:val="auto"/>
          <w:spacing w:val="-2"/>
          <w:kern w:val="0"/>
          <w:highlight w:val="none"/>
        </w:rPr>
        <w:t>标</w:t>
      </w:r>
      <w:r>
        <w:rPr>
          <w:rFonts w:hint="eastAsia" w:ascii="宋体" w:hAnsi="宋体" w:eastAsia="宋体" w:cs="宋体"/>
          <w:color w:val="auto"/>
          <w:kern w:val="0"/>
          <w:highlight w:val="none"/>
        </w:rPr>
        <w:t>准</w:t>
      </w:r>
      <w:r>
        <w:rPr>
          <w:rFonts w:hint="eastAsia" w:ascii="宋体" w:hAnsi="宋体" w:eastAsia="宋体" w:cs="宋体"/>
          <w:color w:val="auto"/>
          <w:spacing w:val="-2"/>
          <w:kern w:val="0"/>
          <w:highlight w:val="none"/>
        </w:rPr>
        <w:t>：见</w:t>
      </w:r>
      <w:r>
        <w:rPr>
          <w:rFonts w:hint="eastAsia" w:ascii="宋体" w:hAnsi="宋体" w:eastAsia="宋体" w:cs="宋体"/>
          <w:color w:val="auto"/>
          <w:kern w:val="0"/>
          <w:highlight w:val="none"/>
        </w:rPr>
        <w:t>评审办法</w:t>
      </w:r>
      <w:r>
        <w:rPr>
          <w:rFonts w:hint="eastAsia" w:ascii="宋体" w:hAnsi="宋体" w:eastAsia="宋体" w:cs="宋体"/>
          <w:color w:val="auto"/>
          <w:spacing w:val="-2"/>
          <w:kern w:val="0"/>
          <w:highlight w:val="none"/>
        </w:rPr>
        <w:t>前</w:t>
      </w:r>
      <w:r>
        <w:rPr>
          <w:rFonts w:hint="eastAsia" w:ascii="宋体" w:hAnsi="宋体" w:eastAsia="宋体" w:cs="宋体"/>
          <w:color w:val="auto"/>
          <w:kern w:val="0"/>
          <w:highlight w:val="none"/>
        </w:rPr>
        <w:t>附</w:t>
      </w:r>
      <w:r>
        <w:rPr>
          <w:rFonts w:hint="eastAsia" w:ascii="宋体" w:hAnsi="宋体" w:eastAsia="宋体" w:cs="宋体"/>
          <w:color w:val="auto"/>
          <w:spacing w:val="-2"/>
          <w:kern w:val="0"/>
          <w:highlight w:val="none"/>
        </w:rPr>
        <w:t>表</w:t>
      </w:r>
      <w:r>
        <w:rPr>
          <w:rFonts w:hint="eastAsia" w:ascii="宋体" w:hAnsi="宋体" w:eastAsia="宋体" w:cs="宋体"/>
          <w:color w:val="auto"/>
          <w:kern w:val="0"/>
          <w:highlight w:val="none"/>
        </w:rPr>
        <w:t>。</w:t>
      </w:r>
    </w:p>
    <w:p w14:paraId="3BAB5EB5">
      <w:pPr>
        <w:pStyle w:val="4"/>
        <w:numPr>
          <w:ilvl w:val="1"/>
          <w:numId w:val="10"/>
        </w:numPr>
        <w:rPr>
          <w:rFonts w:hint="eastAsia" w:ascii="宋体" w:hAnsi="宋体" w:eastAsia="宋体" w:cs="宋体"/>
          <w:color w:val="auto"/>
          <w:highlight w:val="none"/>
        </w:rPr>
      </w:pPr>
      <w:bookmarkStart w:id="720" w:name="_Toc29623340"/>
      <w:bookmarkStart w:id="721" w:name="_Toc8909"/>
      <w:bookmarkStart w:id="722" w:name="_Toc27753991"/>
      <w:bookmarkStart w:id="723" w:name="_Toc4059"/>
      <w:bookmarkStart w:id="724" w:name="_Toc3639"/>
      <w:r>
        <w:rPr>
          <w:rFonts w:hint="eastAsia" w:ascii="宋体" w:hAnsi="宋体" w:eastAsia="宋体" w:cs="宋体"/>
          <w:color w:val="auto"/>
          <w:highlight w:val="none"/>
        </w:rPr>
        <w:t>分值构成与评分标准</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p>
    <w:p w14:paraId="41783490">
      <w:pPr>
        <w:numPr>
          <w:ilvl w:val="2"/>
          <w:numId w:val="10"/>
        </w:numPr>
        <w:autoSpaceDE w:val="0"/>
        <w:autoSpaceDN w:val="0"/>
        <w:adjustRightInd w:val="0"/>
        <w:spacing w:line="360" w:lineRule="auto"/>
        <w:ind w:right="-23"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分值构成</w:t>
      </w:r>
    </w:p>
    <w:p w14:paraId="0182569F">
      <w:pPr>
        <w:numPr>
          <w:ilvl w:val="0"/>
          <w:numId w:val="11"/>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报价得分：见评审办法前附表；</w:t>
      </w:r>
    </w:p>
    <w:p w14:paraId="524E890B">
      <w:pPr>
        <w:numPr>
          <w:ilvl w:val="0"/>
          <w:numId w:val="11"/>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技术部分：见评审办法前附表；</w:t>
      </w:r>
    </w:p>
    <w:p w14:paraId="3A346993">
      <w:pPr>
        <w:numPr>
          <w:ilvl w:val="0"/>
          <w:numId w:val="11"/>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商务部分：见评审办法前附表；</w:t>
      </w:r>
    </w:p>
    <w:p w14:paraId="1391B6CB">
      <w:pPr>
        <w:numPr>
          <w:ilvl w:val="2"/>
          <w:numId w:val="10"/>
        </w:numPr>
        <w:autoSpaceDE w:val="0"/>
        <w:autoSpaceDN w:val="0"/>
        <w:adjustRightInd w:val="0"/>
        <w:spacing w:line="360" w:lineRule="auto"/>
        <w:ind w:right="-23"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评分标准</w:t>
      </w:r>
    </w:p>
    <w:p w14:paraId="6D76923F">
      <w:pPr>
        <w:numPr>
          <w:ilvl w:val="0"/>
          <w:numId w:val="12"/>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报价得分标准：见评审办法前附表；</w:t>
      </w:r>
    </w:p>
    <w:p w14:paraId="720A963D">
      <w:pPr>
        <w:numPr>
          <w:ilvl w:val="0"/>
          <w:numId w:val="12"/>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技术部分标准：见评审办法前附表；</w:t>
      </w:r>
    </w:p>
    <w:p w14:paraId="4BEDB3ED">
      <w:pPr>
        <w:numPr>
          <w:ilvl w:val="0"/>
          <w:numId w:val="12"/>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商务部分标准：见评审办法前附表；</w:t>
      </w:r>
    </w:p>
    <w:p w14:paraId="2F2E23A0">
      <w:pPr>
        <w:pStyle w:val="4"/>
        <w:numPr>
          <w:ilvl w:val="0"/>
          <w:numId w:val="10"/>
        </w:numPr>
        <w:rPr>
          <w:rFonts w:hint="eastAsia" w:ascii="宋体" w:hAnsi="宋体" w:eastAsia="宋体" w:cs="宋体"/>
          <w:color w:val="auto"/>
          <w:highlight w:val="none"/>
        </w:rPr>
      </w:pPr>
      <w:bookmarkStart w:id="725" w:name="_Toc27753992"/>
      <w:bookmarkStart w:id="726" w:name="_Toc4338"/>
      <w:bookmarkStart w:id="727" w:name="_Toc22175"/>
      <w:bookmarkStart w:id="728" w:name="_Toc21732"/>
      <w:bookmarkStart w:id="729" w:name="_Toc5605"/>
      <w:bookmarkStart w:id="730" w:name="_Toc1740"/>
      <w:bookmarkStart w:id="731" w:name="_Toc29623341"/>
      <w:bookmarkStart w:id="732" w:name="_Toc5149"/>
      <w:bookmarkStart w:id="733" w:name="_Toc16356"/>
      <w:bookmarkStart w:id="734" w:name="_Toc29125"/>
      <w:bookmarkStart w:id="735" w:name="_Toc28724"/>
      <w:bookmarkStart w:id="736" w:name="_Toc4064"/>
      <w:bookmarkStart w:id="737" w:name="_Toc26726"/>
      <w:r>
        <w:rPr>
          <w:rFonts w:hint="eastAsia" w:ascii="宋体" w:hAnsi="宋体" w:eastAsia="宋体" w:cs="宋体"/>
          <w:color w:val="auto"/>
          <w:sz w:val="24"/>
          <w:szCs w:val="24"/>
          <w:highlight w:val="none"/>
        </w:rPr>
        <w:t>评审程序</w:t>
      </w:r>
      <w:bookmarkEnd w:id="725"/>
      <w:bookmarkEnd w:id="726"/>
      <w:bookmarkEnd w:id="727"/>
      <w:bookmarkEnd w:id="728"/>
      <w:bookmarkEnd w:id="729"/>
      <w:bookmarkEnd w:id="730"/>
      <w:bookmarkEnd w:id="731"/>
      <w:bookmarkEnd w:id="732"/>
      <w:bookmarkEnd w:id="733"/>
      <w:bookmarkEnd w:id="734"/>
      <w:bookmarkEnd w:id="735"/>
      <w:bookmarkEnd w:id="736"/>
      <w:bookmarkEnd w:id="737"/>
    </w:p>
    <w:p w14:paraId="00DE066E">
      <w:pPr>
        <w:pStyle w:val="4"/>
        <w:numPr>
          <w:ilvl w:val="1"/>
          <w:numId w:val="10"/>
        </w:numPr>
        <w:rPr>
          <w:rFonts w:hint="eastAsia" w:ascii="宋体" w:hAnsi="宋体" w:eastAsia="宋体" w:cs="宋体"/>
          <w:color w:val="auto"/>
          <w:highlight w:val="none"/>
        </w:rPr>
      </w:pPr>
      <w:bookmarkStart w:id="738" w:name="_Toc6120"/>
      <w:bookmarkStart w:id="739" w:name="_Toc9443"/>
      <w:bookmarkStart w:id="740" w:name="_Toc1654"/>
      <w:bookmarkStart w:id="741" w:name="_Toc18983"/>
      <w:bookmarkStart w:id="742" w:name="_Toc26056"/>
      <w:bookmarkStart w:id="743" w:name="_Toc5708"/>
      <w:bookmarkStart w:id="744" w:name="_Toc17957"/>
      <w:bookmarkStart w:id="745" w:name="_Toc3824"/>
      <w:bookmarkStart w:id="746" w:name="_Toc27753993"/>
      <w:bookmarkStart w:id="747" w:name="_Toc10682"/>
      <w:bookmarkStart w:id="748" w:name="_Toc9613"/>
      <w:bookmarkStart w:id="749" w:name="_Toc7036"/>
      <w:bookmarkStart w:id="750" w:name="_Toc32083"/>
      <w:bookmarkStart w:id="751" w:name="_Toc29623342"/>
      <w:r>
        <w:rPr>
          <w:rFonts w:hint="eastAsia" w:ascii="宋体" w:hAnsi="宋体" w:eastAsia="宋体" w:cs="宋体"/>
          <w:color w:val="auto"/>
          <w:highlight w:val="none"/>
        </w:rPr>
        <w:t>初步评审</w:t>
      </w:r>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04D79601">
      <w:pPr>
        <w:numPr>
          <w:ilvl w:val="2"/>
          <w:numId w:val="10"/>
        </w:numPr>
        <w:autoSpaceDE w:val="0"/>
        <w:autoSpaceDN w:val="0"/>
        <w:adjustRightInd w:val="0"/>
        <w:spacing w:line="360" w:lineRule="auto"/>
        <w:ind w:right="-23"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磋商小组依据本章评审办法前附表规定的标准，对供应商的响应文件进行初步评审，以确定其是否满足竞争性磋商文件的实质性要求，有一项不符合评审标准的，磋商小组应当认定其响应文件无效。</w:t>
      </w:r>
    </w:p>
    <w:p w14:paraId="16DA0C34">
      <w:pPr>
        <w:numPr>
          <w:ilvl w:val="2"/>
          <w:numId w:val="10"/>
        </w:numPr>
        <w:autoSpaceDE w:val="0"/>
        <w:autoSpaceDN w:val="0"/>
        <w:adjustRightInd w:val="0"/>
        <w:spacing w:line="360" w:lineRule="auto"/>
        <w:ind w:right="-23"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磋商报价有算术错误及其他错误的，磋商小组按以下原则要求供应商对磋商报价进行修正</w:t>
      </w:r>
    </w:p>
    <w:p w14:paraId="317CCFB1">
      <w:pPr>
        <w:numPr>
          <w:ilvl w:val="0"/>
          <w:numId w:val="13"/>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大写金额和小写金额不一致的，以大写金额为准，但大写金额文字存在错误的，应当先对大写金额的文字错误进行澄清、说明或者更正，再行修正。</w:t>
      </w:r>
    </w:p>
    <w:p w14:paraId="6F7B7F3C">
      <w:pPr>
        <w:numPr>
          <w:ilvl w:val="0"/>
          <w:numId w:val="13"/>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总价金额与按单价汇总金额不一致的，以单价金额计算结果为准，但单价或者单价汇总金额存在数字或者文字错误的，应当先对数字或者文字错误进行澄清、说明或者更正，再行修正。</w:t>
      </w:r>
    </w:p>
    <w:p w14:paraId="0C6516B9">
      <w:pPr>
        <w:numPr>
          <w:ilvl w:val="0"/>
          <w:numId w:val="13"/>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t>单价金额小数点或者百分比有明显错位的，以总价为准，修正单价。</w:t>
      </w:r>
    </w:p>
    <w:p w14:paraId="23ADB06B">
      <w:pPr>
        <w:numPr>
          <w:ilvl w:val="0"/>
          <w:numId w:val="13"/>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highlight w:val="none"/>
        </w:rPr>
        <w:t>同时出现两种以上不一致的，按照上述规定的顺序修正。</w:t>
      </w:r>
      <w:r>
        <w:rPr>
          <w:rFonts w:hint="eastAsia" w:ascii="宋体" w:hAnsi="宋体" w:eastAsia="宋体" w:cs="宋体"/>
          <w:color w:val="auto"/>
          <w:kern w:val="0"/>
          <w:highlight w:val="none"/>
        </w:rPr>
        <w:t>修正后的报价应当采用书面形式，并加盖公章或者由法定代表人或其授权的代表签字，供应商不确认的，其投标无效。</w:t>
      </w:r>
    </w:p>
    <w:p w14:paraId="12C2FDC8">
      <w:pPr>
        <w:pStyle w:val="4"/>
        <w:numPr>
          <w:ilvl w:val="1"/>
          <w:numId w:val="10"/>
        </w:numPr>
        <w:rPr>
          <w:rFonts w:hint="eastAsia" w:ascii="宋体" w:hAnsi="宋体" w:eastAsia="宋体" w:cs="宋体"/>
          <w:color w:val="auto"/>
          <w:highlight w:val="none"/>
        </w:rPr>
      </w:pPr>
      <w:bookmarkStart w:id="752" w:name="_Toc29623343"/>
      <w:bookmarkStart w:id="753" w:name="_Toc30329"/>
      <w:bookmarkStart w:id="754" w:name="_Toc27753994"/>
      <w:r>
        <w:rPr>
          <w:rFonts w:hint="eastAsia" w:ascii="宋体" w:hAnsi="宋体" w:eastAsia="宋体" w:cs="宋体"/>
          <w:color w:val="auto"/>
          <w:highlight w:val="none"/>
        </w:rPr>
        <w:t>详细磋商</w:t>
      </w:r>
      <w:bookmarkEnd w:id="752"/>
      <w:bookmarkEnd w:id="753"/>
      <w:bookmarkEnd w:id="754"/>
    </w:p>
    <w:p w14:paraId="753C995F">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磋商小组集中与单一供应商分别进行磋商。磋商</w:t>
      </w:r>
      <w:r>
        <w:rPr>
          <w:rFonts w:hint="eastAsia" w:ascii="宋体" w:hAnsi="宋体" w:eastAsia="宋体" w:cs="宋体"/>
          <w:bCs/>
          <w:color w:val="auto"/>
          <w:kern w:val="0"/>
          <w:highlight w:val="none"/>
          <w:lang w:val="en-US" w:eastAsia="zh-CN"/>
        </w:rPr>
        <w:t>在系统中进行</w:t>
      </w:r>
      <w:r>
        <w:rPr>
          <w:rFonts w:hint="eastAsia" w:ascii="宋体" w:hAnsi="宋体" w:eastAsia="宋体" w:cs="宋体"/>
          <w:bCs/>
          <w:color w:val="auto"/>
          <w:kern w:val="0"/>
          <w:highlight w:val="none"/>
        </w:rPr>
        <w:t>，在磋商中，磋商双方可以就磋商项目所涉及的价格、技术、服务、合同草案条款等进行实质性磋商，但磋商的任何一方不得透露与磋商有关的其他供应商的商业秘密、技术资料、价格和其他信息。</w:t>
      </w:r>
    </w:p>
    <w:p w14:paraId="2C1B749C">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在磋商过程中，磋商小组可以根据</w:t>
      </w:r>
      <w:r>
        <w:rPr>
          <w:rFonts w:hint="eastAsia" w:ascii="宋体" w:hAnsi="宋体" w:eastAsia="宋体" w:cs="宋体"/>
          <w:color w:val="auto"/>
          <w:highlight w:val="none"/>
        </w:rPr>
        <w:t>竞争性</w:t>
      </w:r>
      <w:r>
        <w:rPr>
          <w:rFonts w:hint="eastAsia" w:ascii="宋体" w:hAnsi="宋体" w:eastAsia="宋体" w:cs="宋体"/>
          <w:bCs/>
          <w:color w:val="auto"/>
          <w:kern w:val="0"/>
          <w:highlight w:val="none"/>
        </w:rPr>
        <w:t>磋商文件和磋商情况实质性变动</w:t>
      </w:r>
      <w:r>
        <w:rPr>
          <w:rFonts w:hint="eastAsia" w:ascii="宋体" w:hAnsi="宋体" w:eastAsia="宋体" w:cs="宋体"/>
          <w:bCs/>
          <w:color w:val="auto"/>
          <w:kern w:val="0"/>
          <w:highlight w:val="none"/>
          <w:lang w:eastAsia="zh-CN"/>
        </w:rPr>
        <w:t>采购内容及要求</w:t>
      </w:r>
      <w:r>
        <w:rPr>
          <w:rFonts w:hint="eastAsia" w:ascii="宋体" w:hAnsi="宋体" w:eastAsia="宋体" w:cs="宋体"/>
          <w:bCs/>
          <w:color w:val="auto"/>
          <w:kern w:val="0"/>
          <w:highlight w:val="none"/>
        </w:rPr>
        <w:t>中的技术、服务要求以及合同草案条款，但不得变动</w:t>
      </w:r>
      <w:r>
        <w:rPr>
          <w:rFonts w:hint="eastAsia" w:ascii="宋体" w:hAnsi="宋体" w:eastAsia="宋体" w:cs="宋体"/>
          <w:color w:val="auto"/>
          <w:highlight w:val="none"/>
        </w:rPr>
        <w:t>竞争性</w:t>
      </w:r>
      <w:r>
        <w:rPr>
          <w:rFonts w:hint="eastAsia" w:ascii="宋体" w:hAnsi="宋体" w:eastAsia="宋体" w:cs="宋体"/>
          <w:bCs/>
          <w:color w:val="auto"/>
          <w:kern w:val="0"/>
          <w:highlight w:val="none"/>
        </w:rPr>
        <w:t>磋商文件中的其他内容。实质性变动的内容，须经采购人代表确认。</w:t>
      </w:r>
    </w:p>
    <w:p w14:paraId="30B810F8">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对</w:t>
      </w:r>
      <w:r>
        <w:rPr>
          <w:rFonts w:hint="eastAsia" w:ascii="宋体" w:hAnsi="宋体" w:eastAsia="宋体" w:cs="宋体"/>
          <w:color w:val="auto"/>
          <w:highlight w:val="none"/>
        </w:rPr>
        <w:t>竞争性</w:t>
      </w:r>
      <w:r>
        <w:rPr>
          <w:rFonts w:hint="eastAsia" w:ascii="宋体" w:hAnsi="宋体" w:eastAsia="宋体" w:cs="宋体"/>
          <w:bCs/>
          <w:color w:val="auto"/>
          <w:kern w:val="0"/>
          <w:highlight w:val="none"/>
        </w:rPr>
        <w:t>磋商文件作出的实质性变动是</w:t>
      </w:r>
      <w:r>
        <w:rPr>
          <w:rFonts w:hint="eastAsia" w:ascii="宋体" w:hAnsi="宋体" w:eastAsia="宋体" w:cs="宋体"/>
          <w:color w:val="auto"/>
          <w:highlight w:val="none"/>
        </w:rPr>
        <w:t>竞争性</w:t>
      </w:r>
      <w:r>
        <w:rPr>
          <w:rFonts w:hint="eastAsia" w:ascii="宋体" w:hAnsi="宋体" w:eastAsia="宋体" w:cs="宋体"/>
          <w:bCs/>
          <w:color w:val="auto"/>
          <w:kern w:val="0"/>
          <w:highlight w:val="none"/>
        </w:rPr>
        <w:t>磋商文件的有效组成部分，磋商小组应当以书面形式同时通知所有参加磋商的供应商。</w:t>
      </w:r>
    </w:p>
    <w:p w14:paraId="04F1C26A">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color w:val="auto"/>
          <w:highlight w:val="none"/>
        </w:rPr>
        <w:t>竞争性磋商文件不能详细列明采购标的的技术、服务要求，需经磋商由供应商提供最终设计方案或解决方案的，磋商结束后，磋商小组应当按照少数服从多数的原则投票推荐</w:t>
      </w:r>
      <w:r>
        <w:rPr>
          <w:rFonts w:hint="eastAsia" w:ascii="宋体" w:hAnsi="宋体" w:eastAsia="宋体" w:cs="宋体"/>
          <w:color w:val="auto"/>
          <w:highlight w:val="none"/>
          <w:lang w:val="en-US" w:eastAsia="zh-CN"/>
        </w:rPr>
        <w:t>1-</w:t>
      </w:r>
      <w:r>
        <w:rPr>
          <w:rFonts w:hint="eastAsia" w:ascii="宋体" w:hAnsi="宋体" w:eastAsia="宋体" w:cs="宋体"/>
          <w:color w:val="auto"/>
          <w:highlight w:val="none"/>
        </w:rPr>
        <w:t>3家以上供应商的设计方案或者解决方案，并要求其在规定时间内提交最后报价</w:t>
      </w:r>
      <w:r>
        <w:rPr>
          <w:rFonts w:hint="eastAsia" w:ascii="宋体" w:hAnsi="宋体" w:eastAsia="宋体" w:cs="宋体"/>
          <w:bCs/>
          <w:color w:val="auto"/>
          <w:kern w:val="0"/>
          <w:highlight w:val="none"/>
        </w:rPr>
        <w:t>。</w:t>
      </w:r>
    </w:p>
    <w:p w14:paraId="70BF07B6">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color w:val="auto"/>
          <w:highlight w:val="none"/>
        </w:rPr>
        <w:t>竞争性磋商文件能够详细列明采购标的的技术、服务要求的，磋商结束后，磋商小组应当要求所有实质性响应的供应商在规定时间内提交最后报价</w:t>
      </w:r>
      <w:r>
        <w:rPr>
          <w:rFonts w:hint="eastAsia" w:ascii="宋体" w:hAnsi="宋体" w:eastAsia="宋体" w:cs="宋体"/>
          <w:b/>
          <w:bCs/>
          <w:color w:val="auto"/>
          <w:highlight w:val="none"/>
        </w:rPr>
        <w:t>。</w:t>
      </w:r>
    </w:p>
    <w:p w14:paraId="4A944F58">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最后报价（二轮报价）是供应商响应文件的有效组成部分【</w:t>
      </w:r>
      <w:r>
        <w:rPr>
          <w:rFonts w:hint="eastAsia" w:ascii="宋体" w:hAnsi="宋体" w:eastAsia="宋体" w:cs="宋体"/>
          <w:b/>
          <w:bCs/>
          <w:color w:val="auto"/>
          <w:highlight w:val="none"/>
        </w:rPr>
        <w:t>注：最后报价明显低于成本价的，供应商需</w:t>
      </w:r>
      <w:r>
        <w:rPr>
          <w:rFonts w:hint="eastAsia" w:ascii="宋体" w:hAnsi="宋体" w:eastAsia="宋体" w:cs="宋体"/>
          <w:b/>
          <w:bCs/>
          <w:color w:val="auto"/>
          <w:highlight w:val="none"/>
          <w:lang w:val="en-US" w:eastAsia="zh-CN"/>
        </w:rPr>
        <w:t>提供证明材料、</w:t>
      </w:r>
      <w:r>
        <w:rPr>
          <w:rFonts w:hint="eastAsia" w:ascii="宋体" w:hAnsi="宋体" w:eastAsia="宋体" w:cs="宋体"/>
          <w:b/>
          <w:bCs/>
          <w:color w:val="auto"/>
          <w:highlight w:val="none"/>
        </w:rPr>
        <w:t>做出合理说明，否则将承担不被接受的风险</w:t>
      </w:r>
      <w:r>
        <w:rPr>
          <w:rFonts w:hint="eastAsia" w:ascii="宋体" w:hAnsi="宋体" w:eastAsia="宋体" w:cs="宋体"/>
          <w:bCs/>
          <w:color w:val="auto"/>
          <w:kern w:val="0"/>
          <w:highlight w:val="none"/>
        </w:rPr>
        <w:t>】。</w:t>
      </w:r>
    </w:p>
    <w:p w14:paraId="4581EE23">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情况特殊,经磋商小组根据磋商现场情况，可以要求供应商适当进行多轮报价。</w:t>
      </w:r>
    </w:p>
    <w:p w14:paraId="36F5DB8C">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经磋商确定最终</w:t>
      </w:r>
      <w:r>
        <w:rPr>
          <w:rFonts w:hint="eastAsia" w:ascii="宋体" w:hAnsi="宋体" w:eastAsia="宋体" w:cs="宋体"/>
          <w:bCs/>
          <w:color w:val="auto"/>
          <w:kern w:val="0"/>
          <w:highlight w:val="none"/>
          <w:lang w:eastAsia="zh-CN"/>
        </w:rPr>
        <w:t>采购内容及要求</w:t>
      </w:r>
      <w:r>
        <w:rPr>
          <w:rFonts w:hint="eastAsia" w:ascii="宋体" w:hAnsi="宋体" w:eastAsia="宋体" w:cs="宋体"/>
          <w:bCs/>
          <w:color w:val="auto"/>
          <w:kern w:val="0"/>
          <w:highlight w:val="none"/>
        </w:rPr>
        <w:t>和提交最后报价的供应商后，由磋商小组采用综合评分法对提交最后报价的供应商的响应文件和最后报价进行综合评分。</w:t>
      </w:r>
    </w:p>
    <w:p w14:paraId="23782908">
      <w:pPr>
        <w:pStyle w:val="4"/>
        <w:numPr>
          <w:ilvl w:val="1"/>
          <w:numId w:val="10"/>
        </w:numPr>
        <w:rPr>
          <w:rFonts w:hint="eastAsia" w:ascii="宋体" w:hAnsi="宋体" w:eastAsia="宋体" w:cs="宋体"/>
          <w:color w:val="auto"/>
          <w:highlight w:val="none"/>
        </w:rPr>
      </w:pPr>
      <w:bookmarkStart w:id="755" w:name="_Toc30428"/>
      <w:bookmarkStart w:id="756" w:name="_Toc24391"/>
      <w:bookmarkStart w:id="757" w:name="_Toc18430"/>
      <w:bookmarkStart w:id="758" w:name="_Toc13336"/>
      <w:bookmarkStart w:id="759" w:name="_Toc10132"/>
      <w:bookmarkStart w:id="760" w:name="_Toc26213"/>
      <w:bookmarkStart w:id="761" w:name="_Toc22449"/>
      <w:bookmarkStart w:id="762" w:name="_Toc12089"/>
      <w:bookmarkStart w:id="763" w:name="_Toc18705"/>
      <w:bookmarkStart w:id="764" w:name="_Toc27753995"/>
      <w:bookmarkStart w:id="765" w:name="_Toc1221"/>
      <w:bookmarkStart w:id="766" w:name="_Toc29623344"/>
      <w:bookmarkStart w:id="767" w:name="_Toc2549"/>
      <w:bookmarkStart w:id="768" w:name="_Toc8285"/>
      <w:r>
        <w:rPr>
          <w:rFonts w:hint="eastAsia" w:ascii="宋体" w:hAnsi="宋体" w:eastAsia="宋体" w:cs="宋体"/>
          <w:color w:val="auto"/>
          <w:highlight w:val="none"/>
        </w:rPr>
        <w:t>详细评审</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p>
    <w:p w14:paraId="27478A13">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磋商小组按本章评审方法规定的量化因素和分值进行打分，并计算出综合得分。</w:t>
      </w:r>
    </w:p>
    <w:p w14:paraId="5639BC01">
      <w:pPr>
        <w:numPr>
          <w:ilvl w:val="0"/>
          <w:numId w:val="14"/>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按本章第2.2.2（1）目规定的评审因素和分值对报价得分计算出得分A；</w:t>
      </w:r>
    </w:p>
    <w:p w14:paraId="121CDC3A">
      <w:pPr>
        <w:numPr>
          <w:ilvl w:val="0"/>
          <w:numId w:val="14"/>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按本章第2.2.2（2）目规定的评审因素和分值对技术部分计算出得分B；</w:t>
      </w:r>
    </w:p>
    <w:p w14:paraId="5E48768F">
      <w:pPr>
        <w:numPr>
          <w:ilvl w:val="0"/>
          <w:numId w:val="14"/>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按本章第2.2.2（3）目规定的评审因素和分值对商务部分计算出得分C。</w:t>
      </w:r>
    </w:p>
    <w:p w14:paraId="54B194AB">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评分分值计算保留小数点后两位，小数点后第三位“四舍五入”。</w:t>
      </w:r>
    </w:p>
    <w:p w14:paraId="3D316FCA">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供应商得分=A+B+C。</w:t>
      </w:r>
    </w:p>
    <w:p w14:paraId="0109C114">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磋商小组认为供应商的最后报价明显低于成本价的，有可能影响产品质量或者不能诚信履约的，应当要求其在评审现场合理的时间内提供书面说明，必要时提交相关证明材料；供应商不能证明其报价合理性的，磋商小组应当将其作为无效投标处理。</w:t>
      </w:r>
    </w:p>
    <w:p w14:paraId="2DA4A5B1">
      <w:pPr>
        <w:pStyle w:val="4"/>
        <w:numPr>
          <w:ilvl w:val="1"/>
          <w:numId w:val="10"/>
        </w:numPr>
        <w:rPr>
          <w:rFonts w:hint="eastAsia" w:ascii="宋体" w:hAnsi="宋体" w:eastAsia="宋体" w:cs="宋体"/>
          <w:color w:val="auto"/>
          <w:highlight w:val="none"/>
        </w:rPr>
      </w:pPr>
      <w:bookmarkStart w:id="769" w:name="_Toc2162"/>
      <w:bookmarkStart w:id="770" w:name="_Toc29623345"/>
      <w:bookmarkStart w:id="771" w:name="_Toc30364"/>
      <w:bookmarkStart w:id="772" w:name="_Toc12279"/>
      <w:bookmarkStart w:id="773" w:name="_Toc27753996"/>
      <w:bookmarkStart w:id="774" w:name="_Toc7845"/>
      <w:bookmarkStart w:id="775" w:name="_Toc5640"/>
      <w:bookmarkStart w:id="776" w:name="_Toc18083"/>
      <w:bookmarkStart w:id="777" w:name="_Toc11722"/>
      <w:bookmarkStart w:id="778" w:name="_Toc9150"/>
      <w:bookmarkStart w:id="779" w:name="_Toc6048"/>
      <w:bookmarkStart w:id="780" w:name="_Toc18532"/>
      <w:bookmarkStart w:id="781" w:name="_Toc18381"/>
      <w:r>
        <w:rPr>
          <w:rFonts w:hint="eastAsia" w:ascii="宋体" w:hAnsi="宋体" w:eastAsia="宋体" w:cs="宋体"/>
          <w:color w:val="auto"/>
          <w:highlight w:val="none"/>
        </w:rPr>
        <w:t>响应文件的澄清</w:t>
      </w:r>
      <w:bookmarkEnd w:id="769"/>
      <w:bookmarkEnd w:id="770"/>
      <w:bookmarkEnd w:id="771"/>
      <w:bookmarkEnd w:id="772"/>
      <w:bookmarkEnd w:id="773"/>
      <w:bookmarkEnd w:id="774"/>
      <w:bookmarkEnd w:id="775"/>
      <w:bookmarkEnd w:id="776"/>
      <w:bookmarkEnd w:id="777"/>
      <w:bookmarkEnd w:id="778"/>
      <w:bookmarkEnd w:id="779"/>
      <w:bookmarkEnd w:id="780"/>
      <w:bookmarkEnd w:id="781"/>
    </w:p>
    <w:p w14:paraId="57C8C092">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在评审过程中，磋商小组可以书面形式要求供应商对响应文件中含义不明确、对同类问题表述不一致或者有明显文字和计算错误的内容作必要的澄清、说明或补正。澄清、说明或补正应以书面方式进行，并加盖公章，或者由法定代表人或其授权的代表签字。磋商小组不接受供应商主动提出的澄清、说明或补正。</w:t>
      </w:r>
    </w:p>
    <w:p w14:paraId="0622919C">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澄清、说明或补正不得超出响应文件的范围且不得改变响应文件的实质性内容，并构成响应文件的组成部分。</w:t>
      </w:r>
    </w:p>
    <w:p w14:paraId="04917E1C">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磋商小组对供应商提交的澄清、说明或补正有疑问的，可以要求供应商进一步澄清、说明或补正，直至满足磋商小组的要求。</w:t>
      </w:r>
    </w:p>
    <w:p w14:paraId="2EFC8F83">
      <w:pPr>
        <w:pStyle w:val="4"/>
        <w:numPr>
          <w:ilvl w:val="1"/>
          <w:numId w:val="10"/>
        </w:numPr>
        <w:rPr>
          <w:rFonts w:hint="eastAsia" w:ascii="宋体" w:hAnsi="宋体" w:eastAsia="宋体" w:cs="宋体"/>
          <w:color w:val="auto"/>
          <w:highlight w:val="none"/>
        </w:rPr>
      </w:pPr>
      <w:bookmarkStart w:id="782" w:name="_Toc29623346"/>
      <w:bookmarkStart w:id="783" w:name="_Toc27753997"/>
      <w:bookmarkStart w:id="784" w:name="_Toc20253"/>
      <w:r>
        <w:rPr>
          <w:rFonts w:hint="eastAsia" w:ascii="宋体" w:hAnsi="宋体" w:eastAsia="宋体" w:cs="宋体"/>
          <w:color w:val="auto"/>
          <w:highlight w:val="none"/>
        </w:rPr>
        <w:t>评审结果</w:t>
      </w:r>
      <w:bookmarkEnd w:id="782"/>
      <w:bookmarkEnd w:id="783"/>
      <w:bookmarkEnd w:id="784"/>
    </w:p>
    <w:p w14:paraId="2534471E">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rPr>
        <w:t>除采购人授权直接确定成交供应商外，按照评审得分由高到低顺序推荐3名成交候选供应商，评审得分相同的，按照最后报价由低到高的顺序推荐。评审得分且最后报价相同的并列。</w:t>
      </w:r>
    </w:p>
    <w:p w14:paraId="71E05804">
      <w:pPr>
        <w:numPr>
          <w:ilvl w:val="2"/>
          <w:numId w:val="10"/>
        </w:numPr>
        <w:wordWrap/>
        <w:topLinePunct w:val="0"/>
        <w:autoSpaceDE w:val="0"/>
        <w:autoSpaceDN w:val="0"/>
        <w:adjustRightInd w:val="0"/>
        <w:spacing w:before="40" w:line="360" w:lineRule="auto"/>
        <w:ind w:right="142" w:firstLine="420" w:firstLineChars="200"/>
        <w:jc w:val="left"/>
        <w:rPr>
          <w:rFonts w:hint="eastAsia" w:ascii="宋体" w:hAnsi="宋体" w:eastAsia="宋体" w:cs="宋体"/>
          <w:bCs/>
          <w:color w:val="auto"/>
          <w:kern w:val="0"/>
          <w:highlight w:val="none"/>
        </w:rPr>
      </w:pPr>
      <w:r>
        <w:rPr>
          <w:rFonts w:hint="eastAsia" w:ascii="宋体" w:hAnsi="宋体" w:eastAsia="宋体" w:cs="宋体"/>
          <w:color w:val="auto"/>
          <w:highlight w:val="none"/>
        </w:rPr>
        <w:t xml:space="preserve"> 磋商小组完成评审后，应当向采购人提交书面评审报告和成交候选人名单</w:t>
      </w:r>
      <w:r>
        <w:rPr>
          <w:rFonts w:hint="eastAsia" w:ascii="宋体" w:hAnsi="宋体" w:eastAsia="宋体" w:cs="宋体"/>
          <w:bCs/>
          <w:color w:val="auto"/>
          <w:kern w:val="0"/>
          <w:highlight w:val="none"/>
        </w:rPr>
        <w:t>并编写评审报告。</w:t>
      </w:r>
    </w:p>
    <w:p w14:paraId="6E51519D">
      <w:pPr>
        <w:spacing w:line="440" w:lineRule="exact"/>
        <w:rPr>
          <w:rFonts w:hint="eastAsia" w:ascii="宋体" w:hAnsi="宋体" w:eastAsia="宋体" w:cs="宋体"/>
          <w:color w:val="auto"/>
          <w:szCs w:val="21"/>
          <w:highlight w:val="none"/>
          <w:lang w:val="en-US" w:eastAsia="zh-CN"/>
        </w:rPr>
      </w:pPr>
    </w:p>
    <w:p w14:paraId="42FE4FDA">
      <w:pPr>
        <w:pStyle w:val="8"/>
        <w:rPr>
          <w:rFonts w:hint="eastAsia" w:ascii="宋体" w:hAnsi="宋体" w:eastAsia="宋体" w:cs="宋体"/>
          <w:color w:val="auto"/>
          <w:szCs w:val="21"/>
          <w:highlight w:val="none"/>
          <w:lang w:val="en-US" w:eastAsia="zh-CN"/>
        </w:rPr>
      </w:pPr>
    </w:p>
    <w:p w14:paraId="60B7E038">
      <w:pPr>
        <w:pStyle w:val="8"/>
        <w:rPr>
          <w:rFonts w:hint="eastAsia" w:ascii="宋体" w:hAnsi="宋体" w:eastAsia="宋体" w:cs="宋体"/>
          <w:color w:val="auto"/>
          <w:szCs w:val="21"/>
          <w:highlight w:val="none"/>
          <w:lang w:val="en-US" w:eastAsia="zh-CN"/>
        </w:rPr>
      </w:pPr>
    </w:p>
    <w:p w14:paraId="4813CEC7">
      <w:pPr>
        <w:spacing w:line="440" w:lineRule="exact"/>
        <w:rPr>
          <w:rFonts w:hint="eastAsia" w:ascii="宋体" w:hAnsi="宋体" w:eastAsia="宋体" w:cs="宋体"/>
          <w:color w:val="auto"/>
          <w:szCs w:val="21"/>
          <w:highlight w:val="none"/>
          <w:lang w:val="en-US" w:eastAsia="zh-CN"/>
        </w:rPr>
      </w:pPr>
    </w:p>
    <w:p w14:paraId="4C528A28">
      <w:pPr>
        <w:pStyle w:val="8"/>
        <w:rPr>
          <w:rFonts w:hint="eastAsia" w:ascii="宋体" w:hAnsi="宋体" w:eastAsia="宋体" w:cs="宋体"/>
          <w:color w:val="auto"/>
          <w:szCs w:val="21"/>
          <w:highlight w:val="none"/>
          <w:lang w:val="en-US" w:eastAsia="zh-CN"/>
        </w:rPr>
      </w:pPr>
    </w:p>
    <w:p w14:paraId="1DCC72B8">
      <w:pPr>
        <w:pStyle w:val="8"/>
        <w:rPr>
          <w:rFonts w:hint="eastAsia" w:ascii="宋体" w:hAnsi="宋体" w:eastAsia="宋体" w:cs="宋体"/>
          <w:color w:val="auto"/>
          <w:szCs w:val="21"/>
          <w:highlight w:val="none"/>
          <w:lang w:val="en-US" w:eastAsia="zh-CN"/>
        </w:rPr>
      </w:pPr>
    </w:p>
    <w:p w14:paraId="32F70E05">
      <w:pPr>
        <w:rPr>
          <w:rFonts w:hint="eastAsia" w:ascii="宋体" w:hAnsi="宋体" w:eastAsia="宋体" w:cs="宋体"/>
          <w:color w:val="auto"/>
          <w:szCs w:val="21"/>
          <w:highlight w:val="none"/>
          <w:lang w:val="en-US" w:eastAsia="zh-CN"/>
        </w:rPr>
      </w:pPr>
    </w:p>
    <w:p w14:paraId="17C351BE">
      <w:pPr>
        <w:rPr>
          <w:rFonts w:hint="eastAsia" w:ascii="宋体" w:hAnsi="宋体" w:eastAsia="宋体" w:cs="宋体"/>
          <w:color w:val="auto"/>
          <w:szCs w:val="21"/>
          <w:highlight w:val="none"/>
          <w:lang w:val="en-US" w:eastAsia="zh-CN"/>
        </w:rPr>
      </w:pPr>
    </w:p>
    <w:p w14:paraId="1E669441">
      <w:pPr>
        <w:rPr>
          <w:rFonts w:hint="eastAsia" w:ascii="宋体" w:hAnsi="宋体" w:eastAsia="宋体" w:cs="宋体"/>
          <w:color w:val="auto"/>
          <w:szCs w:val="21"/>
          <w:highlight w:val="none"/>
          <w:lang w:val="en-US" w:eastAsia="zh-CN"/>
        </w:rPr>
      </w:pPr>
    </w:p>
    <w:p w14:paraId="40885C80">
      <w:pPr>
        <w:rPr>
          <w:rFonts w:hint="eastAsia" w:ascii="宋体" w:hAnsi="宋体" w:eastAsia="宋体" w:cs="宋体"/>
          <w:color w:val="auto"/>
          <w:szCs w:val="21"/>
          <w:highlight w:val="none"/>
          <w:lang w:val="en-US" w:eastAsia="zh-CN"/>
        </w:rPr>
      </w:pPr>
    </w:p>
    <w:p w14:paraId="07FB0349">
      <w:pPr>
        <w:rPr>
          <w:rFonts w:hint="eastAsia" w:ascii="宋体" w:hAnsi="宋体" w:eastAsia="宋体" w:cs="宋体"/>
          <w:color w:val="auto"/>
          <w:szCs w:val="21"/>
          <w:highlight w:val="none"/>
          <w:lang w:val="en-US" w:eastAsia="zh-CN"/>
        </w:rPr>
      </w:pPr>
    </w:p>
    <w:p w14:paraId="79835B7B">
      <w:pPr>
        <w:rPr>
          <w:rFonts w:hint="eastAsia" w:ascii="宋体" w:hAnsi="宋体" w:eastAsia="宋体" w:cs="宋体"/>
          <w:color w:val="auto"/>
          <w:szCs w:val="21"/>
          <w:highlight w:val="none"/>
          <w:lang w:val="en-US" w:eastAsia="zh-CN"/>
        </w:rPr>
      </w:pPr>
    </w:p>
    <w:p w14:paraId="73D7BEBE">
      <w:pPr>
        <w:pStyle w:val="2"/>
        <w:spacing w:before="120" w:after="120" w:line="360" w:lineRule="auto"/>
        <w:jc w:val="center"/>
        <w:rPr>
          <w:rFonts w:hint="eastAsia" w:ascii="宋体" w:hAnsi="宋体" w:eastAsia="宋体" w:cs="宋体"/>
          <w:b/>
          <w:bCs/>
          <w:color w:val="auto"/>
          <w:kern w:val="0"/>
          <w:sz w:val="36"/>
          <w:szCs w:val="36"/>
          <w:highlight w:val="none"/>
          <w:lang w:val="en-US" w:eastAsia="zh-CN"/>
        </w:rPr>
      </w:pPr>
      <w:bookmarkStart w:id="785" w:name="_Toc16041"/>
      <w:bookmarkStart w:id="786" w:name="_Toc32147"/>
      <w:bookmarkStart w:id="787" w:name="_Toc27610"/>
      <w:r>
        <w:rPr>
          <w:rFonts w:hint="eastAsia" w:ascii="宋体" w:hAnsi="宋体" w:eastAsia="宋体" w:cs="宋体"/>
          <w:b/>
          <w:bCs/>
          <w:color w:val="auto"/>
          <w:kern w:val="0"/>
          <w:sz w:val="36"/>
          <w:szCs w:val="36"/>
          <w:highlight w:val="none"/>
          <w:lang w:val="en-US" w:eastAsia="zh-CN"/>
        </w:rPr>
        <w:t>第四章 合同条款及格式</w:t>
      </w:r>
      <w:bookmarkEnd w:id="30"/>
      <w:bookmarkEnd w:id="785"/>
      <w:bookmarkEnd w:id="786"/>
      <w:bookmarkEnd w:id="787"/>
    </w:p>
    <w:p w14:paraId="7F780170">
      <w:pPr>
        <w:autoSpaceDE w:val="0"/>
        <w:autoSpaceDN w:val="0"/>
        <w:adjustRightInd w:val="0"/>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（按国家及地方有关要求，以实际签订合同为准）</w:t>
      </w:r>
    </w:p>
    <w:p w14:paraId="79AF8E2D">
      <w:pPr>
        <w:autoSpaceDE w:val="0"/>
        <w:autoSpaceDN w:val="0"/>
        <w:adjustRightInd w:val="0"/>
        <w:jc w:val="center"/>
        <w:rPr>
          <w:rFonts w:hint="eastAsia" w:ascii="宋体" w:hAnsi="宋体" w:eastAsia="宋体" w:cs="宋体"/>
          <w:color w:val="auto"/>
          <w:kern w:val="0"/>
          <w:sz w:val="24"/>
          <w:highlight w:val="none"/>
        </w:rPr>
      </w:pPr>
    </w:p>
    <w:p w14:paraId="0E6906D1">
      <w:pPr>
        <w:pStyle w:val="2"/>
        <w:keepNext w:val="0"/>
        <w:keepLines w:val="0"/>
        <w:pageBreakBefore w:val="0"/>
        <w:widowControl/>
        <w:kinsoku/>
        <w:wordWrap/>
        <w:overflowPunct/>
        <w:topLinePunct w:val="0"/>
        <w:autoSpaceDE/>
        <w:autoSpaceDN/>
        <w:bidi w:val="0"/>
        <w:adjustRightInd/>
        <w:snapToGrid/>
        <w:spacing w:before="0" w:after="0" w:line="340" w:lineRule="exact"/>
        <w:jc w:val="center"/>
        <w:textAlignment w:val="auto"/>
        <w:rPr>
          <w:rFonts w:hint="eastAsia" w:ascii="宋体" w:hAnsi="宋体" w:eastAsia="宋体" w:cs="宋体"/>
          <w:b w:val="0"/>
          <w:bCs w:val="0"/>
          <w:color w:val="auto"/>
          <w:kern w:val="2"/>
          <w:sz w:val="24"/>
          <w:szCs w:val="24"/>
          <w:highlight w:val="none"/>
          <w:lang w:val="en-US" w:eastAsia="zh-CN" w:bidi="ar-SA"/>
        </w:rPr>
      </w:pPr>
      <w:bookmarkStart w:id="788" w:name="_Toc7432"/>
      <w:bookmarkStart w:id="789" w:name="_Toc28310"/>
      <w:bookmarkStart w:id="790" w:name="_Toc13449"/>
      <w:bookmarkStart w:id="791" w:name="_Toc13342"/>
      <w:r>
        <w:rPr>
          <w:rFonts w:hint="eastAsia" w:ascii="宋体" w:hAnsi="宋体" w:eastAsia="宋体" w:cs="宋体"/>
          <w:b w:val="0"/>
          <w:bCs w:val="0"/>
          <w:color w:val="auto"/>
          <w:kern w:val="2"/>
          <w:sz w:val="24"/>
          <w:szCs w:val="24"/>
          <w:highlight w:val="none"/>
          <w:lang w:val="en-US" w:eastAsia="zh-CN" w:bidi="ar-SA"/>
        </w:rPr>
        <w:t>合同模板</w:t>
      </w:r>
      <w:bookmarkEnd w:id="788"/>
      <w:bookmarkEnd w:id="789"/>
      <w:bookmarkEnd w:id="790"/>
      <w:bookmarkEnd w:id="791"/>
    </w:p>
    <w:p w14:paraId="253244DA">
      <w:pPr>
        <w:spacing w:line="360" w:lineRule="auto"/>
        <w:ind w:firstLine="422" w:firstLineChars="200"/>
        <w:rPr>
          <w:rFonts w:hint="eastAsia" w:ascii="宋体" w:hAnsi="宋体" w:eastAsia="宋体" w:cs="宋体"/>
          <w:b/>
          <w:color w:val="auto"/>
          <w:highlight w:val="none"/>
          <w:u w:val="single"/>
        </w:rPr>
      </w:pPr>
      <w:r>
        <w:rPr>
          <w:rFonts w:hint="eastAsia" w:ascii="宋体" w:hAnsi="宋体" w:eastAsia="宋体" w:cs="宋体"/>
          <w:b/>
          <w:color w:val="auto"/>
          <w:highlight w:val="none"/>
        </w:rPr>
        <w:t>甲方（全称）：</w:t>
      </w:r>
      <w:r>
        <w:rPr>
          <w:rFonts w:hint="eastAsia" w:ascii="宋体" w:hAnsi="宋体" w:eastAsia="宋体" w:cs="宋体"/>
          <w:b/>
          <w:color w:val="auto"/>
          <w:highlight w:val="none"/>
          <w:u w:val="single"/>
        </w:rPr>
        <w:t>                       </w:t>
      </w:r>
    </w:p>
    <w:p w14:paraId="700923AA">
      <w:pPr>
        <w:spacing w:line="360" w:lineRule="auto"/>
        <w:ind w:firstLine="422" w:firstLineChars="200"/>
        <w:rPr>
          <w:rFonts w:hint="eastAsia" w:ascii="宋体" w:hAnsi="宋体" w:eastAsia="宋体" w:cs="宋体"/>
          <w:b/>
          <w:color w:val="auto"/>
          <w:highlight w:val="none"/>
          <w:u w:val="single"/>
        </w:rPr>
      </w:pPr>
      <w:r>
        <w:rPr>
          <w:rFonts w:hint="eastAsia" w:ascii="宋体" w:hAnsi="宋体" w:eastAsia="宋体" w:cs="宋体"/>
          <w:b/>
          <w:color w:val="auto"/>
          <w:highlight w:val="none"/>
        </w:rPr>
        <w:t>乙方（全称）：</w:t>
      </w:r>
      <w:r>
        <w:rPr>
          <w:rFonts w:hint="eastAsia" w:ascii="宋体" w:hAnsi="宋体" w:eastAsia="宋体" w:cs="宋体"/>
          <w:b/>
          <w:color w:val="auto"/>
          <w:highlight w:val="none"/>
          <w:u w:val="single"/>
        </w:rPr>
        <w:t>                      </w:t>
      </w:r>
    </w:p>
    <w:p w14:paraId="2CD378A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根据《中华人民共和国合同法》及有关法律规定，遵循平等、自愿、公平和诚实信用的原则，双方就</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项目及有关事项协商一致，共同达成如下协议：</w:t>
      </w:r>
    </w:p>
    <w:p w14:paraId="52E39507">
      <w:pPr>
        <w:numPr>
          <w:ilvl w:val="0"/>
          <w:numId w:val="15"/>
        </w:numPr>
        <w:tabs>
          <w:tab w:val="left" w:pos="0"/>
          <w:tab w:val="clear" w:pos="720"/>
        </w:tabs>
        <w:spacing w:line="360" w:lineRule="auto"/>
        <w:ind w:left="0"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 xml:space="preserve"> 合同文件</w:t>
      </w:r>
    </w:p>
    <w:p w14:paraId="1DF0F99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下列与本次采购活动有关的文件及附件是本合同不可分割的组成部分，与本合同具有同等法律效力，这些文件包括但不限于：</w:t>
      </w:r>
    </w:p>
    <w:p w14:paraId="2412B3F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1.（××号）竞争性磋商文件</w:t>
      </w:r>
    </w:p>
    <w:p w14:paraId="39B1727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2.响应文件</w:t>
      </w:r>
    </w:p>
    <w:p w14:paraId="2F4BF41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3.乙方在磋商时的书面承诺</w:t>
      </w:r>
    </w:p>
    <w:p w14:paraId="3AD8A99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4.（××号）成交通知书</w:t>
      </w:r>
    </w:p>
    <w:p w14:paraId="7580F49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5.合同补充条款或说明</w:t>
      </w:r>
    </w:p>
    <w:p w14:paraId="4CD1CB5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6.保密协议或条款</w:t>
      </w:r>
    </w:p>
    <w:p w14:paraId="296E87F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7.相关附件及电子版资料</w:t>
      </w:r>
    </w:p>
    <w:p w14:paraId="5A3B0ABA">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第二条  合同内容</w:t>
      </w:r>
    </w:p>
    <w:p w14:paraId="07B877C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服务名称：详见合同附件中《服务明细一览表》  </w:t>
      </w:r>
    </w:p>
    <w:p w14:paraId="205B405D">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第三条  合同总价款</w:t>
      </w:r>
    </w:p>
    <w:p w14:paraId="7E654B2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1.本合同服务总价款：￥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w:t>
      </w:r>
    </w:p>
    <w:p w14:paraId="59A6069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大写：</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w:t>
      </w:r>
    </w:p>
    <w:p w14:paraId="340D81E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2.分项价款在《服务一览表》中有明确规定。</w:t>
      </w:r>
    </w:p>
    <w:p w14:paraId="4C51DA4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3.本合同总价款包括服务期间必须的日常物料、易耗品、工具、调试费、培训费等相关费用。</w:t>
      </w:r>
    </w:p>
    <w:p w14:paraId="0B33930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4.本合同执行期内因工作量变化而引起的服务费用的变动，在双方事先协商一致的前提下签订补充合同，但因此而增加的服务费用不得超过原成交金额的10%。</w:t>
      </w:r>
    </w:p>
    <w:p w14:paraId="3DC2EF5A">
      <w:pPr>
        <w:pStyle w:val="14"/>
        <w:spacing w:line="360" w:lineRule="auto"/>
        <w:ind w:firstLine="381" w:firstLineChars="200"/>
        <w:rPr>
          <w:rFonts w:hint="eastAsia" w:ascii="宋体" w:hAnsi="宋体" w:eastAsia="宋体" w:cs="宋体"/>
          <w:color w:val="auto"/>
          <w:highlight w:val="none"/>
        </w:rPr>
      </w:pPr>
      <w:r>
        <w:rPr>
          <w:rFonts w:hint="eastAsia" w:ascii="宋体" w:hAnsi="宋体" w:eastAsia="宋体" w:cs="宋体"/>
          <w:b/>
          <w:color w:val="auto"/>
          <w:highlight w:val="none"/>
        </w:rPr>
        <w:t xml:space="preserve">第四条  </w:t>
      </w:r>
      <w:r>
        <w:rPr>
          <w:rFonts w:hint="eastAsia" w:ascii="宋体" w:hAnsi="宋体" w:eastAsia="宋体" w:cs="宋体"/>
          <w:b/>
          <w:bCs/>
          <w:color w:val="auto"/>
          <w:highlight w:val="none"/>
        </w:rPr>
        <w:t>双方一般权利和义务</w:t>
      </w:r>
    </w:p>
    <w:p w14:paraId="4C3B8E2C">
      <w:pPr>
        <w:pStyle w:val="14"/>
        <w:spacing w:line="360" w:lineRule="auto"/>
        <w:ind w:firstLine="381" w:firstLineChars="200"/>
        <w:rPr>
          <w:rFonts w:hint="eastAsia" w:ascii="宋体" w:hAnsi="宋体" w:eastAsia="宋体" w:cs="宋体"/>
          <w:b/>
          <w:color w:val="auto"/>
          <w:highlight w:val="none"/>
        </w:rPr>
      </w:pPr>
      <w:r>
        <w:rPr>
          <w:rFonts w:hint="eastAsia" w:ascii="宋体" w:hAnsi="宋体" w:eastAsia="宋体" w:cs="宋体"/>
          <w:b/>
          <w:color w:val="auto"/>
          <w:highlight w:val="none"/>
        </w:rPr>
        <w:t>1.甲方的义务</w:t>
      </w:r>
    </w:p>
    <w:p w14:paraId="22D9A22A">
      <w:pPr>
        <w:pStyle w:val="14"/>
        <w:spacing w:line="360" w:lineRule="auto"/>
        <w:ind w:firstLine="285" w:firstLineChars="150"/>
        <w:rPr>
          <w:rFonts w:hint="eastAsia" w:ascii="宋体" w:hAnsi="宋体" w:eastAsia="宋体" w:cs="宋体"/>
          <w:color w:val="auto"/>
          <w:highlight w:val="none"/>
        </w:rPr>
      </w:pPr>
      <w:r>
        <w:rPr>
          <w:rFonts w:hint="eastAsia" w:ascii="宋体" w:hAnsi="宋体" w:eastAsia="宋体" w:cs="宋体"/>
          <w:color w:val="auto"/>
          <w:highlight w:val="none"/>
        </w:rPr>
        <w:t xml:space="preserve"> 1.1 委托工作的具体范围和内容：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5D05403A">
      <w:pPr>
        <w:pStyle w:val="14"/>
        <w:spacing w:line="360" w:lineRule="auto"/>
        <w:ind w:firstLine="380" w:firstLineChars="200"/>
        <w:rPr>
          <w:rFonts w:hint="eastAsia" w:ascii="宋体" w:hAnsi="宋体" w:eastAsia="宋体" w:cs="宋体"/>
          <w:color w:val="auto"/>
          <w:highlight w:val="none"/>
        </w:rPr>
      </w:pPr>
      <w:r>
        <w:rPr>
          <w:rFonts w:hint="eastAsia" w:ascii="宋体" w:hAnsi="宋体" w:eastAsia="宋体" w:cs="宋体"/>
          <w:color w:val="auto"/>
          <w:highlight w:val="none"/>
        </w:rPr>
        <w:t>1.2 甲方应按约定的时间和要求完成下列工作：</w:t>
      </w:r>
    </w:p>
    <w:p w14:paraId="675E7FC7">
      <w:pPr>
        <w:pStyle w:val="14"/>
        <w:spacing w:line="360" w:lineRule="auto"/>
        <w:ind w:firstLine="38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（1）向乙方提供保证履行合同所需的全部资料的时间：</w:t>
      </w:r>
      <w:r>
        <w:rPr>
          <w:rFonts w:hint="eastAsia" w:ascii="宋体" w:hAnsi="宋体" w:eastAsia="宋体" w:cs="宋体"/>
          <w:color w:val="auto"/>
          <w:highlight w:val="none"/>
          <w:u w:val="single"/>
        </w:rPr>
        <w:t xml:space="preserve">合同签订后   个工作日内 </w:t>
      </w:r>
      <w:r>
        <w:rPr>
          <w:rFonts w:hint="eastAsia" w:ascii="宋体" w:hAnsi="宋体" w:eastAsia="宋体" w:cs="宋体"/>
          <w:color w:val="auto"/>
          <w:highlight w:val="none"/>
        </w:rPr>
        <w:t>。</w:t>
      </w:r>
    </w:p>
    <w:p w14:paraId="44E932EB">
      <w:pPr>
        <w:pStyle w:val="14"/>
        <w:spacing w:line="360" w:lineRule="auto"/>
        <w:ind w:firstLine="38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（2）向乙方提供保证履行合同顺利完成的条件：</w:t>
      </w:r>
      <w:r>
        <w:rPr>
          <w:rFonts w:hint="eastAsia" w:ascii="宋体" w:hAnsi="宋体" w:eastAsia="宋体" w:cs="宋体"/>
          <w:color w:val="auto"/>
          <w:highlight w:val="none"/>
          <w:u w:val="single"/>
        </w:rPr>
        <w:t>对乙方工作给予支持，提供水、电、场地等必须的基础工作条件，如乙方有需要，还应提供履行合同所必需的有关数据、资料等。没有甲方事先同意，乙方不得将甲方资料提供给与履行本合同无关的任何其他人。即使向履行本合同有关的人员提供，也应注意保密并限于履行合同的必需范围内。</w:t>
      </w:r>
    </w:p>
    <w:p w14:paraId="0B18DA4D">
      <w:pPr>
        <w:pStyle w:val="14"/>
        <w:spacing w:line="360" w:lineRule="auto"/>
        <w:ind w:firstLine="380" w:firstLineChars="200"/>
        <w:rPr>
          <w:rFonts w:hint="eastAsia" w:ascii="宋体" w:hAnsi="宋体" w:eastAsia="宋体" w:cs="宋体"/>
          <w:color w:val="auto"/>
          <w:highlight w:val="none"/>
          <w:vertAlign w:val="subscript"/>
        </w:rPr>
      </w:pPr>
      <w:r>
        <w:rPr>
          <w:rFonts w:hint="eastAsia" w:ascii="宋体" w:hAnsi="宋体" w:eastAsia="宋体" w:cs="宋体"/>
          <w:color w:val="auto"/>
          <w:highlight w:val="none"/>
        </w:rPr>
        <w:t>（3）需要与第三方协调的工作：</w:t>
      </w:r>
      <w:r>
        <w:rPr>
          <w:rFonts w:hint="eastAsia" w:ascii="宋体" w:hAnsi="宋体" w:eastAsia="宋体" w:cs="宋体"/>
          <w:color w:val="auto"/>
          <w:highlight w:val="none"/>
          <w:u w:val="single"/>
        </w:rPr>
        <w:t xml:space="preserve">无 </w:t>
      </w:r>
      <w:r>
        <w:rPr>
          <w:rFonts w:hint="eastAsia" w:ascii="宋体" w:hAnsi="宋体" w:eastAsia="宋体" w:cs="宋体"/>
          <w:color w:val="auto"/>
          <w:highlight w:val="none"/>
        </w:rPr>
        <w:t>。</w:t>
      </w:r>
    </w:p>
    <w:p w14:paraId="51E763CE">
      <w:pPr>
        <w:pStyle w:val="14"/>
        <w:spacing w:line="360" w:lineRule="auto"/>
        <w:ind w:firstLine="380" w:firstLineChars="200"/>
        <w:rPr>
          <w:rFonts w:hint="eastAsia" w:ascii="宋体" w:hAnsi="宋体" w:eastAsia="宋体" w:cs="宋体"/>
          <w:color w:val="auto"/>
          <w:highlight w:val="none"/>
          <w:vertAlign w:val="subscript"/>
        </w:rPr>
      </w:pPr>
      <w:r>
        <w:rPr>
          <w:rFonts w:hint="eastAsia" w:ascii="宋体" w:hAnsi="宋体" w:eastAsia="宋体" w:cs="宋体"/>
          <w:color w:val="auto"/>
          <w:highlight w:val="none"/>
        </w:rPr>
        <w:t>1.3 甲方有义务保守履约合同过程中有关的商业秘密。</w:t>
      </w:r>
    </w:p>
    <w:p w14:paraId="14DC3366">
      <w:pPr>
        <w:pStyle w:val="14"/>
        <w:spacing w:line="360" w:lineRule="auto"/>
        <w:ind w:firstLine="381" w:firstLineChars="200"/>
        <w:rPr>
          <w:rFonts w:hint="eastAsia" w:ascii="宋体" w:hAnsi="宋体" w:eastAsia="宋体" w:cs="宋体"/>
          <w:b/>
          <w:color w:val="auto"/>
          <w:highlight w:val="none"/>
        </w:rPr>
      </w:pPr>
      <w:r>
        <w:rPr>
          <w:rFonts w:hint="eastAsia" w:ascii="宋体" w:hAnsi="宋体" w:eastAsia="宋体" w:cs="宋体"/>
          <w:b/>
          <w:color w:val="auto"/>
          <w:highlight w:val="none"/>
        </w:rPr>
        <w:t>2.乙方的义务</w:t>
      </w:r>
    </w:p>
    <w:p w14:paraId="7219E834">
      <w:pPr>
        <w:pStyle w:val="14"/>
        <w:spacing w:line="360" w:lineRule="auto"/>
        <w:ind w:firstLine="380" w:firstLineChars="200"/>
        <w:rPr>
          <w:rFonts w:hint="eastAsia" w:ascii="宋体" w:hAnsi="宋体" w:eastAsia="宋体" w:cs="宋体"/>
          <w:color w:val="auto"/>
          <w:highlight w:val="none"/>
        </w:rPr>
      </w:pPr>
      <w:r>
        <w:rPr>
          <w:rFonts w:hint="eastAsia" w:ascii="宋体" w:hAnsi="宋体" w:eastAsia="宋体" w:cs="宋体"/>
          <w:color w:val="auto"/>
          <w:highlight w:val="none"/>
        </w:rPr>
        <w:t>2.1 乙方应按约定的时间和要求完成下列工作：</w:t>
      </w:r>
    </w:p>
    <w:p w14:paraId="6A72E8EF">
      <w:pPr>
        <w:pStyle w:val="14"/>
        <w:spacing w:line="360" w:lineRule="auto"/>
        <w:ind w:firstLine="380" w:firstLineChars="200"/>
        <w:rPr>
          <w:rFonts w:hint="eastAsia" w:ascii="宋体" w:hAnsi="宋体" w:eastAsia="宋体" w:cs="宋体"/>
          <w:color w:val="auto"/>
          <w:highlight w:val="none"/>
          <w:vertAlign w:val="subscript"/>
        </w:rPr>
      </w:pPr>
      <w:r>
        <w:rPr>
          <w:rFonts w:hint="eastAsia" w:ascii="宋体" w:hAnsi="宋体" w:eastAsia="宋体" w:cs="宋体"/>
          <w:color w:val="auto"/>
          <w:highlight w:val="none"/>
        </w:rPr>
        <w:t>（1）保证履行合同的内容和时间：</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4FDC8DE">
      <w:pPr>
        <w:pStyle w:val="14"/>
        <w:spacing w:line="360" w:lineRule="auto"/>
        <w:ind w:firstLine="380" w:firstLineChars="200"/>
        <w:rPr>
          <w:rFonts w:hint="eastAsia" w:ascii="宋体" w:hAnsi="宋体" w:eastAsia="宋体" w:cs="宋体"/>
          <w:color w:val="auto"/>
          <w:highlight w:val="none"/>
        </w:rPr>
      </w:pPr>
      <w:r>
        <w:rPr>
          <w:rFonts w:hint="eastAsia" w:ascii="宋体" w:hAnsi="宋体" w:eastAsia="宋体" w:cs="宋体"/>
          <w:color w:val="auto"/>
          <w:highlight w:val="none"/>
        </w:rPr>
        <w:t>（2）为甲方提供的为保证履行合同的相关咨询服务：</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C73E754">
      <w:pPr>
        <w:pStyle w:val="14"/>
        <w:spacing w:line="360" w:lineRule="auto"/>
        <w:ind w:firstLine="380" w:firstLineChars="200"/>
        <w:rPr>
          <w:rFonts w:hint="eastAsia" w:ascii="宋体" w:hAnsi="宋体" w:eastAsia="宋体" w:cs="宋体"/>
          <w:color w:val="auto"/>
          <w:highlight w:val="none"/>
        </w:rPr>
      </w:pPr>
      <w:r>
        <w:rPr>
          <w:rFonts w:hint="eastAsia" w:ascii="宋体" w:hAnsi="宋体" w:eastAsia="宋体" w:cs="宋体"/>
          <w:color w:val="auto"/>
          <w:highlight w:val="none"/>
        </w:rPr>
        <w:t>（3）应尽的其他义务：</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3902935D">
      <w:pPr>
        <w:pStyle w:val="14"/>
        <w:spacing w:line="360" w:lineRule="auto"/>
        <w:ind w:firstLine="380" w:firstLineChars="200"/>
        <w:rPr>
          <w:rFonts w:hint="eastAsia" w:ascii="宋体" w:hAnsi="宋体" w:eastAsia="宋体" w:cs="宋体"/>
          <w:color w:val="auto"/>
          <w:highlight w:val="none"/>
          <w:vertAlign w:val="subscript"/>
        </w:rPr>
      </w:pPr>
      <w:r>
        <w:rPr>
          <w:rFonts w:hint="eastAsia" w:ascii="宋体" w:hAnsi="宋体" w:eastAsia="宋体" w:cs="宋体"/>
          <w:color w:val="auto"/>
          <w:highlight w:val="none"/>
        </w:rPr>
        <w:t>2.2乙方有义务保守履约合同过程中有关的商业秘密。</w:t>
      </w:r>
    </w:p>
    <w:p w14:paraId="02A6081D">
      <w:pPr>
        <w:pStyle w:val="14"/>
        <w:spacing w:line="360" w:lineRule="auto"/>
        <w:ind w:firstLine="381" w:firstLineChars="200"/>
        <w:rPr>
          <w:rFonts w:hint="eastAsia" w:ascii="宋体" w:hAnsi="宋体" w:eastAsia="宋体" w:cs="宋体"/>
          <w:b/>
          <w:color w:val="auto"/>
          <w:highlight w:val="none"/>
        </w:rPr>
      </w:pPr>
      <w:r>
        <w:rPr>
          <w:rFonts w:hint="eastAsia" w:ascii="宋体" w:hAnsi="宋体" w:eastAsia="宋体" w:cs="宋体"/>
          <w:b/>
          <w:color w:val="auto"/>
          <w:highlight w:val="none"/>
        </w:rPr>
        <w:t>3. 甲方的权利</w:t>
      </w:r>
    </w:p>
    <w:p w14:paraId="6EBCEE7C">
      <w:pPr>
        <w:pStyle w:val="14"/>
        <w:spacing w:line="360" w:lineRule="auto"/>
        <w:ind w:firstLine="380" w:firstLineChars="200"/>
        <w:rPr>
          <w:rFonts w:hint="eastAsia" w:ascii="宋体" w:hAnsi="宋体" w:eastAsia="宋体" w:cs="宋体"/>
          <w:color w:val="auto"/>
          <w:highlight w:val="none"/>
        </w:rPr>
      </w:pPr>
      <w:r>
        <w:rPr>
          <w:rFonts w:hint="eastAsia" w:ascii="宋体" w:hAnsi="宋体" w:eastAsia="宋体" w:cs="宋体"/>
          <w:color w:val="auto"/>
          <w:highlight w:val="none"/>
        </w:rPr>
        <w:t>3.1 按合同约定，接收项目成果；</w:t>
      </w:r>
    </w:p>
    <w:p w14:paraId="6D0922CD">
      <w:pPr>
        <w:pStyle w:val="14"/>
        <w:spacing w:line="360" w:lineRule="auto"/>
        <w:ind w:firstLine="380" w:firstLineChars="200"/>
        <w:rPr>
          <w:rFonts w:hint="eastAsia" w:ascii="宋体" w:hAnsi="宋体" w:eastAsia="宋体" w:cs="宋体"/>
          <w:color w:val="auto"/>
          <w:highlight w:val="none"/>
        </w:rPr>
      </w:pPr>
      <w:r>
        <w:rPr>
          <w:rFonts w:hint="eastAsia" w:ascii="宋体" w:hAnsi="宋体" w:eastAsia="宋体" w:cs="宋体"/>
          <w:color w:val="auto"/>
          <w:highlight w:val="none"/>
        </w:rPr>
        <w:t>3.2 向乙方询问履行合同工作进展情况和相关内容或提出不违反法律、行政法规的建议；</w:t>
      </w:r>
    </w:p>
    <w:p w14:paraId="4B490C5E">
      <w:pPr>
        <w:pStyle w:val="14"/>
        <w:spacing w:line="360" w:lineRule="auto"/>
        <w:ind w:firstLine="380" w:firstLineChars="200"/>
        <w:rPr>
          <w:rFonts w:hint="eastAsia" w:ascii="宋体" w:hAnsi="宋体" w:eastAsia="宋体" w:cs="宋体"/>
          <w:color w:val="auto"/>
          <w:highlight w:val="none"/>
        </w:rPr>
      </w:pPr>
      <w:r>
        <w:rPr>
          <w:rFonts w:hint="eastAsia" w:ascii="宋体" w:hAnsi="宋体" w:eastAsia="宋体" w:cs="宋体"/>
          <w:color w:val="auto"/>
          <w:highlight w:val="none"/>
        </w:rPr>
        <w:t>3.3与乙方协商，建议更换其不称职的工作人员；</w:t>
      </w:r>
    </w:p>
    <w:p w14:paraId="14EA45AC">
      <w:pPr>
        <w:pStyle w:val="14"/>
        <w:spacing w:line="360" w:lineRule="auto"/>
        <w:ind w:firstLine="380" w:firstLineChars="200"/>
        <w:rPr>
          <w:rFonts w:hint="eastAsia" w:ascii="宋体" w:hAnsi="宋体" w:eastAsia="宋体" w:cs="宋体"/>
          <w:color w:val="auto"/>
          <w:highlight w:val="none"/>
        </w:rPr>
      </w:pPr>
      <w:r>
        <w:rPr>
          <w:rFonts w:hint="eastAsia" w:ascii="宋体" w:hAnsi="宋体" w:eastAsia="宋体" w:cs="宋体"/>
          <w:color w:val="auto"/>
          <w:highlight w:val="none"/>
        </w:rPr>
        <w:t>3.4本合同履行期间，由于乙方不履行合同约定的内容，给甲方造成损失或影响工作正常进行的，甲方有权终止本合同，并依法向乙方追索经济赔偿，直至追究法律责任；</w:t>
      </w:r>
    </w:p>
    <w:p w14:paraId="3ABC5586">
      <w:pPr>
        <w:pStyle w:val="14"/>
        <w:spacing w:line="360" w:lineRule="auto"/>
        <w:ind w:firstLine="380" w:firstLineChars="200"/>
        <w:rPr>
          <w:rFonts w:hint="eastAsia" w:ascii="宋体" w:hAnsi="宋体" w:eastAsia="宋体" w:cs="宋体"/>
          <w:color w:val="auto"/>
          <w:highlight w:val="none"/>
        </w:rPr>
      </w:pPr>
      <w:r>
        <w:rPr>
          <w:rFonts w:hint="eastAsia" w:ascii="宋体" w:hAnsi="宋体" w:eastAsia="宋体" w:cs="宋体"/>
          <w:color w:val="auto"/>
          <w:highlight w:val="none"/>
        </w:rPr>
        <w:t>3.5 甲方有权利对乙方在合同履行期间的行为进行监督。</w:t>
      </w:r>
    </w:p>
    <w:p w14:paraId="354BBA2D">
      <w:pPr>
        <w:pStyle w:val="14"/>
        <w:spacing w:line="360" w:lineRule="auto"/>
        <w:ind w:firstLine="381" w:firstLineChars="200"/>
        <w:rPr>
          <w:rFonts w:hint="eastAsia" w:ascii="宋体" w:hAnsi="宋体" w:eastAsia="宋体" w:cs="宋体"/>
          <w:b/>
          <w:color w:val="auto"/>
          <w:highlight w:val="none"/>
        </w:rPr>
      </w:pPr>
      <w:r>
        <w:rPr>
          <w:rFonts w:hint="eastAsia" w:ascii="宋体" w:hAnsi="宋体" w:eastAsia="宋体" w:cs="宋体"/>
          <w:b/>
          <w:color w:val="auto"/>
          <w:highlight w:val="none"/>
        </w:rPr>
        <w:t>4. 乙方的权利</w:t>
      </w:r>
    </w:p>
    <w:p w14:paraId="6BF1B4A4">
      <w:pPr>
        <w:pStyle w:val="14"/>
        <w:spacing w:line="360" w:lineRule="auto"/>
        <w:ind w:firstLine="380" w:firstLineChars="200"/>
        <w:rPr>
          <w:rFonts w:hint="eastAsia" w:ascii="宋体" w:hAnsi="宋体" w:eastAsia="宋体" w:cs="宋体"/>
          <w:color w:val="auto"/>
          <w:highlight w:val="none"/>
        </w:rPr>
      </w:pPr>
      <w:r>
        <w:rPr>
          <w:rFonts w:hint="eastAsia" w:ascii="宋体" w:hAnsi="宋体" w:eastAsia="宋体" w:cs="宋体"/>
          <w:color w:val="auto"/>
          <w:highlight w:val="none"/>
        </w:rPr>
        <w:t>4.1按合同约定收取报酬；</w:t>
      </w:r>
    </w:p>
    <w:p w14:paraId="5B57E924">
      <w:pPr>
        <w:pStyle w:val="14"/>
        <w:spacing w:line="360" w:lineRule="auto"/>
        <w:ind w:firstLine="380" w:firstLineChars="200"/>
        <w:rPr>
          <w:rFonts w:hint="eastAsia" w:ascii="宋体" w:hAnsi="宋体" w:eastAsia="宋体" w:cs="宋体"/>
          <w:color w:val="auto"/>
          <w:highlight w:val="none"/>
        </w:rPr>
      </w:pPr>
      <w:r>
        <w:rPr>
          <w:rFonts w:hint="eastAsia" w:ascii="宋体" w:hAnsi="宋体" w:eastAsia="宋体" w:cs="宋体"/>
          <w:color w:val="auto"/>
          <w:highlight w:val="none"/>
        </w:rPr>
        <w:t>4.2对履行合同中应由甲方做出的决定，乙方有权提出建议；</w:t>
      </w:r>
    </w:p>
    <w:p w14:paraId="315AABAE">
      <w:pPr>
        <w:pStyle w:val="14"/>
        <w:spacing w:line="360" w:lineRule="auto"/>
        <w:ind w:firstLine="380" w:firstLineChars="200"/>
        <w:rPr>
          <w:rFonts w:hint="eastAsia" w:ascii="宋体" w:hAnsi="宋体" w:eastAsia="宋体" w:cs="宋体"/>
          <w:color w:val="auto"/>
          <w:highlight w:val="none"/>
        </w:rPr>
      </w:pPr>
      <w:r>
        <w:rPr>
          <w:rFonts w:hint="eastAsia" w:ascii="宋体" w:hAnsi="宋体" w:eastAsia="宋体" w:cs="宋体"/>
          <w:color w:val="auto"/>
          <w:highlight w:val="none"/>
        </w:rPr>
        <w:t>4.3当甲方提供的资料不足或不明确时，有权要求甲方补足资料或作出明确的答复；</w:t>
      </w:r>
    </w:p>
    <w:p w14:paraId="24F99398">
      <w:pPr>
        <w:pStyle w:val="14"/>
        <w:spacing w:line="360" w:lineRule="auto"/>
        <w:ind w:firstLine="380" w:firstLineChars="200"/>
        <w:rPr>
          <w:rFonts w:hint="eastAsia" w:ascii="宋体" w:hAnsi="宋体" w:eastAsia="宋体" w:cs="宋体"/>
          <w:color w:val="auto"/>
          <w:highlight w:val="none"/>
        </w:rPr>
      </w:pPr>
      <w:r>
        <w:rPr>
          <w:rFonts w:hint="eastAsia" w:ascii="宋体" w:hAnsi="宋体" w:eastAsia="宋体" w:cs="宋体"/>
          <w:color w:val="auto"/>
          <w:highlight w:val="none"/>
        </w:rPr>
        <w:t>4.4拒绝甲方提出的违反法律、行政法规的要求，并向甲方作出解释。</w:t>
      </w:r>
    </w:p>
    <w:p w14:paraId="05F230D6">
      <w:pPr>
        <w:pStyle w:val="14"/>
        <w:spacing w:line="360" w:lineRule="auto"/>
        <w:ind w:firstLine="381" w:firstLineChars="200"/>
        <w:rPr>
          <w:rFonts w:hint="eastAsia" w:ascii="宋体" w:hAnsi="宋体" w:eastAsia="宋体" w:cs="宋体"/>
          <w:b/>
          <w:color w:val="auto"/>
          <w:highlight w:val="none"/>
        </w:rPr>
      </w:pPr>
      <w:r>
        <w:rPr>
          <w:rFonts w:hint="eastAsia" w:ascii="宋体" w:hAnsi="宋体" w:eastAsia="宋体" w:cs="宋体"/>
          <w:b/>
          <w:color w:val="auto"/>
          <w:highlight w:val="none"/>
        </w:rPr>
        <w:t>第五条  质量保证</w:t>
      </w:r>
    </w:p>
    <w:p w14:paraId="53DE199B">
      <w:pPr>
        <w:pStyle w:val="14"/>
        <w:spacing w:line="360" w:lineRule="auto"/>
        <w:ind w:firstLine="380" w:firstLineChars="200"/>
        <w:rPr>
          <w:rFonts w:hint="eastAsia" w:ascii="宋体" w:hAnsi="宋体" w:eastAsia="宋体" w:cs="宋体"/>
          <w:color w:val="auto"/>
          <w:highlight w:val="none"/>
        </w:rPr>
      </w:pPr>
      <w:r>
        <w:rPr>
          <w:rFonts w:hint="eastAsia" w:ascii="宋体" w:hAnsi="宋体" w:eastAsia="宋体" w:cs="宋体"/>
          <w:color w:val="auto"/>
          <w:highlight w:val="none"/>
        </w:rPr>
        <w:t>乙方保证服务不存在危及人身及财产安全的隐患，不存在违反国家法规、法令、法律以及行业规范所要求的有关安全条款，否则应承担全部法律责任。保证所提供的服务或其任何一部分均不会侵犯任何第三方的专利权、商标权或著作权。一旦出现侵权，索赔或诉讼，乙方应承担全部责任。</w:t>
      </w:r>
    </w:p>
    <w:p w14:paraId="32DF35AD">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第六条  付款方式</w:t>
      </w:r>
    </w:p>
    <w:p w14:paraId="66ABC37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1.本合同项下所有款项均以人民币支付。</w:t>
      </w:r>
    </w:p>
    <w:p w14:paraId="41E2E6D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2.乙方向甲方提交下列文件材料，经甲方审核无误后支付采购价款：</w:t>
      </w:r>
    </w:p>
    <w:p w14:paraId="1852018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（1）经甲方确认的发票；</w:t>
      </w:r>
    </w:p>
    <w:p w14:paraId="33BBEFE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（2）经甲乙双方确认签署的《验收报告》（或按项目进度阶段性《验收报告》）；</w:t>
      </w:r>
    </w:p>
    <w:p w14:paraId="7498ED7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（3）其他材料。</w:t>
      </w:r>
    </w:p>
    <w:p w14:paraId="0953725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3.款项的支付进度以竞争性磋商文件的有关规定为准。如竞争性磋商文件未作特别规定，则付款进度按如下约定履行：</w:t>
      </w:r>
    </w:p>
    <w:p w14:paraId="78EDA8D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第一次验收合格后支付至合同总价款的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％，第二次验收合格后支付至合同总价款的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％，第</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次验收合格后支付至合同总价款的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％，余款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％作为质量保证金于服务运行期满</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月后，并经甲乙双方复验合格后的</w:t>
      </w:r>
      <w:r>
        <w:rPr>
          <w:rFonts w:hint="eastAsia" w:ascii="宋体" w:hAnsi="宋体" w:eastAsia="宋体" w:cs="宋体"/>
          <w:color w:val="auto"/>
          <w:highlight w:val="none"/>
          <w:u w:val="single"/>
        </w:rPr>
        <w:t xml:space="preserve"> 90 </w:t>
      </w:r>
      <w:r>
        <w:rPr>
          <w:rFonts w:hint="eastAsia" w:ascii="宋体" w:hAnsi="宋体" w:eastAsia="宋体" w:cs="宋体"/>
          <w:color w:val="auto"/>
          <w:highlight w:val="none"/>
        </w:rPr>
        <w:t>个工作日内付清。</w:t>
      </w:r>
    </w:p>
    <w:p w14:paraId="23DE3562">
      <w:pPr>
        <w:numPr>
          <w:ilvl w:val="0"/>
          <w:numId w:val="16"/>
        </w:num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根据财政部、工信部关于印发《政府采购促进中小企业发展暂行办法》的通知（财库〔2011〕181号），××银行（或××非银行金融机构）同意向乙方提供关于本项目的贷款（附《借款合同》），经甲方审核无误后，甲方同意按照本合同的约定和乙方履约进度将采购资金支付至××银行（或××非银行金融机构）与乙方共同确认的收款账户：</w:t>
      </w:r>
    </w:p>
    <w:p w14:paraId="4C24B58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户名：</w:t>
      </w:r>
    </w:p>
    <w:p w14:paraId="3051997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开户行：</w:t>
      </w:r>
    </w:p>
    <w:p w14:paraId="50F4DA8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账号：</w:t>
      </w:r>
    </w:p>
    <w:p w14:paraId="01F925E6">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第七条  履约保证金</w:t>
      </w:r>
    </w:p>
    <w:p w14:paraId="709E3D5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1.乙方在签订本合同之日，向甲方提交合同履约保证金</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元（履约保证金的数额不得超过政府采购合同金额的10%）。</w:t>
      </w:r>
    </w:p>
    <w:p w14:paraId="67B27FA3">
      <w:pPr>
        <w:spacing w:line="360" w:lineRule="auto"/>
        <w:ind w:firstLine="420" w:firstLineChars="200"/>
        <w:rPr>
          <w:rFonts w:hint="eastAsia" w:ascii="宋体" w:hAnsi="宋体" w:eastAsia="宋体" w:cs="宋体"/>
          <w:strike/>
          <w:color w:val="auto"/>
          <w:highlight w:val="none"/>
        </w:rPr>
      </w:pPr>
      <w:r>
        <w:rPr>
          <w:rFonts w:hint="eastAsia" w:ascii="宋体" w:hAnsi="宋体" w:eastAsia="宋体" w:cs="宋体"/>
          <w:color w:val="auto"/>
          <w:highlight w:val="none"/>
        </w:rPr>
        <w:t>2.履约保证金有效期为甲乙双方最终验收后1个月内。到期后，甲方向乙方无息退还。</w:t>
      </w:r>
    </w:p>
    <w:p w14:paraId="72F6F22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3.如乙方未能履行、或未能完全履行合同规定的义务，甲方有权从履约保证金中取得补偿。履约保证金扣除甲方应得的补偿后的余额在合同期满后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天内无息退还乙方。</w:t>
      </w:r>
    </w:p>
    <w:p w14:paraId="53109075">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第八条  验收</w:t>
      </w:r>
    </w:p>
    <w:p w14:paraId="643CC00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1.服务期限：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 xml:space="preserve"> 至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260C6C92">
      <w:pPr>
        <w:spacing w:line="360" w:lineRule="auto"/>
        <w:ind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 xml:space="preserve">服务地点：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3998B08A">
      <w:pPr>
        <w:spacing w:line="360" w:lineRule="auto"/>
        <w:ind w:firstLine="630" w:firstLineChars="300"/>
        <w:rPr>
          <w:rFonts w:hint="eastAsia" w:ascii="宋体" w:hAnsi="宋体" w:eastAsia="宋体" w:cs="宋体"/>
          <w:color w:val="auto"/>
          <w:highlight w:val="none"/>
          <w:u w:val="single"/>
        </w:rPr>
      </w:pPr>
      <w:r>
        <w:rPr>
          <w:rFonts w:hint="eastAsia" w:ascii="宋体" w:hAnsi="宋体" w:eastAsia="宋体" w:cs="宋体"/>
          <w:color w:val="auto"/>
          <w:highlight w:val="none"/>
        </w:rPr>
        <w:t xml:space="preserve">验收时间：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1447B25F">
      <w:pPr>
        <w:spacing w:line="360" w:lineRule="auto"/>
        <w:ind w:firstLine="630" w:firstLineChars="300"/>
        <w:rPr>
          <w:rFonts w:hint="eastAsia" w:ascii="宋体" w:hAnsi="宋体" w:eastAsia="宋体" w:cs="宋体"/>
          <w:color w:val="auto"/>
          <w:highlight w:val="none"/>
        </w:rPr>
      </w:pPr>
      <w:r>
        <w:rPr>
          <w:rFonts w:hint="eastAsia" w:ascii="宋体" w:hAnsi="宋体" w:eastAsia="宋体" w:cs="宋体"/>
          <w:color w:val="auto"/>
          <w:highlight w:val="none"/>
        </w:rPr>
        <w:t xml:space="preserve">验收地点：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250EDDA2">
      <w:pPr>
        <w:pStyle w:val="14"/>
        <w:tabs>
          <w:tab w:val="left" w:pos="0"/>
        </w:tabs>
        <w:spacing w:line="360" w:lineRule="auto"/>
        <w:ind w:firstLine="380" w:firstLineChars="200"/>
        <w:rPr>
          <w:rFonts w:hint="eastAsia" w:ascii="宋体" w:hAnsi="宋体" w:eastAsia="宋体" w:cs="宋体"/>
          <w:color w:val="auto"/>
          <w:highlight w:val="none"/>
        </w:rPr>
      </w:pPr>
      <w:r>
        <w:rPr>
          <w:rFonts w:hint="eastAsia" w:ascii="宋体" w:hAnsi="宋体" w:eastAsia="宋体" w:cs="宋体"/>
          <w:color w:val="auto"/>
          <w:highlight w:val="none"/>
        </w:rPr>
        <w:t>2. 乙方应对提供的服务成果作出全面自查和整理，并列出清单，作为甲方验收和使用的服务条件依据，清单应随提供的服务成果交给甲方。</w:t>
      </w:r>
    </w:p>
    <w:p w14:paraId="2A34C77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验收时，甲乙双方必须同时在场，乙方所提供的服务不符合合同内容规定的，甲方有权拒绝验收。乙方应及时按本合同内容规定和甲方要求免费进行整改，直至验收合格，方视为乙方按本合同规定完成服务。验收合格的，由双方共同签署《验收报告》。在经过两次限期整改后，服务仍达不到合同文件规定内容的，甲方有权拒收，并可以解除合同；由此引起甲方损失及赔偿责任由乙方承担。</w:t>
      </w:r>
    </w:p>
    <w:p w14:paraId="550C8030">
      <w:pPr>
        <w:snapToGrid w:val="0"/>
        <w:spacing w:line="360" w:lineRule="auto"/>
        <w:ind w:firstLine="482"/>
        <w:textAlignment w:val="baseline"/>
        <w:rPr>
          <w:rFonts w:hint="eastAsia" w:ascii="宋体" w:hAnsi="宋体" w:eastAsia="宋体" w:cs="宋体"/>
          <w:color w:val="auto"/>
          <w:highlight w:val="none"/>
        </w:rPr>
      </w:pPr>
      <w:r>
        <w:rPr>
          <w:rFonts w:hint="eastAsia" w:ascii="宋体" w:hAnsi="宋体" w:eastAsia="宋体" w:cs="宋体"/>
          <w:color w:val="auto"/>
          <w:highlight w:val="none"/>
        </w:rPr>
        <w:t>4.甲方可以视项目规模或复杂情况聘请专业人员参与验收，大型或复杂项目，以及涉及专业服务内容的应当邀请国家认可的第三方质量检测机构参与验收。</w:t>
      </w:r>
    </w:p>
    <w:p w14:paraId="490572BB">
      <w:pPr>
        <w:snapToGrid w:val="0"/>
        <w:spacing w:line="360" w:lineRule="auto"/>
        <w:ind w:firstLine="482"/>
        <w:textAlignment w:val="baseline"/>
        <w:rPr>
          <w:rFonts w:hint="eastAsia" w:ascii="宋体" w:hAnsi="宋体" w:eastAsia="宋体" w:cs="宋体"/>
          <w:color w:val="auto"/>
          <w:highlight w:val="none"/>
        </w:rPr>
      </w:pPr>
      <w:r>
        <w:rPr>
          <w:rFonts w:hint="eastAsia" w:ascii="宋体" w:hAnsi="宋体" w:eastAsia="宋体" w:cs="宋体"/>
          <w:color w:val="auto"/>
          <w:highlight w:val="none"/>
        </w:rPr>
        <w:t>5.如根据项目实施情况需要分阶段验收，则双方分阶段签署《验收报告》。</w:t>
      </w:r>
    </w:p>
    <w:p w14:paraId="06EC843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6.如果合同双方对《验收报告》有分歧，双方须于出现分歧后</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天内给对方书面声明，以陈述己方的理由及要求，并附有关证据。分歧应通过协商解决。</w:t>
      </w:r>
    </w:p>
    <w:p w14:paraId="2A7FADBE">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第九条  项目管理服务</w:t>
      </w:r>
    </w:p>
    <w:p w14:paraId="1FF5657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乙方要指定不少于一人全权全程负责本项目服务的落实，包括服务的咨询、执行和后续工作。</w:t>
      </w:r>
    </w:p>
    <w:p w14:paraId="6CDABC25">
      <w:pPr>
        <w:snapToGrid w:val="0"/>
        <w:spacing w:line="360" w:lineRule="auto"/>
        <w:ind w:firstLine="481"/>
        <w:textAlignment w:val="baseline"/>
        <w:rPr>
          <w:rFonts w:hint="eastAsia" w:ascii="宋体" w:hAnsi="宋体" w:eastAsia="宋体" w:cs="宋体"/>
          <w:color w:val="auto"/>
          <w:highlight w:val="none"/>
        </w:rPr>
      </w:pPr>
      <w:r>
        <w:rPr>
          <w:rFonts w:hint="eastAsia" w:ascii="宋体" w:hAnsi="宋体" w:eastAsia="宋体" w:cs="宋体"/>
          <w:color w:val="auto"/>
          <w:highlight w:val="none"/>
        </w:rPr>
        <w:t xml:space="preserve">项目负责人姓名： </w:t>
      </w:r>
      <w:r>
        <w:rPr>
          <w:rFonts w:hint="eastAsia" w:ascii="宋体" w:hAnsi="宋体" w:eastAsia="宋体" w:cs="宋体"/>
          <w:color w:val="auto"/>
          <w:highlight w:val="none"/>
          <w:u w:val="single" w:color="000000"/>
        </w:rPr>
        <w:t xml:space="preserve">              </w:t>
      </w:r>
      <w:r>
        <w:rPr>
          <w:rFonts w:hint="eastAsia" w:ascii="宋体" w:hAnsi="宋体" w:eastAsia="宋体" w:cs="宋体"/>
          <w:color w:val="auto"/>
          <w:highlight w:val="none"/>
        </w:rPr>
        <w:t>； 联系电话：</w:t>
      </w:r>
      <w:r>
        <w:rPr>
          <w:rFonts w:hint="eastAsia" w:ascii="宋体" w:hAnsi="宋体" w:eastAsia="宋体" w:cs="宋体"/>
          <w:color w:val="auto"/>
          <w:highlight w:val="none"/>
          <w:u w:val="single" w:color="000000"/>
        </w:rPr>
        <w:t xml:space="preserve">                      </w:t>
      </w:r>
      <w:r>
        <w:rPr>
          <w:rFonts w:hint="eastAsia" w:ascii="宋体" w:hAnsi="宋体" w:eastAsia="宋体" w:cs="宋体"/>
          <w:color w:val="auto"/>
          <w:highlight w:val="none"/>
        </w:rPr>
        <w:t>。</w:t>
      </w:r>
    </w:p>
    <w:p w14:paraId="531D526B">
      <w:pPr>
        <w:spacing w:line="360" w:lineRule="auto"/>
        <w:ind w:firstLine="413" w:firstLineChars="196"/>
        <w:rPr>
          <w:rFonts w:hint="eastAsia" w:ascii="宋体" w:hAnsi="宋体" w:eastAsia="宋体" w:cs="宋体"/>
          <w:b/>
          <w:color w:val="auto"/>
          <w:highlight w:val="none"/>
        </w:rPr>
      </w:pPr>
      <w:r>
        <w:rPr>
          <w:rFonts w:hint="eastAsia" w:ascii="宋体" w:hAnsi="宋体" w:eastAsia="宋体" w:cs="宋体"/>
          <w:b/>
          <w:color w:val="auto"/>
          <w:highlight w:val="none"/>
        </w:rPr>
        <w:t>第十条  售后服务</w:t>
      </w:r>
    </w:p>
    <w:p w14:paraId="5F72263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1.乙方提供服务的质量保证期为自服务通过最终验收之日起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个月。若国家有明确规定的质量保证期高于此质量保证期的，执行国家规定。</w:t>
      </w:r>
    </w:p>
    <w:p w14:paraId="0AEE970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2.服务期内，乙方应提供相关服务支持。对甲方所反映的任何服务问题在</w:t>
      </w:r>
      <w:r>
        <w:rPr>
          <w:rFonts w:hint="eastAsia" w:ascii="宋体" w:hAnsi="宋体" w:eastAsia="宋体" w:cs="宋体"/>
          <w:color w:val="auto"/>
          <w:highlight w:val="none"/>
          <w:u w:val="single"/>
        </w:rPr>
        <w:t>××</w:t>
      </w:r>
      <w:r>
        <w:rPr>
          <w:rFonts w:hint="eastAsia" w:ascii="宋体" w:hAnsi="宋体" w:eastAsia="宋体" w:cs="宋体"/>
          <w:color w:val="auto"/>
          <w:highlight w:val="none"/>
        </w:rPr>
        <w:t>日（小时）之内做出及时响应，在</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日（小时）之内赶到现场实地解决问题。若问题在</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工作日（小时）后仍无法解决，乙方应在</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日（小时）内免费提供服务的补偿、替换方案，直至服务恢复正常。</w:t>
      </w:r>
    </w:p>
    <w:p w14:paraId="46AC0F55">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3.乙方必须遵守甲方的有关管理制度、操作规程。对于乙方违规操作造成甲方损失的，由乙方按照本合同第十二条的约定承担赔偿责任。</w:t>
      </w:r>
    </w:p>
    <w:p w14:paraId="7BB637F0">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第十一条  分包和转包</w:t>
      </w:r>
    </w:p>
    <w:p w14:paraId="377E7D7E">
      <w:pPr>
        <w:spacing w:line="360" w:lineRule="auto"/>
        <w:ind w:firstLine="420" w:firstLineChars="200"/>
        <w:rPr>
          <w:rFonts w:hint="eastAsia" w:ascii="宋体" w:hAnsi="宋体" w:eastAsia="宋体" w:cs="宋体"/>
          <w:strike/>
          <w:color w:val="auto"/>
          <w:highlight w:val="none"/>
        </w:rPr>
      </w:pPr>
      <w:r>
        <w:rPr>
          <w:rFonts w:hint="eastAsia" w:ascii="宋体" w:hAnsi="宋体" w:eastAsia="宋体" w:cs="宋体"/>
          <w:color w:val="auto"/>
          <w:highlight w:val="none"/>
        </w:rPr>
        <w:t>除竞争性磋商文件事先说明、且经甲方事先书面同意外，乙方不得分包、转包其应履行的合同义务。</w:t>
      </w:r>
    </w:p>
    <w:p w14:paraId="5B5FF9A7">
      <w:pPr>
        <w:spacing w:line="360" w:lineRule="auto"/>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第十二条  合同的生效</w:t>
      </w:r>
    </w:p>
    <w:p w14:paraId="0C8043E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1.本合同经甲乙双方或授权代表签字并加盖公章或合同专用章后生效。</w:t>
      </w:r>
    </w:p>
    <w:p w14:paraId="32678BBF">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2.生效后，除《中华人民共和国政府采购法》第49条、第50条第二款规定的情形外，甲乙双方不得擅自变更、中止或终止合同。</w:t>
      </w:r>
    </w:p>
    <w:p w14:paraId="4FC404AB">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第十三条  违约责任</w:t>
      </w:r>
    </w:p>
    <w:p w14:paraId="10C74DF1">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1.乙方所交付服务成果不符合本合同规定的，甲方有权拒收，乙方在得到甲方通知之日起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个工作日内采取补救措施，逾期仍未采取有效措施的，甲方有权要求乙方赔偿因此造成的损失或扣留履约保证金；同时乙方应向甲方支付合同总价</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％的违约金。</w:t>
      </w:r>
    </w:p>
    <w:p w14:paraId="66EA99F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2.甲方无正当理由拒收服务，甲方应向乙方偿付拒付服务费用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％的违约金。</w:t>
      </w:r>
    </w:p>
    <w:p w14:paraId="7F7E478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3.乙方无正当理由逾期交付服务的，每逾期1天，乙方向甲方偿付合同总额的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‰的违约金。如乙方逾期达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天，甲方有权解除合同，甲方解除合同的通知自到达乙方时生效。在此情况下，乙方给甲方造成的实际损失高于违约金的，对高出违约金的部分乙方应予以赔偿。</w:t>
      </w:r>
    </w:p>
    <w:p w14:paraId="2E006CF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4.甲方未按合同规定的期限向乙方支付合同款的，每逾期1天甲方向乙方偿付欠款总额的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‰违约金，但累计违约金总额不超过欠款总额的</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4A6FEB77">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5.因乙方原因导致违约、本合同无法履行等情形造成甲方损失的，乙方除承担违约责任外还应支付甲方一切相关费用，包括但不限于诉讼费、保全费、鉴定费、律师费、交通费。</w:t>
      </w:r>
    </w:p>
    <w:p w14:paraId="3DE93FF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6.其它未尽事宜，以《合同法》和《中华人民共和国政府采购法》等有关法律法规规定为准，无相关规定的，双方协商解决。</w:t>
      </w:r>
    </w:p>
    <w:p w14:paraId="1FD9687C">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第十四条  不可抗力</w:t>
      </w:r>
    </w:p>
    <w:p w14:paraId="33B2666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甲、乙方中任何一方，因不可抗力不能按时或完全履行合同的，应及时通知对方，并在</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个工作日内提供相应证明，结算服务费用。未履行的部分是否继续履行、如何履行等问题，可由双方初步协商，并向主管部门和政府采购管理部门报告。确定为不可抗力原因造成的损失，免予承担责任。</w:t>
      </w:r>
    </w:p>
    <w:p w14:paraId="0C6091C1">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第十五条  争议的解决方式</w:t>
      </w:r>
    </w:p>
    <w:p w14:paraId="299CB1B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1.因服务质量问题发生争议的，应当邀请国家认可的质量检测机构对服务进行鉴定。服务符合标准的，鉴定费由甲方承担；不符合</w:t>
      </w:r>
      <w:r>
        <w:rPr>
          <w:rFonts w:hint="eastAsia" w:ascii="宋体" w:hAnsi="宋体" w:eastAsia="宋体" w:cs="宋体"/>
          <w:color w:val="auto"/>
          <w:highlight w:val="none"/>
          <w:lang w:eastAsia="zh-CN"/>
        </w:rPr>
        <w:t>服务标准</w:t>
      </w:r>
      <w:r>
        <w:rPr>
          <w:rFonts w:hint="eastAsia" w:ascii="宋体" w:hAnsi="宋体" w:eastAsia="宋体" w:cs="宋体"/>
          <w:color w:val="auto"/>
          <w:highlight w:val="none"/>
        </w:rPr>
        <w:t>的，鉴定费由乙方承担。</w:t>
      </w:r>
    </w:p>
    <w:p w14:paraId="2CDE258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2.在解释或者执行本合同的过程中发生争议时，双方应通过协商方式解决。</w:t>
      </w:r>
    </w:p>
    <w:p w14:paraId="00CC1AC7">
      <w:pPr>
        <w:spacing w:line="4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3.经协商不能解决的争议，双方可选择以下第</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种方式解决：</w:t>
      </w:r>
    </w:p>
    <w:p w14:paraId="0D582ADA">
      <w:pPr>
        <w:spacing w:line="4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①向</w:t>
      </w:r>
      <w:r>
        <w:rPr>
          <w:rFonts w:hint="eastAsia" w:ascii="宋体" w:hAnsi="宋体" w:eastAsia="宋体" w:cs="宋体"/>
          <w:color w:val="auto"/>
          <w:highlight w:val="none"/>
          <w:u w:val="single"/>
        </w:rPr>
        <w:t xml:space="preserve"> 甲方住所地 </w:t>
      </w:r>
      <w:r>
        <w:rPr>
          <w:rFonts w:hint="eastAsia" w:ascii="宋体" w:hAnsi="宋体" w:eastAsia="宋体" w:cs="宋体"/>
          <w:color w:val="auto"/>
          <w:highlight w:val="none"/>
        </w:rPr>
        <w:t>有管辖权的法院提起诉讼；</w:t>
      </w:r>
    </w:p>
    <w:p w14:paraId="605A38E2">
      <w:pPr>
        <w:spacing w:line="4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②向</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仲裁委员会提出仲裁。</w:t>
      </w:r>
    </w:p>
    <w:p w14:paraId="1B50A626">
      <w:pPr>
        <w:spacing w:line="4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4.在法院审理和仲裁期间，除有争议部分外，本合同其他部分可以履行的仍应按合同条款继续履行。</w:t>
      </w:r>
    </w:p>
    <w:p w14:paraId="3301CC4C">
      <w:pPr>
        <w:spacing w:line="360" w:lineRule="auto"/>
        <w:ind w:left="482"/>
        <w:rPr>
          <w:rFonts w:hint="eastAsia" w:ascii="宋体" w:hAnsi="宋体" w:eastAsia="宋体" w:cs="宋体"/>
          <w:b/>
          <w:color w:val="auto"/>
          <w:highlight w:val="none"/>
        </w:rPr>
      </w:pPr>
      <w:r>
        <w:rPr>
          <w:rFonts w:hint="eastAsia" w:ascii="宋体" w:hAnsi="宋体" w:eastAsia="宋体" w:cs="宋体"/>
          <w:b/>
          <w:color w:val="auto"/>
          <w:highlight w:val="none"/>
        </w:rPr>
        <w:t>第十六条  其他</w:t>
      </w:r>
    </w:p>
    <w:p w14:paraId="670528A9">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符合《中华人民共和国政府采购法》第49条规定的，经双方协商，办理政府采购手续后，可签订补充合同，所签订的补充合同与本合同具有同等法律效力。</w:t>
      </w:r>
    </w:p>
    <w:p w14:paraId="67CF4C3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本合同一式</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份，甲、乙双方各执</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份。</w:t>
      </w:r>
    </w:p>
    <w:p w14:paraId="199E99E6">
      <w:pPr>
        <w:spacing w:line="360" w:lineRule="auto"/>
        <w:ind w:firstLine="420" w:firstLineChars="200"/>
        <w:rPr>
          <w:rFonts w:hint="eastAsia" w:ascii="宋体" w:hAnsi="宋体" w:eastAsia="宋体" w:cs="宋体"/>
          <w:color w:val="auto"/>
          <w:highlight w:val="none"/>
        </w:rPr>
      </w:pPr>
    </w:p>
    <w:p w14:paraId="24E2D30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甲   方：                        乙   方：</w:t>
      </w:r>
    </w:p>
    <w:p w14:paraId="43B14CA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名称：（盖章）                    名称：（盖章）</w:t>
      </w:r>
    </w:p>
    <w:p w14:paraId="35ECAD9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地址：                           地址：</w:t>
      </w:r>
    </w:p>
    <w:p w14:paraId="2BEF682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法定代表人（签字）：              法定代表人（签字）：</w:t>
      </w:r>
    </w:p>
    <w:p w14:paraId="09B26ED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授权代表（签字）：                授权代表（签字）：</w:t>
      </w:r>
    </w:p>
    <w:p w14:paraId="6657214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开户银行：                       开户银行：</w:t>
      </w:r>
    </w:p>
    <w:p w14:paraId="4A3960B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银行帐号：                       银行帐号：</w:t>
      </w:r>
    </w:p>
    <w:p w14:paraId="3EAF618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时间：         年     月     日</w:t>
      </w:r>
    </w:p>
    <w:p w14:paraId="47C52335">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5CD3E57B">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54206A25">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1C88C450">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2FCF980B">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5918A1DB">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6E9421BA">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37C20134">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226E0015">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14ACEA69">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50C4B183">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0F68386C">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02F38E77">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48F020FC">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2815FBEB">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43326965">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0F2D03B7">
      <w:pPr>
        <w:pStyle w:val="20"/>
        <w:keepNext w:val="0"/>
        <w:keepLines w:val="0"/>
        <w:pageBreakBefore w:val="0"/>
        <w:widowControl/>
        <w:kinsoku/>
        <w:wordWrap/>
        <w:overflowPunct/>
        <w:topLinePunct w:val="0"/>
        <w:autoSpaceDE/>
        <w:autoSpaceDN/>
        <w:bidi w:val="0"/>
        <w:adjustRightInd/>
        <w:snapToGrid/>
        <w:spacing w:line="340" w:lineRule="exact"/>
        <w:textAlignment w:val="auto"/>
        <w:rPr>
          <w:rFonts w:hint="eastAsia" w:ascii="宋体" w:hAnsi="宋体" w:eastAsia="宋体" w:cs="宋体"/>
          <w:color w:val="auto"/>
          <w:highlight w:val="none"/>
        </w:rPr>
      </w:pPr>
    </w:p>
    <w:p w14:paraId="298FA394">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lang w:eastAsia="zh-CN"/>
        </w:rPr>
      </w:pPr>
      <w:bookmarkStart w:id="792" w:name="_Toc23967"/>
      <w:bookmarkStart w:id="793" w:name="_Toc14435"/>
      <w:bookmarkStart w:id="794" w:name="_Toc16856"/>
      <w:r>
        <w:rPr>
          <w:rFonts w:hint="eastAsia" w:ascii="宋体" w:hAnsi="宋体" w:eastAsia="宋体" w:cs="宋体"/>
          <w:b/>
          <w:bCs/>
          <w:color w:val="auto"/>
          <w:sz w:val="32"/>
          <w:szCs w:val="32"/>
          <w:highlight w:val="none"/>
        </w:rPr>
        <w:t xml:space="preserve">第五章  </w:t>
      </w:r>
      <w:bookmarkEnd w:id="792"/>
      <w:bookmarkEnd w:id="793"/>
      <w:bookmarkEnd w:id="794"/>
      <w:r>
        <w:rPr>
          <w:rFonts w:hint="eastAsia" w:ascii="宋体" w:hAnsi="宋体" w:eastAsia="宋体" w:cs="宋体"/>
          <w:b/>
          <w:bCs/>
          <w:color w:val="auto"/>
          <w:sz w:val="32"/>
          <w:szCs w:val="32"/>
          <w:highlight w:val="none"/>
          <w:lang w:eastAsia="zh-CN"/>
        </w:rPr>
        <w:t>采购内容及要求</w:t>
      </w:r>
    </w:p>
    <w:p w14:paraId="6703B4EC">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w:t>
      </w:r>
      <w:r>
        <w:rPr>
          <w:rFonts w:hint="eastAsia" w:ascii="宋体" w:hAnsi="宋体" w:eastAsia="宋体" w:cs="宋体"/>
          <w:b/>
          <w:bCs/>
          <w:color w:val="auto"/>
          <w:sz w:val="24"/>
          <w:szCs w:val="24"/>
          <w:highlight w:val="none"/>
          <w:lang w:val="en-US" w:eastAsia="zh-CN"/>
        </w:rPr>
        <w:t>设备信息及</w:t>
      </w:r>
      <w:r>
        <w:rPr>
          <w:rFonts w:hint="eastAsia" w:ascii="宋体" w:hAnsi="宋体" w:eastAsia="宋体" w:cs="宋体"/>
          <w:b/>
          <w:bCs/>
          <w:color w:val="auto"/>
          <w:sz w:val="24"/>
          <w:szCs w:val="24"/>
          <w:highlight w:val="none"/>
        </w:rPr>
        <w:t>总体</w:t>
      </w:r>
      <w:r>
        <w:rPr>
          <w:rFonts w:hint="eastAsia" w:ascii="宋体" w:hAnsi="宋体" w:eastAsia="宋体" w:cs="宋体"/>
          <w:b/>
          <w:bCs/>
          <w:color w:val="auto"/>
          <w:sz w:val="24"/>
          <w:szCs w:val="24"/>
          <w:highlight w:val="none"/>
          <w:lang w:val="en-US" w:eastAsia="zh-CN"/>
        </w:rPr>
        <w:t>维保范围</w:t>
      </w:r>
    </w:p>
    <w:p w14:paraId="51572A22">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保修设备信息：CT，品牌型号：飞利浦128排CT，数量：1台。</w:t>
      </w:r>
    </w:p>
    <w:p w14:paraId="3AD339B8">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保修</w:t>
      </w:r>
      <w:r>
        <w:rPr>
          <w:rFonts w:hint="eastAsia" w:ascii="宋体" w:hAnsi="宋体" w:eastAsia="宋体" w:cs="宋体"/>
          <w:color w:val="auto"/>
          <w:sz w:val="24"/>
          <w:szCs w:val="24"/>
          <w:highlight w:val="none"/>
          <w:lang w:val="en-US" w:eastAsia="zh-CN"/>
        </w:rPr>
        <w:t>范围</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飞利浦128排ICT整机保修服务（整机不含球管及平板探测器)，精密空调等附属设备不包含在内。</w:t>
      </w:r>
    </w:p>
    <w:p w14:paraId="7B5629EB">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保修时间：</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年。</w:t>
      </w:r>
    </w:p>
    <w:p w14:paraId="6927C25F">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二、服务工程师要求</w:t>
      </w:r>
    </w:p>
    <w:p w14:paraId="7FA89A98">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负责本院维修维护工作的固定工程师数量≥1名，工程师至少 5 年以上工作经验。</w:t>
      </w:r>
    </w:p>
    <w:p w14:paraId="35A3401C">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工程师具备专业维修工具、静电防护工具及相应安全防护用品，保证服务过程的安全性。</w:t>
      </w:r>
    </w:p>
    <w:p w14:paraId="25C1B85A">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三、技术服务要求</w:t>
      </w:r>
    </w:p>
    <w:p w14:paraId="2D13415E">
      <w:pPr>
        <w:keepNext w:val="0"/>
        <w:keepLines w:val="0"/>
        <w:pageBreakBefore w:val="0"/>
        <w:kinsoku/>
        <w:overflowPunct/>
        <w:topLinePunct w:val="0"/>
        <w:autoSpaceDE/>
        <w:autoSpaceDN/>
        <w:bidi w:val="0"/>
        <w:adjustRightInd/>
        <w:spacing w:line="440" w:lineRule="exact"/>
        <w:ind w:firstLine="360" w:firstLineChars="1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1.7天*24小时服务热线即时响应；</w:t>
      </w:r>
    </w:p>
    <w:p w14:paraId="30E0D821">
      <w:pPr>
        <w:keepNext w:val="0"/>
        <w:keepLines w:val="0"/>
        <w:pageBreakBefore w:val="0"/>
        <w:kinsoku/>
        <w:overflowPunct/>
        <w:topLinePunct w:val="0"/>
        <w:autoSpaceDE/>
        <w:autoSpaceDN/>
        <w:bidi w:val="0"/>
        <w:adjustRightInd/>
        <w:spacing w:line="440" w:lineRule="exact"/>
        <w:ind w:firstLine="360" w:firstLineChars="1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2.24*7*365 资深工程师电话技术支持；</w:t>
      </w:r>
    </w:p>
    <w:p w14:paraId="3924B9AF">
      <w:pPr>
        <w:keepNext w:val="0"/>
        <w:keepLines w:val="0"/>
        <w:pageBreakBefore w:val="0"/>
        <w:numPr>
          <w:ilvl w:val="0"/>
          <w:numId w:val="0"/>
        </w:numPr>
        <w:kinsoku/>
        <w:overflowPunct/>
        <w:topLinePunct w:val="0"/>
        <w:autoSpaceDE/>
        <w:autoSpaceDN/>
        <w:bidi w:val="0"/>
        <w:adjustRightInd/>
        <w:spacing w:line="440" w:lineRule="exact"/>
        <w:ind w:firstLine="360" w:firstLineChars="1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3.</w:t>
      </w:r>
      <w:r>
        <w:rPr>
          <w:rFonts w:hint="eastAsia" w:ascii="宋体" w:hAnsi="宋体" w:eastAsia="宋体" w:cs="宋体"/>
          <w:b w:val="0"/>
          <w:bCs/>
          <w:color w:val="auto"/>
          <w:kern w:val="0"/>
          <w:sz w:val="24"/>
          <w:highlight w:val="none"/>
        </w:rPr>
        <w:t>服务响应时间：电话报修后</w:t>
      </w:r>
      <w:r>
        <w:rPr>
          <w:rFonts w:hint="eastAsia" w:ascii="宋体" w:hAnsi="宋体" w:eastAsia="宋体" w:cs="宋体"/>
          <w:b w:val="0"/>
          <w:bCs/>
          <w:color w:val="auto"/>
          <w:kern w:val="0"/>
          <w:sz w:val="24"/>
          <w:highlight w:val="none"/>
          <w:lang w:val="en-US" w:eastAsia="zh-CN"/>
        </w:rPr>
        <w:t>1</w:t>
      </w:r>
      <w:r>
        <w:rPr>
          <w:rFonts w:hint="eastAsia" w:ascii="宋体" w:hAnsi="宋体" w:eastAsia="宋体" w:cs="宋体"/>
          <w:b w:val="0"/>
          <w:bCs/>
          <w:color w:val="auto"/>
          <w:kern w:val="0"/>
          <w:sz w:val="24"/>
          <w:highlight w:val="none"/>
        </w:rPr>
        <w:t>0分钟内响应，</w:t>
      </w:r>
      <w:r>
        <w:rPr>
          <w:rFonts w:hint="eastAsia" w:ascii="宋体" w:hAnsi="宋体" w:eastAsia="宋体" w:cs="宋体"/>
          <w:b w:val="0"/>
          <w:bCs/>
          <w:color w:val="auto"/>
          <w:kern w:val="0"/>
          <w:sz w:val="24"/>
          <w:highlight w:val="none"/>
          <w:lang w:val="en-US" w:eastAsia="zh-CN"/>
        </w:rPr>
        <w:t>12</w:t>
      </w:r>
      <w:r>
        <w:rPr>
          <w:rFonts w:hint="eastAsia" w:ascii="宋体" w:hAnsi="宋体" w:eastAsia="宋体" w:cs="宋体"/>
          <w:b w:val="0"/>
          <w:bCs/>
          <w:color w:val="auto"/>
          <w:kern w:val="0"/>
          <w:sz w:val="24"/>
          <w:highlight w:val="none"/>
        </w:rPr>
        <w:t>小时内到达现场。如诊断出需要更换备件后，常规备件到达医院的时间最长不超过48小时（备件库存全年365天响应）</w:t>
      </w:r>
      <w:r>
        <w:rPr>
          <w:rFonts w:hint="eastAsia" w:ascii="宋体" w:hAnsi="宋体" w:eastAsia="宋体" w:cs="宋体"/>
          <w:color w:val="auto"/>
          <w:sz w:val="24"/>
          <w:szCs w:val="24"/>
          <w:highlight w:val="none"/>
          <w:lang w:val="en-US" w:eastAsia="zh-CN"/>
        </w:rPr>
        <w:t>；</w:t>
      </w:r>
    </w:p>
    <w:p w14:paraId="6DD33D45">
      <w:pPr>
        <w:keepNext w:val="0"/>
        <w:keepLines w:val="0"/>
        <w:pageBreakBefore w:val="0"/>
        <w:numPr>
          <w:ilvl w:val="0"/>
          <w:numId w:val="0"/>
        </w:numPr>
        <w:kinsoku/>
        <w:overflowPunct/>
        <w:topLinePunct w:val="0"/>
        <w:autoSpaceDE/>
        <w:autoSpaceDN/>
        <w:bidi w:val="0"/>
        <w:adjustRightInd/>
        <w:spacing w:line="440" w:lineRule="exact"/>
        <w:ind w:firstLine="360" w:firstLineChars="1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4.</w:t>
      </w:r>
      <w:r>
        <w:rPr>
          <w:rFonts w:hint="eastAsia" w:ascii="宋体" w:hAnsi="宋体" w:eastAsia="宋体" w:cs="宋体"/>
          <w:color w:val="auto"/>
          <w:sz w:val="24"/>
          <w:szCs w:val="24"/>
          <w:highlight w:val="none"/>
          <w:lang w:val="en-US" w:eastAsia="zh-CN"/>
        </w:rPr>
        <w:t>免收技术服务的全部人工费用；</w:t>
      </w:r>
    </w:p>
    <w:p w14:paraId="4EA1E45B">
      <w:pPr>
        <w:keepNext w:val="0"/>
        <w:keepLines w:val="0"/>
        <w:pageBreakBefore w:val="0"/>
        <w:kinsoku/>
        <w:overflowPunct/>
        <w:topLinePunct w:val="0"/>
        <w:autoSpaceDE/>
        <w:autoSpaceDN/>
        <w:bidi w:val="0"/>
        <w:adjustRightInd/>
        <w:spacing w:line="440" w:lineRule="exact"/>
        <w:ind w:firstLine="360" w:firstLineChars="1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5.免收现场技术服务的所有差旅费；</w:t>
      </w:r>
    </w:p>
    <w:p w14:paraId="09EB56FC">
      <w:pPr>
        <w:keepNext w:val="0"/>
        <w:keepLines w:val="0"/>
        <w:pageBreakBefore w:val="0"/>
        <w:kinsoku/>
        <w:overflowPunct/>
        <w:topLinePunct w:val="0"/>
        <w:autoSpaceDE/>
        <w:autoSpaceDN/>
        <w:bidi w:val="0"/>
        <w:adjustRightInd/>
        <w:spacing w:line="440" w:lineRule="exact"/>
        <w:ind w:firstLine="360" w:firstLineChars="1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6.配件的优先使用权及免收所有维修所需的配件费用，提供配件为原厂配件（不含球管及平板探测器核心部件）；</w:t>
      </w:r>
    </w:p>
    <w:p w14:paraId="72097B7E">
      <w:pPr>
        <w:keepNext w:val="0"/>
        <w:keepLines w:val="0"/>
        <w:pageBreakBefore w:val="0"/>
        <w:kinsoku/>
        <w:overflowPunct/>
        <w:topLinePunct w:val="0"/>
        <w:autoSpaceDE/>
        <w:autoSpaceDN/>
        <w:bidi w:val="0"/>
        <w:adjustRightInd/>
        <w:spacing w:line="440" w:lineRule="exact"/>
        <w:ind w:firstLine="360" w:firstLineChars="15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7.产品手册规定的保养(PM)的人工和配件(一年四次)，</w:t>
      </w:r>
      <w:r>
        <w:rPr>
          <w:rFonts w:hint="eastAsia" w:ascii="宋体" w:hAnsi="宋体" w:eastAsia="宋体" w:cs="宋体"/>
          <w:b w:val="0"/>
          <w:bCs/>
          <w:color w:val="auto"/>
          <w:kern w:val="0"/>
          <w:sz w:val="24"/>
          <w:highlight w:val="none"/>
        </w:rPr>
        <w:t>并提供保养报告单；定期的维护保养服务包括：设备的安全检查、影响的质量检查、设备的清洁保养、性能测试及校准、运行状态检查等。保养中需更换的损耗品由供应商免费提供</w:t>
      </w:r>
      <w:r>
        <w:rPr>
          <w:rFonts w:hint="eastAsia" w:ascii="宋体" w:hAnsi="宋体" w:eastAsia="宋体" w:cs="宋体"/>
          <w:b w:val="0"/>
          <w:bCs/>
          <w:color w:val="auto"/>
          <w:kern w:val="0"/>
          <w:sz w:val="24"/>
          <w:highlight w:val="none"/>
          <w:lang w:eastAsia="zh-CN"/>
        </w:rPr>
        <w:t>；</w:t>
      </w:r>
    </w:p>
    <w:p w14:paraId="2D28995D">
      <w:pPr>
        <w:keepNext w:val="0"/>
        <w:keepLines w:val="0"/>
        <w:pageBreakBefore w:val="0"/>
        <w:widowControl/>
        <w:kinsoku/>
        <w:wordWrap w:val="0"/>
        <w:overflowPunct/>
        <w:topLinePunct w:val="0"/>
        <w:autoSpaceDE/>
        <w:autoSpaceDN/>
        <w:bidi w:val="0"/>
        <w:adjustRightInd/>
        <w:snapToGrid w:val="0"/>
        <w:spacing w:line="440" w:lineRule="exact"/>
        <w:ind w:firstLine="360" w:firstLineChars="150"/>
        <w:jc w:val="left"/>
        <w:textAlignment w:val="auto"/>
        <w:outlineLvl w:val="0"/>
        <w:rPr>
          <w:rFonts w:hint="eastAsia" w:ascii="宋体" w:hAnsi="宋体" w:eastAsia="宋体" w:cs="宋体"/>
          <w:b w:val="0"/>
          <w:bCs/>
          <w:color w:val="auto"/>
          <w:kern w:val="0"/>
          <w:sz w:val="24"/>
          <w:highlight w:val="none"/>
          <w:lang w:eastAsia="zh-CN"/>
        </w:rPr>
      </w:pPr>
      <w:r>
        <w:rPr>
          <w:rFonts w:hint="eastAsia" w:ascii="宋体" w:hAnsi="宋体" w:eastAsia="宋体" w:cs="宋体"/>
          <w:b w:val="0"/>
          <w:bCs/>
          <w:color w:val="auto"/>
          <w:kern w:val="0"/>
          <w:sz w:val="24"/>
          <w:highlight w:val="none"/>
          <w:lang w:val="en-US" w:eastAsia="zh-CN"/>
        </w:rPr>
        <w:t>8.</w:t>
      </w:r>
      <w:r>
        <w:rPr>
          <w:rFonts w:hint="eastAsia" w:ascii="宋体" w:hAnsi="宋体" w:eastAsia="宋体" w:cs="宋体"/>
          <w:b w:val="0"/>
          <w:bCs/>
          <w:color w:val="auto"/>
          <w:kern w:val="0"/>
          <w:sz w:val="24"/>
          <w:highlight w:val="none"/>
        </w:rPr>
        <w:t>供应商每次维修后需向采购人提供书面维修报告，并向采购人提供现场故障维修讲解服务</w:t>
      </w:r>
      <w:r>
        <w:rPr>
          <w:rFonts w:hint="eastAsia" w:ascii="宋体" w:hAnsi="宋体" w:eastAsia="宋体" w:cs="宋体"/>
          <w:b w:val="0"/>
          <w:bCs/>
          <w:color w:val="auto"/>
          <w:kern w:val="0"/>
          <w:sz w:val="24"/>
          <w:highlight w:val="none"/>
          <w:lang w:eastAsia="zh-CN"/>
        </w:rPr>
        <w:t>；</w:t>
      </w:r>
    </w:p>
    <w:p w14:paraId="5EDA6A03">
      <w:pPr>
        <w:keepNext w:val="0"/>
        <w:keepLines w:val="0"/>
        <w:pageBreakBefore w:val="0"/>
        <w:widowControl/>
        <w:kinsoku/>
        <w:wordWrap w:val="0"/>
        <w:overflowPunct/>
        <w:topLinePunct w:val="0"/>
        <w:autoSpaceDE/>
        <w:autoSpaceDN/>
        <w:bidi w:val="0"/>
        <w:adjustRightInd/>
        <w:snapToGrid w:val="0"/>
        <w:spacing w:line="440" w:lineRule="exact"/>
        <w:ind w:firstLine="360" w:firstLineChars="150"/>
        <w:jc w:val="left"/>
        <w:textAlignment w:val="auto"/>
        <w:outlineLvl w:val="0"/>
        <w:rPr>
          <w:rFonts w:hint="eastAsia" w:ascii="宋体" w:hAnsi="宋体" w:eastAsia="宋体" w:cs="宋体"/>
          <w:b w:val="0"/>
          <w:bCs/>
          <w:color w:val="auto"/>
          <w:kern w:val="0"/>
          <w:sz w:val="24"/>
          <w:highlight w:val="none"/>
          <w:lang w:val="en-US" w:eastAsia="zh-CN"/>
        </w:rPr>
      </w:pPr>
      <w:r>
        <w:rPr>
          <w:rFonts w:hint="eastAsia" w:ascii="宋体" w:hAnsi="宋体" w:eastAsia="宋体" w:cs="宋体"/>
          <w:b w:val="0"/>
          <w:bCs/>
          <w:color w:val="auto"/>
          <w:kern w:val="0"/>
          <w:sz w:val="24"/>
          <w:highlight w:val="none"/>
          <w:lang w:val="en-US" w:eastAsia="zh-CN"/>
        </w:rPr>
        <w:t>9.</w:t>
      </w:r>
      <w:r>
        <w:rPr>
          <w:rFonts w:hint="eastAsia" w:ascii="宋体" w:hAnsi="宋体" w:eastAsia="宋体" w:cs="宋体"/>
          <w:b w:val="0"/>
          <w:bCs/>
          <w:color w:val="auto"/>
          <w:kern w:val="0"/>
          <w:sz w:val="24"/>
          <w:highlight w:val="none"/>
        </w:rPr>
        <w:t>供应商应具有相应的服务技术力量，所提供的服务应满足本项目维保时间要求</w:t>
      </w:r>
      <w:r>
        <w:rPr>
          <w:rFonts w:hint="eastAsia" w:ascii="宋体" w:hAnsi="宋体" w:eastAsia="宋体" w:cs="宋体"/>
          <w:b w:val="0"/>
          <w:bCs/>
          <w:color w:val="auto"/>
          <w:kern w:val="0"/>
          <w:sz w:val="24"/>
          <w:highlight w:val="none"/>
          <w:lang w:eastAsia="zh-CN"/>
        </w:rPr>
        <w:t>，</w:t>
      </w:r>
      <w:r>
        <w:rPr>
          <w:rFonts w:hint="eastAsia" w:ascii="宋体" w:hAnsi="宋体" w:eastAsia="宋体" w:cs="宋体"/>
          <w:b w:val="0"/>
          <w:bCs/>
          <w:color w:val="auto"/>
          <w:kern w:val="0"/>
          <w:sz w:val="24"/>
          <w:highlight w:val="none"/>
          <w:lang w:val="en-US" w:eastAsia="zh-CN"/>
        </w:rPr>
        <w:t>提供有工程师相关资质证书；</w:t>
      </w:r>
    </w:p>
    <w:p w14:paraId="167800FE">
      <w:pPr>
        <w:keepNext w:val="0"/>
        <w:keepLines w:val="0"/>
        <w:pageBreakBefore w:val="0"/>
        <w:widowControl/>
        <w:kinsoku/>
        <w:wordWrap w:val="0"/>
        <w:overflowPunct/>
        <w:topLinePunct w:val="0"/>
        <w:autoSpaceDE/>
        <w:autoSpaceDN/>
        <w:bidi w:val="0"/>
        <w:adjustRightInd/>
        <w:snapToGrid w:val="0"/>
        <w:spacing w:line="440" w:lineRule="exact"/>
        <w:ind w:firstLine="360" w:firstLineChars="150"/>
        <w:jc w:val="left"/>
        <w:textAlignment w:val="auto"/>
        <w:outlineLvl w:val="0"/>
        <w:rPr>
          <w:rFonts w:hint="eastAsia" w:ascii="宋体" w:hAnsi="宋体" w:eastAsia="宋体" w:cs="宋体"/>
          <w:b w:val="0"/>
          <w:bCs/>
          <w:color w:val="auto"/>
          <w:kern w:val="0"/>
          <w:sz w:val="24"/>
          <w:highlight w:val="none"/>
          <w:lang w:eastAsia="zh-CN"/>
        </w:rPr>
      </w:pPr>
      <w:r>
        <w:rPr>
          <w:rFonts w:hint="eastAsia" w:ascii="宋体" w:hAnsi="宋体" w:eastAsia="宋体" w:cs="宋体"/>
          <w:b w:val="0"/>
          <w:bCs/>
          <w:color w:val="auto"/>
          <w:kern w:val="0"/>
          <w:sz w:val="24"/>
          <w:highlight w:val="none"/>
        </w:rPr>
        <w:t>10</w:t>
      </w:r>
      <w:r>
        <w:rPr>
          <w:rFonts w:hint="eastAsia" w:ascii="宋体" w:hAnsi="宋体" w:eastAsia="宋体" w:cs="宋体"/>
          <w:b w:val="0"/>
          <w:bCs/>
          <w:color w:val="auto"/>
          <w:kern w:val="0"/>
          <w:sz w:val="24"/>
          <w:highlight w:val="none"/>
          <w:lang w:val="en-US" w:eastAsia="zh-CN"/>
        </w:rPr>
        <w:t>.</w:t>
      </w:r>
      <w:r>
        <w:rPr>
          <w:rFonts w:hint="eastAsia" w:ascii="宋体" w:hAnsi="宋体" w:eastAsia="宋体" w:cs="宋体"/>
          <w:b w:val="0"/>
          <w:bCs/>
          <w:color w:val="auto"/>
          <w:kern w:val="0"/>
          <w:sz w:val="24"/>
          <w:highlight w:val="none"/>
        </w:rPr>
        <w:t>供应商必须配备固定的维护人员，以保障维保工作的稳定性和连续性</w:t>
      </w:r>
      <w:r>
        <w:rPr>
          <w:rFonts w:hint="eastAsia" w:ascii="宋体" w:hAnsi="宋体" w:eastAsia="宋体" w:cs="宋体"/>
          <w:b w:val="0"/>
          <w:bCs/>
          <w:color w:val="auto"/>
          <w:kern w:val="0"/>
          <w:sz w:val="24"/>
          <w:highlight w:val="none"/>
          <w:lang w:eastAsia="zh-CN"/>
        </w:rPr>
        <w:t>；</w:t>
      </w:r>
    </w:p>
    <w:p w14:paraId="0AC3D940">
      <w:pPr>
        <w:keepNext w:val="0"/>
        <w:keepLines w:val="0"/>
        <w:pageBreakBefore w:val="0"/>
        <w:widowControl/>
        <w:kinsoku/>
        <w:wordWrap w:val="0"/>
        <w:overflowPunct/>
        <w:topLinePunct w:val="0"/>
        <w:autoSpaceDE/>
        <w:autoSpaceDN/>
        <w:bidi w:val="0"/>
        <w:adjustRightInd/>
        <w:snapToGrid w:val="0"/>
        <w:spacing w:line="440" w:lineRule="exact"/>
        <w:ind w:firstLine="360" w:firstLineChars="150"/>
        <w:jc w:val="left"/>
        <w:textAlignment w:val="auto"/>
        <w:outlineLvl w:val="0"/>
        <w:rPr>
          <w:rFonts w:hint="eastAsia" w:ascii="宋体" w:hAnsi="宋体" w:eastAsia="宋体" w:cs="宋体"/>
          <w:b/>
          <w:bCs/>
          <w:color w:val="auto"/>
          <w:sz w:val="24"/>
          <w:szCs w:val="24"/>
          <w:highlight w:val="none"/>
        </w:rPr>
      </w:pPr>
      <w:r>
        <w:rPr>
          <w:rFonts w:hint="eastAsia" w:ascii="宋体" w:hAnsi="宋体" w:eastAsia="宋体" w:cs="宋体"/>
          <w:b w:val="0"/>
          <w:bCs/>
          <w:color w:val="auto"/>
          <w:kern w:val="0"/>
          <w:sz w:val="24"/>
          <w:highlight w:val="none"/>
          <w:lang w:val="en-US" w:eastAsia="zh-CN"/>
        </w:rPr>
        <w:t>11.为了保障设备正常运转，供应商需提供巡检服务，巡检次数不限。</w:t>
      </w:r>
    </w:p>
    <w:p w14:paraId="323DCB55">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四、维修及配件更换</w:t>
      </w:r>
    </w:p>
    <w:p w14:paraId="57EB6FBB">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提供无限次免费工时及派工、无限次现场维修、除球管探测器外的零备件更换。</w:t>
      </w:r>
    </w:p>
    <w:p w14:paraId="43895C51">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每次维修后测试，保证维修及更换备件后，设备性能指标与设备生产厂家提供的指标相符。</w:t>
      </w:r>
    </w:p>
    <w:p w14:paraId="165DACFE">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五、巡检</w:t>
      </w:r>
    </w:p>
    <w:p w14:paraId="595A7ED4">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巡检次数4次/年，巡检次数不包含在维护保养次数内。</w:t>
      </w:r>
    </w:p>
    <w:p w14:paraId="18DE76CD">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巡检内容至少包括设备的安全检查、运行状态检查、影像质量检查。</w:t>
      </w:r>
    </w:p>
    <w:p w14:paraId="76B88C3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六、备件供应</w:t>
      </w:r>
    </w:p>
    <w:p w14:paraId="11DD3D2C">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 具备充足的备件供应能力，并保证我院备件的优先供应。</w:t>
      </w:r>
    </w:p>
    <w:p w14:paraId="7EAD4706">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备件送达期限：国内≤2个</w:t>
      </w:r>
      <w:r>
        <w:rPr>
          <w:rFonts w:hint="eastAsia" w:ascii="宋体" w:hAnsi="宋体" w:eastAsia="宋体" w:cs="宋体"/>
          <w:color w:val="auto"/>
          <w:sz w:val="24"/>
          <w:szCs w:val="24"/>
          <w:highlight w:val="none"/>
          <w:lang w:val="en-US" w:eastAsia="zh-CN"/>
        </w:rPr>
        <w:t>日历天</w:t>
      </w:r>
      <w:r>
        <w:rPr>
          <w:rFonts w:hint="eastAsia" w:ascii="宋体" w:hAnsi="宋体" w:eastAsia="宋体" w:cs="宋体"/>
          <w:color w:val="auto"/>
          <w:sz w:val="24"/>
          <w:szCs w:val="24"/>
          <w:highlight w:val="none"/>
        </w:rPr>
        <w:t>，国外≤5个工作日。</w:t>
      </w:r>
    </w:p>
    <w:p w14:paraId="6520079B">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承诺所更换的配件为经原厂验证合格备件，维修备件确保100%保障供应。</w:t>
      </w:r>
    </w:p>
    <w:p w14:paraId="5FE80550">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七、其他</w:t>
      </w:r>
    </w:p>
    <w:p w14:paraId="34DE48BE">
      <w:pPr>
        <w:keepNext w:val="0"/>
        <w:keepLines w:val="0"/>
        <w:pageBreakBefore w:val="0"/>
        <w:widowControl w:val="0"/>
        <w:kinsoku/>
        <w:wordWrap/>
        <w:overflowPunct/>
        <w:topLinePunct w:val="0"/>
        <w:autoSpaceDE/>
        <w:autoSpaceDN/>
        <w:bidi w:val="0"/>
        <w:adjustRightInd/>
        <w:snapToGrid/>
        <w:spacing w:line="440" w:lineRule="exact"/>
        <w:ind w:firstLine="360" w:firstLineChars="150"/>
        <w:textAlignment w:val="auto"/>
        <w:rPr>
          <w:rFonts w:hint="eastAsia" w:ascii="宋体" w:hAnsi="宋体" w:eastAsia="宋体" w:cs="宋体"/>
          <w:color w:val="auto"/>
          <w:sz w:val="24"/>
          <w:szCs w:val="24"/>
          <w:highlight w:val="none"/>
        </w:rPr>
      </w:pPr>
      <w:bookmarkStart w:id="795" w:name="_Toc3615"/>
      <w:bookmarkStart w:id="796" w:name="_Toc14426"/>
      <w:r>
        <w:rPr>
          <w:rFonts w:hint="eastAsia" w:ascii="宋体" w:hAnsi="宋体" w:eastAsia="宋体" w:cs="宋体"/>
          <w:b w:val="0"/>
          <w:bCs/>
          <w:color w:val="auto"/>
          <w:kern w:val="0"/>
          <w:sz w:val="24"/>
          <w:highlight w:val="none"/>
          <w:lang w:val="en-US" w:eastAsia="zh-CN"/>
        </w:rPr>
        <w:t>1、</w:t>
      </w:r>
      <w:r>
        <w:rPr>
          <w:rFonts w:hint="eastAsia" w:ascii="宋体" w:hAnsi="宋体" w:eastAsia="宋体" w:cs="宋体"/>
          <w:color w:val="auto"/>
          <w:sz w:val="24"/>
          <w:szCs w:val="24"/>
          <w:highlight w:val="none"/>
          <w:lang w:val="en-US" w:eastAsia="zh-CN"/>
        </w:rPr>
        <w:t>保证年开机率≥95%（即全年故障停机时间不得超过18天），如开机率未达到95%，则因故障停机时间每超出1天，则维保期自动延长2个自然日。</w:t>
      </w:r>
    </w:p>
    <w:p w14:paraId="6EF72854">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rPr>
      </w:pPr>
      <w:bookmarkStart w:id="797" w:name="_Toc27464"/>
    </w:p>
    <w:p w14:paraId="7E703BEA">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rPr>
      </w:pPr>
    </w:p>
    <w:p w14:paraId="78492505">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rPr>
      </w:pPr>
    </w:p>
    <w:p w14:paraId="2D3D0388">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rPr>
      </w:pPr>
    </w:p>
    <w:p w14:paraId="5DF91921">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rPr>
      </w:pPr>
    </w:p>
    <w:p w14:paraId="0E3E849C">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rPr>
      </w:pPr>
    </w:p>
    <w:p w14:paraId="06247168">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rPr>
      </w:pPr>
    </w:p>
    <w:p w14:paraId="4A2749CF">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rPr>
      </w:pPr>
    </w:p>
    <w:p w14:paraId="057D2FF8">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rPr>
      </w:pPr>
    </w:p>
    <w:p w14:paraId="279609E4">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rPr>
      </w:pPr>
    </w:p>
    <w:p w14:paraId="17D2527D">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rPr>
      </w:pPr>
    </w:p>
    <w:p w14:paraId="546ECFD8">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rPr>
      </w:pPr>
    </w:p>
    <w:p w14:paraId="36E567FF">
      <w:pPr>
        <w:pStyle w:val="14"/>
        <w:spacing w:before="156" w:beforeLines="50" w:after="156" w:afterLines="50" w:line="600" w:lineRule="exact"/>
        <w:ind w:left="57"/>
        <w:jc w:val="center"/>
        <w:outlineLvl w:val="0"/>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第六章  磋商响应文件格式</w:t>
      </w:r>
      <w:bookmarkEnd w:id="795"/>
      <w:bookmarkEnd w:id="796"/>
      <w:bookmarkEnd w:id="797"/>
    </w:p>
    <w:p w14:paraId="0D7A844D">
      <w:pPr>
        <w:pStyle w:val="14"/>
        <w:spacing w:before="312" w:beforeLines="100" w:after="312" w:afterLines="100" w:line="600" w:lineRule="exact"/>
        <w:jc w:val="both"/>
        <w:rPr>
          <w:rFonts w:hint="eastAsia" w:ascii="宋体" w:hAnsi="宋体" w:eastAsia="宋体" w:cs="宋体"/>
          <w:b/>
          <w:color w:val="auto"/>
          <w:sz w:val="44"/>
          <w:szCs w:val="44"/>
          <w:highlight w:val="none"/>
          <w:u w:val="single"/>
        </w:rPr>
      </w:pPr>
      <w:r>
        <w:rPr>
          <w:rFonts w:hint="eastAsia" w:ascii="宋体" w:hAnsi="宋体" w:eastAsia="宋体" w:cs="宋体"/>
          <w:bCs/>
          <w:color w:val="auto"/>
          <w:sz w:val="32"/>
          <w:highlight w:val="none"/>
        </w:rPr>
        <w:t>（封面）</w:t>
      </w:r>
    </w:p>
    <w:p w14:paraId="2167AAA2">
      <w:pPr>
        <w:pStyle w:val="3"/>
        <w:rPr>
          <w:rFonts w:hint="eastAsia" w:ascii="宋体" w:hAnsi="宋体" w:eastAsia="宋体" w:cs="宋体"/>
          <w:color w:val="auto"/>
          <w:highlight w:val="none"/>
        </w:rPr>
      </w:pPr>
    </w:p>
    <w:p w14:paraId="24A7EDE5">
      <w:pPr>
        <w:pStyle w:val="14"/>
        <w:spacing w:before="312" w:beforeLines="100" w:after="312" w:afterLines="100" w:line="600" w:lineRule="exact"/>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u w:val="single"/>
        </w:rPr>
        <w:t xml:space="preserve">                 </w:t>
      </w:r>
      <w:r>
        <w:rPr>
          <w:rFonts w:hint="eastAsia" w:ascii="宋体" w:hAnsi="宋体" w:eastAsia="宋体" w:cs="宋体"/>
          <w:b/>
          <w:color w:val="auto"/>
          <w:sz w:val="44"/>
          <w:szCs w:val="44"/>
          <w:highlight w:val="none"/>
        </w:rPr>
        <w:t>（项目名称）</w:t>
      </w:r>
    </w:p>
    <w:p w14:paraId="0E33D948">
      <w:pPr>
        <w:pStyle w:val="14"/>
        <w:spacing w:before="312" w:beforeLines="100" w:after="312" w:afterLines="100" w:line="600" w:lineRule="exact"/>
        <w:jc w:val="both"/>
        <w:rPr>
          <w:rFonts w:hint="eastAsia" w:ascii="宋体" w:hAnsi="宋体" w:eastAsia="宋体" w:cs="宋体"/>
          <w:b/>
          <w:bCs/>
          <w:color w:val="auto"/>
          <w:sz w:val="32"/>
          <w:highlight w:val="none"/>
          <w:u w:val="single"/>
          <w:lang w:val="en-US" w:eastAsia="zh-CN"/>
        </w:rPr>
      </w:pPr>
    </w:p>
    <w:p w14:paraId="78311697">
      <w:pPr>
        <w:pStyle w:val="14"/>
        <w:spacing w:before="312" w:beforeLines="100" w:after="312" w:afterLines="100" w:line="600" w:lineRule="exact"/>
        <w:ind w:firstLine="2891" w:firstLineChars="900"/>
        <w:jc w:val="both"/>
        <w:rPr>
          <w:rFonts w:hint="eastAsia" w:ascii="宋体" w:hAnsi="宋体" w:eastAsia="宋体" w:cs="宋体"/>
          <w:b/>
          <w:bCs/>
          <w:color w:val="auto"/>
          <w:sz w:val="32"/>
          <w:highlight w:val="none"/>
          <w:u w:val="single"/>
          <w:lang w:val="en-US" w:eastAsia="zh-CN"/>
        </w:rPr>
      </w:pPr>
      <w:r>
        <w:rPr>
          <w:rFonts w:hint="eastAsia" w:ascii="宋体" w:hAnsi="宋体" w:eastAsia="宋体" w:cs="宋体"/>
          <w:b/>
          <w:bCs/>
          <w:color w:val="auto"/>
          <w:sz w:val="32"/>
          <w:highlight w:val="none"/>
          <w:u w:val="single"/>
          <w:lang w:val="en-US" w:eastAsia="zh-CN"/>
        </w:rPr>
        <w:t xml:space="preserve">采购编号：   </w:t>
      </w:r>
    </w:p>
    <w:p w14:paraId="075741A1">
      <w:pPr>
        <w:pStyle w:val="14"/>
        <w:spacing w:before="312" w:beforeLines="100" w:after="312" w:afterLines="100" w:line="600" w:lineRule="exact"/>
        <w:jc w:val="both"/>
        <w:rPr>
          <w:rFonts w:hint="eastAsia" w:ascii="宋体" w:hAnsi="宋体" w:eastAsia="宋体" w:cs="宋体"/>
          <w:b/>
          <w:bCs/>
          <w:color w:val="auto"/>
          <w:sz w:val="32"/>
          <w:highlight w:val="none"/>
        </w:rPr>
      </w:pPr>
    </w:p>
    <w:p w14:paraId="6A003FC4">
      <w:pPr>
        <w:pStyle w:val="13"/>
        <w:rPr>
          <w:rFonts w:hint="eastAsia" w:ascii="宋体" w:hAnsi="宋体" w:eastAsia="宋体" w:cs="宋体"/>
          <w:b/>
          <w:bCs/>
          <w:color w:val="auto"/>
          <w:sz w:val="32"/>
          <w:highlight w:val="none"/>
        </w:rPr>
      </w:pPr>
    </w:p>
    <w:p w14:paraId="207E314B">
      <w:pPr>
        <w:rPr>
          <w:rFonts w:hint="eastAsia" w:ascii="宋体" w:hAnsi="宋体" w:eastAsia="宋体" w:cs="宋体"/>
          <w:b/>
          <w:bCs/>
          <w:color w:val="auto"/>
          <w:sz w:val="32"/>
          <w:highlight w:val="none"/>
        </w:rPr>
      </w:pPr>
    </w:p>
    <w:p w14:paraId="456F1345">
      <w:pPr>
        <w:rPr>
          <w:rFonts w:hint="eastAsia" w:ascii="宋体" w:hAnsi="宋体" w:eastAsia="宋体" w:cs="宋体"/>
          <w:b/>
          <w:bCs/>
          <w:color w:val="auto"/>
          <w:sz w:val="32"/>
          <w:highlight w:val="none"/>
        </w:rPr>
      </w:pPr>
    </w:p>
    <w:p w14:paraId="255182D2">
      <w:pPr>
        <w:rPr>
          <w:rFonts w:hint="eastAsia" w:ascii="宋体" w:hAnsi="宋体" w:eastAsia="宋体" w:cs="宋体"/>
          <w:b/>
          <w:bCs/>
          <w:color w:val="auto"/>
          <w:sz w:val="32"/>
          <w:highlight w:val="none"/>
        </w:rPr>
      </w:pPr>
    </w:p>
    <w:p w14:paraId="509705B3">
      <w:pPr>
        <w:rPr>
          <w:rFonts w:hint="eastAsia" w:ascii="宋体" w:hAnsi="宋体" w:eastAsia="宋体" w:cs="宋体"/>
          <w:b/>
          <w:bCs/>
          <w:color w:val="auto"/>
          <w:sz w:val="32"/>
          <w:highlight w:val="none"/>
        </w:rPr>
      </w:pPr>
    </w:p>
    <w:p w14:paraId="36196762">
      <w:pPr>
        <w:rPr>
          <w:rFonts w:hint="eastAsia" w:ascii="宋体" w:hAnsi="宋体" w:eastAsia="宋体" w:cs="宋体"/>
          <w:b/>
          <w:bCs/>
          <w:color w:val="auto"/>
          <w:sz w:val="32"/>
          <w:highlight w:val="none"/>
        </w:rPr>
      </w:pPr>
    </w:p>
    <w:p w14:paraId="41091593">
      <w:pPr>
        <w:pStyle w:val="14"/>
        <w:spacing w:before="312" w:beforeLines="100" w:after="312" w:afterLines="100" w:line="600" w:lineRule="exact"/>
        <w:jc w:val="center"/>
        <w:rPr>
          <w:rFonts w:hint="eastAsia" w:ascii="宋体" w:hAnsi="宋体" w:eastAsia="宋体" w:cs="宋体"/>
          <w:b/>
          <w:bCs/>
          <w:color w:val="auto"/>
          <w:sz w:val="32"/>
          <w:highlight w:val="none"/>
          <w:u w:val="single"/>
        </w:rPr>
      </w:pPr>
      <w:r>
        <w:rPr>
          <w:rFonts w:hint="eastAsia" w:ascii="宋体" w:hAnsi="宋体" w:eastAsia="宋体" w:cs="宋体"/>
          <w:b/>
          <w:bCs/>
          <w:color w:val="auto"/>
          <w:sz w:val="32"/>
          <w:highlight w:val="none"/>
        </w:rPr>
        <w:t xml:space="preserve"> 供  应  商：</w:t>
      </w:r>
      <w:r>
        <w:rPr>
          <w:rFonts w:hint="eastAsia" w:ascii="宋体" w:hAnsi="宋体" w:eastAsia="宋体" w:cs="宋体"/>
          <w:b/>
          <w:bCs/>
          <w:color w:val="auto"/>
          <w:sz w:val="32"/>
          <w:highlight w:val="none"/>
          <w:u w:val="single"/>
        </w:rPr>
        <w:t xml:space="preserve">                     </w:t>
      </w:r>
      <w:r>
        <w:rPr>
          <w:rFonts w:hint="eastAsia" w:ascii="宋体" w:hAnsi="宋体" w:eastAsia="宋体" w:cs="宋体"/>
          <w:b/>
          <w:bCs/>
          <w:color w:val="auto"/>
          <w:sz w:val="32"/>
          <w:highlight w:val="none"/>
        </w:rPr>
        <w:t>（电子印章）</w:t>
      </w:r>
    </w:p>
    <w:p w14:paraId="186F146F">
      <w:pPr>
        <w:pStyle w:val="14"/>
        <w:spacing w:before="312" w:beforeLines="100" w:after="312" w:afterLines="100" w:line="600" w:lineRule="exact"/>
        <w:ind w:firstLine="596" w:firstLineChars="198"/>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法定代表人或其委托代理人：</w:t>
      </w:r>
      <w:r>
        <w:rPr>
          <w:rFonts w:hint="eastAsia" w:ascii="宋体" w:hAnsi="宋体" w:eastAsia="宋体" w:cs="宋体"/>
          <w:b/>
          <w:bCs/>
          <w:color w:val="auto"/>
          <w:sz w:val="30"/>
          <w:szCs w:val="30"/>
          <w:highlight w:val="none"/>
          <w:u w:val="single"/>
        </w:rPr>
        <w:t xml:space="preserve">              </w:t>
      </w:r>
      <w:r>
        <w:rPr>
          <w:rFonts w:hint="eastAsia" w:ascii="宋体" w:hAnsi="宋体" w:eastAsia="宋体" w:cs="宋体"/>
          <w:b/>
          <w:bCs/>
          <w:color w:val="auto"/>
          <w:sz w:val="32"/>
          <w:highlight w:val="none"/>
        </w:rPr>
        <w:t>（电子签章）</w:t>
      </w:r>
    </w:p>
    <w:p w14:paraId="333CE13C">
      <w:pPr>
        <w:pStyle w:val="11"/>
        <w:spacing w:line="500" w:lineRule="exact"/>
        <w:ind w:left="0" w:leftChars="0" w:firstLine="2129" w:firstLineChars="707"/>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日      期：       年    月    日</w:t>
      </w:r>
    </w:p>
    <w:p w14:paraId="756496CD">
      <w:pP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br w:type="page"/>
      </w:r>
    </w:p>
    <w:p w14:paraId="785AECBB">
      <w:pPr>
        <w:pStyle w:val="14"/>
        <w:spacing w:before="312" w:beforeLines="100" w:after="312" w:afterLines="100" w:line="600" w:lineRule="exact"/>
        <w:jc w:val="both"/>
        <w:rPr>
          <w:rFonts w:hint="eastAsia" w:ascii="宋体" w:hAnsi="宋体" w:eastAsia="宋体" w:cs="宋体"/>
          <w:b/>
          <w:color w:val="auto"/>
          <w:sz w:val="44"/>
          <w:szCs w:val="44"/>
          <w:highlight w:val="none"/>
        </w:rPr>
      </w:pPr>
    </w:p>
    <w:p w14:paraId="27B462CD">
      <w:pPr>
        <w:pStyle w:val="14"/>
        <w:spacing w:before="312" w:beforeLines="100" w:after="312" w:afterLines="100" w:line="600" w:lineRule="exact"/>
        <w:jc w:val="center"/>
        <w:rPr>
          <w:rFonts w:hint="eastAsia" w:ascii="宋体" w:hAnsi="宋体" w:eastAsia="宋体" w:cs="宋体"/>
          <w:b/>
          <w:color w:val="auto"/>
          <w:sz w:val="44"/>
          <w:szCs w:val="44"/>
          <w:highlight w:val="none"/>
        </w:rPr>
      </w:pPr>
      <w:bookmarkStart w:id="798" w:name="_Toc2421"/>
      <w:r>
        <w:rPr>
          <w:rFonts w:hint="eastAsia" w:ascii="宋体" w:hAnsi="宋体" w:eastAsia="宋体" w:cs="宋体"/>
          <w:b/>
          <w:color w:val="auto"/>
          <w:sz w:val="44"/>
          <w:szCs w:val="44"/>
          <w:highlight w:val="none"/>
        </w:rPr>
        <w:t>响应文件目录</w:t>
      </w:r>
    </w:p>
    <w:p w14:paraId="5E897D73">
      <w:pPr>
        <w:wordWrap/>
        <w:topLinePunct w:val="0"/>
        <w:autoSpaceDE w:val="0"/>
        <w:autoSpaceDN w:val="0"/>
        <w:adjustRightInd w:val="0"/>
        <w:spacing w:line="360" w:lineRule="auto"/>
        <w:ind w:right="40"/>
        <w:jc w:val="left"/>
        <w:rPr>
          <w:rFonts w:hint="eastAsia" w:ascii="宋体" w:hAnsi="宋体" w:eastAsia="宋体" w:cs="宋体"/>
          <w:color w:val="auto"/>
          <w:kern w:val="0"/>
          <w:sz w:val="28"/>
          <w:szCs w:val="28"/>
          <w:highlight w:val="none"/>
        </w:rPr>
      </w:pPr>
    </w:p>
    <w:p w14:paraId="5ED2DA31">
      <w:pPr>
        <w:pStyle w:val="3"/>
        <w:tabs>
          <w:tab w:val="left" w:pos="420"/>
          <w:tab w:val="left" w:pos="840"/>
        </w:tabs>
        <w:spacing w:line="360" w:lineRule="auto"/>
        <w:jc w:val="center"/>
        <w:rPr>
          <w:rFonts w:hint="eastAsia" w:ascii="宋体" w:hAnsi="宋体" w:eastAsia="宋体" w:cs="宋体"/>
          <w:b w:val="0"/>
          <w:color w:val="auto"/>
          <w:sz w:val="28"/>
          <w:szCs w:val="28"/>
          <w:highlight w:val="none"/>
        </w:rPr>
      </w:pPr>
      <w:r>
        <w:rPr>
          <w:rFonts w:hint="eastAsia" w:ascii="宋体" w:hAnsi="宋体" w:eastAsia="宋体" w:cs="宋体"/>
          <w:bCs w:val="0"/>
          <w:color w:val="auto"/>
          <w:sz w:val="28"/>
          <w:szCs w:val="28"/>
          <w:highlight w:val="none"/>
        </w:rPr>
        <w:br w:type="page"/>
      </w:r>
      <w:bookmarkStart w:id="799" w:name="_Toc29623350"/>
      <w:bookmarkStart w:id="800" w:name="_Toc9356"/>
      <w:bookmarkStart w:id="801" w:name="_Toc20146"/>
      <w:r>
        <w:rPr>
          <w:rFonts w:hint="eastAsia" w:ascii="宋体" w:hAnsi="宋体" w:eastAsia="宋体" w:cs="宋体"/>
          <w:bCs w:val="0"/>
          <w:color w:val="auto"/>
          <w:sz w:val="28"/>
          <w:szCs w:val="28"/>
          <w:highlight w:val="none"/>
        </w:rPr>
        <w:t>一、</w:t>
      </w:r>
      <w:r>
        <w:rPr>
          <w:rFonts w:hint="eastAsia" w:ascii="宋体" w:hAnsi="宋体" w:eastAsia="宋体" w:cs="宋体"/>
          <w:bCs w:val="0"/>
          <w:color w:val="auto"/>
          <w:highlight w:val="none"/>
          <w:lang w:val="en-US" w:eastAsia="zh-CN"/>
        </w:rPr>
        <w:t>磋商</w:t>
      </w:r>
      <w:r>
        <w:rPr>
          <w:rFonts w:hint="eastAsia" w:ascii="宋体" w:hAnsi="宋体" w:eastAsia="宋体" w:cs="宋体"/>
          <w:bCs w:val="0"/>
          <w:color w:val="auto"/>
          <w:highlight w:val="none"/>
          <w:lang w:val="zh-CN"/>
        </w:rPr>
        <w:t>函</w:t>
      </w:r>
      <w:bookmarkEnd w:id="798"/>
      <w:r>
        <w:rPr>
          <w:rFonts w:hint="eastAsia" w:ascii="宋体" w:hAnsi="宋体" w:eastAsia="宋体" w:cs="宋体"/>
          <w:bCs w:val="0"/>
          <w:color w:val="auto"/>
          <w:highlight w:val="none"/>
          <w:lang w:val="zh-CN"/>
        </w:rPr>
        <w:t>及</w:t>
      </w:r>
      <w:r>
        <w:rPr>
          <w:rFonts w:hint="eastAsia" w:ascii="宋体" w:hAnsi="宋体" w:eastAsia="宋体" w:cs="宋体"/>
          <w:bCs w:val="0"/>
          <w:color w:val="auto"/>
          <w:highlight w:val="none"/>
          <w:lang w:val="en-US" w:eastAsia="zh-CN"/>
        </w:rPr>
        <w:t>磋商</w:t>
      </w:r>
      <w:r>
        <w:rPr>
          <w:rFonts w:hint="eastAsia" w:ascii="宋体" w:hAnsi="宋体" w:eastAsia="宋体" w:cs="宋体"/>
          <w:bCs w:val="0"/>
          <w:color w:val="auto"/>
          <w:highlight w:val="none"/>
          <w:lang w:val="zh-CN"/>
        </w:rPr>
        <w:t>函附录</w:t>
      </w:r>
      <w:bookmarkEnd w:id="799"/>
      <w:bookmarkEnd w:id="800"/>
      <w:bookmarkEnd w:id="801"/>
    </w:p>
    <w:p w14:paraId="6E4066BD">
      <w:pPr>
        <w:pStyle w:val="4"/>
        <w:jc w:val="center"/>
        <w:rPr>
          <w:rFonts w:hint="eastAsia" w:ascii="宋体" w:hAnsi="宋体" w:eastAsia="宋体" w:cs="宋体"/>
          <w:color w:val="auto"/>
          <w:sz w:val="24"/>
          <w:szCs w:val="24"/>
          <w:highlight w:val="none"/>
        </w:rPr>
      </w:pPr>
      <w:bookmarkStart w:id="802" w:name="_Toc29623351"/>
      <w:r>
        <w:rPr>
          <w:rFonts w:hint="eastAsia" w:ascii="宋体" w:hAnsi="宋体" w:eastAsia="宋体" w:cs="宋体"/>
          <w:color w:val="auto"/>
          <w:sz w:val="24"/>
          <w:szCs w:val="24"/>
          <w:highlight w:val="none"/>
          <w:lang w:val="zh-CN"/>
        </w:rPr>
        <w:t>（一）</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函</w:t>
      </w:r>
      <w:bookmarkEnd w:id="802"/>
    </w:p>
    <w:p w14:paraId="1F73899D">
      <w:pPr>
        <w:spacing w:line="440" w:lineRule="exact"/>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（采购人名称）</w:t>
      </w:r>
    </w:p>
    <w:p w14:paraId="2FF72CE9">
      <w:pPr>
        <w:pStyle w:val="12"/>
        <w:tabs>
          <w:tab w:val="left" w:pos="0"/>
        </w:tabs>
        <w:spacing w:line="44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1.我方已仔细研究了</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u w:val="single"/>
        </w:rPr>
        <w:tab/>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（项目名称）</w:t>
      </w:r>
      <w:r>
        <w:rPr>
          <w:rFonts w:hint="eastAsia" w:ascii="宋体" w:hAnsi="宋体" w:eastAsia="宋体" w:cs="宋体"/>
          <w:color w:val="auto"/>
          <w:sz w:val="21"/>
          <w:highlight w:val="none"/>
          <w:lang w:val="en-US" w:eastAsia="zh-CN"/>
        </w:rPr>
        <w:t>竞争性磋商</w:t>
      </w:r>
      <w:r>
        <w:rPr>
          <w:rFonts w:hint="eastAsia" w:ascii="宋体" w:hAnsi="宋体" w:eastAsia="宋体" w:cs="宋体"/>
          <w:color w:val="auto"/>
          <w:sz w:val="21"/>
          <w:highlight w:val="none"/>
        </w:rPr>
        <w:t>文件的全部内容，愿意以人民币（大写）</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w:t>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u w:val="single"/>
        </w:rPr>
        <w:tab/>
      </w:r>
      <w:r>
        <w:rPr>
          <w:rFonts w:hint="eastAsia" w:ascii="宋体" w:hAnsi="宋体" w:eastAsia="宋体" w:cs="宋体"/>
          <w:color w:val="auto"/>
          <w:sz w:val="21"/>
          <w:highlight w:val="none"/>
          <w:u w:val="single"/>
        </w:rPr>
        <w:t xml:space="preserve"> </w:t>
      </w:r>
      <w:r>
        <w:rPr>
          <w:rFonts w:hint="eastAsia" w:ascii="宋体" w:hAnsi="宋体" w:eastAsia="宋体" w:cs="宋体"/>
          <w:color w:val="auto"/>
          <w:sz w:val="21"/>
          <w:highlight w:val="none"/>
        </w:rPr>
        <w:t>元）的</w:t>
      </w:r>
      <w:r>
        <w:rPr>
          <w:rFonts w:hint="eastAsia" w:ascii="宋体" w:hAnsi="宋体" w:eastAsia="宋体" w:cs="宋体"/>
          <w:color w:val="auto"/>
          <w:sz w:val="21"/>
          <w:highlight w:val="none"/>
          <w:lang w:val="en-US" w:eastAsia="zh-CN"/>
        </w:rPr>
        <w:t>磋商</w:t>
      </w:r>
      <w:r>
        <w:rPr>
          <w:rFonts w:hint="eastAsia" w:ascii="宋体" w:hAnsi="宋体" w:eastAsia="宋体" w:cs="宋体"/>
          <w:color w:val="auto"/>
          <w:sz w:val="21"/>
          <w:highlight w:val="none"/>
        </w:rPr>
        <w:t>报价，按合同约定完成全部合同内容。</w:t>
      </w:r>
    </w:p>
    <w:p w14:paraId="3D5F08C1">
      <w:pPr>
        <w:pStyle w:val="12"/>
        <w:tabs>
          <w:tab w:val="left" w:pos="720"/>
        </w:tabs>
        <w:spacing w:line="44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 我方承诺在投标有效期内不修改、撤销响应文件。</w:t>
      </w:r>
    </w:p>
    <w:p w14:paraId="5AC2EC59">
      <w:pPr>
        <w:pStyle w:val="12"/>
        <w:tabs>
          <w:tab w:val="left" w:pos="720"/>
        </w:tabs>
        <w:spacing w:line="44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 如我方中标：​</w:t>
      </w:r>
    </w:p>
    <w:p w14:paraId="28C2ED6B">
      <w:pPr>
        <w:pStyle w:val="12"/>
        <w:tabs>
          <w:tab w:val="left" w:pos="720"/>
        </w:tabs>
        <w:spacing w:line="44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（1）我方承诺在收到中标通知书后，在中标通知书规定的期限内与你方签订合同。</w:t>
      </w:r>
    </w:p>
    <w:p w14:paraId="26ACB5E3">
      <w:pPr>
        <w:pStyle w:val="12"/>
        <w:tabs>
          <w:tab w:val="left" w:pos="720"/>
        </w:tabs>
        <w:spacing w:line="44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（2）随同本投标函递交的投标函附录属于合同文件的组成部分。</w:t>
      </w:r>
    </w:p>
    <w:p w14:paraId="19E086CE">
      <w:pPr>
        <w:pStyle w:val="12"/>
        <w:tabs>
          <w:tab w:val="left" w:pos="720"/>
        </w:tabs>
        <w:spacing w:line="44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（3）我方承诺在合同约定的期限内完成全部合同内容。</w:t>
      </w:r>
    </w:p>
    <w:p w14:paraId="075E5707">
      <w:pPr>
        <w:pStyle w:val="12"/>
        <w:tabs>
          <w:tab w:val="left" w:pos="720"/>
        </w:tabs>
        <w:spacing w:line="44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3.我方已详细审查全部竞争性磋商文件，包括修改文件以及全部参考资料和有关附件。我们完全理解并同意放弃对这方面有不明及误解的权力。</w:t>
      </w:r>
    </w:p>
    <w:p w14:paraId="77460A9A">
      <w:pPr>
        <w:pStyle w:val="12"/>
        <w:tabs>
          <w:tab w:val="left" w:pos="720"/>
        </w:tabs>
        <w:spacing w:line="440" w:lineRule="exact"/>
        <w:ind w:firstLine="420" w:firstLineChars="200"/>
        <w:rPr>
          <w:rFonts w:hint="eastAsia" w:ascii="宋体" w:hAnsi="宋体" w:eastAsia="宋体" w:cs="宋体"/>
          <w:color w:val="auto"/>
          <w:sz w:val="21"/>
          <w:highlight w:val="none"/>
        </w:rPr>
      </w:pPr>
      <w:r>
        <w:rPr>
          <w:rFonts w:hint="eastAsia" w:ascii="宋体" w:hAnsi="宋体" w:eastAsia="宋体" w:cs="宋体"/>
          <w:color w:val="auto"/>
          <w:sz w:val="21"/>
          <w:highlight w:val="none"/>
        </w:rPr>
        <w:t>4. 我方在此声明，所递交的响应文件及有关资料内容完整、真实和准确。</w:t>
      </w:r>
    </w:p>
    <w:p w14:paraId="3EA07DCD">
      <w:pPr>
        <w:pStyle w:val="12"/>
        <w:tabs>
          <w:tab w:val="left" w:pos="720"/>
        </w:tabs>
        <w:spacing w:line="4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sz w:val="21"/>
          <w:highlight w:val="none"/>
        </w:rPr>
        <w:t xml:space="preserve"> </w:t>
      </w:r>
    </w:p>
    <w:p w14:paraId="38721B58">
      <w:pPr>
        <w:spacing w:line="440" w:lineRule="exact"/>
        <w:ind w:firstLine="4620" w:firstLineChars="2200"/>
        <w:rPr>
          <w:rFonts w:hint="eastAsia" w:ascii="宋体" w:hAnsi="宋体" w:eastAsia="宋体" w:cs="宋体"/>
          <w:color w:val="auto"/>
          <w:highlight w:val="none"/>
        </w:rPr>
      </w:pPr>
      <w:bookmarkStart w:id="847" w:name="_GoBack"/>
      <w:bookmarkEnd w:id="847"/>
      <w:r>
        <w:rPr>
          <w:rFonts w:hint="eastAsia" w:ascii="宋体" w:hAnsi="宋体" w:eastAsia="宋体" w:cs="宋体"/>
          <w:color w:val="auto"/>
          <w:highlight w:val="none"/>
        </w:rPr>
        <w:t xml:space="preserve">      年   月    日</w:t>
      </w:r>
    </w:p>
    <w:p w14:paraId="060C5D7C">
      <w:pPr>
        <w:pStyle w:val="8"/>
        <w:rPr>
          <w:rFonts w:hint="eastAsia" w:ascii="宋体" w:hAnsi="宋体" w:eastAsia="宋体" w:cs="宋体"/>
          <w:color w:val="auto"/>
          <w:highlight w:val="none"/>
        </w:rPr>
      </w:pPr>
    </w:p>
    <w:p w14:paraId="68CB9B87">
      <w:pPr>
        <w:pStyle w:val="8"/>
        <w:rPr>
          <w:rFonts w:hint="eastAsia" w:ascii="宋体" w:hAnsi="宋体" w:eastAsia="宋体" w:cs="宋体"/>
          <w:color w:val="auto"/>
          <w:highlight w:val="none"/>
        </w:rPr>
      </w:pPr>
    </w:p>
    <w:p w14:paraId="3E2B8699">
      <w:pPr>
        <w:pStyle w:val="8"/>
        <w:rPr>
          <w:rFonts w:hint="eastAsia" w:ascii="宋体" w:hAnsi="宋体" w:eastAsia="宋体" w:cs="宋体"/>
          <w:color w:val="auto"/>
          <w:highlight w:val="none"/>
        </w:rPr>
      </w:pPr>
    </w:p>
    <w:p w14:paraId="3178740D">
      <w:pPr>
        <w:rPr>
          <w:rFonts w:hint="eastAsia" w:ascii="宋体" w:hAnsi="宋体" w:eastAsia="宋体" w:cs="宋体"/>
          <w:color w:val="auto"/>
          <w:highlight w:val="none"/>
        </w:rPr>
      </w:pPr>
      <w:r>
        <w:rPr>
          <w:rStyle w:val="25"/>
          <w:rFonts w:hint="eastAsia" w:ascii="宋体" w:hAnsi="宋体" w:eastAsia="宋体" w:cs="宋体"/>
          <w:i w:val="0"/>
          <w:iCs w:val="0"/>
          <w:caps w:val="0"/>
          <w:color w:val="000000"/>
          <w:spacing w:val="0"/>
          <w:sz w:val="24"/>
          <w:szCs w:val="24"/>
        </w:rPr>
        <w:t>注：整份响应文件磋商函需与系统中磋商函保持一致，如不一致以整份响应文件为准。</w:t>
      </w:r>
      <w:r>
        <w:rPr>
          <w:rFonts w:hint="eastAsia" w:ascii="宋体" w:hAnsi="宋体" w:eastAsia="宋体" w:cs="宋体"/>
          <w:color w:val="auto"/>
          <w:highlight w:val="none"/>
        </w:rPr>
        <w:br w:type="page"/>
      </w:r>
    </w:p>
    <w:p w14:paraId="41557979">
      <w:pPr>
        <w:pStyle w:val="8"/>
        <w:rPr>
          <w:rFonts w:hint="eastAsia" w:ascii="宋体" w:hAnsi="宋体" w:eastAsia="宋体" w:cs="宋体"/>
          <w:color w:val="auto"/>
          <w:highlight w:val="none"/>
        </w:rPr>
      </w:pPr>
    </w:p>
    <w:p w14:paraId="06AC78DB">
      <w:pPr>
        <w:pStyle w:val="4"/>
        <w:jc w:val="center"/>
        <w:rPr>
          <w:rFonts w:hint="eastAsia" w:ascii="宋体" w:hAnsi="宋体" w:eastAsia="宋体" w:cs="宋体"/>
          <w:color w:val="auto"/>
          <w:sz w:val="24"/>
          <w:szCs w:val="24"/>
          <w:highlight w:val="none"/>
          <w:lang w:val="zh-CN" w:eastAsia="zh-CN"/>
        </w:rPr>
      </w:pPr>
      <w:bookmarkStart w:id="803" w:name="_Toc3896"/>
      <w:bookmarkStart w:id="804" w:name="_Toc21386"/>
      <w:bookmarkStart w:id="805" w:name="_Toc29623352"/>
      <w:bookmarkStart w:id="806" w:name="_Toc21652"/>
      <w:r>
        <w:rPr>
          <w:rFonts w:hint="eastAsia" w:ascii="宋体" w:hAnsi="宋体" w:eastAsia="宋体" w:cs="宋体"/>
          <w:color w:val="auto"/>
          <w:sz w:val="24"/>
          <w:szCs w:val="24"/>
          <w:highlight w:val="none"/>
          <w:lang w:val="zh-CN"/>
        </w:rPr>
        <w:t>（二）</w:t>
      </w:r>
      <w:r>
        <w:rPr>
          <w:rFonts w:hint="eastAsia" w:ascii="宋体" w:hAnsi="宋体" w:eastAsia="宋体" w:cs="宋体"/>
          <w:color w:val="auto"/>
          <w:sz w:val="24"/>
          <w:szCs w:val="24"/>
          <w:highlight w:val="none"/>
          <w:lang w:val="en-US" w:eastAsia="zh-CN"/>
        </w:rPr>
        <w:t>磋商</w:t>
      </w:r>
      <w:r>
        <w:rPr>
          <w:rFonts w:hint="eastAsia" w:ascii="宋体" w:hAnsi="宋体" w:eastAsia="宋体" w:cs="宋体"/>
          <w:color w:val="auto"/>
          <w:sz w:val="24"/>
          <w:szCs w:val="24"/>
          <w:highlight w:val="none"/>
          <w:lang w:val="zh-CN"/>
        </w:rPr>
        <w:t>函附录</w:t>
      </w:r>
      <w:bookmarkEnd w:id="803"/>
      <w:bookmarkEnd w:id="804"/>
      <w:bookmarkEnd w:id="805"/>
    </w:p>
    <w:p w14:paraId="784C4D9F">
      <w:pPr>
        <w:rPr>
          <w:rFonts w:hint="eastAsia" w:ascii="宋体" w:hAnsi="宋体" w:eastAsia="宋体" w:cs="宋体"/>
          <w:color w:val="auto"/>
          <w:highlight w:val="none"/>
          <w:lang w:val="zh-CN"/>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89"/>
        <w:gridCol w:w="6015"/>
      </w:tblGrid>
      <w:tr w14:paraId="7551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75D2E9B2">
            <w:pPr>
              <w:widowControl/>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6D03E23D">
            <w:pPr>
              <w:widowControl/>
              <w:spacing w:line="360" w:lineRule="auto"/>
              <w:jc w:val="center"/>
              <w:rPr>
                <w:rFonts w:hint="eastAsia" w:ascii="宋体" w:hAnsi="宋体" w:eastAsia="宋体" w:cs="宋体"/>
                <w:color w:val="auto"/>
                <w:highlight w:val="none"/>
              </w:rPr>
            </w:pPr>
          </w:p>
        </w:tc>
      </w:tr>
      <w:tr w14:paraId="7E8237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27570376">
            <w:pPr>
              <w:widowControl/>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供应商</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6F638037">
            <w:pPr>
              <w:widowControl/>
              <w:spacing w:line="360" w:lineRule="auto"/>
              <w:jc w:val="center"/>
              <w:rPr>
                <w:rFonts w:hint="eastAsia" w:ascii="宋体" w:hAnsi="宋体" w:eastAsia="宋体" w:cs="宋体"/>
                <w:color w:val="auto"/>
                <w:highlight w:val="none"/>
              </w:rPr>
            </w:pPr>
          </w:p>
        </w:tc>
      </w:tr>
      <w:tr w14:paraId="6AF3B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2389" w:type="dxa"/>
            <w:tcBorders>
              <w:top w:val="single" w:color="auto" w:sz="4" w:space="0"/>
              <w:left w:val="single" w:color="auto" w:sz="4" w:space="0"/>
              <w:right w:val="single" w:color="auto" w:sz="4" w:space="0"/>
            </w:tcBorders>
            <w:noWrap w:val="0"/>
            <w:vAlign w:val="center"/>
          </w:tcPr>
          <w:p w14:paraId="05F376AB">
            <w:pPr>
              <w:widowControl/>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磋商</w:t>
            </w:r>
            <w:r>
              <w:rPr>
                <w:rFonts w:hint="eastAsia" w:ascii="宋体" w:hAnsi="宋体" w:eastAsia="宋体" w:cs="宋体"/>
                <w:color w:val="auto"/>
                <w:highlight w:val="none"/>
              </w:rPr>
              <w:t>报价</w:t>
            </w:r>
          </w:p>
          <w:p w14:paraId="7D4BFB07">
            <w:pPr>
              <w:widowControl/>
              <w:jc w:val="center"/>
              <w:rPr>
                <w:rFonts w:hint="eastAsia" w:ascii="宋体" w:hAnsi="宋体" w:eastAsia="宋体" w:cs="宋体"/>
                <w:color w:val="auto"/>
                <w:highlight w:val="none"/>
              </w:rPr>
            </w:pPr>
            <w:r>
              <w:rPr>
                <w:rFonts w:hint="eastAsia" w:ascii="宋体" w:hAnsi="宋体" w:eastAsia="宋体" w:cs="宋体"/>
                <w:color w:val="auto"/>
                <w:highlight w:val="none"/>
              </w:rPr>
              <w:t>（首次报价）</w:t>
            </w:r>
          </w:p>
        </w:tc>
        <w:tc>
          <w:tcPr>
            <w:tcW w:w="6015" w:type="dxa"/>
            <w:tcBorders>
              <w:top w:val="single" w:color="auto" w:sz="4" w:space="0"/>
              <w:left w:val="single" w:color="auto" w:sz="4" w:space="0"/>
              <w:right w:val="single" w:color="auto" w:sz="4" w:space="0"/>
            </w:tcBorders>
            <w:noWrap w:val="0"/>
            <w:vAlign w:val="center"/>
          </w:tcPr>
          <w:p w14:paraId="7279C680">
            <w:pPr>
              <w:spacing w:line="480" w:lineRule="auto"/>
              <w:rPr>
                <w:rFonts w:hint="eastAsia" w:ascii="宋体" w:hAnsi="宋体" w:eastAsia="宋体" w:cs="宋体"/>
                <w:color w:val="auto"/>
                <w:highlight w:val="none"/>
                <w:u w:val="single"/>
              </w:rPr>
            </w:pPr>
            <w:r>
              <w:rPr>
                <w:rFonts w:hint="eastAsia" w:ascii="宋体" w:hAnsi="宋体" w:eastAsia="宋体" w:cs="宋体"/>
                <w:color w:val="auto"/>
                <w:highlight w:val="none"/>
              </w:rPr>
              <w:t>大写：</w:t>
            </w:r>
            <w:r>
              <w:rPr>
                <w:rFonts w:hint="eastAsia" w:ascii="宋体" w:hAnsi="宋体" w:eastAsia="宋体" w:cs="宋体"/>
                <w:color w:val="auto"/>
                <w:highlight w:val="none"/>
                <w:u w:val="single"/>
              </w:rPr>
              <w:t xml:space="preserve">                </w:t>
            </w:r>
          </w:p>
          <w:p w14:paraId="7418034B">
            <w:pPr>
              <w:spacing w:line="480" w:lineRule="auto"/>
              <w:rPr>
                <w:rFonts w:hint="eastAsia" w:ascii="宋体" w:hAnsi="宋体" w:eastAsia="宋体" w:cs="宋体"/>
                <w:color w:val="auto"/>
                <w:highlight w:val="none"/>
                <w:u w:val="single"/>
              </w:rPr>
            </w:pPr>
            <w:r>
              <w:rPr>
                <w:rFonts w:hint="eastAsia" w:ascii="宋体" w:hAnsi="宋体" w:eastAsia="宋体" w:cs="宋体"/>
                <w:color w:val="auto"/>
                <w:highlight w:val="none"/>
              </w:rPr>
              <w:t>小写：</w:t>
            </w:r>
            <w:r>
              <w:rPr>
                <w:rFonts w:hint="eastAsia" w:ascii="宋体" w:hAnsi="宋体" w:eastAsia="宋体" w:cs="宋体"/>
                <w:color w:val="auto"/>
                <w:highlight w:val="none"/>
                <w:u w:val="single"/>
              </w:rPr>
              <w:t xml:space="preserve">￥              </w:t>
            </w:r>
          </w:p>
        </w:tc>
      </w:tr>
      <w:tr w14:paraId="2603A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2389" w:type="dxa"/>
            <w:tcBorders>
              <w:top w:val="single" w:color="auto" w:sz="4" w:space="0"/>
              <w:left w:val="single" w:color="auto" w:sz="4" w:space="0"/>
              <w:right w:val="single" w:color="auto" w:sz="4" w:space="0"/>
            </w:tcBorders>
            <w:noWrap w:val="0"/>
            <w:vAlign w:val="center"/>
          </w:tcPr>
          <w:p w14:paraId="45516E01">
            <w:pPr>
              <w:widowControl/>
              <w:jc w:val="center"/>
              <w:rPr>
                <w:rFonts w:hint="eastAsia" w:ascii="宋体" w:hAnsi="宋体" w:eastAsia="宋体" w:cs="宋体"/>
                <w:color w:val="auto"/>
                <w:highlight w:val="none"/>
              </w:rPr>
            </w:pPr>
            <w:r>
              <w:rPr>
                <w:rFonts w:hint="eastAsia" w:ascii="宋体" w:hAnsi="宋体" w:eastAsia="宋体" w:cs="宋体"/>
                <w:color w:val="auto"/>
                <w:highlight w:val="none"/>
              </w:rPr>
              <w:t>服务地点</w:t>
            </w:r>
          </w:p>
        </w:tc>
        <w:tc>
          <w:tcPr>
            <w:tcW w:w="6015" w:type="dxa"/>
            <w:tcBorders>
              <w:top w:val="single" w:color="auto" w:sz="4" w:space="0"/>
              <w:left w:val="single" w:color="auto" w:sz="4" w:space="0"/>
              <w:right w:val="single" w:color="auto" w:sz="4" w:space="0"/>
            </w:tcBorders>
            <w:noWrap w:val="0"/>
            <w:vAlign w:val="center"/>
          </w:tcPr>
          <w:p w14:paraId="795A0AF5">
            <w:pPr>
              <w:widowControl/>
              <w:spacing w:line="500" w:lineRule="exact"/>
              <w:jc w:val="center"/>
              <w:rPr>
                <w:rFonts w:hint="eastAsia" w:ascii="宋体" w:hAnsi="宋体" w:eastAsia="宋体" w:cs="宋体"/>
                <w:b/>
                <w:bCs/>
                <w:color w:val="auto"/>
                <w:highlight w:val="none"/>
              </w:rPr>
            </w:pPr>
          </w:p>
        </w:tc>
      </w:tr>
      <w:tr w14:paraId="49F0A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291DE6C6">
            <w:pPr>
              <w:widowControl/>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服务期限</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601D8BDD">
            <w:pPr>
              <w:widowControl/>
              <w:spacing w:line="360" w:lineRule="auto"/>
              <w:jc w:val="center"/>
              <w:rPr>
                <w:rFonts w:hint="eastAsia" w:ascii="宋体" w:hAnsi="宋体" w:eastAsia="宋体" w:cs="宋体"/>
                <w:color w:val="auto"/>
                <w:highlight w:val="none"/>
              </w:rPr>
            </w:pPr>
          </w:p>
        </w:tc>
      </w:tr>
      <w:tr w14:paraId="481A6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6F06F965">
            <w:pPr>
              <w:widowControl/>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服务要求</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6C1C0EE3">
            <w:pPr>
              <w:widowControl/>
              <w:spacing w:line="360" w:lineRule="auto"/>
              <w:jc w:val="center"/>
              <w:rPr>
                <w:rFonts w:hint="eastAsia" w:ascii="宋体" w:hAnsi="宋体" w:eastAsia="宋体" w:cs="宋体"/>
                <w:color w:val="auto"/>
                <w:highlight w:val="none"/>
              </w:rPr>
            </w:pPr>
          </w:p>
        </w:tc>
      </w:tr>
      <w:tr w14:paraId="7BD7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166D8AAF">
            <w:pPr>
              <w:widowControl/>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质量</w:t>
            </w:r>
            <w:r>
              <w:rPr>
                <w:rFonts w:hint="eastAsia" w:ascii="宋体" w:hAnsi="宋体" w:eastAsia="宋体" w:cs="宋体"/>
                <w:color w:val="auto"/>
                <w:highlight w:val="none"/>
              </w:rPr>
              <w:t>标准</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2C040E62">
            <w:pPr>
              <w:widowControl/>
              <w:spacing w:line="360" w:lineRule="auto"/>
              <w:jc w:val="center"/>
              <w:rPr>
                <w:rFonts w:hint="eastAsia" w:ascii="宋体" w:hAnsi="宋体" w:eastAsia="宋体" w:cs="宋体"/>
                <w:color w:val="auto"/>
                <w:highlight w:val="none"/>
              </w:rPr>
            </w:pPr>
          </w:p>
        </w:tc>
      </w:tr>
      <w:tr w14:paraId="09589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14FFBCD8">
            <w:pPr>
              <w:widowControl/>
              <w:spacing w:line="360" w:lineRule="auto"/>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项目负责人及联系电话</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1B6B3B66">
            <w:pPr>
              <w:widowControl/>
              <w:spacing w:line="360" w:lineRule="auto"/>
              <w:jc w:val="center"/>
              <w:rPr>
                <w:rFonts w:hint="eastAsia" w:ascii="宋体" w:hAnsi="宋体" w:eastAsia="宋体" w:cs="宋体"/>
                <w:color w:val="auto"/>
                <w:highlight w:val="none"/>
              </w:rPr>
            </w:pPr>
          </w:p>
        </w:tc>
      </w:tr>
      <w:tr w14:paraId="48C05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2389" w:type="dxa"/>
            <w:tcBorders>
              <w:top w:val="single" w:color="auto" w:sz="4" w:space="0"/>
              <w:left w:val="single" w:color="auto" w:sz="4" w:space="0"/>
              <w:bottom w:val="single" w:color="auto" w:sz="4" w:space="0"/>
              <w:right w:val="single" w:color="auto" w:sz="4" w:space="0"/>
            </w:tcBorders>
            <w:noWrap w:val="0"/>
            <w:vAlign w:val="center"/>
          </w:tcPr>
          <w:p w14:paraId="1D25B4AA">
            <w:pPr>
              <w:widowControl/>
              <w:spacing w:line="360" w:lineRule="exact"/>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其他说明</w:t>
            </w:r>
          </w:p>
        </w:tc>
        <w:tc>
          <w:tcPr>
            <w:tcW w:w="6015" w:type="dxa"/>
            <w:tcBorders>
              <w:top w:val="single" w:color="auto" w:sz="4" w:space="0"/>
              <w:left w:val="single" w:color="auto" w:sz="4" w:space="0"/>
              <w:bottom w:val="single" w:color="auto" w:sz="4" w:space="0"/>
              <w:right w:val="single" w:color="auto" w:sz="4" w:space="0"/>
            </w:tcBorders>
            <w:noWrap w:val="0"/>
            <w:vAlign w:val="center"/>
          </w:tcPr>
          <w:p w14:paraId="18791AC7">
            <w:pPr>
              <w:widowControl/>
              <w:spacing w:line="360" w:lineRule="exact"/>
              <w:jc w:val="center"/>
              <w:rPr>
                <w:rFonts w:hint="eastAsia" w:ascii="宋体" w:hAnsi="宋体" w:eastAsia="宋体" w:cs="宋体"/>
                <w:color w:val="auto"/>
                <w:highlight w:val="none"/>
              </w:rPr>
            </w:pPr>
          </w:p>
        </w:tc>
      </w:tr>
    </w:tbl>
    <w:p w14:paraId="32214693">
      <w:pPr>
        <w:rPr>
          <w:rFonts w:hint="eastAsia" w:ascii="宋体" w:hAnsi="宋体" w:eastAsia="宋体" w:cs="宋体"/>
          <w:color w:val="auto"/>
          <w:highlight w:val="none"/>
        </w:rPr>
      </w:pPr>
    </w:p>
    <w:p w14:paraId="32B19432">
      <w:pPr>
        <w:rPr>
          <w:rFonts w:hint="eastAsia" w:ascii="宋体" w:hAnsi="宋体" w:eastAsia="宋体" w:cs="宋体"/>
          <w:color w:val="auto"/>
          <w:highlight w:val="none"/>
        </w:rPr>
      </w:pPr>
    </w:p>
    <w:p w14:paraId="0A34EA7B">
      <w:pPr>
        <w:rPr>
          <w:rFonts w:hint="eastAsia" w:ascii="宋体" w:hAnsi="宋体" w:eastAsia="宋体" w:cs="宋体"/>
          <w:color w:val="auto"/>
          <w:highlight w:val="none"/>
        </w:rPr>
      </w:pPr>
    </w:p>
    <w:p w14:paraId="02981E91">
      <w:pPr>
        <w:rPr>
          <w:rFonts w:hint="eastAsia" w:ascii="宋体" w:hAnsi="宋体" w:eastAsia="宋体" w:cs="宋体"/>
          <w:color w:val="auto"/>
          <w:highlight w:val="none"/>
        </w:rPr>
      </w:pPr>
    </w:p>
    <w:p w14:paraId="1B370745">
      <w:pPr>
        <w:rPr>
          <w:rFonts w:hint="eastAsia" w:ascii="宋体" w:hAnsi="宋体" w:eastAsia="宋体" w:cs="宋体"/>
          <w:color w:val="auto"/>
          <w:highlight w:val="none"/>
        </w:rPr>
      </w:pPr>
      <w:r>
        <w:rPr>
          <w:rFonts w:hint="eastAsia" w:ascii="宋体" w:hAnsi="宋体" w:eastAsia="宋体" w:cs="宋体"/>
          <w:color w:val="auto"/>
          <w:highlight w:val="none"/>
        </w:rPr>
        <w:t>供应商：</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val="zh-CN"/>
        </w:rPr>
        <w:t>（电子印章）</w:t>
      </w:r>
    </w:p>
    <w:p w14:paraId="764D9662">
      <w:pPr>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415AC443">
      <w:pPr>
        <w:rPr>
          <w:rFonts w:hint="eastAsia" w:ascii="宋体" w:hAnsi="宋体" w:eastAsia="宋体" w:cs="宋体"/>
          <w:color w:val="auto"/>
          <w:highlight w:val="none"/>
        </w:rPr>
      </w:pPr>
      <w:r>
        <w:rPr>
          <w:rFonts w:hint="eastAsia" w:ascii="宋体" w:hAnsi="宋体" w:eastAsia="宋体" w:cs="宋体"/>
          <w:color w:val="auto"/>
          <w:highlight w:val="none"/>
        </w:rPr>
        <w:t>法定代表人或其委托代理人：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val="zh-CN"/>
        </w:rPr>
        <w:t>（电子签章</w:t>
      </w:r>
      <w:r>
        <w:rPr>
          <w:rFonts w:hint="eastAsia" w:ascii="宋体" w:hAnsi="宋体" w:eastAsia="宋体" w:cs="宋体"/>
          <w:color w:val="auto"/>
          <w:highlight w:val="none"/>
          <w:lang w:val="en-US" w:eastAsia="zh-CN"/>
        </w:rPr>
        <w:t>或电子签名</w:t>
      </w:r>
      <w:r>
        <w:rPr>
          <w:rFonts w:hint="eastAsia" w:ascii="宋体" w:hAnsi="宋体" w:eastAsia="宋体" w:cs="宋体"/>
          <w:color w:val="auto"/>
          <w:highlight w:val="none"/>
          <w:lang w:val="zh-CN"/>
        </w:rPr>
        <w:t>）</w:t>
      </w:r>
    </w:p>
    <w:p w14:paraId="4F26790D">
      <w:pPr>
        <w:rPr>
          <w:rFonts w:hint="eastAsia" w:ascii="宋体" w:hAnsi="宋体" w:eastAsia="宋体" w:cs="宋体"/>
          <w:color w:val="auto"/>
          <w:highlight w:val="none"/>
        </w:rPr>
      </w:pPr>
    </w:p>
    <w:p w14:paraId="62E1C4E9">
      <w:pPr>
        <w:tabs>
          <w:tab w:val="left" w:pos="5380"/>
          <w:tab w:val="left" w:pos="6520"/>
          <w:tab w:val="left" w:pos="7680"/>
        </w:tabs>
        <w:autoSpaceDE w:val="0"/>
        <w:autoSpaceDN w:val="0"/>
        <w:adjustRightInd w:val="0"/>
        <w:ind w:right="-20" w:firstLine="1050" w:firstLineChars="5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u w:val="single"/>
        </w:rPr>
        <w:t xml:space="preserve">     </w:t>
      </w:r>
      <w:r>
        <w:rPr>
          <w:rFonts w:hint="eastAsia" w:ascii="宋体" w:hAnsi="宋体" w:eastAsia="宋体" w:cs="宋体"/>
          <w:color w:val="auto"/>
          <w:spacing w:val="43"/>
          <w:kern w:val="0"/>
          <w:highlight w:val="none"/>
          <w:u w:val="single"/>
        </w:rPr>
        <w:t xml:space="preserve"> </w:t>
      </w:r>
      <w:r>
        <w:rPr>
          <w:rFonts w:hint="eastAsia" w:ascii="宋体" w:hAnsi="宋体" w:eastAsia="宋体" w:cs="宋体"/>
          <w:color w:val="auto"/>
          <w:kern w:val="0"/>
          <w:highlight w:val="none"/>
        </w:rPr>
        <w:t>年</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月</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日</w:t>
      </w:r>
    </w:p>
    <w:p w14:paraId="2F8834E5">
      <w:pPr>
        <w:rPr>
          <w:rFonts w:hint="eastAsia" w:ascii="宋体" w:hAnsi="宋体" w:eastAsia="宋体" w:cs="宋体"/>
          <w:color w:val="auto"/>
          <w:highlight w:val="none"/>
        </w:rPr>
      </w:pPr>
    </w:p>
    <w:p w14:paraId="3C6CF398">
      <w:pPr>
        <w:pStyle w:val="3"/>
        <w:tabs>
          <w:tab w:val="left" w:pos="420"/>
          <w:tab w:val="left" w:pos="840"/>
        </w:tabs>
        <w:jc w:val="center"/>
        <w:rPr>
          <w:rFonts w:hint="eastAsia" w:ascii="宋体" w:hAnsi="宋体" w:eastAsia="宋体" w:cs="宋体"/>
          <w:color w:val="auto"/>
          <w:highlight w:val="none"/>
        </w:rPr>
      </w:pPr>
      <w:r>
        <w:rPr>
          <w:rFonts w:hint="eastAsia" w:ascii="宋体" w:hAnsi="宋体" w:eastAsia="宋体" w:cs="宋体"/>
          <w:bCs w:val="0"/>
          <w:color w:val="auto"/>
          <w:highlight w:val="none"/>
          <w:lang w:val="zh-CN"/>
        </w:rPr>
        <w:br w:type="page"/>
      </w:r>
      <w:bookmarkStart w:id="807" w:name="_Toc29623353"/>
      <w:bookmarkStart w:id="808" w:name="_Toc6900"/>
      <w:bookmarkStart w:id="809" w:name="_Toc15910"/>
      <w:r>
        <w:rPr>
          <w:rFonts w:hint="eastAsia" w:ascii="宋体" w:hAnsi="宋体" w:eastAsia="宋体" w:cs="宋体"/>
          <w:bCs w:val="0"/>
          <w:color w:val="auto"/>
          <w:highlight w:val="none"/>
          <w:lang w:val="zh-CN"/>
        </w:rPr>
        <w:t>二、</w:t>
      </w:r>
      <w:r>
        <w:rPr>
          <w:rFonts w:hint="eastAsia" w:ascii="宋体" w:hAnsi="宋体" w:eastAsia="宋体" w:cs="宋体"/>
          <w:color w:val="auto"/>
          <w:highlight w:val="none"/>
        </w:rPr>
        <w:t>法定代表人身份证明或授权委托书</w:t>
      </w:r>
      <w:bookmarkEnd w:id="807"/>
      <w:bookmarkEnd w:id="808"/>
    </w:p>
    <w:p w14:paraId="2B912121">
      <w:pPr>
        <w:pStyle w:val="3"/>
        <w:tabs>
          <w:tab w:val="left" w:pos="420"/>
          <w:tab w:val="left" w:pos="840"/>
        </w:tabs>
        <w:spacing w:line="360" w:lineRule="auto"/>
        <w:jc w:val="center"/>
        <w:rPr>
          <w:rFonts w:hint="eastAsia" w:ascii="宋体" w:hAnsi="宋体" w:eastAsia="宋体" w:cs="宋体"/>
          <w:bCs w:val="0"/>
          <w:color w:val="auto"/>
          <w:highlight w:val="none"/>
          <w:lang w:val="zh-CN"/>
        </w:rPr>
      </w:pPr>
      <w:bookmarkStart w:id="810" w:name="_Toc18512"/>
      <w:bookmarkStart w:id="811" w:name="_Toc29623354"/>
      <w:r>
        <w:rPr>
          <w:rFonts w:hint="eastAsia" w:ascii="宋体" w:hAnsi="宋体" w:eastAsia="宋体" w:cs="宋体"/>
          <w:bCs w:val="0"/>
          <w:color w:val="auto"/>
          <w:highlight w:val="none"/>
          <w:lang w:val="zh-CN"/>
        </w:rPr>
        <w:t>（一）法定代表人身份证明</w:t>
      </w:r>
      <w:bookmarkEnd w:id="806"/>
      <w:bookmarkEnd w:id="809"/>
      <w:bookmarkEnd w:id="810"/>
      <w:bookmarkEnd w:id="811"/>
    </w:p>
    <w:p w14:paraId="64A696F6">
      <w:pPr>
        <w:wordWrap/>
        <w:topLinePunct w:val="0"/>
        <w:autoSpaceDE w:val="0"/>
        <w:autoSpaceDN w:val="0"/>
        <w:adjustRightInd w:val="0"/>
        <w:spacing w:line="480" w:lineRule="auto"/>
        <w:rPr>
          <w:rFonts w:hint="eastAsia" w:ascii="宋体" w:hAnsi="宋体" w:eastAsia="宋体" w:cs="宋体"/>
          <w:color w:val="auto"/>
          <w:kern w:val="0"/>
          <w:highlight w:val="none"/>
        </w:rPr>
      </w:pPr>
    </w:p>
    <w:p w14:paraId="28204E64">
      <w:pPr>
        <w:wordWrap/>
        <w:topLinePunct w:val="0"/>
        <w:autoSpaceDE w:val="0"/>
        <w:autoSpaceDN w:val="0"/>
        <w:adjustRightInd w:val="0"/>
        <w:spacing w:line="360" w:lineRule="auto"/>
        <w:rPr>
          <w:rFonts w:hint="eastAsia" w:ascii="宋体" w:hAnsi="宋体" w:eastAsia="宋体" w:cs="宋体"/>
          <w:color w:val="auto"/>
          <w:kern w:val="0"/>
          <w:highlight w:val="none"/>
          <w:u w:val="single"/>
        </w:rPr>
      </w:pPr>
      <w:r>
        <w:rPr>
          <w:rFonts w:hint="eastAsia" w:ascii="宋体" w:hAnsi="宋体" w:eastAsia="宋体" w:cs="宋体"/>
          <w:color w:val="auto"/>
          <w:kern w:val="0"/>
          <w:highlight w:val="none"/>
        </w:rPr>
        <w:t>供应商名称：</w:t>
      </w:r>
      <w:r>
        <w:rPr>
          <w:rFonts w:hint="eastAsia" w:ascii="宋体" w:hAnsi="宋体" w:eastAsia="宋体" w:cs="宋体"/>
          <w:color w:val="auto"/>
          <w:kern w:val="0"/>
          <w:highlight w:val="none"/>
          <w:u w:val="single"/>
        </w:rPr>
        <w:t xml:space="preserve">                          </w:t>
      </w:r>
    </w:p>
    <w:p w14:paraId="30A587A0">
      <w:pPr>
        <w:pStyle w:val="21"/>
        <w:spacing w:line="360" w:lineRule="auto"/>
        <w:ind w:left="0" w:leftChars="0" w:firstLine="0" w:firstLineChars="0"/>
        <w:jc w:val="both"/>
        <w:rPr>
          <w:rFonts w:hint="eastAsia" w:ascii="宋体" w:hAnsi="宋体" w:eastAsia="宋体" w:cs="宋体"/>
          <w:color w:val="auto"/>
          <w:kern w:val="0"/>
          <w:sz w:val="21"/>
          <w:szCs w:val="24"/>
          <w:highlight w:val="none"/>
          <w:lang w:val="en-US" w:eastAsia="zh-CN" w:bidi="ar-SA"/>
        </w:rPr>
      </w:pPr>
      <w:r>
        <w:rPr>
          <w:rFonts w:hint="eastAsia" w:ascii="宋体" w:hAnsi="宋体" w:eastAsia="宋体" w:cs="宋体"/>
          <w:color w:val="auto"/>
          <w:kern w:val="0"/>
          <w:sz w:val="21"/>
          <w:szCs w:val="24"/>
          <w:highlight w:val="none"/>
          <w:lang w:val="en-US" w:eastAsia="zh-CN" w:bidi="ar-SA"/>
        </w:rPr>
        <w:t>地址：</w:t>
      </w:r>
    </w:p>
    <w:p w14:paraId="67B9B7A0">
      <w:pPr>
        <w:pStyle w:val="22"/>
        <w:spacing w:line="360" w:lineRule="auto"/>
        <w:ind w:left="0" w:leftChars="0" w:firstLine="0" w:firstLineChars="0"/>
        <w:rPr>
          <w:rFonts w:hint="eastAsia" w:ascii="宋体" w:hAnsi="宋体" w:eastAsia="宋体" w:cs="宋体"/>
          <w:color w:val="auto"/>
          <w:kern w:val="0"/>
          <w:sz w:val="21"/>
          <w:szCs w:val="24"/>
          <w:highlight w:val="none"/>
          <w:lang w:val="en-US" w:eastAsia="zh-CN" w:bidi="ar-SA"/>
        </w:rPr>
      </w:pPr>
      <w:r>
        <w:rPr>
          <w:rFonts w:hint="eastAsia" w:ascii="宋体" w:hAnsi="宋体" w:eastAsia="宋体" w:cs="宋体"/>
          <w:color w:val="auto"/>
          <w:kern w:val="0"/>
          <w:sz w:val="21"/>
          <w:szCs w:val="24"/>
          <w:highlight w:val="none"/>
          <w:lang w:val="en-US" w:eastAsia="zh-CN" w:bidi="ar-SA"/>
        </w:rPr>
        <w:t>成立时间：</w:t>
      </w:r>
    </w:p>
    <w:p w14:paraId="0033B864">
      <w:pPr>
        <w:spacing w:line="360" w:lineRule="auto"/>
        <w:rPr>
          <w:rFonts w:hint="eastAsia" w:ascii="宋体" w:hAnsi="宋体" w:eastAsia="宋体" w:cs="宋体"/>
          <w:color w:val="auto"/>
          <w:highlight w:val="none"/>
          <w:lang w:val="en-US" w:eastAsia="zh-CN"/>
        </w:rPr>
      </w:pPr>
      <w:r>
        <w:rPr>
          <w:rFonts w:hint="eastAsia" w:ascii="宋体" w:hAnsi="宋体" w:eastAsia="宋体" w:cs="宋体"/>
          <w:color w:val="auto"/>
          <w:kern w:val="0"/>
          <w:sz w:val="21"/>
          <w:szCs w:val="24"/>
          <w:highlight w:val="none"/>
          <w:lang w:val="en-US" w:eastAsia="zh-CN" w:bidi="ar-SA"/>
        </w:rPr>
        <w:t>营业期限：</w:t>
      </w:r>
    </w:p>
    <w:p w14:paraId="1B0AFD40">
      <w:pPr>
        <w:wordWrap/>
        <w:topLinePunct w:val="0"/>
        <w:autoSpaceDE w:val="0"/>
        <w:autoSpaceDN w:val="0"/>
        <w:adjustRightInd w:val="0"/>
        <w:spacing w:line="360" w:lineRule="auto"/>
        <w:rPr>
          <w:rFonts w:hint="eastAsia" w:ascii="宋体" w:hAnsi="宋体" w:eastAsia="宋体" w:cs="宋体"/>
          <w:color w:val="auto"/>
          <w:kern w:val="0"/>
          <w:highlight w:val="none"/>
          <w:u w:val="single"/>
        </w:rPr>
      </w:pPr>
      <w:r>
        <w:rPr>
          <w:rFonts w:hint="eastAsia" w:ascii="宋体" w:hAnsi="宋体" w:eastAsia="宋体" w:cs="宋体"/>
          <w:color w:val="auto"/>
          <w:kern w:val="0"/>
          <w:highlight w:val="none"/>
        </w:rPr>
        <w:t>姓名：</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性别：</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 xml:space="preserve"> 年龄：</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 xml:space="preserve"> 职务：</w:t>
      </w:r>
      <w:r>
        <w:rPr>
          <w:rFonts w:hint="eastAsia" w:ascii="宋体" w:hAnsi="宋体" w:eastAsia="宋体" w:cs="宋体"/>
          <w:color w:val="auto"/>
          <w:kern w:val="0"/>
          <w:highlight w:val="none"/>
          <w:u w:val="single"/>
        </w:rPr>
        <w:t xml:space="preserve">                 </w:t>
      </w:r>
    </w:p>
    <w:p w14:paraId="25075700">
      <w:pPr>
        <w:wordWrap/>
        <w:topLinePunct w:val="0"/>
        <w:autoSpaceDE w:val="0"/>
        <w:autoSpaceDN w:val="0"/>
        <w:adjustRightInd w:val="0"/>
        <w:spacing w:line="36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系</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（供应商名称）的法定代表人。</w:t>
      </w:r>
    </w:p>
    <w:p w14:paraId="6D848986">
      <w:pPr>
        <w:wordWrap/>
        <w:topLinePunct w:val="0"/>
        <w:autoSpaceDE w:val="0"/>
        <w:autoSpaceDN w:val="0"/>
        <w:adjustRightInd w:val="0"/>
        <w:spacing w:line="36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特此证明。</w:t>
      </w:r>
    </w:p>
    <w:p w14:paraId="0BE01972">
      <w:pPr>
        <w:wordWrap/>
        <w:topLinePunct w:val="0"/>
        <w:autoSpaceDE w:val="0"/>
        <w:autoSpaceDN w:val="0"/>
        <w:adjustRightInd w:val="0"/>
        <w:spacing w:line="360" w:lineRule="auto"/>
        <w:rPr>
          <w:rFonts w:hint="eastAsia" w:ascii="宋体" w:hAnsi="宋体" w:eastAsia="宋体" w:cs="宋体"/>
          <w:color w:val="auto"/>
          <w:kern w:val="0"/>
          <w:highlight w:val="none"/>
        </w:rPr>
      </w:pPr>
      <w:r>
        <w:rPr>
          <w:rFonts w:hint="eastAsia" w:ascii="宋体" w:hAnsi="宋体" w:eastAsia="宋体" w:cs="宋体"/>
          <w:color w:val="auto"/>
          <w:kern w:val="0"/>
          <w:highlight w:val="none"/>
        </w:rPr>
        <w:t xml:space="preserve">附：法定代表人身份证原件扫描件（或图片）。 </w:t>
      </w:r>
    </w:p>
    <w:p w14:paraId="3F2FC36B">
      <w:pPr>
        <w:wordWrap/>
        <w:topLinePunct w:val="0"/>
        <w:autoSpaceDE w:val="0"/>
        <w:autoSpaceDN w:val="0"/>
        <w:adjustRightInd w:val="0"/>
        <w:spacing w:line="480" w:lineRule="auto"/>
        <w:rPr>
          <w:rFonts w:hint="eastAsia" w:ascii="宋体" w:hAnsi="宋体" w:eastAsia="宋体" w:cs="宋体"/>
          <w:color w:val="auto"/>
          <w:kern w:val="0"/>
          <w:highlight w:val="none"/>
        </w:rPr>
      </w:pPr>
    </w:p>
    <w:p w14:paraId="1D70B363">
      <w:pPr>
        <w:wordWrap/>
        <w:topLinePunct w:val="0"/>
        <w:autoSpaceDE w:val="0"/>
        <w:autoSpaceDN w:val="0"/>
        <w:adjustRightInd w:val="0"/>
        <w:spacing w:line="480" w:lineRule="auto"/>
        <w:rPr>
          <w:rFonts w:hint="eastAsia" w:ascii="宋体" w:hAnsi="宋体" w:eastAsia="宋体" w:cs="宋体"/>
          <w:color w:val="auto"/>
          <w:kern w:val="0"/>
          <w:highlight w:val="none"/>
        </w:rPr>
      </w:pPr>
    </w:p>
    <w:p w14:paraId="1BBB2DFC">
      <w:pPr>
        <w:wordWrap/>
        <w:topLinePunct w:val="0"/>
        <w:autoSpaceDE w:val="0"/>
        <w:autoSpaceDN w:val="0"/>
        <w:adjustRightInd w:val="0"/>
        <w:spacing w:line="480" w:lineRule="auto"/>
        <w:rPr>
          <w:rFonts w:hint="eastAsia" w:ascii="宋体" w:hAnsi="宋体" w:eastAsia="宋体" w:cs="宋体"/>
          <w:color w:val="auto"/>
          <w:kern w:val="0"/>
          <w:highlight w:val="none"/>
        </w:rPr>
      </w:pPr>
    </w:p>
    <w:p w14:paraId="54D87C1A">
      <w:pPr>
        <w:wordWrap/>
        <w:topLinePunct w:val="0"/>
        <w:autoSpaceDE w:val="0"/>
        <w:autoSpaceDN w:val="0"/>
        <w:adjustRightInd w:val="0"/>
        <w:spacing w:line="480" w:lineRule="auto"/>
        <w:rPr>
          <w:rFonts w:hint="eastAsia" w:ascii="宋体" w:hAnsi="宋体" w:eastAsia="宋体" w:cs="宋体"/>
          <w:color w:val="auto"/>
          <w:kern w:val="0"/>
          <w:highlight w:val="none"/>
        </w:rPr>
      </w:pPr>
    </w:p>
    <w:p w14:paraId="753F9708">
      <w:pPr>
        <w:rPr>
          <w:rFonts w:hint="eastAsia" w:ascii="宋体" w:hAnsi="宋体" w:eastAsia="宋体" w:cs="宋体"/>
          <w:color w:val="auto"/>
          <w:highlight w:val="none"/>
        </w:rPr>
      </w:pPr>
      <w:r>
        <w:rPr>
          <w:rFonts w:hint="eastAsia" w:ascii="宋体" w:hAnsi="宋体" w:eastAsia="宋体" w:cs="宋体"/>
          <w:color w:val="auto"/>
          <w:highlight w:val="none"/>
        </w:rPr>
        <w:t>供应商：</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val="zh-CN"/>
        </w:rPr>
        <w:t>（电子印章）</w:t>
      </w:r>
    </w:p>
    <w:p w14:paraId="757F1F55">
      <w:pPr>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66C18535">
      <w:pPr>
        <w:tabs>
          <w:tab w:val="left" w:pos="5380"/>
          <w:tab w:val="left" w:pos="6520"/>
          <w:tab w:val="left" w:pos="7680"/>
        </w:tabs>
        <w:autoSpaceDE w:val="0"/>
        <w:autoSpaceDN w:val="0"/>
        <w:adjustRightInd w:val="0"/>
        <w:ind w:right="-20" w:firstLine="1050" w:firstLineChars="5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u w:val="single"/>
        </w:rPr>
        <w:t xml:space="preserve">     </w:t>
      </w:r>
      <w:r>
        <w:rPr>
          <w:rFonts w:hint="eastAsia" w:ascii="宋体" w:hAnsi="宋体" w:eastAsia="宋体" w:cs="宋体"/>
          <w:color w:val="auto"/>
          <w:spacing w:val="43"/>
          <w:kern w:val="0"/>
          <w:highlight w:val="none"/>
          <w:u w:val="single"/>
        </w:rPr>
        <w:t xml:space="preserve"> </w:t>
      </w:r>
      <w:r>
        <w:rPr>
          <w:rFonts w:hint="eastAsia" w:ascii="宋体" w:hAnsi="宋体" w:eastAsia="宋体" w:cs="宋体"/>
          <w:color w:val="auto"/>
          <w:kern w:val="0"/>
          <w:highlight w:val="none"/>
        </w:rPr>
        <w:t>年</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月</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日</w:t>
      </w:r>
    </w:p>
    <w:p w14:paraId="7E405D8D">
      <w:pPr>
        <w:tabs>
          <w:tab w:val="left" w:pos="5340"/>
          <w:tab w:val="left" w:pos="6180"/>
          <w:tab w:val="left" w:pos="7020"/>
        </w:tabs>
        <w:autoSpaceDE w:val="0"/>
        <w:autoSpaceDN w:val="0"/>
        <w:adjustRightInd w:val="0"/>
        <w:ind w:left="4721" w:right="-20"/>
        <w:rPr>
          <w:rFonts w:hint="eastAsia" w:ascii="宋体" w:hAnsi="宋体" w:eastAsia="宋体" w:cs="宋体"/>
          <w:color w:val="auto"/>
          <w:kern w:val="0"/>
          <w:highlight w:val="none"/>
        </w:rPr>
      </w:pPr>
    </w:p>
    <w:p w14:paraId="63B562EA">
      <w:pPr>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070AF709">
      <w:pPr>
        <w:pStyle w:val="3"/>
        <w:tabs>
          <w:tab w:val="left" w:pos="840"/>
        </w:tabs>
        <w:spacing w:line="360" w:lineRule="auto"/>
        <w:ind w:left="420"/>
        <w:jc w:val="center"/>
        <w:rPr>
          <w:rFonts w:hint="eastAsia" w:ascii="宋体" w:hAnsi="宋体" w:eastAsia="宋体" w:cs="宋体"/>
          <w:bCs w:val="0"/>
          <w:color w:val="auto"/>
          <w:highlight w:val="none"/>
          <w:lang w:val="zh-CN"/>
        </w:rPr>
      </w:pPr>
      <w:bookmarkStart w:id="812" w:name="_Toc6674"/>
      <w:bookmarkStart w:id="813" w:name="_Toc12134"/>
      <w:bookmarkStart w:id="814" w:name="_Toc29623355"/>
      <w:bookmarkStart w:id="815" w:name="_Toc28309"/>
      <w:bookmarkStart w:id="816" w:name="_Toc14530"/>
      <w:bookmarkStart w:id="817" w:name="_Toc26865"/>
      <w:r>
        <w:rPr>
          <w:rFonts w:hint="eastAsia" w:ascii="宋体" w:hAnsi="宋体" w:eastAsia="宋体" w:cs="宋体"/>
          <w:bCs w:val="0"/>
          <w:color w:val="auto"/>
          <w:highlight w:val="none"/>
          <w:lang w:val="zh-CN"/>
        </w:rPr>
        <w:t>（二）法定代表人授权委托书</w:t>
      </w:r>
      <w:bookmarkEnd w:id="812"/>
      <w:bookmarkEnd w:id="813"/>
      <w:bookmarkEnd w:id="814"/>
      <w:bookmarkEnd w:id="815"/>
      <w:bookmarkEnd w:id="816"/>
      <w:bookmarkEnd w:id="817"/>
    </w:p>
    <w:p w14:paraId="044E63DC">
      <w:pPr>
        <w:autoSpaceDE w:val="0"/>
        <w:autoSpaceDN w:val="0"/>
        <w:adjustRightInd w:val="0"/>
        <w:spacing w:line="200" w:lineRule="exact"/>
        <w:rPr>
          <w:rFonts w:hint="eastAsia" w:ascii="宋体" w:hAnsi="宋体" w:eastAsia="宋体" w:cs="宋体"/>
          <w:color w:val="auto"/>
          <w:kern w:val="0"/>
          <w:sz w:val="20"/>
          <w:szCs w:val="20"/>
          <w:highlight w:val="none"/>
        </w:rPr>
      </w:pPr>
    </w:p>
    <w:p w14:paraId="2638DBAD">
      <w:pPr>
        <w:tabs>
          <w:tab w:val="left" w:pos="3880"/>
        </w:tabs>
        <w:wordWrap/>
        <w:topLinePunct w:val="0"/>
        <w:autoSpaceDE w:val="0"/>
        <w:autoSpaceDN w:val="0"/>
        <w:adjustRightInd w:val="0"/>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本人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（姓名）系</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（供应商名称）的法定代表人，现委托</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（姓名、职务）为我方代理人。</w:t>
      </w:r>
      <w:r>
        <w:rPr>
          <w:rFonts w:hint="eastAsia" w:ascii="宋体" w:hAnsi="宋体" w:eastAsia="宋体" w:cs="宋体"/>
          <w:color w:val="auto"/>
          <w:kern w:val="0"/>
          <w:position w:val="-2"/>
          <w:highlight w:val="none"/>
        </w:rPr>
        <w:t>代理</w:t>
      </w:r>
      <w:r>
        <w:rPr>
          <w:rFonts w:hint="eastAsia" w:ascii="宋体" w:hAnsi="宋体" w:eastAsia="宋体" w:cs="宋体"/>
          <w:color w:val="auto"/>
          <w:spacing w:val="-2"/>
          <w:kern w:val="0"/>
          <w:position w:val="-2"/>
          <w:highlight w:val="none"/>
        </w:rPr>
        <w:t>人</w:t>
      </w:r>
      <w:r>
        <w:rPr>
          <w:rFonts w:hint="eastAsia" w:ascii="宋体" w:hAnsi="宋体" w:eastAsia="宋体" w:cs="宋体"/>
          <w:color w:val="auto"/>
          <w:kern w:val="0"/>
          <w:position w:val="-2"/>
          <w:highlight w:val="none"/>
        </w:rPr>
        <w:t>根据授权，</w:t>
      </w:r>
      <w:r>
        <w:rPr>
          <w:rFonts w:hint="eastAsia" w:ascii="宋体" w:hAnsi="宋体" w:eastAsia="宋体" w:cs="宋体"/>
          <w:color w:val="auto"/>
          <w:spacing w:val="-2"/>
          <w:kern w:val="0"/>
          <w:position w:val="-2"/>
          <w:highlight w:val="none"/>
        </w:rPr>
        <w:t>以</w:t>
      </w:r>
      <w:r>
        <w:rPr>
          <w:rFonts w:hint="eastAsia" w:ascii="宋体" w:hAnsi="宋体" w:eastAsia="宋体" w:cs="宋体"/>
          <w:color w:val="auto"/>
          <w:kern w:val="0"/>
          <w:position w:val="-2"/>
          <w:highlight w:val="none"/>
        </w:rPr>
        <w:t>我方名</w:t>
      </w:r>
      <w:r>
        <w:rPr>
          <w:rFonts w:hint="eastAsia" w:ascii="宋体" w:hAnsi="宋体" w:eastAsia="宋体" w:cs="宋体"/>
          <w:color w:val="auto"/>
          <w:highlight w:val="none"/>
        </w:rPr>
        <w:t>义签署、澄清确认、递交、撤回、修改</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采购项目响应文件、签订合同和处理有关事宜，其法律后果由我方承担。</w:t>
      </w:r>
    </w:p>
    <w:p w14:paraId="6B56CAEB">
      <w:pPr>
        <w:wordWrap/>
        <w:topLinePunct w:val="0"/>
        <w:spacing w:line="360" w:lineRule="auto"/>
        <w:ind w:firstLine="420"/>
        <w:rPr>
          <w:rFonts w:hint="eastAsia" w:ascii="宋体" w:hAnsi="宋体" w:eastAsia="宋体" w:cs="宋体"/>
          <w:color w:val="auto"/>
          <w:highlight w:val="none"/>
        </w:rPr>
      </w:pPr>
    </w:p>
    <w:p w14:paraId="61A3A390">
      <w:pPr>
        <w:spacing w:line="500" w:lineRule="exact"/>
        <w:ind w:firstLine="420" w:firstLineChars="200"/>
        <w:rPr>
          <w:rFonts w:hint="eastAsia" w:ascii="宋体" w:hAnsi="宋体" w:eastAsia="宋体" w:cs="宋体"/>
          <w:color w:val="auto"/>
          <w:highlight w:val="none"/>
          <w:u w:val="single"/>
        </w:rPr>
      </w:pPr>
      <w:r>
        <w:rPr>
          <w:rFonts w:hint="eastAsia" w:ascii="宋体" w:hAnsi="宋体" w:eastAsia="宋体" w:cs="宋体"/>
          <w:color w:val="auto"/>
          <w:highlight w:val="none"/>
        </w:rPr>
        <w:t>委托期限：</w:t>
      </w:r>
      <w:r>
        <w:rPr>
          <w:rFonts w:hint="eastAsia" w:ascii="宋体" w:hAnsi="宋体" w:eastAsia="宋体" w:cs="宋体"/>
          <w:color w:val="auto"/>
          <w:highlight w:val="none"/>
          <w:u w:val="single"/>
        </w:rPr>
        <w:t xml:space="preserve">                  </w:t>
      </w:r>
    </w:p>
    <w:p w14:paraId="249F2030">
      <w:pPr>
        <w:spacing w:line="5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代理人无转委托权。</w:t>
      </w:r>
    </w:p>
    <w:p w14:paraId="208D4B6C">
      <w:pPr>
        <w:spacing w:line="50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附：</w:t>
      </w:r>
      <w:r>
        <w:rPr>
          <w:rFonts w:hint="eastAsia" w:ascii="宋体" w:hAnsi="宋体" w:eastAsia="宋体" w:cs="宋体"/>
          <w:color w:val="auto"/>
          <w:spacing w:val="-2"/>
          <w:kern w:val="0"/>
          <w:highlight w:val="none"/>
        </w:rPr>
        <w:t>法</w:t>
      </w:r>
      <w:r>
        <w:rPr>
          <w:rFonts w:hint="eastAsia" w:ascii="宋体" w:hAnsi="宋体" w:eastAsia="宋体" w:cs="宋体"/>
          <w:color w:val="auto"/>
          <w:kern w:val="0"/>
          <w:highlight w:val="none"/>
        </w:rPr>
        <w:t>定</w:t>
      </w:r>
      <w:r>
        <w:rPr>
          <w:rFonts w:hint="eastAsia" w:ascii="宋体" w:hAnsi="宋体" w:eastAsia="宋体" w:cs="宋体"/>
          <w:color w:val="auto"/>
          <w:spacing w:val="-2"/>
          <w:kern w:val="0"/>
          <w:highlight w:val="none"/>
        </w:rPr>
        <w:t>代</w:t>
      </w:r>
      <w:r>
        <w:rPr>
          <w:rFonts w:hint="eastAsia" w:ascii="宋体" w:hAnsi="宋体" w:eastAsia="宋体" w:cs="宋体"/>
          <w:color w:val="auto"/>
          <w:kern w:val="0"/>
          <w:highlight w:val="none"/>
        </w:rPr>
        <w:t>表</w:t>
      </w:r>
      <w:r>
        <w:rPr>
          <w:rFonts w:hint="eastAsia" w:ascii="宋体" w:hAnsi="宋体" w:eastAsia="宋体" w:cs="宋体"/>
          <w:color w:val="auto"/>
          <w:spacing w:val="-2"/>
          <w:kern w:val="0"/>
          <w:highlight w:val="none"/>
        </w:rPr>
        <w:t>人</w:t>
      </w:r>
      <w:r>
        <w:rPr>
          <w:rFonts w:hint="eastAsia" w:ascii="宋体" w:hAnsi="宋体" w:eastAsia="宋体" w:cs="宋体"/>
          <w:color w:val="auto"/>
          <w:kern w:val="0"/>
          <w:highlight w:val="none"/>
        </w:rPr>
        <w:t>身</w:t>
      </w:r>
      <w:r>
        <w:rPr>
          <w:rFonts w:hint="eastAsia" w:ascii="宋体" w:hAnsi="宋体" w:eastAsia="宋体" w:cs="宋体"/>
          <w:color w:val="auto"/>
          <w:spacing w:val="-2"/>
          <w:kern w:val="0"/>
          <w:highlight w:val="none"/>
        </w:rPr>
        <w:t>份</w:t>
      </w:r>
      <w:r>
        <w:rPr>
          <w:rFonts w:hint="eastAsia" w:ascii="宋体" w:hAnsi="宋体" w:eastAsia="宋体" w:cs="宋体"/>
          <w:color w:val="auto"/>
          <w:kern w:val="0"/>
          <w:highlight w:val="none"/>
        </w:rPr>
        <w:t>证</w:t>
      </w:r>
      <w:r>
        <w:rPr>
          <w:rFonts w:hint="eastAsia" w:ascii="宋体" w:hAnsi="宋体" w:eastAsia="宋体" w:cs="宋体"/>
          <w:color w:val="auto"/>
          <w:spacing w:val="-2"/>
          <w:kern w:val="0"/>
          <w:highlight w:val="none"/>
        </w:rPr>
        <w:t>原件扫描件（或图片）及</w:t>
      </w:r>
      <w:r>
        <w:rPr>
          <w:rFonts w:hint="eastAsia" w:ascii="宋体" w:hAnsi="宋体" w:eastAsia="宋体" w:cs="宋体"/>
          <w:color w:val="auto"/>
          <w:kern w:val="0"/>
          <w:highlight w:val="none"/>
        </w:rPr>
        <w:t>委</w:t>
      </w:r>
      <w:r>
        <w:rPr>
          <w:rFonts w:hint="eastAsia" w:ascii="宋体" w:hAnsi="宋体" w:eastAsia="宋体" w:cs="宋体"/>
          <w:color w:val="auto"/>
          <w:spacing w:val="-2"/>
          <w:kern w:val="0"/>
          <w:highlight w:val="none"/>
        </w:rPr>
        <w:t>托</w:t>
      </w:r>
      <w:r>
        <w:rPr>
          <w:rFonts w:hint="eastAsia" w:ascii="宋体" w:hAnsi="宋体" w:eastAsia="宋体" w:cs="宋体"/>
          <w:color w:val="auto"/>
          <w:kern w:val="0"/>
          <w:highlight w:val="none"/>
        </w:rPr>
        <w:t>代</w:t>
      </w:r>
      <w:r>
        <w:rPr>
          <w:rFonts w:hint="eastAsia" w:ascii="宋体" w:hAnsi="宋体" w:eastAsia="宋体" w:cs="宋体"/>
          <w:color w:val="auto"/>
          <w:spacing w:val="-2"/>
          <w:kern w:val="0"/>
          <w:highlight w:val="none"/>
        </w:rPr>
        <w:t>理</w:t>
      </w:r>
      <w:r>
        <w:rPr>
          <w:rFonts w:hint="eastAsia" w:ascii="宋体" w:hAnsi="宋体" w:eastAsia="宋体" w:cs="宋体"/>
          <w:color w:val="auto"/>
          <w:kern w:val="0"/>
          <w:highlight w:val="none"/>
        </w:rPr>
        <w:t>人</w:t>
      </w:r>
      <w:r>
        <w:rPr>
          <w:rFonts w:hint="eastAsia" w:ascii="宋体" w:hAnsi="宋体" w:eastAsia="宋体" w:cs="宋体"/>
          <w:color w:val="auto"/>
          <w:spacing w:val="-2"/>
          <w:kern w:val="0"/>
          <w:highlight w:val="none"/>
        </w:rPr>
        <w:t>身</w:t>
      </w:r>
      <w:r>
        <w:rPr>
          <w:rFonts w:hint="eastAsia" w:ascii="宋体" w:hAnsi="宋体" w:eastAsia="宋体" w:cs="宋体"/>
          <w:color w:val="auto"/>
          <w:kern w:val="0"/>
          <w:highlight w:val="none"/>
        </w:rPr>
        <w:t>份</w:t>
      </w:r>
      <w:r>
        <w:rPr>
          <w:rFonts w:hint="eastAsia" w:ascii="宋体" w:hAnsi="宋体" w:eastAsia="宋体" w:cs="宋体"/>
          <w:color w:val="auto"/>
          <w:spacing w:val="-2"/>
          <w:kern w:val="0"/>
          <w:highlight w:val="none"/>
        </w:rPr>
        <w:t>证</w:t>
      </w:r>
      <w:r>
        <w:rPr>
          <w:rFonts w:hint="eastAsia" w:ascii="宋体" w:hAnsi="宋体" w:eastAsia="宋体" w:cs="宋体"/>
          <w:color w:val="auto"/>
          <w:kern w:val="0"/>
          <w:highlight w:val="none"/>
        </w:rPr>
        <w:t>原件扫描件（或图片）</w:t>
      </w:r>
    </w:p>
    <w:p w14:paraId="4132E33F">
      <w:pPr>
        <w:spacing w:line="500" w:lineRule="exact"/>
        <w:rPr>
          <w:rFonts w:hint="eastAsia" w:ascii="宋体" w:hAnsi="宋体" w:eastAsia="宋体" w:cs="宋体"/>
          <w:color w:val="auto"/>
          <w:highlight w:val="none"/>
        </w:rPr>
      </w:pPr>
    </w:p>
    <w:p w14:paraId="5DC37844">
      <w:pPr>
        <w:spacing w:line="500" w:lineRule="exact"/>
        <w:rPr>
          <w:rFonts w:hint="eastAsia" w:ascii="宋体" w:hAnsi="宋体" w:eastAsia="宋体" w:cs="宋体"/>
          <w:color w:val="auto"/>
          <w:highlight w:val="none"/>
        </w:rPr>
      </w:pPr>
    </w:p>
    <w:p w14:paraId="7F29672D">
      <w:pPr>
        <w:rPr>
          <w:rFonts w:hint="eastAsia" w:ascii="宋体" w:hAnsi="宋体" w:eastAsia="宋体" w:cs="宋体"/>
          <w:color w:val="auto"/>
          <w:highlight w:val="none"/>
        </w:rPr>
      </w:pPr>
      <w:r>
        <w:rPr>
          <w:rFonts w:hint="eastAsia" w:ascii="宋体" w:hAnsi="宋体" w:eastAsia="宋体" w:cs="宋体"/>
          <w:color w:val="auto"/>
          <w:highlight w:val="none"/>
        </w:rPr>
        <w:t>供应商：</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val="zh-CN"/>
        </w:rPr>
        <w:t>（电子印章）</w:t>
      </w:r>
    </w:p>
    <w:p w14:paraId="58CD706D">
      <w:pPr>
        <w:rPr>
          <w:rFonts w:hint="eastAsia" w:ascii="宋体" w:hAnsi="宋体" w:eastAsia="宋体" w:cs="宋体"/>
          <w:color w:val="auto"/>
          <w:highlight w:val="none"/>
        </w:rPr>
      </w:pPr>
      <w:r>
        <w:rPr>
          <w:rFonts w:hint="eastAsia" w:ascii="宋体" w:hAnsi="宋体" w:eastAsia="宋体" w:cs="宋体"/>
          <w:color w:val="auto"/>
          <w:highlight w:val="none"/>
        </w:rPr>
        <w:t xml:space="preserve">     </w:t>
      </w:r>
    </w:p>
    <w:p w14:paraId="5A179341">
      <w:pPr>
        <w:rPr>
          <w:rFonts w:hint="eastAsia" w:ascii="宋体" w:hAnsi="宋体" w:eastAsia="宋体" w:cs="宋体"/>
          <w:color w:val="auto"/>
          <w:highlight w:val="none"/>
        </w:rPr>
      </w:pPr>
      <w:r>
        <w:rPr>
          <w:rFonts w:hint="eastAsia" w:ascii="宋体" w:hAnsi="宋体" w:eastAsia="宋体" w:cs="宋体"/>
          <w:color w:val="auto"/>
          <w:highlight w:val="none"/>
        </w:rPr>
        <w:t>法定代表人或其委托代理人：</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lang w:val="zh-CN"/>
        </w:rPr>
        <w:t>（电子签章</w:t>
      </w:r>
      <w:r>
        <w:rPr>
          <w:rFonts w:hint="eastAsia" w:ascii="宋体" w:hAnsi="宋体" w:eastAsia="宋体" w:cs="宋体"/>
          <w:color w:val="auto"/>
          <w:highlight w:val="none"/>
          <w:lang w:val="en-US" w:eastAsia="zh-CN"/>
        </w:rPr>
        <w:t>或电子签名</w:t>
      </w:r>
      <w:r>
        <w:rPr>
          <w:rFonts w:hint="eastAsia" w:ascii="宋体" w:hAnsi="宋体" w:eastAsia="宋体" w:cs="宋体"/>
          <w:color w:val="auto"/>
          <w:highlight w:val="none"/>
          <w:lang w:val="zh-CN"/>
        </w:rPr>
        <w:t>）</w:t>
      </w:r>
    </w:p>
    <w:p w14:paraId="56DB795B">
      <w:pPr>
        <w:spacing w:line="360" w:lineRule="auto"/>
        <w:rPr>
          <w:rFonts w:hint="eastAsia" w:ascii="宋体" w:hAnsi="宋体" w:eastAsia="宋体" w:cs="宋体"/>
          <w:color w:val="auto"/>
          <w:highlight w:val="none"/>
        </w:rPr>
      </w:pPr>
    </w:p>
    <w:p w14:paraId="606A313B">
      <w:pPr>
        <w:tabs>
          <w:tab w:val="left" w:pos="5380"/>
          <w:tab w:val="left" w:pos="6520"/>
          <w:tab w:val="left" w:pos="7680"/>
        </w:tabs>
        <w:autoSpaceDE w:val="0"/>
        <w:autoSpaceDN w:val="0"/>
        <w:adjustRightInd w:val="0"/>
        <w:spacing w:line="360" w:lineRule="auto"/>
        <w:ind w:right="-20" w:firstLine="1050" w:firstLineChars="5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u w:val="single"/>
        </w:rPr>
        <w:t xml:space="preserve">     </w:t>
      </w:r>
      <w:r>
        <w:rPr>
          <w:rFonts w:hint="eastAsia" w:ascii="宋体" w:hAnsi="宋体" w:eastAsia="宋体" w:cs="宋体"/>
          <w:color w:val="auto"/>
          <w:spacing w:val="43"/>
          <w:kern w:val="0"/>
          <w:highlight w:val="none"/>
          <w:u w:val="single"/>
        </w:rPr>
        <w:t xml:space="preserve"> </w:t>
      </w:r>
      <w:r>
        <w:rPr>
          <w:rFonts w:hint="eastAsia" w:ascii="宋体" w:hAnsi="宋体" w:eastAsia="宋体" w:cs="宋体"/>
          <w:color w:val="auto"/>
          <w:kern w:val="0"/>
          <w:highlight w:val="none"/>
        </w:rPr>
        <w:t>年</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月</w:t>
      </w:r>
      <w:r>
        <w:rPr>
          <w:rFonts w:hint="eastAsia" w:ascii="宋体" w:hAnsi="宋体" w:eastAsia="宋体" w:cs="宋体"/>
          <w:color w:val="auto"/>
          <w:kern w:val="0"/>
          <w:highlight w:val="none"/>
          <w:u w:val="single"/>
        </w:rPr>
        <w:t xml:space="preserve">      </w:t>
      </w:r>
      <w:r>
        <w:rPr>
          <w:rFonts w:hint="eastAsia" w:ascii="宋体" w:hAnsi="宋体" w:eastAsia="宋体" w:cs="宋体"/>
          <w:color w:val="auto"/>
          <w:kern w:val="0"/>
          <w:highlight w:val="none"/>
        </w:rPr>
        <w:t>日</w:t>
      </w:r>
    </w:p>
    <w:p w14:paraId="7E842D8D">
      <w:pPr>
        <w:spacing w:line="500" w:lineRule="exact"/>
        <w:rPr>
          <w:rFonts w:hint="eastAsia" w:ascii="宋体" w:hAnsi="宋体" w:eastAsia="宋体" w:cs="宋体"/>
          <w:color w:val="auto"/>
          <w:highlight w:val="none"/>
        </w:rPr>
      </w:pPr>
    </w:p>
    <w:p w14:paraId="40189A55">
      <w:pPr>
        <w:pStyle w:val="8"/>
        <w:rPr>
          <w:rFonts w:hint="eastAsia" w:ascii="宋体" w:hAnsi="宋体" w:eastAsia="宋体" w:cs="宋体"/>
          <w:color w:val="auto"/>
          <w:highlight w:val="none"/>
        </w:rPr>
      </w:pPr>
    </w:p>
    <w:p w14:paraId="3D071836">
      <w:pPr>
        <w:pStyle w:val="8"/>
        <w:rPr>
          <w:rFonts w:hint="eastAsia" w:ascii="宋体" w:hAnsi="宋体" w:eastAsia="宋体" w:cs="宋体"/>
          <w:color w:val="auto"/>
          <w:highlight w:val="none"/>
        </w:rPr>
      </w:pPr>
    </w:p>
    <w:p w14:paraId="3B38B7C6">
      <w:pPr>
        <w:pStyle w:val="8"/>
        <w:rPr>
          <w:rFonts w:hint="eastAsia" w:ascii="宋体" w:hAnsi="宋体" w:eastAsia="宋体" w:cs="宋体"/>
          <w:color w:val="auto"/>
          <w:highlight w:val="none"/>
        </w:rPr>
      </w:pPr>
    </w:p>
    <w:p w14:paraId="3664D93D">
      <w:pPr>
        <w:pStyle w:val="8"/>
        <w:rPr>
          <w:rFonts w:hint="eastAsia" w:ascii="宋体" w:hAnsi="宋体" w:eastAsia="宋体" w:cs="宋体"/>
          <w:color w:val="auto"/>
          <w:highlight w:val="none"/>
        </w:rPr>
      </w:pPr>
    </w:p>
    <w:p w14:paraId="650351C0">
      <w:pPr>
        <w:pStyle w:val="8"/>
        <w:rPr>
          <w:rFonts w:hint="eastAsia" w:ascii="宋体" w:hAnsi="宋体" w:eastAsia="宋体" w:cs="宋体"/>
          <w:color w:val="auto"/>
          <w:highlight w:val="none"/>
        </w:rPr>
      </w:pPr>
    </w:p>
    <w:p w14:paraId="2C01ED36">
      <w:pPr>
        <w:pStyle w:val="8"/>
        <w:rPr>
          <w:rFonts w:hint="eastAsia" w:ascii="宋体" w:hAnsi="宋体" w:eastAsia="宋体" w:cs="宋体"/>
          <w:color w:val="auto"/>
          <w:highlight w:val="none"/>
        </w:rPr>
      </w:pPr>
    </w:p>
    <w:p w14:paraId="79FB35ED">
      <w:pPr>
        <w:pStyle w:val="8"/>
        <w:rPr>
          <w:rFonts w:hint="eastAsia" w:ascii="宋体" w:hAnsi="宋体" w:eastAsia="宋体" w:cs="宋体"/>
          <w:color w:val="auto"/>
          <w:highlight w:val="none"/>
        </w:rPr>
      </w:pPr>
    </w:p>
    <w:p w14:paraId="54BE1D1E">
      <w:pPr>
        <w:pStyle w:val="8"/>
        <w:rPr>
          <w:rFonts w:hint="eastAsia" w:ascii="宋体" w:hAnsi="宋体" w:eastAsia="宋体" w:cs="宋体"/>
          <w:color w:val="auto"/>
          <w:highlight w:val="none"/>
        </w:rPr>
      </w:pPr>
    </w:p>
    <w:p w14:paraId="4BF1C75B">
      <w:pPr>
        <w:pStyle w:val="8"/>
        <w:rPr>
          <w:rFonts w:hint="eastAsia" w:ascii="宋体" w:hAnsi="宋体" w:eastAsia="宋体" w:cs="宋体"/>
          <w:color w:val="auto"/>
          <w:highlight w:val="none"/>
        </w:rPr>
      </w:pPr>
    </w:p>
    <w:p w14:paraId="54CDA714">
      <w:pPr>
        <w:pStyle w:val="8"/>
        <w:rPr>
          <w:rFonts w:hint="eastAsia" w:ascii="宋体" w:hAnsi="宋体" w:eastAsia="宋体" w:cs="宋体"/>
          <w:color w:val="auto"/>
          <w:highlight w:val="none"/>
        </w:rPr>
      </w:pPr>
    </w:p>
    <w:p w14:paraId="5754523B">
      <w:pPr>
        <w:pStyle w:val="8"/>
        <w:rPr>
          <w:rFonts w:hint="eastAsia" w:ascii="宋体" w:hAnsi="宋体" w:eastAsia="宋体" w:cs="宋体"/>
          <w:color w:val="auto"/>
          <w:highlight w:val="none"/>
        </w:rPr>
      </w:pPr>
    </w:p>
    <w:p w14:paraId="5473C237">
      <w:pPr>
        <w:pStyle w:val="8"/>
        <w:rPr>
          <w:rFonts w:hint="eastAsia" w:ascii="宋体" w:hAnsi="宋体" w:eastAsia="宋体" w:cs="宋体"/>
          <w:color w:val="auto"/>
          <w:highlight w:val="none"/>
        </w:rPr>
      </w:pPr>
    </w:p>
    <w:p w14:paraId="1B8AB36B">
      <w:pPr>
        <w:pStyle w:val="8"/>
        <w:rPr>
          <w:rFonts w:hint="eastAsia" w:ascii="宋体" w:hAnsi="宋体" w:eastAsia="宋体" w:cs="宋体"/>
          <w:color w:val="auto"/>
          <w:highlight w:val="none"/>
        </w:rPr>
      </w:pPr>
    </w:p>
    <w:p w14:paraId="016CF240">
      <w:pPr>
        <w:pStyle w:val="8"/>
        <w:rPr>
          <w:rFonts w:hint="eastAsia" w:ascii="宋体" w:hAnsi="宋体" w:eastAsia="宋体" w:cs="宋体"/>
          <w:color w:val="auto"/>
          <w:highlight w:val="none"/>
        </w:rPr>
      </w:pPr>
    </w:p>
    <w:p w14:paraId="30CD78AE">
      <w:pPr>
        <w:pStyle w:val="8"/>
        <w:rPr>
          <w:rFonts w:hint="eastAsia" w:ascii="宋体" w:hAnsi="宋体" w:eastAsia="宋体" w:cs="宋体"/>
          <w:color w:val="auto"/>
          <w:highlight w:val="none"/>
        </w:rPr>
      </w:pPr>
    </w:p>
    <w:p w14:paraId="1D8938DE">
      <w:pPr>
        <w:pStyle w:val="8"/>
        <w:rPr>
          <w:rFonts w:hint="eastAsia" w:ascii="宋体" w:hAnsi="宋体" w:eastAsia="宋体" w:cs="宋体"/>
          <w:color w:val="auto"/>
          <w:highlight w:val="none"/>
        </w:rPr>
      </w:pPr>
    </w:p>
    <w:p w14:paraId="65FECDD6">
      <w:pPr>
        <w:pStyle w:val="8"/>
        <w:rPr>
          <w:rFonts w:hint="eastAsia" w:ascii="宋体" w:hAnsi="宋体" w:eastAsia="宋体" w:cs="宋体"/>
          <w:color w:val="auto"/>
          <w:highlight w:val="none"/>
        </w:rPr>
      </w:pPr>
    </w:p>
    <w:p w14:paraId="3659AE5C">
      <w:pPr>
        <w:pStyle w:val="8"/>
        <w:rPr>
          <w:rFonts w:hint="eastAsia" w:ascii="宋体" w:hAnsi="宋体" w:eastAsia="宋体" w:cs="宋体"/>
          <w:color w:val="auto"/>
          <w:highlight w:val="none"/>
        </w:rPr>
      </w:pPr>
    </w:p>
    <w:p w14:paraId="7EBC79BD">
      <w:pPr>
        <w:pStyle w:val="3"/>
        <w:tabs>
          <w:tab w:val="left" w:pos="840"/>
        </w:tabs>
        <w:spacing w:line="360" w:lineRule="auto"/>
        <w:jc w:val="center"/>
        <w:rPr>
          <w:rFonts w:hint="eastAsia" w:ascii="宋体" w:hAnsi="宋体" w:eastAsia="宋体" w:cs="宋体"/>
          <w:bCs w:val="0"/>
          <w:color w:val="auto"/>
          <w:highlight w:val="none"/>
        </w:rPr>
      </w:pPr>
      <w:bookmarkStart w:id="818" w:name="_Toc29623356"/>
      <w:bookmarkStart w:id="819" w:name="_Toc15777"/>
      <w:r>
        <w:rPr>
          <w:rFonts w:hint="eastAsia" w:ascii="宋体" w:hAnsi="宋体" w:eastAsia="宋体" w:cs="宋体"/>
          <w:bCs w:val="0"/>
          <w:color w:val="auto"/>
          <w:highlight w:val="none"/>
          <w:lang w:val="zh-CN"/>
        </w:rPr>
        <w:t>三、响应承诺函</w:t>
      </w:r>
      <w:bookmarkEnd w:id="818"/>
      <w:bookmarkEnd w:id="819"/>
    </w:p>
    <w:p w14:paraId="2E269880">
      <w:pPr>
        <w:wordWrap/>
        <w:topLinePunct w:val="0"/>
        <w:spacing w:line="360" w:lineRule="auto"/>
        <w:rPr>
          <w:rFonts w:hint="eastAsia" w:ascii="宋体" w:hAnsi="宋体" w:eastAsia="宋体" w:cs="宋体"/>
          <w:color w:val="auto"/>
          <w:highlight w:val="none"/>
        </w:rPr>
      </w:pP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（采购人或采购代理机构）：</w:t>
      </w:r>
    </w:p>
    <w:p w14:paraId="6A4F630D">
      <w:pPr>
        <w:pStyle w:val="8"/>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我单位在此郑重承诺,如有以下情形之一的：</w:t>
      </w:r>
    </w:p>
    <w:p w14:paraId="12DE6057">
      <w:pPr>
        <w:numPr>
          <w:ilvl w:val="0"/>
          <w:numId w:val="17"/>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在竞争性磋商文件规定的磋商有效期内撤回投标；</w:t>
      </w:r>
    </w:p>
    <w:p w14:paraId="16AED892">
      <w:pPr>
        <w:numPr>
          <w:ilvl w:val="0"/>
          <w:numId w:val="17"/>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在响应文件中提供虚假材料；</w:t>
      </w:r>
    </w:p>
    <w:p w14:paraId="37101D89">
      <w:pPr>
        <w:numPr>
          <w:ilvl w:val="0"/>
          <w:numId w:val="17"/>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成交后无正当理由不与采购人或者采购代理机构签订合同；</w:t>
      </w:r>
    </w:p>
    <w:p w14:paraId="06240AF5">
      <w:pPr>
        <w:numPr>
          <w:ilvl w:val="0"/>
          <w:numId w:val="17"/>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未能按竞争性磋商文件规定提交履约保证金；</w:t>
      </w:r>
    </w:p>
    <w:p w14:paraId="08DDAD5B">
      <w:pPr>
        <w:numPr>
          <w:ilvl w:val="0"/>
          <w:numId w:val="17"/>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将成交项目转让给他人，或者在响应文件中未说明，且未经采购人同意，将成交项目分包给他人的；</w:t>
      </w:r>
    </w:p>
    <w:p w14:paraId="3530510B">
      <w:pPr>
        <w:numPr>
          <w:ilvl w:val="0"/>
          <w:numId w:val="17"/>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拒绝履行合同义务；</w:t>
      </w:r>
    </w:p>
    <w:p w14:paraId="67B2FB11">
      <w:pPr>
        <w:numPr>
          <w:ilvl w:val="0"/>
          <w:numId w:val="17"/>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与采购人、其他供应商或者采购代理机构恶意串通；</w:t>
      </w:r>
    </w:p>
    <w:p w14:paraId="2A5923AE">
      <w:pPr>
        <w:numPr>
          <w:ilvl w:val="0"/>
          <w:numId w:val="17"/>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在履约过程中未按竞争性磋商文件、响应文件、生效的政府采购合同等约定,提供货物、工程和服务；</w:t>
      </w:r>
    </w:p>
    <w:p w14:paraId="66321159">
      <w:pPr>
        <w:numPr>
          <w:ilvl w:val="0"/>
          <w:numId w:val="17"/>
        </w:numPr>
        <w:wordWrap/>
        <w:topLinePunct w:val="0"/>
        <w:autoSpaceDE w:val="0"/>
        <w:autoSpaceDN w:val="0"/>
        <w:adjustRightInd w:val="0"/>
        <w:spacing w:line="360" w:lineRule="auto"/>
        <w:ind w:left="0" w:right="40" w:firstLine="420" w:firstLineChars="20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未按竞争性磋商文件规定缴纳招标代理服务费；</w:t>
      </w:r>
    </w:p>
    <w:p w14:paraId="3A9C95A8">
      <w:pPr>
        <w:wordWrap/>
        <w:topLinePunct w:val="0"/>
        <w:autoSpaceDE w:val="0"/>
        <w:autoSpaceDN w:val="0"/>
        <w:adjustRightInd w:val="0"/>
        <w:spacing w:line="360" w:lineRule="auto"/>
        <w:ind w:left="420" w:leftChars="200" w:right="40"/>
        <w:jc w:val="left"/>
        <w:rPr>
          <w:rFonts w:hint="eastAsia" w:ascii="宋体" w:hAnsi="宋体" w:eastAsia="宋体" w:cs="宋体"/>
          <w:color w:val="auto"/>
          <w:kern w:val="0"/>
          <w:highlight w:val="none"/>
        </w:rPr>
      </w:pPr>
      <w:r>
        <w:rPr>
          <w:rFonts w:hint="eastAsia" w:ascii="宋体" w:hAnsi="宋体" w:eastAsia="宋体" w:cs="宋体"/>
          <w:color w:val="auto"/>
          <w:kern w:val="0"/>
          <w:highlight w:val="none"/>
        </w:rPr>
        <w:t>（10）存在其他违法违规行为。</w:t>
      </w:r>
    </w:p>
    <w:p w14:paraId="201BAF69">
      <w:pPr>
        <w:wordWrap/>
        <w:topLinePunct w:val="0"/>
        <w:autoSpaceDE w:val="0"/>
        <w:autoSpaceDN w:val="0"/>
        <w:adjustRightInd w:val="0"/>
        <w:spacing w:line="360" w:lineRule="auto"/>
        <w:ind w:right="40" w:firstLine="420" w:firstLineChars="200"/>
        <w:jc w:val="left"/>
        <w:rPr>
          <w:rFonts w:hint="eastAsia" w:ascii="宋体" w:hAnsi="宋体" w:eastAsia="宋体" w:cs="宋体"/>
          <w:color w:val="auto"/>
          <w:highlight w:val="none"/>
        </w:rPr>
      </w:pPr>
      <w:r>
        <w:rPr>
          <w:rFonts w:hint="eastAsia" w:ascii="宋体" w:hAnsi="宋体" w:eastAsia="宋体" w:cs="宋体"/>
          <w:color w:val="auto"/>
          <w:kern w:val="0"/>
          <w:highlight w:val="none"/>
        </w:rPr>
        <w:t>我单位</w:t>
      </w:r>
      <w:r>
        <w:rPr>
          <w:rFonts w:hint="eastAsia" w:ascii="宋体" w:hAnsi="宋体" w:eastAsia="宋体" w:cs="宋体"/>
          <w:color w:val="auto"/>
          <w:highlight w:val="none"/>
        </w:rPr>
        <w:t>自愿接受被处以成交无效，采购金额千分之五以上千分之十以下的罚款并赔偿采购人及采购代理机构的损失</w:t>
      </w:r>
      <w:r>
        <w:rPr>
          <w:rFonts w:hint="eastAsia" w:ascii="宋体" w:hAnsi="宋体" w:eastAsia="宋体" w:cs="宋体"/>
          <w:color w:val="auto"/>
          <w:kern w:val="0"/>
          <w:highlight w:val="none"/>
        </w:rPr>
        <w:t>，</w:t>
      </w:r>
      <w:r>
        <w:rPr>
          <w:rFonts w:hint="eastAsia" w:ascii="宋体" w:hAnsi="宋体" w:eastAsia="宋体" w:cs="宋体"/>
          <w:color w:val="auto"/>
          <w:highlight w:val="none"/>
        </w:rPr>
        <w:t>列入不良行为记录名单</w:t>
      </w:r>
      <w:r>
        <w:rPr>
          <w:rFonts w:hint="eastAsia" w:ascii="宋体" w:hAnsi="宋体" w:eastAsia="宋体" w:cs="宋体"/>
          <w:color w:val="auto"/>
          <w:kern w:val="0"/>
          <w:highlight w:val="none"/>
        </w:rPr>
        <w:t>，</w:t>
      </w:r>
      <w:r>
        <w:rPr>
          <w:rFonts w:hint="eastAsia" w:ascii="宋体" w:hAnsi="宋体" w:eastAsia="宋体" w:cs="宋体"/>
          <w:color w:val="auto"/>
          <w:highlight w:val="none"/>
        </w:rPr>
        <w:t>在一至三年内禁止参加政府采购活动</w:t>
      </w:r>
      <w:r>
        <w:rPr>
          <w:rFonts w:hint="eastAsia" w:ascii="宋体" w:hAnsi="宋体" w:eastAsia="宋体" w:cs="宋体"/>
          <w:color w:val="auto"/>
          <w:kern w:val="0"/>
          <w:highlight w:val="none"/>
        </w:rPr>
        <w:t>，</w:t>
      </w:r>
      <w:r>
        <w:rPr>
          <w:rFonts w:hint="eastAsia" w:ascii="宋体" w:hAnsi="宋体" w:eastAsia="宋体" w:cs="宋体"/>
          <w:color w:val="auto"/>
          <w:highlight w:val="none"/>
        </w:rPr>
        <w:t>有违法所得的</w:t>
      </w:r>
      <w:r>
        <w:rPr>
          <w:rFonts w:hint="eastAsia" w:ascii="宋体" w:hAnsi="宋体" w:eastAsia="宋体" w:cs="宋体"/>
          <w:color w:val="auto"/>
          <w:kern w:val="0"/>
          <w:highlight w:val="none"/>
        </w:rPr>
        <w:t>，</w:t>
      </w:r>
      <w:r>
        <w:rPr>
          <w:rFonts w:hint="eastAsia" w:ascii="宋体" w:hAnsi="宋体" w:eastAsia="宋体" w:cs="宋体"/>
          <w:color w:val="auto"/>
          <w:highlight w:val="none"/>
        </w:rPr>
        <w:t>并处没收违法所得，情节严重的，由市场监督管理部门吊销营业执照；构成犯罪的，依法追究刑事责任。</w:t>
      </w:r>
    </w:p>
    <w:p w14:paraId="6EF593EA">
      <w:pPr>
        <w:pStyle w:val="8"/>
        <w:rPr>
          <w:rFonts w:hint="eastAsia" w:ascii="宋体" w:hAnsi="宋体" w:eastAsia="宋体" w:cs="宋体"/>
          <w:color w:val="auto"/>
          <w:sz w:val="21"/>
          <w:szCs w:val="21"/>
          <w:highlight w:val="none"/>
        </w:rPr>
      </w:pPr>
    </w:p>
    <w:p w14:paraId="0AB484CC">
      <w:pPr>
        <w:pStyle w:val="8"/>
        <w:rPr>
          <w:rFonts w:hint="eastAsia" w:ascii="宋体" w:hAnsi="宋体" w:eastAsia="宋体" w:cs="宋体"/>
          <w:color w:val="auto"/>
          <w:highlight w:val="none"/>
        </w:rPr>
      </w:pPr>
    </w:p>
    <w:p w14:paraId="494B9E71">
      <w:pPr>
        <w:pStyle w:val="8"/>
        <w:rPr>
          <w:rFonts w:hint="eastAsia" w:ascii="宋体" w:hAnsi="宋体" w:eastAsia="宋体" w:cs="宋体"/>
          <w:color w:val="auto"/>
          <w:sz w:val="21"/>
          <w:szCs w:val="21"/>
          <w:highlight w:val="none"/>
        </w:rPr>
      </w:pPr>
    </w:p>
    <w:p w14:paraId="50C1FE00">
      <w:pPr>
        <w:spacing w:line="480" w:lineRule="exact"/>
        <w:ind w:left="2520" w:leftChars="1200" w:firstLine="1260" w:firstLineChars="600"/>
        <w:rPr>
          <w:rFonts w:hint="eastAsia" w:ascii="宋体" w:hAnsi="宋体" w:eastAsia="宋体" w:cs="宋体"/>
          <w:bCs/>
          <w:color w:val="auto"/>
          <w:highlight w:val="none"/>
        </w:rPr>
      </w:pPr>
      <w:r>
        <w:rPr>
          <w:rFonts w:hint="eastAsia" w:ascii="宋体" w:hAnsi="宋体" w:eastAsia="宋体" w:cs="宋体"/>
          <w:color w:val="auto"/>
          <w:kern w:val="0"/>
          <w:highlight w:val="none"/>
        </w:rPr>
        <w:t>供 应 商</w:t>
      </w:r>
      <w:r>
        <w:rPr>
          <w:rFonts w:hint="eastAsia" w:ascii="宋体" w:hAnsi="宋体" w:eastAsia="宋体" w:cs="宋体"/>
          <w:bCs/>
          <w:color w:val="auto"/>
          <w:highlight w:val="none"/>
        </w:rPr>
        <w:t>：</w:t>
      </w:r>
      <w:r>
        <w:rPr>
          <w:rFonts w:hint="eastAsia" w:ascii="宋体" w:hAnsi="宋体" w:eastAsia="宋体" w:cs="宋体"/>
          <w:bCs/>
          <w:color w:val="auto"/>
          <w:highlight w:val="none"/>
          <w:u w:val="single"/>
        </w:rPr>
        <w:t xml:space="preserve">                      </w:t>
      </w:r>
      <w:r>
        <w:rPr>
          <w:rFonts w:hint="eastAsia" w:ascii="宋体" w:hAnsi="宋体" w:eastAsia="宋体" w:cs="宋体"/>
          <w:color w:val="auto"/>
          <w:highlight w:val="none"/>
        </w:rPr>
        <w:t>（电子印章）</w:t>
      </w:r>
    </w:p>
    <w:p w14:paraId="5385E911">
      <w:pPr>
        <w:spacing w:line="480" w:lineRule="exact"/>
        <w:ind w:firstLine="2940" w:firstLineChars="1400"/>
        <w:rPr>
          <w:rFonts w:hint="eastAsia" w:ascii="宋体" w:hAnsi="宋体" w:eastAsia="宋体" w:cs="宋体"/>
          <w:bCs/>
          <w:color w:val="auto"/>
          <w:highlight w:val="none"/>
        </w:rPr>
      </w:pPr>
    </w:p>
    <w:p w14:paraId="2DF595A1">
      <w:pPr>
        <w:spacing w:line="480" w:lineRule="exact"/>
        <w:ind w:firstLine="3570" w:firstLineChars="1700"/>
        <w:rPr>
          <w:rFonts w:hint="eastAsia" w:ascii="宋体" w:hAnsi="宋体" w:eastAsia="宋体" w:cs="宋体"/>
          <w:bCs/>
          <w:color w:val="auto"/>
          <w:highlight w:val="none"/>
        </w:rPr>
      </w:pPr>
      <w:r>
        <w:rPr>
          <w:rFonts w:hint="eastAsia" w:ascii="宋体" w:hAnsi="宋体" w:eastAsia="宋体" w:cs="宋体"/>
          <w:bCs/>
          <w:color w:val="auto"/>
          <w:highlight w:val="none"/>
        </w:rPr>
        <w:t>法定代表人或其委托代理人：</w:t>
      </w:r>
      <w:r>
        <w:rPr>
          <w:rFonts w:hint="eastAsia" w:ascii="宋体" w:hAnsi="宋体" w:eastAsia="宋体" w:cs="宋体"/>
          <w:bCs/>
          <w:color w:val="auto"/>
          <w:highlight w:val="none"/>
          <w:u w:val="single"/>
        </w:rPr>
        <w:t xml:space="preserve">        </w:t>
      </w:r>
      <w:r>
        <w:rPr>
          <w:rFonts w:hint="eastAsia" w:ascii="宋体" w:hAnsi="宋体" w:eastAsia="宋体" w:cs="宋体"/>
          <w:color w:val="auto"/>
          <w:highlight w:val="none"/>
          <w:lang w:val="zh-CN"/>
        </w:rPr>
        <w:t>（电子签章</w:t>
      </w:r>
      <w:r>
        <w:rPr>
          <w:rFonts w:hint="eastAsia" w:ascii="宋体" w:hAnsi="宋体" w:eastAsia="宋体" w:cs="宋体"/>
          <w:color w:val="auto"/>
          <w:highlight w:val="none"/>
          <w:lang w:val="en-US" w:eastAsia="zh-CN"/>
        </w:rPr>
        <w:t>或电子签名</w:t>
      </w:r>
      <w:r>
        <w:rPr>
          <w:rFonts w:hint="eastAsia" w:ascii="宋体" w:hAnsi="宋体" w:eastAsia="宋体" w:cs="宋体"/>
          <w:color w:val="auto"/>
          <w:highlight w:val="none"/>
          <w:lang w:val="zh-CN"/>
        </w:rPr>
        <w:t>）</w:t>
      </w:r>
    </w:p>
    <w:p w14:paraId="60352C2C">
      <w:pPr>
        <w:tabs>
          <w:tab w:val="left" w:pos="5380"/>
          <w:tab w:val="left" w:pos="6520"/>
          <w:tab w:val="left" w:pos="7680"/>
        </w:tabs>
        <w:wordWrap/>
        <w:topLinePunct w:val="0"/>
        <w:autoSpaceDE w:val="0"/>
        <w:autoSpaceDN w:val="0"/>
        <w:adjustRightInd w:val="0"/>
        <w:spacing w:line="380" w:lineRule="exact"/>
        <w:ind w:left="2520" w:leftChars="1200" w:right="-23" w:firstLine="1260" w:firstLineChars="600"/>
        <w:jc w:val="left"/>
        <w:rPr>
          <w:rFonts w:hint="eastAsia" w:ascii="宋体" w:hAnsi="宋体" w:eastAsia="宋体" w:cs="宋体"/>
          <w:bCs/>
          <w:color w:val="auto"/>
          <w:kern w:val="0"/>
          <w:highlight w:val="none"/>
          <w:u w:val="single"/>
        </w:rPr>
      </w:pPr>
    </w:p>
    <w:p w14:paraId="427229D4">
      <w:pPr>
        <w:tabs>
          <w:tab w:val="left" w:pos="5380"/>
          <w:tab w:val="left" w:pos="6520"/>
          <w:tab w:val="left" w:pos="7680"/>
        </w:tabs>
        <w:wordWrap/>
        <w:topLinePunct w:val="0"/>
        <w:autoSpaceDE w:val="0"/>
        <w:autoSpaceDN w:val="0"/>
        <w:adjustRightInd w:val="0"/>
        <w:spacing w:line="380" w:lineRule="exact"/>
        <w:ind w:left="2520" w:leftChars="1200" w:right="-23" w:firstLine="1260" w:firstLineChars="600"/>
        <w:jc w:val="left"/>
        <w:rPr>
          <w:rFonts w:hint="eastAsia" w:ascii="宋体" w:hAnsi="宋体" w:eastAsia="宋体" w:cs="宋体"/>
          <w:bCs/>
          <w:color w:val="auto"/>
          <w:kern w:val="0"/>
          <w:highlight w:val="none"/>
        </w:rPr>
      </w:pPr>
      <w:r>
        <w:rPr>
          <w:rFonts w:hint="eastAsia" w:ascii="宋体" w:hAnsi="宋体" w:eastAsia="宋体" w:cs="宋体"/>
          <w:bCs/>
          <w:color w:val="auto"/>
          <w:kern w:val="0"/>
          <w:highlight w:val="none"/>
          <w:u w:val="single"/>
        </w:rPr>
        <w:t xml:space="preserve">     </w:t>
      </w:r>
      <w:r>
        <w:rPr>
          <w:rFonts w:hint="eastAsia" w:ascii="宋体" w:hAnsi="宋体" w:eastAsia="宋体" w:cs="宋体"/>
          <w:bCs/>
          <w:color w:val="auto"/>
          <w:spacing w:val="43"/>
          <w:kern w:val="0"/>
          <w:highlight w:val="none"/>
          <w:u w:val="single"/>
        </w:rPr>
        <w:t xml:space="preserve"> </w:t>
      </w:r>
      <w:r>
        <w:rPr>
          <w:rFonts w:hint="eastAsia" w:ascii="宋体" w:hAnsi="宋体" w:eastAsia="宋体" w:cs="宋体"/>
          <w:bCs/>
          <w:color w:val="auto"/>
          <w:kern w:val="0"/>
          <w:highlight w:val="none"/>
        </w:rPr>
        <w:t>年</w:t>
      </w:r>
      <w:r>
        <w:rPr>
          <w:rFonts w:hint="eastAsia" w:ascii="宋体" w:hAnsi="宋体" w:eastAsia="宋体" w:cs="宋体"/>
          <w:bCs/>
          <w:color w:val="auto"/>
          <w:kern w:val="0"/>
          <w:highlight w:val="none"/>
          <w:u w:val="single"/>
        </w:rPr>
        <w:t xml:space="preserve">       </w:t>
      </w:r>
      <w:r>
        <w:rPr>
          <w:rFonts w:hint="eastAsia" w:ascii="宋体" w:hAnsi="宋体" w:eastAsia="宋体" w:cs="宋体"/>
          <w:bCs/>
          <w:color w:val="auto"/>
          <w:kern w:val="0"/>
          <w:highlight w:val="none"/>
        </w:rPr>
        <w:t>月</w:t>
      </w:r>
      <w:r>
        <w:rPr>
          <w:rFonts w:hint="eastAsia" w:ascii="宋体" w:hAnsi="宋体" w:eastAsia="宋体" w:cs="宋体"/>
          <w:bCs/>
          <w:color w:val="auto"/>
          <w:kern w:val="0"/>
          <w:highlight w:val="none"/>
          <w:u w:val="single"/>
        </w:rPr>
        <w:t xml:space="preserve">      </w:t>
      </w:r>
      <w:r>
        <w:rPr>
          <w:rFonts w:hint="eastAsia" w:ascii="宋体" w:hAnsi="宋体" w:eastAsia="宋体" w:cs="宋体"/>
          <w:bCs/>
          <w:color w:val="auto"/>
          <w:kern w:val="0"/>
          <w:highlight w:val="none"/>
        </w:rPr>
        <w:t>日</w:t>
      </w:r>
    </w:p>
    <w:p w14:paraId="6F00D9C7">
      <w:pPr>
        <w:tabs>
          <w:tab w:val="left" w:pos="5380"/>
          <w:tab w:val="left" w:pos="6520"/>
          <w:tab w:val="left" w:pos="7680"/>
        </w:tabs>
        <w:autoSpaceDE w:val="0"/>
        <w:autoSpaceDN w:val="0"/>
        <w:adjustRightInd w:val="0"/>
        <w:ind w:right="-20" w:firstLine="1050" w:firstLineChars="500"/>
        <w:jc w:val="left"/>
        <w:rPr>
          <w:rFonts w:hint="eastAsia" w:ascii="宋体" w:hAnsi="宋体" w:eastAsia="宋体" w:cs="宋体"/>
          <w:color w:val="auto"/>
          <w:kern w:val="0"/>
          <w:highlight w:val="none"/>
        </w:rPr>
      </w:pPr>
    </w:p>
    <w:p w14:paraId="5617D7E6">
      <w:pPr>
        <w:pStyle w:val="8"/>
        <w:rPr>
          <w:rFonts w:hint="eastAsia" w:ascii="宋体" w:hAnsi="宋体" w:eastAsia="宋体" w:cs="宋体"/>
          <w:color w:val="auto"/>
          <w:highlight w:val="none"/>
        </w:rPr>
      </w:pPr>
    </w:p>
    <w:p w14:paraId="241D1D3C">
      <w:pPr>
        <w:pStyle w:val="8"/>
        <w:rPr>
          <w:rFonts w:hint="eastAsia" w:ascii="宋体" w:hAnsi="宋体" w:eastAsia="宋体" w:cs="宋体"/>
          <w:color w:val="auto"/>
          <w:highlight w:val="none"/>
        </w:rPr>
      </w:pPr>
    </w:p>
    <w:p w14:paraId="7EBC0403">
      <w:pPr>
        <w:pStyle w:val="8"/>
        <w:rPr>
          <w:rFonts w:hint="eastAsia" w:ascii="宋体" w:hAnsi="宋体" w:eastAsia="宋体" w:cs="宋体"/>
          <w:color w:val="auto"/>
          <w:highlight w:val="none"/>
        </w:rPr>
      </w:pPr>
    </w:p>
    <w:p w14:paraId="7137BB49">
      <w:pPr>
        <w:pStyle w:val="8"/>
        <w:rPr>
          <w:rFonts w:hint="eastAsia" w:ascii="宋体" w:hAnsi="宋体" w:eastAsia="宋体" w:cs="宋体"/>
          <w:color w:val="auto"/>
          <w:highlight w:val="none"/>
        </w:rPr>
      </w:pPr>
    </w:p>
    <w:p w14:paraId="2A458F76">
      <w:pPr>
        <w:pStyle w:val="3"/>
        <w:tabs>
          <w:tab w:val="left" w:pos="420"/>
          <w:tab w:val="left" w:pos="840"/>
        </w:tabs>
        <w:spacing w:line="360" w:lineRule="auto"/>
        <w:jc w:val="center"/>
        <w:rPr>
          <w:rFonts w:hint="eastAsia" w:ascii="宋体" w:hAnsi="宋体" w:eastAsia="宋体" w:cs="宋体"/>
          <w:color w:val="auto"/>
          <w:highlight w:val="none"/>
        </w:rPr>
      </w:pPr>
      <w:bookmarkStart w:id="820" w:name="_Toc18887"/>
      <w:bookmarkStart w:id="821" w:name="_Toc7605"/>
      <w:bookmarkStart w:id="822" w:name="_Toc29623357"/>
      <w:bookmarkStart w:id="823" w:name="_Toc22029"/>
      <w:r>
        <w:rPr>
          <w:rFonts w:hint="eastAsia" w:ascii="宋体" w:hAnsi="宋体" w:eastAsia="宋体" w:cs="宋体"/>
          <w:bCs w:val="0"/>
          <w:color w:val="auto"/>
          <w:highlight w:val="none"/>
          <w:lang w:val="zh-CN"/>
        </w:rPr>
        <w:t>四、供应商资格证明文件</w:t>
      </w:r>
      <w:bookmarkEnd w:id="820"/>
      <w:bookmarkEnd w:id="821"/>
      <w:bookmarkEnd w:id="822"/>
      <w:bookmarkEnd w:id="823"/>
    </w:p>
    <w:p w14:paraId="1A695067">
      <w:pPr>
        <w:spacing w:before="156" w:beforeLines="50" w:after="312" w:afterLines="100" w:line="440" w:lineRule="exact"/>
        <w:jc w:val="center"/>
        <w:rPr>
          <w:rFonts w:hint="eastAsia" w:ascii="宋体" w:hAnsi="宋体" w:eastAsia="宋体" w:cs="宋体"/>
          <w:color w:val="auto"/>
          <w:sz w:val="24"/>
          <w:highlight w:val="none"/>
        </w:rPr>
      </w:pPr>
      <w:bookmarkStart w:id="824" w:name="_Toc428276628"/>
      <w:bookmarkStart w:id="825" w:name="_Toc480226503"/>
      <w:bookmarkStart w:id="826" w:name="_Toc455678211"/>
      <w:bookmarkStart w:id="827" w:name="_Toc428351719"/>
      <w:bookmarkStart w:id="828" w:name="_Toc480385614"/>
      <w:bookmarkStart w:id="829" w:name="_Toc462934384"/>
      <w:bookmarkStart w:id="830" w:name="_Toc463011363"/>
      <w:bookmarkStart w:id="831" w:name="_Toc454788099"/>
      <w:bookmarkStart w:id="832" w:name="_Toc481092974"/>
      <w:r>
        <w:rPr>
          <w:rFonts w:hint="eastAsia" w:ascii="宋体" w:hAnsi="宋体" w:eastAsia="宋体" w:cs="宋体"/>
          <w:color w:val="auto"/>
          <w:sz w:val="24"/>
          <w:highlight w:val="none"/>
        </w:rPr>
        <w:t>（一）供应商基本情况表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2125"/>
      </w:tblGrid>
      <w:tr w14:paraId="4AFA3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085A2C0">
            <w:pPr>
              <w:jc w:val="center"/>
              <w:rPr>
                <w:rFonts w:hint="eastAsia" w:ascii="宋体" w:hAnsi="宋体" w:eastAsia="宋体" w:cs="宋体"/>
                <w:color w:val="auto"/>
                <w:highlight w:val="none"/>
              </w:rPr>
            </w:pPr>
            <w:r>
              <w:rPr>
                <w:rFonts w:hint="eastAsia" w:ascii="宋体" w:hAnsi="宋体" w:eastAsia="宋体" w:cs="宋体"/>
                <w:color w:val="auto"/>
                <w:highlight w:val="none"/>
              </w:rPr>
              <w:t>供应商名称</w:t>
            </w:r>
          </w:p>
        </w:tc>
        <w:tc>
          <w:tcPr>
            <w:tcW w:w="7020" w:type="dxa"/>
            <w:gridSpan w:val="8"/>
            <w:noWrap w:val="0"/>
            <w:vAlign w:val="center"/>
          </w:tcPr>
          <w:p w14:paraId="1C9F6D6F">
            <w:pPr>
              <w:jc w:val="center"/>
              <w:rPr>
                <w:rFonts w:hint="eastAsia" w:ascii="宋体" w:hAnsi="宋体" w:eastAsia="宋体" w:cs="宋体"/>
                <w:color w:val="auto"/>
                <w:highlight w:val="none"/>
              </w:rPr>
            </w:pPr>
          </w:p>
        </w:tc>
      </w:tr>
      <w:tr w14:paraId="2728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BBF0C67">
            <w:pPr>
              <w:jc w:val="center"/>
              <w:rPr>
                <w:rFonts w:hint="eastAsia" w:ascii="宋体" w:hAnsi="宋体" w:eastAsia="宋体" w:cs="宋体"/>
                <w:color w:val="auto"/>
                <w:highlight w:val="none"/>
              </w:rPr>
            </w:pPr>
            <w:r>
              <w:rPr>
                <w:rFonts w:hint="eastAsia" w:ascii="宋体" w:hAnsi="宋体" w:eastAsia="宋体" w:cs="宋体"/>
                <w:color w:val="auto"/>
                <w:highlight w:val="none"/>
              </w:rPr>
              <w:t>注册地址</w:t>
            </w:r>
          </w:p>
        </w:tc>
        <w:tc>
          <w:tcPr>
            <w:tcW w:w="3389" w:type="dxa"/>
            <w:gridSpan w:val="5"/>
            <w:noWrap w:val="0"/>
            <w:vAlign w:val="center"/>
          </w:tcPr>
          <w:p w14:paraId="2455B164">
            <w:pPr>
              <w:jc w:val="center"/>
              <w:rPr>
                <w:rFonts w:hint="eastAsia" w:ascii="宋体" w:hAnsi="宋体" w:eastAsia="宋体" w:cs="宋体"/>
                <w:color w:val="auto"/>
                <w:highlight w:val="none"/>
              </w:rPr>
            </w:pPr>
          </w:p>
        </w:tc>
        <w:tc>
          <w:tcPr>
            <w:tcW w:w="1246" w:type="dxa"/>
            <w:noWrap w:val="0"/>
            <w:vAlign w:val="center"/>
          </w:tcPr>
          <w:p w14:paraId="1A3E86A2">
            <w:pPr>
              <w:jc w:val="center"/>
              <w:rPr>
                <w:rFonts w:hint="eastAsia" w:ascii="宋体" w:hAnsi="宋体" w:eastAsia="宋体" w:cs="宋体"/>
                <w:color w:val="auto"/>
                <w:highlight w:val="none"/>
              </w:rPr>
            </w:pPr>
            <w:r>
              <w:rPr>
                <w:rFonts w:hint="eastAsia" w:ascii="宋体" w:hAnsi="宋体" w:eastAsia="宋体" w:cs="宋体"/>
                <w:color w:val="auto"/>
                <w:highlight w:val="none"/>
              </w:rPr>
              <w:t>邮政编码</w:t>
            </w:r>
          </w:p>
        </w:tc>
        <w:tc>
          <w:tcPr>
            <w:tcW w:w="2385" w:type="dxa"/>
            <w:gridSpan w:val="2"/>
            <w:noWrap w:val="0"/>
            <w:vAlign w:val="center"/>
          </w:tcPr>
          <w:p w14:paraId="259AEAC9">
            <w:pPr>
              <w:jc w:val="center"/>
              <w:rPr>
                <w:rFonts w:hint="eastAsia" w:ascii="宋体" w:hAnsi="宋体" w:eastAsia="宋体" w:cs="宋体"/>
                <w:color w:val="auto"/>
                <w:highlight w:val="none"/>
              </w:rPr>
            </w:pPr>
          </w:p>
        </w:tc>
      </w:tr>
      <w:tr w14:paraId="62498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28FA67FB">
            <w:pPr>
              <w:jc w:val="center"/>
              <w:rPr>
                <w:rFonts w:hint="eastAsia" w:ascii="宋体" w:hAnsi="宋体" w:eastAsia="宋体" w:cs="宋体"/>
                <w:color w:val="auto"/>
                <w:highlight w:val="none"/>
              </w:rPr>
            </w:pPr>
            <w:r>
              <w:rPr>
                <w:rFonts w:hint="eastAsia" w:ascii="宋体" w:hAnsi="宋体" w:eastAsia="宋体" w:cs="宋体"/>
                <w:color w:val="auto"/>
                <w:highlight w:val="none"/>
              </w:rPr>
              <w:t>联系方式</w:t>
            </w:r>
          </w:p>
        </w:tc>
        <w:tc>
          <w:tcPr>
            <w:tcW w:w="897" w:type="dxa"/>
            <w:noWrap w:val="0"/>
            <w:vAlign w:val="center"/>
          </w:tcPr>
          <w:p w14:paraId="1A69CDA8">
            <w:pPr>
              <w:jc w:val="center"/>
              <w:rPr>
                <w:rFonts w:hint="eastAsia" w:ascii="宋体" w:hAnsi="宋体" w:eastAsia="宋体" w:cs="宋体"/>
                <w:color w:val="auto"/>
                <w:highlight w:val="none"/>
              </w:rPr>
            </w:pPr>
            <w:r>
              <w:rPr>
                <w:rFonts w:hint="eastAsia" w:ascii="宋体" w:hAnsi="宋体" w:eastAsia="宋体" w:cs="宋体"/>
                <w:color w:val="auto"/>
                <w:highlight w:val="none"/>
              </w:rPr>
              <w:t>联系人</w:t>
            </w:r>
          </w:p>
        </w:tc>
        <w:tc>
          <w:tcPr>
            <w:tcW w:w="2492" w:type="dxa"/>
            <w:gridSpan w:val="4"/>
            <w:noWrap w:val="0"/>
            <w:vAlign w:val="center"/>
          </w:tcPr>
          <w:p w14:paraId="56D5A9EF">
            <w:pPr>
              <w:jc w:val="center"/>
              <w:rPr>
                <w:rFonts w:hint="eastAsia" w:ascii="宋体" w:hAnsi="宋体" w:eastAsia="宋体" w:cs="宋体"/>
                <w:color w:val="auto"/>
                <w:highlight w:val="none"/>
              </w:rPr>
            </w:pPr>
          </w:p>
        </w:tc>
        <w:tc>
          <w:tcPr>
            <w:tcW w:w="1246" w:type="dxa"/>
            <w:noWrap w:val="0"/>
            <w:vAlign w:val="center"/>
          </w:tcPr>
          <w:p w14:paraId="464ACAC3">
            <w:pPr>
              <w:jc w:val="center"/>
              <w:rPr>
                <w:rFonts w:hint="eastAsia" w:ascii="宋体" w:hAnsi="宋体" w:eastAsia="宋体" w:cs="宋体"/>
                <w:color w:val="auto"/>
                <w:highlight w:val="none"/>
              </w:rPr>
            </w:pPr>
            <w:r>
              <w:rPr>
                <w:rFonts w:hint="eastAsia" w:ascii="宋体" w:hAnsi="宋体" w:eastAsia="宋体" w:cs="宋体"/>
                <w:color w:val="auto"/>
                <w:highlight w:val="none"/>
              </w:rPr>
              <w:t>电  话</w:t>
            </w:r>
          </w:p>
        </w:tc>
        <w:tc>
          <w:tcPr>
            <w:tcW w:w="2385" w:type="dxa"/>
            <w:gridSpan w:val="2"/>
            <w:noWrap w:val="0"/>
            <w:vAlign w:val="center"/>
          </w:tcPr>
          <w:p w14:paraId="15397948">
            <w:pPr>
              <w:jc w:val="center"/>
              <w:rPr>
                <w:rFonts w:hint="eastAsia" w:ascii="宋体" w:hAnsi="宋体" w:eastAsia="宋体" w:cs="宋体"/>
                <w:color w:val="auto"/>
                <w:highlight w:val="none"/>
              </w:rPr>
            </w:pPr>
          </w:p>
        </w:tc>
      </w:tr>
      <w:tr w14:paraId="7294F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716CCB0A">
            <w:pPr>
              <w:jc w:val="center"/>
              <w:rPr>
                <w:rFonts w:hint="eastAsia" w:ascii="宋体" w:hAnsi="宋体" w:eastAsia="宋体" w:cs="宋体"/>
                <w:color w:val="auto"/>
                <w:highlight w:val="none"/>
              </w:rPr>
            </w:pPr>
          </w:p>
        </w:tc>
        <w:tc>
          <w:tcPr>
            <w:tcW w:w="897" w:type="dxa"/>
            <w:noWrap w:val="0"/>
            <w:vAlign w:val="center"/>
          </w:tcPr>
          <w:p w14:paraId="1018675C">
            <w:pPr>
              <w:jc w:val="center"/>
              <w:rPr>
                <w:rFonts w:hint="eastAsia" w:ascii="宋体" w:hAnsi="宋体" w:eastAsia="宋体" w:cs="宋体"/>
                <w:color w:val="auto"/>
                <w:highlight w:val="none"/>
              </w:rPr>
            </w:pPr>
            <w:r>
              <w:rPr>
                <w:rFonts w:hint="eastAsia" w:ascii="宋体" w:hAnsi="宋体" w:eastAsia="宋体" w:cs="宋体"/>
                <w:color w:val="auto"/>
                <w:highlight w:val="none"/>
              </w:rPr>
              <w:t>传  真</w:t>
            </w:r>
          </w:p>
        </w:tc>
        <w:tc>
          <w:tcPr>
            <w:tcW w:w="2492" w:type="dxa"/>
            <w:gridSpan w:val="4"/>
            <w:noWrap w:val="0"/>
            <w:vAlign w:val="center"/>
          </w:tcPr>
          <w:p w14:paraId="313374A3">
            <w:pPr>
              <w:jc w:val="center"/>
              <w:rPr>
                <w:rFonts w:hint="eastAsia" w:ascii="宋体" w:hAnsi="宋体" w:eastAsia="宋体" w:cs="宋体"/>
                <w:color w:val="auto"/>
                <w:highlight w:val="none"/>
              </w:rPr>
            </w:pPr>
          </w:p>
        </w:tc>
        <w:tc>
          <w:tcPr>
            <w:tcW w:w="1246" w:type="dxa"/>
            <w:noWrap w:val="0"/>
            <w:vAlign w:val="center"/>
          </w:tcPr>
          <w:p w14:paraId="2F820FF0">
            <w:pPr>
              <w:jc w:val="center"/>
              <w:rPr>
                <w:rFonts w:hint="eastAsia" w:ascii="宋体" w:hAnsi="宋体" w:eastAsia="宋体" w:cs="宋体"/>
                <w:color w:val="auto"/>
                <w:highlight w:val="none"/>
              </w:rPr>
            </w:pPr>
            <w:r>
              <w:rPr>
                <w:rFonts w:hint="eastAsia" w:ascii="宋体" w:hAnsi="宋体" w:eastAsia="宋体" w:cs="宋体"/>
                <w:color w:val="auto"/>
                <w:highlight w:val="none"/>
              </w:rPr>
              <w:t>网  址</w:t>
            </w:r>
          </w:p>
        </w:tc>
        <w:tc>
          <w:tcPr>
            <w:tcW w:w="2385" w:type="dxa"/>
            <w:gridSpan w:val="2"/>
            <w:noWrap w:val="0"/>
            <w:vAlign w:val="center"/>
          </w:tcPr>
          <w:p w14:paraId="3EFA363A">
            <w:pPr>
              <w:jc w:val="center"/>
              <w:rPr>
                <w:rFonts w:hint="eastAsia" w:ascii="宋体" w:hAnsi="宋体" w:eastAsia="宋体" w:cs="宋体"/>
                <w:color w:val="auto"/>
                <w:highlight w:val="none"/>
              </w:rPr>
            </w:pPr>
          </w:p>
        </w:tc>
      </w:tr>
      <w:tr w14:paraId="25950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B272686">
            <w:pPr>
              <w:jc w:val="center"/>
              <w:rPr>
                <w:rFonts w:hint="eastAsia" w:ascii="宋体" w:hAnsi="宋体" w:eastAsia="宋体" w:cs="宋体"/>
                <w:color w:val="auto"/>
                <w:highlight w:val="none"/>
              </w:rPr>
            </w:pPr>
            <w:r>
              <w:rPr>
                <w:rFonts w:hint="eastAsia" w:ascii="宋体" w:hAnsi="宋体" w:eastAsia="宋体" w:cs="宋体"/>
                <w:color w:val="auto"/>
                <w:highlight w:val="none"/>
              </w:rPr>
              <w:t>组织结构</w:t>
            </w:r>
          </w:p>
        </w:tc>
        <w:tc>
          <w:tcPr>
            <w:tcW w:w="7020" w:type="dxa"/>
            <w:gridSpan w:val="8"/>
            <w:noWrap w:val="0"/>
            <w:vAlign w:val="center"/>
          </w:tcPr>
          <w:p w14:paraId="03230816">
            <w:pPr>
              <w:jc w:val="center"/>
              <w:rPr>
                <w:rFonts w:hint="eastAsia" w:ascii="宋体" w:hAnsi="宋体" w:eastAsia="宋体" w:cs="宋体"/>
                <w:color w:val="auto"/>
                <w:highlight w:val="none"/>
              </w:rPr>
            </w:pPr>
          </w:p>
        </w:tc>
      </w:tr>
      <w:tr w14:paraId="700C6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5C8F333">
            <w:pPr>
              <w:jc w:val="center"/>
              <w:rPr>
                <w:rFonts w:hint="eastAsia" w:ascii="宋体" w:hAnsi="宋体" w:eastAsia="宋体" w:cs="宋体"/>
                <w:color w:val="auto"/>
                <w:highlight w:val="none"/>
              </w:rPr>
            </w:pPr>
            <w:r>
              <w:rPr>
                <w:rFonts w:hint="eastAsia" w:ascii="宋体" w:hAnsi="宋体" w:eastAsia="宋体" w:cs="宋体"/>
                <w:color w:val="auto"/>
                <w:highlight w:val="none"/>
              </w:rPr>
              <w:t>法定代表人</w:t>
            </w:r>
          </w:p>
        </w:tc>
        <w:tc>
          <w:tcPr>
            <w:tcW w:w="897" w:type="dxa"/>
            <w:noWrap w:val="0"/>
            <w:vAlign w:val="center"/>
          </w:tcPr>
          <w:p w14:paraId="138F1DE2">
            <w:pPr>
              <w:jc w:val="center"/>
              <w:rPr>
                <w:rFonts w:hint="eastAsia" w:ascii="宋体" w:hAnsi="宋体" w:eastAsia="宋体" w:cs="宋体"/>
                <w:color w:val="auto"/>
                <w:highlight w:val="none"/>
              </w:rPr>
            </w:pPr>
            <w:r>
              <w:rPr>
                <w:rFonts w:hint="eastAsia" w:ascii="宋体" w:hAnsi="宋体" w:eastAsia="宋体" w:cs="宋体"/>
                <w:color w:val="auto"/>
                <w:highlight w:val="none"/>
              </w:rPr>
              <w:t>姓名</w:t>
            </w:r>
          </w:p>
        </w:tc>
        <w:tc>
          <w:tcPr>
            <w:tcW w:w="2297" w:type="dxa"/>
            <w:gridSpan w:val="3"/>
            <w:noWrap w:val="0"/>
            <w:vAlign w:val="center"/>
          </w:tcPr>
          <w:p w14:paraId="60C8FA06">
            <w:pPr>
              <w:jc w:val="center"/>
              <w:rPr>
                <w:rFonts w:hint="eastAsia" w:ascii="宋体" w:hAnsi="宋体" w:eastAsia="宋体" w:cs="宋体"/>
                <w:color w:val="auto"/>
                <w:highlight w:val="none"/>
              </w:rPr>
            </w:pPr>
            <w:r>
              <w:rPr>
                <w:rFonts w:hint="eastAsia" w:ascii="宋体" w:hAnsi="宋体" w:eastAsia="宋体" w:cs="宋体"/>
                <w:color w:val="auto"/>
                <w:highlight w:val="none"/>
              </w:rPr>
              <w:t xml:space="preserve"> </w:t>
            </w:r>
          </w:p>
        </w:tc>
        <w:tc>
          <w:tcPr>
            <w:tcW w:w="1701" w:type="dxa"/>
            <w:gridSpan w:val="3"/>
            <w:noWrap w:val="0"/>
            <w:vAlign w:val="center"/>
          </w:tcPr>
          <w:p w14:paraId="459DA5FF">
            <w:pPr>
              <w:jc w:val="center"/>
              <w:rPr>
                <w:rFonts w:hint="eastAsia" w:ascii="宋体" w:hAnsi="宋体" w:eastAsia="宋体" w:cs="宋体"/>
                <w:color w:val="auto"/>
                <w:highlight w:val="none"/>
              </w:rPr>
            </w:pPr>
            <w:r>
              <w:rPr>
                <w:rFonts w:hint="eastAsia" w:ascii="宋体" w:hAnsi="宋体" w:eastAsia="宋体" w:cs="宋体"/>
                <w:color w:val="auto"/>
                <w:highlight w:val="none"/>
              </w:rPr>
              <w:t>电话</w:t>
            </w:r>
          </w:p>
        </w:tc>
        <w:tc>
          <w:tcPr>
            <w:tcW w:w="2125" w:type="dxa"/>
            <w:noWrap w:val="0"/>
            <w:vAlign w:val="center"/>
          </w:tcPr>
          <w:p w14:paraId="695880B3">
            <w:pPr>
              <w:jc w:val="center"/>
              <w:rPr>
                <w:rFonts w:hint="eastAsia" w:ascii="宋体" w:hAnsi="宋体" w:eastAsia="宋体" w:cs="宋体"/>
                <w:color w:val="auto"/>
                <w:highlight w:val="none"/>
              </w:rPr>
            </w:pPr>
          </w:p>
        </w:tc>
      </w:tr>
      <w:tr w14:paraId="68ADE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36F1864">
            <w:pPr>
              <w:jc w:val="center"/>
              <w:rPr>
                <w:rFonts w:hint="eastAsia" w:ascii="宋体" w:hAnsi="宋体" w:eastAsia="宋体" w:cs="宋体"/>
                <w:color w:val="auto"/>
                <w:highlight w:val="none"/>
              </w:rPr>
            </w:pPr>
            <w:r>
              <w:rPr>
                <w:rFonts w:hint="eastAsia" w:ascii="宋体" w:hAnsi="宋体" w:eastAsia="宋体" w:cs="宋体"/>
                <w:color w:val="auto"/>
                <w:highlight w:val="none"/>
              </w:rPr>
              <w:t>项目负责人</w:t>
            </w:r>
          </w:p>
        </w:tc>
        <w:tc>
          <w:tcPr>
            <w:tcW w:w="897" w:type="dxa"/>
            <w:noWrap w:val="0"/>
            <w:vAlign w:val="center"/>
          </w:tcPr>
          <w:p w14:paraId="35AE2FE0">
            <w:pPr>
              <w:jc w:val="center"/>
              <w:rPr>
                <w:rFonts w:hint="eastAsia" w:ascii="宋体" w:hAnsi="宋体" w:eastAsia="宋体" w:cs="宋体"/>
                <w:color w:val="auto"/>
                <w:highlight w:val="none"/>
              </w:rPr>
            </w:pPr>
            <w:r>
              <w:rPr>
                <w:rFonts w:hint="eastAsia" w:ascii="宋体" w:hAnsi="宋体" w:eastAsia="宋体" w:cs="宋体"/>
                <w:color w:val="auto"/>
                <w:highlight w:val="none"/>
              </w:rPr>
              <w:t>姓名</w:t>
            </w:r>
          </w:p>
        </w:tc>
        <w:tc>
          <w:tcPr>
            <w:tcW w:w="2297" w:type="dxa"/>
            <w:gridSpan w:val="3"/>
            <w:noWrap w:val="0"/>
            <w:vAlign w:val="center"/>
          </w:tcPr>
          <w:p w14:paraId="13C5FCD7">
            <w:pPr>
              <w:jc w:val="center"/>
              <w:rPr>
                <w:rFonts w:hint="eastAsia" w:ascii="宋体" w:hAnsi="宋体" w:eastAsia="宋体" w:cs="宋体"/>
                <w:color w:val="auto"/>
                <w:highlight w:val="none"/>
              </w:rPr>
            </w:pPr>
            <w:r>
              <w:rPr>
                <w:rFonts w:hint="eastAsia" w:ascii="宋体" w:hAnsi="宋体" w:eastAsia="宋体" w:cs="宋体"/>
                <w:color w:val="auto"/>
                <w:highlight w:val="none"/>
              </w:rPr>
              <w:t xml:space="preserve"> </w:t>
            </w:r>
          </w:p>
        </w:tc>
        <w:tc>
          <w:tcPr>
            <w:tcW w:w="1701" w:type="dxa"/>
            <w:gridSpan w:val="3"/>
            <w:noWrap w:val="0"/>
            <w:vAlign w:val="center"/>
          </w:tcPr>
          <w:p w14:paraId="7A8EB0C7">
            <w:pPr>
              <w:jc w:val="center"/>
              <w:rPr>
                <w:rFonts w:hint="eastAsia" w:ascii="宋体" w:hAnsi="宋体" w:eastAsia="宋体" w:cs="宋体"/>
                <w:color w:val="auto"/>
                <w:highlight w:val="none"/>
              </w:rPr>
            </w:pPr>
            <w:r>
              <w:rPr>
                <w:rFonts w:hint="eastAsia" w:ascii="宋体" w:hAnsi="宋体" w:eastAsia="宋体" w:cs="宋体"/>
                <w:color w:val="auto"/>
                <w:highlight w:val="none"/>
              </w:rPr>
              <w:t>电话</w:t>
            </w:r>
          </w:p>
        </w:tc>
        <w:tc>
          <w:tcPr>
            <w:tcW w:w="2125" w:type="dxa"/>
            <w:noWrap w:val="0"/>
            <w:vAlign w:val="center"/>
          </w:tcPr>
          <w:p w14:paraId="777F8513">
            <w:pPr>
              <w:jc w:val="center"/>
              <w:rPr>
                <w:rFonts w:hint="eastAsia" w:ascii="宋体" w:hAnsi="宋体" w:eastAsia="宋体" w:cs="宋体"/>
                <w:color w:val="auto"/>
                <w:highlight w:val="none"/>
              </w:rPr>
            </w:pPr>
          </w:p>
        </w:tc>
      </w:tr>
      <w:tr w14:paraId="787A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AF96DEA">
            <w:pPr>
              <w:jc w:val="center"/>
              <w:rPr>
                <w:rFonts w:hint="eastAsia" w:ascii="宋体" w:hAnsi="宋体" w:eastAsia="宋体" w:cs="宋体"/>
                <w:color w:val="auto"/>
                <w:highlight w:val="none"/>
              </w:rPr>
            </w:pPr>
            <w:r>
              <w:rPr>
                <w:rFonts w:hint="eastAsia" w:ascii="宋体" w:hAnsi="宋体" w:eastAsia="宋体" w:cs="宋体"/>
                <w:color w:val="auto"/>
                <w:highlight w:val="none"/>
              </w:rPr>
              <w:t>成立时间</w:t>
            </w:r>
          </w:p>
        </w:tc>
        <w:tc>
          <w:tcPr>
            <w:tcW w:w="1918" w:type="dxa"/>
            <w:gridSpan w:val="2"/>
            <w:noWrap w:val="0"/>
            <w:vAlign w:val="center"/>
          </w:tcPr>
          <w:p w14:paraId="2EBE5931">
            <w:pPr>
              <w:jc w:val="center"/>
              <w:rPr>
                <w:rFonts w:hint="eastAsia" w:ascii="宋体" w:hAnsi="宋体" w:eastAsia="宋体" w:cs="宋体"/>
                <w:color w:val="auto"/>
                <w:highlight w:val="none"/>
              </w:rPr>
            </w:pPr>
          </w:p>
        </w:tc>
        <w:tc>
          <w:tcPr>
            <w:tcW w:w="5102" w:type="dxa"/>
            <w:gridSpan w:val="6"/>
            <w:noWrap w:val="0"/>
            <w:vAlign w:val="center"/>
          </w:tcPr>
          <w:p w14:paraId="5C94B6B0">
            <w:pPr>
              <w:jc w:val="center"/>
              <w:rPr>
                <w:rFonts w:hint="eastAsia" w:ascii="宋体" w:hAnsi="宋体" w:eastAsia="宋体" w:cs="宋体"/>
                <w:color w:val="auto"/>
                <w:highlight w:val="none"/>
              </w:rPr>
            </w:pPr>
            <w:r>
              <w:rPr>
                <w:rFonts w:hint="eastAsia" w:ascii="宋体" w:hAnsi="宋体" w:eastAsia="宋体" w:cs="宋体"/>
                <w:color w:val="auto"/>
                <w:highlight w:val="none"/>
              </w:rPr>
              <w:t>员工总人数：</w:t>
            </w:r>
          </w:p>
        </w:tc>
      </w:tr>
      <w:tr w14:paraId="700AF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46A20A7">
            <w:pPr>
              <w:jc w:val="center"/>
              <w:rPr>
                <w:rFonts w:hint="eastAsia" w:ascii="宋体" w:hAnsi="宋体" w:eastAsia="宋体" w:cs="宋体"/>
                <w:color w:val="auto"/>
                <w:highlight w:val="none"/>
              </w:rPr>
            </w:pPr>
            <w:r>
              <w:rPr>
                <w:rFonts w:hint="eastAsia" w:ascii="宋体" w:hAnsi="宋体" w:eastAsia="宋体" w:cs="宋体"/>
                <w:color w:val="auto"/>
                <w:highlight w:val="none"/>
              </w:rPr>
              <w:t>营业执照号</w:t>
            </w:r>
          </w:p>
        </w:tc>
        <w:tc>
          <w:tcPr>
            <w:tcW w:w="1918" w:type="dxa"/>
            <w:gridSpan w:val="2"/>
            <w:noWrap w:val="0"/>
            <w:vAlign w:val="center"/>
          </w:tcPr>
          <w:p w14:paraId="2F0579D9">
            <w:pPr>
              <w:jc w:val="center"/>
              <w:rPr>
                <w:rFonts w:hint="eastAsia" w:ascii="宋体" w:hAnsi="宋体" w:eastAsia="宋体" w:cs="宋体"/>
                <w:color w:val="auto"/>
                <w:highlight w:val="none"/>
              </w:rPr>
            </w:pPr>
          </w:p>
        </w:tc>
        <w:tc>
          <w:tcPr>
            <w:tcW w:w="993" w:type="dxa"/>
            <w:vMerge w:val="restart"/>
            <w:noWrap w:val="0"/>
            <w:vAlign w:val="center"/>
          </w:tcPr>
          <w:p w14:paraId="6E04498E">
            <w:pPr>
              <w:jc w:val="center"/>
              <w:rPr>
                <w:rFonts w:hint="eastAsia" w:ascii="宋体" w:hAnsi="宋体" w:eastAsia="宋体" w:cs="宋体"/>
                <w:color w:val="auto"/>
                <w:highlight w:val="none"/>
              </w:rPr>
            </w:pPr>
          </w:p>
        </w:tc>
        <w:tc>
          <w:tcPr>
            <w:tcW w:w="1984" w:type="dxa"/>
            <w:gridSpan w:val="4"/>
            <w:noWrap w:val="0"/>
            <w:vAlign w:val="center"/>
          </w:tcPr>
          <w:p w14:paraId="2CDEF4E1">
            <w:pPr>
              <w:jc w:val="center"/>
              <w:rPr>
                <w:rFonts w:hint="eastAsia" w:ascii="宋体" w:hAnsi="宋体" w:eastAsia="宋体" w:cs="宋体"/>
                <w:color w:val="auto"/>
                <w:highlight w:val="none"/>
              </w:rPr>
            </w:pPr>
            <w:r>
              <w:rPr>
                <w:rFonts w:hint="eastAsia" w:ascii="宋体" w:hAnsi="宋体" w:eastAsia="宋体" w:cs="宋体"/>
                <w:color w:val="auto"/>
                <w:highlight w:val="none"/>
              </w:rPr>
              <w:t>开户银行</w:t>
            </w:r>
          </w:p>
        </w:tc>
        <w:tc>
          <w:tcPr>
            <w:tcW w:w="2125" w:type="dxa"/>
            <w:noWrap w:val="0"/>
            <w:vAlign w:val="center"/>
          </w:tcPr>
          <w:p w14:paraId="12726D44">
            <w:pPr>
              <w:jc w:val="center"/>
              <w:rPr>
                <w:rFonts w:hint="eastAsia" w:ascii="宋体" w:hAnsi="宋体" w:eastAsia="宋体" w:cs="宋体"/>
                <w:color w:val="auto"/>
                <w:highlight w:val="none"/>
              </w:rPr>
            </w:pPr>
          </w:p>
        </w:tc>
      </w:tr>
      <w:tr w14:paraId="050CB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24474A1">
            <w:pPr>
              <w:jc w:val="center"/>
              <w:rPr>
                <w:rFonts w:hint="eastAsia" w:ascii="宋体" w:hAnsi="宋体" w:eastAsia="宋体" w:cs="宋体"/>
                <w:color w:val="auto"/>
                <w:highlight w:val="none"/>
              </w:rPr>
            </w:pPr>
            <w:r>
              <w:rPr>
                <w:rFonts w:hint="eastAsia" w:ascii="宋体" w:hAnsi="宋体" w:eastAsia="宋体" w:cs="宋体"/>
                <w:color w:val="auto"/>
                <w:highlight w:val="none"/>
              </w:rPr>
              <w:t>注册资金</w:t>
            </w:r>
          </w:p>
        </w:tc>
        <w:tc>
          <w:tcPr>
            <w:tcW w:w="1918" w:type="dxa"/>
            <w:gridSpan w:val="2"/>
            <w:noWrap w:val="0"/>
            <w:vAlign w:val="center"/>
          </w:tcPr>
          <w:p w14:paraId="2F660E6B">
            <w:pPr>
              <w:jc w:val="center"/>
              <w:rPr>
                <w:rFonts w:hint="eastAsia" w:ascii="宋体" w:hAnsi="宋体" w:eastAsia="宋体" w:cs="宋体"/>
                <w:color w:val="auto"/>
                <w:highlight w:val="none"/>
              </w:rPr>
            </w:pPr>
          </w:p>
        </w:tc>
        <w:tc>
          <w:tcPr>
            <w:tcW w:w="993" w:type="dxa"/>
            <w:vMerge w:val="continue"/>
            <w:noWrap w:val="0"/>
            <w:vAlign w:val="center"/>
          </w:tcPr>
          <w:p w14:paraId="2AA4DD01">
            <w:pPr>
              <w:jc w:val="center"/>
              <w:rPr>
                <w:rFonts w:hint="eastAsia" w:ascii="宋体" w:hAnsi="宋体" w:eastAsia="宋体" w:cs="宋体"/>
                <w:color w:val="auto"/>
                <w:highlight w:val="none"/>
              </w:rPr>
            </w:pPr>
          </w:p>
        </w:tc>
        <w:tc>
          <w:tcPr>
            <w:tcW w:w="1984" w:type="dxa"/>
            <w:gridSpan w:val="4"/>
            <w:noWrap w:val="0"/>
            <w:vAlign w:val="center"/>
          </w:tcPr>
          <w:p w14:paraId="609C9302">
            <w:pPr>
              <w:jc w:val="center"/>
              <w:rPr>
                <w:rFonts w:hint="eastAsia" w:ascii="宋体" w:hAnsi="宋体" w:eastAsia="宋体" w:cs="宋体"/>
                <w:color w:val="auto"/>
                <w:highlight w:val="none"/>
              </w:rPr>
            </w:pPr>
            <w:r>
              <w:rPr>
                <w:rFonts w:hint="eastAsia" w:ascii="宋体" w:hAnsi="宋体" w:eastAsia="宋体" w:cs="宋体"/>
                <w:color w:val="auto"/>
                <w:highlight w:val="none"/>
              </w:rPr>
              <w:t>账号</w:t>
            </w:r>
          </w:p>
        </w:tc>
        <w:tc>
          <w:tcPr>
            <w:tcW w:w="2125" w:type="dxa"/>
            <w:noWrap w:val="0"/>
            <w:vAlign w:val="center"/>
          </w:tcPr>
          <w:p w14:paraId="4A2106D5">
            <w:pPr>
              <w:jc w:val="center"/>
              <w:rPr>
                <w:rFonts w:hint="eastAsia" w:ascii="宋体" w:hAnsi="宋体" w:eastAsia="宋体" w:cs="宋体"/>
                <w:color w:val="auto"/>
                <w:highlight w:val="none"/>
              </w:rPr>
            </w:pPr>
          </w:p>
        </w:tc>
      </w:tr>
      <w:tr w14:paraId="79F5B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1485" w:type="dxa"/>
            <w:noWrap w:val="0"/>
            <w:vAlign w:val="center"/>
          </w:tcPr>
          <w:p w14:paraId="4B20F543">
            <w:pPr>
              <w:jc w:val="center"/>
              <w:rPr>
                <w:rFonts w:hint="eastAsia" w:ascii="宋体" w:hAnsi="宋体" w:eastAsia="宋体" w:cs="宋体"/>
                <w:color w:val="auto"/>
                <w:highlight w:val="none"/>
              </w:rPr>
            </w:pPr>
            <w:r>
              <w:rPr>
                <w:rFonts w:hint="eastAsia" w:ascii="宋体" w:hAnsi="宋体" w:eastAsia="宋体" w:cs="宋体"/>
                <w:color w:val="auto"/>
                <w:highlight w:val="none"/>
              </w:rPr>
              <w:t>经营范围</w:t>
            </w:r>
          </w:p>
        </w:tc>
        <w:tc>
          <w:tcPr>
            <w:tcW w:w="7020" w:type="dxa"/>
            <w:gridSpan w:val="8"/>
            <w:noWrap w:val="0"/>
            <w:vAlign w:val="center"/>
          </w:tcPr>
          <w:p w14:paraId="15D2B516">
            <w:pPr>
              <w:jc w:val="center"/>
              <w:rPr>
                <w:rFonts w:hint="eastAsia" w:ascii="宋体" w:hAnsi="宋体" w:eastAsia="宋体" w:cs="宋体"/>
                <w:color w:val="auto"/>
                <w:highlight w:val="none"/>
              </w:rPr>
            </w:pPr>
          </w:p>
        </w:tc>
      </w:tr>
      <w:tr w14:paraId="35D4E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5AAE4162">
            <w:pPr>
              <w:jc w:val="center"/>
              <w:rPr>
                <w:rFonts w:hint="eastAsia" w:ascii="宋体" w:hAnsi="宋体" w:eastAsia="宋体" w:cs="宋体"/>
                <w:color w:val="auto"/>
                <w:highlight w:val="none"/>
              </w:rPr>
            </w:pPr>
            <w:r>
              <w:rPr>
                <w:rFonts w:hint="eastAsia" w:ascii="宋体" w:hAnsi="宋体" w:eastAsia="宋体" w:cs="宋体"/>
                <w:color w:val="auto"/>
                <w:highlight w:val="none"/>
              </w:rPr>
              <w:t>备注</w:t>
            </w:r>
          </w:p>
        </w:tc>
        <w:tc>
          <w:tcPr>
            <w:tcW w:w="7020" w:type="dxa"/>
            <w:gridSpan w:val="8"/>
            <w:noWrap w:val="0"/>
            <w:vAlign w:val="center"/>
          </w:tcPr>
          <w:p w14:paraId="3FF54E9C">
            <w:pPr>
              <w:jc w:val="center"/>
              <w:rPr>
                <w:rFonts w:hint="eastAsia" w:ascii="宋体" w:hAnsi="宋体" w:eastAsia="宋体" w:cs="宋体"/>
                <w:color w:val="auto"/>
                <w:highlight w:val="none"/>
              </w:rPr>
            </w:pPr>
          </w:p>
        </w:tc>
      </w:tr>
      <w:bookmarkEnd w:id="824"/>
      <w:bookmarkEnd w:id="825"/>
      <w:bookmarkEnd w:id="826"/>
      <w:bookmarkEnd w:id="827"/>
      <w:bookmarkEnd w:id="828"/>
      <w:bookmarkEnd w:id="829"/>
      <w:bookmarkEnd w:id="830"/>
      <w:bookmarkEnd w:id="831"/>
      <w:bookmarkEnd w:id="832"/>
    </w:tbl>
    <w:p w14:paraId="4E8C4770">
      <w:pPr>
        <w:pStyle w:val="8"/>
        <w:spacing w:line="480" w:lineRule="exact"/>
        <w:ind w:firstLine="843" w:firstLineChars="3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4DB7BED1">
      <w:pPr>
        <w:widowControl w:val="0"/>
        <w:ind w:firstLine="570"/>
        <w:jc w:val="center"/>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（二）郏县政府采购供应商信用承诺书</w:t>
      </w:r>
    </w:p>
    <w:p w14:paraId="18F6F696">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p>
    <w:p w14:paraId="52011966">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致(</w:t>
      </w:r>
      <w:r>
        <w:rPr>
          <w:rFonts w:hint="eastAsia" w:ascii="宋体" w:hAnsi="宋体" w:eastAsia="宋体" w:cs="宋体"/>
          <w:color w:val="auto"/>
          <w:kern w:val="2"/>
          <w:sz w:val="24"/>
          <w:szCs w:val="24"/>
          <w:highlight w:val="none"/>
          <w:u w:val="single"/>
          <w:lang w:val="en-US" w:eastAsia="zh-CN" w:bidi="ar-SA"/>
        </w:rPr>
        <w:t>采购人或采购代理机构</w:t>
      </w:r>
      <w:r>
        <w:rPr>
          <w:rFonts w:hint="eastAsia" w:ascii="宋体" w:hAnsi="宋体" w:eastAsia="宋体" w:cs="宋体"/>
          <w:color w:val="auto"/>
          <w:kern w:val="2"/>
          <w:sz w:val="24"/>
          <w:szCs w:val="24"/>
          <w:highlight w:val="none"/>
          <w:lang w:val="en-US" w:eastAsia="zh-CN" w:bidi="ar-SA"/>
        </w:rPr>
        <w:t>):</w:t>
      </w:r>
    </w:p>
    <w:p w14:paraId="2661EA43">
      <w:pPr>
        <w:widowControl w:val="0"/>
        <w:spacing w:line="360" w:lineRule="auto"/>
        <w:ind w:firstLine="570"/>
        <w:jc w:val="both"/>
        <w:rPr>
          <w:rFonts w:hint="eastAsia" w:ascii="宋体" w:hAnsi="宋体" w:eastAsia="宋体" w:cs="宋体"/>
          <w:color w:val="auto"/>
          <w:kern w:val="2"/>
          <w:sz w:val="24"/>
          <w:szCs w:val="24"/>
          <w:highlight w:val="none"/>
          <w:u w:val="single"/>
          <w:lang w:val="en-US" w:eastAsia="zh-CN" w:bidi="ar-SA"/>
        </w:rPr>
      </w:pPr>
      <w:r>
        <w:rPr>
          <w:rFonts w:hint="eastAsia" w:ascii="宋体" w:hAnsi="宋体" w:eastAsia="宋体" w:cs="宋体"/>
          <w:color w:val="auto"/>
          <w:kern w:val="2"/>
          <w:sz w:val="24"/>
          <w:szCs w:val="24"/>
          <w:highlight w:val="none"/>
          <w:lang w:val="en-US" w:eastAsia="zh-CN" w:bidi="ar-SA"/>
        </w:rPr>
        <w:t>单位名称:</w:t>
      </w:r>
      <w:r>
        <w:rPr>
          <w:rFonts w:hint="eastAsia" w:ascii="宋体" w:hAnsi="宋体" w:eastAsia="宋体" w:cs="宋体"/>
          <w:color w:val="auto"/>
          <w:kern w:val="2"/>
          <w:sz w:val="24"/>
          <w:szCs w:val="24"/>
          <w:highlight w:val="none"/>
          <w:u w:val="single"/>
          <w:lang w:val="en-US" w:eastAsia="zh-CN" w:bidi="ar-SA"/>
        </w:rPr>
        <w:t xml:space="preserve">                                       </w:t>
      </w:r>
    </w:p>
    <w:p w14:paraId="5F111CE1">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统一社会信用代码:</w:t>
      </w:r>
      <w:r>
        <w:rPr>
          <w:rFonts w:hint="eastAsia" w:ascii="宋体" w:hAnsi="宋体" w:eastAsia="宋体" w:cs="宋体"/>
          <w:color w:val="auto"/>
          <w:kern w:val="2"/>
          <w:sz w:val="24"/>
          <w:szCs w:val="24"/>
          <w:highlight w:val="none"/>
          <w:u w:val="single"/>
          <w:lang w:val="en-US" w:eastAsia="zh-CN" w:bidi="ar-SA"/>
        </w:rPr>
        <w:t xml:space="preserve">                               </w:t>
      </w:r>
    </w:p>
    <w:p w14:paraId="1002D8B5">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w:t>
      </w:r>
      <w:r>
        <w:rPr>
          <w:rFonts w:hint="eastAsia" w:ascii="宋体" w:hAnsi="宋体" w:eastAsia="宋体" w:cs="宋体"/>
          <w:color w:val="auto"/>
          <w:kern w:val="2"/>
          <w:sz w:val="24"/>
          <w:szCs w:val="24"/>
          <w:highlight w:val="none"/>
          <w:u w:val="single"/>
          <w:lang w:val="en-US" w:eastAsia="zh-CN" w:bidi="ar-SA"/>
        </w:rPr>
        <w:t xml:space="preserve">                                     </w:t>
      </w:r>
    </w:p>
    <w:p w14:paraId="437BCDCA">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联系地址和电话:</w:t>
      </w:r>
      <w:r>
        <w:rPr>
          <w:rFonts w:hint="eastAsia" w:ascii="宋体" w:hAnsi="宋体" w:eastAsia="宋体" w:cs="宋体"/>
          <w:color w:val="auto"/>
          <w:kern w:val="2"/>
          <w:sz w:val="24"/>
          <w:szCs w:val="24"/>
          <w:highlight w:val="none"/>
          <w:u w:val="single"/>
          <w:lang w:val="en-US" w:eastAsia="zh-CN" w:bidi="ar-SA"/>
        </w:rPr>
        <w:t xml:space="preserve">                                 </w:t>
      </w:r>
    </w:p>
    <w:p w14:paraId="7235687F">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我单位自愿参加本次政府采购活动，严格遵守《中华人民共和国政府采购法》及相关法律法规，依法诚信经营，无条件遵守本次政府采购活动的各项规定，我单位郑重承诺，本公司符合《中华人民共和国政府采购法》第二十二条规定的条件:</w:t>
      </w:r>
    </w:p>
    <w:p w14:paraId="30B6EF2C">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(一)具有独立承担民事责任的能力;</w:t>
      </w:r>
    </w:p>
    <w:p w14:paraId="76F5DFB6">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(二)具有良好的商业信誉和健全的财务会计制度;</w:t>
      </w:r>
    </w:p>
    <w:p w14:paraId="072CB524">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(三)具有履行合同所必需的设备和专业技术能力;</w:t>
      </w:r>
    </w:p>
    <w:p w14:paraId="068C8986">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(四)有依法缴纳税收和社会保障资金的良好记录;</w:t>
      </w:r>
    </w:p>
    <w:p w14:paraId="584F4566">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（六）未被列入失信被执行人、</w:t>
      </w:r>
      <w:r>
        <w:rPr>
          <w:rFonts w:hint="eastAsia" w:ascii="宋体" w:hAnsi="宋体" w:eastAsia="宋体" w:cs="宋体"/>
          <w:color w:val="auto"/>
          <w:kern w:val="2"/>
          <w:sz w:val="24"/>
          <w:szCs w:val="24"/>
          <w:highlight w:val="none"/>
          <w:lang w:val="zh-CN" w:eastAsia="zh-CN" w:bidi="ar-SA"/>
        </w:rPr>
        <w:t>重大税收违法失信主体</w:t>
      </w:r>
      <w:r>
        <w:rPr>
          <w:rFonts w:hint="eastAsia" w:ascii="宋体" w:hAnsi="宋体" w:eastAsia="宋体" w:cs="宋体"/>
          <w:color w:val="auto"/>
          <w:kern w:val="2"/>
          <w:sz w:val="24"/>
          <w:szCs w:val="24"/>
          <w:highlight w:val="none"/>
          <w:lang w:val="en-US" w:eastAsia="zh-CN" w:bidi="ar-SA"/>
        </w:rPr>
        <w:t>、政府采购严重违法失信行为记录名单。</w:t>
      </w:r>
    </w:p>
    <w:p w14:paraId="5D9372EE">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(七)法律，行政法规规定的其他条件。</w:t>
      </w:r>
    </w:p>
    <w:p w14:paraId="2EEFB2C9">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我单位保证上述承诺事项的真实性，如有弄虚作假或其他违法违规行为，愿意承担一切法律责任，并承担因此所造成的一切损失。</w:t>
      </w:r>
    </w:p>
    <w:p w14:paraId="1315B126">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供应商(企业电子章):</w:t>
      </w:r>
      <w:r>
        <w:rPr>
          <w:rFonts w:hint="eastAsia" w:ascii="宋体" w:hAnsi="宋体" w:eastAsia="宋体" w:cs="宋体"/>
          <w:color w:val="auto"/>
          <w:kern w:val="2"/>
          <w:sz w:val="24"/>
          <w:szCs w:val="24"/>
          <w:highlight w:val="none"/>
          <w:u w:val="single"/>
          <w:lang w:val="en-US" w:eastAsia="zh-CN" w:bidi="ar-SA"/>
        </w:rPr>
        <w:t xml:space="preserve">                      </w:t>
      </w:r>
    </w:p>
    <w:p w14:paraId="5365E11B">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法定代表人或授权代表(签字或电子印章):</w:t>
      </w:r>
      <w:r>
        <w:rPr>
          <w:rFonts w:hint="eastAsia" w:ascii="宋体" w:hAnsi="宋体" w:eastAsia="宋体" w:cs="宋体"/>
          <w:color w:val="auto"/>
          <w:kern w:val="2"/>
          <w:sz w:val="24"/>
          <w:szCs w:val="24"/>
          <w:highlight w:val="none"/>
          <w:u w:val="single"/>
          <w:lang w:val="en-US" w:eastAsia="zh-CN" w:bidi="ar-SA"/>
        </w:rPr>
        <w:t xml:space="preserve">                </w:t>
      </w:r>
    </w:p>
    <w:p w14:paraId="7556C4A7">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日期:</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年</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月</w:t>
      </w:r>
      <w:r>
        <w:rPr>
          <w:rFonts w:hint="eastAsia" w:ascii="宋体" w:hAnsi="宋体" w:eastAsia="宋体" w:cs="宋体"/>
          <w:color w:val="auto"/>
          <w:kern w:val="2"/>
          <w:sz w:val="24"/>
          <w:szCs w:val="24"/>
          <w:highlight w:val="none"/>
          <w:u w:val="single"/>
          <w:lang w:val="en-US" w:eastAsia="zh-CN" w:bidi="ar-SA"/>
        </w:rPr>
        <w:t xml:space="preserve">   </w:t>
      </w:r>
      <w:r>
        <w:rPr>
          <w:rFonts w:hint="eastAsia" w:ascii="宋体" w:hAnsi="宋体" w:eastAsia="宋体" w:cs="宋体"/>
          <w:color w:val="auto"/>
          <w:kern w:val="2"/>
          <w:sz w:val="24"/>
          <w:szCs w:val="24"/>
          <w:highlight w:val="none"/>
          <w:lang w:val="en-US" w:eastAsia="zh-CN" w:bidi="ar-SA"/>
        </w:rPr>
        <w:t xml:space="preserve">日 </w:t>
      </w:r>
    </w:p>
    <w:p w14:paraId="62059B57">
      <w:pPr>
        <w:widowControl w:val="0"/>
        <w:spacing w:line="360" w:lineRule="auto"/>
        <w:ind w:firstLine="57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注:1.供应商须在响应文件中按此模板提供承诺函，未提供视为未实质性响应采购文件要求，按无效响应处理。</w:t>
      </w:r>
    </w:p>
    <w:p w14:paraId="4C2E3254">
      <w:pPr>
        <w:widowControl w:val="0"/>
        <w:spacing w:line="360" w:lineRule="auto"/>
        <w:ind w:firstLine="570"/>
        <w:jc w:val="both"/>
        <w:rPr>
          <w:rFonts w:hint="eastAsia" w:ascii="宋体" w:hAnsi="宋体" w:eastAsia="宋体" w:cs="宋体"/>
          <w:color w:val="auto"/>
          <w:kern w:val="2"/>
          <w:sz w:val="18"/>
          <w:szCs w:val="18"/>
          <w:highlight w:val="none"/>
          <w:lang w:val="en-US" w:eastAsia="zh-CN" w:bidi="ar-SA"/>
        </w:rPr>
      </w:pPr>
      <w:r>
        <w:rPr>
          <w:rFonts w:hint="eastAsia" w:ascii="宋体" w:hAnsi="宋体" w:eastAsia="宋体" w:cs="宋体"/>
          <w:color w:val="auto"/>
          <w:kern w:val="2"/>
          <w:sz w:val="24"/>
          <w:szCs w:val="18"/>
          <w:highlight w:val="none"/>
          <w:lang w:val="en-US" w:eastAsia="zh-CN" w:bidi="ar-SA"/>
        </w:rPr>
        <w:t>2.供应商的法定代表人或者授权代表的签字或盖章应真实、有效,如由授权代表签字或盖章的,应提供“法定代表人授权书”</w:t>
      </w:r>
    </w:p>
    <w:p w14:paraId="6E736EF8">
      <w:pPr>
        <w:rPr>
          <w:rFonts w:hint="eastAsia" w:ascii="宋体" w:hAnsi="宋体" w:eastAsia="宋体" w:cs="宋体"/>
          <w:b/>
          <w:color w:val="auto"/>
          <w:sz w:val="28"/>
          <w:szCs w:val="28"/>
          <w:highlight w:val="none"/>
          <w:lang w:val="en-US" w:eastAsia="zh-CN"/>
        </w:rPr>
      </w:pPr>
      <w:r>
        <w:rPr>
          <w:rFonts w:hint="eastAsia" w:ascii="宋体" w:hAnsi="宋体" w:eastAsia="宋体" w:cs="宋体"/>
          <w:b/>
          <w:color w:val="auto"/>
          <w:sz w:val="28"/>
          <w:szCs w:val="28"/>
          <w:highlight w:val="none"/>
          <w:lang w:val="en-US" w:eastAsia="zh-CN"/>
        </w:rPr>
        <w:br w:type="page"/>
      </w:r>
    </w:p>
    <w:p w14:paraId="48A17250">
      <w:pPr>
        <w:pStyle w:val="8"/>
        <w:spacing w:line="480" w:lineRule="exact"/>
        <w:ind w:left="425" w:firstLine="562"/>
        <w:jc w:val="center"/>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（三）</w:t>
      </w:r>
      <w:r>
        <w:rPr>
          <w:rFonts w:hint="eastAsia" w:ascii="宋体" w:hAnsi="宋体" w:eastAsia="宋体" w:cs="宋体"/>
          <w:b/>
          <w:color w:val="auto"/>
          <w:sz w:val="28"/>
          <w:szCs w:val="28"/>
          <w:highlight w:val="none"/>
        </w:rPr>
        <w:t>能证明供应商资格的其他资料</w:t>
      </w:r>
    </w:p>
    <w:p w14:paraId="5C0B1EA5">
      <w:pPr>
        <w:pStyle w:val="8"/>
        <w:spacing w:line="480" w:lineRule="exact"/>
        <w:ind w:left="425" w:firstLine="562"/>
        <w:jc w:val="center"/>
        <w:rPr>
          <w:rFonts w:hint="eastAsia" w:ascii="宋体" w:hAnsi="宋体" w:eastAsia="宋体" w:cs="宋体"/>
          <w:b/>
          <w:color w:val="auto"/>
          <w:sz w:val="28"/>
          <w:szCs w:val="28"/>
          <w:highlight w:val="none"/>
        </w:rPr>
      </w:pPr>
    </w:p>
    <w:p w14:paraId="1B9B4F00">
      <w:pPr>
        <w:pStyle w:val="8"/>
        <w:spacing w:line="480" w:lineRule="exact"/>
        <w:ind w:left="425" w:firstLine="562"/>
        <w:jc w:val="center"/>
        <w:rPr>
          <w:rFonts w:hint="eastAsia" w:ascii="宋体" w:hAnsi="宋体" w:eastAsia="宋体" w:cs="宋体"/>
          <w:b/>
          <w:color w:val="auto"/>
          <w:sz w:val="28"/>
          <w:szCs w:val="28"/>
          <w:highlight w:val="none"/>
        </w:rPr>
      </w:pPr>
    </w:p>
    <w:p w14:paraId="082736FC">
      <w:pPr>
        <w:pStyle w:val="8"/>
        <w:spacing w:line="480" w:lineRule="exact"/>
        <w:ind w:left="425" w:firstLine="562"/>
        <w:jc w:val="center"/>
        <w:rPr>
          <w:rFonts w:hint="eastAsia" w:ascii="宋体" w:hAnsi="宋体" w:eastAsia="宋体" w:cs="宋体"/>
          <w:b/>
          <w:color w:val="auto"/>
          <w:sz w:val="28"/>
          <w:szCs w:val="28"/>
          <w:highlight w:val="none"/>
        </w:rPr>
      </w:pPr>
    </w:p>
    <w:p w14:paraId="0E9C7DC9">
      <w:pPr>
        <w:rPr>
          <w:rFonts w:hint="eastAsia" w:ascii="宋体" w:hAnsi="宋体" w:eastAsia="宋体" w:cs="宋体"/>
          <w:color w:val="auto"/>
          <w:highlight w:val="none"/>
        </w:rPr>
      </w:pPr>
    </w:p>
    <w:p w14:paraId="5F7682C7">
      <w:pPr>
        <w:rPr>
          <w:rFonts w:hint="eastAsia" w:ascii="宋体" w:hAnsi="宋体" w:eastAsia="宋体" w:cs="宋体"/>
          <w:color w:val="auto"/>
          <w:highlight w:val="none"/>
        </w:rPr>
      </w:pPr>
    </w:p>
    <w:p w14:paraId="709DD7D4">
      <w:pPr>
        <w:rPr>
          <w:rFonts w:hint="eastAsia" w:ascii="宋体" w:hAnsi="宋体" w:eastAsia="宋体" w:cs="宋体"/>
          <w:color w:val="auto"/>
          <w:highlight w:val="none"/>
        </w:rPr>
      </w:pPr>
    </w:p>
    <w:p w14:paraId="2B421356">
      <w:pPr>
        <w:rPr>
          <w:rFonts w:hint="eastAsia" w:ascii="宋体" w:hAnsi="宋体" w:eastAsia="宋体" w:cs="宋体"/>
          <w:color w:val="auto"/>
          <w:highlight w:val="none"/>
        </w:rPr>
      </w:pPr>
    </w:p>
    <w:p w14:paraId="17635D2B">
      <w:pPr>
        <w:rPr>
          <w:rFonts w:hint="eastAsia" w:ascii="宋体" w:hAnsi="宋体" w:eastAsia="宋体" w:cs="宋体"/>
          <w:color w:val="auto"/>
          <w:highlight w:val="none"/>
        </w:rPr>
      </w:pPr>
    </w:p>
    <w:p w14:paraId="4E14C11F">
      <w:pPr>
        <w:rPr>
          <w:rFonts w:hint="eastAsia" w:ascii="宋体" w:hAnsi="宋体" w:eastAsia="宋体" w:cs="宋体"/>
          <w:color w:val="auto"/>
          <w:highlight w:val="none"/>
        </w:rPr>
      </w:pPr>
    </w:p>
    <w:p w14:paraId="54161B55">
      <w:pPr>
        <w:rPr>
          <w:rFonts w:hint="eastAsia" w:ascii="宋体" w:hAnsi="宋体" w:eastAsia="宋体" w:cs="宋体"/>
          <w:color w:val="auto"/>
          <w:highlight w:val="none"/>
        </w:rPr>
      </w:pPr>
    </w:p>
    <w:p w14:paraId="30C467E6">
      <w:pPr>
        <w:rPr>
          <w:rFonts w:hint="eastAsia" w:ascii="宋体" w:hAnsi="宋体" w:eastAsia="宋体" w:cs="宋体"/>
          <w:color w:val="auto"/>
          <w:highlight w:val="none"/>
        </w:rPr>
      </w:pPr>
    </w:p>
    <w:p w14:paraId="2738C474">
      <w:pPr>
        <w:rPr>
          <w:rFonts w:hint="eastAsia" w:ascii="宋体" w:hAnsi="宋体" w:eastAsia="宋体" w:cs="宋体"/>
          <w:color w:val="auto"/>
          <w:highlight w:val="none"/>
        </w:rPr>
      </w:pPr>
    </w:p>
    <w:p w14:paraId="0C7AF15E">
      <w:pPr>
        <w:rPr>
          <w:rFonts w:hint="eastAsia" w:ascii="宋体" w:hAnsi="宋体" w:eastAsia="宋体" w:cs="宋体"/>
          <w:color w:val="auto"/>
          <w:highlight w:val="none"/>
        </w:rPr>
      </w:pPr>
    </w:p>
    <w:p w14:paraId="4FEF28FF">
      <w:pPr>
        <w:rPr>
          <w:rFonts w:hint="eastAsia" w:ascii="宋体" w:hAnsi="宋体" w:eastAsia="宋体" w:cs="宋体"/>
          <w:color w:val="auto"/>
          <w:highlight w:val="none"/>
        </w:rPr>
      </w:pPr>
    </w:p>
    <w:p w14:paraId="0EBFE9E9">
      <w:pPr>
        <w:rPr>
          <w:rFonts w:hint="eastAsia" w:ascii="宋体" w:hAnsi="宋体" w:eastAsia="宋体" w:cs="宋体"/>
          <w:color w:val="auto"/>
          <w:highlight w:val="none"/>
        </w:rPr>
      </w:pPr>
    </w:p>
    <w:p w14:paraId="1429F4F0">
      <w:pPr>
        <w:rPr>
          <w:rFonts w:hint="eastAsia" w:ascii="宋体" w:hAnsi="宋体" w:eastAsia="宋体" w:cs="宋体"/>
          <w:color w:val="auto"/>
          <w:highlight w:val="none"/>
        </w:rPr>
      </w:pPr>
    </w:p>
    <w:p w14:paraId="6EF6FEA9">
      <w:pPr>
        <w:rPr>
          <w:rFonts w:hint="eastAsia" w:ascii="宋体" w:hAnsi="宋体" w:eastAsia="宋体" w:cs="宋体"/>
          <w:color w:val="auto"/>
          <w:highlight w:val="none"/>
        </w:rPr>
      </w:pPr>
    </w:p>
    <w:p w14:paraId="6389DDB9">
      <w:pPr>
        <w:rPr>
          <w:rFonts w:hint="eastAsia" w:ascii="宋体" w:hAnsi="宋体" w:eastAsia="宋体" w:cs="宋体"/>
          <w:color w:val="auto"/>
          <w:highlight w:val="none"/>
        </w:rPr>
      </w:pPr>
    </w:p>
    <w:p w14:paraId="72488EE6">
      <w:pPr>
        <w:rPr>
          <w:rFonts w:hint="eastAsia" w:ascii="宋体" w:hAnsi="宋体" w:eastAsia="宋体" w:cs="宋体"/>
          <w:color w:val="auto"/>
          <w:highlight w:val="none"/>
        </w:rPr>
      </w:pPr>
    </w:p>
    <w:p w14:paraId="6B416E81">
      <w:pPr>
        <w:rPr>
          <w:rFonts w:hint="eastAsia" w:ascii="宋体" w:hAnsi="宋体" w:eastAsia="宋体" w:cs="宋体"/>
          <w:color w:val="auto"/>
          <w:highlight w:val="none"/>
        </w:rPr>
      </w:pPr>
    </w:p>
    <w:p w14:paraId="0B0E3563">
      <w:pPr>
        <w:rPr>
          <w:rFonts w:hint="eastAsia" w:ascii="宋体" w:hAnsi="宋体" w:eastAsia="宋体" w:cs="宋体"/>
          <w:color w:val="auto"/>
          <w:highlight w:val="none"/>
        </w:rPr>
      </w:pPr>
    </w:p>
    <w:p w14:paraId="4D74B57B">
      <w:pPr>
        <w:rPr>
          <w:rFonts w:hint="eastAsia" w:ascii="宋体" w:hAnsi="宋体" w:eastAsia="宋体" w:cs="宋体"/>
          <w:color w:val="auto"/>
          <w:highlight w:val="none"/>
        </w:rPr>
      </w:pPr>
    </w:p>
    <w:p w14:paraId="0EA78DF2">
      <w:pPr>
        <w:rPr>
          <w:rFonts w:hint="eastAsia" w:ascii="宋体" w:hAnsi="宋体" w:eastAsia="宋体" w:cs="宋体"/>
          <w:color w:val="auto"/>
          <w:highlight w:val="none"/>
        </w:rPr>
      </w:pPr>
    </w:p>
    <w:p w14:paraId="2FFFD671">
      <w:pPr>
        <w:rPr>
          <w:rFonts w:hint="eastAsia" w:ascii="宋体" w:hAnsi="宋体" w:eastAsia="宋体" w:cs="宋体"/>
          <w:color w:val="auto"/>
          <w:highlight w:val="none"/>
        </w:rPr>
      </w:pPr>
    </w:p>
    <w:p w14:paraId="4B1762FE">
      <w:pPr>
        <w:rPr>
          <w:rFonts w:hint="eastAsia" w:ascii="宋体" w:hAnsi="宋体" w:eastAsia="宋体" w:cs="宋体"/>
          <w:color w:val="auto"/>
          <w:highlight w:val="none"/>
        </w:rPr>
      </w:pPr>
    </w:p>
    <w:p w14:paraId="0035158A">
      <w:pPr>
        <w:rPr>
          <w:rFonts w:hint="eastAsia" w:ascii="宋体" w:hAnsi="宋体" w:eastAsia="宋体" w:cs="宋体"/>
          <w:color w:val="auto"/>
          <w:highlight w:val="none"/>
        </w:rPr>
      </w:pPr>
    </w:p>
    <w:p w14:paraId="590B317B">
      <w:pPr>
        <w:rPr>
          <w:rFonts w:hint="eastAsia" w:ascii="宋体" w:hAnsi="宋体" w:eastAsia="宋体" w:cs="宋体"/>
          <w:color w:val="auto"/>
          <w:highlight w:val="none"/>
        </w:rPr>
      </w:pPr>
    </w:p>
    <w:p w14:paraId="651848D8">
      <w:pPr>
        <w:pStyle w:val="3"/>
        <w:tabs>
          <w:tab w:val="left" w:pos="420"/>
          <w:tab w:val="left" w:pos="840"/>
        </w:tabs>
        <w:spacing w:line="360" w:lineRule="auto"/>
        <w:jc w:val="center"/>
        <w:rPr>
          <w:rFonts w:hint="eastAsia" w:ascii="宋体" w:hAnsi="宋体" w:eastAsia="宋体" w:cs="宋体"/>
          <w:bCs w:val="0"/>
          <w:color w:val="auto"/>
          <w:highlight w:val="none"/>
          <w:lang w:val="en-US" w:eastAsia="zh-CN"/>
        </w:rPr>
      </w:pPr>
      <w:r>
        <w:rPr>
          <w:rFonts w:hint="eastAsia" w:ascii="宋体" w:hAnsi="宋体" w:eastAsia="宋体" w:cs="宋体"/>
          <w:b w:val="0"/>
          <w:color w:val="auto"/>
          <w:sz w:val="28"/>
          <w:szCs w:val="28"/>
          <w:highlight w:val="none"/>
        </w:rPr>
        <w:br w:type="page"/>
      </w:r>
      <w:bookmarkStart w:id="833" w:name="_Toc25871"/>
      <w:bookmarkStart w:id="834" w:name="_Toc15583"/>
      <w:bookmarkStart w:id="835" w:name="_Toc29623358"/>
      <w:bookmarkStart w:id="836" w:name="_Toc16946"/>
      <w:r>
        <w:rPr>
          <w:rFonts w:hint="eastAsia" w:ascii="宋体" w:hAnsi="宋体" w:eastAsia="宋体" w:cs="宋体"/>
          <w:bCs w:val="0"/>
          <w:color w:val="auto"/>
          <w:highlight w:val="none"/>
          <w:lang w:val="zh-CN"/>
        </w:rPr>
        <w:t>五、</w:t>
      </w:r>
      <w:bookmarkEnd w:id="833"/>
      <w:bookmarkEnd w:id="834"/>
      <w:bookmarkEnd w:id="835"/>
      <w:r>
        <w:rPr>
          <w:rFonts w:hint="eastAsia" w:ascii="宋体" w:hAnsi="宋体" w:eastAsia="宋体" w:cs="宋体"/>
          <w:bCs w:val="0"/>
          <w:color w:val="auto"/>
          <w:highlight w:val="none"/>
          <w:lang w:val="en-US" w:eastAsia="zh-CN"/>
        </w:rPr>
        <w:t>技术部分</w:t>
      </w:r>
    </w:p>
    <w:p w14:paraId="31770E2F">
      <w:pPr>
        <w:rPr>
          <w:rFonts w:hint="eastAsia" w:ascii="宋体" w:hAnsi="宋体" w:eastAsia="宋体" w:cs="宋体"/>
          <w:bCs w:val="0"/>
          <w:color w:val="auto"/>
          <w:highlight w:val="none"/>
          <w:lang w:val="en-US" w:eastAsia="zh-CN"/>
        </w:rPr>
      </w:pPr>
      <w:r>
        <w:rPr>
          <w:rFonts w:hint="eastAsia" w:ascii="宋体" w:hAnsi="宋体" w:eastAsia="宋体" w:cs="宋体"/>
          <w:bCs w:val="0"/>
          <w:color w:val="auto"/>
          <w:highlight w:val="none"/>
          <w:lang w:val="en-US" w:eastAsia="zh-CN"/>
        </w:rPr>
        <w:t>按竞争性磋商文件技术部分评审办法进行编写</w:t>
      </w:r>
    </w:p>
    <w:p w14:paraId="41C268B0">
      <w:p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14:paraId="7F5EAF0B">
      <w:pPr>
        <w:pStyle w:val="22"/>
        <w:rPr>
          <w:rFonts w:hint="eastAsia" w:ascii="宋体" w:hAnsi="宋体" w:eastAsia="宋体" w:cs="宋体"/>
          <w:color w:val="auto"/>
          <w:highlight w:val="none"/>
          <w:lang w:val="en-US" w:eastAsia="zh-CN"/>
        </w:rPr>
      </w:pPr>
    </w:p>
    <w:p w14:paraId="203B9D68">
      <w:pPr>
        <w:spacing w:line="360" w:lineRule="auto"/>
        <w:rPr>
          <w:rFonts w:hint="eastAsia" w:ascii="宋体" w:hAnsi="宋体" w:eastAsia="宋体" w:cs="宋体"/>
          <w:b w:val="0"/>
          <w:bCs w:val="0"/>
          <w:color w:val="auto"/>
          <w:sz w:val="24"/>
          <w:szCs w:val="24"/>
          <w:highlight w:val="none"/>
        </w:rPr>
      </w:pP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rPr>
        <w:t>）</w:t>
      </w:r>
      <w:r>
        <w:rPr>
          <w:rFonts w:hint="eastAsia" w:ascii="宋体" w:hAnsi="宋体" w:eastAsia="宋体" w:cs="宋体"/>
          <w:b w:val="0"/>
          <w:bCs w:val="0"/>
          <w:color w:val="auto"/>
          <w:sz w:val="24"/>
          <w:szCs w:val="24"/>
          <w:highlight w:val="none"/>
        </w:rPr>
        <w:t>技术指标响应情况</w:t>
      </w:r>
    </w:p>
    <w:tbl>
      <w:tblPr>
        <w:tblStyle w:val="23"/>
        <w:tblW w:w="90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8"/>
        <w:gridCol w:w="2519"/>
        <w:gridCol w:w="2866"/>
        <w:gridCol w:w="2545"/>
      </w:tblGrid>
      <w:tr w14:paraId="13402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078" w:type="dxa"/>
            <w:tcBorders>
              <w:top w:val="single" w:color="auto" w:sz="4" w:space="0"/>
              <w:left w:val="single" w:color="auto" w:sz="4" w:space="0"/>
              <w:bottom w:val="single" w:color="auto" w:sz="4" w:space="0"/>
              <w:right w:val="single" w:color="auto" w:sz="4" w:space="0"/>
            </w:tcBorders>
            <w:noWrap w:val="0"/>
            <w:vAlign w:val="center"/>
          </w:tcPr>
          <w:p w14:paraId="5FBA1AB2">
            <w:pPr>
              <w:widowControl/>
              <w:kinsoku w:val="0"/>
              <w:overflowPunct w:val="0"/>
              <w:autoSpaceDE w:val="0"/>
              <w:autoSpaceDN w:val="0"/>
              <w:adjustRightInd w:val="0"/>
              <w:snapToGrid w:val="0"/>
              <w:spacing w:line="360" w:lineRule="auto"/>
              <w:ind w:firstLine="240" w:firstLineChars="100"/>
              <w:jc w:val="left"/>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kern w:val="0"/>
                <w:sz w:val="24"/>
                <w:szCs w:val="24"/>
                <w:highlight w:val="none"/>
                <w:lang w:eastAsia="en-US"/>
              </w:rPr>
              <w:t>序号</w:t>
            </w:r>
          </w:p>
        </w:tc>
        <w:tc>
          <w:tcPr>
            <w:tcW w:w="2519" w:type="dxa"/>
            <w:tcBorders>
              <w:top w:val="single" w:color="auto" w:sz="4" w:space="0"/>
              <w:left w:val="nil"/>
              <w:bottom w:val="single" w:color="auto" w:sz="4" w:space="0"/>
              <w:right w:val="single" w:color="auto" w:sz="4" w:space="0"/>
            </w:tcBorders>
            <w:noWrap w:val="0"/>
            <w:vAlign w:val="center"/>
          </w:tcPr>
          <w:p w14:paraId="29ACC54F">
            <w:pPr>
              <w:widowControl/>
              <w:kinsoku w:val="0"/>
              <w:overflowPunct w:val="0"/>
              <w:autoSpaceDE w:val="0"/>
              <w:autoSpaceDN w:val="0"/>
              <w:adjustRightInd w:val="0"/>
              <w:snapToGrid w:val="0"/>
              <w:spacing w:line="360"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b w:val="0"/>
                <w:bCs w:val="0"/>
                <w:color w:val="auto"/>
                <w:sz w:val="24"/>
                <w:szCs w:val="24"/>
                <w:highlight w:val="none"/>
              </w:rPr>
              <w:t>竞争性磋商文件</w:t>
            </w:r>
            <w:r>
              <w:rPr>
                <w:rFonts w:hint="eastAsia" w:ascii="宋体" w:hAnsi="宋体" w:eastAsia="宋体" w:cs="宋体"/>
                <w:b w:val="0"/>
                <w:bCs w:val="0"/>
                <w:color w:val="auto"/>
                <w:sz w:val="24"/>
                <w:szCs w:val="24"/>
                <w:highlight w:val="none"/>
                <w:lang w:val="en-US" w:eastAsia="zh-CN"/>
              </w:rPr>
              <w:t>采购内容及</w:t>
            </w:r>
            <w:r>
              <w:rPr>
                <w:rFonts w:hint="eastAsia" w:ascii="宋体" w:hAnsi="宋体" w:eastAsia="宋体" w:cs="宋体"/>
                <w:b w:val="0"/>
                <w:bCs w:val="0"/>
                <w:color w:val="auto"/>
                <w:sz w:val="24"/>
                <w:szCs w:val="24"/>
                <w:highlight w:val="none"/>
              </w:rPr>
              <w:t>要求</w:t>
            </w:r>
          </w:p>
        </w:tc>
        <w:tc>
          <w:tcPr>
            <w:tcW w:w="2866" w:type="dxa"/>
            <w:tcBorders>
              <w:top w:val="single" w:color="auto" w:sz="4" w:space="0"/>
              <w:left w:val="nil"/>
              <w:bottom w:val="single" w:color="auto" w:sz="4" w:space="0"/>
              <w:right w:val="single" w:color="auto" w:sz="4" w:space="0"/>
            </w:tcBorders>
            <w:noWrap w:val="0"/>
            <w:vAlign w:val="center"/>
          </w:tcPr>
          <w:p w14:paraId="3BE6342D">
            <w:pPr>
              <w:widowControl/>
              <w:kinsoku w:val="0"/>
              <w:overflowPunct w:val="0"/>
              <w:autoSpaceDE w:val="0"/>
              <w:autoSpaceDN w:val="0"/>
              <w:adjustRightInd w:val="0"/>
              <w:snapToGrid w:val="0"/>
              <w:spacing w:line="360"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b w:val="0"/>
                <w:bCs w:val="0"/>
                <w:color w:val="auto"/>
                <w:sz w:val="24"/>
                <w:szCs w:val="24"/>
                <w:highlight w:val="none"/>
                <w:lang w:val="en-US" w:eastAsia="zh-CN"/>
              </w:rPr>
              <w:t>供应还是那个响应文件采购内容及</w:t>
            </w:r>
            <w:r>
              <w:rPr>
                <w:rFonts w:hint="eastAsia" w:ascii="宋体" w:hAnsi="宋体" w:eastAsia="宋体" w:cs="宋体"/>
                <w:b w:val="0"/>
                <w:bCs w:val="0"/>
                <w:color w:val="auto"/>
                <w:sz w:val="24"/>
                <w:szCs w:val="24"/>
                <w:highlight w:val="none"/>
              </w:rPr>
              <w:t>要求</w:t>
            </w:r>
          </w:p>
        </w:tc>
        <w:tc>
          <w:tcPr>
            <w:tcW w:w="2545" w:type="dxa"/>
            <w:tcBorders>
              <w:top w:val="single" w:color="auto" w:sz="4" w:space="0"/>
              <w:left w:val="nil"/>
              <w:bottom w:val="single" w:color="auto" w:sz="4" w:space="0"/>
              <w:right w:val="single" w:color="auto" w:sz="4" w:space="0"/>
            </w:tcBorders>
            <w:noWrap w:val="0"/>
            <w:vAlign w:val="center"/>
          </w:tcPr>
          <w:p w14:paraId="6BE6B038">
            <w:pPr>
              <w:widowControl/>
              <w:kinsoku w:val="0"/>
              <w:overflowPunct w:val="0"/>
              <w:autoSpaceDE w:val="0"/>
              <w:autoSpaceDN w:val="0"/>
              <w:adjustRightInd w:val="0"/>
              <w:snapToGrid w:val="0"/>
              <w:spacing w:line="360"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kern w:val="0"/>
                <w:sz w:val="24"/>
                <w:szCs w:val="24"/>
                <w:highlight w:val="none"/>
                <w:lang w:eastAsia="en-US"/>
              </w:rPr>
              <w:t>偏离情况</w:t>
            </w:r>
          </w:p>
        </w:tc>
      </w:tr>
      <w:tr w14:paraId="01F3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078" w:type="dxa"/>
            <w:tcBorders>
              <w:top w:val="single" w:color="auto" w:sz="4" w:space="0"/>
              <w:left w:val="single" w:color="auto" w:sz="4" w:space="0"/>
              <w:bottom w:val="single" w:color="auto" w:sz="4" w:space="0"/>
              <w:right w:val="single" w:color="auto" w:sz="4" w:space="0"/>
            </w:tcBorders>
            <w:noWrap w:val="0"/>
            <w:vAlign w:val="center"/>
          </w:tcPr>
          <w:p w14:paraId="721334EA">
            <w:pPr>
              <w:widowControl/>
              <w:kinsoku w:val="0"/>
              <w:overflowPunct w:val="0"/>
              <w:autoSpaceDE w:val="0"/>
              <w:autoSpaceDN w:val="0"/>
              <w:adjustRightInd w:val="0"/>
              <w:snapToGrid w:val="0"/>
              <w:spacing w:line="360"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kern w:val="0"/>
                <w:sz w:val="24"/>
                <w:szCs w:val="24"/>
                <w:highlight w:val="none"/>
                <w:lang w:eastAsia="en-US"/>
              </w:rPr>
              <w:t>1</w:t>
            </w:r>
          </w:p>
        </w:tc>
        <w:tc>
          <w:tcPr>
            <w:tcW w:w="2519" w:type="dxa"/>
            <w:tcBorders>
              <w:top w:val="single" w:color="auto" w:sz="4" w:space="0"/>
              <w:left w:val="nil"/>
              <w:bottom w:val="single" w:color="auto" w:sz="4" w:space="0"/>
              <w:right w:val="single" w:color="auto" w:sz="4" w:space="0"/>
            </w:tcBorders>
            <w:noWrap w:val="0"/>
            <w:vAlign w:val="top"/>
          </w:tcPr>
          <w:p w14:paraId="4504A012">
            <w:pPr>
              <w:widowControl w:val="0"/>
              <w:spacing w:line="360" w:lineRule="auto"/>
              <w:ind w:firstLine="480" w:firstLineChars="200"/>
              <w:jc w:val="both"/>
              <w:rPr>
                <w:rFonts w:hint="eastAsia" w:ascii="宋体" w:hAnsi="宋体" w:eastAsia="宋体" w:cs="宋体"/>
                <w:color w:val="auto"/>
                <w:kern w:val="2"/>
                <w:sz w:val="24"/>
                <w:szCs w:val="24"/>
                <w:highlight w:val="none"/>
                <w:lang w:val="en-US" w:eastAsia="zh-CN" w:bidi="ar-SA"/>
              </w:rPr>
            </w:pPr>
          </w:p>
        </w:tc>
        <w:tc>
          <w:tcPr>
            <w:tcW w:w="2866" w:type="dxa"/>
            <w:tcBorders>
              <w:top w:val="single" w:color="auto" w:sz="4" w:space="0"/>
              <w:left w:val="nil"/>
              <w:bottom w:val="single" w:color="auto" w:sz="4" w:space="0"/>
              <w:right w:val="single" w:color="auto" w:sz="4" w:space="0"/>
            </w:tcBorders>
            <w:noWrap w:val="0"/>
            <w:vAlign w:val="top"/>
          </w:tcPr>
          <w:p w14:paraId="537B9DDA">
            <w:pPr>
              <w:widowControl/>
              <w:kinsoku w:val="0"/>
              <w:overflowPunct w:val="0"/>
              <w:autoSpaceDE w:val="0"/>
              <w:autoSpaceDN w:val="0"/>
              <w:adjustRightInd w:val="0"/>
              <w:snapToGrid w:val="0"/>
              <w:spacing w:line="360" w:lineRule="auto"/>
              <w:jc w:val="left"/>
              <w:textAlignment w:val="center"/>
              <w:rPr>
                <w:rFonts w:hint="eastAsia" w:ascii="宋体" w:hAnsi="宋体" w:eastAsia="宋体" w:cs="宋体"/>
                <w:snapToGrid w:val="0"/>
                <w:color w:val="auto"/>
                <w:kern w:val="0"/>
                <w:sz w:val="24"/>
                <w:szCs w:val="24"/>
                <w:highlight w:val="none"/>
                <w:lang w:eastAsia="en-US"/>
              </w:rPr>
            </w:pPr>
          </w:p>
        </w:tc>
        <w:tc>
          <w:tcPr>
            <w:tcW w:w="2545" w:type="dxa"/>
            <w:tcBorders>
              <w:top w:val="single" w:color="auto" w:sz="4" w:space="0"/>
              <w:left w:val="nil"/>
              <w:bottom w:val="single" w:color="auto" w:sz="4" w:space="0"/>
              <w:right w:val="single" w:color="auto" w:sz="4" w:space="0"/>
            </w:tcBorders>
            <w:noWrap w:val="0"/>
            <w:vAlign w:val="top"/>
          </w:tcPr>
          <w:p w14:paraId="00ED1157">
            <w:pPr>
              <w:widowControl/>
              <w:kinsoku w:val="0"/>
              <w:overflowPunct w:val="0"/>
              <w:autoSpaceDE w:val="0"/>
              <w:autoSpaceDN w:val="0"/>
              <w:adjustRightInd w:val="0"/>
              <w:snapToGrid w:val="0"/>
              <w:spacing w:line="360" w:lineRule="auto"/>
              <w:jc w:val="left"/>
              <w:textAlignment w:val="center"/>
              <w:rPr>
                <w:rFonts w:hint="eastAsia" w:ascii="宋体" w:hAnsi="宋体" w:eastAsia="宋体" w:cs="宋体"/>
                <w:snapToGrid w:val="0"/>
                <w:color w:val="auto"/>
                <w:kern w:val="0"/>
                <w:sz w:val="24"/>
                <w:szCs w:val="24"/>
                <w:highlight w:val="none"/>
                <w:lang w:eastAsia="en-US"/>
              </w:rPr>
            </w:pPr>
          </w:p>
        </w:tc>
      </w:tr>
      <w:tr w14:paraId="4B8C1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078" w:type="dxa"/>
            <w:tcBorders>
              <w:top w:val="single" w:color="auto" w:sz="4" w:space="0"/>
              <w:left w:val="single" w:color="auto" w:sz="4" w:space="0"/>
              <w:bottom w:val="single" w:color="auto" w:sz="4" w:space="0"/>
              <w:right w:val="single" w:color="auto" w:sz="4" w:space="0"/>
            </w:tcBorders>
            <w:noWrap w:val="0"/>
            <w:vAlign w:val="center"/>
          </w:tcPr>
          <w:p w14:paraId="59237F45">
            <w:pPr>
              <w:widowControl/>
              <w:kinsoku w:val="0"/>
              <w:overflowPunct w:val="0"/>
              <w:autoSpaceDE w:val="0"/>
              <w:autoSpaceDN w:val="0"/>
              <w:adjustRightInd w:val="0"/>
              <w:snapToGrid w:val="0"/>
              <w:spacing w:line="360"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kern w:val="0"/>
                <w:sz w:val="24"/>
                <w:szCs w:val="24"/>
                <w:highlight w:val="none"/>
                <w:lang w:eastAsia="en-US"/>
              </w:rPr>
              <w:t>2</w:t>
            </w:r>
          </w:p>
        </w:tc>
        <w:tc>
          <w:tcPr>
            <w:tcW w:w="2519" w:type="dxa"/>
            <w:tcBorders>
              <w:top w:val="single" w:color="auto" w:sz="4" w:space="0"/>
              <w:left w:val="nil"/>
              <w:bottom w:val="single" w:color="auto" w:sz="4" w:space="0"/>
              <w:right w:val="single" w:color="auto" w:sz="4" w:space="0"/>
            </w:tcBorders>
            <w:noWrap w:val="0"/>
            <w:vAlign w:val="top"/>
          </w:tcPr>
          <w:p w14:paraId="25AC6064">
            <w:pPr>
              <w:widowControl/>
              <w:kinsoku w:val="0"/>
              <w:overflowPunct w:val="0"/>
              <w:autoSpaceDE w:val="0"/>
              <w:autoSpaceDN w:val="0"/>
              <w:adjustRightInd w:val="0"/>
              <w:snapToGrid w:val="0"/>
              <w:spacing w:line="360" w:lineRule="auto"/>
              <w:jc w:val="left"/>
              <w:textAlignment w:val="center"/>
              <w:rPr>
                <w:rFonts w:hint="eastAsia" w:ascii="宋体" w:hAnsi="宋体" w:eastAsia="宋体" w:cs="宋体"/>
                <w:snapToGrid w:val="0"/>
                <w:color w:val="auto"/>
                <w:kern w:val="0"/>
                <w:sz w:val="24"/>
                <w:szCs w:val="24"/>
                <w:highlight w:val="none"/>
                <w:lang w:eastAsia="en-US"/>
              </w:rPr>
            </w:pPr>
          </w:p>
        </w:tc>
        <w:tc>
          <w:tcPr>
            <w:tcW w:w="2866" w:type="dxa"/>
            <w:tcBorders>
              <w:top w:val="single" w:color="auto" w:sz="4" w:space="0"/>
              <w:left w:val="nil"/>
              <w:bottom w:val="single" w:color="auto" w:sz="4" w:space="0"/>
              <w:right w:val="single" w:color="auto" w:sz="4" w:space="0"/>
            </w:tcBorders>
            <w:noWrap w:val="0"/>
            <w:vAlign w:val="top"/>
          </w:tcPr>
          <w:p w14:paraId="3E1E0234">
            <w:pPr>
              <w:widowControl/>
              <w:kinsoku w:val="0"/>
              <w:overflowPunct w:val="0"/>
              <w:autoSpaceDE w:val="0"/>
              <w:autoSpaceDN w:val="0"/>
              <w:adjustRightInd w:val="0"/>
              <w:snapToGrid w:val="0"/>
              <w:spacing w:line="360" w:lineRule="auto"/>
              <w:jc w:val="left"/>
              <w:textAlignment w:val="center"/>
              <w:rPr>
                <w:rFonts w:hint="eastAsia" w:ascii="宋体" w:hAnsi="宋体" w:eastAsia="宋体" w:cs="宋体"/>
                <w:snapToGrid w:val="0"/>
                <w:color w:val="auto"/>
                <w:kern w:val="0"/>
                <w:sz w:val="24"/>
                <w:szCs w:val="24"/>
                <w:highlight w:val="none"/>
                <w:lang w:eastAsia="en-US"/>
              </w:rPr>
            </w:pPr>
          </w:p>
        </w:tc>
        <w:tc>
          <w:tcPr>
            <w:tcW w:w="2545" w:type="dxa"/>
            <w:tcBorders>
              <w:top w:val="single" w:color="auto" w:sz="4" w:space="0"/>
              <w:left w:val="nil"/>
              <w:bottom w:val="single" w:color="auto" w:sz="4" w:space="0"/>
              <w:right w:val="single" w:color="auto" w:sz="4" w:space="0"/>
            </w:tcBorders>
            <w:noWrap w:val="0"/>
            <w:vAlign w:val="top"/>
          </w:tcPr>
          <w:p w14:paraId="25F7F3E5">
            <w:pPr>
              <w:widowControl/>
              <w:kinsoku w:val="0"/>
              <w:overflowPunct w:val="0"/>
              <w:autoSpaceDE w:val="0"/>
              <w:autoSpaceDN w:val="0"/>
              <w:adjustRightInd w:val="0"/>
              <w:snapToGrid w:val="0"/>
              <w:spacing w:line="360" w:lineRule="auto"/>
              <w:jc w:val="left"/>
              <w:textAlignment w:val="center"/>
              <w:rPr>
                <w:rFonts w:hint="eastAsia" w:ascii="宋体" w:hAnsi="宋体" w:eastAsia="宋体" w:cs="宋体"/>
                <w:snapToGrid w:val="0"/>
                <w:color w:val="auto"/>
                <w:kern w:val="0"/>
                <w:sz w:val="24"/>
                <w:szCs w:val="24"/>
                <w:highlight w:val="none"/>
                <w:lang w:eastAsia="en-US"/>
              </w:rPr>
            </w:pPr>
          </w:p>
        </w:tc>
      </w:tr>
      <w:tr w14:paraId="38F82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078" w:type="dxa"/>
            <w:tcBorders>
              <w:top w:val="single" w:color="auto" w:sz="4" w:space="0"/>
              <w:left w:val="single" w:color="auto" w:sz="4" w:space="0"/>
              <w:bottom w:val="single" w:color="auto" w:sz="4" w:space="0"/>
              <w:right w:val="single" w:color="auto" w:sz="4" w:space="0"/>
            </w:tcBorders>
            <w:noWrap w:val="0"/>
            <w:vAlign w:val="center"/>
          </w:tcPr>
          <w:p w14:paraId="0995A45D">
            <w:pPr>
              <w:widowControl/>
              <w:kinsoku w:val="0"/>
              <w:overflowPunct w:val="0"/>
              <w:autoSpaceDE w:val="0"/>
              <w:autoSpaceDN w:val="0"/>
              <w:adjustRightInd w:val="0"/>
              <w:snapToGrid w:val="0"/>
              <w:spacing w:line="360" w:lineRule="auto"/>
              <w:jc w:val="center"/>
              <w:textAlignment w:val="baseline"/>
              <w:rPr>
                <w:rFonts w:hint="eastAsia" w:ascii="宋体" w:hAnsi="宋体" w:eastAsia="宋体" w:cs="宋体"/>
                <w:snapToGrid w:val="0"/>
                <w:color w:val="auto"/>
                <w:kern w:val="0"/>
                <w:sz w:val="24"/>
                <w:szCs w:val="24"/>
                <w:highlight w:val="none"/>
                <w:lang w:eastAsia="en-US"/>
              </w:rPr>
            </w:pPr>
            <w:r>
              <w:rPr>
                <w:rFonts w:hint="eastAsia" w:ascii="宋体" w:hAnsi="宋体" w:eastAsia="宋体" w:cs="宋体"/>
                <w:snapToGrid w:val="0"/>
                <w:color w:val="auto"/>
                <w:kern w:val="0"/>
                <w:sz w:val="24"/>
                <w:szCs w:val="24"/>
                <w:highlight w:val="none"/>
                <w:lang w:eastAsia="en-US"/>
              </w:rPr>
              <w:t>3</w:t>
            </w:r>
          </w:p>
        </w:tc>
        <w:tc>
          <w:tcPr>
            <w:tcW w:w="2519" w:type="dxa"/>
            <w:tcBorders>
              <w:top w:val="single" w:color="auto" w:sz="4" w:space="0"/>
              <w:left w:val="nil"/>
              <w:bottom w:val="single" w:color="auto" w:sz="4" w:space="0"/>
              <w:right w:val="single" w:color="auto" w:sz="4" w:space="0"/>
            </w:tcBorders>
            <w:noWrap w:val="0"/>
            <w:vAlign w:val="top"/>
          </w:tcPr>
          <w:p w14:paraId="453E604F">
            <w:pPr>
              <w:widowControl/>
              <w:kinsoku w:val="0"/>
              <w:overflowPunct w:val="0"/>
              <w:autoSpaceDE w:val="0"/>
              <w:autoSpaceDN w:val="0"/>
              <w:adjustRightInd w:val="0"/>
              <w:snapToGrid w:val="0"/>
              <w:spacing w:line="360" w:lineRule="auto"/>
              <w:jc w:val="left"/>
              <w:textAlignment w:val="center"/>
              <w:rPr>
                <w:rFonts w:hint="eastAsia" w:ascii="宋体" w:hAnsi="宋体" w:eastAsia="宋体" w:cs="宋体"/>
                <w:snapToGrid w:val="0"/>
                <w:color w:val="auto"/>
                <w:kern w:val="0"/>
                <w:sz w:val="24"/>
                <w:szCs w:val="24"/>
                <w:highlight w:val="none"/>
                <w:lang w:eastAsia="en-US"/>
              </w:rPr>
            </w:pPr>
          </w:p>
        </w:tc>
        <w:tc>
          <w:tcPr>
            <w:tcW w:w="2866" w:type="dxa"/>
            <w:tcBorders>
              <w:top w:val="single" w:color="auto" w:sz="4" w:space="0"/>
              <w:left w:val="nil"/>
              <w:bottom w:val="single" w:color="auto" w:sz="4" w:space="0"/>
              <w:right w:val="single" w:color="auto" w:sz="4" w:space="0"/>
            </w:tcBorders>
            <w:noWrap w:val="0"/>
            <w:vAlign w:val="top"/>
          </w:tcPr>
          <w:p w14:paraId="549F2992">
            <w:pPr>
              <w:widowControl/>
              <w:kinsoku w:val="0"/>
              <w:overflowPunct w:val="0"/>
              <w:autoSpaceDE w:val="0"/>
              <w:autoSpaceDN w:val="0"/>
              <w:adjustRightInd w:val="0"/>
              <w:snapToGrid w:val="0"/>
              <w:spacing w:line="360" w:lineRule="auto"/>
              <w:jc w:val="left"/>
              <w:textAlignment w:val="center"/>
              <w:rPr>
                <w:rFonts w:hint="eastAsia" w:ascii="宋体" w:hAnsi="宋体" w:eastAsia="宋体" w:cs="宋体"/>
                <w:snapToGrid w:val="0"/>
                <w:color w:val="auto"/>
                <w:kern w:val="0"/>
                <w:sz w:val="24"/>
                <w:szCs w:val="24"/>
                <w:highlight w:val="none"/>
                <w:lang w:eastAsia="en-US"/>
              </w:rPr>
            </w:pPr>
          </w:p>
        </w:tc>
        <w:tc>
          <w:tcPr>
            <w:tcW w:w="2545" w:type="dxa"/>
            <w:tcBorders>
              <w:top w:val="single" w:color="auto" w:sz="4" w:space="0"/>
              <w:left w:val="nil"/>
              <w:bottom w:val="single" w:color="auto" w:sz="4" w:space="0"/>
              <w:right w:val="single" w:color="auto" w:sz="4" w:space="0"/>
            </w:tcBorders>
            <w:noWrap w:val="0"/>
            <w:vAlign w:val="top"/>
          </w:tcPr>
          <w:p w14:paraId="1D59FE14">
            <w:pPr>
              <w:widowControl/>
              <w:kinsoku w:val="0"/>
              <w:overflowPunct w:val="0"/>
              <w:autoSpaceDE w:val="0"/>
              <w:autoSpaceDN w:val="0"/>
              <w:adjustRightInd w:val="0"/>
              <w:snapToGrid w:val="0"/>
              <w:spacing w:line="360" w:lineRule="auto"/>
              <w:jc w:val="left"/>
              <w:textAlignment w:val="center"/>
              <w:rPr>
                <w:rFonts w:hint="eastAsia" w:ascii="宋体" w:hAnsi="宋体" w:eastAsia="宋体" w:cs="宋体"/>
                <w:snapToGrid w:val="0"/>
                <w:color w:val="auto"/>
                <w:kern w:val="0"/>
                <w:sz w:val="24"/>
                <w:szCs w:val="24"/>
                <w:highlight w:val="none"/>
                <w:lang w:eastAsia="en-US"/>
              </w:rPr>
            </w:pPr>
          </w:p>
        </w:tc>
      </w:tr>
      <w:tr w14:paraId="044BF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78" w:type="dxa"/>
            <w:tcBorders>
              <w:top w:val="single" w:color="auto" w:sz="4" w:space="0"/>
              <w:left w:val="single" w:color="auto" w:sz="4" w:space="0"/>
              <w:bottom w:val="single" w:color="auto" w:sz="4" w:space="0"/>
              <w:right w:val="single" w:color="auto" w:sz="4" w:space="0"/>
            </w:tcBorders>
            <w:noWrap w:val="0"/>
            <w:vAlign w:val="center"/>
          </w:tcPr>
          <w:p w14:paraId="50929D38">
            <w:pPr>
              <w:widowControl/>
              <w:kinsoku w:val="0"/>
              <w:overflowPunct w:val="0"/>
              <w:autoSpaceDE w:val="0"/>
              <w:autoSpaceDN w:val="0"/>
              <w:adjustRightInd w:val="0"/>
              <w:snapToGrid w:val="0"/>
              <w:spacing w:line="360" w:lineRule="auto"/>
              <w:jc w:val="center"/>
              <w:textAlignment w:val="baseline"/>
              <w:rPr>
                <w:rFonts w:hint="eastAsia" w:ascii="宋体" w:hAnsi="宋体" w:eastAsia="宋体" w:cs="宋体"/>
                <w:b/>
                <w:snapToGrid w:val="0"/>
                <w:color w:val="auto"/>
                <w:kern w:val="0"/>
                <w:sz w:val="24"/>
                <w:szCs w:val="24"/>
                <w:highlight w:val="none"/>
                <w:lang w:eastAsia="en-US"/>
              </w:rPr>
            </w:pPr>
            <w:r>
              <w:rPr>
                <w:rFonts w:hint="eastAsia" w:ascii="宋体" w:hAnsi="宋体" w:eastAsia="宋体" w:cs="宋体"/>
                <w:b/>
                <w:snapToGrid w:val="0"/>
                <w:color w:val="auto"/>
                <w:kern w:val="0"/>
                <w:sz w:val="24"/>
                <w:szCs w:val="24"/>
                <w:highlight w:val="none"/>
                <w:lang w:eastAsia="en-US"/>
              </w:rPr>
              <w:t>……….</w:t>
            </w:r>
          </w:p>
        </w:tc>
        <w:tc>
          <w:tcPr>
            <w:tcW w:w="2519" w:type="dxa"/>
            <w:tcBorders>
              <w:top w:val="single" w:color="auto" w:sz="4" w:space="0"/>
              <w:left w:val="nil"/>
              <w:bottom w:val="single" w:color="auto" w:sz="4" w:space="0"/>
              <w:right w:val="single" w:color="auto" w:sz="4" w:space="0"/>
            </w:tcBorders>
            <w:noWrap w:val="0"/>
            <w:vAlign w:val="top"/>
          </w:tcPr>
          <w:p w14:paraId="3A5746B6">
            <w:pPr>
              <w:widowControl/>
              <w:kinsoku w:val="0"/>
              <w:overflowPunct w:val="0"/>
              <w:autoSpaceDE w:val="0"/>
              <w:autoSpaceDN w:val="0"/>
              <w:adjustRightInd w:val="0"/>
              <w:snapToGrid w:val="0"/>
              <w:spacing w:line="360" w:lineRule="auto"/>
              <w:ind w:firstLine="843" w:firstLineChars="350"/>
              <w:jc w:val="left"/>
              <w:textAlignment w:val="center"/>
              <w:rPr>
                <w:rFonts w:hint="eastAsia" w:ascii="宋体" w:hAnsi="宋体" w:eastAsia="宋体" w:cs="宋体"/>
                <w:b/>
                <w:snapToGrid w:val="0"/>
                <w:color w:val="auto"/>
                <w:kern w:val="0"/>
                <w:sz w:val="24"/>
                <w:szCs w:val="24"/>
                <w:highlight w:val="none"/>
                <w:lang w:eastAsia="en-US"/>
              </w:rPr>
            </w:pPr>
            <w:r>
              <w:rPr>
                <w:rFonts w:hint="eastAsia" w:ascii="宋体" w:hAnsi="宋体" w:eastAsia="宋体" w:cs="宋体"/>
                <w:b/>
                <w:snapToGrid w:val="0"/>
                <w:color w:val="auto"/>
                <w:kern w:val="0"/>
                <w:sz w:val="24"/>
                <w:szCs w:val="24"/>
                <w:highlight w:val="none"/>
                <w:lang w:eastAsia="en-US"/>
              </w:rPr>
              <w:t>…………</w:t>
            </w:r>
          </w:p>
        </w:tc>
        <w:tc>
          <w:tcPr>
            <w:tcW w:w="2866" w:type="dxa"/>
            <w:tcBorders>
              <w:top w:val="single" w:color="auto" w:sz="4" w:space="0"/>
              <w:left w:val="nil"/>
              <w:bottom w:val="single" w:color="auto" w:sz="4" w:space="0"/>
              <w:right w:val="single" w:color="auto" w:sz="4" w:space="0"/>
            </w:tcBorders>
            <w:noWrap w:val="0"/>
            <w:vAlign w:val="top"/>
          </w:tcPr>
          <w:p w14:paraId="7EA14150">
            <w:pPr>
              <w:widowControl/>
              <w:kinsoku w:val="0"/>
              <w:overflowPunct w:val="0"/>
              <w:autoSpaceDE w:val="0"/>
              <w:autoSpaceDN w:val="0"/>
              <w:adjustRightInd w:val="0"/>
              <w:snapToGrid w:val="0"/>
              <w:spacing w:line="360" w:lineRule="auto"/>
              <w:ind w:firstLine="482" w:firstLineChars="200"/>
              <w:jc w:val="left"/>
              <w:textAlignment w:val="center"/>
              <w:rPr>
                <w:rFonts w:hint="eastAsia" w:ascii="宋体" w:hAnsi="宋体" w:eastAsia="宋体" w:cs="宋体"/>
                <w:b/>
                <w:snapToGrid w:val="0"/>
                <w:color w:val="auto"/>
                <w:kern w:val="0"/>
                <w:sz w:val="24"/>
                <w:szCs w:val="24"/>
                <w:highlight w:val="none"/>
                <w:lang w:eastAsia="en-US"/>
              </w:rPr>
            </w:pPr>
            <w:r>
              <w:rPr>
                <w:rFonts w:hint="eastAsia" w:ascii="宋体" w:hAnsi="宋体" w:eastAsia="宋体" w:cs="宋体"/>
                <w:b/>
                <w:snapToGrid w:val="0"/>
                <w:color w:val="auto"/>
                <w:kern w:val="0"/>
                <w:sz w:val="24"/>
                <w:szCs w:val="24"/>
                <w:highlight w:val="none"/>
                <w:lang w:eastAsia="en-US"/>
              </w:rPr>
              <w:t>……………</w:t>
            </w:r>
          </w:p>
        </w:tc>
        <w:tc>
          <w:tcPr>
            <w:tcW w:w="2545" w:type="dxa"/>
            <w:tcBorders>
              <w:top w:val="single" w:color="auto" w:sz="4" w:space="0"/>
              <w:left w:val="nil"/>
              <w:bottom w:val="single" w:color="auto" w:sz="4" w:space="0"/>
              <w:right w:val="single" w:color="auto" w:sz="4" w:space="0"/>
            </w:tcBorders>
            <w:noWrap w:val="0"/>
            <w:vAlign w:val="top"/>
          </w:tcPr>
          <w:p w14:paraId="6888138B">
            <w:pPr>
              <w:widowControl/>
              <w:kinsoku w:val="0"/>
              <w:overflowPunct w:val="0"/>
              <w:autoSpaceDE w:val="0"/>
              <w:autoSpaceDN w:val="0"/>
              <w:adjustRightInd w:val="0"/>
              <w:snapToGrid w:val="0"/>
              <w:spacing w:line="360" w:lineRule="auto"/>
              <w:ind w:firstLine="602" w:firstLineChars="250"/>
              <w:jc w:val="left"/>
              <w:textAlignment w:val="center"/>
              <w:rPr>
                <w:rFonts w:hint="eastAsia" w:ascii="宋体" w:hAnsi="宋体" w:eastAsia="宋体" w:cs="宋体"/>
                <w:b/>
                <w:snapToGrid w:val="0"/>
                <w:color w:val="auto"/>
                <w:kern w:val="0"/>
                <w:sz w:val="24"/>
                <w:szCs w:val="24"/>
                <w:highlight w:val="none"/>
                <w:lang w:eastAsia="en-US"/>
              </w:rPr>
            </w:pPr>
          </w:p>
        </w:tc>
      </w:tr>
    </w:tbl>
    <w:p w14:paraId="795DC427">
      <w:pPr>
        <w:widowControl/>
        <w:kinsoku w:val="0"/>
        <w:autoSpaceDE w:val="0"/>
        <w:autoSpaceDN w:val="0"/>
        <w:adjustRightInd w:val="0"/>
        <w:snapToGrid w:val="0"/>
        <w:spacing w:line="360" w:lineRule="auto"/>
        <w:jc w:val="left"/>
        <w:textAlignment w:val="baseline"/>
        <w:outlineLvl w:val="9"/>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lang w:val="en-US" w:eastAsia="zh-CN"/>
        </w:rPr>
        <w:t>1.此表可根据需求自行扩展更改。</w:t>
      </w:r>
    </w:p>
    <w:p w14:paraId="576036DE">
      <w:pPr>
        <w:spacing w:line="360" w:lineRule="auto"/>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2"/>
          <w:sz w:val="24"/>
          <w:szCs w:val="24"/>
          <w:highlight w:val="none"/>
          <w:lang w:val="en-US" w:eastAsia="zh-CN" w:bidi="ar-SA"/>
        </w:rPr>
        <w:t>2.响应</w:t>
      </w:r>
      <w:r>
        <w:rPr>
          <w:rFonts w:hint="eastAsia" w:ascii="宋体" w:hAnsi="宋体" w:eastAsia="宋体" w:cs="宋体"/>
          <w:snapToGrid w:val="0"/>
          <w:color w:val="auto"/>
          <w:kern w:val="0"/>
          <w:sz w:val="24"/>
          <w:szCs w:val="24"/>
          <w:highlight w:val="none"/>
          <w:lang w:eastAsia="en-US"/>
        </w:rPr>
        <w:t>文件</w:t>
      </w:r>
      <w:r>
        <w:rPr>
          <w:rFonts w:hint="eastAsia" w:ascii="宋体" w:hAnsi="宋体" w:eastAsia="宋体" w:cs="宋体"/>
          <w:snapToGrid w:val="0"/>
          <w:color w:val="auto"/>
          <w:kern w:val="0"/>
          <w:sz w:val="24"/>
          <w:szCs w:val="24"/>
          <w:highlight w:val="none"/>
          <w:lang w:val="en-US" w:eastAsia="zh-CN"/>
        </w:rPr>
        <w:t>逐条列明，</w:t>
      </w:r>
      <w:r>
        <w:rPr>
          <w:rFonts w:hint="eastAsia" w:ascii="宋体" w:hAnsi="宋体" w:eastAsia="宋体" w:cs="宋体"/>
          <w:b w:val="0"/>
          <w:bCs w:val="0"/>
          <w:color w:val="auto"/>
          <w:sz w:val="24"/>
          <w:szCs w:val="24"/>
          <w:highlight w:val="none"/>
          <w:lang w:val="en-US" w:eastAsia="zh-CN"/>
        </w:rPr>
        <w:t>采购内容及</w:t>
      </w:r>
      <w:r>
        <w:rPr>
          <w:rFonts w:hint="eastAsia" w:ascii="宋体" w:hAnsi="宋体" w:eastAsia="宋体" w:cs="宋体"/>
          <w:b w:val="0"/>
          <w:bCs w:val="0"/>
          <w:color w:val="auto"/>
          <w:sz w:val="24"/>
          <w:szCs w:val="24"/>
          <w:highlight w:val="none"/>
        </w:rPr>
        <w:t>要求</w:t>
      </w:r>
      <w:r>
        <w:rPr>
          <w:rFonts w:hint="eastAsia" w:ascii="宋体" w:hAnsi="宋体" w:eastAsia="宋体" w:cs="宋体"/>
          <w:snapToGrid w:val="0"/>
          <w:color w:val="auto"/>
          <w:kern w:val="0"/>
          <w:sz w:val="24"/>
          <w:szCs w:val="24"/>
          <w:highlight w:val="none"/>
          <w:lang w:val="en-US" w:eastAsia="zh-CN"/>
        </w:rPr>
        <w:t>必须标注且标注是正偏离、负偏离、无偏离。</w:t>
      </w:r>
    </w:p>
    <w:bookmarkEnd w:id="836"/>
    <w:p w14:paraId="387DB247">
      <w:pPr>
        <w:pStyle w:val="3"/>
        <w:tabs>
          <w:tab w:val="left" w:pos="420"/>
          <w:tab w:val="left" w:pos="840"/>
        </w:tabs>
        <w:spacing w:line="360" w:lineRule="auto"/>
        <w:jc w:val="both"/>
        <w:rPr>
          <w:rFonts w:hint="eastAsia" w:ascii="宋体" w:hAnsi="宋体" w:eastAsia="宋体" w:cs="宋体"/>
          <w:bCs w:val="0"/>
          <w:color w:val="auto"/>
          <w:sz w:val="24"/>
          <w:szCs w:val="24"/>
          <w:highlight w:val="none"/>
        </w:rPr>
      </w:pPr>
    </w:p>
    <w:p w14:paraId="2A0A1B63">
      <w:pPr>
        <w:rPr>
          <w:rFonts w:hint="eastAsia" w:ascii="宋体" w:hAnsi="宋体" w:eastAsia="宋体" w:cs="宋体"/>
          <w:bCs w:val="0"/>
          <w:color w:val="auto"/>
          <w:sz w:val="24"/>
          <w:szCs w:val="24"/>
          <w:highlight w:val="none"/>
        </w:rPr>
      </w:pPr>
      <w:r>
        <w:rPr>
          <w:rFonts w:hint="eastAsia" w:ascii="宋体" w:hAnsi="宋体" w:eastAsia="宋体" w:cs="宋体"/>
          <w:bCs w:val="0"/>
          <w:color w:val="auto"/>
          <w:sz w:val="24"/>
          <w:szCs w:val="24"/>
          <w:highlight w:val="none"/>
        </w:rPr>
        <w:br w:type="page"/>
      </w:r>
    </w:p>
    <w:p w14:paraId="6BFB8076">
      <w:pPr>
        <w:pStyle w:val="3"/>
        <w:tabs>
          <w:tab w:val="left" w:pos="420"/>
          <w:tab w:val="left" w:pos="840"/>
        </w:tabs>
        <w:spacing w:line="360" w:lineRule="auto"/>
        <w:jc w:val="center"/>
        <w:rPr>
          <w:rFonts w:hint="eastAsia" w:ascii="宋体" w:hAnsi="宋体" w:eastAsia="宋体" w:cs="宋体"/>
          <w:bCs w:val="0"/>
          <w:color w:val="auto"/>
          <w:highlight w:val="none"/>
          <w:lang w:val="en-US" w:eastAsia="zh-CN"/>
        </w:rPr>
      </w:pPr>
      <w:bookmarkStart w:id="837" w:name="_Toc29623359"/>
      <w:bookmarkStart w:id="838" w:name="_Toc14958"/>
      <w:r>
        <w:rPr>
          <w:rFonts w:hint="eastAsia" w:ascii="宋体" w:hAnsi="宋体" w:eastAsia="宋体" w:cs="宋体"/>
          <w:bCs w:val="0"/>
          <w:color w:val="auto"/>
          <w:highlight w:val="none"/>
          <w:lang w:val="zh-CN"/>
        </w:rPr>
        <w:t>六、</w:t>
      </w:r>
      <w:r>
        <w:rPr>
          <w:rFonts w:hint="eastAsia" w:ascii="宋体" w:hAnsi="宋体" w:eastAsia="宋体" w:cs="宋体"/>
          <w:bCs w:val="0"/>
          <w:color w:val="auto"/>
          <w:highlight w:val="none"/>
          <w:lang w:val="en-US" w:eastAsia="zh-CN"/>
        </w:rPr>
        <w:t>商务部分</w:t>
      </w:r>
    </w:p>
    <w:p w14:paraId="1E6BC05E">
      <w:pPr>
        <w:pStyle w:val="3"/>
        <w:tabs>
          <w:tab w:val="left" w:pos="420"/>
          <w:tab w:val="left" w:pos="840"/>
        </w:tabs>
        <w:spacing w:line="360" w:lineRule="auto"/>
        <w:jc w:val="both"/>
        <w:rPr>
          <w:rFonts w:hint="eastAsia" w:ascii="宋体" w:hAnsi="宋体" w:eastAsia="宋体" w:cs="宋体"/>
          <w:b w:val="0"/>
          <w:bCs/>
          <w:color w:val="auto"/>
          <w:sz w:val="24"/>
          <w:szCs w:val="24"/>
          <w:highlight w:val="none"/>
          <w:lang w:val="zh-CN"/>
        </w:rPr>
      </w:pPr>
      <w:r>
        <w:rPr>
          <w:rFonts w:hint="eastAsia" w:ascii="宋体" w:hAnsi="宋体" w:eastAsia="宋体" w:cs="宋体"/>
          <w:b w:val="0"/>
          <w:bCs/>
          <w:color w:val="auto"/>
          <w:sz w:val="24"/>
          <w:szCs w:val="24"/>
          <w:highlight w:val="none"/>
          <w:lang w:val="en-US" w:eastAsia="zh-CN"/>
        </w:rPr>
        <w:t>按竞争性磋商文件商务部分评审办法进行编写</w:t>
      </w:r>
    </w:p>
    <w:p w14:paraId="54996C97">
      <w:pPr>
        <w:pStyle w:val="3"/>
        <w:tabs>
          <w:tab w:val="left" w:pos="420"/>
          <w:tab w:val="left" w:pos="840"/>
        </w:tabs>
        <w:spacing w:line="360" w:lineRule="auto"/>
        <w:jc w:val="both"/>
        <w:rPr>
          <w:rFonts w:hint="eastAsia" w:ascii="宋体" w:hAnsi="宋体" w:eastAsia="宋体" w:cs="宋体"/>
          <w:bCs w:val="0"/>
          <w:color w:val="auto"/>
          <w:highlight w:val="none"/>
          <w:lang w:val="zh-CN"/>
        </w:rPr>
      </w:pPr>
    </w:p>
    <w:p w14:paraId="2102D9E6">
      <w:pPr>
        <w:pStyle w:val="3"/>
        <w:tabs>
          <w:tab w:val="left" w:pos="420"/>
          <w:tab w:val="left" w:pos="840"/>
        </w:tabs>
        <w:spacing w:line="360" w:lineRule="auto"/>
        <w:jc w:val="center"/>
        <w:rPr>
          <w:rFonts w:hint="eastAsia" w:ascii="宋体" w:hAnsi="宋体" w:eastAsia="宋体" w:cs="宋体"/>
          <w:bCs w:val="0"/>
          <w:color w:val="auto"/>
          <w:highlight w:val="none"/>
          <w:lang w:val="zh-CN"/>
        </w:rPr>
      </w:pPr>
      <w:r>
        <w:rPr>
          <w:rFonts w:hint="eastAsia" w:ascii="宋体" w:hAnsi="宋体" w:eastAsia="宋体" w:cs="宋体"/>
          <w:bCs w:val="0"/>
          <w:color w:val="auto"/>
          <w:highlight w:val="none"/>
          <w:lang w:val="zh-CN"/>
        </w:rPr>
        <w:t>供应商近年完成的类似项目清单</w:t>
      </w:r>
      <w:bookmarkEnd w:id="837"/>
      <w:bookmarkEnd w:id="838"/>
    </w:p>
    <w:p w14:paraId="12CF4956">
      <w:pPr>
        <w:rPr>
          <w:rFonts w:hint="eastAsia" w:ascii="宋体" w:hAnsi="宋体" w:eastAsia="宋体" w:cs="宋体"/>
          <w:color w:val="auto"/>
          <w:highlight w:val="none"/>
          <w:lang w:val="zh-CN"/>
        </w:rPr>
      </w:pP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9"/>
        <w:gridCol w:w="2969"/>
        <w:gridCol w:w="1782"/>
        <w:gridCol w:w="3063"/>
      </w:tblGrid>
      <w:tr w14:paraId="2D5D5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425255DE">
            <w:pPr>
              <w:jc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2969" w:type="dxa"/>
            <w:noWrap w:val="0"/>
            <w:vAlign w:val="center"/>
          </w:tcPr>
          <w:p w14:paraId="6F3EFFF4">
            <w:pPr>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1782" w:type="dxa"/>
            <w:noWrap w:val="0"/>
            <w:vAlign w:val="center"/>
          </w:tcPr>
          <w:p w14:paraId="7A42E61F">
            <w:pPr>
              <w:jc w:val="center"/>
              <w:rPr>
                <w:rFonts w:hint="eastAsia" w:ascii="宋体" w:hAnsi="宋体" w:eastAsia="宋体" w:cs="宋体"/>
                <w:color w:val="auto"/>
                <w:highlight w:val="none"/>
              </w:rPr>
            </w:pPr>
            <w:r>
              <w:rPr>
                <w:rFonts w:hint="eastAsia" w:ascii="宋体" w:hAnsi="宋体" w:eastAsia="宋体" w:cs="宋体"/>
                <w:color w:val="auto"/>
                <w:highlight w:val="none"/>
              </w:rPr>
              <w:t>实施时间</w:t>
            </w:r>
          </w:p>
        </w:tc>
        <w:tc>
          <w:tcPr>
            <w:tcW w:w="3063" w:type="dxa"/>
            <w:noWrap w:val="0"/>
            <w:vAlign w:val="center"/>
          </w:tcPr>
          <w:p w14:paraId="5F08A151">
            <w:pPr>
              <w:jc w:val="center"/>
              <w:rPr>
                <w:rFonts w:hint="eastAsia" w:ascii="宋体" w:hAnsi="宋体" w:eastAsia="宋体" w:cs="宋体"/>
                <w:color w:val="auto"/>
                <w:highlight w:val="none"/>
              </w:rPr>
            </w:pPr>
            <w:r>
              <w:rPr>
                <w:rFonts w:hint="eastAsia" w:ascii="宋体" w:hAnsi="宋体" w:eastAsia="宋体" w:cs="宋体"/>
                <w:color w:val="auto"/>
                <w:highlight w:val="none"/>
              </w:rPr>
              <w:t>实施单位</w:t>
            </w:r>
          </w:p>
        </w:tc>
      </w:tr>
      <w:tr w14:paraId="2920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64DE3E59">
            <w:pPr>
              <w:jc w:val="center"/>
              <w:rPr>
                <w:rFonts w:hint="eastAsia" w:ascii="宋体" w:hAnsi="宋体" w:eastAsia="宋体" w:cs="宋体"/>
                <w:color w:val="auto"/>
                <w:highlight w:val="none"/>
              </w:rPr>
            </w:pPr>
          </w:p>
        </w:tc>
        <w:tc>
          <w:tcPr>
            <w:tcW w:w="2969" w:type="dxa"/>
            <w:noWrap w:val="0"/>
            <w:vAlign w:val="center"/>
          </w:tcPr>
          <w:p w14:paraId="4B0A2176">
            <w:pPr>
              <w:jc w:val="center"/>
              <w:rPr>
                <w:rFonts w:hint="eastAsia" w:ascii="宋体" w:hAnsi="宋体" w:eastAsia="宋体" w:cs="宋体"/>
                <w:color w:val="auto"/>
                <w:highlight w:val="none"/>
              </w:rPr>
            </w:pPr>
          </w:p>
        </w:tc>
        <w:tc>
          <w:tcPr>
            <w:tcW w:w="1782" w:type="dxa"/>
            <w:noWrap w:val="0"/>
            <w:vAlign w:val="center"/>
          </w:tcPr>
          <w:p w14:paraId="336D248C">
            <w:pPr>
              <w:jc w:val="center"/>
              <w:rPr>
                <w:rFonts w:hint="eastAsia" w:ascii="宋体" w:hAnsi="宋体" w:eastAsia="宋体" w:cs="宋体"/>
                <w:color w:val="auto"/>
                <w:highlight w:val="none"/>
              </w:rPr>
            </w:pPr>
          </w:p>
        </w:tc>
        <w:tc>
          <w:tcPr>
            <w:tcW w:w="3063" w:type="dxa"/>
            <w:noWrap w:val="0"/>
            <w:vAlign w:val="center"/>
          </w:tcPr>
          <w:p w14:paraId="1D0ED622">
            <w:pPr>
              <w:jc w:val="center"/>
              <w:rPr>
                <w:rFonts w:hint="eastAsia" w:ascii="宋体" w:hAnsi="宋体" w:eastAsia="宋体" w:cs="宋体"/>
                <w:color w:val="auto"/>
                <w:highlight w:val="none"/>
              </w:rPr>
            </w:pPr>
          </w:p>
        </w:tc>
      </w:tr>
      <w:tr w14:paraId="31D7E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503F551B">
            <w:pPr>
              <w:jc w:val="center"/>
              <w:rPr>
                <w:rFonts w:hint="eastAsia" w:ascii="宋体" w:hAnsi="宋体" w:eastAsia="宋体" w:cs="宋体"/>
                <w:color w:val="auto"/>
                <w:highlight w:val="none"/>
              </w:rPr>
            </w:pPr>
          </w:p>
        </w:tc>
        <w:tc>
          <w:tcPr>
            <w:tcW w:w="2969" w:type="dxa"/>
            <w:noWrap w:val="0"/>
            <w:vAlign w:val="center"/>
          </w:tcPr>
          <w:p w14:paraId="3E9649AB">
            <w:pPr>
              <w:jc w:val="center"/>
              <w:rPr>
                <w:rFonts w:hint="eastAsia" w:ascii="宋体" w:hAnsi="宋体" w:eastAsia="宋体" w:cs="宋体"/>
                <w:color w:val="auto"/>
                <w:highlight w:val="none"/>
              </w:rPr>
            </w:pPr>
          </w:p>
        </w:tc>
        <w:tc>
          <w:tcPr>
            <w:tcW w:w="1782" w:type="dxa"/>
            <w:noWrap w:val="0"/>
            <w:vAlign w:val="center"/>
          </w:tcPr>
          <w:p w14:paraId="5EB1EA0C">
            <w:pPr>
              <w:jc w:val="center"/>
              <w:rPr>
                <w:rFonts w:hint="eastAsia" w:ascii="宋体" w:hAnsi="宋体" w:eastAsia="宋体" w:cs="宋体"/>
                <w:color w:val="auto"/>
                <w:highlight w:val="none"/>
              </w:rPr>
            </w:pPr>
          </w:p>
        </w:tc>
        <w:tc>
          <w:tcPr>
            <w:tcW w:w="3063" w:type="dxa"/>
            <w:noWrap w:val="0"/>
            <w:vAlign w:val="center"/>
          </w:tcPr>
          <w:p w14:paraId="1289F721">
            <w:pPr>
              <w:jc w:val="center"/>
              <w:rPr>
                <w:rFonts w:hint="eastAsia" w:ascii="宋体" w:hAnsi="宋体" w:eastAsia="宋体" w:cs="宋体"/>
                <w:color w:val="auto"/>
                <w:highlight w:val="none"/>
              </w:rPr>
            </w:pPr>
          </w:p>
        </w:tc>
      </w:tr>
      <w:tr w14:paraId="728F9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54631CA8">
            <w:pPr>
              <w:jc w:val="center"/>
              <w:rPr>
                <w:rFonts w:hint="eastAsia" w:ascii="宋体" w:hAnsi="宋体" w:eastAsia="宋体" w:cs="宋体"/>
                <w:color w:val="auto"/>
                <w:highlight w:val="none"/>
              </w:rPr>
            </w:pPr>
          </w:p>
        </w:tc>
        <w:tc>
          <w:tcPr>
            <w:tcW w:w="2969" w:type="dxa"/>
            <w:noWrap w:val="0"/>
            <w:vAlign w:val="center"/>
          </w:tcPr>
          <w:p w14:paraId="672E9FB7">
            <w:pPr>
              <w:jc w:val="center"/>
              <w:rPr>
                <w:rFonts w:hint="eastAsia" w:ascii="宋体" w:hAnsi="宋体" w:eastAsia="宋体" w:cs="宋体"/>
                <w:color w:val="auto"/>
                <w:highlight w:val="none"/>
              </w:rPr>
            </w:pPr>
          </w:p>
        </w:tc>
        <w:tc>
          <w:tcPr>
            <w:tcW w:w="1782" w:type="dxa"/>
            <w:noWrap w:val="0"/>
            <w:vAlign w:val="center"/>
          </w:tcPr>
          <w:p w14:paraId="5821E697">
            <w:pPr>
              <w:jc w:val="center"/>
              <w:rPr>
                <w:rFonts w:hint="eastAsia" w:ascii="宋体" w:hAnsi="宋体" w:eastAsia="宋体" w:cs="宋体"/>
                <w:color w:val="auto"/>
                <w:highlight w:val="none"/>
              </w:rPr>
            </w:pPr>
          </w:p>
        </w:tc>
        <w:tc>
          <w:tcPr>
            <w:tcW w:w="3063" w:type="dxa"/>
            <w:noWrap w:val="0"/>
            <w:vAlign w:val="center"/>
          </w:tcPr>
          <w:p w14:paraId="54C6A55E">
            <w:pPr>
              <w:jc w:val="center"/>
              <w:rPr>
                <w:rFonts w:hint="eastAsia" w:ascii="宋体" w:hAnsi="宋体" w:eastAsia="宋体" w:cs="宋体"/>
                <w:color w:val="auto"/>
                <w:highlight w:val="none"/>
              </w:rPr>
            </w:pPr>
          </w:p>
        </w:tc>
      </w:tr>
      <w:tr w14:paraId="1A7B6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47AB465E">
            <w:pPr>
              <w:jc w:val="center"/>
              <w:rPr>
                <w:rFonts w:hint="eastAsia" w:ascii="宋体" w:hAnsi="宋体" w:eastAsia="宋体" w:cs="宋体"/>
                <w:color w:val="auto"/>
                <w:highlight w:val="none"/>
              </w:rPr>
            </w:pPr>
          </w:p>
        </w:tc>
        <w:tc>
          <w:tcPr>
            <w:tcW w:w="2969" w:type="dxa"/>
            <w:noWrap w:val="0"/>
            <w:vAlign w:val="center"/>
          </w:tcPr>
          <w:p w14:paraId="271D0CB3">
            <w:pPr>
              <w:jc w:val="center"/>
              <w:rPr>
                <w:rFonts w:hint="eastAsia" w:ascii="宋体" w:hAnsi="宋体" w:eastAsia="宋体" w:cs="宋体"/>
                <w:color w:val="auto"/>
                <w:highlight w:val="none"/>
              </w:rPr>
            </w:pPr>
          </w:p>
        </w:tc>
        <w:tc>
          <w:tcPr>
            <w:tcW w:w="1782" w:type="dxa"/>
            <w:noWrap w:val="0"/>
            <w:vAlign w:val="center"/>
          </w:tcPr>
          <w:p w14:paraId="3BA5D408">
            <w:pPr>
              <w:jc w:val="center"/>
              <w:rPr>
                <w:rFonts w:hint="eastAsia" w:ascii="宋体" w:hAnsi="宋体" w:eastAsia="宋体" w:cs="宋体"/>
                <w:color w:val="auto"/>
                <w:highlight w:val="none"/>
              </w:rPr>
            </w:pPr>
          </w:p>
        </w:tc>
        <w:tc>
          <w:tcPr>
            <w:tcW w:w="3063" w:type="dxa"/>
            <w:noWrap w:val="0"/>
            <w:vAlign w:val="center"/>
          </w:tcPr>
          <w:p w14:paraId="4FA2C3DD">
            <w:pPr>
              <w:jc w:val="center"/>
              <w:rPr>
                <w:rFonts w:hint="eastAsia" w:ascii="宋体" w:hAnsi="宋体" w:eastAsia="宋体" w:cs="宋体"/>
                <w:color w:val="auto"/>
                <w:highlight w:val="none"/>
              </w:rPr>
            </w:pPr>
          </w:p>
        </w:tc>
      </w:tr>
      <w:tr w14:paraId="6336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091C760D">
            <w:pPr>
              <w:jc w:val="center"/>
              <w:rPr>
                <w:rFonts w:hint="eastAsia" w:ascii="宋体" w:hAnsi="宋体" w:eastAsia="宋体" w:cs="宋体"/>
                <w:color w:val="auto"/>
                <w:highlight w:val="none"/>
              </w:rPr>
            </w:pPr>
          </w:p>
        </w:tc>
        <w:tc>
          <w:tcPr>
            <w:tcW w:w="2969" w:type="dxa"/>
            <w:noWrap w:val="0"/>
            <w:vAlign w:val="center"/>
          </w:tcPr>
          <w:p w14:paraId="076F3B0A">
            <w:pPr>
              <w:jc w:val="center"/>
              <w:rPr>
                <w:rFonts w:hint="eastAsia" w:ascii="宋体" w:hAnsi="宋体" w:eastAsia="宋体" w:cs="宋体"/>
                <w:color w:val="auto"/>
                <w:highlight w:val="none"/>
              </w:rPr>
            </w:pPr>
          </w:p>
        </w:tc>
        <w:tc>
          <w:tcPr>
            <w:tcW w:w="1782" w:type="dxa"/>
            <w:noWrap w:val="0"/>
            <w:vAlign w:val="center"/>
          </w:tcPr>
          <w:p w14:paraId="35727694">
            <w:pPr>
              <w:jc w:val="center"/>
              <w:rPr>
                <w:rFonts w:hint="eastAsia" w:ascii="宋体" w:hAnsi="宋体" w:eastAsia="宋体" w:cs="宋体"/>
                <w:color w:val="auto"/>
                <w:highlight w:val="none"/>
              </w:rPr>
            </w:pPr>
          </w:p>
        </w:tc>
        <w:tc>
          <w:tcPr>
            <w:tcW w:w="3063" w:type="dxa"/>
            <w:noWrap w:val="0"/>
            <w:vAlign w:val="center"/>
          </w:tcPr>
          <w:p w14:paraId="084FC5DB">
            <w:pPr>
              <w:jc w:val="center"/>
              <w:rPr>
                <w:rFonts w:hint="eastAsia" w:ascii="宋体" w:hAnsi="宋体" w:eastAsia="宋体" w:cs="宋体"/>
                <w:color w:val="auto"/>
                <w:highlight w:val="none"/>
              </w:rPr>
            </w:pPr>
          </w:p>
        </w:tc>
      </w:tr>
      <w:tr w14:paraId="10383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72A5285B">
            <w:pPr>
              <w:jc w:val="center"/>
              <w:rPr>
                <w:rFonts w:hint="eastAsia" w:ascii="宋体" w:hAnsi="宋体" w:eastAsia="宋体" w:cs="宋体"/>
                <w:color w:val="auto"/>
                <w:highlight w:val="none"/>
              </w:rPr>
            </w:pPr>
          </w:p>
        </w:tc>
        <w:tc>
          <w:tcPr>
            <w:tcW w:w="2969" w:type="dxa"/>
            <w:noWrap w:val="0"/>
            <w:vAlign w:val="center"/>
          </w:tcPr>
          <w:p w14:paraId="7AF160E9">
            <w:pPr>
              <w:jc w:val="center"/>
              <w:rPr>
                <w:rFonts w:hint="eastAsia" w:ascii="宋体" w:hAnsi="宋体" w:eastAsia="宋体" w:cs="宋体"/>
                <w:color w:val="auto"/>
                <w:highlight w:val="none"/>
              </w:rPr>
            </w:pPr>
          </w:p>
        </w:tc>
        <w:tc>
          <w:tcPr>
            <w:tcW w:w="1782" w:type="dxa"/>
            <w:noWrap w:val="0"/>
            <w:vAlign w:val="center"/>
          </w:tcPr>
          <w:p w14:paraId="33B2D402">
            <w:pPr>
              <w:jc w:val="center"/>
              <w:rPr>
                <w:rFonts w:hint="eastAsia" w:ascii="宋体" w:hAnsi="宋体" w:eastAsia="宋体" w:cs="宋体"/>
                <w:color w:val="auto"/>
                <w:highlight w:val="none"/>
              </w:rPr>
            </w:pPr>
          </w:p>
        </w:tc>
        <w:tc>
          <w:tcPr>
            <w:tcW w:w="3063" w:type="dxa"/>
            <w:noWrap w:val="0"/>
            <w:vAlign w:val="center"/>
          </w:tcPr>
          <w:p w14:paraId="1895E959">
            <w:pPr>
              <w:jc w:val="center"/>
              <w:rPr>
                <w:rFonts w:hint="eastAsia" w:ascii="宋体" w:hAnsi="宋体" w:eastAsia="宋体" w:cs="宋体"/>
                <w:color w:val="auto"/>
                <w:highlight w:val="none"/>
              </w:rPr>
            </w:pPr>
          </w:p>
        </w:tc>
      </w:tr>
      <w:tr w14:paraId="3BB1F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1A5D4AC1">
            <w:pPr>
              <w:jc w:val="center"/>
              <w:rPr>
                <w:rFonts w:hint="eastAsia" w:ascii="宋体" w:hAnsi="宋体" w:eastAsia="宋体" w:cs="宋体"/>
                <w:color w:val="auto"/>
                <w:highlight w:val="none"/>
              </w:rPr>
            </w:pPr>
          </w:p>
        </w:tc>
        <w:tc>
          <w:tcPr>
            <w:tcW w:w="2969" w:type="dxa"/>
            <w:noWrap w:val="0"/>
            <w:vAlign w:val="center"/>
          </w:tcPr>
          <w:p w14:paraId="1715C402">
            <w:pPr>
              <w:jc w:val="center"/>
              <w:rPr>
                <w:rFonts w:hint="eastAsia" w:ascii="宋体" w:hAnsi="宋体" w:eastAsia="宋体" w:cs="宋体"/>
                <w:color w:val="auto"/>
                <w:highlight w:val="none"/>
              </w:rPr>
            </w:pPr>
          </w:p>
        </w:tc>
        <w:tc>
          <w:tcPr>
            <w:tcW w:w="1782" w:type="dxa"/>
            <w:noWrap w:val="0"/>
            <w:vAlign w:val="center"/>
          </w:tcPr>
          <w:p w14:paraId="1419213F">
            <w:pPr>
              <w:jc w:val="center"/>
              <w:rPr>
                <w:rFonts w:hint="eastAsia" w:ascii="宋体" w:hAnsi="宋体" w:eastAsia="宋体" w:cs="宋体"/>
                <w:color w:val="auto"/>
                <w:highlight w:val="none"/>
              </w:rPr>
            </w:pPr>
          </w:p>
        </w:tc>
        <w:tc>
          <w:tcPr>
            <w:tcW w:w="3063" w:type="dxa"/>
            <w:noWrap w:val="0"/>
            <w:vAlign w:val="center"/>
          </w:tcPr>
          <w:p w14:paraId="3D8143F9">
            <w:pPr>
              <w:jc w:val="center"/>
              <w:rPr>
                <w:rFonts w:hint="eastAsia" w:ascii="宋体" w:hAnsi="宋体" w:eastAsia="宋体" w:cs="宋体"/>
                <w:color w:val="auto"/>
                <w:highlight w:val="none"/>
              </w:rPr>
            </w:pPr>
          </w:p>
        </w:tc>
      </w:tr>
      <w:tr w14:paraId="6D981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7B7A6039">
            <w:pPr>
              <w:jc w:val="center"/>
              <w:rPr>
                <w:rFonts w:hint="eastAsia" w:ascii="宋体" w:hAnsi="宋体" w:eastAsia="宋体" w:cs="宋体"/>
                <w:color w:val="auto"/>
                <w:highlight w:val="none"/>
              </w:rPr>
            </w:pPr>
          </w:p>
        </w:tc>
        <w:tc>
          <w:tcPr>
            <w:tcW w:w="2969" w:type="dxa"/>
            <w:noWrap w:val="0"/>
            <w:vAlign w:val="center"/>
          </w:tcPr>
          <w:p w14:paraId="057258E1">
            <w:pPr>
              <w:jc w:val="center"/>
              <w:rPr>
                <w:rFonts w:hint="eastAsia" w:ascii="宋体" w:hAnsi="宋体" w:eastAsia="宋体" w:cs="宋体"/>
                <w:color w:val="auto"/>
                <w:highlight w:val="none"/>
              </w:rPr>
            </w:pPr>
          </w:p>
        </w:tc>
        <w:tc>
          <w:tcPr>
            <w:tcW w:w="1782" w:type="dxa"/>
            <w:noWrap w:val="0"/>
            <w:vAlign w:val="center"/>
          </w:tcPr>
          <w:p w14:paraId="5ACB84EF">
            <w:pPr>
              <w:jc w:val="center"/>
              <w:rPr>
                <w:rFonts w:hint="eastAsia" w:ascii="宋体" w:hAnsi="宋体" w:eastAsia="宋体" w:cs="宋体"/>
                <w:color w:val="auto"/>
                <w:highlight w:val="none"/>
              </w:rPr>
            </w:pPr>
          </w:p>
        </w:tc>
        <w:tc>
          <w:tcPr>
            <w:tcW w:w="3063" w:type="dxa"/>
            <w:noWrap w:val="0"/>
            <w:vAlign w:val="center"/>
          </w:tcPr>
          <w:p w14:paraId="183D3230">
            <w:pPr>
              <w:jc w:val="center"/>
              <w:rPr>
                <w:rFonts w:hint="eastAsia" w:ascii="宋体" w:hAnsi="宋体" w:eastAsia="宋体" w:cs="宋体"/>
                <w:color w:val="auto"/>
                <w:highlight w:val="none"/>
              </w:rPr>
            </w:pPr>
          </w:p>
        </w:tc>
      </w:tr>
      <w:tr w14:paraId="01E13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111ABA8C">
            <w:pPr>
              <w:jc w:val="center"/>
              <w:rPr>
                <w:rFonts w:hint="eastAsia" w:ascii="宋体" w:hAnsi="宋体" w:eastAsia="宋体" w:cs="宋体"/>
                <w:color w:val="auto"/>
                <w:highlight w:val="none"/>
              </w:rPr>
            </w:pPr>
          </w:p>
        </w:tc>
        <w:tc>
          <w:tcPr>
            <w:tcW w:w="2969" w:type="dxa"/>
            <w:noWrap w:val="0"/>
            <w:vAlign w:val="center"/>
          </w:tcPr>
          <w:p w14:paraId="6F7A7258">
            <w:pPr>
              <w:jc w:val="center"/>
              <w:rPr>
                <w:rFonts w:hint="eastAsia" w:ascii="宋体" w:hAnsi="宋体" w:eastAsia="宋体" w:cs="宋体"/>
                <w:color w:val="auto"/>
                <w:highlight w:val="none"/>
              </w:rPr>
            </w:pPr>
          </w:p>
        </w:tc>
        <w:tc>
          <w:tcPr>
            <w:tcW w:w="1782" w:type="dxa"/>
            <w:noWrap w:val="0"/>
            <w:vAlign w:val="center"/>
          </w:tcPr>
          <w:p w14:paraId="6FCAA28D">
            <w:pPr>
              <w:jc w:val="center"/>
              <w:rPr>
                <w:rFonts w:hint="eastAsia" w:ascii="宋体" w:hAnsi="宋体" w:eastAsia="宋体" w:cs="宋体"/>
                <w:color w:val="auto"/>
                <w:highlight w:val="none"/>
              </w:rPr>
            </w:pPr>
          </w:p>
        </w:tc>
        <w:tc>
          <w:tcPr>
            <w:tcW w:w="3063" w:type="dxa"/>
            <w:noWrap w:val="0"/>
            <w:vAlign w:val="center"/>
          </w:tcPr>
          <w:p w14:paraId="4B248E22">
            <w:pPr>
              <w:jc w:val="center"/>
              <w:rPr>
                <w:rFonts w:hint="eastAsia" w:ascii="宋体" w:hAnsi="宋体" w:eastAsia="宋体" w:cs="宋体"/>
                <w:color w:val="auto"/>
                <w:highlight w:val="none"/>
              </w:rPr>
            </w:pPr>
          </w:p>
        </w:tc>
      </w:tr>
      <w:tr w14:paraId="2CACF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9" w:type="dxa"/>
            <w:noWrap w:val="0"/>
            <w:vAlign w:val="center"/>
          </w:tcPr>
          <w:p w14:paraId="6E3E47AE">
            <w:pPr>
              <w:jc w:val="center"/>
              <w:rPr>
                <w:rFonts w:hint="eastAsia" w:ascii="宋体" w:hAnsi="宋体" w:eastAsia="宋体" w:cs="宋体"/>
                <w:color w:val="auto"/>
                <w:highlight w:val="none"/>
              </w:rPr>
            </w:pPr>
          </w:p>
        </w:tc>
        <w:tc>
          <w:tcPr>
            <w:tcW w:w="2969" w:type="dxa"/>
            <w:noWrap w:val="0"/>
            <w:vAlign w:val="center"/>
          </w:tcPr>
          <w:p w14:paraId="0095948E">
            <w:pPr>
              <w:jc w:val="center"/>
              <w:rPr>
                <w:rFonts w:hint="eastAsia" w:ascii="宋体" w:hAnsi="宋体" w:eastAsia="宋体" w:cs="宋体"/>
                <w:color w:val="auto"/>
                <w:highlight w:val="none"/>
              </w:rPr>
            </w:pPr>
          </w:p>
        </w:tc>
        <w:tc>
          <w:tcPr>
            <w:tcW w:w="1782" w:type="dxa"/>
            <w:noWrap w:val="0"/>
            <w:vAlign w:val="center"/>
          </w:tcPr>
          <w:p w14:paraId="166B3A3B">
            <w:pPr>
              <w:jc w:val="center"/>
              <w:rPr>
                <w:rFonts w:hint="eastAsia" w:ascii="宋体" w:hAnsi="宋体" w:eastAsia="宋体" w:cs="宋体"/>
                <w:color w:val="auto"/>
                <w:highlight w:val="none"/>
              </w:rPr>
            </w:pPr>
          </w:p>
        </w:tc>
        <w:tc>
          <w:tcPr>
            <w:tcW w:w="3063" w:type="dxa"/>
            <w:noWrap w:val="0"/>
            <w:vAlign w:val="center"/>
          </w:tcPr>
          <w:p w14:paraId="7255D13E">
            <w:pPr>
              <w:jc w:val="center"/>
              <w:rPr>
                <w:rFonts w:hint="eastAsia" w:ascii="宋体" w:hAnsi="宋体" w:eastAsia="宋体" w:cs="宋体"/>
                <w:color w:val="auto"/>
                <w:highlight w:val="none"/>
              </w:rPr>
            </w:pPr>
          </w:p>
        </w:tc>
      </w:tr>
    </w:tbl>
    <w:p w14:paraId="71057320">
      <w:pPr>
        <w:spacing w:line="360" w:lineRule="auto"/>
        <w:rPr>
          <w:rFonts w:hint="eastAsia" w:ascii="宋体" w:hAnsi="宋体" w:eastAsia="宋体" w:cs="宋体"/>
          <w:color w:val="auto"/>
          <w:highlight w:val="none"/>
        </w:rPr>
      </w:pPr>
      <w:r>
        <w:rPr>
          <w:rFonts w:hint="eastAsia" w:ascii="宋体" w:hAnsi="宋体" w:eastAsia="宋体" w:cs="宋体"/>
          <w:color w:val="auto"/>
          <w:highlight w:val="none"/>
        </w:rPr>
        <w:t>注：供应商所列项目清单必须真实。时间要求为</w:t>
      </w:r>
      <w:r>
        <w:rPr>
          <w:rFonts w:hint="eastAsia" w:ascii="宋体" w:hAnsi="宋体" w:eastAsia="宋体" w:cs="宋体"/>
          <w:color w:val="auto"/>
          <w:highlight w:val="none"/>
          <w:u w:val="single"/>
        </w:rPr>
        <w:t>20</w:t>
      </w:r>
      <w:r>
        <w:rPr>
          <w:rFonts w:hint="eastAsia" w:ascii="宋体" w:hAnsi="宋体" w:eastAsia="宋体" w:cs="宋体"/>
          <w:color w:val="auto"/>
          <w:highlight w:val="none"/>
          <w:u w:val="single"/>
          <w:lang w:val="en-US" w:eastAsia="zh-CN"/>
        </w:rPr>
        <w:t>22</w:t>
      </w:r>
      <w:r>
        <w:rPr>
          <w:rFonts w:hint="eastAsia" w:ascii="宋体" w:hAnsi="宋体" w:eastAsia="宋体" w:cs="宋体"/>
          <w:color w:val="auto"/>
          <w:highlight w:val="none"/>
        </w:rPr>
        <w:t>年</w:t>
      </w:r>
      <w:r>
        <w:rPr>
          <w:rFonts w:hint="eastAsia" w:ascii="宋体" w:hAnsi="宋体" w:eastAsia="宋体" w:cs="宋体"/>
          <w:color w:val="auto"/>
          <w:highlight w:val="none"/>
          <w:u w:val="single"/>
        </w:rPr>
        <w:t xml:space="preserve"> 1 </w:t>
      </w:r>
      <w:r>
        <w:rPr>
          <w:rFonts w:hint="eastAsia" w:ascii="宋体" w:hAnsi="宋体" w:eastAsia="宋体" w:cs="宋体"/>
          <w:color w:val="auto"/>
          <w:highlight w:val="none"/>
        </w:rPr>
        <w:t>月</w:t>
      </w:r>
      <w:r>
        <w:rPr>
          <w:rFonts w:hint="eastAsia" w:ascii="宋体" w:hAnsi="宋体" w:eastAsia="宋体" w:cs="宋体"/>
          <w:color w:val="auto"/>
          <w:highlight w:val="none"/>
          <w:u w:val="single"/>
        </w:rPr>
        <w:t xml:space="preserve"> 1 </w:t>
      </w:r>
      <w:r>
        <w:rPr>
          <w:rFonts w:hint="eastAsia" w:ascii="宋体" w:hAnsi="宋体" w:eastAsia="宋体" w:cs="宋体"/>
          <w:color w:val="auto"/>
          <w:highlight w:val="none"/>
        </w:rPr>
        <w:t>日以来（以合同签订时间为准），应附</w:t>
      </w:r>
      <w:r>
        <w:rPr>
          <w:rFonts w:hint="eastAsia" w:ascii="宋体" w:hAnsi="宋体" w:eastAsia="宋体" w:cs="宋体"/>
          <w:b/>
          <w:bCs/>
          <w:color w:val="auto"/>
          <w:highlight w:val="none"/>
          <w:u w:val="single"/>
        </w:rPr>
        <w:t>合同协议书原件扫描件（或图片）</w:t>
      </w:r>
      <w:r>
        <w:rPr>
          <w:rFonts w:hint="eastAsia" w:ascii="宋体" w:hAnsi="宋体" w:eastAsia="宋体" w:cs="宋体"/>
          <w:color w:val="auto"/>
          <w:highlight w:val="none"/>
        </w:rPr>
        <w:t>， 要求清晰可见。</w:t>
      </w:r>
    </w:p>
    <w:p w14:paraId="6883DF0E">
      <w:pPr>
        <w:spacing w:line="360" w:lineRule="auto"/>
        <w:rPr>
          <w:rFonts w:hint="eastAsia" w:ascii="宋体" w:hAnsi="宋体" w:eastAsia="宋体" w:cs="宋体"/>
          <w:color w:val="auto"/>
          <w:highlight w:val="none"/>
        </w:rPr>
      </w:pPr>
    </w:p>
    <w:p w14:paraId="4005CBAD">
      <w:pPr>
        <w:rPr>
          <w:rFonts w:hint="eastAsia" w:ascii="宋体" w:hAnsi="宋体" w:eastAsia="宋体" w:cs="宋体"/>
          <w:color w:val="auto"/>
          <w:sz w:val="24"/>
          <w:highlight w:val="none"/>
        </w:rPr>
      </w:pPr>
    </w:p>
    <w:p w14:paraId="04561960">
      <w:pPr>
        <w:rPr>
          <w:rFonts w:hint="eastAsia" w:ascii="宋体" w:hAnsi="宋体" w:eastAsia="宋体" w:cs="宋体"/>
          <w:color w:val="auto"/>
          <w:sz w:val="24"/>
          <w:highlight w:val="none"/>
        </w:rPr>
      </w:pPr>
    </w:p>
    <w:p w14:paraId="01A973FA">
      <w:pPr>
        <w:rPr>
          <w:rFonts w:hint="eastAsia" w:ascii="宋体" w:hAnsi="宋体" w:eastAsia="宋体" w:cs="宋体"/>
          <w:color w:val="auto"/>
          <w:highlight w:val="none"/>
        </w:rPr>
      </w:pPr>
    </w:p>
    <w:p w14:paraId="2212D95A">
      <w:pPr>
        <w:rPr>
          <w:rFonts w:hint="eastAsia" w:ascii="宋体" w:hAnsi="宋体" w:eastAsia="宋体" w:cs="宋体"/>
          <w:color w:val="auto"/>
          <w:highlight w:val="none"/>
        </w:rPr>
      </w:pPr>
      <w:bookmarkStart w:id="839" w:name="_Toc8720"/>
      <w:bookmarkStart w:id="840" w:name="_Toc13712"/>
    </w:p>
    <w:p w14:paraId="449572CA">
      <w:pPr>
        <w:pStyle w:val="3"/>
        <w:tabs>
          <w:tab w:val="left" w:pos="420"/>
          <w:tab w:val="left" w:pos="840"/>
        </w:tabs>
        <w:spacing w:line="360" w:lineRule="auto"/>
        <w:ind w:left="420"/>
        <w:jc w:val="center"/>
        <w:rPr>
          <w:rFonts w:hint="eastAsia" w:ascii="宋体" w:hAnsi="宋体" w:eastAsia="宋体" w:cs="宋体"/>
          <w:color w:val="auto"/>
          <w:highlight w:val="none"/>
        </w:rPr>
      </w:pPr>
      <w:r>
        <w:rPr>
          <w:rFonts w:hint="eastAsia" w:ascii="宋体" w:hAnsi="宋体" w:eastAsia="宋体" w:cs="宋体"/>
          <w:bCs w:val="0"/>
          <w:color w:val="auto"/>
          <w:highlight w:val="none"/>
          <w:lang w:val="zh-CN"/>
        </w:rPr>
        <w:br w:type="page"/>
      </w:r>
      <w:bookmarkStart w:id="841" w:name="_Toc9453"/>
      <w:bookmarkStart w:id="842" w:name="_Toc17039"/>
      <w:bookmarkStart w:id="843" w:name="_Toc29623360"/>
      <w:r>
        <w:rPr>
          <w:rFonts w:hint="eastAsia" w:ascii="宋体" w:hAnsi="宋体" w:eastAsia="宋体" w:cs="宋体"/>
          <w:bCs w:val="0"/>
          <w:color w:val="auto"/>
          <w:highlight w:val="none"/>
          <w:lang w:val="zh-CN"/>
        </w:rPr>
        <w:t>七、人员配备状况</w:t>
      </w:r>
      <w:bookmarkEnd w:id="841"/>
      <w:bookmarkEnd w:id="842"/>
      <w:bookmarkEnd w:id="843"/>
    </w:p>
    <w:p w14:paraId="6B7A8804">
      <w:pPr>
        <w:pStyle w:val="4"/>
        <w:numPr>
          <w:ilvl w:val="0"/>
          <w:numId w:val="18"/>
        </w:numPr>
        <w:wordWrap/>
        <w:topLinePunct w:val="0"/>
        <w:jc w:val="center"/>
        <w:rPr>
          <w:rFonts w:hint="eastAsia" w:ascii="宋体" w:hAnsi="宋体" w:eastAsia="宋体" w:cs="宋体"/>
          <w:bCs w:val="0"/>
          <w:color w:val="auto"/>
          <w:highlight w:val="none"/>
          <w:lang w:val="zh-CN"/>
        </w:rPr>
      </w:pPr>
      <w:bookmarkStart w:id="844" w:name="_Toc29623361"/>
      <w:r>
        <w:rPr>
          <w:rFonts w:hint="eastAsia" w:ascii="宋体" w:hAnsi="宋体" w:eastAsia="宋体" w:cs="宋体"/>
          <w:bCs w:val="0"/>
          <w:color w:val="auto"/>
          <w:highlight w:val="none"/>
          <w:lang w:val="zh-CN"/>
        </w:rPr>
        <w:t>拟派主要人员汇总表</w:t>
      </w:r>
      <w:bookmarkEnd w:id="844"/>
    </w:p>
    <w:tbl>
      <w:tblPr>
        <w:tblStyle w:val="23"/>
        <w:tblW w:w="0" w:type="auto"/>
        <w:tblInd w:w="3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1372"/>
        <w:gridCol w:w="1282"/>
        <w:gridCol w:w="1282"/>
        <w:gridCol w:w="1282"/>
        <w:gridCol w:w="1816"/>
        <w:gridCol w:w="1184"/>
      </w:tblGrid>
      <w:tr w14:paraId="372F9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27A02182">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序号</w:t>
            </w:r>
          </w:p>
        </w:tc>
        <w:tc>
          <w:tcPr>
            <w:tcW w:w="1372" w:type="dxa"/>
            <w:tcBorders>
              <w:top w:val="single" w:color="auto" w:sz="4" w:space="0"/>
              <w:left w:val="nil"/>
              <w:bottom w:val="single" w:color="auto" w:sz="4" w:space="0"/>
              <w:right w:val="single" w:color="auto" w:sz="4" w:space="0"/>
            </w:tcBorders>
            <w:noWrap w:val="0"/>
            <w:vAlign w:val="center"/>
          </w:tcPr>
          <w:p w14:paraId="3B5F1D94">
            <w:pPr>
              <w:spacing w:line="360" w:lineRule="auto"/>
              <w:ind w:left="154"/>
              <w:jc w:val="center"/>
              <w:rPr>
                <w:rFonts w:hint="eastAsia" w:ascii="宋体" w:hAnsi="宋体" w:eastAsia="宋体" w:cs="宋体"/>
                <w:color w:val="auto"/>
                <w:highlight w:val="none"/>
              </w:rPr>
            </w:pPr>
            <w:r>
              <w:rPr>
                <w:rFonts w:hint="eastAsia" w:ascii="宋体" w:hAnsi="宋体" w:eastAsia="宋体" w:cs="宋体"/>
                <w:color w:val="auto"/>
                <w:highlight w:val="none"/>
              </w:rPr>
              <w:t>职务</w:t>
            </w:r>
          </w:p>
        </w:tc>
        <w:tc>
          <w:tcPr>
            <w:tcW w:w="1282" w:type="dxa"/>
            <w:tcBorders>
              <w:top w:val="single" w:color="auto" w:sz="4" w:space="0"/>
              <w:left w:val="nil"/>
              <w:bottom w:val="single" w:color="auto" w:sz="4" w:space="0"/>
              <w:right w:val="single" w:color="auto" w:sz="4" w:space="0"/>
            </w:tcBorders>
            <w:noWrap w:val="0"/>
            <w:vAlign w:val="center"/>
          </w:tcPr>
          <w:p w14:paraId="20711127">
            <w:pPr>
              <w:spacing w:line="360" w:lineRule="auto"/>
              <w:ind w:left="154"/>
              <w:jc w:val="center"/>
              <w:rPr>
                <w:rFonts w:hint="eastAsia" w:ascii="宋体" w:hAnsi="宋体" w:eastAsia="宋体" w:cs="宋体"/>
                <w:color w:val="auto"/>
                <w:highlight w:val="none"/>
              </w:rPr>
            </w:pPr>
            <w:r>
              <w:rPr>
                <w:rFonts w:hint="eastAsia" w:ascii="宋体" w:hAnsi="宋体" w:eastAsia="宋体" w:cs="宋体"/>
                <w:color w:val="auto"/>
                <w:highlight w:val="none"/>
              </w:rPr>
              <w:t>姓名</w:t>
            </w:r>
          </w:p>
        </w:tc>
        <w:tc>
          <w:tcPr>
            <w:tcW w:w="1282" w:type="dxa"/>
            <w:tcBorders>
              <w:top w:val="single" w:color="auto" w:sz="4" w:space="0"/>
              <w:left w:val="nil"/>
              <w:bottom w:val="single" w:color="auto" w:sz="4" w:space="0"/>
              <w:right w:val="single" w:color="auto" w:sz="4" w:space="0"/>
            </w:tcBorders>
            <w:noWrap w:val="0"/>
            <w:vAlign w:val="center"/>
          </w:tcPr>
          <w:p w14:paraId="1D5C2237">
            <w:pPr>
              <w:spacing w:line="360" w:lineRule="auto"/>
              <w:ind w:left="154"/>
              <w:jc w:val="center"/>
              <w:rPr>
                <w:rFonts w:hint="eastAsia" w:ascii="宋体" w:hAnsi="宋体" w:eastAsia="宋体" w:cs="宋体"/>
                <w:color w:val="auto"/>
                <w:highlight w:val="none"/>
              </w:rPr>
            </w:pPr>
            <w:r>
              <w:rPr>
                <w:rFonts w:hint="eastAsia" w:ascii="宋体" w:hAnsi="宋体" w:eastAsia="宋体" w:cs="宋体"/>
                <w:color w:val="auto"/>
                <w:highlight w:val="none"/>
              </w:rPr>
              <w:t>身份证号</w:t>
            </w:r>
          </w:p>
        </w:tc>
        <w:tc>
          <w:tcPr>
            <w:tcW w:w="1282" w:type="dxa"/>
            <w:tcBorders>
              <w:top w:val="single" w:color="auto" w:sz="4" w:space="0"/>
              <w:left w:val="nil"/>
              <w:bottom w:val="single" w:color="auto" w:sz="4" w:space="0"/>
              <w:right w:val="single" w:color="auto" w:sz="4" w:space="0"/>
            </w:tcBorders>
            <w:noWrap w:val="0"/>
            <w:vAlign w:val="center"/>
          </w:tcPr>
          <w:p w14:paraId="2436E058">
            <w:pPr>
              <w:spacing w:line="360" w:lineRule="auto"/>
              <w:ind w:left="154"/>
              <w:jc w:val="center"/>
              <w:rPr>
                <w:rFonts w:hint="eastAsia" w:ascii="宋体" w:hAnsi="宋体" w:eastAsia="宋体" w:cs="宋体"/>
                <w:color w:val="auto"/>
                <w:highlight w:val="none"/>
              </w:rPr>
            </w:pPr>
            <w:r>
              <w:rPr>
                <w:rFonts w:hint="eastAsia" w:ascii="宋体" w:hAnsi="宋体" w:eastAsia="宋体" w:cs="宋体"/>
                <w:color w:val="auto"/>
                <w:highlight w:val="none"/>
              </w:rPr>
              <w:t>联系电话</w:t>
            </w:r>
          </w:p>
        </w:tc>
        <w:tc>
          <w:tcPr>
            <w:tcW w:w="1816" w:type="dxa"/>
            <w:tcBorders>
              <w:top w:val="single" w:color="auto" w:sz="4" w:space="0"/>
              <w:left w:val="nil"/>
              <w:bottom w:val="single" w:color="auto" w:sz="4" w:space="0"/>
              <w:right w:val="single" w:color="auto" w:sz="4" w:space="0"/>
            </w:tcBorders>
            <w:noWrap w:val="0"/>
            <w:vAlign w:val="center"/>
          </w:tcPr>
          <w:p w14:paraId="39A1DA0B">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岗位/工作年限</w:t>
            </w:r>
          </w:p>
        </w:tc>
        <w:tc>
          <w:tcPr>
            <w:tcW w:w="1184" w:type="dxa"/>
            <w:tcBorders>
              <w:top w:val="single" w:color="auto" w:sz="4" w:space="0"/>
              <w:left w:val="nil"/>
              <w:bottom w:val="single" w:color="auto" w:sz="4" w:space="0"/>
              <w:right w:val="single" w:color="auto" w:sz="4" w:space="0"/>
            </w:tcBorders>
            <w:noWrap w:val="0"/>
            <w:vAlign w:val="center"/>
          </w:tcPr>
          <w:p w14:paraId="5408559A">
            <w:pPr>
              <w:spacing w:line="360" w:lineRule="auto"/>
              <w:jc w:val="center"/>
              <w:rPr>
                <w:rFonts w:hint="eastAsia" w:ascii="宋体" w:hAnsi="宋体" w:eastAsia="宋体" w:cs="宋体"/>
                <w:color w:val="auto"/>
                <w:highlight w:val="none"/>
              </w:rPr>
            </w:pPr>
            <w:r>
              <w:rPr>
                <w:rFonts w:hint="eastAsia" w:ascii="宋体" w:hAnsi="宋体" w:eastAsia="宋体" w:cs="宋体"/>
                <w:color w:val="auto"/>
                <w:highlight w:val="none"/>
              </w:rPr>
              <w:t>备注</w:t>
            </w:r>
          </w:p>
        </w:tc>
      </w:tr>
      <w:tr w14:paraId="3A0E1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04BA7FB7">
            <w:pPr>
              <w:spacing w:line="360" w:lineRule="auto"/>
              <w:ind w:left="154"/>
              <w:jc w:val="center"/>
              <w:rPr>
                <w:rFonts w:hint="eastAsia" w:ascii="宋体" w:hAnsi="宋体" w:eastAsia="宋体" w:cs="宋体"/>
                <w:color w:val="auto"/>
                <w:highlight w:val="none"/>
              </w:rPr>
            </w:pPr>
          </w:p>
        </w:tc>
        <w:tc>
          <w:tcPr>
            <w:tcW w:w="1372" w:type="dxa"/>
            <w:tcBorders>
              <w:top w:val="single" w:color="auto" w:sz="4" w:space="0"/>
              <w:left w:val="nil"/>
              <w:bottom w:val="single" w:color="auto" w:sz="4" w:space="0"/>
              <w:right w:val="single" w:color="auto" w:sz="4" w:space="0"/>
            </w:tcBorders>
            <w:noWrap w:val="0"/>
            <w:vAlign w:val="center"/>
          </w:tcPr>
          <w:p w14:paraId="26BB474D">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420FA039">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232D3358">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7F0F3877">
            <w:pPr>
              <w:spacing w:line="360" w:lineRule="auto"/>
              <w:ind w:left="154"/>
              <w:jc w:val="center"/>
              <w:rPr>
                <w:rFonts w:hint="eastAsia" w:ascii="宋体" w:hAnsi="宋体" w:eastAsia="宋体" w:cs="宋体"/>
                <w:color w:val="auto"/>
                <w:highlight w:val="none"/>
              </w:rPr>
            </w:pPr>
          </w:p>
        </w:tc>
        <w:tc>
          <w:tcPr>
            <w:tcW w:w="1816" w:type="dxa"/>
            <w:tcBorders>
              <w:top w:val="single" w:color="auto" w:sz="4" w:space="0"/>
              <w:left w:val="nil"/>
              <w:bottom w:val="single" w:color="auto" w:sz="4" w:space="0"/>
              <w:right w:val="single" w:color="auto" w:sz="4" w:space="0"/>
            </w:tcBorders>
            <w:noWrap w:val="0"/>
            <w:vAlign w:val="center"/>
          </w:tcPr>
          <w:p w14:paraId="36DB18DA">
            <w:pPr>
              <w:spacing w:line="360" w:lineRule="auto"/>
              <w:ind w:left="154"/>
              <w:jc w:val="center"/>
              <w:rPr>
                <w:rFonts w:hint="eastAsia" w:ascii="宋体" w:hAnsi="宋体" w:eastAsia="宋体" w:cs="宋体"/>
                <w:color w:val="auto"/>
                <w:highlight w:val="none"/>
              </w:rPr>
            </w:pPr>
          </w:p>
        </w:tc>
        <w:tc>
          <w:tcPr>
            <w:tcW w:w="1184" w:type="dxa"/>
            <w:tcBorders>
              <w:top w:val="single" w:color="auto" w:sz="4" w:space="0"/>
              <w:left w:val="nil"/>
              <w:bottom w:val="single" w:color="auto" w:sz="4" w:space="0"/>
              <w:right w:val="single" w:color="auto" w:sz="4" w:space="0"/>
            </w:tcBorders>
            <w:noWrap w:val="0"/>
            <w:vAlign w:val="center"/>
          </w:tcPr>
          <w:p w14:paraId="168AB4D4">
            <w:pPr>
              <w:spacing w:line="360" w:lineRule="auto"/>
              <w:ind w:left="154"/>
              <w:jc w:val="center"/>
              <w:rPr>
                <w:rFonts w:hint="eastAsia" w:ascii="宋体" w:hAnsi="宋体" w:eastAsia="宋体" w:cs="宋体"/>
                <w:color w:val="auto"/>
                <w:highlight w:val="none"/>
              </w:rPr>
            </w:pPr>
          </w:p>
        </w:tc>
      </w:tr>
      <w:tr w14:paraId="62676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5708979E">
            <w:pPr>
              <w:spacing w:line="360" w:lineRule="auto"/>
              <w:ind w:left="154"/>
              <w:jc w:val="center"/>
              <w:rPr>
                <w:rFonts w:hint="eastAsia" w:ascii="宋体" w:hAnsi="宋体" w:eastAsia="宋体" w:cs="宋体"/>
                <w:color w:val="auto"/>
                <w:highlight w:val="none"/>
              </w:rPr>
            </w:pPr>
          </w:p>
        </w:tc>
        <w:tc>
          <w:tcPr>
            <w:tcW w:w="1372" w:type="dxa"/>
            <w:tcBorders>
              <w:top w:val="single" w:color="auto" w:sz="4" w:space="0"/>
              <w:left w:val="nil"/>
              <w:bottom w:val="single" w:color="auto" w:sz="4" w:space="0"/>
              <w:right w:val="single" w:color="auto" w:sz="4" w:space="0"/>
            </w:tcBorders>
            <w:noWrap w:val="0"/>
            <w:vAlign w:val="center"/>
          </w:tcPr>
          <w:p w14:paraId="3109BA95">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21921C78">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3DDEFCA0">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35CF98B4">
            <w:pPr>
              <w:spacing w:line="360" w:lineRule="auto"/>
              <w:ind w:left="154"/>
              <w:jc w:val="center"/>
              <w:rPr>
                <w:rFonts w:hint="eastAsia" w:ascii="宋体" w:hAnsi="宋体" w:eastAsia="宋体" w:cs="宋体"/>
                <w:color w:val="auto"/>
                <w:highlight w:val="none"/>
              </w:rPr>
            </w:pPr>
          </w:p>
        </w:tc>
        <w:tc>
          <w:tcPr>
            <w:tcW w:w="1816" w:type="dxa"/>
            <w:tcBorders>
              <w:top w:val="single" w:color="auto" w:sz="4" w:space="0"/>
              <w:left w:val="nil"/>
              <w:bottom w:val="single" w:color="auto" w:sz="4" w:space="0"/>
              <w:right w:val="single" w:color="auto" w:sz="4" w:space="0"/>
            </w:tcBorders>
            <w:noWrap w:val="0"/>
            <w:vAlign w:val="center"/>
          </w:tcPr>
          <w:p w14:paraId="495AEA73">
            <w:pPr>
              <w:spacing w:line="360" w:lineRule="auto"/>
              <w:ind w:left="154"/>
              <w:jc w:val="center"/>
              <w:rPr>
                <w:rFonts w:hint="eastAsia" w:ascii="宋体" w:hAnsi="宋体" w:eastAsia="宋体" w:cs="宋体"/>
                <w:color w:val="auto"/>
                <w:highlight w:val="none"/>
              </w:rPr>
            </w:pPr>
          </w:p>
        </w:tc>
        <w:tc>
          <w:tcPr>
            <w:tcW w:w="1184" w:type="dxa"/>
            <w:tcBorders>
              <w:top w:val="single" w:color="auto" w:sz="4" w:space="0"/>
              <w:left w:val="nil"/>
              <w:bottom w:val="single" w:color="auto" w:sz="4" w:space="0"/>
              <w:right w:val="single" w:color="auto" w:sz="4" w:space="0"/>
            </w:tcBorders>
            <w:noWrap w:val="0"/>
            <w:vAlign w:val="center"/>
          </w:tcPr>
          <w:p w14:paraId="6C63844F">
            <w:pPr>
              <w:spacing w:line="360" w:lineRule="auto"/>
              <w:ind w:left="154"/>
              <w:jc w:val="center"/>
              <w:rPr>
                <w:rFonts w:hint="eastAsia" w:ascii="宋体" w:hAnsi="宋体" w:eastAsia="宋体" w:cs="宋体"/>
                <w:color w:val="auto"/>
                <w:highlight w:val="none"/>
              </w:rPr>
            </w:pPr>
          </w:p>
        </w:tc>
      </w:tr>
      <w:tr w14:paraId="269BD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3CE117EA">
            <w:pPr>
              <w:spacing w:line="360" w:lineRule="auto"/>
              <w:ind w:left="154"/>
              <w:jc w:val="center"/>
              <w:rPr>
                <w:rFonts w:hint="eastAsia" w:ascii="宋体" w:hAnsi="宋体" w:eastAsia="宋体" w:cs="宋体"/>
                <w:color w:val="auto"/>
                <w:highlight w:val="none"/>
              </w:rPr>
            </w:pPr>
          </w:p>
        </w:tc>
        <w:tc>
          <w:tcPr>
            <w:tcW w:w="1372" w:type="dxa"/>
            <w:tcBorders>
              <w:top w:val="single" w:color="auto" w:sz="4" w:space="0"/>
              <w:left w:val="nil"/>
              <w:bottom w:val="single" w:color="auto" w:sz="4" w:space="0"/>
              <w:right w:val="single" w:color="auto" w:sz="4" w:space="0"/>
            </w:tcBorders>
            <w:noWrap w:val="0"/>
            <w:vAlign w:val="center"/>
          </w:tcPr>
          <w:p w14:paraId="4031AFD2">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1FC16451">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7DCB0C1E">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26A83B1A">
            <w:pPr>
              <w:spacing w:line="360" w:lineRule="auto"/>
              <w:ind w:left="154"/>
              <w:jc w:val="center"/>
              <w:rPr>
                <w:rFonts w:hint="eastAsia" w:ascii="宋体" w:hAnsi="宋体" w:eastAsia="宋体" w:cs="宋体"/>
                <w:color w:val="auto"/>
                <w:highlight w:val="none"/>
              </w:rPr>
            </w:pPr>
          </w:p>
        </w:tc>
        <w:tc>
          <w:tcPr>
            <w:tcW w:w="1816" w:type="dxa"/>
            <w:tcBorders>
              <w:top w:val="single" w:color="auto" w:sz="4" w:space="0"/>
              <w:left w:val="nil"/>
              <w:bottom w:val="single" w:color="auto" w:sz="4" w:space="0"/>
              <w:right w:val="single" w:color="auto" w:sz="4" w:space="0"/>
            </w:tcBorders>
            <w:noWrap w:val="0"/>
            <w:vAlign w:val="center"/>
          </w:tcPr>
          <w:p w14:paraId="748FAD01">
            <w:pPr>
              <w:spacing w:line="360" w:lineRule="auto"/>
              <w:ind w:left="154"/>
              <w:jc w:val="center"/>
              <w:rPr>
                <w:rFonts w:hint="eastAsia" w:ascii="宋体" w:hAnsi="宋体" w:eastAsia="宋体" w:cs="宋体"/>
                <w:color w:val="auto"/>
                <w:highlight w:val="none"/>
              </w:rPr>
            </w:pPr>
          </w:p>
        </w:tc>
        <w:tc>
          <w:tcPr>
            <w:tcW w:w="1184" w:type="dxa"/>
            <w:tcBorders>
              <w:top w:val="single" w:color="auto" w:sz="4" w:space="0"/>
              <w:left w:val="nil"/>
              <w:bottom w:val="single" w:color="auto" w:sz="4" w:space="0"/>
              <w:right w:val="single" w:color="auto" w:sz="4" w:space="0"/>
            </w:tcBorders>
            <w:noWrap w:val="0"/>
            <w:vAlign w:val="center"/>
          </w:tcPr>
          <w:p w14:paraId="296293FE">
            <w:pPr>
              <w:spacing w:line="360" w:lineRule="auto"/>
              <w:ind w:left="154"/>
              <w:jc w:val="center"/>
              <w:rPr>
                <w:rFonts w:hint="eastAsia" w:ascii="宋体" w:hAnsi="宋体" w:eastAsia="宋体" w:cs="宋体"/>
                <w:color w:val="auto"/>
                <w:highlight w:val="none"/>
              </w:rPr>
            </w:pPr>
          </w:p>
        </w:tc>
      </w:tr>
      <w:tr w14:paraId="39693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159DCA66">
            <w:pPr>
              <w:spacing w:line="360" w:lineRule="auto"/>
              <w:ind w:left="154"/>
              <w:jc w:val="center"/>
              <w:rPr>
                <w:rFonts w:hint="eastAsia" w:ascii="宋体" w:hAnsi="宋体" w:eastAsia="宋体" w:cs="宋体"/>
                <w:color w:val="auto"/>
                <w:highlight w:val="none"/>
              </w:rPr>
            </w:pPr>
          </w:p>
        </w:tc>
        <w:tc>
          <w:tcPr>
            <w:tcW w:w="1372" w:type="dxa"/>
            <w:tcBorders>
              <w:top w:val="single" w:color="auto" w:sz="4" w:space="0"/>
              <w:left w:val="nil"/>
              <w:bottom w:val="single" w:color="auto" w:sz="4" w:space="0"/>
              <w:right w:val="single" w:color="auto" w:sz="4" w:space="0"/>
            </w:tcBorders>
            <w:noWrap w:val="0"/>
            <w:vAlign w:val="center"/>
          </w:tcPr>
          <w:p w14:paraId="7EC9910E">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58939E4D">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7243650A">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556A6967">
            <w:pPr>
              <w:spacing w:line="360" w:lineRule="auto"/>
              <w:ind w:left="154"/>
              <w:jc w:val="center"/>
              <w:rPr>
                <w:rFonts w:hint="eastAsia" w:ascii="宋体" w:hAnsi="宋体" w:eastAsia="宋体" w:cs="宋体"/>
                <w:color w:val="auto"/>
                <w:highlight w:val="none"/>
              </w:rPr>
            </w:pPr>
          </w:p>
        </w:tc>
        <w:tc>
          <w:tcPr>
            <w:tcW w:w="1816" w:type="dxa"/>
            <w:tcBorders>
              <w:top w:val="single" w:color="auto" w:sz="4" w:space="0"/>
              <w:left w:val="nil"/>
              <w:bottom w:val="single" w:color="auto" w:sz="4" w:space="0"/>
              <w:right w:val="single" w:color="auto" w:sz="4" w:space="0"/>
            </w:tcBorders>
            <w:noWrap w:val="0"/>
            <w:vAlign w:val="center"/>
          </w:tcPr>
          <w:p w14:paraId="1E40C455">
            <w:pPr>
              <w:spacing w:line="360" w:lineRule="auto"/>
              <w:ind w:left="154"/>
              <w:jc w:val="center"/>
              <w:rPr>
                <w:rFonts w:hint="eastAsia" w:ascii="宋体" w:hAnsi="宋体" w:eastAsia="宋体" w:cs="宋体"/>
                <w:color w:val="auto"/>
                <w:highlight w:val="none"/>
              </w:rPr>
            </w:pPr>
          </w:p>
        </w:tc>
        <w:tc>
          <w:tcPr>
            <w:tcW w:w="1184" w:type="dxa"/>
            <w:tcBorders>
              <w:top w:val="single" w:color="auto" w:sz="4" w:space="0"/>
              <w:left w:val="nil"/>
              <w:bottom w:val="single" w:color="auto" w:sz="4" w:space="0"/>
              <w:right w:val="single" w:color="auto" w:sz="4" w:space="0"/>
            </w:tcBorders>
            <w:noWrap w:val="0"/>
            <w:vAlign w:val="center"/>
          </w:tcPr>
          <w:p w14:paraId="01DC212E">
            <w:pPr>
              <w:spacing w:line="360" w:lineRule="auto"/>
              <w:ind w:left="154"/>
              <w:jc w:val="center"/>
              <w:rPr>
                <w:rFonts w:hint="eastAsia" w:ascii="宋体" w:hAnsi="宋体" w:eastAsia="宋体" w:cs="宋体"/>
                <w:color w:val="auto"/>
                <w:highlight w:val="none"/>
              </w:rPr>
            </w:pPr>
          </w:p>
        </w:tc>
      </w:tr>
      <w:tr w14:paraId="41691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trPr>
        <w:tc>
          <w:tcPr>
            <w:tcW w:w="624" w:type="dxa"/>
            <w:tcBorders>
              <w:top w:val="single" w:color="auto" w:sz="4" w:space="0"/>
              <w:left w:val="single" w:color="auto" w:sz="4" w:space="0"/>
              <w:bottom w:val="single" w:color="auto" w:sz="4" w:space="0"/>
              <w:right w:val="single" w:color="auto" w:sz="4" w:space="0"/>
            </w:tcBorders>
            <w:noWrap w:val="0"/>
            <w:vAlign w:val="center"/>
          </w:tcPr>
          <w:p w14:paraId="7FD2FCF2">
            <w:pPr>
              <w:spacing w:line="360" w:lineRule="auto"/>
              <w:ind w:left="154"/>
              <w:jc w:val="center"/>
              <w:rPr>
                <w:rFonts w:hint="eastAsia" w:ascii="宋体" w:hAnsi="宋体" w:eastAsia="宋体" w:cs="宋体"/>
                <w:color w:val="auto"/>
                <w:highlight w:val="none"/>
              </w:rPr>
            </w:pPr>
          </w:p>
        </w:tc>
        <w:tc>
          <w:tcPr>
            <w:tcW w:w="1372" w:type="dxa"/>
            <w:tcBorders>
              <w:top w:val="single" w:color="auto" w:sz="4" w:space="0"/>
              <w:left w:val="nil"/>
              <w:bottom w:val="single" w:color="auto" w:sz="4" w:space="0"/>
              <w:right w:val="single" w:color="auto" w:sz="4" w:space="0"/>
            </w:tcBorders>
            <w:noWrap w:val="0"/>
            <w:vAlign w:val="center"/>
          </w:tcPr>
          <w:p w14:paraId="2DC45DDA">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7476E73E">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58602146">
            <w:pPr>
              <w:spacing w:line="360" w:lineRule="auto"/>
              <w:ind w:left="154"/>
              <w:jc w:val="center"/>
              <w:rPr>
                <w:rFonts w:hint="eastAsia" w:ascii="宋体" w:hAnsi="宋体" w:eastAsia="宋体" w:cs="宋体"/>
                <w:color w:val="auto"/>
                <w:highlight w:val="none"/>
              </w:rPr>
            </w:pPr>
          </w:p>
        </w:tc>
        <w:tc>
          <w:tcPr>
            <w:tcW w:w="1282" w:type="dxa"/>
            <w:tcBorders>
              <w:top w:val="single" w:color="auto" w:sz="4" w:space="0"/>
              <w:left w:val="nil"/>
              <w:bottom w:val="single" w:color="auto" w:sz="4" w:space="0"/>
              <w:right w:val="single" w:color="auto" w:sz="4" w:space="0"/>
            </w:tcBorders>
            <w:noWrap w:val="0"/>
            <w:vAlign w:val="center"/>
          </w:tcPr>
          <w:p w14:paraId="04FC41C6">
            <w:pPr>
              <w:spacing w:line="360" w:lineRule="auto"/>
              <w:ind w:left="154"/>
              <w:jc w:val="center"/>
              <w:rPr>
                <w:rFonts w:hint="eastAsia" w:ascii="宋体" w:hAnsi="宋体" w:eastAsia="宋体" w:cs="宋体"/>
                <w:color w:val="auto"/>
                <w:highlight w:val="none"/>
              </w:rPr>
            </w:pPr>
          </w:p>
        </w:tc>
        <w:tc>
          <w:tcPr>
            <w:tcW w:w="1816" w:type="dxa"/>
            <w:tcBorders>
              <w:top w:val="single" w:color="auto" w:sz="4" w:space="0"/>
              <w:left w:val="nil"/>
              <w:bottom w:val="single" w:color="auto" w:sz="4" w:space="0"/>
              <w:right w:val="single" w:color="auto" w:sz="4" w:space="0"/>
            </w:tcBorders>
            <w:noWrap w:val="0"/>
            <w:vAlign w:val="center"/>
          </w:tcPr>
          <w:p w14:paraId="0E23179B">
            <w:pPr>
              <w:spacing w:line="360" w:lineRule="auto"/>
              <w:ind w:left="154"/>
              <w:jc w:val="center"/>
              <w:rPr>
                <w:rFonts w:hint="eastAsia" w:ascii="宋体" w:hAnsi="宋体" w:eastAsia="宋体" w:cs="宋体"/>
                <w:color w:val="auto"/>
                <w:highlight w:val="none"/>
              </w:rPr>
            </w:pPr>
          </w:p>
        </w:tc>
        <w:tc>
          <w:tcPr>
            <w:tcW w:w="1184" w:type="dxa"/>
            <w:tcBorders>
              <w:top w:val="single" w:color="auto" w:sz="4" w:space="0"/>
              <w:left w:val="nil"/>
              <w:bottom w:val="single" w:color="auto" w:sz="4" w:space="0"/>
              <w:right w:val="single" w:color="auto" w:sz="4" w:space="0"/>
            </w:tcBorders>
            <w:noWrap w:val="0"/>
            <w:vAlign w:val="center"/>
          </w:tcPr>
          <w:p w14:paraId="21EE0260">
            <w:pPr>
              <w:spacing w:line="360" w:lineRule="auto"/>
              <w:ind w:left="154"/>
              <w:jc w:val="center"/>
              <w:rPr>
                <w:rFonts w:hint="eastAsia" w:ascii="宋体" w:hAnsi="宋体" w:eastAsia="宋体" w:cs="宋体"/>
                <w:color w:val="auto"/>
                <w:highlight w:val="none"/>
              </w:rPr>
            </w:pPr>
          </w:p>
        </w:tc>
      </w:tr>
    </w:tbl>
    <w:p w14:paraId="0FB03ADD">
      <w:pPr>
        <w:rPr>
          <w:rFonts w:hint="eastAsia" w:ascii="宋体" w:hAnsi="宋体" w:eastAsia="宋体" w:cs="宋体"/>
          <w:color w:val="auto"/>
          <w:highlight w:val="none"/>
        </w:rPr>
      </w:pPr>
    </w:p>
    <w:p w14:paraId="0FBD7FAD">
      <w:pPr>
        <w:pStyle w:val="4"/>
        <w:numPr>
          <w:ilvl w:val="0"/>
          <w:numId w:val="18"/>
        </w:numPr>
        <w:wordWrap/>
        <w:topLinePunct w:val="0"/>
        <w:jc w:val="center"/>
        <w:rPr>
          <w:rFonts w:hint="eastAsia" w:ascii="宋体" w:hAnsi="宋体" w:eastAsia="宋体" w:cs="宋体"/>
          <w:color w:val="auto"/>
          <w:sz w:val="24"/>
          <w:szCs w:val="24"/>
          <w:highlight w:val="none"/>
        </w:rPr>
      </w:pPr>
      <w:r>
        <w:rPr>
          <w:rFonts w:hint="eastAsia" w:ascii="宋体" w:hAnsi="宋体" w:eastAsia="宋体" w:cs="宋体"/>
          <w:bCs w:val="0"/>
          <w:color w:val="auto"/>
          <w:sz w:val="24"/>
          <w:szCs w:val="24"/>
          <w:highlight w:val="none"/>
          <w:lang w:val="zh-CN"/>
        </w:rPr>
        <w:br w:type="page"/>
      </w:r>
      <w:bookmarkStart w:id="845" w:name="_Toc29623362"/>
      <w:r>
        <w:rPr>
          <w:rFonts w:hint="eastAsia" w:ascii="宋体" w:hAnsi="宋体" w:eastAsia="宋体" w:cs="宋体"/>
          <w:bCs w:val="0"/>
          <w:color w:val="auto"/>
          <w:highlight w:val="none"/>
          <w:lang w:val="zh-CN"/>
        </w:rPr>
        <w:t>主要人员简历表</w:t>
      </w:r>
      <w:bookmarkEnd w:id="845"/>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9"/>
        <w:gridCol w:w="2434"/>
        <w:gridCol w:w="2483"/>
        <w:gridCol w:w="14"/>
        <w:gridCol w:w="2503"/>
      </w:tblGrid>
      <w:tr w14:paraId="7DF6C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center"/>
          </w:tcPr>
          <w:p w14:paraId="36E7722E">
            <w:pPr>
              <w:spacing w:line="44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姓    名</w:t>
            </w:r>
          </w:p>
        </w:tc>
        <w:tc>
          <w:tcPr>
            <w:tcW w:w="2434" w:type="dxa"/>
            <w:tcBorders>
              <w:top w:val="single" w:color="auto" w:sz="4" w:space="0"/>
              <w:left w:val="nil"/>
              <w:bottom w:val="single" w:color="auto" w:sz="4" w:space="0"/>
              <w:right w:val="single" w:color="auto" w:sz="4" w:space="0"/>
            </w:tcBorders>
            <w:noWrap w:val="0"/>
            <w:vAlign w:val="center"/>
          </w:tcPr>
          <w:p w14:paraId="7082C392">
            <w:pPr>
              <w:spacing w:line="440" w:lineRule="exact"/>
              <w:jc w:val="center"/>
              <w:rPr>
                <w:rFonts w:hint="eastAsia" w:ascii="宋体" w:hAnsi="宋体" w:eastAsia="宋体" w:cs="宋体"/>
                <w:color w:val="auto"/>
                <w:highlight w:val="none"/>
              </w:rPr>
            </w:pPr>
          </w:p>
        </w:tc>
        <w:tc>
          <w:tcPr>
            <w:tcW w:w="2497" w:type="dxa"/>
            <w:gridSpan w:val="2"/>
            <w:tcBorders>
              <w:top w:val="single" w:color="auto" w:sz="4" w:space="0"/>
              <w:left w:val="nil"/>
              <w:bottom w:val="single" w:color="auto" w:sz="4" w:space="0"/>
              <w:right w:val="single" w:color="auto" w:sz="4" w:space="0"/>
            </w:tcBorders>
            <w:noWrap w:val="0"/>
            <w:vAlign w:val="center"/>
          </w:tcPr>
          <w:p w14:paraId="233863B9">
            <w:pPr>
              <w:spacing w:line="44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年    龄</w:t>
            </w:r>
          </w:p>
        </w:tc>
        <w:tc>
          <w:tcPr>
            <w:tcW w:w="2503" w:type="dxa"/>
            <w:tcBorders>
              <w:top w:val="single" w:color="auto" w:sz="4" w:space="0"/>
              <w:left w:val="nil"/>
              <w:bottom w:val="single" w:color="auto" w:sz="4" w:space="0"/>
              <w:right w:val="single" w:color="auto" w:sz="4" w:space="0"/>
            </w:tcBorders>
            <w:noWrap w:val="0"/>
            <w:vAlign w:val="center"/>
          </w:tcPr>
          <w:p w14:paraId="02459060">
            <w:pPr>
              <w:spacing w:line="440" w:lineRule="exact"/>
              <w:rPr>
                <w:rFonts w:hint="eastAsia" w:ascii="宋体" w:hAnsi="宋体" w:eastAsia="宋体" w:cs="宋体"/>
                <w:color w:val="auto"/>
                <w:highlight w:val="none"/>
              </w:rPr>
            </w:pPr>
          </w:p>
        </w:tc>
      </w:tr>
      <w:tr w14:paraId="71055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center"/>
          </w:tcPr>
          <w:p w14:paraId="2DA01746">
            <w:pPr>
              <w:spacing w:line="44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职    务</w:t>
            </w:r>
          </w:p>
        </w:tc>
        <w:tc>
          <w:tcPr>
            <w:tcW w:w="7434" w:type="dxa"/>
            <w:gridSpan w:val="4"/>
            <w:tcBorders>
              <w:top w:val="single" w:color="auto" w:sz="4" w:space="0"/>
              <w:left w:val="nil"/>
              <w:bottom w:val="single" w:color="auto" w:sz="4" w:space="0"/>
              <w:right w:val="single" w:color="auto" w:sz="4" w:space="0"/>
            </w:tcBorders>
            <w:noWrap w:val="0"/>
            <w:vAlign w:val="center"/>
          </w:tcPr>
          <w:p w14:paraId="19887D85">
            <w:pPr>
              <w:spacing w:line="440" w:lineRule="exact"/>
              <w:rPr>
                <w:rFonts w:hint="eastAsia" w:ascii="宋体" w:hAnsi="宋体" w:eastAsia="宋体" w:cs="宋体"/>
                <w:color w:val="auto"/>
                <w:highlight w:val="none"/>
              </w:rPr>
            </w:pPr>
          </w:p>
        </w:tc>
      </w:tr>
      <w:tr w14:paraId="04B01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center"/>
          </w:tcPr>
          <w:p w14:paraId="60017E30">
            <w:pPr>
              <w:spacing w:line="44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毕业学校</w:t>
            </w:r>
          </w:p>
        </w:tc>
        <w:tc>
          <w:tcPr>
            <w:tcW w:w="7434" w:type="dxa"/>
            <w:gridSpan w:val="4"/>
            <w:tcBorders>
              <w:top w:val="single" w:color="auto" w:sz="4" w:space="0"/>
              <w:left w:val="nil"/>
              <w:bottom w:val="single" w:color="auto" w:sz="4" w:space="0"/>
              <w:right w:val="single" w:color="auto" w:sz="4" w:space="0"/>
            </w:tcBorders>
            <w:noWrap w:val="0"/>
            <w:vAlign w:val="top"/>
          </w:tcPr>
          <w:p w14:paraId="0C988645">
            <w:pPr>
              <w:spacing w:line="440" w:lineRule="exact"/>
              <w:rPr>
                <w:rFonts w:hint="eastAsia" w:ascii="宋体" w:hAnsi="宋体" w:eastAsia="宋体" w:cs="宋体"/>
                <w:color w:val="auto"/>
                <w:highlight w:val="none"/>
              </w:rPr>
            </w:pPr>
            <w:r>
              <w:rPr>
                <w:rFonts w:hint="eastAsia" w:ascii="宋体" w:hAnsi="宋体" w:eastAsia="宋体" w:cs="宋体"/>
                <w:color w:val="auto"/>
                <w:highlight w:val="none"/>
              </w:rPr>
              <w:t xml:space="preserve">      年毕业于            学校        专业</w:t>
            </w:r>
          </w:p>
        </w:tc>
      </w:tr>
      <w:tr w14:paraId="3FD5F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center"/>
          </w:tcPr>
          <w:p w14:paraId="63F11961">
            <w:pPr>
              <w:spacing w:line="44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时    间</w:t>
            </w:r>
          </w:p>
        </w:tc>
        <w:tc>
          <w:tcPr>
            <w:tcW w:w="2434" w:type="dxa"/>
            <w:tcBorders>
              <w:top w:val="single" w:color="auto" w:sz="4" w:space="0"/>
              <w:left w:val="nil"/>
              <w:bottom w:val="single" w:color="auto" w:sz="4" w:space="0"/>
              <w:right w:val="single" w:color="auto" w:sz="4" w:space="0"/>
            </w:tcBorders>
            <w:noWrap w:val="0"/>
            <w:vAlign w:val="center"/>
          </w:tcPr>
          <w:p w14:paraId="1E2ACA5B">
            <w:pPr>
              <w:spacing w:line="440" w:lineRule="exact"/>
              <w:rPr>
                <w:rFonts w:hint="eastAsia" w:ascii="宋体" w:hAnsi="宋体" w:eastAsia="宋体" w:cs="宋体"/>
                <w:color w:val="auto"/>
                <w:highlight w:val="none"/>
              </w:rPr>
            </w:pPr>
            <w:r>
              <w:rPr>
                <w:rFonts w:hint="eastAsia" w:ascii="宋体" w:hAnsi="宋体" w:eastAsia="宋体" w:cs="宋体"/>
                <w:color w:val="auto"/>
                <w:highlight w:val="none"/>
              </w:rPr>
              <w:t>参加过的类似项目</w:t>
            </w:r>
          </w:p>
        </w:tc>
        <w:tc>
          <w:tcPr>
            <w:tcW w:w="2483" w:type="dxa"/>
            <w:tcBorders>
              <w:top w:val="single" w:color="auto" w:sz="4" w:space="0"/>
              <w:left w:val="nil"/>
              <w:bottom w:val="single" w:color="auto" w:sz="4" w:space="0"/>
              <w:right w:val="single" w:color="auto" w:sz="4" w:space="0"/>
            </w:tcBorders>
            <w:noWrap w:val="0"/>
            <w:vAlign w:val="center"/>
          </w:tcPr>
          <w:p w14:paraId="425C775F">
            <w:pPr>
              <w:spacing w:line="440" w:lineRule="exact"/>
              <w:rPr>
                <w:rFonts w:hint="eastAsia" w:ascii="宋体" w:hAnsi="宋体" w:eastAsia="宋体" w:cs="宋体"/>
                <w:color w:val="auto"/>
                <w:highlight w:val="none"/>
              </w:rPr>
            </w:pPr>
            <w:r>
              <w:rPr>
                <w:rFonts w:hint="eastAsia" w:ascii="宋体" w:hAnsi="宋体" w:eastAsia="宋体" w:cs="宋体"/>
                <w:color w:val="auto"/>
                <w:highlight w:val="none"/>
              </w:rPr>
              <w:t>担任职务</w:t>
            </w:r>
          </w:p>
        </w:tc>
        <w:tc>
          <w:tcPr>
            <w:tcW w:w="2517" w:type="dxa"/>
            <w:gridSpan w:val="2"/>
            <w:tcBorders>
              <w:top w:val="single" w:color="auto" w:sz="4" w:space="0"/>
              <w:left w:val="nil"/>
              <w:bottom w:val="single" w:color="auto" w:sz="4" w:space="0"/>
              <w:right w:val="single" w:color="auto" w:sz="4" w:space="0"/>
            </w:tcBorders>
            <w:noWrap w:val="0"/>
            <w:vAlign w:val="center"/>
          </w:tcPr>
          <w:p w14:paraId="64E64B52">
            <w:pPr>
              <w:spacing w:line="440" w:lineRule="exact"/>
              <w:rPr>
                <w:rFonts w:hint="eastAsia" w:ascii="宋体" w:hAnsi="宋体" w:eastAsia="宋体" w:cs="宋体"/>
                <w:color w:val="auto"/>
                <w:highlight w:val="none"/>
              </w:rPr>
            </w:pPr>
            <w:r>
              <w:rPr>
                <w:rFonts w:hint="eastAsia" w:ascii="宋体" w:hAnsi="宋体" w:eastAsia="宋体" w:cs="宋体"/>
                <w:color w:val="auto"/>
                <w:highlight w:val="none"/>
              </w:rPr>
              <w:t>备注</w:t>
            </w:r>
          </w:p>
        </w:tc>
      </w:tr>
      <w:tr w14:paraId="313E8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0E8B6A3D">
            <w:pPr>
              <w:spacing w:line="440" w:lineRule="exact"/>
              <w:rPr>
                <w:rFonts w:hint="eastAsia" w:ascii="宋体" w:hAnsi="宋体" w:eastAsia="宋体" w:cs="宋体"/>
                <w:color w:val="auto"/>
                <w:highlight w:val="none"/>
              </w:rPr>
            </w:pPr>
          </w:p>
        </w:tc>
        <w:tc>
          <w:tcPr>
            <w:tcW w:w="2434" w:type="dxa"/>
            <w:tcBorders>
              <w:top w:val="single" w:color="auto" w:sz="4" w:space="0"/>
              <w:left w:val="nil"/>
              <w:bottom w:val="single" w:color="auto" w:sz="4" w:space="0"/>
              <w:right w:val="single" w:color="auto" w:sz="4" w:space="0"/>
            </w:tcBorders>
            <w:noWrap w:val="0"/>
            <w:vAlign w:val="top"/>
          </w:tcPr>
          <w:p w14:paraId="058C674A">
            <w:pPr>
              <w:spacing w:line="440" w:lineRule="exact"/>
              <w:rPr>
                <w:rFonts w:hint="eastAsia" w:ascii="宋体" w:hAnsi="宋体" w:eastAsia="宋体" w:cs="宋体"/>
                <w:color w:val="auto"/>
                <w:highlight w:val="none"/>
              </w:rPr>
            </w:pPr>
          </w:p>
        </w:tc>
        <w:tc>
          <w:tcPr>
            <w:tcW w:w="2483" w:type="dxa"/>
            <w:tcBorders>
              <w:top w:val="single" w:color="auto" w:sz="4" w:space="0"/>
              <w:left w:val="nil"/>
              <w:bottom w:val="single" w:color="auto" w:sz="4" w:space="0"/>
              <w:right w:val="single" w:color="auto" w:sz="4" w:space="0"/>
            </w:tcBorders>
            <w:noWrap w:val="0"/>
            <w:vAlign w:val="top"/>
          </w:tcPr>
          <w:p w14:paraId="75CDCFE6">
            <w:pPr>
              <w:spacing w:line="440" w:lineRule="exact"/>
              <w:rPr>
                <w:rFonts w:hint="eastAsia" w:ascii="宋体" w:hAnsi="宋体" w:eastAsia="宋体" w:cs="宋体"/>
                <w:color w:val="auto"/>
                <w:highlight w:val="none"/>
              </w:rPr>
            </w:pPr>
          </w:p>
        </w:tc>
        <w:tc>
          <w:tcPr>
            <w:tcW w:w="2517" w:type="dxa"/>
            <w:gridSpan w:val="2"/>
            <w:tcBorders>
              <w:top w:val="single" w:color="auto" w:sz="4" w:space="0"/>
              <w:left w:val="nil"/>
              <w:bottom w:val="single" w:color="auto" w:sz="4" w:space="0"/>
              <w:right w:val="single" w:color="auto" w:sz="4" w:space="0"/>
            </w:tcBorders>
            <w:noWrap w:val="0"/>
            <w:vAlign w:val="top"/>
          </w:tcPr>
          <w:p w14:paraId="4377048C">
            <w:pPr>
              <w:spacing w:line="440" w:lineRule="exact"/>
              <w:rPr>
                <w:rFonts w:hint="eastAsia" w:ascii="宋体" w:hAnsi="宋体" w:eastAsia="宋体" w:cs="宋体"/>
                <w:color w:val="auto"/>
                <w:highlight w:val="none"/>
              </w:rPr>
            </w:pPr>
          </w:p>
        </w:tc>
      </w:tr>
      <w:tr w14:paraId="6B5F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554A4C47">
            <w:pPr>
              <w:spacing w:line="440" w:lineRule="exact"/>
              <w:rPr>
                <w:rFonts w:hint="eastAsia" w:ascii="宋体" w:hAnsi="宋体" w:eastAsia="宋体" w:cs="宋体"/>
                <w:color w:val="auto"/>
                <w:highlight w:val="none"/>
              </w:rPr>
            </w:pPr>
          </w:p>
        </w:tc>
        <w:tc>
          <w:tcPr>
            <w:tcW w:w="2434" w:type="dxa"/>
            <w:tcBorders>
              <w:top w:val="single" w:color="auto" w:sz="4" w:space="0"/>
              <w:left w:val="nil"/>
              <w:bottom w:val="single" w:color="auto" w:sz="4" w:space="0"/>
              <w:right w:val="single" w:color="auto" w:sz="4" w:space="0"/>
            </w:tcBorders>
            <w:noWrap w:val="0"/>
            <w:vAlign w:val="top"/>
          </w:tcPr>
          <w:p w14:paraId="10B567FF">
            <w:pPr>
              <w:spacing w:line="440" w:lineRule="exact"/>
              <w:rPr>
                <w:rFonts w:hint="eastAsia" w:ascii="宋体" w:hAnsi="宋体" w:eastAsia="宋体" w:cs="宋体"/>
                <w:color w:val="auto"/>
                <w:highlight w:val="none"/>
              </w:rPr>
            </w:pPr>
          </w:p>
        </w:tc>
        <w:tc>
          <w:tcPr>
            <w:tcW w:w="2483" w:type="dxa"/>
            <w:tcBorders>
              <w:top w:val="single" w:color="auto" w:sz="4" w:space="0"/>
              <w:left w:val="nil"/>
              <w:bottom w:val="single" w:color="auto" w:sz="4" w:space="0"/>
              <w:right w:val="single" w:color="auto" w:sz="4" w:space="0"/>
            </w:tcBorders>
            <w:noWrap w:val="0"/>
            <w:vAlign w:val="top"/>
          </w:tcPr>
          <w:p w14:paraId="13CD460A">
            <w:pPr>
              <w:spacing w:line="440" w:lineRule="exact"/>
              <w:rPr>
                <w:rFonts w:hint="eastAsia" w:ascii="宋体" w:hAnsi="宋体" w:eastAsia="宋体" w:cs="宋体"/>
                <w:color w:val="auto"/>
                <w:highlight w:val="none"/>
              </w:rPr>
            </w:pPr>
          </w:p>
        </w:tc>
        <w:tc>
          <w:tcPr>
            <w:tcW w:w="2517" w:type="dxa"/>
            <w:gridSpan w:val="2"/>
            <w:tcBorders>
              <w:top w:val="single" w:color="auto" w:sz="4" w:space="0"/>
              <w:left w:val="nil"/>
              <w:bottom w:val="single" w:color="auto" w:sz="4" w:space="0"/>
              <w:right w:val="single" w:color="auto" w:sz="4" w:space="0"/>
            </w:tcBorders>
            <w:noWrap w:val="0"/>
            <w:vAlign w:val="top"/>
          </w:tcPr>
          <w:p w14:paraId="4C606629">
            <w:pPr>
              <w:spacing w:line="440" w:lineRule="exact"/>
              <w:rPr>
                <w:rFonts w:hint="eastAsia" w:ascii="宋体" w:hAnsi="宋体" w:eastAsia="宋体" w:cs="宋体"/>
                <w:color w:val="auto"/>
                <w:highlight w:val="none"/>
              </w:rPr>
            </w:pPr>
          </w:p>
        </w:tc>
      </w:tr>
      <w:tr w14:paraId="1842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54362DBC">
            <w:pPr>
              <w:spacing w:line="440" w:lineRule="exact"/>
              <w:rPr>
                <w:rFonts w:hint="eastAsia" w:ascii="宋体" w:hAnsi="宋体" w:eastAsia="宋体" w:cs="宋体"/>
                <w:color w:val="auto"/>
                <w:highlight w:val="none"/>
              </w:rPr>
            </w:pPr>
          </w:p>
        </w:tc>
        <w:tc>
          <w:tcPr>
            <w:tcW w:w="2434" w:type="dxa"/>
            <w:tcBorders>
              <w:top w:val="single" w:color="auto" w:sz="4" w:space="0"/>
              <w:left w:val="nil"/>
              <w:bottom w:val="single" w:color="auto" w:sz="4" w:space="0"/>
              <w:right w:val="single" w:color="auto" w:sz="4" w:space="0"/>
            </w:tcBorders>
            <w:noWrap w:val="0"/>
            <w:vAlign w:val="top"/>
          </w:tcPr>
          <w:p w14:paraId="14B4E9DC">
            <w:pPr>
              <w:spacing w:line="440" w:lineRule="exact"/>
              <w:rPr>
                <w:rFonts w:hint="eastAsia" w:ascii="宋体" w:hAnsi="宋体" w:eastAsia="宋体" w:cs="宋体"/>
                <w:color w:val="auto"/>
                <w:highlight w:val="none"/>
              </w:rPr>
            </w:pPr>
          </w:p>
        </w:tc>
        <w:tc>
          <w:tcPr>
            <w:tcW w:w="2483" w:type="dxa"/>
            <w:tcBorders>
              <w:top w:val="single" w:color="auto" w:sz="4" w:space="0"/>
              <w:left w:val="nil"/>
              <w:bottom w:val="single" w:color="auto" w:sz="4" w:space="0"/>
              <w:right w:val="single" w:color="auto" w:sz="4" w:space="0"/>
            </w:tcBorders>
            <w:noWrap w:val="0"/>
            <w:vAlign w:val="top"/>
          </w:tcPr>
          <w:p w14:paraId="20B49B63">
            <w:pPr>
              <w:spacing w:line="440" w:lineRule="exact"/>
              <w:rPr>
                <w:rFonts w:hint="eastAsia" w:ascii="宋体" w:hAnsi="宋体" w:eastAsia="宋体" w:cs="宋体"/>
                <w:color w:val="auto"/>
                <w:highlight w:val="none"/>
              </w:rPr>
            </w:pPr>
          </w:p>
        </w:tc>
        <w:tc>
          <w:tcPr>
            <w:tcW w:w="2517" w:type="dxa"/>
            <w:gridSpan w:val="2"/>
            <w:tcBorders>
              <w:top w:val="single" w:color="auto" w:sz="4" w:space="0"/>
              <w:left w:val="nil"/>
              <w:bottom w:val="single" w:color="auto" w:sz="4" w:space="0"/>
              <w:right w:val="single" w:color="auto" w:sz="4" w:space="0"/>
            </w:tcBorders>
            <w:noWrap w:val="0"/>
            <w:vAlign w:val="top"/>
          </w:tcPr>
          <w:p w14:paraId="42886168">
            <w:pPr>
              <w:spacing w:line="440" w:lineRule="exact"/>
              <w:rPr>
                <w:rFonts w:hint="eastAsia" w:ascii="宋体" w:hAnsi="宋体" w:eastAsia="宋体" w:cs="宋体"/>
                <w:color w:val="auto"/>
                <w:highlight w:val="none"/>
              </w:rPr>
            </w:pPr>
          </w:p>
        </w:tc>
      </w:tr>
      <w:tr w14:paraId="59052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191A0E17">
            <w:pPr>
              <w:spacing w:line="440" w:lineRule="exact"/>
              <w:rPr>
                <w:rFonts w:hint="eastAsia" w:ascii="宋体" w:hAnsi="宋体" w:eastAsia="宋体" w:cs="宋体"/>
                <w:color w:val="auto"/>
                <w:highlight w:val="none"/>
              </w:rPr>
            </w:pPr>
          </w:p>
        </w:tc>
        <w:tc>
          <w:tcPr>
            <w:tcW w:w="2434" w:type="dxa"/>
            <w:tcBorders>
              <w:top w:val="single" w:color="auto" w:sz="4" w:space="0"/>
              <w:left w:val="nil"/>
              <w:bottom w:val="single" w:color="auto" w:sz="4" w:space="0"/>
              <w:right w:val="single" w:color="auto" w:sz="4" w:space="0"/>
            </w:tcBorders>
            <w:noWrap w:val="0"/>
            <w:vAlign w:val="top"/>
          </w:tcPr>
          <w:p w14:paraId="5F0CAEA0">
            <w:pPr>
              <w:spacing w:line="440" w:lineRule="exact"/>
              <w:rPr>
                <w:rFonts w:hint="eastAsia" w:ascii="宋体" w:hAnsi="宋体" w:eastAsia="宋体" w:cs="宋体"/>
                <w:color w:val="auto"/>
                <w:highlight w:val="none"/>
              </w:rPr>
            </w:pPr>
          </w:p>
        </w:tc>
        <w:tc>
          <w:tcPr>
            <w:tcW w:w="2483" w:type="dxa"/>
            <w:tcBorders>
              <w:top w:val="single" w:color="auto" w:sz="4" w:space="0"/>
              <w:left w:val="nil"/>
              <w:bottom w:val="single" w:color="auto" w:sz="4" w:space="0"/>
              <w:right w:val="single" w:color="auto" w:sz="4" w:space="0"/>
            </w:tcBorders>
            <w:noWrap w:val="0"/>
            <w:vAlign w:val="top"/>
          </w:tcPr>
          <w:p w14:paraId="08D3C5CE">
            <w:pPr>
              <w:spacing w:line="440" w:lineRule="exact"/>
              <w:rPr>
                <w:rFonts w:hint="eastAsia" w:ascii="宋体" w:hAnsi="宋体" w:eastAsia="宋体" w:cs="宋体"/>
                <w:color w:val="auto"/>
                <w:highlight w:val="none"/>
              </w:rPr>
            </w:pPr>
          </w:p>
        </w:tc>
        <w:tc>
          <w:tcPr>
            <w:tcW w:w="2517" w:type="dxa"/>
            <w:gridSpan w:val="2"/>
            <w:tcBorders>
              <w:top w:val="single" w:color="auto" w:sz="4" w:space="0"/>
              <w:left w:val="nil"/>
              <w:bottom w:val="single" w:color="auto" w:sz="4" w:space="0"/>
              <w:right w:val="single" w:color="auto" w:sz="4" w:space="0"/>
            </w:tcBorders>
            <w:noWrap w:val="0"/>
            <w:vAlign w:val="top"/>
          </w:tcPr>
          <w:p w14:paraId="4CA3FCBC">
            <w:pPr>
              <w:spacing w:line="440" w:lineRule="exact"/>
              <w:rPr>
                <w:rFonts w:hint="eastAsia" w:ascii="宋体" w:hAnsi="宋体" w:eastAsia="宋体" w:cs="宋体"/>
                <w:color w:val="auto"/>
                <w:highlight w:val="none"/>
              </w:rPr>
            </w:pPr>
          </w:p>
        </w:tc>
      </w:tr>
      <w:tr w14:paraId="1A0D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6DD41E92">
            <w:pPr>
              <w:spacing w:line="440" w:lineRule="exact"/>
              <w:rPr>
                <w:rFonts w:hint="eastAsia" w:ascii="宋体" w:hAnsi="宋体" w:eastAsia="宋体" w:cs="宋体"/>
                <w:color w:val="auto"/>
                <w:highlight w:val="none"/>
              </w:rPr>
            </w:pPr>
          </w:p>
        </w:tc>
        <w:tc>
          <w:tcPr>
            <w:tcW w:w="2434" w:type="dxa"/>
            <w:tcBorders>
              <w:top w:val="single" w:color="auto" w:sz="4" w:space="0"/>
              <w:left w:val="nil"/>
              <w:bottom w:val="single" w:color="auto" w:sz="4" w:space="0"/>
              <w:right w:val="single" w:color="auto" w:sz="4" w:space="0"/>
            </w:tcBorders>
            <w:noWrap w:val="0"/>
            <w:vAlign w:val="top"/>
          </w:tcPr>
          <w:p w14:paraId="335922C3">
            <w:pPr>
              <w:spacing w:line="440" w:lineRule="exact"/>
              <w:rPr>
                <w:rFonts w:hint="eastAsia" w:ascii="宋体" w:hAnsi="宋体" w:eastAsia="宋体" w:cs="宋体"/>
                <w:color w:val="auto"/>
                <w:highlight w:val="none"/>
              </w:rPr>
            </w:pPr>
          </w:p>
        </w:tc>
        <w:tc>
          <w:tcPr>
            <w:tcW w:w="2483" w:type="dxa"/>
            <w:tcBorders>
              <w:top w:val="single" w:color="auto" w:sz="4" w:space="0"/>
              <w:left w:val="nil"/>
              <w:bottom w:val="single" w:color="auto" w:sz="4" w:space="0"/>
              <w:right w:val="single" w:color="auto" w:sz="4" w:space="0"/>
            </w:tcBorders>
            <w:noWrap w:val="0"/>
            <w:vAlign w:val="top"/>
          </w:tcPr>
          <w:p w14:paraId="55EF81F6">
            <w:pPr>
              <w:spacing w:line="440" w:lineRule="exact"/>
              <w:rPr>
                <w:rFonts w:hint="eastAsia" w:ascii="宋体" w:hAnsi="宋体" w:eastAsia="宋体" w:cs="宋体"/>
                <w:color w:val="auto"/>
                <w:highlight w:val="none"/>
              </w:rPr>
            </w:pPr>
          </w:p>
        </w:tc>
        <w:tc>
          <w:tcPr>
            <w:tcW w:w="2517" w:type="dxa"/>
            <w:gridSpan w:val="2"/>
            <w:tcBorders>
              <w:top w:val="single" w:color="auto" w:sz="4" w:space="0"/>
              <w:left w:val="nil"/>
              <w:bottom w:val="single" w:color="auto" w:sz="4" w:space="0"/>
              <w:right w:val="single" w:color="auto" w:sz="4" w:space="0"/>
            </w:tcBorders>
            <w:noWrap w:val="0"/>
            <w:vAlign w:val="top"/>
          </w:tcPr>
          <w:p w14:paraId="701C6EF4">
            <w:pPr>
              <w:spacing w:line="440" w:lineRule="exact"/>
              <w:rPr>
                <w:rFonts w:hint="eastAsia" w:ascii="宋体" w:hAnsi="宋体" w:eastAsia="宋体" w:cs="宋体"/>
                <w:color w:val="auto"/>
                <w:highlight w:val="none"/>
              </w:rPr>
            </w:pPr>
          </w:p>
        </w:tc>
      </w:tr>
      <w:tr w14:paraId="2F42C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449" w:type="dxa"/>
            <w:tcBorders>
              <w:top w:val="single" w:color="auto" w:sz="4" w:space="0"/>
              <w:left w:val="single" w:color="auto" w:sz="4" w:space="0"/>
              <w:bottom w:val="single" w:color="auto" w:sz="4" w:space="0"/>
              <w:right w:val="single" w:color="auto" w:sz="4" w:space="0"/>
            </w:tcBorders>
            <w:noWrap w:val="0"/>
            <w:vAlign w:val="top"/>
          </w:tcPr>
          <w:p w14:paraId="7A932AF6">
            <w:pPr>
              <w:spacing w:line="440" w:lineRule="exact"/>
              <w:rPr>
                <w:rFonts w:hint="eastAsia" w:ascii="宋体" w:hAnsi="宋体" w:eastAsia="宋体" w:cs="宋体"/>
                <w:color w:val="auto"/>
                <w:highlight w:val="none"/>
              </w:rPr>
            </w:pPr>
          </w:p>
        </w:tc>
        <w:tc>
          <w:tcPr>
            <w:tcW w:w="2434" w:type="dxa"/>
            <w:tcBorders>
              <w:top w:val="single" w:color="auto" w:sz="4" w:space="0"/>
              <w:left w:val="nil"/>
              <w:bottom w:val="single" w:color="auto" w:sz="4" w:space="0"/>
              <w:right w:val="single" w:color="auto" w:sz="4" w:space="0"/>
            </w:tcBorders>
            <w:noWrap w:val="0"/>
            <w:vAlign w:val="top"/>
          </w:tcPr>
          <w:p w14:paraId="2AADA64B">
            <w:pPr>
              <w:spacing w:line="440" w:lineRule="exact"/>
              <w:rPr>
                <w:rFonts w:hint="eastAsia" w:ascii="宋体" w:hAnsi="宋体" w:eastAsia="宋体" w:cs="宋体"/>
                <w:color w:val="auto"/>
                <w:highlight w:val="none"/>
              </w:rPr>
            </w:pPr>
          </w:p>
        </w:tc>
        <w:tc>
          <w:tcPr>
            <w:tcW w:w="2483" w:type="dxa"/>
            <w:tcBorders>
              <w:top w:val="single" w:color="auto" w:sz="4" w:space="0"/>
              <w:left w:val="nil"/>
              <w:bottom w:val="single" w:color="auto" w:sz="4" w:space="0"/>
              <w:right w:val="single" w:color="auto" w:sz="4" w:space="0"/>
            </w:tcBorders>
            <w:noWrap w:val="0"/>
            <w:vAlign w:val="top"/>
          </w:tcPr>
          <w:p w14:paraId="35054A68">
            <w:pPr>
              <w:spacing w:line="440" w:lineRule="exact"/>
              <w:rPr>
                <w:rFonts w:hint="eastAsia" w:ascii="宋体" w:hAnsi="宋体" w:eastAsia="宋体" w:cs="宋体"/>
                <w:color w:val="auto"/>
                <w:highlight w:val="none"/>
              </w:rPr>
            </w:pPr>
          </w:p>
        </w:tc>
        <w:tc>
          <w:tcPr>
            <w:tcW w:w="2517" w:type="dxa"/>
            <w:gridSpan w:val="2"/>
            <w:tcBorders>
              <w:top w:val="single" w:color="auto" w:sz="4" w:space="0"/>
              <w:left w:val="nil"/>
              <w:bottom w:val="single" w:color="auto" w:sz="4" w:space="0"/>
              <w:right w:val="single" w:color="auto" w:sz="4" w:space="0"/>
            </w:tcBorders>
            <w:noWrap w:val="0"/>
            <w:vAlign w:val="top"/>
          </w:tcPr>
          <w:p w14:paraId="62A8B665">
            <w:pPr>
              <w:spacing w:line="440" w:lineRule="exact"/>
              <w:rPr>
                <w:rFonts w:hint="eastAsia" w:ascii="宋体" w:hAnsi="宋体" w:eastAsia="宋体" w:cs="宋体"/>
                <w:color w:val="auto"/>
                <w:highlight w:val="none"/>
              </w:rPr>
            </w:pPr>
          </w:p>
        </w:tc>
      </w:tr>
    </w:tbl>
    <w:p w14:paraId="321ADB90">
      <w:pPr>
        <w:autoSpaceDE w:val="0"/>
        <w:autoSpaceDN w:val="0"/>
        <w:adjustRightInd w:val="0"/>
        <w:spacing w:line="110" w:lineRule="exact"/>
        <w:rPr>
          <w:rFonts w:hint="eastAsia" w:ascii="宋体" w:hAnsi="宋体" w:eastAsia="宋体" w:cs="宋体"/>
          <w:color w:val="auto"/>
          <w:kern w:val="0"/>
          <w:sz w:val="11"/>
          <w:szCs w:val="11"/>
          <w:highlight w:val="none"/>
        </w:rPr>
      </w:pPr>
    </w:p>
    <w:p w14:paraId="186797D2">
      <w:pPr>
        <w:rPr>
          <w:rFonts w:hint="eastAsia" w:ascii="宋体" w:hAnsi="宋体" w:eastAsia="宋体" w:cs="宋体"/>
          <w:color w:val="auto"/>
          <w:szCs w:val="32"/>
          <w:highlight w:val="none"/>
        </w:rPr>
      </w:pPr>
      <w:r>
        <w:rPr>
          <w:rFonts w:hint="eastAsia" w:ascii="宋体" w:hAnsi="宋体" w:eastAsia="宋体" w:cs="宋体"/>
          <w:bCs w:val="0"/>
          <w:color w:val="auto"/>
          <w:sz w:val="24"/>
          <w:szCs w:val="24"/>
          <w:highlight w:val="none"/>
          <w:lang w:val="zh-CN"/>
        </w:rPr>
        <w:br w:type="page"/>
      </w:r>
    </w:p>
    <w:bookmarkEnd w:id="839"/>
    <w:bookmarkEnd w:id="840"/>
    <w:p w14:paraId="6E86CAAD">
      <w:pPr>
        <w:bidi w:val="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八、其他资料</w:t>
      </w:r>
    </w:p>
    <w:p w14:paraId="50334717">
      <w:pPr>
        <w:keepNext/>
        <w:keepLines/>
        <w:widowControl/>
        <w:kinsoku w:val="0"/>
        <w:autoSpaceDE w:val="0"/>
        <w:autoSpaceDN w:val="0"/>
        <w:adjustRightInd w:val="0"/>
        <w:snapToGrid w:val="0"/>
        <w:spacing w:before="260" w:after="260" w:line="416" w:lineRule="auto"/>
        <w:jc w:val="center"/>
        <w:textAlignment w:val="baseline"/>
        <w:outlineLvl w:val="1"/>
        <w:rPr>
          <w:rFonts w:hint="eastAsia" w:ascii="宋体" w:hAnsi="宋体" w:eastAsia="宋体" w:cs="宋体"/>
          <w:b/>
          <w:bCs/>
          <w:snapToGrid w:val="0"/>
          <w:color w:val="auto"/>
          <w:kern w:val="0"/>
          <w:sz w:val="28"/>
          <w:szCs w:val="28"/>
          <w:highlight w:val="none"/>
          <w:lang w:eastAsia="en-US"/>
        </w:rPr>
      </w:pPr>
      <w:r>
        <w:rPr>
          <w:rFonts w:hint="eastAsia" w:ascii="宋体" w:hAnsi="宋体" w:eastAsia="宋体" w:cs="宋体"/>
          <w:b/>
          <w:bCs/>
          <w:snapToGrid w:val="0"/>
          <w:color w:val="auto"/>
          <w:kern w:val="0"/>
          <w:sz w:val="28"/>
          <w:szCs w:val="28"/>
          <w:highlight w:val="none"/>
          <w:lang w:eastAsia="zh-CN"/>
        </w:rPr>
        <w:t>（</w:t>
      </w:r>
      <w:r>
        <w:rPr>
          <w:rFonts w:hint="eastAsia" w:ascii="宋体" w:hAnsi="宋体" w:eastAsia="宋体" w:cs="宋体"/>
          <w:b/>
          <w:bCs/>
          <w:snapToGrid w:val="0"/>
          <w:color w:val="auto"/>
          <w:kern w:val="0"/>
          <w:sz w:val="28"/>
          <w:szCs w:val="28"/>
          <w:highlight w:val="none"/>
          <w:lang w:val="en-US" w:eastAsia="zh-CN"/>
        </w:rPr>
        <w:t>1</w:t>
      </w:r>
      <w:r>
        <w:rPr>
          <w:rFonts w:hint="eastAsia" w:ascii="宋体" w:hAnsi="宋体" w:eastAsia="宋体" w:cs="宋体"/>
          <w:b/>
          <w:bCs/>
          <w:snapToGrid w:val="0"/>
          <w:color w:val="auto"/>
          <w:kern w:val="0"/>
          <w:sz w:val="28"/>
          <w:szCs w:val="28"/>
          <w:highlight w:val="none"/>
          <w:lang w:eastAsia="zh-CN"/>
        </w:rPr>
        <w:t>）</w:t>
      </w:r>
      <w:r>
        <w:rPr>
          <w:rFonts w:hint="eastAsia" w:ascii="宋体" w:hAnsi="宋体" w:eastAsia="宋体" w:cs="宋体"/>
          <w:b/>
          <w:bCs/>
          <w:snapToGrid w:val="0"/>
          <w:color w:val="auto"/>
          <w:kern w:val="0"/>
          <w:sz w:val="28"/>
          <w:szCs w:val="28"/>
          <w:highlight w:val="none"/>
          <w:lang w:eastAsia="en-US"/>
        </w:rPr>
        <w:t>供应商诚信承诺书</w:t>
      </w:r>
    </w:p>
    <w:p w14:paraId="2D1BBC41">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 xml:space="preserve">我单位在参加 </w:t>
      </w:r>
      <w:r>
        <w:rPr>
          <w:rFonts w:hint="eastAsia" w:ascii="宋体" w:hAnsi="宋体" w:eastAsia="宋体" w:cs="宋体"/>
          <w:snapToGrid w:val="0"/>
          <w:color w:val="auto"/>
          <w:kern w:val="0"/>
          <w:sz w:val="24"/>
          <w:szCs w:val="21"/>
          <w:highlight w:val="none"/>
          <w:u w:val="single"/>
          <w:lang w:eastAsia="en-US"/>
        </w:rPr>
        <w:t xml:space="preserve"> （项目名称）</w:t>
      </w:r>
      <w:r>
        <w:rPr>
          <w:rFonts w:hint="eastAsia" w:ascii="宋体" w:hAnsi="宋体" w:eastAsia="宋体" w:cs="宋体"/>
          <w:snapToGrid w:val="0"/>
          <w:color w:val="auto"/>
          <w:kern w:val="0"/>
          <w:sz w:val="24"/>
          <w:szCs w:val="21"/>
          <w:highlight w:val="none"/>
          <w:lang w:eastAsia="en-US"/>
        </w:rPr>
        <w:t>项目的投标活动中，郑重承诺如下：</w:t>
      </w:r>
    </w:p>
    <w:p w14:paraId="18329887">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1．我方在此声明，本次招标投标活动中申报的所有资料都是真实、准确、完整的，如发现提供虚假资料，或与事实不符而导致投标无效，甚至造成任何法律和经济责任，完全由我方负责；</w:t>
      </w:r>
    </w:p>
    <w:p w14:paraId="3093773D">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2．我方在本次投标活动中绝无挂靠、串标、围标情形，若经贵方查出，立即取消我方投标或中标资格并承担相应的法律责任；</w:t>
      </w:r>
    </w:p>
    <w:p w14:paraId="64302BCA">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3．我方在以往的招标采购活动中，无重大违法、违规的不良记录；</w:t>
      </w:r>
    </w:p>
    <w:p w14:paraId="26E0200E">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4．我方一旦中标，将严格按照响应文件中所承诺的报价、质量、服务期限等内容组织实施；保证在领取成交通知书时，按磋商文件的规定，以转账或现金的方式，向代理机构一次性支付招标代理服务费用。</w:t>
      </w:r>
    </w:p>
    <w:p w14:paraId="672C54EC">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5．我方一旦中标，将按规定及时与采购人签订合同。</w:t>
      </w:r>
    </w:p>
    <w:p w14:paraId="264A7D03">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若我方违反上述承诺，自愿无条件接受采购单位处罚。对造成的损失、任何法律和经济责任完全由我单位负责。</w:t>
      </w:r>
    </w:p>
    <w:p w14:paraId="55F10D06">
      <w:pPr>
        <w:widowControl/>
        <w:kinsoku w:val="0"/>
        <w:autoSpaceDE w:val="0"/>
        <w:autoSpaceDN w:val="0"/>
        <w:adjustRightInd w:val="0"/>
        <w:snapToGrid w:val="0"/>
        <w:spacing w:before="120" w:beforeLines="50" w:line="240" w:lineRule="auto"/>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p>
    <w:p w14:paraId="682B1C16">
      <w:pPr>
        <w:widowControl/>
        <w:kinsoku w:val="0"/>
        <w:autoSpaceDE w:val="0"/>
        <w:autoSpaceDN w:val="0"/>
        <w:adjustRightInd w:val="0"/>
        <w:snapToGrid w:val="0"/>
        <w:spacing w:before="120" w:beforeLines="50" w:line="240" w:lineRule="auto"/>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p>
    <w:p w14:paraId="2E042737">
      <w:pPr>
        <w:widowControl/>
        <w:kinsoku w:val="0"/>
        <w:autoSpaceDE w:val="0"/>
        <w:autoSpaceDN w:val="0"/>
        <w:adjustRightInd w:val="0"/>
        <w:snapToGrid w:val="0"/>
        <w:spacing w:before="120" w:beforeLines="50" w:line="240" w:lineRule="auto"/>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p>
    <w:p w14:paraId="525DAD16">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 xml:space="preserve">供应商（电子签章）： </w:t>
      </w:r>
    </w:p>
    <w:p w14:paraId="42524559">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 xml:space="preserve">法定代表人(签字或电子签章)： </w:t>
      </w:r>
    </w:p>
    <w:p w14:paraId="0807E37F">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 xml:space="preserve">日期：       年    月    日 </w:t>
      </w:r>
    </w:p>
    <w:p w14:paraId="5B53124B">
      <w:pPr>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br w:type="page"/>
      </w:r>
    </w:p>
    <w:p w14:paraId="416EFDBA">
      <w:pPr>
        <w:keepNext/>
        <w:keepLines/>
        <w:widowControl/>
        <w:kinsoku w:val="0"/>
        <w:autoSpaceDE w:val="0"/>
        <w:autoSpaceDN w:val="0"/>
        <w:adjustRightInd w:val="0"/>
        <w:snapToGrid w:val="0"/>
        <w:spacing w:before="260" w:after="260" w:line="416" w:lineRule="auto"/>
        <w:jc w:val="center"/>
        <w:textAlignment w:val="baseline"/>
        <w:outlineLvl w:val="1"/>
        <w:rPr>
          <w:rFonts w:hint="eastAsia" w:ascii="宋体" w:hAnsi="宋体" w:eastAsia="宋体" w:cs="宋体"/>
          <w:b/>
          <w:bCs/>
          <w:snapToGrid w:val="0"/>
          <w:color w:val="auto"/>
          <w:kern w:val="0"/>
          <w:sz w:val="28"/>
          <w:szCs w:val="28"/>
          <w:highlight w:val="none"/>
          <w:lang w:eastAsia="en-US"/>
        </w:rPr>
      </w:pPr>
      <w:bookmarkStart w:id="846" w:name="_Toc1228"/>
      <w:r>
        <w:rPr>
          <w:rFonts w:hint="eastAsia" w:ascii="宋体" w:hAnsi="宋体" w:eastAsia="宋体" w:cs="宋体"/>
          <w:b/>
          <w:bCs/>
          <w:snapToGrid w:val="0"/>
          <w:color w:val="auto"/>
          <w:kern w:val="0"/>
          <w:sz w:val="28"/>
          <w:szCs w:val="28"/>
          <w:highlight w:val="none"/>
          <w:lang w:eastAsia="zh-CN"/>
        </w:rPr>
        <w:t>（</w:t>
      </w:r>
      <w:r>
        <w:rPr>
          <w:rFonts w:hint="eastAsia" w:ascii="宋体" w:hAnsi="宋体" w:eastAsia="宋体" w:cs="宋体"/>
          <w:b/>
          <w:bCs/>
          <w:snapToGrid w:val="0"/>
          <w:color w:val="auto"/>
          <w:kern w:val="0"/>
          <w:sz w:val="28"/>
          <w:szCs w:val="28"/>
          <w:highlight w:val="none"/>
          <w:lang w:val="en-US" w:eastAsia="zh-CN"/>
        </w:rPr>
        <w:t>2</w:t>
      </w:r>
      <w:r>
        <w:rPr>
          <w:rFonts w:hint="eastAsia" w:ascii="宋体" w:hAnsi="宋体" w:eastAsia="宋体" w:cs="宋体"/>
          <w:b/>
          <w:bCs/>
          <w:snapToGrid w:val="0"/>
          <w:color w:val="auto"/>
          <w:kern w:val="0"/>
          <w:sz w:val="28"/>
          <w:szCs w:val="28"/>
          <w:highlight w:val="none"/>
          <w:lang w:eastAsia="zh-CN"/>
        </w:rPr>
        <w:t>）</w:t>
      </w:r>
      <w:r>
        <w:rPr>
          <w:rFonts w:hint="eastAsia" w:ascii="宋体" w:hAnsi="宋体" w:eastAsia="宋体" w:cs="宋体"/>
          <w:b/>
          <w:bCs/>
          <w:snapToGrid w:val="0"/>
          <w:color w:val="auto"/>
          <w:kern w:val="0"/>
          <w:sz w:val="28"/>
          <w:szCs w:val="28"/>
          <w:highlight w:val="none"/>
          <w:lang w:eastAsia="en-US"/>
        </w:rPr>
        <w:t>反商业贿赂承诺书</w:t>
      </w:r>
      <w:bookmarkEnd w:id="846"/>
    </w:p>
    <w:p w14:paraId="3F3869B1">
      <w:pPr>
        <w:widowControl/>
        <w:kinsoku w:val="0"/>
        <w:autoSpaceDE w:val="0"/>
        <w:autoSpaceDN w:val="0"/>
        <w:adjustRightInd w:val="0"/>
        <w:snapToGrid w:val="0"/>
        <w:spacing w:line="600" w:lineRule="exact"/>
        <w:jc w:val="left"/>
        <w:textAlignment w:val="baseline"/>
        <w:rPr>
          <w:rFonts w:hint="eastAsia" w:ascii="宋体" w:hAnsi="宋体" w:eastAsia="宋体" w:cs="宋体"/>
          <w:b/>
          <w:snapToGrid w:val="0"/>
          <w:color w:val="auto"/>
          <w:kern w:val="0"/>
          <w:sz w:val="24"/>
          <w:szCs w:val="21"/>
          <w:highlight w:val="none"/>
          <w:lang w:eastAsia="en-US"/>
        </w:rPr>
      </w:pPr>
      <w:r>
        <w:rPr>
          <w:rFonts w:hint="eastAsia" w:ascii="宋体" w:hAnsi="宋体" w:eastAsia="宋体" w:cs="宋体"/>
          <w:b/>
          <w:snapToGrid w:val="0"/>
          <w:color w:val="auto"/>
          <w:kern w:val="0"/>
          <w:sz w:val="24"/>
          <w:szCs w:val="21"/>
          <w:highlight w:val="none"/>
          <w:lang w:eastAsia="en-US"/>
        </w:rPr>
        <w:t>我公司承诺：</w:t>
      </w:r>
    </w:p>
    <w:p w14:paraId="021FCA22">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在本次政府采购活动中，我公司保证做到：</w:t>
      </w:r>
    </w:p>
    <w:p w14:paraId="28CF2051">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一、公平竞争参加本次政府采购招标投标活动。</w:t>
      </w:r>
    </w:p>
    <w:p w14:paraId="399B7177">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二、杜绝任何形式的商业贿赂行为。不向国家工作人员、政府采购代理机构工作人员、评审专家及其亲属提供礼品礼金、有价证券、购物券、回扣、佣金、咨询费、劳务费、赞助费、宣传费、宴请；不为其报销各种消费凭证，不支付其旅游、娱乐等费用。</w:t>
      </w:r>
    </w:p>
    <w:p w14:paraId="6371E98E">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三、若出现上述行为，我公司及参与投标的工作人员愿意接受按照国家法律法规等有关规定给予的处罚。</w:t>
      </w:r>
    </w:p>
    <w:p w14:paraId="7E7A75BC">
      <w:pPr>
        <w:widowControl/>
        <w:kinsoku w:val="0"/>
        <w:autoSpaceDE w:val="0"/>
        <w:autoSpaceDN w:val="0"/>
        <w:adjustRightInd w:val="0"/>
        <w:snapToGrid w:val="0"/>
        <w:spacing w:line="600" w:lineRule="exact"/>
        <w:jc w:val="left"/>
        <w:textAlignment w:val="baseline"/>
        <w:rPr>
          <w:rFonts w:hint="eastAsia" w:ascii="宋体" w:hAnsi="宋体" w:eastAsia="宋体" w:cs="宋体"/>
          <w:snapToGrid w:val="0"/>
          <w:color w:val="auto"/>
          <w:kern w:val="0"/>
          <w:sz w:val="24"/>
          <w:szCs w:val="21"/>
          <w:highlight w:val="none"/>
          <w:lang w:eastAsia="en-US"/>
        </w:rPr>
      </w:pPr>
    </w:p>
    <w:p w14:paraId="6DCD1C3C">
      <w:pPr>
        <w:widowControl/>
        <w:kinsoku w:val="0"/>
        <w:autoSpaceDE w:val="0"/>
        <w:autoSpaceDN w:val="0"/>
        <w:adjustRightInd w:val="0"/>
        <w:snapToGrid w:val="0"/>
        <w:spacing w:line="600" w:lineRule="exact"/>
        <w:jc w:val="left"/>
        <w:textAlignment w:val="baseline"/>
        <w:rPr>
          <w:rFonts w:hint="eastAsia" w:ascii="宋体" w:hAnsi="宋体" w:eastAsia="宋体" w:cs="宋体"/>
          <w:snapToGrid w:val="0"/>
          <w:color w:val="auto"/>
          <w:kern w:val="0"/>
          <w:sz w:val="24"/>
          <w:szCs w:val="21"/>
          <w:highlight w:val="none"/>
          <w:lang w:eastAsia="en-US"/>
        </w:rPr>
      </w:pPr>
    </w:p>
    <w:p w14:paraId="137317A6">
      <w:pPr>
        <w:widowControl/>
        <w:kinsoku w:val="0"/>
        <w:autoSpaceDE w:val="0"/>
        <w:autoSpaceDN w:val="0"/>
        <w:adjustRightInd w:val="0"/>
        <w:snapToGrid w:val="0"/>
        <w:spacing w:line="600" w:lineRule="exact"/>
        <w:jc w:val="left"/>
        <w:textAlignment w:val="baseline"/>
        <w:rPr>
          <w:rFonts w:hint="eastAsia" w:ascii="宋体" w:hAnsi="宋体" w:eastAsia="宋体" w:cs="宋体"/>
          <w:snapToGrid w:val="0"/>
          <w:color w:val="auto"/>
          <w:kern w:val="0"/>
          <w:sz w:val="24"/>
          <w:szCs w:val="21"/>
          <w:highlight w:val="none"/>
          <w:lang w:eastAsia="en-US"/>
        </w:rPr>
      </w:pPr>
    </w:p>
    <w:p w14:paraId="1459343F">
      <w:pPr>
        <w:widowControl/>
        <w:kinsoku w:val="0"/>
        <w:autoSpaceDE w:val="0"/>
        <w:autoSpaceDN w:val="0"/>
        <w:adjustRightInd w:val="0"/>
        <w:snapToGrid w:val="0"/>
        <w:spacing w:line="600" w:lineRule="exact"/>
        <w:jc w:val="left"/>
        <w:textAlignment w:val="baseline"/>
        <w:rPr>
          <w:rFonts w:hint="eastAsia" w:ascii="宋体" w:hAnsi="宋体" w:eastAsia="宋体" w:cs="宋体"/>
          <w:snapToGrid w:val="0"/>
          <w:color w:val="auto"/>
          <w:kern w:val="0"/>
          <w:sz w:val="24"/>
          <w:szCs w:val="21"/>
          <w:highlight w:val="none"/>
          <w:lang w:eastAsia="en-US"/>
        </w:rPr>
      </w:pPr>
    </w:p>
    <w:p w14:paraId="3E991CED">
      <w:pPr>
        <w:widowControl/>
        <w:kinsoku w:val="0"/>
        <w:autoSpaceDE w:val="0"/>
        <w:autoSpaceDN w:val="0"/>
        <w:adjustRightInd w:val="0"/>
        <w:snapToGrid w:val="0"/>
        <w:spacing w:line="600" w:lineRule="exact"/>
        <w:jc w:val="left"/>
        <w:textAlignment w:val="baseline"/>
        <w:rPr>
          <w:rFonts w:hint="eastAsia" w:ascii="宋体" w:hAnsi="宋体" w:eastAsia="宋体" w:cs="宋体"/>
          <w:snapToGrid w:val="0"/>
          <w:color w:val="auto"/>
          <w:kern w:val="0"/>
          <w:sz w:val="24"/>
          <w:szCs w:val="21"/>
          <w:highlight w:val="none"/>
          <w:lang w:eastAsia="en-US"/>
        </w:rPr>
      </w:pPr>
    </w:p>
    <w:p w14:paraId="0268999E">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 xml:space="preserve">供应商（电子签章）： </w:t>
      </w:r>
    </w:p>
    <w:p w14:paraId="2E23010D">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 xml:space="preserve">法定代表人(签字或电子签章)： </w:t>
      </w:r>
    </w:p>
    <w:p w14:paraId="7DEF5F01">
      <w:pPr>
        <w:widowControl/>
        <w:kinsoku w:val="0"/>
        <w:autoSpaceDE w:val="0"/>
        <w:autoSpaceDN w:val="0"/>
        <w:adjustRightInd w:val="0"/>
        <w:snapToGrid w:val="0"/>
        <w:spacing w:line="600" w:lineRule="exact"/>
        <w:ind w:firstLine="480" w:firstLineChars="200"/>
        <w:jc w:val="left"/>
        <w:textAlignment w:val="baseline"/>
        <w:rPr>
          <w:rFonts w:hint="eastAsia" w:ascii="宋体" w:hAnsi="宋体" w:eastAsia="宋体" w:cs="宋体"/>
          <w:b/>
          <w:bCs/>
          <w:snapToGrid w:val="0"/>
          <w:color w:val="auto"/>
          <w:kern w:val="0"/>
          <w:sz w:val="24"/>
          <w:szCs w:val="21"/>
          <w:highlight w:val="none"/>
          <w:lang w:eastAsia="en-US"/>
        </w:rPr>
      </w:pPr>
      <w:r>
        <w:rPr>
          <w:rFonts w:hint="eastAsia" w:ascii="宋体" w:hAnsi="宋体" w:eastAsia="宋体" w:cs="宋体"/>
          <w:snapToGrid w:val="0"/>
          <w:color w:val="auto"/>
          <w:kern w:val="0"/>
          <w:sz w:val="24"/>
          <w:szCs w:val="21"/>
          <w:highlight w:val="none"/>
          <w:lang w:eastAsia="en-US"/>
        </w:rPr>
        <w:t xml:space="preserve">日期：       年    月    日 </w:t>
      </w:r>
    </w:p>
    <w:p w14:paraId="1E784106">
      <w:pP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br w:type="page"/>
      </w:r>
    </w:p>
    <w:p w14:paraId="6E1B8A28">
      <w:pPr>
        <w:pStyle w:val="15"/>
        <w:ind w:firstLine="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附件1</w:t>
      </w:r>
    </w:p>
    <w:p w14:paraId="61665047">
      <w:pPr>
        <w:pStyle w:val="15"/>
        <w:ind w:firstLine="0"/>
        <w:jc w:val="center"/>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中小企业声明函（工程、服务）</w:t>
      </w:r>
    </w:p>
    <w:p w14:paraId="1EE17692">
      <w:pPr>
        <w:pStyle w:val="15"/>
        <w:ind w:firstLine="0"/>
        <w:jc w:val="center"/>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sz w:val="24"/>
          <w:szCs w:val="24"/>
          <w:highlight w:val="none"/>
          <w:lang w:val="zh-CN"/>
        </w:rPr>
        <w:t>（如有）</w:t>
      </w:r>
    </w:p>
    <w:p w14:paraId="3FF986C6">
      <w:pPr>
        <w:pStyle w:val="15"/>
        <w:spacing w:line="360" w:lineRule="auto"/>
        <w:ind w:firstLine="461"/>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本公司（联合体）郑重声明，根据《政府采购促进中小企业发展管理办法》（财库[20</w:t>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lang w:val="zh-CN"/>
        </w:rPr>
        <w:t>]</w:t>
      </w:r>
      <w:r>
        <w:rPr>
          <w:rFonts w:hint="eastAsia" w:ascii="宋体" w:hAnsi="宋体" w:eastAsia="宋体" w:cs="宋体"/>
          <w:color w:val="auto"/>
          <w:sz w:val="24"/>
          <w:szCs w:val="24"/>
          <w:highlight w:val="none"/>
        </w:rPr>
        <w:t>46</w:t>
      </w:r>
      <w:r>
        <w:rPr>
          <w:rFonts w:hint="eastAsia" w:ascii="宋体" w:hAnsi="宋体" w:eastAsia="宋体" w:cs="宋体"/>
          <w:color w:val="auto"/>
          <w:sz w:val="24"/>
          <w:szCs w:val="24"/>
          <w:highlight w:val="none"/>
          <w:lang w:val="zh-CN"/>
        </w:rPr>
        <w:t>号）的规定，本公司（联合体）参加</w:t>
      </w:r>
      <w:r>
        <w:rPr>
          <w:rFonts w:hint="eastAsia" w:ascii="宋体" w:hAnsi="宋体" w:eastAsia="宋体" w:cs="宋体"/>
          <w:color w:val="auto"/>
          <w:sz w:val="24"/>
          <w:szCs w:val="24"/>
          <w:highlight w:val="none"/>
          <w:u w:val="single"/>
          <w:lang w:val="zh-CN"/>
        </w:rPr>
        <w:t>（单位名称）</w:t>
      </w:r>
      <w:r>
        <w:rPr>
          <w:rFonts w:hint="eastAsia" w:ascii="宋体" w:hAnsi="宋体" w:eastAsia="宋体" w:cs="宋体"/>
          <w:color w:val="auto"/>
          <w:sz w:val="24"/>
          <w:szCs w:val="24"/>
          <w:highlight w:val="none"/>
          <w:lang w:val="zh-CN"/>
        </w:rPr>
        <w:t>的</w:t>
      </w:r>
      <w:r>
        <w:rPr>
          <w:rFonts w:hint="eastAsia" w:ascii="宋体" w:hAnsi="宋体" w:eastAsia="宋体" w:cs="宋体"/>
          <w:color w:val="auto"/>
          <w:sz w:val="24"/>
          <w:szCs w:val="24"/>
          <w:highlight w:val="none"/>
          <w:u w:val="single"/>
          <w:lang w:val="zh-CN"/>
        </w:rPr>
        <w:t>（项目名称）</w:t>
      </w:r>
      <w:r>
        <w:rPr>
          <w:rFonts w:hint="eastAsia" w:ascii="宋体" w:hAnsi="宋体" w:eastAsia="宋体" w:cs="宋体"/>
          <w:color w:val="auto"/>
          <w:sz w:val="24"/>
          <w:szCs w:val="24"/>
          <w:highlight w:val="none"/>
          <w:lang w:val="zh-CN"/>
        </w:rPr>
        <w:t>采购活动，工程的施工单位全部为符合政策要求的中小企业（或者：服务全部由符合政策要求的中小企业承接）。相关企业（含联合体中的中小企业、签订分包意向协议的中小企业）的具体情况如下：</w:t>
      </w:r>
    </w:p>
    <w:p w14:paraId="6D329EE1">
      <w:pPr>
        <w:pStyle w:val="15"/>
        <w:numPr>
          <w:ilvl w:val="0"/>
          <w:numId w:val="19"/>
        </w:numPr>
        <w:spacing w:line="360" w:lineRule="auto"/>
        <w:ind w:firstLine="461"/>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lang w:val="zh-CN"/>
        </w:rPr>
        <w:t>（标的名称）</w:t>
      </w:r>
      <w:r>
        <w:rPr>
          <w:rFonts w:hint="eastAsia" w:ascii="宋体" w:hAnsi="宋体" w:eastAsia="宋体" w:cs="宋体"/>
          <w:color w:val="auto"/>
          <w:sz w:val="24"/>
          <w:szCs w:val="24"/>
          <w:highlight w:val="none"/>
          <w:lang w:val="zh-CN"/>
        </w:rPr>
        <w:t>，属于</w:t>
      </w:r>
      <w:r>
        <w:rPr>
          <w:rFonts w:hint="eastAsia" w:ascii="宋体" w:hAnsi="宋体" w:eastAsia="宋体" w:cs="宋体"/>
          <w:color w:val="auto"/>
          <w:sz w:val="24"/>
          <w:szCs w:val="24"/>
          <w:highlight w:val="none"/>
          <w:u w:val="single"/>
          <w:lang w:val="zh-CN"/>
        </w:rPr>
        <w:t>（采购文件中明确的所属行业）</w:t>
      </w:r>
      <w:r>
        <w:rPr>
          <w:rFonts w:hint="eastAsia" w:ascii="宋体" w:hAnsi="宋体" w:eastAsia="宋体" w:cs="宋体"/>
          <w:color w:val="auto"/>
          <w:sz w:val="24"/>
          <w:szCs w:val="24"/>
          <w:highlight w:val="none"/>
          <w:lang w:val="zh-CN"/>
        </w:rPr>
        <w:t>行业；承建（承接）企业为</w:t>
      </w:r>
      <w:r>
        <w:rPr>
          <w:rFonts w:hint="eastAsia" w:ascii="宋体" w:hAnsi="宋体" w:eastAsia="宋体" w:cs="宋体"/>
          <w:color w:val="auto"/>
          <w:sz w:val="24"/>
          <w:szCs w:val="24"/>
          <w:highlight w:val="none"/>
          <w:u w:val="single"/>
          <w:lang w:val="zh-CN"/>
        </w:rPr>
        <w:t>（企业名称）</w:t>
      </w:r>
      <w:r>
        <w:rPr>
          <w:rFonts w:hint="eastAsia" w:ascii="宋体" w:hAnsi="宋体" w:eastAsia="宋体" w:cs="宋体"/>
          <w:color w:val="auto"/>
          <w:sz w:val="24"/>
          <w:szCs w:val="24"/>
          <w:highlight w:val="none"/>
          <w:lang w:val="zh-CN"/>
        </w:rPr>
        <w:t>，从业人员</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人，营业收入为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万元，资产总额为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万元，属于</w:t>
      </w:r>
      <w:r>
        <w:rPr>
          <w:rFonts w:hint="eastAsia" w:ascii="宋体" w:hAnsi="宋体" w:eastAsia="宋体" w:cs="宋体"/>
          <w:color w:val="auto"/>
          <w:sz w:val="24"/>
          <w:szCs w:val="24"/>
          <w:highlight w:val="none"/>
          <w:u w:val="single"/>
        </w:rPr>
        <w:t>（中型企业、小型企业、微型企业）</w:t>
      </w:r>
      <w:r>
        <w:rPr>
          <w:rFonts w:hint="eastAsia" w:ascii="宋体" w:hAnsi="宋体" w:eastAsia="宋体" w:cs="宋体"/>
          <w:color w:val="auto"/>
          <w:sz w:val="24"/>
          <w:szCs w:val="24"/>
          <w:highlight w:val="none"/>
        </w:rPr>
        <w:t>；</w:t>
      </w:r>
    </w:p>
    <w:p w14:paraId="0793D9A9">
      <w:pPr>
        <w:pStyle w:val="15"/>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p w14:paraId="1F56623A">
      <w:pPr>
        <w:pStyle w:val="15"/>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以上企业，不属于大企业的分支机构，不存在控股股东为大企业的情形，也不存在与大企业的负责人为同一人的情形。</w:t>
      </w:r>
    </w:p>
    <w:p w14:paraId="073F8FAC">
      <w:pPr>
        <w:pStyle w:val="15"/>
        <w:spacing w:line="360" w:lineRule="auto"/>
        <w:ind w:firstLine="48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本企业对上述声明内容的真实性负责。如有虚假，将依法承担相应责任。</w:t>
      </w:r>
    </w:p>
    <w:p w14:paraId="3A750372">
      <w:pPr>
        <w:pStyle w:val="15"/>
        <w:spacing w:line="360" w:lineRule="auto"/>
        <w:ind w:firstLine="461"/>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注：从业人员、营业收入、资产总额填报上一年度数据，无上一年度数据的新成立企业可不填报。</w:t>
      </w:r>
    </w:p>
    <w:p w14:paraId="0F8B54C8">
      <w:pPr>
        <w:spacing w:line="360" w:lineRule="auto"/>
        <w:ind w:firstLine="720" w:firstLineChars="300"/>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kern w:val="0"/>
          <w:sz w:val="24"/>
          <w:szCs w:val="24"/>
          <w:highlight w:val="none"/>
          <w:lang w:val="zh-CN"/>
        </w:rPr>
        <w:t>企业名称（盖章）：</w:t>
      </w:r>
      <w:r>
        <w:rPr>
          <w:rFonts w:hint="eastAsia" w:ascii="宋体" w:hAnsi="宋体" w:eastAsia="宋体" w:cs="宋体"/>
          <w:color w:val="auto"/>
          <w:kern w:val="0"/>
          <w:sz w:val="24"/>
          <w:szCs w:val="24"/>
          <w:highlight w:val="none"/>
          <w:u w:val="single"/>
          <w:lang w:val="zh-CN"/>
        </w:rPr>
        <w:t xml:space="preserve">            </w:t>
      </w:r>
      <w:r>
        <w:rPr>
          <w:rFonts w:hint="eastAsia" w:ascii="宋体" w:hAnsi="宋体" w:eastAsia="宋体" w:cs="宋体"/>
          <w:color w:val="auto"/>
          <w:kern w:val="0"/>
          <w:sz w:val="24"/>
          <w:szCs w:val="24"/>
          <w:highlight w:val="none"/>
          <w:lang w:val="zh-CN"/>
        </w:rPr>
        <w:t xml:space="preserve">  </w:t>
      </w:r>
      <w:r>
        <w:rPr>
          <w:rFonts w:hint="eastAsia" w:ascii="宋体" w:hAnsi="宋体" w:eastAsia="宋体" w:cs="宋体"/>
          <w:color w:val="auto"/>
          <w:sz w:val="24"/>
          <w:szCs w:val="24"/>
          <w:highlight w:val="none"/>
          <w:lang w:val="zh-CN"/>
        </w:rPr>
        <w:t xml:space="preserve">         </w:t>
      </w:r>
    </w:p>
    <w:p w14:paraId="1E5A6850">
      <w:pPr>
        <w:spacing w:line="360" w:lineRule="auto"/>
        <w:ind w:firstLine="2880" w:firstLineChars="1200"/>
        <w:rPr>
          <w:rFonts w:hint="eastAsia" w:ascii="宋体" w:hAnsi="宋体" w:eastAsia="宋体" w:cs="宋体"/>
          <w:color w:val="auto"/>
          <w:sz w:val="28"/>
          <w:szCs w:val="28"/>
          <w:highlight w:val="none"/>
        </w:rPr>
      </w:pP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日</w:t>
      </w:r>
    </w:p>
    <w:p w14:paraId="6AAAC94E">
      <w:pPr>
        <w:autoSpaceDE w:val="0"/>
        <w:autoSpaceDN w:val="0"/>
        <w:adjustRightInd w:val="0"/>
        <w:snapToGrid w:val="0"/>
        <w:jc w:val="left"/>
        <w:rPr>
          <w:rFonts w:hint="eastAsia" w:ascii="宋体" w:hAnsi="宋体" w:eastAsia="宋体" w:cs="宋体"/>
          <w:b/>
          <w:bCs/>
          <w:color w:val="auto"/>
          <w:kern w:val="0"/>
          <w:sz w:val="24"/>
          <w:szCs w:val="24"/>
          <w:highlight w:val="none"/>
        </w:rPr>
      </w:pPr>
      <w:r>
        <w:rPr>
          <w:rFonts w:hint="eastAsia" w:ascii="宋体" w:hAnsi="宋体" w:eastAsia="宋体" w:cs="宋体"/>
          <w:color w:val="auto"/>
          <w:kern w:val="0"/>
          <w:sz w:val="28"/>
          <w:szCs w:val="28"/>
          <w:highlight w:val="none"/>
          <w:lang w:val="zh-CN"/>
        </w:rPr>
        <w:br w:type="page"/>
      </w:r>
      <w:r>
        <w:rPr>
          <w:rFonts w:hint="eastAsia" w:ascii="宋体" w:hAnsi="宋体" w:eastAsia="宋体" w:cs="宋体"/>
          <w:b/>
          <w:bCs/>
          <w:color w:val="auto"/>
          <w:kern w:val="0"/>
          <w:sz w:val="24"/>
          <w:szCs w:val="24"/>
          <w:highlight w:val="none"/>
        </w:rPr>
        <w:t>附件2</w:t>
      </w:r>
    </w:p>
    <w:p w14:paraId="036B679E">
      <w:pPr>
        <w:autoSpaceDE w:val="0"/>
        <w:autoSpaceDN w:val="0"/>
        <w:adjustRightInd w:val="0"/>
        <w:snapToGrid w:val="0"/>
        <w:jc w:val="center"/>
        <w:rPr>
          <w:rFonts w:hint="eastAsia" w:ascii="宋体" w:hAnsi="宋体" w:eastAsia="宋体" w:cs="宋体"/>
          <w:color w:val="auto"/>
          <w:kern w:val="0"/>
          <w:sz w:val="24"/>
          <w:szCs w:val="24"/>
          <w:highlight w:val="none"/>
          <w:lang w:val="zh-CN"/>
        </w:rPr>
      </w:pPr>
    </w:p>
    <w:p w14:paraId="3744B337">
      <w:pPr>
        <w:autoSpaceDE w:val="0"/>
        <w:autoSpaceDN w:val="0"/>
        <w:adjustRightInd w:val="0"/>
        <w:snapToGrid w:val="0"/>
        <w:jc w:val="center"/>
        <w:rPr>
          <w:rFonts w:hint="eastAsia" w:ascii="宋体" w:hAnsi="宋体" w:eastAsia="宋体" w:cs="宋体"/>
          <w:b/>
          <w:bCs/>
          <w:color w:val="auto"/>
          <w:kern w:val="0"/>
          <w:sz w:val="24"/>
          <w:szCs w:val="24"/>
          <w:highlight w:val="none"/>
          <w:lang w:val="zh-CN"/>
        </w:rPr>
      </w:pPr>
      <w:r>
        <w:rPr>
          <w:rFonts w:hint="eastAsia" w:ascii="宋体" w:hAnsi="宋体" w:eastAsia="宋体" w:cs="宋体"/>
          <w:b/>
          <w:bCs/>
          <w:color w:val="auto"/>
          <w:kern w:val="0"/>
          <w:sz w:val="24"/>
          <w:szCs w:val="24"/>
          <w:highlight w:val="none"/>
          <w:lang w:val="zh-CN"/>
        </w:rPr>
        <w:t>关于监狱企业（如有）</w:t>
      </w:r>
    </w:p>
    <w:p w14:paraId="554939EF">
      <w:pPr>
        <w:pStyle w:val="73"/>
        <w:rPr>
          <w:rFonts w:hint="eastAsia" w:ascii="宋体" w:hAnsi="宋体" w:eastAsia="宋体" w:cs="宋体"/>
          <w:b/>
          <w:bCs/>
          <w:color w:val="auto"/>
          <w:sz w:val="24"/>
          <w:szCs w:val="24"/>
          <w:highlight w:val="none"/>
          <w:lang w:val="zh-CN"/>
        </w:rPr>
      </w:pPr>
    </w:p>
    <w:p w14:paraId="7674AE12">
      <w:pPr>
        <w:autoSpaceDE w:val="0"/>
        <w:autoSpaceDN w:val="0"/>
        <w:adjustRightInd w:val="0"/>
        <w:snapToGrid w:val="0"/>
        <w:spacing w:line="360" w:lineRule="auto"/>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1、政府采购政策</w:t>
      </w:r>
    </w:p>
    <w:p w14:paraId="03191744">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财政部、司法部关于政府采购支持监狱企业发展有关问题的通知（财库【2014】68 号）</w:t>
      </w:r>
    </w:p>
    <w:p w14:paraId="37FC744A">
      <w:pPr>
        <w:autoSpaceDE w:val="0"/>
        <w:autoSpaceDN w:val="0"/>
        <w:adjustRightInd w:val="0"/>
        <w:snapToGrid w:val="0"/>
        <w:spacing w:line="360" w:lineRule="auto"/>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2、附证明材料</w:t>
      </w:r>
    </w:p>
    <w:p w14:paraId="5E0CA74B">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 xml:space="preserve">提供由省级以上监狱管理局、戒毒管理局（含新疆生产建设兵团）出具的属于监狱企业的证明文件。 </w:t>
      </w:r>
    </w:p>
    <w:p w14:paraId="3894F48F">
      <w:pPr>
        <w:autoSpaceDE w:val="0"/>
        <w:autoSpaceDN w:val="0"/>
        <w:adjustRightInd w:val="0"/>
        <w:snapToGrid w:val="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 xml:space="preserve"> </w:t>
      </w:r>
    </w:p>
    <w:p w14:paraId="480B2749">
      <w:pPr>
        <w:pStyle w:val="73"/>
        <w:rPr>
          <w:rFonts w:hint="eastAsia" w:ascii="宋体" w:hAnsi="宋体" w:eastAsia="宋体" w:cs="宋体"/>
          <w:color w:val="auto"/>
          <w:sz w:val="24"/>
          <w:szCs w:val="24"/>
          <w:highlight w:val="none"/>
          <w:lang w:val="zh-CN"/>
        </w:rPr>
      </w:pPr>
    </w:p>
    <w:p w14:paraId="68A24089">
      <w:pPr>
        <w:pStyle w:val="73"/>
        <w:rPr>
          <w:rFonts w:hint="eastAsia" w:ascii="宋体" w:hAnsi="宋体" w:eastAsia="宋体" w:cs="宋体"/>
          <w:color w:val="auto"/>
          <w:sz w:val="24"/>
          <w:szCs w:val="24"/>
          <w:highlight w:val="none"/>
          <w:lang w:val="zh-CN"/>
        </w:rPr>
      </w:pPr>
    </w:p>
    <w:p w14:paraId="1D23A433">
      <w:pPr>
        <w:pStyle w:val="73"/>
        <w:rPr>
          <w:rFonts w:hint="eastAsia" w:ascii="宋体" w:hAnsi="宋体" w:eastAsia="宋体" w:cs="宋体"/>
          <w:color w:val="auto"/>
          <w:sz w:val="24"/>
          <w:szCs w:val="24"/>
          <w:highlight w:val="none"/>
          <w:lang w:val="zh-CN"/>
        </w:rPr>
      </w:pPr>
    </w:p>
    <w:p w14:paraId="51D83D69">
      <w:pPr>
        <w:pStyle w:val="73"/>
        <w:rPr>
          <w:rFonts w:hint="eastAsia" w:ascii="宋体" w:hAnsi="宋体" w:eastAsia="宋体" w:cs="宋体"/>
          <w:color w:val="auto"/>
          <w:sz w:val="24"/>
          <w:szCs w:val="24"/>
          <w:highlight w:val="none"/>
          <w:lang w:val="zh-CN"/>
        </w:rPr>
      </w:pPr>
    </w:p>
    <w:p w14:paraId="7F5C697D">
      <w:pPr>
        <w:pStyle w:val="73"/>
        <w:rPr>
          <w:rFonts w:hint="eastAsia" w:ascii="宋体" w:hAnsi="宋体" w:eastAsia="宋体" w:cs="宋体"/>
          <w:color w:val="auto"/>
          <w:sz w:val="24"/>
          <w:szCs w:val="24"/>
          <w:highlight w:val="none"/>
          <w:lang w:val="zh-CN"/>
        </w:rPr>
      </w:pPr>
    </w:p>
    <w:p w14:paraId="32E8922F">
      <w:pPr>
        <w:pStyle w:val="73"/>
        <w:rPr>
          <w:rFonts w:hint="eastAsia" w:ascii="宋体" w:hAnsi="宋体" w:eastAsia="宋体" w:cs="宋体"/>
          <w:color w:val="auto"/>
          <w:sz w:val="24"/>
          <w:szCs w:val="24"/>
          <w:highlight w:val="none"/>
          <w:lang w:val="zh-CN"/>
        </w:rPr>
      </w:pPr>
    </w:p>
    <w:p w14:paraId="72A6DC4D">
      <w:pPr>
        <w:pStyle w:val="73"/>
        <w:rPr>
          <w:rFonts w:hint="eastAsia" w:ascii="宋体" w:hAnsi="宋体" w:eastAsia="宋体" w:cs="宋体"/>
          <w:color w:val="auto"/>
          <w:sz w:val="24"/>
          <w:szCs w:val="24"/>
          <w:highlight w:val="none"/>
          <w:lang w:val="zh-CN"/>
        </w:rPr>
      </w:pPr>
    </w:p>
    <w:p w14:paraId="46688AB0">
      <w:pPr>
        <w:pStyle w:val="73"/>
        <w:rPr>
          <w:rFonts w:hint="eastAsia" w:ascii="宋体" w:hAnsi="宋体" w:eastAsia="宋体" w:cs="宋体"/>
          <w:color w:val="auto"/>
          <w:sz w:val="24"/>
          <w:szCs w:val="24"/>
          <w:highlight w:val="none"/>
          <w:lang w:val="zh-CN"/>
        </w:rPr>
      </w:pPr>
    </w:p>
    <w:p w14:paraId="7F20730C">
      <w:pPr>
        <w:pStyle w:val="73"/>
        <w:rPr>
          <w:rFonts w:hint="eastAsia" w:ascii="宋体" w:hAnsi="宋体" w:eastAsia="宋体" w:cs="宋体"/>
          <w:color w:val="auto"/>
          <w:sz w:val="24"/>
          <w:szCs w:val="24"/>
          <w:highlight w:val="none"/>
          <w:lang w:val="zh-CN"/>
        </w:rPr>
      </w:pPr>
    </w:p>
    <w:p w14:paraId="5D8F3DBE">
      <w:pPr>
        <w:pStyle w:val="73"/>
        <w:rPr>
          <w:rFonts w:hint="eastAsia" w:ascii="宋体" w:hAnsi="宋体" w:eastAsia="宋体" w:cs="宋体"/>
          <w:color w:val="auto"/>
          <w:sz w:val="24"/>
          <w:szCs w:val="24"/>
          <w:highlight w:val="none"/>
          <w:lang w:val="zh-CN"/>
        </w:rPr>
      </w:pPr>
    </w:p>
    <w:p w14:paraId="793BF0F5">
      <w:pPr>
        <w:pStyle w:val="73"/>
        <w:rPr>
          <w:rFonts w:hint="eastAsia" w:ascii="宋体" w:hAnsi="宋体" w:eastAsia="宋体" w:cs="宋体"/>
          <w:color w:val="auto"/>
          <w:sz w:val="28"/>
          <w:szCs w:val="28"/>
          <w:highlight w:val="none"/>
          <w:lang w:val="zh-CN"/>
        </w:rPr>
      </w:pPr>
    </w:p>
    <w:p w14:paraId="0A0BD7EB">
      <w:pPr>
        <w:pStyle w:val="73"/>
        <w:rPr>
          <w:rFonts w:hint="eastAsia" w:ascii="宋体" w:hAnsi="宋体" w:eastAsia="宋体" w:cs="宋体"/>
          <w:color w:val="auto"/>
          <w:sz w:val="28"/>
          <w:szCs w:val="28"/>
          <w:highlight w:val="none"/>
          <w:lang w:val="zh-CN"/>
        </w:rPr>
      </w:pPr>
    </w:p>
    <w:p w14:paraId="2133C935">
      <w:pPr>
        <w:pStyle w:val="73"/>
        <w:rPr>
          <w:rFonts w:hint="eastAsia" w:ascii="宋体" w:hAnsi="宋体" w:eastAsia="宋体" w:cs="宋体"/>
          <w:color w:val="auto"/>
          <w:sz w:val="28"/>
          <w:szCs w:val="28"/>
          <w:highlight w:val="none"/>
          <w:lang w:val="zh-CN"/>
        </w:rPr>
      </w:pPr>
    </w:p>
    <w:p w14:paraId="050D33AC">
      <w:pPr>
        <w:pStyle w:val="73"/>
        <w:rPr>
          <w:rFonts w:hint="eastAsia" w:ascii="宋体" w:hAnsi="宋体" w:eastAsia="宋体" w:cs="宋体"/>
          <w:color w:val="auto"/>
          <w:sz w:val="28"/>
          <w:szCs w:val="28"/>
          <w:highlight w:val="none"/>
          <w:lang w:val="zh-CN"/>
        </w:rPr>
      </w:pPr>
    </w:p>
    <w:p w14:paraId="5A8A4926">
      <w:pPr>
        <w:pStyle w:val="73"/>
        <w:rPr>
          <w:rFonts w:hint="eastAsia" w:ascii="宋体" w:hAnsi="宋体" w:eastAsia="宋体" w:cs="宋体"/>
          <w:color w:val="auto"/>
          <w:sz w:val="28"/>
          <w:szCs w:val="28"/>
          <w:highlight w:val="none"/>
          <w:lang w:val="zh-CN"/>
        </w:rPr>
      </w:pPr>
    </w:p>
    <w:p w14:paraId="0D04AC7F">
      <w:pPr>
        <w:pStyle w:val="73"/>
        <w:rPr>
          <w:rFonts w:hint="eastAsia" w:ascii="宋体" w:hAnsi="宋体" w:eastAsia="宋体" w:cs="宋体"/>
          <w:color w:val="auto"/>
          <w:sz w:val="28"/>
          <w:szCs w:val="28"/>
          <w:highlight w:val="none"/>
          <w:lang w:val="zh-CN"/>
        </w:rPr>
      </w:pPr>
    </w:p>
    <w:p w14:paraId="0F6080F2">
      <w:pPr>
        <w:pStyle w:val="73"/>
        <w:rPr>
          <w:rFonts w:hint="eastAsia" w:ascii="宋体" w:hAnsi="宋体" w:eastAsia="宋体" w:cs="宋体"/>
          <w:color w:val="auto"/>
          <w:sz w:val="28"/>
          <w:szCs w:val="28"/>
          <w:highlight w:val="none"/>
          <w:lang w:val="zh-CN"/>
        </w:rPr>
      </w:pPr>
    </w:p>
    <w:p w14:paraId="392908DC">
      <w:pPr>
        <w:pStyle w:val="73"/>
        <w:rPr>
          <w:rFonts w:hint="eastAsia" w:ascii="宋体" w:hAnsi="宋体" w:eastAsia="宋体" w:cs="宋体"/>
          <w:color w:val="auto"/>
          <w:sz w:val="28"/>
          <w:szCs w:val="28"/>
          <w:highlight w:val="none"/>
          <w:lang w:val="zh-CN"/>
        </w:rPr>
      </w:pPr>
    </w:p>
    <w:p w14:paraId="4A7C7630">
      <w:pPr>
        <w:pStyle w:val="73"/>
        <w:rPr>
          <w:rFonts w:hint="eastAsia" w:ascii="宋体" w:hAnsi="宋体" w:eastAsia="宋体" w:cs="宋体"/>
          <w:color w:val="auto"/>
          <w:sz w:val="28"/>
          <w:szCs w:val="28"/>
          <w:highlight w:val="none"/>
          <w:lang w:val="zh-CN"/>
        </w:rPr>
      </w:pPr>
    </w:p>
    <w:p w14:paraId="1DCB4983">
      <w:pPr>
        <w:pStyle w:val="73"/>
        <w:rPr>
          <w:rFonts w:hint="eastAsia" w:ascii="宋体" w:hAnsi="宋体" w:eastAsia="宋体" w:cs="宋体"/>
          <w:color w:val="auto"/>
          <w:sz w:val="28"/>
          <w:szCs w:val="28"/>
          <w:highlight w:val="none"/>
          <w:lang w:val="zh-CN"/>
        </w:rPr>
      </w:pPr>
    </w:p>
    <w:p w14:paraId="423EF98F">
      <w:pPr>
        <w:pStyle w:val="73"/>
        <w:rPr>
          <w:rFonts w:hint="eastAsia" w:ascii="宋体" w:hAnsi="宋体" w:eastAsia="宋体" w:cs="宋体"/>
          <w:color w:val="auto"/>
          <w:sz w:val="28"/>
          <w:szCs w:val="28"/>
          <w:highlight w:val="none"/>
          <w:lang w:val="zh-CN"/>
        </w:rPr>
      </w:pPr>
    </w:p>
    <w:p w14:paraId="573D0B85">
      <w:pPr>
        <w:pStyle w:val="73"/>
        <w:rPr>
          <w:rFonts w:hint="eastAsia" w:ascii="宋体" w:hAnsi="宋体" w:eastAsia="宋体" w:cs="宋体"/>
          <w:color w:val="auto"/>
          <w:sz w:val="28"/>
          <w:szCs w:val="28"/>
          <w:highlight w:val="none"/>
          <w:lang w:val="zh-CN"/>
        </w:rPr>
      </w:pPr>
    </w:p>
    <w:p w14:paraId="140525A9">
      <w:pPr>
        <w:pStyle w:val="73"/>
        <w:rPr>
          <w:rFonts w:hint="eastAsia" w:ascii="宋体" w:hAnsi="宋体" w:eastAsia="宋体" w:cs="宋体"/>
          <w:color w:val="auto"/>
          <w:sz w:val="28"/>
          <w:szCs w:val="28"/>
          <w:highlight w:val="none"/>
          <w:lang w:val="zh-CN"/>
        </w:rPr>
      </w:pPr>
    </w:p>
    <w:p w14:paraId="294A58B5">
      <w:pPr>
        <w:pStyle w:val="73"/>
        <w:rPr>
          <w:rFonts w:hint="eastAsia" w:ascii="宋体" w:hAnsi="宋体" w:eastAsia="宋体" w:cs="宋体"/>
          <w:color w:val="auto"/>
          <w:sz w:val="28"/>
          <w:szCs w:val="28"/>
          <w:highlight w:val="none"/>
          <w:lang w:val="zh-CN"/>
        </w:rPr>
      </w:pPr>
    </w:p>
    <w:p w14:paraId="52AEE7C4">
      <w:pPr>
        <w:pStyle w:val="73"/>
        <w:rPr>
          <w:rFonts w:hint="eastAsia" w:ascii="宋体" w:hAnsi="宋体" w:eastAsia="宋体" w:cs="宋体"/>
          <w:color w:val="auto"/>
          <w:sz w:val="28"/>
          <w:szCs w:val="28"/>
          <w:highlight w:val="none"/>
          <w:lang w:val="zh-CN"/>
        </w:rPr>
      </w:pPr>
    </w:p>
    <w:p w14:paraId="6482D1A7">
      <w:pPr>
        <w:autoSpaceDE w:val="0"/>
        <w:autoSpaceDN w:val="0"/>
        <w:adjustRightInd w:val="0"/>
        <w:snapToGrid w:val="0"/>
        <w:jc w:val="left"/>
        <w:rPr>
          <w:rFonts w:hint="eastAsia" w:ascii="宋体" w:hAnsi="宋体"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rPr>
        <w:t>附件3</w:t>
      </w:r>
    </w:p>
    <w:p w14:paraId="6A30E173">
      <w:pPr>
        <w:autoSpaceDE w:val="0"/>
        <w:autoSpaceDN w:val="0"/>
        <w:adjustRightInd w:val="0"/>
        <w:snapToGrid w:val="0"/>
        <w:jc w:val="center"/>
        <w:rPr>
          <w:rFonts w:hint="eastAsia" w:ascii="宋体" w:hAnsi="宋体" w:eastAsia="宋体" w:cs="宋体"/>
          <w:b/>
          <w:bCs/>
          <w:color w:val="auto"/>
          <w:sz w:val="24"/>
          <w:szCs w:val="24"/>
          <w:highlight w:val="none"/>
          <w:lang w:val="zh-CN"/>
        </w:rPr>
      </w:pPr>
      <w:r>
        <w:rPr>
          <w:rFonts w:hint="eastAsia" w:ascii="宋体" w:hAnsi="宋体" w:eastAsia="宋体" w:cs="宋体"/>
          <w:b/>
          <w:bCs/>
          <w:color w:val="auto"/>
          <w:kern w:val="0"/>
          <w:sz w:val="24"/>
          <w:szCs w:val="24"/>
          <w:highlight w:val="none"/>
          <w:lang w:val="zh-CN"/>
        </w:rPr>
        <w:t>关于促进残疾人就业的政府采购政策（如有）</w:t>
      </w:r>
    </w:p>
    <w:p w14:paraId="146EEAFD">
      <w:pPr>
        <w:pStyle w:val="73"/>
        <w:rPr>
          <w:rFonts w:hint="eastAsia" w:ascii="宋体" w:hAnsi="宋体" w:eastAsia="宋体" w:cs="宋体"/>
          <w:color w:val="auto"/>
          <w:sz w:val="24"/>
          <w:szCs w:val="24"/>
          <w:highlight w:val="none"/>
          <w:lang w:val="zh-CN"/>
        </w:rPr>
      </w:pPr>
    </w:p>
    <w:p w14:paraId="07289C2B">
      <w:pPr>
        <w:autoSpaceDE w:val="0"/>
        <w:autoSpaceDN w:val="0"/>
        <w:adjustRightInd w:val="0"/>
        <w:snapToGrid w:val="0"/>
        <w:spacing w:line="360" w:lineRule="auto"/>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1、政府采购政策</w:t>
      </w:r>
    </w:p>
    <w:p w14:paraId="742F6E57">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关于促进残疾人就业政府采购政策的通知（财库〔2017〕141 号）</w:t>
      </w:r>
    </w:p>
    <w:p w14:paraId="15D90346">
      <w:pPr>
        <w:autoSpaceDE w:val="0"/>
        <w:autoSpaceDN w:val="0"/>
        <w:adjustRightInd w:val="0"/>
        <w:snapToGrid w:val="0"/>
        <w:spacing w:line="360" w:lineRule="auto"/>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2、附残疾人福利性单位声明函</w:t>
      </w:r>
    </w:p>
    <w:p w14:paraId="58F49ACC">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本单位郑重声明，根据《财政部民政部中国残疾人联合会关于促进残疾人就业政府</w:t>
      </w:r>
    </w:p>
    <w:p w14:paraId="5A23C8CB">
      <w:pPr>
        <w:autoSpaceDE w:val="0"/>
        <w:autoSpaceDN w:val="0"/>
        <w:adjustRightInd w:val="0"/>
        <w:snapToGrid w:val="0"/>
        <w:spacing w:line="360" w:lineRule="auto"/>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采购政策的通知》（财库〔2017〕141 号）的规定，本单位为符合条件的残疾人福利性单位，且本单位参加__________________单位的______________________项目采购活动提供本单位制造的货物（由本单位承担工程/提供服务），或者提供其他残疾人福利性单位制造的货物（不包括使用非残疾人福利性单位注册商标的货物）。</w:t>
      </w:r>
    </w:p>
    <w:p w14:paraId="7CBB3A56">
      <w:pPr>
        <w:autoSpaceDE w:val="0"/>
        <w:autoSpaceDN w:val="0"/>
        <w:adjustRightInd w:val="0"/>
        <w:snapToGrid w:val="0"/>
        <w:spacing w:line="360" w:lineRule="auto"/>
        <w:ind w:firstLine="480" w:firstLineChars="2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本单位对上述声明的真实性负责。如有虚假，将依法承担相应责任。</w:t>
      </w:r>
    </w:p>
    <w:p w14:paraId="3DF2F630">
      <w:pPr>
        <w:autoSpaceDE w:val="0"/>
        <w:autoSpaceDN w:val="0"/>
        <w:adjustRightInd w:val="0"/>
        <w:snapToGrid w:val="0"/>
        <w:spacing w:line="360" w:lineRule="auto"/>
        <w:ind w:firstLine="2400" w:firstLineChars="1000"/>
        <w:jc w:val="left"/>
        <w:rPr>
          <w:rFonts w:hint="eastAsia" w:ascii="宋体" w:hAnsi="宋体" w:eastAsia="宋体" w:cs="宋体"/>
          <w:color w:val="auto"/>
          <w:kern w:val="0"/>
          <w:sz w:val="24"/>
          <w:szCs w:val="24"/>
          <w:highlight w:val="none"/>
          <w:lang w:val="zh-CN"/>
        </w:rPr>
      </w:pPr>
    </w:p>
    <w:p w14:paraId="769B063A">
      <w:pPr>
        <w:autoSpaceDE w:val="0"/>
        <w:autoSpaceDN w:val="0"/>
        <w:adjustRightInd w:val="0"/>
        <w:snapToGrid w:val="0"/>
        <w:spacing w:line="360" w:lineRule="auto"/>
        <w:ind w:firstLine="2400" w:firstLineChars="1000"/>
        <w:jc w:val="left"/>
        <w:rPr>
          <w:rFonts w:hint="eastAsia" w:ascii="宋体" w:hAnsi="宋体" w:eastAsia="宋体" w:cs="宋体"/>
          <w:color w:val="auto"/>
          <w:kern w:val="0"/>
          <w:sz w:val="24"/>
          <w:szCs w:val="24"/>
          <w:highlight w:val="none"/>
          <w:lang w:val="zh-CN"/>
        </w:rPr>
      </w:pPr>
    </w:p>
    <w:p w14:paraId="6ECB3E16">
      <w:pPr>
        <w:autoSpaceDE w:val="0"/>
        <w:autoSpaceDN w:val="0"/>
        <w:adjustRightInd w:val="0"/>
        <w:snapToGrid w:val="0"/>
        <w:spacing w:line="360" w:lineRule="auto"/>
        <w:ind w:firstLine="2400" w:firstLineChars="10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投标人名称：          （盖单位公章）</w:t>
      </w:r>
    </w:p>
    <w:p w14:paraId="65B4EBD7">
      <w:pPr>
        <w:autoSpaceDE w:val="0"/>
        <w:autoSpaceDN w:val="0"/>
        <w:adjustRightInd w:val="0"/>
        <w:snapToGrid w:val="0"/>
        <w:spacing w:line="360" w:lineRule="auto"/>
        <w:ind w:firstLine="3600" w:firstLineChars="1500"/>
        <w:jc w:val="lef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年    月    日</w:t>
      </w:r>
    </w:p>
    <w:p w14:paraId="0D09A3BA">
      <w:pPr>
        <w:spacing w:line="500" w:lineRule="exact"/>
        <w:rPr>
          <w:rFonts w:hint="eastAsia" w:ascii="宋体" w:hAnsi="宋体" w:eastAsia="宋体" w:cs="宋体"/>
          <w:b/>
          <w:bCs/>
          <w:color w:val="auto"/>
          <w:sz w:val="24"/>
          <w:szCs w:val="24"/>
          <w:highlight w:val="none"/>
        </w:rPr>
      </w:pPr>
    </w:p>
    <w:p w14:paraId="4D22B441">
      <w:pPr>
        <w:rPr>
          <w:rFonts w:hint="eastAsia" w:ascii="宋体" w:hAnsi="宋体" w:eastAsia="宋体" w:cs="宋体"/>
          <w:color w:val="auto"/>
          <w:sz w:val="24"/>
          <w:szCs w:val="24"/>
          <w:highlight w:val="none"/>
        </w:rPr>
      </w:pPr>
    </w:p>
    <w:p w14:paraId="59BD601E">
      <w:pPr>
        <w:tabs>
          <w:tab w:val="left" w:pos="4200"/>
        </w:tabs>
        <w:autoSpaceDE w:val="0"/>
        <w:autoSpaceDN w:val="0"/>
        <w:adjustRightInd w:val="0"/>
        <w:spacing w:before="1" w:line="360" w:lineRule="auto"/>
        <w:ind w:right="-214"/>
        <w:jc w:val="center"/>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 xml:space="preserve">   </w:t>
      </w:r>
    </w:p>
    <w:p w14:paraId="723ECC86">
      <w:pPr>
        <w:tabs>
          <w:tab w:val="left" w:pos="4200"/>
        </w:tabs>
        <w:autoSpaceDE w:val="0"/>
        <w:autoSpaceDN w:val="0"/>
        <w:adjustRightInd w:val="0"/>
        <w:spacing w:before="1" w:line="360" w:lineRule="auto"/>
        <w:ind w:right="-214"/>
        <w:jc w:val="center"/>
        <w:rPr>
          <w:rFonts w:hint="eastAsia" w:ascii="宋体" w:hAnsi="宋体" w:eastAsia="宋体" w:cs="宋体"/>
          <w:b/>
          <w:color w:val="auto"/>
          <w:sz w:val="24"/>
          <w:szCs w:val="24"/>
          <w:highlight w:val="none"/>
        </w:rPr>
      </w:pPr>
    </w:p>
    <w:p w14:paraId="69C0F8C2">
      <w:pPr>
        <w:autoSpaceDE w:val="0"/>
        <w:autoSpaceDN w:val="0"/>
        <w:adjustRightInd w:val="0"/>
        <w:ind w:right="3197"/>
        <w:rPr>
          <w:rFonts w:hint="eastAsia" w:ascii="宋体" w:hAnsi="宋体" w:eastAsia="宋体" w:cs="宋体"/>
          <w:color w:val="auto"/>
          <w:w w:val="99"/>
          <w:kern w:val="0"/>
          <w:sz w:val="24"/>
          <w:szCs w:val="24"/>
          <w:highlight w:val="none"/>
        </w:rPr>
      </w:pPr>
      <w:r>
        <w:rPr>
          <w:rFonts w:hint="eastAsia" w:ascii="宋体" w:hAnsi="宋体" w:eastAsia="宋体" w:cs="宋体"/>
          <w:color w:val="auto"/>
          <w:w w:val="99"/>
          <w:kern w:val="0"/>
          <w:sz w:val="24"/>
          <w:szCs w:val="24"/>
          <w:highlight w:val="none"/>
        </w:rPr>
        <w:t xml:space="preserve">                                                  </w:t>
      </w:r>
    </w:p>
    <w:p w14:paraId="0FF9E9A5">
      <w:pPr>
        <w:pStyle w:val="5"/>
        <w:spacing w:line="360" w:lineRule="auto"/>
        <w:ind w:firstLine="560"/>
        <w:rPr>
          <w:rFonts w:hint="eastAsia" w:ascii="宋体" w:hAnsi="宋体" w:eastAsia="宋体" w:cs="宋体"/>
          <w:color w:val="auto"/>
          <w:sz w:val="24"/>
          <w:szCs w:val="24"/>
          <w:highlight w:val="none"/>
        </w:rPr>
      </w:pPr>
      <w:r>
        <w:rPr>
          <w:rFonts w:hint="eastAsia" w:ascii="宋体" w:hAnsi="宋体" w:eastAsia="宋体" w:cs="宋体"/>
          <w:color w:val="auto"/>
          <w:w w:val="99"/>
          <w:kern w:val="0"/>
          <w:sz w:val="24"/>
          <w:szCs w:val="24"/>
          <w:highlight w:val="none"/>
        </w:rPr>
        <w:br w:type="page"/>
      </w:r>
    </w:p>
    <w:p w14:paraId="7AB80994">
      <w:pPr>
        <w:kinsoku w:val="0"/>
        <w:autoSpaceDE w:val="0"/>
        <w:autoSpaceDN w:val="0"/>
        <w:adjustRightInd w:val="0"/>
        <w:snapToGrid w:val="0"/>
        <w:spacing w:after="120" w:afterLines="0" w:line="240" w:lineRule="auto"/>
        <w:ind w:left="420" w:leftChars="200" w:firstLine="562" w:firstLineChars="200"/>
        <w:jc w:val="left"/>
        <w:textAlignment w:val="baseline"/>
        <w:outlineLvl w:val="9"/>
        <w:rPr>
          <w:rFonts w:hint="eastAsia" w:ascii="宋体" w:hAnsi="宋体" w:eastAsia="宋体" w:cs="宋体"/>
          <w:b/>
          <w:snapToGrid w:val="0"/>
          <w:color w:val="auto"/>
          <w:kern w:val="0"/>
          <w:sz w:val="28"/>
          <w:szCs w:val="28"/>
          <w:highlight w:val="none"/>
          <w:lang w:val="en-US" w:eastAsia="en-US" w:bidi="ar-SA"/>
        </w:rPr>
      </w:pPr>
    </w:p>
    <w:p w14:paraId="7EB5B29C">
      <w:pPr>
        <w:widowControl/>
        <w:kinsoku w:val="0"/>
        <w:autoSpaceDE w:val="0"/>
        <w:autoSpaceDN w:val="0"/>
        <w:adjustRightInd w:val="0"/>
        <w:snapToGrid w:val="0"/>
        <w:spacing w:line="240" w:lineRule="auto"/>
        <w:ind w:firstLine="482" w:firstLineChars="200"/>
        <w:jc w:val="left"/>
        <w:textAlignment w:val="baseline"/>
        <w:outlineLvl w:val="9"/>
        <w:rPr>
          <w:rFonts w:hint="eastAsia" w:ascii="宋体" w:hAnsi="宋体" w:eastAsia="宋体" w:cs="宋体"/>
          <w:b/>
          <w:snapToGrid w:val="0"/>
          <w:color w:val="auto"/>
          <w:kern w:val="0"/>
          <w:sz w:val="28"/>
          <w:szCs w:val="28"/>
          <w:highlight w:val="none"/>
          <w:lang w:eastAsia="en-US"/>
        </w:rPr>
      </w:pPr>
      <w:r>
        <w:rPr>
          <w:rFonts w:hint="eastAsia" w:ascii="宋体" w:hAnsi="宋体" w:eastAsia="宋体" w:cs="宋体"/>
          <w:b/>
          <w:bCs/>
          <w:snapToGrid w:val="0"/>
          <w:color w:val="auto"/>
          <w:kern w:val="0"/>
          <w:sz w:val="24"/>
          <w:highlight w:val="none"/>
          <w:lang w:val="zh-CN" w:eastAsia="en-US"/>
        </w:rPr>
        <w:drawing>
          <wp:inline distT="0" distB="0" distL="114300" distR="114300">
            <wp:extent cx="5406390" cy="7649845"/>
            <wp:effectExtent l="0" t="0" r="3810" b="8255"/>
            <wp:docPr id="1" name="图片 1" descr="关于印发中小企业划型标准规定的通知（工信部联企业〔2011〕300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关于印发中小企业划型标准规定的通知（工信部联企业〔2011〕300号）_00"/>
                    <pic:cNvPicPr>
                      <a:picLocks noChangeAspect="1"/>
                    </pic:cNvPicPr>
                  </pic:nvPicPr>
                  <pic:blipFill>
                    <a:blip r:embed="rId9"/>
                    <a:stretch>
                      <a:fillRect/>
                    </a:stretch>
                  </pic:blipFill>
                  <pic:spPr>
                    <a:xfrm>
                      <a:off x="0" y="0"/>
                      <a:ext cx="5406390" cy="7649845"/>
                    </a:xfrm>
                    <a:prstGeom prst="rect">
                      <a:avLst/>
                    </a:prstGeom>
                    <a:noFill/>
                    <a:ln>
                      <a:noFill/>
                    </a:ln>
                  </pic:spPr>
                </pic:pic>
              </a:graphicData>
            </a:graphic>
          </wp:inline>
        </w:drawing>
      </w:r>
    </w:p>
    <w:p w14:paraId="6B607F17">
      <w:pPr>
        <w:widowControl/>
        <w:kinsoku w:val="0"/>
        <w:autoSpaceDE w:val="0"/>
        <w:autoSpaceDN w:val="0"/>
        <w:adjustRightInd w:val="0"/>
        <w:snapToGrid w:val="0"/>
        <w:spacing w:line="240" w:lineRule="auto"/>
        <w:ind w:firstLine="482" w:firstLineChars="200"/>
        <w:jc w:val="left"/>
        <w:textAlignment w:val="baseline"/>
        <w:outlineLvl w:val="9"/>
        <w:rPr>
          <w:rFonts w:hint="eastAsia" w:ascii="宋体" w:hAnsi="宋体" w:eastAsia="宋体" w:cs="宋体"/>
          <w:b/>
          <w:snapToGrid w:val="0"/>
          <w:color w:val="auto"/>
          <w:kern w:val="0"/>
          <w:sz w:val="28"/>
          <w:szCs w:val="28"/>
          <w:highlight w:val="none"/>
          <w:lang w:eastAsia="en-US"/>
        </w:rPr>
      </w:pPr>
      <w:r>
        <w:rPr>
          <w:rFonts w:hint="eastAsia" w:ascii="宋体" w:hAnsi="宋体" w:eastAsia="宋体" w:cs="宋体"/>
          <w:b/>
          <w:bCs/>
          <w:snapToGrid w:val="0"/>
          <w:color w:val="auto"/>
          <w:kern w:val="0"/>
          <w:sz w:val="24"/>
          <w:highlight w:val="none"/>
          <w:lang w:val="zh-CN" w:eastAsia="en-US"/>
        </w:rPr>
        <w:drawing>
          <wp:inline distT="0" distB="0" distL="114300" distR="114300">
            <wp:extent cx="5615305" cy="7945755"/>
            <wp:effectExtent l="0" t="0" r="4445" b="17145"/>
            <wp:docPr id="3" name="图片 2" descr="关于印发中小企业划型标准规定的通知（工信部联企业〔2011〕300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关于印发中小企业划型标准规定的通知（工信部联企业〔2011〕300号）_01"/>
                    <pic:cNvPicPr>
                      <a:picLocks noChangeAspect="1"/>
                    </pic:cNvPicPr>
                  </pic:nvPicPr>
                  <pic:blipFill>
                    <a:blip r:embed="rId10"/>
                    <a:stretch>
                      <a:fillRect/>
                    </a:stretch>
                  </pic:blipFill>
                  <pic:spPr>
                    <a:xfrm>
                      <a:off x="0" y="0"/>
                      <a:ext cx="5615305" cy="7945755"/>
                    </a:xfrm>
                    <a:prstGeom prst="rect">
                      <a:avLst/>
                    </a:prstGeom>
                    <a:noFill/>
                    <a:ln>
                      <a:noFill/>
                    </a:ln>
                  </pic:spPr>
                </pic:pic>
              </a:graphicData>
            </a:graphic>
          </wp:inline>
        </w:drawing>
      </w:r>
      <w:r>
        <w:rPr>
          <w:rFonts w:hint="eastAsia" w:ascii="宋体" w:hAnsi="宋体" w:eastAsia="宋体" w:cs="宋体"/>
          <w:b/>
          <w:bCs/>
          <w:snapToGrid w:val="0"/>
          <w:color w:val="auto"/>
          <w:kern w:val="0"/>
          <w:sz w:val="24"/>
          <w:highlight w:val="none"/>
          <w:lang w:val="zh-CN" w:eastAsia="en-US"/>
        </w:rPr>
        <w:drawing>
          <wp:inline distT="0" distB="0" distL="114300" distR="114300">
            <wp:extent cx="5615305" cy="7945755"/>
            <wp:effectExtent l="0" t="0" r="4445" b="17145"/>
            <wp:docPr id="4" name="图片 3" descr="关于印发中小企业划型标准规定的通知（工信部联企业〔2011〕300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关于印发中小企业划型标准规定的通知（工信部联企业〔2011〕300号）_02"/>
                    <pic:cNvPicPr>
                      <a:picLocks noChangeAspect="1"/>
                    </pic:cNvPicPr>
                  </pic:nvPicPr>
                  <pic:blipFill>
                    <a:blip r:embed="rId11"/>
                    <a:stretch>
                      <a:fillRect/>
                    </a:stretch>
                  </pic:blipFill>
                  <pic:spPr>
                    <a:xfrm>
                      <a:off x="0" y="0"/>
                      <a:ext cx="5615305" cy="7945755"/>
                    </a:xfrm>
                    <a:prstGeom prst="rect">
                      <a:avLst/>
                    </a:prstGeom>
                    <a:noFill/>
                    <a:ln>
                      <a:noFill/>
                    </a:ln>
                  </pic:spPr>
                </pic:pic>
              </a:graphicData>
            </a:graphic>
          </wp:inline>
        </w:drawing>
      </w:r>
      <w:r>
        <w:rPr>
          <w:rFonts w:hint="eastAsia" w:ascii="宋体" w:hAnsi="宋体" w:eastAsia="宋体" w:cs="宋体"/>
          <w:b/>
          <w:bCs/>
          <w:snapToGrid w:val="0"/>
          <w:color w:val="auto"/>
          <w:kern w:val="0"/>
          <w:sz w:val="24"/>
          <w:highlight w:val="none"/>
          <w:lang w:val="zh-CN" w:eastAsia="en-US"/>
        </w:rPr>
        <w:drawing>
          <wp:inline distT="0" distB="0" distL="114300" distR="114300">
            <wp:extent cx="5615305" cy="7945755"/>
            <wp:effectExtent l="0" t="0" r="4445" b="17145"/>
            <wp:docPr id="5" name="图片 4" descr="关于印发中小企业划型标准规定的通知（工信部联企业〔2011〕300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关于印发中小企业划型标准规定的通知（工信部联企业〔2011〕300号）_03"/>
                    <pic:cNvPicPr>
                      <a:picLocks noChangeAspect="1"/>
                    </pic:cNvPicPr>
                  </pic:nvPicPr>
                  <pic:blipFill>
                    <a:blip r:embed="rId12"/>
                    <a:stretch>
                      <a:fillRect/>
                    </a:stretch>
                  </pic:blipFill>
                  <pic:spPr>
                    <a:xfrm>
                      <a:off x="0" y="0"/>
                      <a:ext cx="5615305" cy="7945755"/>
                    </a:xfrm>
                    <a:prstGeom prst="rect">
                      <a:avLst/>
                    </a:prstGeom>
                    <a:noFill/>
                    <a:ln>
                      <a:noFill/>
                    </a:ln>
                  </pic:spPr>
                </pic:pic>
              </a:graphicData>
            </a:graphic>
          </wp:inline>
        </w:drawing>
      </w:r>
    </w:p>
    <w:p w14:paraId="02213E37">
      <w:pPr>
        <w:rPr>
          <w:rFonts w:hint="eastAsia" w:ascii="宋体" w:hAnsi="宋体" w:eastAsia="宋体" w:cs="宋体"/>
          <w:color w:val="auto"/>
          <w:highlight w:val="none"/>
        </w:rPr>
      </w:pPr>
    </w:p>
    <w:sectPr>
      <w:headerReference r:id="rId5" w:type="default"/>
      <w:footerReference r:id="rId6" w:type="default"/>
      <w:pgSz w:w="11906" w:h="16838"/>
      <w:pgMar w:top="1304" w:right="1304" w:bottom="1304" w:left="1304" w:header="851" w:footer="726"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onsolas">
    <w:panose1 w:val="020B0609020204030204"/>
    <w:charset w:val="00"/>
    <w:family w:val="auto"/>
    <w:pitch w:val="default"/>
    <w:sig w:usb0="E00006FF" w:usb1="0000FCFF" w:usb2="00000001" w:usb3="00000000" w:csb0="6000019F" w:csb1="DFD7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FE2062">
    <w:pPr>
      <w:pStyle w:val="16"/>
      <w:jc w:val="right"/>
    </w:pPr>
    <w:r>
      <w:rPr>
        <w:rFonts w:hint="eastAsia"/>
      </w:rPr>
      <w:t>1</w:t>
    </w:r>
  </w:p>
  <w:p w14:paraId="5886EFE9">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932829">
    <w:pPr>
      <w:pStyle w:val="16"/>
      <w:pBdr>
        <w:top w:val="thinThickSmallGap" w:color="622423" w:sz="24" w:space="1"/>
      </w:pBdr>
      <w:tabs>
        <w:tab w:val="right" w:pos="8787"/>
        <w:tab w:val="clear" w:pos="4153"/>
        <w:tab w:val="clear" w:pos="8306"/>
      </w:tabs>
      <w:rPr>
        <w:rFonts w:hint="eastAsia" w:ascii="Cambria" w:hAnsi="Cambria"/>
        <w:sz w:val="21"/>
        <w:szCs w:val="21"/>
      </w:rPr>
    </w:pPr>
    <w:r>
      <w:rPr>
        <w:szCs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D57744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22</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fill on="f" focussize="0,0"/>
              <v:stroke on="f"/>
              <v:imagedata o:title=""/>
              <o:lock v:ext="edit" aspectratio="f"/>
              <v:textbox inset="0mm,0mm,0mm,0mm" style="mso-fit-shape-to-text:t;">
                <w:txbxContent>
                  <w:p w14:paraId="6D57744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22</w:t>
                    </w:r>
                    <w:r>
                      <w:rPr>
                        <w:rFonts w:hint="eastAsia"/>
                        <w:sz w:val="18"/>
                      </w:rPr>
                      <w:fldChar w:fldCharType="end"/>
                    </w:r>
                  </w:p>
                </w:txbxContent>
              </v:textbox>
            </v:shape>
          </w:pict>
        </mc:Fallback>
      </mc:AlternateContent>
    </w:r>
    <w:r>
      <w:rPr>
        <w:rFonts w:hint="eastAsia" w:ascii="Cambria" w:hAnsi="Cambria"/>
        <w:szCs w:val="18"/>
      </w:rPr>
      <w:t xml:space="preserve">      </w:t>
    </w:r>
    <w:r>
      <w:rPr>
        <w:rFonts w:hint="eastAsia" w:ascii="Cambria" w:hAnsi="Cambria"/>
        <w:szCs w:val="18"/>
        <w:lang w:eastAsia="zh-CN"/>
      </w:rPr>
      <w:t>师梦勘测设计集团有限公司</w:t>
    </w:r>
    <w:r>
      <w:rPr>
        <w:rFonts w:ascii="Cambria" w:hAnsi="Cambria"/>
        <w:sz w:val="21"/>
        <w:szCs w:val="21"/>
        <w:lang w:val="zh-CN"/>
      </w:rPr>
      <w:tab/>
    </w:r>
    <w:r>
      <w:rPr>
        <w:rFonts w:ascii="Cambria" w:hAnsi="Cambria"/>
        <w:sz w:val="21"/>
        <w:szCs w:val="21"/>
        <w:lang w:val="zh-CN"/>
      </w:rPr>
      <w:t xml:space="preserve"> </w:t>
    </w:r>
    <w:r>
      <w:rPr>
        <w:rFonts w:hint="eastAsia"/>
        <w:sz w:val="21"/>
        <w:szCs w:val="21"/>
      </w:rPr>
      <w:t xml:space="preserve"> </w:t>
    </w:r>
  </w:p>
  <w:p w14:paraId="3E9CA2D9">
    <w:pPr>
      <w:pStyle w:val="16"/>
      <w:rPr>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4ECC6B">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BABB0">
    <w:pPr>
      <w:pStyle w:val="17"/>
      <w:pBdr>
        <w:bottom w:val="thickThinSmallGap" w:color="622423" w:sz="24" w:space="1"/>
      </w:pBdr>
      <w:tabs>
        <w:tab w:val="right" w:pos="9638"/>
      </w:tabs>
      <w:jc w:val="left"/>
      <w:rPr>
        <w:rFonts w:hint="eastAsia" w:ascii="Cambria" w:hAnsi="Cambria" w:eastAsia="宋体"/>
        <w:szCs w:val="18"/>
        <w:lang w:eastAsia="zh-CN"/>
      </w:rPr>
    </w:pPr>
    <w:r>
      <w:rPr>
        <w:rFonts w:hint="eastAsia" w:ascii="Times New Roman" w:hAnsi="Times New Roman" w:eastAsia="宋体" w:cs="Times New Roman"/>
        <w:szCs w:val="18"/>
        <w:lang w:val="en-US" w:eastAsia="zh-CN"/>
      </w:rPr>
      <w:t xml:space="preserve">郏县第二人民医院128排CT（2025）年度维保项目 </w:t>
    </w:r>
    <w:r>
      <w:rPr>
        <w:rFonts w:hint="eastAsia" w:ascii="Times New Roman" w:hAnsi="Times New Roman" w:eastAsia="宋体" w:cs="Times New Roman"/>
        <w:szCs w:val="18"/>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val="en-US" w:eastAsia="zh-CN"/>
      </w:rPr>
      <w:t xml:space="preserve">    </w:t>
    </w:r>
    <w:r>
      <w:rPr>
        <w:rFonts w:hint="eastAsia"/>
        <w:sz w:val="21"/>
        <w:szCs w:val="21"/>
      </w:rPr>
      <w:t xml:space="preserve">         </w:t>
    </w:r>
    <w:r>
      <w:rPr>
        <w:rFonts w:hint="eastAsia"/>
        <w:sz w:val="21"/>
        <w:szCs w:val="21"/>
        <w:lang w:eastAsia="zh-CN"/>
      </w:rPr>
      <w:t xml:space="preserve"> 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0C8B71"/>
    <w:multiLevelType w:val="singleLevel"/>
    <w:tmpl w:val="920C8B71"/>
    <w:lvl w:ilvl="0" w:tentative="0">
      <w:start w:val="1"/>
      <w:numFmt w:val="decimal"/>
      <w:lvlText w:val="(%1)"/>
      <w:lvlJc w:val="left"/>
      <w:pPr>
        <w:ind w:left="425" w:hanging="425"/>
      </w:pPr>
      <w:rPr>
        <w:rFonts w:hint="default"/>
      </w:rPr>
    </w:lvl>
  </w:abstractNum>
  <w:abstractNum w:abstractNumId="1">
    <w:nsid w:val="92FEED52"/>
    <w:multiLevelType w:val="singleLevel"/>
    <w:tmpl w:val="92FEED52"/>
    <w:lvl w:ilvl="0" w:tentative="0">
      <w:start w:val="1"/>
      <w:numFmt w:val="decimal"/>
      <w:lvlText w:val="(%1)"/>
      <w:lvlJc w:val="left"/>
      <w:pPr>
        <w:ind w:left="425" w:hanging="425"/>
      </w:pPr>
      <w:rPr>
        <w:rFonts w:hint="default"/>
      </w:rPr>
    </w:lvl>
  </w:abstractNum>
  <w:abstractNum w:abstractNumId="2">
    <w:nsid w:val="973DD820"/>
    <w:multiLevelType w:val="multilevel"/>
    <w:tmpl w:val="973DD820"/>
    <w:lvl w:ilvl="0" w:tentative="0">
      <w:start w:val="1"/>
      <w:numFmt w:val="decimal"/>
      <w:suff w:val="space"/>
      <w:lvlText w:val="%1."/>
      <w:lvlJc w:val="left"/>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A0647C4F"/>
    <w:multiLevelType w:val="multilevel"/>
    <w:tmpl w:val="A0647C4F"/>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4">
    <w:nsid w:val="CD806B66"/>
    <w:multiLevelType w:val="singleLevel"/>
    <w:tmpl w:val="CD806B66"/>
    <w:lvl w:ilvl="0" w:tentative="0">
      <w:start w:val="1"/>
      <w:numFmt w:val="decimal"/>
      <w:lvlText w:val="(%1)"/>
      <w:lvlJc w:val="left"/>
      <w:pPr>
        <w:ind w:left="425" w:hanging="425"/>
      </w:pPr>
      <w:rPr>
        <w:rFonts w:hint="default"/>
      </w:rPr>
    </w:lvl>
  </w:abstractNum>
  <w:abstractNum w:abstractNumId="5">
    <w:nsid w:val="DB1C88D8"/>
    <w:multiLevelType w:val="singleLevel"/>
    <w:tmpl w:val="DB1C88D8"/>
    <w:lvl w:ilvl="0" w:tentative="0">
      <w:start w:val="1"/>
      <w:numFmt w:val="decimal"/>
      <w:lvlText w:val="%1."/>
      <w:lvlJc w:val="left"/>
      <w:pPr>
        <w:tabs>
          <w:tab w:val="left" w:pos="312"/>
        </w:tabs>
      </w:pPr>
    </w:lvl>
  </w:abstractNum>
  <w:abstractNum w:abstractNumId="6">
    <w:nsid w:val="FCC59B67"/>
    <w:multiLevelType w:val="singleLevel"/>
    <w:tmpl w:val="FCC59B67"/>
    <w:lvl w:ilvl="0" w:tentative="0">
      <w:start w:val="1"/>
      <w:numFmt w:val="decimal"/>
      <w:lvlText w:val="(%1)"/>
      <w:lvlJc w:val="left"/>
      <w:pPr>
        <w:ind w:left="425" w:hanging="425"/>
      </w:pPr>
      <w:rPr>
        <w:rFonts w:hint="default"/>
      </w:rPr>
    </w:lvl>
  </w:abstractNum>
  <w:abstractNum w:abstractNumId="7">
    <w:nsid w:val="0B973F85"/>
    <w:multiLevelType w:val="multilevel"/>
    <w:tmpl w:val="0B973F85"/>
    <w:lvl w:ilvl="0" w:tentative="0">
      <w:start w:val="1"/>
      <w:numFmt w:val="chineseCountingThousand"/>
      <w:lvlText w:val="(%1)"/>
      <w:lvlJc w:val="left"/>
      <w:pPr>
        <w:tabs>
          <w:tab w:val="left" w:pos="425"/>
        </w:tabs>
        <w:ind w:left="425" w:hanging="425"/>
      </w:pPr>
      <w:rPr>
        <w:rFonts w:hint="eastAsia"/>
        <w:sz w:val="21"/>
        <w:szCs w:val="21"/>
      </w:rPr>
    </w:lvl>
    <w:lvl w:ilvl="1" w:tentative="0">
      <w:start w:val="1"/>
      <w:numFmt w:val="upperLetter"/>
      <w:lvlText w:val="%23.1"/>
      <w:lvlJc w:val="left"/>
      <w:pPr>
        <w:tabs>
          <w:tab w:val="left" w:pos="992"/>
        </w:tabs>
        <w:ind w:left="992" w:hanging="567"/>
      </w:pPr>
      <w:rPr>
        <w:rFonts w:hint="eastAsia"/>
      </w:rPr>
    </w:lvl>
    <w:lvl w:ilvl="2" w:tentative="0">
      <w:start w:val="1"/>
      <w:numFmt w:val="decimal"/>
      <w:lvlText w:val="3.%3"/>
      <w:lvlJc w:val="left"/>
      <w:pPr>
        <w:tabs>
          <w:tab w:val="left" w:pos="1418"/>
        </w:tabs>
        <w:ind w:left="1418" w:hanging="567"/>
      </w:pPr>
      <w:rPr>
        <w:rFonts w:hint="eastAsia"/>
      </w:rPr>
    </w:lvl>
    <w:lvl w:ilvl="3" w:tentative="0">
      <w:start w:val="1"/>
      <w:numFmt w:val="decimal"/>
      <w:lvlText w:val="%2"/>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149490AF"/>
    <w:multiLevelType w:val="singleLevel"/>
    <w:tmpl w:val="149490AF"/>
    <w:lvl w:ilvl="0" w:tentative="0">
      <w:start w:val="1"/>
      <w:numFmt w:val="decimal"/>
      <w:lvlText w:val="(%1)"/>
      <w:lvlJc w:val="left"/>
      <w:pPr>
        <w:ind w:left="425" w:hanging="425"/>
      </w:pPr>
      <w:rPr>
        <w:rFonts w:hint="default"/>
      </w:rPr>
    </w:lvl>
  </w:abstractNum>
  <w:abstractNum w:abstractNumId="9">
    <w:nsid w:val="16A32F38"/>
    <w:multiLevelType w:val="multilevel"/>
    <w:tmpl w:val="16A32F38"/>
    <w:lvl w:ilvl="0" w:tentative="0">
      <w:start w:val="1"/>
      <w:numFmt w:val="japaneseCounting"/>
      <w:lvlText w:val="第%1条"/>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0">
    <w:nsid w:val="2D6A2507"/>
    <w:multiLevelType w:val="singleLevel"/>
    <w:tmpl w:val="2D6A2507"/>
    <w:lvl w:ilvl="0" w:tentative="0">
      <w:start w:val="1"/>
      <w:numFmt w:val="decimal"/>
      <w:lvlText w:val="(%1)"/>
      <w:lvlJc w:val="left"/>
      <w:pPr>
        <w:ind w:left="425" w:hanging="425"/>
      </w:pPr>
      <w:rPr>
        <w:rFonts w:hint="default"/>
      </w:rPr>
    </w:lvl>
  </w:abstractNum>
  <w:abstractNum w:abstractNumId="11">
    <w:nsid w:val="301B1AF1"/>
    <w:multiLevelType w:val="singleLevel"/>
    <w:tmpl w:val="301B1AF1"/>
    <w:lvl w:ilvl="0" w:tentative="0">
      <w:start w:val="1"/>
      <w:numFmt w:val="decimal"/>
      <w:lvlText w:val="(%1)"/>
      <w:lvlJc w:val="left"/>
      <w:pPr>
        <w:ind w:left="425" w:hanging="425"/>
      </w:pPr>
      <w:rPr>
        <w:rFonts w:hint="default"/>
      </w:rPr>
    </w:lvl>
  </w:abstractNum>
  <w:abstractNum w:abstractNumId="12">
    <w:nsid w:val="570C9FE6"/>
    <w:multiLevelType w:val="singleLevel"/>
    <w:tmpl w:val="570C9FE6"/>
    <w:lvl w:ilvl="0" w:tentative="0">
      <w:start w:val="1"/>
      <w:numFmt w:val="decimal"/>
      <w:lvlText w:val="(%1)"/>
      <w:lvlJc w:val="left"/>
      <w:pPr>
        <w:ind w:left="425" w:hanging="425"/>
      </w:pPr>
      <w:rPr>
        <w:rFonts w:hint="default"/>
      </w:rPr>
    </w:lvl>
  </w:abstractNum>
  <w:abstractNum w:abstractNumId="13">
    <w:nsid w:val="57AD89C1"/>
    <w:multiLevelType w:val="singleLevel"/>
    <w:tmpl w:val="57AD89C1"/>
    <w:lvl w:ilvl="0" w:tentative="0">
      <w:start w:val="4"/>
      <w:numFmt w:val="decimal"/>
      <w:suff w:val="nothing"/>
      <w:lvlText w:val="%1."/>
      <w:lvlJc w:val="left"/>
    </w:lvl>
  </w:abstractNum>
  <w:abstractNum w:abstractNumId="14">
    <w:nsid w:val="6A3DEC23"/>
    <w:multiLevelType w:val="singleLevel"/>
    <w:tmpl w:val="6A3DEC23"/>
    <w:lvl w:ilvl="0" w:tentative="0">
      <w:start w:val="1"/>
      <w:numFmt w:val="decimal"/>
      <w:lvlText w:val="(%1)"/>
      <w:lvlJc w:val="left"/>
      <w:pPr>
        <w:ind w:left="425" w:hanging="425"/>
      </w:pPr>
      <w:rPr>
        <w:rFonts w:hint="default"/>
      </w:rPr>
    </w:lvl>
  </w:abstractNum>
  <w:abstractNum w:abstractNumId="15">
    <w:nsid w:val="6E9C984D"/>
    <w:multiLevelType w:val="singleLevel"/>
    <w:tmpl w:val="6E9C984D"/>
    <w:lvl w:ilvl="0" w:tentative="0">
      <w:start w:val="1"/>
      <w:numFmt w:val="decimal"/>
      <w:suff w:val="space"/>
      <w:lvlText w:val="%1."/>
      <w:lvlJc w:val="left"/>
    </w:lvl>
  </w:abstractNum>
  <w:abstractNum w:abstractNumId="16">
    <w:nsid w:val="6EBA6A3C"/>
    <w:multiLevelType w:val="singleLevel"/>
    <w:tmpl w:val="6EBA6A3C"/>
    <w:lvl w:ilvl="0" w:tentative="0">
      <w:start w:val="1"/>
      <w:numFmt w:val="decimal"/>
      <w:suff w:val="space"/>
      <w:lvlText w:val="%1."/>
      <w:lvlJc w:val="left"/>
    </w:lvl>
  </w:abstractNum>
  <w:abstractNum w:abstractNumId="17">
    <w:nsid w:val="75BB5789"/>
    <w:multiLevelType w:val="singleLevel"/>
    <w:tmpl w:val="75BB5789"/>
    <w:lvl w:ilvl="0" w:tentative="0">
      <w:start w:val="1"/>
      <w:numFmt w:val="decimal"/>
      <w:lvlText w:val="(%1)"/>
      <w:lvlJc w:val="left"/>
      <w:pPr>
        <w:ind w:left="425" w:hanging="425"/>
      </w:pPr>
      <w:rPr>
        <w:rFonts w:hint="default"/>
      </w:rPr>
    </w:lvl>
  </w:abstractNum>
  <w:abstractNum w:abstractNumId="18">
    <w:nsid w:val="7A1A81EF"/>
    <w:multiLevelType w:val="multilevel"/>
    <w:tmpl w:val="7A1A81EF"/>
    <w:lvl w:ilvl="0" w:tentative="0">
      <w:start w:val="1"/>
      <w:numFmt w:val="decimal"/>
      <w:lvlText w:val="%1."/>
      <w:lvlJc w:val="left"/>
      <w:pPr>
        <w:ind w:left="425" w:hanging="425"/>
      </w:pPr>
      <w:rPr>
        <w:rFonts w:hint="default"/>
        <w:sz w:val="24"/>
        <w:szCs w:val="24"/>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sz w:val="24"/>
        <w:szCs w:val="24"/>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16"/>
  </w:num>
  <w:num w:numId="2">
    <w:abstractNumId w:val="18"/>
  </w:num>
  <w:num w:numId="3">
    <w:abstractNumId w:val="3"/>
  </w:num>
  <w:num w:numId="4">
    <w:abstractNumId w:val="14"/>
  </w:num>
  <w:num w:numId="5">
    <w:abstractNumId w:val="17"/>
  </w:num>
  <w:num w:numId="6">
    <w:abstractNumId w:val="6"/>
  </w:num>
  <w:num w:numId="7">
    <w:abstractNumId w:val="8"/>
  </w:num>
  <w:num w:numId="8">
    <w:abstractNumId w:val="0"/>
  </w:num>
  <w:num w:numId="9">
    <w:abstractNumId w:val="15"/>
  </w:num>
  <w:num w:numId="10">
    <w:abstractNumId w:val="2"/>
  </w:num>
  <w:num w:numId="11">
    <w:abstractNumId w:val="10"/>
  </w:num>
  <w:num w:numId="12">
    <w:abstractNumId w:val="4"/>
  </w:num>
  <w:num w:numId="13">
    <w:abstractNumId w:val="12"/>
  </w:num>
  <w:num w:numId="14">
    <w:abstractNumId w:val="1"/>
  </w:num>
  <w:num w:numId="15">
    <w:abstractNumId w:val="9"/>
  </w:num>
  <w:num w:numId="16">
    <w:abstractNumId w:val="13"/>
  </w:num>
  <w:num w:numId="17">
    <w:abstractNumId w:val="11"/>
  </w:num>
  <w:num w:numId="18">
    <w:abstractNumId w:val="7"/>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5Y2Y5ZjA0MTI3MDAzNGM1ZjMwOTg3MDE0YjRiNmIifQ=="/>
  </w:docVars>
  <w:rsids>
    <w:rsidRoot w:val="00000000"/>
    <w:rsid w:val="01866D1F"/>
    <w:rsid w:val="01A93FA3"/>
    <w:rsid w:val="02096ED9"/>
    <w:rsid w:val="021026F2"/>
    <w:rsid w:val="02693733"/>
    <w:rsid w:val="02924A37"/>
    <w:rsid w:val="02CD47AD"/>
    <w:rsid w:val="0309522A"/>
    <w:rsid w:val="032C4E8C"/>
    <w:rsid w:val="037C1244"/>
    <w:rsid w:val="04180F6C"/>
    <w:rsid w:val="04254C1F"/>
    <w:rsid w:val="043438CC"/>
    <w:rsid w:val="04D035F5"/>
    <w:rsid w:val="04F574FF"/>
    <w:rsid w:val="05111F73"/>
    <w:rsid w:val="05191440"/>
    <w:rsid w:val="051F528C"/>
    <w:rsid w:val="054F4E62"/>
    <w:rsid w:val="05B72EEA"/>
    <w:rsid w:val="05C455E2"/>
    <w:rsid w:val="0651554D"/>
    <w:rsid w:val="066F5090"/>
    <w:rsid w:val="067B57E2"/>
    <w:rsid w:val="073C242F"/>
    <w:rsid w:val="07A0475C"/>
    <w:rsid w:val="07B40FAC"/>
    <w:rsid w:val="07D621E2"/>
    <w:rsid w:val="07E66997"/>
    <w:rsid w:val="08057A5A"/>
    <w:rsid w:val="081D7446"/>
    <w:rsid w:val="082C3F03"/>
    <w:rsid w:val="0846765B"/>
    <w:rsid w:val="0878647D"/>
    <w:rsid w:val="08986B20"/>
    <w:rsid w:val="08C77F05"/>
    <w:rsid w:val="08CC2C40"/>
    <w:rsid w:val="09273B4B"/>
    <w:rsid w:val="09F614BE"/>
    <w:rsid w:val="0A073817"/>
    <w:rsid w:val="0A2C5771"/>
    <w:rsid w:val="0A50201A"/>
    <w:rsid w:val="0B12230C"/>
    <w:rsid w:val="0B674587"/>
    <w:rsid w:val="0B8C3FEE"/>
    <w:rsid w:val="0BD065D0"/>
    <w:rsid w:val="0BEE2A77"/>
    <w:rsid w:val="0C4A2FE4"/>
    <w:rsid w:val="0C88548B"/>
    <w:rsid w:val="0CD90540"/>
    <w:rsid w:val="0D15073F"/>
    <w:rsid w:val="0DC363ED"/>
    <w:rsid w:val="0DC8383F"/>
    <w:rsid w:val="0E433C09"/>
    <w:rsid w:val="0E8C2C83"/>
    <w:rsid w:val="0EE25329"/>
    <w:rsid w:val="0F696C6D"/>
    <w:rsid w:val="10022C46"/>
    <w:rsid w:val="1005590E"/>
    <w:rsid w:val="11677D5A"/>
    <w:rsid w:val="11F72B09"/>
    <w:rsid w:val="13EB5139"/>
    <w:rsid w:val="14A405FA"/>
    <w:rsid w:val="15F54578"/>
    <w:rsid w:val="1654101C"/>
    <w:rsid w:val="16702E8A"/>
    <w:rsid w:val="16FE05E2"/>
    <w:rsid w:val="171A4BA4"/>
    <w:rsid w:val="181A12FF"/>
    <w:rsid w:val="18B52DD6"/>
    <w:rsid w:val="19593E4E"/>
    <w:rsid w:val="199724DC"/>
    <w:rsid w:val="1A646862"/>
    <w:rsid w:val="1B0F0EC3"/>
    <w:rsid w:val="1B266237"/>
    <w:rsid w:val="1B5B5A5C"/>
    <w:rsid w:val="1B9273FE"/>
    <w:rsid w:val="1BFD0D1C"/>
    <w:rsid w:val="1C154FCD"/>
    <w:rsid w:val="1D0F2F9D"/>
    <w:rsid w:val="1D1537CE"/>
    <w:rsid w:val="1E565E89"/>
    <w:rsid w:val="1E6A1572"/>
    <w:rsid w:val="1EC83421"/>
    <w:rsid w:val="1ED70577"/>
    <w:rsid w:val="1EEE7042"/>
    <w:rsid w:val="1F4831A0"/>
    <w:rsid w:val="1F4D4072"/>
    <w:rsid w:val="1FD46237"/>
    <w:rsid w:val="202251F5"/>
    <w:rsid w:val="204D3452"/>
    <w:rsid w:val="2173382E"/>
    <w:rsid w:val="21B23A18"/>
    <w:rsid w:val="21EE54FF"/>
    <w:rsid w:val="22282E1F"/>
    <w:rsid w:val="22C9231D"/>
    <w:rsid w:val="22FD652B"/>
    <w:rsid w:val="232B2612"/>
    <w:rsid w:val="23C6058D"/>
    <w:rsid w:val="24207C9D"/>
    <w:rsid w:val="24374FE7"/>
    <w:rsid w:val="24A73F1B"/>
    <w:rsid w:val="24B43B82"/>
    <w:rsid w:val="24FB6014"/>
    <w:rsid w:val="25DD6DAB"/>
    <w:rsid w:val="26105AEF"/>
    <w:rsid w:val="2622149E"/>
    <w:rsid w:val="26666435"/>
    <w:rsid w:val="267E514F"/>
    <w:rsid w:val="26F176CF"/>
    <w:rsid w:val="28550131"/>
    <w:rsid w:val="28C01D28"/>
    <w:rsid w:val="28F214DC"/>
    <w:rsid w:val="297B3BC8"/>
    <w:rsid w:val="297C70C5"/>
    <w:rsid w:val="29FB2A69"/>
    <w:rsid w:val="2A4A092A"/>
    <w:rsid w:val="2AF92FF6"/>
    <w:rsid w:val="2B2670A9"/>
    <w:rsid w:val="2B2A1401"/>
    <w:rsid w:val="2B3719C5"/>
    <w:rsid w:val="2B777AB1"/>
    <w:rsid w:val="2BE94E19"/>
    <w:rsid w:val="2C7A3CC3"/>
    <w:rsid w:val="2CEC1C04"/>
    <w:rsid w:val="2D3F3214"/>
    <w:rsid w:val="2D760D84"/>
    <w:rsid w:val="2DAF776C"/>
    <w:rsid w:val="2DCC67A0"/>
    <w:rsid w:val="2E374561"/>
    <w:rsid w:val="2E9849C4"/>
    <w:rsid w:val="2E9B2E4E"/>
    <w:rsid w:val="2F107C06"/>
    <w:rsid w:val="2F187E7D"/>
    <w:rsid w:val="2F542EF1"/>
    <w:rsid w:val="2FF7387C"/>
    <w:rsid w:val="2FFC75A9"/>
    <w:rsid w:val="30744ECD"/>
    <w:rsid w:val="3082583C"/>
    <w:rsid w:val="30907F59"/>
    <w:rsid w:val="30F27CC7"/>
    <w:rsid w:val="315F6EB9"/>
    <w:rsid w:val="31F938DC"/>
    <w:rsid w:val="338D69D1"/>
    <w:rsid w:val="33E17113"/>
    <w:rsid w:val="34261578"/>
    <w:rsid w:val="344F012B"/>
    <w:rsid w:val="345E036E"/>
    <w:rsid w:val="3511718E"/>
    <w:rsid w:val="35DE019D"/>
    <w:rsid w:val="36034D29"/>
    <w:rsid w:val="362E551D"/>
    <w:rsid w:val="366623F9"/>
    <w:rsid w:val="369938DF"/>
    <w:rsid w:val="369B334E"/>
    <w:rsid w:val="36B83D65"/>
    <w:rsid w:val="36FD79CA"/>
    <w:rsid w:val="375F35B5"/>
    <w:rsid w:val="378269D8"/>
    <w:rsid w:val="38262F51"/>
    <w:rsid w:val="38665811"/>
    <w:rsid w:val="38832151"/>
    <w:rsid w:val="38E2628C"/>
    <w:rsid w:val="3914549F"/>
    <w:rsid w:val="39535FC7"/>
    <w:rsid w:val="39751DC4"/>
    <w:rsid w:val="39913318"/>
    <w:rsid w:val="39B56B27"/>
    <w:rsid w:val="3A3A0F35"/>
    <w:rsid w:val="3A9F6E6A"/>
    <w:rsid w:val="3AB962FE"/>
    <w:rsid w:val="3AD82C28"/>
    <w:rsid w:val="3AFE33D1"/>
    <w:rsid w:val="3BF76805"/>
    <w:rsid w:val="3C0E4427"/>
    <w:rsid w:val="3C6B2AEF"/>
    <w:rsid w:val="3C7624CD"/>
    <w:rsid w:val="3D4C5207"/>
    <w:rsid w:val="3D606F05"/>
    <w:rsid w:val="3D845004"/>
    <w:rsid w:val="3D9B618F"/>
    <w:rsid w:val="3E7A2248"/>
    <w:rsid w:val="3EA03A5D"/>
    <w:rsid w:val="3EA34660"/>
    <w:rsid w:val="3EE42EB1"/>
    <w:rsid w:val="3F2C130C"/>
    <w:rsid w:val="3F9D7F9C"/>
    <w:rsid w:val="40377B31"/>
    <w:rsid w:val="410B7187"/>
    <w:rsid w:val="4114603C"/>
    <w:rsid w:val="41C153A1"/>
    <w:rsid w:val="43327DDC"/>
    <w:rsid w:val="438356FB"/>
    <w:rsid w:val="43923B90"/>
    <w:rsid w:val="439510FD"/>
    <w:rsid w:val="446749DF"/>
    <w:rsid w:val="44705162"/>
    <w:rsid w:val="447D52A7"/>
    <w:rsid w:val="447F4114"/>
    <w:rsid w:val="450944AF"/>
    <w:rsid w:val="450B1A87"/>
    <w:rsid w:val="454809AA"/>
    <w:rsid w:val="454A1AA6"/>
    <w:rsid w:val="456344DA"/>
    <w:rsid w:val="45E8154C"/>
    <w:rsid w:val="45FB5A1D"/>
    <w:rsid w:val="4676240A"/>
    <w:rsid w:val="468E6891"/>
    <w:rsid w:val="47014737"/>
    <w:rsid w:val="4712301E"/>
    <w:rsid w:val="47431D24"/>
    <w:rsid w:val="47A74DC1"/>
    <w:rsid w:val="47CA34E1"/>
    <w:rsid w:val="47D7202F"/>
    <w:rsid w:val="47F83887"/>
    <w:rsid w:val="48A028AB"/>
    <w:rsid w:val="490B6ACD"/>
    <w:rsid w:val="491733FB"/>
    <w:rsid w:val="49524257"/>
    <w:rsid w:val="496D32A5"/>
    <w:rsid w:val="4A313F97"/>
    <w:rsid w:val="4A357E65"/>
    <w:rsid w:val="4AC42881"/>
    <w:rsid w:val="4B69167A"/>
    <w:rsid w:val="4B9B709A"/>
    <w:rsid w:val="4C4F6AC2"/>
    <w:rsid w:val="4C9E35A6"/>
    <w:rsid w:val="4CC52826"/>
    <w:rsid w:val="4D111FCA"/>
    <w:rsid w:val="4D6D5F10"/>
    <w:rsid w:val="4D9F26DC"/>
    <w:rsid w:val="4EF212E4"/>
    <w:rsid w:val="4FF26A8A"/>
    <w:rsid w:val="504F7091"/>
    <w:rsid w:val="508825A3"/>
    <w:rsid w:val="50A553DB"/>
    <w:rsid w:val="51573BB1"/>
    <w:rsid w:val="51F733CD"/>
    <w:rsid w:val="525766D1"/>
    <w:rsid w:val="531609B9"/>
    <w:rsid w:val="533B1B4E"/>
    <w:rsid w:val="53A66D92"/>
    <w:rsid w:val="53C15826"/>
    <w:rsid w:val="53C51D02"/>
    <w:rsid w:val="53D53D51"/>
    <w:rsid w:val="545A1D11"/>
    <w:rsid w:val="5545123C"/>
    <w:rsid w:val="55A600A3"/>
    <w:rsid w:val="55C220B3"/>
    <w:rsid w:val="55E0078B"/>
    <w:rsid w:val="55EE7B38"/>
    <w:rsid w:val="56B52BD2"/>
    <w:rsid w:val="57250B4B"/>
    <w:rsid w:val="578C7BC8"/>
    <w:rsid w:val="5824003C"/>
    <w:rsid w:val="58BC103B"/>
    <w:rsid w:val="593863AA"/>
    <w:rsid w:val="59BA1165"/>
    <w:rsid w:val="59E53268"/>
    <w:rsid w:val="5A1B4488"/>
    <w:rsid w:val="5A1F3AD4"/>
    <w:rsid w:val="5A5E6A84"/>
    <w:rsid w:val="5AAD4A41"/>
    <w:rsid w:val="5B914AE3"/>
    <w:rsid w:val="5B983E62"/>
    <w:rsid w:val="5C401F83"/>
    <w:rsid w:val="5C7F2AAC"/>
    <w:rsid w:val="5C983B6D"/>
    <w:rsid w:val="5CD50490"/>
    <w:rsid w:val="5D235B2D"/>
    <w:rsid w:val="5DA65D35"/>
    <w:rsid w:val="5DC96D4E"/>
    <w:rsid w:val="5E3653EC"/>
    <w:rsid w:val="5E767EDE"/>
    <w:rsid w:val="5E8C2068"/>
    <w:rsid w:val="5EE017FC"/>
    <w:rsid w:val="5F955B7F"/>
    <w:rsid w:val="60FB0B6F"/>
    <w:rsid w:val="616B40B4"/>
    <w:rsid w:val="61E34C31"/>
    <w:rsid w:val="61E67C7B"/>
    <w:rsid w:val="626D335D"/>
    <w:rsid w:val="62A32E82"/>
    <w:rsid w:val="62A944DD"/>
    <w:rsid w:val="62D179A7"/>
    <w:rsid w:val="63381C06"/>
    <w:rsid w:val="63A85457"/>
    <w:rsid w:val="63C705E7"/>
    <w:rsid w:val="63ED3BF7"/>
    <w:rsid w:val="645B6A79"/>
    <w:rsid w:val="64875941"/>
    <w:rsid w:val="657475C9"/>
    <w:rsid w:val="65AF1C1C"/>
    <w:rsid w:val="65F15F10"/>
    <w:rsid w:val="660109D5"/>
    <w:rsid w:val="672F50CE"/>
    <w:rsid w:val="67473665"/>
    <w:rsid w:val="67970A42"/>
    <w:rsid w:val="679B69ED"/>
    <w:rsid w:val="67D05125"/>
    <w:rsid w:val="68D20407"/>
    <w:rsid w:val="69943CA5"/>
    <w:rsid w:val="69945C1F"/>
    <w:rsid w:val="69BE2739"/>
    <w:rsid w:val="6A5D6C72"/>
    <w:rsid w:val="6A5E356A"/>
    <w:rsid w:val="6A901D4B"/>
    <w:rsid w:val="6AF75D2A"/>
    <w:rsid w:val="6B2A277C"/>
    <w:rsid w:val="6BA936A1"/>
    <w:rsid w:val="6C2B7952"/>
    <w:rsid w:val="6C436140"/>
    <w:rsid w:val="6D0713BD"/>
    <w:rsid w:val="6D65184A"/>
    <w:rsid w:val="6DC42A14"/>
    <w:rsid w:val="6DDA4B34"/>
    <w:rsid w:val="6E032E11"/>
    <w:rsid w:val="6E326EC5"/>
    <w:rsid w:val="6E8E4DD0"/>
    <w:rsid w:val="6EBE06B8"/>
    <w:rsid w:val="6F20398A"/>
    <w:rsid w:val="6F3941F6"/>
    <w:rsid w:val="6F6022A6"/>
    <w:rsid w:val="6F9E1043"/>
    <w:rsid w:val="6FD43509"/>
    <w:rsid w:val="6FED5B27"/>
    <w:rsid w:val="705F5FCE"/>
    <w:rsid w:val="70760C18"/>
    <w:rsid w:val="70943FBF"/>
    <w:rsid w:val="70D178EA"/>
    <w:rsid w:val="70D95550"/>
    <w:rsid w:val="70E01995"/>
    <w:rsid w:val="711517D9"/>
    <w:rsid w:val="71B72890"/>
    <w:rsid w:val="71ED0060"/>
    <w:rsid w:val="73081ADA"/>
    <w:rsid w:val="736B3FBF"/>
    <w:rsid w:val="73AA445A"/>
    <w:rsid w:val="7430760E"/>
    <w:rsid w:val="74732A9E"/>
    <w:rsid w:val="749D7922"/>
    <w:rsid w:val="74E7523A"/>
    <w:rsid w:val="754C50C8"/>
    <w:rsid w:val="75922EAD"/>
    <w:rsid w:val="766905FD"/>
    <w:rsid w:val="76C718D6"/>
    <w:rsid w:val="76D11CFE"/>
    <w:rsid w:val="77933457"/>
    <w:rsid w:val="78191187"/>
    <w:rsid w:val="7872111D"/>
    <w:rsid w:val="78CF04BF"/>
    <w:rsid w:val="78E26444"/>
    <w:rsid w:val="79132AA2"/>
    <w:rsid w:val="793F73F3"/>
    <w:rsid w:val="794B58BC"/>
    <w:rsid w:val="79690914"/>
    <w:rsid w:val="79EF253F"/>
    <w:rsid w:val="7A657B21"/>
    <w:rsid w:val="7A6B210E"/>
    <w:rsid w:val="7B346CFF"/>
    <w:rsid w:val="7BFB7EC5"/>
    <w:rsid w:val="7C2D395F"/>
    <w:rsid w:val="7C2F7BF3"/>
    <w:rsid w:val="7C865339"/>
    <w:rsid w:val="7C8C4B39"/>
    <w:rsid w:val="7CE0081C"/>
    <w:rsid w:val="7D3B4E7A"/>
    <w:rsid w:val="7D985324"/>
    <w:rsid w:val="7EE36A72"/>
    <w:rsid w:val="7F623E3B"/>
    <w:rsid w:val="7FE65AA0"/>
    <w:rsid w:val="7FF258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unhideWhenUsed="0" w:uiPriority="0" w:semiHidden="0" w:name="toc 3"/>
    <w:lsdException w:unhideWhenUsed="0" w:uiPriority="0" w:semiHidden="0" w:name="toc 4"/>
    <w:lsdException w:qFormat="1" w:unhideWhenUsed="0" w:uiPriority="3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99"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beforeLines="0" w:after="330" w:afterLines="0" w:line="576" w:lineRule="auto"/>
      <w:outlineLvl w:val="0"/>
    </w:pPr>
    <w:rPr>
      <w:b/>
      <w:bCs/>
      <w:kern w:val="44"/>
      <w:sz w:val="44"/>
      <w:szCs w:val="44"/>
    </w:rPr>
  </w:style>
  <w:style w:type="paragraph" w:styleId="3">
    <w:name w:val="heading 2"/>
    <w:basedOn w:val="1"/>
    <w:next w:val="1"/>
    <w:link w:val="35"/>
    <w:qFormat/>
    <w:uiPriority w:val="0"/>
    <w:pPr>
      <w:keepNext/>
      <w:keepLines/>
      <w:spacing w:before="260" w:beforeLines="0" w:after="260" w:afterLines="0" w:line="415" w:lineRule="auto"/>
      <w:outlineLvl w:val="1"/>
    </w:pPr>
    <w:rPr>
      <w:rFonts w:ascii="Arial" w:hAnsi="Arial" w:eastAsia="黑体"/>
      <w:b/>
      <w:bCs/>
      <w:kern w:val="2"/>
      <w:sz w:val="32"/>
      <w:szCs w:val="32"/>
      <w:lang w:val="en-US" w:eastAsia="zh-CN" w:bidi="ar-SA"/>
    </w:rPr>
  </w:style>
  <w:style w:type="paragraph" w:styleId="4">
    <w:name w:val="heading 3"/>
    <w:basedOn w:val="1"/>
    <w:next w:val="1"/>
    <w:autoRedefine/>
    <w:qFormat/>
    <w:uiPriority w:val="0"/>
    <w:pPr>
      <w:keepNext/>
      <w:keepLines/>
      <w:spacing w:line="360" w:lineRule="auto"/>
      <w:outlineLvl w:val="2"/>
    </w:pPr>
    <w:rPr>
      <w:rFonts w:cs="Times New Roman"/>
      <w:b/>
      <w:bCs/>
    </w:rPr>
  </w:style>
  <w:style w:type="character" w:default="1" w:styleId="24">
    <w:name w:val="Default Paragraph Font"/>
    <w:semiHidden/>
    <w:qFormat/>
    <w:uiPriority w:val="0"/>
  </w:style>
  <w:style w:type="table" w:default="1" w:styleId="23">
    <w:name w:val="Normal Table"/>
    <w:autoRedefine/>
    <w:semiHidden/>
    <w:qFormat/>
    <w:uiPriority w:val="0"/>
    <w:tblPr>
      <w:tblCellMar>
        <w:top w:w="0" w:type="dxa"/>
        <w:left w:w="108" w:type="dxa"/>
        <w:bottom w:w="0" w:type="dxa"/>
        <w:right w:w="108" w:type="dxa"/>
      </w:tblCellMar>
    </w:tblPr>
  </w:style>
  <w:style w:type="paragraph" w:styleId="5">
    <w:name w:val="Normal Indent"/>
    <w:basedOn w:val="1"/>
    <w:next w:val="6"/>
    <w:autoRedefine/>
    <w:qFormat/>
    <w:uiPriority w:val="0"/>
    <w:pPr>
      <w:ind w:firstLine="420" w:firstLineChars="200"/>
    </w:pPr>
    <w:rPr>
      <w:szCs w:val="20"/>
    </w:rPr>
  </w:style>
  <w:style w:type="paragraph" w:styleId="6">
    <w:name w:val="Body Text 2"/>
    <w:qFormat/>
    <w:uiPriority w:val="99"/>
    <w:rPr>
      <w:rFonts w:ascii="Times New Roman" w:hAnsi="Times New Roman" w:eastAsia="宋体" w:cs="Times New Roman"/>
      <w:lang w:val="en-US" w:eastAsia="zh-CN" w:bidi="ar-SA"/>
    </w:rPr>
  </w:style>
  <w:style w:type="paragraph" w:styleId="7">
    <w:name w:val="Body Text"/>
    <w:basedOn w:val="1"/>
    <w:next w:val="8"/>
    <w:autoRedefine/>
    <w:qFormat/>
    <w:uiPriority w:val="99"/>
    <w:pPr>
      <w:adjustRightInd w:val="0"/>
      <w:spacing w:after="60" w:line="360" w:lineRule="atLeast"/>
      <w:ind w:left="72" w:leftChars="30" w:right="30" w:rightChars="30"/>
      <w:jc w:val="center"/>
      <w:textAlignment w:val="baseline"/>
    </w:pPr>
    <w:rPr>
      <w:rFonts w:ascii="Calibri" w:hAnsi="Calibri" w:eastAsia="宋体" w:cs="Times New Roman"/>
      <w:szCs w:val="22"/>
    </w:rPr>
  </w:style>
  <w:style w:type="paragraph" w:customStyle="1" w:styleId="8">
    <w:name w:val="Default"/>
    <w:next w:val="1"/>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9">
    <w:name w:val="Body Text Indent"/>
    <w:basedOn w:val="1"/>
    <w:next w:val="10"/>
    <w:qFormat/>
    <w:uiPriority w:val="0"/>
    <w:pPr>
      <w:spacing w:after="120"/>
      <w:ind w:left="420" w:leftChars="200"/>
    </w:pPr>
  </w:style>
  <w:style w:type="paragraph" w:styleId="10">
    <w:name w:val="envelope return"/>
    <w:basedOn w:val="1"/>
    <w:qFormat/>
    <w:uiPriority w:val="0"/>
    <w:pPr>
      <w:snapToGrid w:val="0"/>
    </w:pPr>
    <w:rPr>
      <w:rFonts w:ascii="Arial" w:hAnsi="Arial"/>
    </w:rPr>
  </w:style>
  <w:style w:type="paragraph" w:styleId="11">
    <w:name w:val="List 2"/>
    <w:basedOn w:val="1"/>
    <w:autoRedefine/>
    <w:qFormat/>
    <w:uiPriority w:val="0"/>
    <w:pPr>
      <w:ind w:left="100" w:leftChars="200" w:hanging="200" w:hangingChars="200"/>
      <w:contextualSpacing/>
    </w:pPr>
  </w:style>
  <w:style w:type="paragraph" w:styleId="12">
    <w:name w:val="List Continue"/>
    <w:basedOn w:val="1"/>
    <w:autoRedefine/>
    <w:qFormat/>
    <w:uiPriority w:val="0"/>
    <w:pPr>
      <w:widowControl/>
      <w:spacing w:before="100" w:beforeAutospacing="1" w:after="100" w:afterAutospacing="1"/>
      <w:jc w:val="left"/>
    </w:pPr>
    <w:rPr>
      <w:kern w:val="0"/>
      <w:sz w:val="24"/>
    </w:rPr>
  </w:style>
  <w:style w:type="paragraph" w:styleId="13">
    <w:name w:val="toc 5"/>
    <w:basedOn w:val="1"/>
    <w:next w:val="1"/>
    <w:qFormat/>
    <w:uiPriority w:val="39"/>
    <w:pPr>
      <w:ind w:left="840"/>
      <w:jc w:val="left"/>
    </w:pPr>
    <w:rPr>
      <w:sz w:val="18"/>
      <w:szCs w:val="18"/>
    </w:rPr>
  </w:style>
  <w:style w:type="paragraph" w:styleId="14">
    <w:name w:val="Plain Text"/>
    <w:basedOn w:val="1"/>
    <w:next w:val="13"/>
    <w:autoRedefine/>
    <w:unhideWhenUsed/>
    <w:qFormat/>
    <w:uiPriority w:val="99"/>
    <w:rPr>
      <w:rFonts w:ascii="宋体" w:hAnsi="Courier New" w:eastAsia="宋体"/>
      <w:kern w:val="2"/>
      <w:sz w:val="19"/>
      <w:lang w:val="en-US" w:eastAsia="zh-CN" w:bidi="ar-SA"/>
    </w:rPr>
  </w:style>
  <w:style w:type="paragraph" w:styleId="15">
    <w:name w:val="Body Text Indent 2"/>
    <w:basedOn w:val="1"/>
    <w:next w:val="14"/>
    <w:autoRedefine/>
    <w:unhideWhenUsed/>
    <w:qFormat/>
    <w:uiPriority w:val="99"/>
    <w:pPr>
      <w:ind w:firstLine="570"/>
    </w:pPr>
    <w:rPr>
      <w:sz w:val="32"/>
    </w:rPr>
  </w:style>
  <w:style w:type="paragraph" w:styleId="16">
    <w:name w:val="footer"/>
    <w:basedOn w:val="1"/>
    <w:autoRedefine/>
    <w:qFormat/>
    <w:uiPriority w:val="0"/>
    <w:pPr>
      <w:tabs>
        <w:tab w:val="center" w:pos="4153"/>
        <w:tab w:val="right" w:pos="8306"/>
      </w:tabs>
      <w:snapToGrid w:val="0"/>
      <w:jc w:val="left"/>
    </w:pPr>
    <w:rPr>
      <w:sz w:val="18"/>
    </w:rPr>
  </w:style>
  <w:style w:type="paragraph" w:styleId="1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18">
    <w:name w:val="toc 1"/>
    <w:basedOn w:val="1"/>
    <w:next w:val="1"/>
    <w:autoRedefine/>
    <w:qFormat/>
    <w:uiPriority w:val="39"/>
    <w:pPr>
      <w:spacing w:line="500" w:lineRule="exact"/>
    </w:pPr>
  </w:style>
  <w:style w:type="paragraph" w:styleId="19">
    <w:name w:val="toc 2"/>
    <w:basedOn w:val="1"/>
    <w:next w:val="1"/>
    <w:autoRedefine/>
    <w:unhideWhenUsed/>
    <w:qFormat/>
    <w:uiPriority w:val="39"/>
    <w:pPr>
      <w:ind w:left="420" w:leftChars="200"/>
    </w:pPr>
  </w:style>
  <w:style w:type="paragraph" w:styleId="20">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21">
    <w:name w:val="Body Text First Indent"/>
    <w:basedOn w:val="7"/>
    <w:next w:val="22"/>
    <w:autoRedefine/>
    <w:qFormat/>
    <w:uiPriority w:val="0"/>
    <w:pPr>
      <w:ind w:firstLine="420" w:firstLineChars="100"/>
    </w:pPr>
    <w:rPr>
      <w:rFonts w:eastAsia="仿宋_GB2312"/>
      <w:sz w:val="28"/>
    </w:rPr>
  </w:style>
  <w:style w:type="paragraph" w:styleId="22">
    <w:name w:val="Body Text First Indent 2"/>
    <w:basedOn w:val="9"/>
    <w:next w:val="1"/>
    <w:qFormat/>
    <w:uiPriority w:val="0"/>
    <w:pPr>
      <w:widowControl/>
      <w:adjustRightInd w:val="0"/>
      <w:snapToGrid w:val="0"/>
      <w:spacing w:line="240" w:lineRule="auto"/>
      <w:ind w:firstLine="420" w:firstLineChars="200"/>
      <w:jc w:val="left"/>
    </w:pPr>
    <w:rPr>
      <w:kern w:val="0"/>
      <w:sz w:val="28"/>
    </w:rPr>
  </w:style>
  <w:style w:type="character" w:styleId="25">
    <w:name w:val="Strong"/>
    <w:basedOn w:val="24"/>
    <w:qFormat/>
    <w:uiPriority w:val="0"/>
    <w:rPr>
      <w:b/>
      <w:bCs/>
    </w:rPr>
  </w:style>
  <w:style w:type="character" w:styleId="26">
    <w:name w:val="FollowedHyperlink"/>
    <w:basedOn w:val="24"/>
    <w:qFormat/>
    <w:uiPriority w:val="0"/>
    <w:rPr>
      <w:color w:val="1F3149"/>
      <w:u w:val="none"/>
    </w:rPr>
  </w:style>
  <w:style w:type="character" w:styleId="27">
    <w:name w:val="HTML Definition"/>
    <w:basedOn w:val="24"/>
    <w:qFormat/>
    <w:uiPriority w:val="0"/>
    <w:rPr>
      <w:i/>
      <w:iCs/>
    </w:rPr>
  </w:style>
  <w:style w:type="character" w:styleId="28">
    <w:name w:val="Hyperlink"/>
    <w:basedOn w:val="24"/>
    <w:autoRedefine/>
    <w:qFormat/>
    <w:uiPriority w:val="0"/>
    <w:rPr>
      <w:color w:val="136EC2"/>
      <w:u w:val="single"/>
    </w:rPr>
  </w:style>
  <w:style w:type="character" w:styleId="29">
    <w:name w:val="HTML Code"/>
    <w:basedOn w:val="24"/>
    <w:qFormat/>
    <w:uiPriority w:val="0"/>
    <w:rPr>
      <w:rFonts w:hint="default" w:ascii="Consolas" w:hAnsi="Consolas" w:eastAsia="Consolas" w:cs="Consolas"/>
      <w:color w:val="C7254E"/>
      <w:sz w:val="21"/>
      <w:szCs w:val="21"/>
      <w:shd w:val="clear" w:fill="F9F2F4"/>
    </w:rPr>
  </w:style>
  <w:style w:type="character" w:styleId="30">
    <w:name w:val="HTML Keyboard"/>
    <w:basedOn w:val="24"/>
    <w:qFormat/>
    <w:uiPriority w:val="0"/>
    <w:rPr>
      <w:rFonts w:ascii="Consolas" w:hAnsi="Consolas" w:eastAsia="Consolas" w:cs="Consolas"/>
      <w:color w:val="FFFFFF"/>
      <w:sz w:val="21"/>
      <w:szCs w:val="21"/>
      <w:shd w:val="clear" w:fill="333333"/>
    </w:rPr>
  </w:style>
  <w:style w:type="character" w:styleId="31">
    <w:name w:val="HTML Sample"/>
    <w:basedOn w:val="24"/>
    <w:qFormat/>
    <w:uiPriority w:val="0"/>
    <w:rPr>
      <w:rFonts w:hint="default" w:ascii="Consolas" w:hAnsi="Consolas" w:eastAsia="Consolas" w:cs="Consolas"/>
      <w:sz w:val="21"/>
      <w:szCs w:val="21"/>
    </w:rPr>
  </w:style>
  <w:style w:type="paragraph" w:customStyle="1" w:styleId="32">
    <w:name w:val="style4"/>
    <w:basedOn w:val="33"/>
    <w:next w:val="34"/>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33">
    <w:name w:val="正文_0"/>
    <w:basedOn w:val="1"/>
    <w:next w:val="21"/>
    <w:autoRedefine/>
    <w:qFormat/>
    <w:uiPriority w:val="0"/>
    <w:rPr>
      <w:rFonts w:ascii="Times New Roman" w:hAnsi="Times New Roman"/>
    </w:rPr>
  </w:style>
  <w:style w:type="paragraph" w:customStyle="1" w:styleId="34">
    <w:name w:val="2"/>
    <w:basedOn w:val="1"/>
    <w:next w:val="1"/>
    <w:autoRedefine/>
    <w:qFormat/>
    <w:uiPriority w:val="0"/>
    <w:rPr>
      <w:rFonts w:ascii="Times New Roman" w:hAnsi="Times New Roman"/>
      <w:kern w:val="0"/>
    </w:rPr>
  </w:style>
  <w:style w:type="character" w:customStyle="1" w:styleId="35">
    <w:name w:val="标题 2 Char"/>
    <w:link w:val="3"/>
    <w:autoRedefine/>
    <w:qFormat/>
    <w:uiPriority w:val="0"/>
    <w:rPr>
      <w:rFonts w:ascii="Arial" w:hAnsi="Arial" w:eastAsia="黑体"/>
      <w:b/>
      <w:bCs/>
      <w:kern w:val="2"/>
      <w:sz w:val="32"/>
      <w:szCs w:val="32"/>
      <w:lang w:val="en-US" w:eastAsia="zh-CN" w:bidi="ar-SA"/>
    </w:rPr>
  </w:style>
  <w:style w:type="character" w:customStyle="1" w:styleId="36">
    <w:name w:val="l_1"/>
    <w:basedOn w:val="24"/>
    <w:qFormat/>
    <w:uiPriority w:val="0"/>
  </w:style>
  <w:style w:type="character" w:customStyle="1" w:styleId="37">
    <w:name w:val="icon_dljg"/>
    <w:basedOn w:val="24"/>
    <w:qFormat/>
    <w:uiPriority w:val="0"/>
  </w:style>
  <w:style w:type="character" w:customStyle="1" w:styleId="38">
    <w:name w:val="l_9"/>
    <w:basedOn w:val="24"/>
    <w:qFormat/>
    <w:uiPriority w:val="0"/>
  </w:style>
  <w:style w:type="character" w:customStyle="1" w:styleId="39">
    <w:name w:val="l_91"/>
    <w:basedOn w:val="24"/>
    <w:qFormat/>
    <w:uiPriority w:val="0"/>
  </w:style>
  <w:style w:type="character" w:customStyle="1" w:styleId="40">
    <w:name w:val="l_3"/>
    <w:basedOn w:val="24"/>
    <w:qFormat/>
    <w:uiPriority w:val="0"/>
  </w:style>
  <w:style w:type="character" w:customStyle="1" w:styleId="41">
    <w:name w:val="l_13"/>
    <w:basedOn w:val="24"/>
    <w:qFormat/>
    <w:uiPriority w:val="0"/>
  </w:style>
  <w:style w:type="character" w:customStyle="1" w:styleId="42">
    <w:name w:val="icon_cxktbr"/>
    <w:basedOn w:val="24"/>
    <w:qFormat/>
    <w:uiPriority w:val="0"/>
  </w:style>
  <w:style w:type="character" w:customStyle="1" w:styleId="43">
    <w:name w:val="icon_cxkcyry"/>
    <w:basedOn w:val="24"/>
    <w:qFormat/>
    <w:uiPriority w:val="0"/>
  </w:style>
  <w:style w:type="character" w:customStyle="1" w:styleId="44">
    <w:name w:val="m-text"/>
    <w:basedOn w:val="24"/>
    <w:qFormat/>
    <w:uiPriority w:val="0"/>
  </w:style>
  <w:style w:type="character" w:customStyle="1" w:styleId="45">
    <w:name w:val="icon_gzkj"/>
    <w:basedOn w:val="24"/>
    <w:qFormat/>
    <w:uiPriority w:val="0"/>
  </w:style>
  <w:style w:type="character" w:customStyle="1" w:styleId="46">
    <w:name w:val="l_0"/>
    <w:basedOn w:val="24"/>
    <w:qFormat/>
    <w:uiPriority w:val="0"/>
  </w:style>
  <w:style w:type="character" w:customStyle="1" w:styleId="47">
    <w:name w:val="l_2"/>
    <w:basedOn w:val="24"/>
    <w:qFormat/>
    <w:uiPriority w:val="0"/>
  </w:style>
  <w:style w:type="character" w:customStyle="1" w:styleId="48">
    <w:name w:val="l_8"/>
    <w:basedOn w:val="24"/>
    <w:qFormat/>
    <w:uiPriority w:val="0"/>
  </w:style>
  <w:style w:type="character" w:customStyle="1" w:styleId="49">
    <w:name w:val="icon_xglc"/>
    <w:basedOn w:val="24"/>
    <w:qFormat/>
    <w:uiPriority w:val="0"/>
  </w:style>
  <w:style w:type="character" w:customStyle="1" w:styleId="50">
    <w:name w:val="l_7"/>
    <w:basedOn w:val="24"/>
    <w:qFormat/>
    <w:uiPriority w:val="0"/>
  </w:style>
  <w:style w:type="character" w:customStyle="1" w:styleId="51">
    <w:name w:val="l_71"/>
    <w:basedOn w:val="24"/>
    <w:qFormat/>
    <w:uiPriority w:val="0"/>
  </w:style>
  <w:style w:type="character" w:customStyle="1" w:styleId="52">
    <w:name w:val="l_4"/>
    <w:basedOn w:val="24"/>
    <w:qFormat/>
    <w:uiPriority w:val="0"/>
  </w:style>
  <w:style w:type="character" w:customStyle="1" w:styleId="53">
    <w:name w:val="l_41"/>
    <w:basedOn w:val="24"/>
    <w:qFormat/>
    <w:uiPriority w:val="0"/>
  </w:style>
  <w:style w:type="character" w:customStyle="1" w:styleId="54">
    <w:name w:val="l_5"/>
    <w:basedOn w:val="24"/>
    <w:qFormat/>
    <w:uiPriority w:val="0"/>
  </w:style>
  <w:style w:type="character" w:customStyle="1" w:styleId="55">
    <w:name w:val="icon_lzrz"/>
    <w:basedOn w:val="24"/>
    <w:qFormat/>
    <w:uiPriority w:val="0"/>
  </w:style>
  <w:style w:type="character" w:customStyle="1" w:styleId="56">
    <w:name w:val="layui-laypage-curr"/>
    <w:basedOn w:val="24"/>
    <w:qFormat/>
    <w:uiPriority w:val="0"/>
  </w:style>
  <w:style w:type="character" w:customStyle="1" w:styleId="57">
    <w:name w:val="l_11"/>
    <w:basedOn w:val="24"/>
    <w:qFormat/>
    <w:uiPriority w:val="0"/>
  </w:style>
  <w:style w:type="character" w:customStyle="1" w:styleId="58">
    <w:name w:val="l_15"/>
    <w:basedOn w:val="24"/>
    <w:qFormat/>
    <w:uiPriority w:val="0"/>
  </w:style>
  <w:style w:type="character" w:customStyle="1" w:styleId="59">
    <w:name w:val="color-blue"/>
    <w:basedOn w:val="24"/>
    <w:qFormat/>
    <w:uiPriority w:val="0"/>
    <w:rPr>
      <w:color w:val="1890FF"/>
      <w:sz w:val="14"/>
      <w:szCs w:val="14"/>
      <w:bdr w:val="single" w:color="1890FF" w:sz="4" w:space="0"/>
    </w:rPr>
  </w:style>
  <w:style w:type="character" w:customStyle="1" w:styleId="60">
    <w:name w:val="color-yellow"/>
    <w:basedOn w:val="24"/>
    <w:qFormat/>
    <w:uiPriority w:val="0"/>
    <w:rPr>
      <w:color w:val="FAAD14"/>
      <w:sz w:val="14"/>
      <w:szCs w:val="14"/>
      <w:bdr w:val="single" w:color="FAAD14" w:sz="4" w:space="0"/>
    </w:rPr>
  </w:style>
  <w:style w:type="character" w:customStyle="1" w:styleId="61">
    <w:name w:val="color-yellow1"/>
    <w:basedOn w:val="24"/>
    <w:qFormat/>
    <w:uiPriority w:val="0"/>
    <w:rPr>
      <w:color w:val="FAAD14"/>
      <w:sz w:val="14"/>
      <w:szCs w:val="14"/>
      <w:bdr w:val="single" w:color="FAAD14" w:sz="4" w:space="0"/>
    </w:rPr>
  </w:style>
  <w:style w:type="character" w:customStyle="1" w:styleId="62">
    <w:name w:val="l_12"/>
    <w:basedOn w:val="24"/>
    <w:qFormat/>
    <w:uiPriority w:val="0"/>
  </w:style>
  <w:style w:type="character" w:customStyle="1" w:styleId="63">
    <w:name w:val="l_121"/>
    <w:basedOn w:val="24"/>
    <w:qFormat/>
    <w:uiPriority w:val="0"/>
  </w:style>
  <w:style w:type="character" w:customStyle="1" w:styleId="64">
    <w:name w:val="first-child1"/>
    <w:basedOn w:val="24"/>
    <w:qFormat/>
    <w:uiPriority w:val="0"/>
  </w:style>
  <w:style w:type="character" w:customStyle="1" w:styleId="65">
    <w:name w:val="l_6"/>
    <w:basedOn w:val="24"/>
    <w:qFormat/>
    <w:uiPriority w:val="0"/>
  </w:style>
  <w:style w:type="character" w:customStyle="1" w:styleId="66">
    <w:name w:val="l_61"/>
    <w:basedOn w:val="24"/>
    <w:qFormat/>
    <w:uiPriority w:val="0"/>
  </w:style>
  <w:style w:type="character" w:customStyle="1" w:styleId="67">
    <w:name w:val="l_10"/>
    <w:basedOn w:val="24"/>
    <w:qFormat/>
    <w:uiPriority w:val="0"/>
  </w:style>
  <w:style w:type="character" w:customStyle="1" w:styleId="68">
    <w:name w:val="l_101"/>
    <w:basedOn w:val="24"/>
    <w:qFormat/>
    <w:uiPriority w:val="0"/>
  </w:style>
  <w:style w:type="character" w:customStyle="1" w:styleId="69">
    <w:name w:val="l_14"/>
    <w:basedOn w:val="24"/>
    <w:qFormat/>
    <w:uiPriority w:val="0"/>
  </w:style>
  <w:style w:type="character" w:customStyle="1" w:styleId="70">
    <w:name w:val="l_141"/>
    <w:basedOn w:val="24"/>
    <w:qFormat/>
    <w:uiPriority w:val="0"/>
  </w:style>
  <w:style w:type="character" w:customStyle="1" w:styleId="71">
    <w:name w:val="icon_xzry"/>
    <w:basedOn w:val="24"/>
    <w:qFormat/>
    <w:uiPriority w:val="0"/>
  </w:style>
  <w:style w:type="character" w:customStyle="1" w:styleId="72">
    <w:name w:val="color_cdyy"/>
    <w:basedOn w:val="24"/>
    <w:qFormat/>
    <w:uiPriority w:val="0"/>
    <w:rPr>
      <w:color w:val="FFFFFF"/>
      <w:bdr w:val="single" w:color="FFFFFF" w:sz="4" w:space="0"/>
    </w:rPr>
  </w:style>
  <w:style w:type="paragraph" w:customStyle="1" w:styleId="73">
    <w:name w:val="无间隔1"/>
    <w:basedOn w:val="1"/>
    <w:qFormat/>
    <w:uiPriority w:val="99"/>
    <w:pPr>
      <w:spacing w:line="400" w:lineRule="exact"/>
    </w:pPr>
    <w:rPr>
      <w:sz w:val="24"/>
      <w:szCs w:val="24"/>
    </w:rPr>
  </w:style>
  <w:style w:type="character" w:customStyle="1" w:styleId="74">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64</Pages>
  <Words>28471</Words>
  <Characters>29492</Characters>
  <Lines>0</Lines>
  <Paragraphs>0</Paragraphs>
  <TotalTime>0</TotalTime>
  <ScaleCrop>false</ScaleCrop>
  <LinksUpToDate>false</LinksUpToDate>
  <CharactersWithSpaces>31472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2024-04-09T05:34:00Z</dcterms:created>
  <dc:creator>Lenovo</dc:creator>
  <cp:lastModifiedBy>明阳</cp:lastModifiedBy>
  <cp:lastPrinted>2025-08-25T04:10:00Z</cp:lastPrinted>
  <dcterms:modified xsi:type="dcterms:W3CDTF">2025-09-05T02:12:54Z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D61EE0B86F2C4318BA35CA998163D69D_13</vt:lpwstr>
  </property>
  <property fmtid="{D5CDD505-2E9C-101B-9397-08002B2CF9AE}" pid="4" name="KSOTemplateDocerSaveRecord">
    <vt:lpwstr>eyJoZGlkIjoiZmRjNzUzZWY1Mjk1ZjY4ZWU0OTIxODVlZjk4NzU0MjQiLCJ1c2VySWQiOiI2MDk3MTQyOTEifQ==</vt:lpwstr>
  </property>
</Properties>
</file>