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BF648">
      <w:pPr>
        <w:pStyle w:val="6"/>
        <w:numPr>
          <w:ilvl w:val="0"/>
          <w:numId w:val="1"/>
        </w:numPr>
        <w:spacing w:before="156" w:beforeLines="50" w:after="156" w:afterLines="50" w:line="600" w:lineRule="exact"/>
        <w:ind w:left="57"/>
        <w:jc w:val="center"/>
        <w:outlineLvl w:val="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 xml:space="preserve"> </w:t>
      </w:r>
      <w:bookmarkStart w:id="0" w:name="_Toc4655"/>
      <w:r>
        <w:rPr>
          <w:rFonts w:hint="eastAsia" w:ascii="仿宋_GB2312" w:hAnsi="仿宋_GB2312" w:eastAsia="仿宋_GB2312" w:cs="仿宋_GB2312"/>
          <w:b/>
          <w:bCs/>
          <w:color w:val="auto"/>
          <w:sz w:val="32"/>
          <w:szCs w:val="32"/>
          <w:highlight w:val="none"/>
        </w:rPr>
        <w:t>采购需求</w:t>
      </w:r>
      <w:bookmarkEnd w:id="0"/>
    </w:p>
    <w:p w14:paraId="4A336AA9">
      <w:pPr>
        <w:pStyle w:val="4"/>
        <w:pageBreakBefore w:val="0"/>
        <w:kinsoku/>
        <w:wordWrap/>
        <w:overflowPunct/>
        <w:topLinePunct w:val="0"/>
        <w:autoSpaceDE/>
        <w:autoSpaceDN/>
        <w:bidi w:val="0"/>
        <w:spacing w:line="360" w:lineRule="auto"/>
        <w:ind w:firstLine="210" w:firstLineChars="100"/>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kern w:val="2"/>
          <w:sz w:val="21"/>
          <w:szCs w:val="21"/>
          <w:highlight w:val="none"/>
          <w:lang w:val="en-US" w:eastAsia="zh-CN" w:bidi="ar-SA"/>
        </w:rPr>
        <w:t>一、采购内容：平安家园治安家财保险服务</w:t>
      </w:r>
    </w:p>
    <w:p w14:paraId="427E5A7C">
      <w:pPr>
        <w:pStyle w:val="4"/>
        <w:pageBreakBefore w:val="0"/>
        <w:kinsoku/>
        <w:wordWrap/>
        <w:overflowPunct/>
        <w:topLinePunct w:val="0"/>
        <w:autoSpaceDE/>
        <w:autoSpaceDN/>
        <w:bidi w:val="0"/>
        <w:spacing w:line="360" w:lineRule="auto"/>
        <w:ind w:firstLine="210" w:firstLineChars="100"/>
        <w:jc w:val="both"/>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kern w:val="2"/>
          <w:sz w:val="21"/>
          <w:szCs w:val="21"/>
          <w:highlight w:val="none"/>
          <w:lang w:val="en-US" w:eastAsia="zh-CN" w:bidi="ar-SA"/>
        </w:rPr>
        <w:t>二、资金来源：财政资金，已落实；预算服务费用每年50万元，服务期限3年，合计150万元。（本项目预算价及最高限价为150万元，投标人自主报价，不得超出最高限价。）</w:t>
      </w:r>
    </w:p>
    <w:p w14:paraId="086EBB7C">
      <w:pPr>
        <w:pStyle w:val="4"/>
        <w:pageBreakBefore w:val="0"/>
        <w:kinsoku/>
        <w:wordWrap/>
        <w:overflowPunct/>
        <w:topLinePunct w:val="0"/>
        <w:autoSpaceDE/>
        <w:autoSpaceDN/>
        <w:bidi w:val="0"/>
        <w:spacing w:line="360" w:lineRule="auto"/>
        <w:ind w:firstLine="210" w:firstLineChars="100"/>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kern w:val="2"/>
          <w:sz w:val="21"/>
          <w:szCs w:val="21"/>
          <w:highlight w:val="none"/>
          <w:lang w:val="en-US" w:eastAsia="zh-CN" w:bidi="ar-SA"/>
        </w:rPr>
        <w:t>三、服务期限：3年</w:t>
      </w:r>
    </w:p>
    <w:p w14:paraId="35713D3A">
      <w:pPr>
        <w:pStyle w:val="4"/>
        <w:pageBreakBefore w:val="0"/>
        <w:kinsoku/>
        <w:wordWrap/>
        <w:overflowPunct/>
        <w:topLinePunct w:val="0"/>
        <w:autoSpaceDE/>
        <w:autoSpaceDN/>
        <w:bidi w:val="0"/>
        <w:spacing w:line="360" w:lineRule="auto"/>
        <w:ind w:firstLine="210" w:firstLineChars="100"/>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kern w:val="2"/>
          <w:sz w:val="21"/>
          <w:szCs w:val="21"/>
          <w:highlight w:val="none"/>
          <w:lang w:val="en-US" w:eastAsia="zh-CN" w:bidi="ar-SA"/>
        </w:rPr>
        <w:t>四、服务要求：达到国家及行业相关服务规定合格标准</w:t>
      </w:r>
    </w:p>
    <w:p w14:paraId="115B8412">
      <w:pPr>
        <w:pStyle w:val="4"/>
        <w:pageBreakBefore w:val="0"/>
        <w:kinsoku/>
        <w:wordWrap/>
        <w:overflowPunct/>
        <w:topLinePunct w:val="0"/>
        <w:autoSpaceDE/>
        <w:autoSpaceDN/>
        <w:bidi w:val="0"/>
        <w:spacing w:line="360" w:lineRule="auto"/>
        <w:ind w:firstLine="210" w:firstLineChars="100"/>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kern w:val="2"/>
          <w:sz w:val="21"/>
          <w:szCs w:val="21"/>
          <w:highlight w:val="none"/>
          <w:lang w:val="en-US" w:eastAsia="zh-CN" w:bidi="ar-SA"/>
        </w:rPr>
        <w:t>五、保险范围</w:t>
      </w:r>
    </w:p>
    <w:p w14:paraId="725D842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45"/>
        <w:jc w:val="both"/>
        <w:textAlignment w:val="auto"/>
        <w:outlineLvl w:val="9"/>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kern w:val="2"/>
          <w:sz w:val="21"/>
          <w:szCs w:val="21"/>
          <w:highlight w:val="none"/>
          <w:lang w:val="en-US" w:eastAsia="zh-CN" w:bidi="ar-SA"/>
        </w:rPr>
        <w:t>人员范围：平顶山宝丰县户籍在册人员（含农业和非农业人口）,具有平顶山市宝丰县户籍的自然人；本辖区务工人员；与本辖区居住户籍居民结婚后，但未取得本辖区户籍的人员；与本辖区户籍居民结婚后，生育的子女尚未取得户籍的；户籍不在本辖区，但在本辖区内党政机关、社会团体、企事业单位上班的人员；本辖区内的</w:t>
      </w:r>
      <w:r>
        <w:rPr>
          <w:rFonts w:hint="eastAsia" w:ascii="仿宋_GB2312" w:hAnsi="仿宋_GB2312" w:eastAsia="仿宋_GB2312" w:cs="仿宋_GB2312"/>
          <w:b w:val="0"/>
          <w:bCs/>
          <w:color w:val="auto"/>
          <w:sz w:val="21"/>
          <w:szCs w:val="21"/>
          <w:highlight w:val="none"/>
          <w:lang w:eastAsia="zh-CN"/>
        </w:rPr>
        <w:t>未成年在校学生；</w:t>
      </w:r>
      <w:r>
        <w:rPr>
          <w:rFonts w:hint="eastAsia" w:ascii="仿宋_GB2312" w:hAnsi="仿宋_GB2312" w:eastAsia="仿宋_GB2312" w:cs="仿宋_GB2312"/>
          <w:b w:val="0"/>
          <w:bCs/>
          <w:color w:val="auto"/>
          <w:sz w:val="21"/>
          <w:szCs w:val="21"/>
          <w:highlight w:val="none"/>
          <w:lang w:val="en-US" w:eastAsia="zh-CN"/>
        </w:rPr>
        <w:t>户籍不在本辖区，但在承保区域范围的所有人员</w:t>
      </w:r>
      <w:r>
        <w:rPr>
          <w:rFonts w:hint="eastAsia" w:ascii="仿宋_GB2312" w:hAnsi="仿宋_GB2312" w:eastAsia="仿宋_GB2312" w:cs="仿宋_GB2312"/>
          <w:b w:val="0"/>
          <w:bCs/>
          <w:color w:val="auto"/>
          <w:sz w:val="21"/>
          <w:szCs w:val="21"/>
          <w:highlight w:val="none"/>
          <w:lang w:eastAsia="zh-CN"/>
        </w:rPr>
        <w:t>。</w:t>
      </w:r>
    </w:p>
    <w:p w14:paraId="39B15DA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45"/>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rPr>
        <w:t>财产范</w:t>
      </w:r>
      <w:r>
        <w:rPr>
          <w:rFonts w:hint="eastAsia" w:ascii="仿宋_GB2312" w:hAnsi="仿宋_GB2312" w:eastAsia="仿宋_GB2312" w:cs="仿宋_GB2312"/>
          <w:b w:val="0"/>
          <w:bCs/>
          <w:color w:val="auto"/>
          <w:sz w:val="21"/>
          <w:szCs w:val="21"/>
          <w:highlight w:val="none"/>
          <w:lang w:eastAsia="zh-CN"/>
        </w:rPr>
        <w:t>围：辖区内全部常住人口所有且有人长期居住的居民房屋、室内相关财产、电动（两轮、三轮）车等</w:t>
      </w:r>
      <w:r>
        <w:rPr>
          <w:rFonts w:hint="eastAsia" w:ascii="仿宋_GB2312" w:hAnsi="仿宋_GB2312" w:eastAsia="仿宋_GB2312" w:cs="仿宋_GB2312"/>
          <w:b w:val="0"/>
          <w:bCs/>
          <w:color w:val="auto"/>
          <w:sz w:val="21"/>
          <w:szCs w:val="21"/>
          <w:highlight w:val="none"/>
          <w:lang w:val="en-US" w:eastAsia="zh-CN"/>
        </w:rPr>
        <w:t>包括户籍不在本辖区，但在承保区域范围的所有人员财产</w:t>
      </w:r>
      <w:r>
        <w:rPr>
          <w:rFonts w:hint="eastAsia" w:ascii="仿宋_GB2312" w:hAnsi="仿宋_GB2312" w:eastAsia="仿宋_GB2312" w:cs="仿宋_GB2312"/>
          <w:b w:val="0"/>
          <w:bCs/>
          <w:color w:val="auto"/>
          <w:sz w:val="21"/>
          <w:szCs w:val="21"/>
          <w:highlight w:val="none"/>
          <w:lang w:eastAsia="zh-CN"/>
        </w:rPr>
        <w:t>；</w:t>
      </w:r>
    </w:p>
    <w:p w14:paraId="43F7D1D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45"/>
        <w:jc w:val="both"/>
        <w:textAlignment w:val="auto"/>
        <w:outlineLvl w:val="9"/>
        <w:rPr>
          <w:rFonts w:hint="eastAsia" w:ascii="仿宋_GB2312" w:hAnsi="仿宋_GB2312" w:eastAsia="仿宋_GB2312" w:cs="仿宋_GB2312"/>
          <w:b w:val="0"/>
          <w:bCs/>
          <w:color w:val="auto"/>
          <w:sz w:val="21"/>
          <w:szCs w:val="21"/>
          <w:highlight w:val="none"/>
        </w:rPr>
      </w:pPr>
      <w:r>
        <w:rPr>
          <w:rFonts w:hint="eastAsia" w:ascii="仿宋_GB2312" w:hAnsi="仿宋_GB2312" w:eastAsia="仿宋_GB2312" w:cs="仿宋_GB2312"/>
          <w:b w:val="0"/>
          <w:bCs/>
          <w:color w:val="auto"/>
          <w:sz w:val="21"/>
          <w:szCs w:val="21"/>
          <w:highlight w:val="none"/>
          <w:lang w:eastAsia="zh-CN"/>
        </w:rPr>
        <w:t>承保</w:t>
      </w:r>
      <w:r>
        <w:rPr>
          <w:rFonts w:hint="eastAsia" w:ascii="仿宋_GB2312" w:hAnsi="仿宋_GB2312" w:eastAsia="仿宋_GB2312" w:cs="仿宋_GB2312"/>
          <w:b w:val="0"/>
          <w:bCs/>
          <w:color w:val="auto"/>
          <w:sz w:val="21"/>
          <w:szCs w:val="21"/>
          <w:highlight w:val="none"/>
        </w:rPr>
        <w:t>区域范围：</w:t>
      </w:r>
      <w:r>
        <w:rPr>
          <w:rFonts w:hint="eastAsia" w:ascii="仿宋_GB2312" w:hAnsi="仿宋_GB2312" w:eastAsia="仿宋_GB2312" w:cs="仿宋_GB2312"/>
          <w:b w:val="0"/>
          <w:bCs/>
          <w:color w:val="auto"/>
          <w:sz w:val="21"/>
          <w:szCs w:val="21"/>
          <w:highlight w:val="none"/>
          <w:lang w:eastAsia="zh-CN"/>
        </w:rPr>
        <w:t>平顶山市宝丰县区域内</w:t>
      </w:r>
      <w:r>
        <w:rPr>
          <w:rFonts w:hint="eastAsia" w:ascii="仿宋_GB2312" w:hAnsi="仿宋_GB2312" w:eastAsia="仿宋_GB2312" w:cs="仿宋_GB2312"/>
          <w:b w:val="0"/>
          <w:bCs/>
          <w:color w:val="auto"/>
          <w:sz w:val="21"/>
          <w:szCs w:val="21"/>
          <w:highlight w:val="none"/>
        </w:rPr>
        <w:t>。</w:t>
      </w:r>
    </w:p>
    <w:p w14:paraId="043B74BF">
      <w:pPr>
        <w:pStyle w:val="4"/>
        <w:pageBreakBefore w:val="0"/>
        <w:kinsoku/>
        <w:wordWrap/>
        <w:overflowPunct/>
        <w:topLinePunct w:val="0"/>
        <w:autoSpaceDE/>
        <w:autoSpaceDN/>
        <w:bidi w:val="0"/>
        <w:spacing w:line="360" w:lineRule="auto"/>
        <w:ind w:firstLine="210" w:firstLineChars="100"/>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kern w:val="2"/>
          <w:sz w:val="21"/>
          <w:szCs w:val="21"/>
          <w:highlight w:val="none"/>
          <w:lang w:val="en-US" w:eastAsia="zh-CN" w:bidi="ar-SA"/>
        </w:rPr>
        <w:t>六、保险内容</w:t>
      </w:r>
    </w:p>
    <w:tbl>
      <w:tblPr>
        <w:tblStyle w:val="8"/>
        <w:tblW w:w="9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2375"/>
        <w:gridCol w:w="1561"/>
        <w:gridCol w:w="3710"/>
      </w:tblGrid>
      <w:tr w14:paraId="7D7E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268" w:type="dxa"/>
            <w:gridSpan w:val="4"/>
            <w:noWrap w:val="0"/>
            <w:vAlign w:val="center"/>
          </w:tcPr>
          <w:p w14:paraId="70EB7A5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45"/>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险种：平安家园治安家财保险</w:t>
            </w:r>
          </w:p>
        </w:tc>
      </w:tr>
      <w:tr w14:paraId="7386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622" w:type="dxa"/>
            <w:noWrap w:val="0"/>
            <w:vAlign w:val="center"/>
          </w:tcPr>
          <w:p w14:paraId="393F556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45"/>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居住地</w:t>
            </w:r>
          </w:p>
        </w:tc>
        <w:tc>
          <w:tcPr>
            <w:tcW w:w="2375" w:type="dxa"/>
            <w:noWrap w:val="0"/>
            <w:vAlign w:val="center"/>
          </w:tcPr>
          <w:p w14:paraId="0219CDC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45"/>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保障内容</w:t>
            </w:r>
          </w:p>
        </w:tc>
        <w:tc>
          <w:tcPr>
            <w:tcW w:w="1561" w:type="dxa"/>
            <w:noWrap w:val="0"/>
            <w:vAlign w:val="center"/>
          </w:tcPr>
          <w:p w14:paraId="56E290AA">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每份保障金额/责任限额（元）</w:t>
            </w:r>
          </w:p>
        </w:tc>
        <w:tc>
          <w:tcPr>
            <w:tcW w:w="3710" w:type="dxa"/>
            <w:noWrap w:val="0"/>
            <w:vAlign w:val="center"/>
          </w:tcPr>
          <w:p w14:paraId="33A7B4E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1352" w:firstLineChars="644"/>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保险责任</w:t>
            </w:r>
          </w:p>
        </w:tc>
      </w:tr>
      <w:tr w14:paraId="6D3A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jc w:val="center"/>
        </w:trPr>
        <w:tc>
          <w:tcPr>
            <w:tcW w:w="1622" w:type="dxa"/>
            <w:vMerge w:val="restart"/>
            <w:noWrap w:val="0"/>
            <w:vAlign w:val="center"/>
          </w:tcPr>
          <w:p w14:paraId="25CE975C">
            <w:pPr>
              <w:keepNext w:val="0"/>
              <w:keepLines w:val="0"/>
              <w:pageBreakBefore w:val="0"/>
              <w:widowControl w:val="0"/>
              <w:kinsoku/>
              <w:wordWrap/>
              <w:overflowPunct/>
              <w:topLinePunct w:val="0"/>
              <w:autoSpaceDE/>
              <w:autoSpaceDN/>
              <w:bidi w:val="0"/>
              <w:adjustRightInd/>
              <w:snapToGrid/>
              <w:spacing w:line="360" w:lineRule="auto"/>
              <w:ind w:right="0" w:rightChars="0" w:firstLine="210" w:firstLineChars="100"/>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城镇居民</w:t>
            </w:r>
          </w:p>
        </w:tc>
        <w:tc>
          <w:tcPr>
            <w:tcW w:w="2375" w:type="dxa"/>
            <w:noWrap w:val="0"/>
            <w:vAlign w:val="center"/>
          </w:tcPr>
          <w:p w14:paraId="72171DDD">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室内财产：（包括：家用电器及</w:t>
            </w:r>
            <w:r>
              <w:rPr>
                <w:rFonts w:hint="eastAsia" w:ascii="仿宋_GB2312" w:hAnsi="仿宋_GB2312" w:eastAsia="仿宋_GB2312" w:cs="仿宋_GB2312"/>
                <w:b w:val="0"/>
                <w:bCs/>
                <w:color w:val="auto"/>
                <w:sz w:val="21"/>
                <w:szCs w:val="21"/>
                <w:highlight w:val="none"/>
                <w:lang w:val="en-US" w:eastAsia="zh-CN"/>
              </w:rPr>
              <w:t>文</w:t>
            </w:r>
            <w:r>
              <w:rPr>
                <w:rFonts w:hint="eastAsia" w:ascii="仿宋_GB2312" w:hAnsi="仿宋_GB2312" w:eastAsia="仿宋_GB2312" w:cs="仿宋_GB2312"/>
                <w:b w:val="0"/>
                <w:bCs/>
                <w:color w:val="auto"/>
                <w:sz w:val="21"/>
                <w:szCs w:val="21"/>
                <w:highlight w:val="none"/>
                <w:lang w:eastAsia="zh-CN"/>
              </w:rPr>
              <w:t>体娱乐用品，衣物和床上用品，家具及其他生活用品）</w:t>
            </w:r>
          </w:p>
        </w:tc>
        <w:tc>
          <w:tcPr>
            <w:tcW w:w="1561" w:type="dxa"/>
            <w:noWrap w:val="0"/>
            <w:vAlign w:val="center"/>
          </w:tcPr>
          <w:p w14:paraId="67D09D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45"/>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3000</w:t>
            </w:r>
          </w:p>
        </w:tc>
        <w:tc>
          <w:tcPr>
            <w:tcW w:w="3710" w:type="dxa"/>
            <w:noWrap w:val="0"/>
            <w:vAlign w:val="center"/>
          </w:tcPr>
          <w:p w14:paraId="1835F3DB">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(一)火灾、爆炸;</w:t>
            </w:r>
          </w:p>
          <w:p w14:paraId="49563588">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eastAsia="zh-CN"/>
              </w:rPr>
              <w:t>(二)雷击、台风、龙卷风、暴风、暴雨、洪水、</w:t>
            </w:r>
            <w:r>
              <w:rPr>
                <w:rFonts w:hint="eastAsia" w:ascii="仿宋_GB2312" w:hAnsi="仿宋_GB2312" w:eastAsia="仿宋_GB2312" w:cs="仿宋_GB2312"/>
                <w:b w:val="0"/>
                <w:bCs/>
                <w:color w:val="auto"/>
                <w:sz w:val="21"/>
                <w:szCs w:val="21"/>
                <w:highlight w:val="none"/>
                <w:lang w:val="en-US" w:eastAsia="zh-CN"/>
              </w:rPr>
              <w:t>暴雪/</w:t>
            </w:r>
            <w:r>
              <w:rPr>
                <w:rFonts w:hint="eastAsia" w:ascii="仿宋_GB2312" w:hAnsi="仿宋_GB2312" w:eastAsia="仿宋_GB2312" w:cs="仿宋_GB2312"/>
                <w:b w:val="0"/>
                <w:bCs/>
                <w:color w:val="auto"/>
                <w:sz w:val="21"/>
                <w:szCs w:val="21"/>
                <w:highlight w:val="none"/>
                <w:lang w:eastAsia="zh-CN"/>
              </w:rPr>
              <w:t>雪灾、</w:t>
            </w:r>
            <w:r>
              <w:rPr>
                <w:rFonts w:hint="eastAsia" w:ascii="仿宋_GB2312" w:hAnsi="仿宋_GB2312" w:eastAsia="仿宋_GB2312" w:cs="仿宋_GB2312"/>
                <w:b w:val="0"/>
                <w:bCs/>
                <w:color w:val="auto"/>
                <w:sz w:val="21"/>
                <w:szCs w:val="21"/>
                <w:highlight w:val="none"/>
                <w:lang w:val="en-US" w:eastAsia="zh-CN"/>
              </w:rPr>
              <w:t>冰雹/</w:t>
            </w:r>
            <w:r>
              <w:rPr>
                <w:rFonts w:hint="eastAsia" w:ascii="仿宋_GB2312" w:hAnsi="仿宋_GB2312" w:eastAsia="仿宋_GB2312" w:cs="仿宋_GB2312"/>
                <w:b w:val="0"/>
                <w:bCs/>
                <w:color w:val="auto"/>
                <w:sz w:val="21"/>
                <w:szCs w:val="21"/>
                <w:highlight w:val="none"/>
                <w:lang w:eastAsia="zh-CN"/>
              </w:rPr>
              <w:t>雹灾、冰凌、泥石流、崖崩、突发性滑坡、地面突然下陷。</w:t>
            </w:r>
          </w:p>
        </w:tc>
      </w:tr>
      <w:tr w14:paraId="1A5B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jc w:val="center"/>
        </w:trPr>
        <w:tc>
          <w:tcPr>
            <w:tcW w:w="1622" w:type="dxa"/>
            <w:vMerge w:val="continue"/>
            <w:noWrap w:val="0"/>
            <w:vAlign w:val="center"/>
          </w:tcPr>
          <w:p w14:paraId="2B61C93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45"/>
              <w:jc w:val="both"/>
              <w:textAlignment w:val="auto"/>
              <w:outlineLvl w:val="9"/>
              <w:rPr>
                <w:rFonts w:hint="eastAsia" w:ascii="仿宋_GB2312" w:hAnsi="仿宋_GB2312" w:eastAsia="仿宋_GB2312" w:cs="仿宋_GB2312"/>
                <w:b w:val="0"/>
                <w:bCs/>
                <w:color w:val="auto"/>
                <w:sz w:val="21"/>
                <w:szCs w:val="21"/>
                <w:highlight w:val="none"/>
                <w:lang w:eastAsia="zh-CN"/>
              </w:rPr>
            </w:pPr>
          </w:p>
        </w:tc>
        <w:tc>
          <w:tcPr>
            <w:tcW w:w="2375" w:type="dxa"/>
            <w:noWrap w:val="0"/>
            <w:vAlign w:val="center"/>
          </w:tcPr>
          <w:p w14:paraId="22766C2A">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电动车盗抢保险（两轮、三轮）</w:t>
            </w:r>
          </w:p>
        </w:tc>
        <w:tc>
          <w:tcPr>
            <w:tcW w:w="1561" w:type="dxa"/>
            <w:noWrap w:val="0"/>
            <w:vAlign w:val="center"/>
          </w:tcPr>
          <w:p w14:paraId="3F4C416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45"/>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1500</w:t>
            </w:r>
          </w:p>
        </w:tc>
        <w:tc>
          <w:tcPr>
            <w:tcW w:w="3710" w:type="dxa"/>
            <w:noWrap w:val="0"/>
            <w:vAlign w:val="center"/>
          </w:tcPr>
          <w:p w14:paraId="3A1F3D6A">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遭受盗抢，经公安部门确认的直接损失，一辆电动车的赔偿标准：3个月以内的1500元；一年以内的1000元；一年以上（含一年）800元，无购车发票或收据，也无合格证或保修卡的，最高赔偿500元。</w:t>
            </w:r>
          </w:p>
        </w:tc>
      </w:tr>
      <w:tr w14:paraId="0225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1622" w:type="dxa"/>
            <w:vMerge w:val="continue"/>
            <w:noWrap w:val="0"/>
            <w:vAlign w:val="center"/>
          </w:tcPr>
          <w:p w14:paraId="52AB7C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45"/>
              <w:jc w:val="both"/>
              <w:textAlignment w:val="auto"/>
              <w:outlineLvl w:val="9"/>
              <w:rPr>
                <w:rFonts w:hint="eastAsia" w:ascii="仿宋_GB2312" w:hAnsi="仿宋_GB2312" w:eastAsia="仿宋_GB2312" w:cs="仿宋_GB2312"/>
                <w:b w:val="0"/>
                <w:bCs/>
                <w:color w:val="auto"/>
                <w:sz w:val="21"/>
                <w:szCs w:val="21"/>
                <w:highlight w:val="none"/>
                <w:lang w:eastAsia="zh-CN"/>
              </w:rPr>
            </w:pPr>
          </w:p>
        </w:tc>
        <w:tc>
          <w:tcPr>
            <w:tcW w:w="2375" w:type="dxa"/>
            <w:noWrap w:val="0"/>
            <w:vAlign w:val="center"/>
          </w:tcPr>
          <w:p w14:paraId="68568E85">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附加室内财产盗抢保险</w:t>
            </w:r>
          </w:p>
        </w:tc>
        <w:tc>
          <w:tcPr>
            <w:tcW w:w="1561" w:type="dxa"/>
            <w:noWrap w:val="0"/>
            <w:vAlign w:val="center"/>
          </w:tcPr>
          <w:p w14:paraId="045CED1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45"/>
              <w:jc w:val="both"/>
              <w:textAlignment w:val="auto"/>
              <w:outlineLvl w:val="9"/>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2000</w:t>
            </w:r>
          </w:p>
        </w:tc>
        <w:tc>
          <w:tcPr>
            <w:tcW w:w="3710" w:type="dxa"/>
            <w:noWrap w:val="0"/>
            <w:vAlign w:val="center"/>
          </w:tcPr>
          <w:p w14:paraId="7EB51617">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遭受外来人员盗抢或抢劫，并经公安部门确认为盗抢行为所致的直接损失</w:t>
            </w:r>
          </w:p>
        </w:tc>
      </w:tr>
      <w:tr w14:paraId="041C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622" w:type="dxa"/>
            <w:vMerge w:val="restart"/>
            <w:noWrap w:val="0"/>
            <w:vAlign w:val="center"/>
          </w:tcPr>
          <w:p w14:paraId="7B9E74C6">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农村居民</w:t>
            </w:r>
          </w:p>
        </w:tc>
        <w:tc>
          <w:tcPr>
            <w:tcW w:w="2375" w:type="dxa"/>
            <w:noWrap w:val="0"/>
            <w:vAlign w:val="center"/>
          </w:tcPr>
          <w:p w14:paraId="6FF01213">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室内财产：（包括：家用电器及主体娱乐用品，衣物和床上用品，家具及其他生活用品）</w:t>
            </w:r>
          </w:p>
        </w:tc>
        <w:tc>
          <w:tcPr>
            <w:tcW w:w="1561" w:type="dxa"/>
            <w:noWrap w:val="0"/>
            <w:vAlign w:val="center"/>
          </w:tcPr>
          <w:p w14:paraId="2CE93D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45"/>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3000</w:t>
            </w:r>
          </w:p>
        </w:tc>
        <w:tc>
          <w:tcPr>
            <w:tcW w:w="3710" w:type="dxa"/>
            <w:noWrap w:val="0"/>
            <w:vAlign w:val="center"/>
          </w:tcPr>
          <w:p w14:paraId="5E40BCA8">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(一)火灾、爆炸;</w:t>
            </w:r>
          </w:p>
          <w:p w14:paraId="6A98BACD">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(二)雷击、台风、龙卷风、暴风、暴雨、洪水、</w:t>
            </w:r>
            <w:r>
              <w:rPr>
                <w:rFonts w:hint="eastAsia" w:ascii="仿宋_GB2312" w:hAnsi="仿宋_GB2312" w:eastAsia="仿宋_GB2312" w:cs="仿宋_GB2312"/>
                <w:b w:val="0"/>
                <w:bCs/>
                <w:color w:val="auto"/>
                <w:sz w:val="21"/>
                <w:szCs w:val="21"/>
                <w:highlight w:val="none"/>
                <w:lang w:val="en-US" w:eastAsia="zh-CN"/>
              </w:rPr>
              <w:t>暴雪/</w:t>
            </w:r>
            <w:r>
              <w:rPr>
                <w:rFonts w:hint="eastAsia" w:ascii="仿宋_GB2312" w:hAnsi="仿宋_GB2312" w:eastAsia="仿宋_GB2312" w:cs="仿宋_GB2312"/>
                <w:b w:val="0"/>
                <w:bCs/>
                <w:color w:val="auto"/>
                <w:sz w:val="21"/>
                <w:szCs w:val="21"/>
                <w:highlight w:val="none"/>
                <w:lang w:eastAsia="zh-CN"/>
              </w:rPr>
              <w:t>雪灾、</w:t>
            </w:r>
            <w:r>
              <w:rPr>
                <w:rFonts w:hint="eastAsia" w:ascii="仿宋_GB2312" w:hAnsi="仿宋_GB2312" w:eastAsia="仿宋_GB2312" w:cs="仿宋_GB2312"/>
                <w:b w:val="0"/>
                <w:bCs/>
                <w:color w:val="auto"/>
                <w:sz w:val="21"/>
                <w:szCs w:val="21"/>
                <w:highlight w:val="none"/>
                <w:lang w:val="en-US" w:eastAsia="zh-CN"/>
              </w:rPr>
              <w:t>冰雹/</w:t>
            </w:r>
            <w:r>
              <w:rPr>
                <w:rFonts w:hint="eastAsia" w:ascii="仿宋_GB2312" w:hAnsi="仿宋_GB2312" w:eastAsia="仿宋_GB2312" w:cs="仿宋_GB2312"/>
                <w:b w:val="0"/>
                <w:bCs/>
                <w:color w:val="auto"/>
                <w:sz w:val="21"/>
                <w:szCs w:val="21"/>
                <w:highlight w:val="none"/>
                <w:lang w:eastAsia="zh-CN"/>
              </w:rPr>
              <w:t>雹灾、冰凌、泥石流、崖崩、突发性滑坡、地面突然下陷</w:t>
            </w:r>
          </w:p>
        </w:tc>
      </w:tr>
      <w:tr w14:paraId="0A2F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622" w:type="dxa"/>
            <w:vMerge w:val="continue"/>
            <w:noWrap w:val="0"/>
            <w:vAlign w:val="center"/>
          </w:tcPr>
          <w:p w14:paraId="4DD07B6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45"/>
              <w:jc w:val="both"/>
              <w:textAlignment w:val="auto"/>
              <w:outlineLvl w:val="9"/>
              <w:rPr>
                <w:rFonts w:hint="eastAsia" w:ascii="仿宋_GB2312" w:hAnsi="仿宋_GB2312" w:eastAsia="仿宋_GB2312" w:cs="仿宋_GB2312"/>
                <w:b w:val="0"/>
                <w:bCs/>
                <w:color w:val="auto"/>
                <w:sz w:val="21"/>
                <w:szCs w:val="21"/>
                <w:highlight w:val="none"/>
                <w:lang w:eastAsia="zh-CN"/>
              </w:rPr>
            </w:pPr>
          </w:p>
        </w:tc>
        <w:tc>
          <w:tcPr>
            <w:tcW w:w="2375" w:type="dxa"/>
            <w:noWrap w:val="0"/>
            <w:vAlign w:val="center"/>
          </w:tcPr>
          <w:p w14:paraId="7A7C54A9">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电动车盗抢保险（两轮、三轮）</w:t>
            </w:r>
          </w:p>
        </w:tc>
        <w:tc>
          <w:tcPr>
            <w:tcW w:w="1561" w:type="dxa"/>
            <w:noWrap w:val="0"/>
            <w:vAlign w:val="center"/>
          </w:tcPr>
          <w:p w14:paraId="7A6FAC9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45"/>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1500</w:t>
            </w:r>
          </w:p>
        </w:tc>
        <w:tc>
          <w:tcPr>
            <w:tcW w:w="3710" w:type="dxa"/>
            <w:noWrap w:val="0"/>
            <w:vAlign w:val="center"/>
          </w:tcPr>
          <w:p w14:paraId="48306589">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遭受盗抢，经公安部门确认的直接损失，一辆电动车的赔偿标准：3个月以内的1500元；一年以内的1000元；一年以上（含一年）800元，无购车发票或收据，也无合格证或保修卡的，最高赔偿500元。</w:t>
            </w:r>
          </w:p>
        </w:tc>
      </w:tr>
      <w:tr w14:paraId="793E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622" w:type="dxa"/>
            <w:vMerge w:val="continue"/>
            <w:noWrap w:val="0"/>
            <w:vAlign w:val="center"/>
          </w:tcPr>
          <w:p w14:paraId="4526CB6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45"/>
              <w:jc w:val="both"/>
              <w:textAlignment w:val="auto"/>
              <w:outlineLvl w:val="9"/>
              <w:rPr>
                <w:rFonts w:hint="eastAsia" w:ascii="仿宋_GB2312" w:hAnsi="仿宋_GB2312" w:eastAsia="仿宋_GB2312" w:cs="仿宋_GB2312"/>
                <w:b w:val="0"/>
                <w:bCs/>
                <w:color w:val="auto"/>
                <w:sz w:val="21"/>
                <w:szCs w:val="21"/>
                <w:highlight w:val="none"/>
                <w:lang w:eastAsia="zh-CN"/>
              </w:rPr>
            </w:pPr>
          </w:p>
        </w:tc>
        <w:tc>
          <w:tcPr>
            <w:tcW w:w="2375" w:type="dxa"/>
            <w:noWrap w:val="0"/>
            <w:vAlign w:val="center"/>
          </w:tcPr>
          <w:p w14:paraId="027A33D8">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猪牛羊</w:t>
            </w:r>
          </w:p>
        </w:tc>
        <w:tc>
          <w:tcPr>
            <w:tcW w:w="1561" w:type="dxa"/>
            <w:noWrap w:val="0"/>
            <w:vAlign w:val="center"/>
          </w:tcPr>
          <w:p w14:paraId="192B3BC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45"/>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1500</w:t>
            </w:r>
          </w:p>
        </w:tc>
        <w:tc>
          <w:tcPr>
            <w:tcW w:w="3710" w:type="dxa"/>
            <w:noWrap w:val="0"/>
            <w:vAlign w:val="center"/>
          </w:tcPr>
          <w:p w14:paraId="691BEF12">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家庭饲养的猪，牛，羊在院内被盗抢（猪，羊每头最高赔偿金额500元，牛每头最高赔偿金额1000元）</w:t>
            </w:r>
          </w:p>
        </w:tc>
      </w:tr>
      <w:tr w14:paraId="2382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622" w:type="dxa"/>
            <w:vMerge w:val="continue"/>
            <w:noWrap w:val="0"/>
            <w:vAlign w:val="center"/>
          </w:tcPr>
          <w:p w14:paraId="47EC00A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45"/>
              <w:jc w:val="both"/>
              <w:textAlignment w:val="auto"/>
              <w:outlineLvl w:val="9"/>
              <w:rPr>
                <w:rFonts w:hint="eastAsia" w:ascii="仿宋_GB2312" w:hAnsi="仿宋_GB2312" w:eastAsia="仿宋_GB2312" w:cs="仿宋_GB2312"/>
                <w:b w:val="0"/>
                <w:bCs/>
                <w:color w:val="auto"/>
                <w:sz w:val="21"/>
                <w:szCs w:val="21"/>
                <w:highlight w:val="none"/>
                <w:lang w:eastAsia="zh-CN"/>
              </w:rPr>
            </w:pPr>
          </w:p>
        </w:tc>
        <w:tc>
          <w:tcPr>
            <w:tcW w:w="2375" w:type="dxa"/>
            <w:noWrap w:val="0"/>
            <w:vAlign w:val="center"/>
          </w:tcPr>
          <w:p w14:paraId="29042C8B">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粮食及经济作物</w:t>
            </w:r>
          </w:p>
        </w:tc>
        <w:tc>
          <w:tcPr>
            <w:tcW w:w="1561" w:type="dxa"/>
            <w:noWrap w:val="0"/>
            <w:vAlign w:val="center"/>
          </w:tcPr>
          <w:p w14:paraId="5E72044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45"/>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1000</w:t>
            </w:r>
          </w:p>
        </w:tc>
        <w:tc>
          <w:tcPr>
            <w:tcW w:w="3710" w:type="dxa"/>
            <w:noWrap w:val="0"/>
            <w:vAlign w:val="center"/>
          </w:tcPr>
          <w:p w14:paraId="05FD8FC0">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室内院内</w:t>
            </w:r>
            <w:r>
              <w:rPr>
                <w:rFonts w:hint="eastAsia" w:ascii="仿宋_GB2312" w:hAnsi="仿宋_GB2312" w:eastAsia="仿宋_GB2312" w:cs="仿宋_GB2312"/>
                <w:b w:val="0"/>
                <w:bCs/>
                <w:color w:val="auto"/>
                <w:sz w:val="21"/>
                <w:szCs w:val="21"/>
                <w:highlight w:val="none"/>
                <w:lang w:val="en-US" w:eastAsia="zh-CN"/>
              </w:rPr>
              <w:t>日用的</w:t>
            </w:r>
            <w:r>
              <w:rPr>
                <w:rFonts w:hint="eastAsia" w:ascii="仿宋_GB2312" w:hAnsi="仿宋_GB2312" w:eastAsia="仿宋_GB2312" w:cs="仿宋_GB2312"/>
                <w:b w:val="0"/>
                <w:bCs/>
                <w:color w:val="auto"/>
                <w:sz w:val="21"/>
                <w:szCs w:val="21"/>
                <w:highlight w:val="none"/>
                <w:lang w:eastAsia="zh-CN"/>
              </w:rPr>
              <w:t>粮食（</w:t>
            </w:r>
            <w:r>
              <w:rPr>
                <w:rFonts w:hint="eastAsia" w:ascii="仿宋_GB2312" w:hAnsi="仿宋_GB2312" w:eastAsia="仿宋_GB2312" w:cs="仿宋_GB2312"/>
                <w:b w:val="0"/>
                <w:bCs/>
                <w:color w:val="auto"/>
                <w:sz w:val="21"/>
                <w:szCs w:val="21"/>
                <w:highlight w:val="none"/>
                <w:lang w:val="en-US" w:eastAsia="zh-CN"/>
              </w:rPr>
              <w:t>非商品</w:t>
            </w:r>
            <w:r>
              <w:rPr>
                <w:rFonts w:hint="eastAsia" w:ascii="仿宋_GB2312" w:hAnsi="仿宋_GB2312" w:eastAsia="仿宋_GB2312" w:cs="仿宋_GB2312"/>
                <w:b w:val="0"/>
                <w:bCs/>
                <w:color w:val="auto"/>
                <w:sz w:val="21"/>
                <w:szCs w:val="21"/>
                <w:highlight w:val="none"/>
                <w:lang w:eastAsia="zh-CN"/>
              </w:rPr>
              <w:t>），农机</w:t>
            </w:r>
            <w:r>
              <w:rPr>
                <w:rFonts w:hint="eastAsia" w:ascii="仿宋_GB2312" w:hAnsi="仿宋_GB2312" w:eastAsia="仿宋_GB2312" w:cs="仿宋_GB2312"/>
                <w:b w:val="0"/>
                <w:bCs/>
                <w:color w:val="auto"/>
                <w:sz w:val="21"/>
                <w:szCs w:val="21"/>
                <w:highlight w:val="none"/>
                <w:lang w:val="en-US" w:eastAsia="zh-CN"/>
              </w:rPr>
              <w:t>具</w:t>
            </w:r>
            <w:r>
              <w:rPr>
                <w:rFonts w:hint="eastAsia" w:ascii="仿宋_GB2312" w:hAnsi="仿宋_GB2312" w:eastAsia="仿宋_GB2312" w:cs="仿宋_GB2312"/>
                <w:b w:val="0"/>
                <w:bCs/>
                <w:color w:val="auto"/>
                <w:sz w:val="21"/>
                <w:szCs w:val="21"/>
                <w:highlight w:val="none"/>
                <w:lang w:eastAsia="zh-CN"/>
              </w:rPr>
              <w:t>及农用生产资料保险，粮食及经济作物仅指已收获及储蓄在被保险人标的地址内，限室内或院内被盗抢</w:t>
            </w:r>
          </w:p>
        </w:tc>
      </w:tr>
      <w:tr w14:paraId="622C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622" w:type="dxa"/>
            <w:vMerge w:val="continue"/>
            <w:noWrap w:val="0"/>
            <w:vAlign w:val="center"/>
          </w:tcPr>
          <w:p w14:paraId="4A3BE7D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45"/>
              <w:jc w:val="both"/>
              <w:textAlignment w:val="auto"/>
              <w:outlineLvl w:val="9"/>
              <w:rPr>
                <w:rFonts w:hint="eastAsia" w:ascii="仿宋_GB2312" w:hAnsi="仿宋_GB2312" w:eastAsia="仿宋_GB2312" w:cs="仿宋_GB2312"/>
                <w:b w:val="0"/>
                <w:bCs/>
                <w:color w:val="auto"/>
                <w:sz w:val="21"/>
                <w:szCs w:val="21"/>
                <w:highlight w:val="none"/>
                <w:lang w:eastAsia="zh-CN"/>
              </w:rPr>
            </w:pPr>
          </w:p>
        </w:tc>
        <w:tc>
          <w:tcPr>
            <w:tcW w:w="2375" w:type="dxa"/>
            <w:noWrap w:val="0"/>
            <w:vAlign w:val="center"/>
          </w:tcPr>
          <w:p w14:paraId="6FDF26EC">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附加室内财产盗抢保险</w:t>
            </w:r>
          </w:p>
        </w:tc>
        <w:tc>
          <w:tcPr>
            <w:tcW w:w="1561" w:type="dxa"/>
            <w:noWrap w:val="0"/>
            <w:vAlign w:val="center"/>
          </w:tcPr>
          <w:p w14:paraId="6654BCF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45"/>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2000</w:t>
            </w:r>
          </w:p>
        </w:tc>
        <w:tc>
          <w:tcPr>
            <w:tcW w:w="3710" w:type="dxa"/>
            <w:noWrap w:val="0"/>
            <w:vAlign w:val="center"/>
          </w:tcPr>
          <w:p w14:paraId="37D26D0B">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遭受外来人员盗抢或抢劫，并经公安部门确认为盗抢行为所致的直接损失</w:t>
            </w:r>
          </w:p>
        </w:tc>
      </w:tr>
      <w:tr w14:paraId="343A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622" w:type="dxa"/>
            <w:vMerge w:val="restart"/>
            <w:noWrap w:val="0"/>
            <w:vAlign w:val="center"/>
          </w:tcPr>
          <w:p w14:paraId="14E1D63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45"/>
              <w:jc w:val="both"/>
              <w:textAlignment w:val="auto"/>
              <w:outlineLvl w:val="9"/>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其他</w:t>
            </w:r>
          </w:p>
        </w:tc>
        <w:tc>
          <w:tcPr>
            <w:tcW w:w="2375" w:type="dxa"/>
            <w:noWrap w:val="0"/>
            <w:vAlign w:val="center"/>
          </w:tcPr>
          <w:p w14:paraId="41DFD551">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户外抢夺抢劫保险</w:t>
            </w:r>
          </w:p>
        </w:tc>
        <w:tc>
          <w:tcPr>
            <w:tcW w:w="1561" w:type="dxa"/>
            <w:noWrap w:val="0"/>
            <w:vAlign w:val="center"/>
          </w:tcPr>
          <w:p w14:paraId="0AD50B6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45"/>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2000</w:t>
            </w:r>
          </w:p>
        </w:tc>
        <w:tc>
          <w:tcPr>
            <w:tcW w:w="3710" w:type="dxa"/>
            <w:noWrap w:val="0"/>
            <w:vAlign w:val="center"/>
          </w:tcPr>
          <w:p w14:paraId="51407755">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被保险人在户外活动时遭受第三者抢夺或抢劫导致随身携带的现金，手机等财产的损失</w:t>
            </w:r>
          </w:p>
        </w:tc>
      </w:tr>
      <w:tr w14:paraId="2097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622" w:type="dxa"/>
            <w:vMerge w:val="continue"/>
            <w:noWrap w:val="0"/>
            <w:vAlign w:val="center"/>
          </w:tcPr>
          <w:p w14:paraId="22584C0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45"/>
              <w:jc w:val="both"/>
              <w:textAlignment w:val="auto"/>
              <w:outlineLvl w:val="9"/>
              <w:rPr>
                <w:rFonts w:hint="eastAsia" w:ascii="仿宋_GB2312" w:hAnsi="仿宋_GB2312" w:eastAsia="仿宋_GB2312" w:cs="仿宋_GB2312"/>
                <w:b w:val="0"/>
                <w:bCs/>
                <w:color w:val="auto"/>
                <w:sz w:val="21"/>
                <w:szCs w:val="21"/>
                <w:highlight w:val="none"/>
                <w:lang w:val="en-US" w:eastAsia="zh-CN"/>
              </w:rPr>
            </w:pPr>
          </w:p>
        </w:tc>
        <w:tc>
          <w:tcPr>
            <w:tcW w:w="2375" w:type="dxa"/>
            <w:noWrap w:val="0"/>
            <w:vAlign w:val="center"/>
          </w:tcPr>
          <w:p w14:paraId="6E810BA3">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少儿走失保险</w:t>
            </w:r>
          </w:p>
        </w:tc>
        <w:tc>
          <w:tcPr>
            <w:tcW w:w="1561" w:type="dxa"/>
            <w:noWrap w:val="0"/>
            <w:vAlign w:val="center"/>
          </w:tcPr>
          <w:p w14:paraId="5829FD1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45"/>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8000</w:t>
            </w:r>
          </w:p>
        </w:tc>
        <w:tc>
          <w:tcPr>
            <w:tcW w:w="3710" w:type="dxa"/>
            <w:noWrap w:val="0"/>
            <w:vAlign w:val="center"/>
          </w:tcPr>
          <w:p w14:paraId="5BE33DC8">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年龄在12周岁（含）以下的子女在国内（不含港澳台）走丢后自公安立案起，下落不明超过30日，用于找寻过程中发生的食宿，交通费。</w:t>
            </w:r>
          </w:p>
        </w:tc>
      </w:tr>
      <w:tr w14:paraId="74C3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622" w:type="dxa"/>
            <w:vMerge w:val="continue"/>
            <w:noWrap w:val="0"/>
            <w:vAlign w:val="center"/>
          </w:tcPr>
          <w:p w14:paraId="79A338F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45"/>
              <w:jc w:val="both"/>
              <w:textAlignment w:val="auto"/>
              <w:outlineLvl w:val="9"/>
              <w:rPr>
                <w:rFonts w:hint="eastAsia" w:ascii="仿宋_GB2312" w:hAnsi="仿宋_GB2312" w:eastAsia="仿宋_GB2312" w:cs="仿宋_GB2312"/>
                <w:b w:val="0"/>
                <w:bCs/>
                <w:color w:val="auto"/>
                <w:sz w:val="21"/>
                <w:szCs w:val="21"/>
                <w:highlight w:val="none"/>
                <w:lang w:val="en-US" w:eastAsia="zh-CN"/>
              </w:rPr>
            </w:pPr>
          </w:p>
        </w:tc>
        <w:tc>
          <w:tcPr>
            <w:tcW w:w="2375" w:type="dxa"/>
            <w:noWrap w:val="0"/>
            <w:vAlign w:val="center"/>
          </w:tcPr>
          <w:p w14:paraId="3DB51BFB">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高等院校入学补助金</w:t>
            </w:r>
          </w:p>
        </w:tc>
        <w:tc>
          <w:tcPr>
            <w:tcW w:w="1561" w:type="dxa"/>
            <w:noWrap w:val="0"/>
            <w:vAlign w:val="center"/>
          </w:tcPr>
          <w:p w14:paraId="740C6C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45"/>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3000</w:t>
            </w:r>
          </w:p>
        </w:tc>
        <w:tc>
          <w:tcPr>
            <w:tcW w:w="3710" w:type="dxa"/>
            <w:noWrap w:val="0"/>
            <w:vAlign w:val="center"/>
          </w:tcPr>
          <w:p w14:paraId="5D46BC77">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贫困户及脱贫享受政策和低保户，政府认定的贫困家庭中，被保险人在当年参加高考被全日制大专以上高等院校录取入学给予一次性补助金</w:t>
            </w:r>
          </w:p>
        </w:tc>
      </w:tr>
      <w:tr w14:paraId="7AD7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622" w:type="dxa"/>
            <w:vMerge w:val="continue"/>
            <w:noWrap w:val="0"/>
            <w:vAlign w:val="center"/>
          </w:tcPr>
          <w:p w14:paraId="167F208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45"/>
              <w:jc w:val="both"/>
              <w:textAlignment w:val="auto"/>
              <w:outlineLvl w:val="9"/>
              <w:rPr>
                <w:rFonts w:hint="eastAsia" w:ascii="仿宋_GB2312" w:hAnsi="仿宋_GB2312" w:eastAsia="仿宋_GB2312" w:cs="仿宋_GB2312"/>
                <w:b w:val="0"/>
                <w:bCs/>
                <w:color w:val="auto"/>
                <w:sz w:val="21"/>
                <w:szCs w:val="21"/>
                <w:highlight w:val="none"/>
                <w:lang w:val="en-US" w:eastAsia="zh-CN"/>
              </w:rPr>
            </w:pPr>
          </w:p>
        </w:tc>
        <w:tc>
          <w:tcPr>
            <w:tcW w:w="2375" w:type="dxa"/>
            <w:noWrap w:val="0"/>
            <w:vAlign w:val="center"/>
          </w:tcPr>
          <w:p w14:paraId="0A38F498">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见义勇为</w:t>
            </w:r>
          </w:p>
        </w:tc>
        <w:tc>
          <w:tcPr>
            <w:tcW w:w="1561" w:type="dxa"/>
            <w:noWrap w:val="0"/>
            <w:vAlign w:val="center"/>
          </w:tcPr>
          <w:p w14:paraId="1C4C134B">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val="en-US" w:eastAsia="zh-CN"/>
              </w:rPr>
              <w:t>5</w:t>
            </w:r>
            <w:r>
              <w:rPr>
                <w:rFonts w:hint="eastAsia" w:ascii="仿宋_GB2312" w:hAnsi="仿宋_GB2312" w:eastAsia="仿宋_GB2312" w:cs="仿宋_GB2312"/>
                <w:b w:val="0"/>
                <w:bCs/>
                <w:color w:val="auto"/>
                <w:sz w:val="21"/>
                <w:szCs w:val="21"/>
                <w:highlight w:val="none"/>
                <w:lang w:eastAsia="zh-CN"/>
              </w:rPr>
              <w:t>0000</w:t>
            </w:r>
          </w:p>
        </w:tc>
        <w:tc>
          <w:tcPr>
            <w:tcW w:w="3710" w:type="dxa"/>
            <w:noWrap w:val="0"/>
            <w:vAlign w:val="center"/>
          </w:tcPr>
          <w:p w14:paraId="601D4EC5">
            <w:pPr>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eastAsia="zh-CN"/>
              </w:rPr>
              <w:t>在保险期间内，被保险人因见义勇为行为导致人身伤亡，且被县级(含)以上人民政府授予见义勇为荣誉称号的，保险人根据本附加险合同的约定给付伤亡补偿金。（</w:t>
            </w:r>
            <w:r>
              <w:rPr>
                <w:rFonts w:hint="eastAsia" w:ascii="仿宋_GB2312" w:hAnsi="仿宋_GB2312" w:eastAsia="仿宋_GB2312" w:cs="仿宋_GB2312"/>
                <w:b w:val="0"/>
                <w:bCs/>
                <w:color w:val="auto"/>
                <w:sz w:val="21"/>
                <w:szCs w:val="21"/>
                <w:highlight w:val="none"/>
                <w:lang w:val="en-US" w:eastAsia="zh-CN"/>
              </w:rPr>
              <w:t>涉及伤残人员，按照伤残级别比例对应的保额进行赔付。</w:t>
            </w:r>
            <w:r>
              <w:rPr>
                <w:rFonts w:hint="eastAsia" w:ascii="仿宋_GB2312" w:hAnsi="仿宋_GB2312" w:eastAsia="仿宋_GB2312" w:cs="仿宋_GB2312"/>
                <w:color w:val="auto"/>
                <w:sz w:val="21"/>
                <w:szCs w:val="24"/>
                <w:highlight w:val="none"/>
              </w:rPr>
              <w:t>永久丧失工作能力或一级</w:t>
            </w:r>
            <w:r>
              <w:rPr>
                <w:rFonts w:hint="eastAsia" w:ascii="仿宋_GB2312" w:hAnsi="仿宋_GB2312" w:eastAsia="仿宋_GB2312" w:cs="仿宋_GB2312"/>
                <w:color w:val="auto"/>
                <w:sz w:val="21"/>
                <w:szCs w:val="24"/>
                <w:highlight w:val="none"/>
                <w:lang w:val="en-US" w:eastAsia="zh-CN"/>
              </w:rPr>
              <w:t>伤残,</w:t>
            </w:r>
            <w:r>
              <w:rPr>
                <w:rFonts w:hint="eastAsia" w:ascii="仿宋_GB2312" w:hAnsi="仿宋_GB2312" w:eastAsia="仿宋_GB2312" w:cs="仿宋_GB2312"/>
                <w:color w:val="auto"/>
                <w:sz w:val="21"/>
                <w:szCs w:val="24"/>
                <w:highlight w:val="none"/>
              </w:rPr>
              <w:t>按赔偿金额的</w:t>
            </w:r>
            <w:r>
              <w:rPr>
                <w:rFonts w:hint="eastAsia" w:ascii="仿宋_GB2312" w:hAnsi="仿宋_GB2312" w:eastAsia="仿宋_GB2312" w:cs="仿宋_GB2312"/>
                <w:color w:val="auto"/>
                <w:sz w:val="21"/>
                <w:szCs w:val="24"/>
                <w:highlight w:val="none"/>
                <w:lang w:val="en-US" w:eastAsia="zh-CN"/>
              </w:rPr>
              <w:t>100</w:t>
            </w:r>
            <w:r>
              <w:rPr>
                <w:rFonts w:hint="eastAsia" w:ascii="仿宋_GB2312" w:hAnsi="仿宋_GB2312" w:eastAsia="仿宋_GB2312" w:cs="仿宋_GB2312"/>
                <w:color w:val="auto"/>
                <w:sz w:val="21"/>
                <w:szCs w:val="24"/>
                <w:highlight w:val="none"/>
              </w:rPr>
              <w:t>%</w:t>
            </w:r>
            <w:r>
              <w:rPr>
                <w:rFonts w:hint="eastAsia" w:ascii="仿宋_GB2312" w:hAnsi="仿宋_GB2312" w:eastAsia="仿宋_GB2312" w:cs="仿宋_GB2312"/>
                <w:color w:val="auto"/>
                <w:sz w:val="21"/>
                <w:szCs w:val="24"/>
                <w:highlight w:val="none"/>
                <w:lang w:val="en-US" w:eastAsia="zh-CN"/>
              </w:rPr>
              <w:t>赔付。二级伤残，</w:t>
            </w:r>
            <w:r>
              <w:rPr>
                <w:rFonts w:hint="eastAsia" w:ascii="仿宋_GB2312" w:hAnsi="仿宋_GB2312" w:eastAsia="仿宋_GB2312" w:cs="仿宋_GB2312"/>
                <w:color w:val="auto"/>
                <w:sz w:val="21"/>
                <w:szCs w:val="24"/>
                <w:highlight w:val="none"/>
              </w:rPr>
              <w:t>按赔偿金额的</w:t>
            </w:r>
            <w:r>
              <w:rPr>
                <w:rFonts w:hint="eastAsia" w:ascii="仿宋_GB2312" w:hAnsi="仿宋_GB2312" w:eastAsia="仿宋_GB2312" w:cs="仿宋_GB2312"/>
                <w:color w:val="auto"/>
                <w:sz w:val="21"/>
                <w:szCs w:val="24"/>
                <w:highlight w:val="none"/>
                <w:lang w:val="en-US" w:eastAsia="zh-CN"/>
              </w:rPr>
              <w:t>90</w:t>
            </w:r>
            <w:r>
              <w:rPr>
                <w:rFonts w:hint="eastAsia" w:ascii="仿宋_GB2312" w:hAnsi="仿宋_GB2312" w:eastAsia="仿宋_GB2312" w:cs="仿宋_GB2312"/>
                <w:color w:val="auto"/>
                <w:sz w:val="21"/>
                <w:szCs w:val="24"/>
                <w:highlight w:val="none"/>
              </w:rPr>
              <w:t>%</w:t>
            </w:r>
            <w:r>
              <w:rPr>
                <w:rFonts w:hint="eastAsia" w:ascii="仿宋_GB2312" w:hAnsi="仿宋_GB2312" w:eastAsia="仿宋_GB2312" w:cs="仿宋_GB2312"/>
                <w:color w:val="auto"/>
                <w:sz w:val="21"/>
                <w:szCs w:val="24"/>
                <w:highlight w:val="none"/>
                <w:lang w:val="en-US" w:eastAsia="zh-CN"/>
              </w:rPr>
              <w:t>赔付。三级伤残，</w:t>
            </w:r>
            <w:r>
              <w:rPr>
                <w:rFonts w:hint="eastAsia" w:ascii="仿宋_GB2312" w:hAnsi="仿宋_GB2312" w:eastAsia="仿宋_GB2312" w:cs="仿宋_GB2312"/>
                <w:color w:val="auto"/>
                <w:sz w:val="21"/>
                <w:szCs w:val="24"/>
                <w:highlight w:val="none"/>
              </w:rPr>
              <w:t>按赔偿金额的</w:t>
            </w:r>
            <w:r>
              <w:rPr>
                <w:rFonts w:hint="eastAsia" w:ascii="仿宋_GB2312" w:hAnsi="仿宋_GB2312" w:eastAsia="仿宋_GB2312" w:cs="仿宋_GB2312"/>
                <w:color w:val="auto"/>
                <w:sz w:val="21"/>
                <w:szCs w:val="24"/>
                <w:highlight w:val="none"/>
                <w:lang w:val="en-US" w:eastAsia="zh-CN"/>
              </w:rPr>
              <w:t>80</w:t>
            </w:r>
            <w:r>
              <w:rPr>
                <w:rFonts w:hint="eastAsia" w:ascii="仿宋_GB2312" w:hAnsi="仿宋_GB2312" w:eastAsia="仿宋_GB2312" w:cs="仿宋_GB2312"/>
                <w:color w:val="auto"/>
                <w:sz w:val="21"/>
                <w:szCs w:val="24"/>
                <w:highlight w:val="none"/>
              </w:rPr>
              <w:t>%</w:t>
            </w:r>
            <w:r>
              <w:rPr>
                <w:rFonts w:hint="eastAsia" w:ascii="仿宋_GB2312" w:hAnsi="仿宋_GB2312" w:eastAsia="仿宋_GB2312" w:cs="仿宋_GB2312"/>
                <w:color w:val="auto"/>
                <w:sz w:val="21"/>
                <w:szCs w:val="24"/>
                <w:highlight w:val="none"/>
                <w:lang w:val="en-US" w:eastAsia="zh-CN"/>
              </w:rPr>
              <w:t>赔付。四级伤残，</w:t>
            </w:r>
            <w:r>
              <w:rPr>
                <w:rFonts w:hint="eastAsia" w:ascii="仿宋_GB2312" w:hAnsi="仿宋_GB2312" w:eastAsia="仿宋_GB2312" w:cs="仿宋_GB2312"/>
                <w:color w:val="auto"/>
                <w:sz w:val="21"/>
                <w:szCs w:val="24"/>
                <w:highlight w:val="none"/>
              </w:rPr>
              <w:t>按赔偿金额的</w:t>
            </w:r>
            <w:r>
              <w:rPr>
                <w:rFonts w:hint="eastAsia" w:ascii="仿宋_GB2312" w:hAnsi="仿宋_GB2312" w:eastAsia="仿宋_GB2312" w:cs="仿宋_GB2312"/>
                <w:color w:val="auto"/>
                <w:sz w:val="21"/>
                <w:szCs w:val="24"/>
                <w:highlight w:val="none"/>
                <w:lang w:val="en-US" w:eastAsia="zh-CN"/>
              </w:rPr>
              <w:t>70</w:t>
            </w:r>
            <w:r>
              <w:rPr>
                <w:rFonts w:hint="eastAsia" w:ascii="仿宋_GB2312" w:hAnsi="仿宋_GB2312" w:eastAsia="仿宋_GB2312" w:cs="仿宋_GB2312"/>
                <w:color w:val="auto"/>
                <w:sz w:val="21"/>
                <w:szCs w:val="24"/>
                <w:highlight w:val="none"/>
              </w:rPr>
              <w:t>%</w:t>
            </w:r>
            <w:r>
              <w:rPr>
                <w:rFonts w:hint="eastAsia" w:ascii="仿宋_GB2312" w:hAnsi="仿宋_GB2312" w:eastAsia="仿宋_GB2312" w:cs="仿宋_GB2312"/>
                <w:color w:val="auto"/>
                <w:sz w:val="21"/>
                <w:szCs w:val="24"/>
                <w:highlight w:val="none"/>
                <w:lang w:val="en-US" w:eastAsia="zh-CN"/>
              </w:rPr>
              <w:t>赔付，五级伤残，</w:t>
            </w:r>
            <w:r>
              <w:rPr>
                <w:rFonts w:hint="eastAsia" w:ascii="仿宋_GB2312" w:hAnsi="仿宋_GB2312" w:eastAsia="仿宋_GB2312" w:cs="仿宋_GB2312"/>
                <w:color w:val="auto"/>
                <w:sz w:val="21"/>
                <w:szCs w:val="24"/>
                <w:highlight w:val="none"/>
              </w:rPr>
              <w:t>按赔偿金额的</w:t>
            </w:r>
            <w:r>
              <w:rPr>
                <w:rFonts w:hint="eastAsia" w:ascii="仿宋_GB2312" w:hAnsi="仿宋_GB2312" w:eastAsia="仿宋_GB2312" w:cs="仿宋_GB2312"/>
                <w:color w:val="auto"/>
                <w:sz w:val="21"/>
                <w:szCs w:val="24"/>
                <w:highlight w:val="none"/>
                <w:lang w:val="en-US" w:eastAsia="zh-CN"/>
              </w:rPr>
              <w:t>60</w:t>
            </w:r>
            <w:r>
              <w:rPr>
                <w:rFonts w:hint="eastAsia" w:ascii="仿宋_GB2312" w:hAnsi="仿宋_GB2312" w:eastAsia="仿宋_GB2312" w:cs="仿宋_GB2312"/>
                <w:color w:val="auto"/>
                <w:sz w:val="21"/>
                <w:szCs w:val="24"/>
                <w:highlight w:val="none"/>
              </w:rPr>
              <w:t>%</w:t>
            </w:r>
            <w:r>
              <w:rPr>
                <w:rFonts w:hint="eastAsia" w:ascii="仿宋_GB2312" w:hAnsi="仿宋_GB2312" w:eastAsia="仿宋_GB2312" w:cs="仿宋_GB2312"/>
                <w:color w:val="auto"/>
                <w:sz w:val="21"/>
                <w:szCs w:val="24"/>
                <w:highlight w:val="none"/>
                <w:lang w:val="en-US" w:eastAsia="zh-CN"/>
              </w:rPr>
              <w:t>赔付，六级伤残，</w:t>
            </w:r>
            <w:r>
              <w:rPr>
                <w:rFonts w:hint="eastAsia" w:ascii="仿宋_GB2312" w:hAnsi="仿宋_GB2312" w:eastAsia="仿宋_GB2312" w:cs="仿宋_GB2312"/>
                <w:color w:val="auto"/>
                <w:sz w:val="21"/>
                <w:szCs w:val="24"/>
                <w:highlight w:val="none"/>
              </w:rPr>
              <w:t>按赔偿金额的</w:t>
            </w:r>
            <w:r>
              <w:rPr>
                <w:rFonts w:hint="eastAsia" w:ascii="仿宋_GB2312" w:hAnsi="仿宋_GB2312" w:eastAsia="仿宋_GB2312" w:cs="仿宋_GB2312"/>
                <w:color w:val="auto"/>
                <w:sz w:val="21"/>
                <w:szCs w:val="24"/>
                <w:highlight w:val="none"/>
                <w:lang w:val="en-US" w:eastAsia="zh-CN"/>
              </w:rPr>
              <w:t>50</w:t>
            </w:r>
            <w:r>
              <w:rPr>
                <w:rFonts w:hint="eastAsia" w:ascii="仿宋_GB2312" w:hAnsi="仿宋_GB2312" w:eastAsia="仿宋_GB2312" w:cs="仿宋_GB2312"/>
                <w:color w:val="auto"/>
                <w:sz w:val="21"/>
                <w:szCs w:val="24"/>
                <w:highlight w:val="none"/>
              </w:rPr>
              <w:t>%</w:t>
            </w:r>
            <w:r>
              <w:rPr>
                <w:rFonts w:hint="eastAsia" w:ascii="仿宋_GB2312" w:hAnsi="仿宋_GB2312" w:eastAsia="仿宋_GB2312" w:cs="仿宋_GB2312"/>
                <w:color w:val="auto"/>
                <w:sz w:val="21"/>
                <w:szCs w:val="24"/>
                <w:highlight w:val="none"/>
                <w:lang w:val="en-US" w:eastAsia="zh-CN"/>
              </w:rPr>
              <w:t>赔付。七级伤残，</w:t>
            </w:r>
            <w:r>
              <w:rPr>
                <w:rFonts w:hint="eastAsia" w:ascii="仿宋_GB2312" w:hAnsi="仿宋_GB2312" w:eastAsia="仿宋_GB2312" w:cs="仿宋_GB2312"/>
                <w:color w:val="auto"/>
                <w:sz w:val="21"/>
                <w:szCs w:val="24"/>
                <w:highlight w:val="none"/>
              </w:rPr>
              <w:t>按赔偿金额的</w:t>
            </w:r>
            <w:r>
              <w:rPr>
                <w:rFonts w:hint="eastAsia" w:ascii="仿宋_GB2312" w:hAnsi="仿宋_GB2312" w:eastAsia="仿宋_GB2312" w:cs="仿宋_GB2312"/>
                <w:color w:val="auto"/>
                <w:sz w:val="21"/>
                <w:szCs w:val="24"/>
                <w:highlight w:val="none"/>
                <w:lang w:val="en-US" w:eastAsia="zh-CN"/>
              </w:rPr>
              <w:t>40</w:t>
            </w:r>
            <w:r>
              <w:rPr>
                <w:rFonts w:hint="eastAsia" w:ascii="仿宋_GB2312" w:hAnsi="仿宋_GB2312" w:eastAsia="仿宋_GB2312" w:cs="仿宋_GB2312"/>
                <w:color w:val="auto"/>
                <w:sz w:val="21"/>
                <w:szCs w:val="24"/>
                <w:highlight w:val="none"/>
              </w:rPr>
              <w:t>%</w:t>
            </w:r>
            <w:r>
              <w:rPr>
                <w:rFonts w:hint="eastAsia" w:ascii="仿宋_GB2312" w:hAnsi="仿宋_GB2312" w:eastAsia="仿宋_GB2312" w:cs="仿宋_GB2312"/>
                <w:color w:val="auto"/>
                <w:sz w:val="21"/>
                <w:szCs w:val="24"/>
                <w:highlight w:val="none"/>
                <w:lang w:val="en-US" w:eastAsia="zh-CN"/>
              </w:rPr>
              <w:t>赔付。八级伤残，</w:t>
            </w:r>
            <w:r>
              <w:rPr>
                <w:rFonts w:hint="eastAsia" w:ascii="仿宋_GB2312" w:hAnsi="仿宋_GB2312" w:eastAsia="仿宋_GB2312" w:cs="仿宋_GB2312"/>
                <w:color w:val="auto"/>
                <w:sz w:val="21"/>
                <w:szCs w:val="24"/>
                <w:highlight w:val="none"/>
              </w:rPr>
              <w:t>按赔偿金额的</w:t>
            </w:r>
            <w:r>
              <w:rPr>
                <w:rFonts w:hint="eastAsia" w:ascii="仿宋_GB2312" w:hAnsi="仿宋_GB2312" w:eastAsia="仿宋_GB2312" w:cs="仿宋_GB2312"/>
                <w:color w:val="auto"/>
                <w:sz w:val="21"/>
                <w:szCs w:val="24"/>
                <w:highlight w:val="none"/>
                <w:lang w:val="en-US" w:eastAsia="zh-CN"/>
              </w:rPr>
              <w:t>30</w:t>
            </w:r>
            <w:r>
              <w:rPr>
                <w:rFonts w:hint="eastAsia" w:ascii="仿宋_GB2312" w:hAnsi="仿宋_GB2312" w:eastAsia="仿宋_GB2312" w:cs="仿宋_GB2312"/>
                <w:color w:val="auto"/>
                <w:sz w:val="21"/>
                <w:szCs w:val="24"/>
                <w:highlight w:val="none"/>
              </w:rPr>
              <w:t>%</w:t>
            </w:r>
            <w:r>
              <w:rPr>
                <w:rFonts w:hint="eastAsia" w:ascii="仿宋_GB2312" w:hAnsi="仿宋_GB2312" w:eastAsia="仿宋_GB2312" w:cs="仿宋_GB2312"/>
                <w:color w:val="auto"/>
                <w:sz w:val="21"/>
                <w:szCs w:val="24"/>
                <w:highlight w:val="none"/>
                <w:lang w:val="en-US" w:eastAsia="zh-CN"/>
              </w:rPr>
              <w:t>赔付。九级伤残，</w:t>
            </w:r>
            <w:r>
              <w:rPr>
                <w:rFonts w:hint="eastAsia" w:ascii="仿宋_GB2312" w:hAnsi="仿宋_GB2312" w:eastAsia="仿宋_GB2312" w:cs="仿宋_GB2312"/>
                <w:color w:val="auto"/>
                <w:sz w:val="21"/>
                <w:szCs w:val="24"/>
                <w:highlight w:val="none"/>
              </w:rPr>
              <w:t>按赔偿金额的</w:t>
            </w:r>
            <w:r>
              <w:rPr>
                <w:rFonts w:hint="eastAsia" w:ascii="仿宋_GB2312" w:hAnsi="仿宋_GB2312" w:eastAsia="仿宋_GB2312" w:cs="仿宋_GB2312"/>
                <w:color w:val="auto"/>
                <w:sz w:val="21"/>
                <w:szCs w:val="24"/>
                <w:highlight w:val="none"/>
                <w:lang w:val="en-US" w:eastAsia="zh-CN"/>
              </w:rPr>
              <w:t>20</w:t>
            </w:r>
            <w:r>
              <w:rPr>
                <w:rFonts w:hint="eastAsia" w:ascii="仿宋_GB2312" w:hAnsi="仿宋_GB2312" w:eastAsia="仿宋_GB2312" w:cs="仿宋_GB2312"/>
                <w:color w:val="auto"/>
                <w:sz w:val="21"/>
                <w:szCs w:val="24"/>
                <w:highlight w:val="none"/>
              </w:rPr>
              <w:t>%</w:t>
            </w:r>
            <w:r>
              <w:rPr>
                <w:rFonts w:hint="eastAsia" w:ascii="仿宋_GB2312" w:hAnsi="仿宋_GB2312" w:eastAsia="仿宋_GB2312" w:cs="仿宋_GB2312"/>
                <w:color w:val="auto"/>
                <w:sz w:val="21"/>
                <w:szCs w:val="24"/>
                <w:highlight w:val="none"/>
                <w:lang w:val="en-US" w:eastAsia="zh-CN"/>
              </w:rPr>
              <w:t>赔付。十级伤残，</w:t>
            </w:r>
            <w:r>
              <w:rPr>
                <w:rFonts w:hint="eastAsia" w:ascii="仿宋_GB2312" w:hAnsi="仿宋_GB2312" w:eastAsia="仿宋_GB2312" w:cs="仿宋_GB2312"/>
                <w:color w:val="auto"/>
                <w:sz w:val="21"/>
                <w:szCs w:val="24"/>
                <w:highlight w:val="none"/>
              </w:rPr>
              <w:t>按赔偿金额的</w:t>
            </w:r>
            <w:r>
              <w:rPr>
                <w:rFonts w:hint="eastAsia" w:ascii="仿宋_GB2312" w:hAnsi="仿宋_GB2312" w:eastAsia="仿宋_GB2312" w:cs="仿宋_GB2312"/>
                <w:color w:val="auto"/>
                <w:sz w:val="21"/>
                <w:szCs w:val="24"/>
                <w:highlight w:val="none"/>
                <w:lang w:val="en-US" w:eastAsia="zh-CN"/>
              </w:rPr>
              <w:t>10</w:t>
            </w:r>
            <w:r>
              <w:rPr>
                <w:rFonts w:hint="eastAsia" w:ascii="仿宋_GB2312" w:hAnsi="仿宋_GB2312" w:eastAsia="仿宋_GB2312" w:cs="仿宋_GB2312"/>
                <w:color w:val="auto"/>
                <w:sz w:val="21"/>
                <w:szCs w:val="24"/>
                <w:highlight w:val="none"/>
              </w:rPr>
              <w:t>%</w:t>
            </w:r>
            <w:r>
              <w:rPr>
                <w:rFonts w:hint="eastAsia" w:ascii="仿宋_GB2312" w:hAnsi="仿宋_GB2312" w:eastAsia="仿宋_GB2312" w:cs="仿宋_GB2312"/>
                <w:color w:val="auto"/>
                <w:sz w:val="21"/>
                <w:szCs w:val="24"/>
                <w:highlight w:val="none"/>
                <w:lang w:val="en-US" w:eastAsia="zh-CN"/>
              </w:rPr>
              <w:t>赔付。</w:t>
            </w:r>
            <w:r>
              <w:rPr>
                <w:rFonts w:hint="eastAsia" w:ascii="仿宋_GB2312" w:hAnsi="仿宋_GB2312" w:eastAsia="仿宋_GB2312" w:cs="仿宋_GB2312"/>
                <w:b w:val="0"/>
                <w:bCs/>
                <w:color w:val="auto"/>
                <w:sz w:val="21"/>
                <w:szCs w:val="21"/>
                <w:highlight w:val="none"/>
                <w:lang w:val="en-US" w:eastAsia="zh-CN"/>
              </w:rPr>
              <w:t>)</w:t>
            </w:r>
          </w:p>
        </w:tc>
      </w:tr>
      <w:tr w14:paraId="6E92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622" w:type="dxa"/>
            <w:vMerge w:val="continue"/>
            <w:noWrap w:val="0"/>
            <w:vAlign w:val="center"/>
          </w:tcPr>
          <w:p w14:paraId="10404D6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45"/>
              <w:jc w:val="both"/>
              <w:textAlignment w:val="auto"/>
              <w:outlineLvl w:val="9"/>
              <w:rPr>
                <w:rFonts w:hint="eastAsia" w:ascii="仿宋_GB2312" w:hAnsi="仿宋_GB2312" w:eastAsia="仿宋_GB2312" w:cs="仿宋_GB2312"/>
                <w:b w:val="0"/>
                <w:bCs/>
                <w:color w:val="auto"/>
                <w:sz w:val="21"/>
                <w:szCs w:val="21"/>
                <w:highlight w:val="none"/>
                <w:lang w:val="en-US" w:eastAsia="zh-CN"/>
              </w:rPr>
            </w:pPr>
          </w:p>
        </w:tc>
        <w:tc>
          <w:tcPr>
            <w:tcW w:w="2375" w:type="dxa"/>
            <w:noWrap w:val="0"/>
            <w:vAlign w:val="center"/>
          </w:tcPr>
          <w:p w14:paraId="6E26D3F4">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农村家庭财产保险附加果木及成材树木恶意破坏保险</w:t>
            </w:r>
          </w:p>
        </w:tc>
        <w:tc>
          <w:tcPr>
            <w:tcW w:w="1561" w:type="dxa"/>
            <w:noWrap w:val="0"/>
            <w:vAlign w:val="center"/>
          </w:tcPr>
          <w:p w14:paraId="51D223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45"/>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500</w:t>
            </w:r>
          </w:p>
        </w:tc>
        <w:tc>
          <w:tcPr>
            <w:tcW w:w="3710" w:type="dxa"/>
            <w:noWrap w:val="0"/>
            <w:vAlign w:val="center"/>
          </w:tcPr>
          <w:p w14:paraId="481B6F3E">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color w:val="auto"/>
                <w:sz w:val="21"/>
                <w:szCs w:val="21"/>
                <w:highlight w:val="none"/>
                <w:lang w:eastAsia="zh-CN"/>
              </w:rPr>
            </w:pPr>
            <w:r>
              <w:rPr>
                <w:rFonts w:hint="eastAsia" w:ascii="仿宋_GB2312" w:hAnsi="仿宋_GB2312" w:eastAsia="仿宋_GB2312" w:cs="仿宋_GB2312"/>
                <w:b w:val="0"/>
                <w:bCs/>
                <w:color w:val="auto"/>
                <w:sz w:val="21"/>
                <w:szCs w:val="21"/>
                <w:highlight w:val="none"/>
                <w:lang w:eastAsia="zh-CN"/>
              </w:rPr>
              <w:t>保险期间内，被保险人栽种于保险合同载明地点范围内的院前、院后或房前、屋后的果木及其他成材树木(非商业性)，因遭受恶意破坏行为造成的损毁，保险人按照本保险合同的约定负责赔偿。</w:t>
            </w:r>
          </w:p>
        </w:tc>
      </w:tr>
    </w:tbl>
    <w:p w14:paraId="2A5AE104">
      <w:pPr>
        <w:pStyle w:val="10"/>
        <w:rPr>
          <w:rFonts w:hint="eastAsia" w:ascii="仿宋_GB2312" w:hAnsi="仿宋_GB2312" w:eastAsia="仿宋_GB2312" w:cs="仿宋_GB2312"/>
          <w:color w:val="auto"/>
          <w:highlight w:val="none"/>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BDAF7"/>
    <w:multiLevelType w:val="singleLevel"/>
    <w:tmpl w:val="9BBBDAF7"/>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lMGYxZTU2MDVkZDIwYWVjNzcxOGVlZjk1NjdjMjgifQ=="/>
  </w:docVars>
  <w:rsids>
    <w:rsidRoot w:val="2BE46CD8"/>
    <w:rsid w:val="2BE46CD8"/>
    <w:rsid w:val="35706D9F"/>
    <w:rsid w:val="3A453176"/>
    <w:rsid w:val="55F34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keepLines/>
      <w:spacing w:line="360" w:lineRule="auto"/>
      <w:outlineLvl w:val="2"/>
    </w:pPr>
    <w:rPr>
      <w:rFonts w:cs="Times New Roman"/>
      <w:b/>
      <w:bCs/>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1"/>
    <w:qFormat/>
    <w:uiPriority w:val="99"/>
    <w:pPr>
      <w:adjustRightInd w:val="0"/>
      <w:spacing w:after="60" w:line="360" w:lineRule="atLeast"/>
      <w:ind w:left="72" w:leftChars="30" w:right="30" w:rightChars="30"/>
      <w:jc w:val="center"/>
      <w:textAlignment w:val="baseline"/>
    </w:pPr>
    <w:rPr>
      <w:rFonts w:ascii="Calibri" w:hAnsi="Calibri" w:eastAsia="宋体" w:cs="Times New Roman"/>
      <w:szCs w:val="22"/>
    </w:rPr>
  </w:style>
  <w:style w:type="paragraph" w:styleId="5">
    <w:name w:val="toc 5"/>
    <w:basedOn w:val="1"/>
    <w:next w:val="1"/>
    <w:unhideWhenUsed/>
    <w:qFormat/>
    <w:uiPriority w:val="99"/>
    <w:pPr>
      <w:spacing w:before="100" w:beforeAutospacing="1" w:after="100" w:afterAutospacing="1"/>
      <w:ind w:left="1680" w:leftChars="800"/>
    </w:pPr>
  </w:style>
  <w:style w:type="paragraph" w:styleId="6">
    <w:name w:val="Plain Text"/>
    <w:basedOn w:val="1"/>
    <w:next w:val="5"/>
    <w:unhideWhenUsed/>
    <w:uiPriority w:val="99"/>
    <w:rPr>
      <w:rFonts w:ascii="宋体" w:hAnsi="Courier New" w:eastAsia="宋体"/>
      <w:kern w:val="2"/>
      <w:sz w:val="19"/>
      <w:lang w:val="en-US" w:eastAsia="zh-CN" w:bidi="ar-SA"/>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270</Words>
  <Characters>270</Characters>
  <Lines>0</Lines>
  <Paragraphs>0</Paragraphs>
  <TotalTime>0</TotalTime>
  <ScaleCrop>false</ScaleCrop>
  <LinksUpToDate>false</LinksUpToDate>
  <CharactersWithSpaces>270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2024-08-28T07:25:00Z</dcterms:created>
  <dc:creator>龍少曾经回来过</dc:creator>
  <cp:lastModifiedBy>zsq44</cp:lastModifiedBy>
  <dcterms:modified xsi:type="dcterms:W3CDTF">2025-05-29T08:41:21Z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0E3FB75CDB534E79B2D792EA20AEF09F_11</vt:lpwstr>
  </property>
  <property fmtid="{D5CDD505-2E9C-101B-9397-08002B2CF9AE}" pid="4" name="KSOTemplateDocerSaveRecord">
    <vt:lpwstr>eyJoZGlkIjoiZjFmZWIzNDg2MmIzZjExOTIzMmViNTBmYTMwYTk0ZWYifQ==</vt:lpwstr>
  </property>
</Properties>
</file>