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仿宋" w:hAnsi="仿宋" w:eastAsia="仿宋" w:cs="仿宋"/>
          <w:b/>
          <w:bCs/>
          <w:kern w:val="2"/>
          <w:sz w:val="36"/>
          <w:szCs w:val="36"/>
          <w:lang w:val="en-US" w:eastAsia="zh-CN" w:bidi="ar-SA"/>
        </w:rPr>
      </w:pPr>
    </w:p>
    <w:p>
      <w:pPr>
        <w:pStyle w:val="16"/>
        <w:spacing w:after="0" w:line="240" w:lineRule="auto"/>
        <w:ind w:firstLine="0" w:firstLineChars="0"/>
        <w:jc w:val="center"/>
        <w:rPr>
          <w:rFonts w:hint="default" w:ascii="仿宋" w:hAnsi="仿宋" w:eastAsia="仿宋" w:cs="仿宋"/>
          <w:b/>
          <w:bCs/>
          <w:kern w:val="2"/>
          <w:sz w:val="36"/>
          <w:szCs w:val="36"/>
          <w:lang w:val="en-US" w:eastAsia="zh-CN" w:bidi="ar-SA"/>
        </w:rPr>
      </w:pPr>
      <w:r>
        <w:rPr>
          <w:rFonts w:hint="eastAsia" w:ascii="仿宋" w:hAnsi="仿宋" w:eastAsia="仿宋" w:cs="仿宋"/>
          <w:b/>
          <w:bCs/>
          <w:kern w:val="2"/>
          <w:sz w:val="36"/>
          <w:szCs w:val="36"/>
          <w:lang w:val="en-US" w:eastAsia="zh-CN" w:bidi="ar-SA"/>
        </w:rPr>
        <w:t>洛阳市文物局汉魏洛阳城遗址博物馆空调工程项目</w:t>
      </w:r>
      <w:r>
        <w:rPr>
          <w:rFonts w:hint="eastAsia" w:cs="仿宋"/>
          <w:b/>
          <w:bCs/>
          <w:kern w:val="2"/>
          <w:sz w:val="36"/>
          <w:szCs w:val="36"/>
          <w:lang w:val="en-US" w:eastAsia="zh-CN" w:bidi="ar-SA"/>
        </w:rPr>
        <w:t>(</w:t>
      </w:r>
      <w:r>
        <w:rPr>
          <w:rFonts w:hint="eastAsia" w:ascii="仿宋" w:hAnsi="仿宋" w:eastAsia="仿宋" w:cs="仿宋"/>
          <w:b/>
          <w:bCs/>
          <w:kern w:val="2"/>
          <w:sz w:val="36"/>
          <w:szCs w:val="36"/>
          <w:lang w:val="en-US" w:eastAsia="zh-CN" w:bidi="ar-SA"/>
        </w:rPr>
        <w:t>项目代码：2112-410300-04-01-912417)</w:t>
      </w:r>
    </w:p>
    <w:p>
      <w:pPr>
        <w:pStyle w:val="58"/>
        <w:rPr>
          <w:rFonts w:ascii="仿宋" w:hAnsi="仿宋" w:eastAsia="仿宋" w:cs="仿宋"/>
        </w:rPr>
      </w:pPr>
    </w:p>
    <w:p>
      <w:bookmarkStart w:id="686" w:name="_GoBack"/>
      <w:bookmarkEnd w:id="686"/>
    </w:p>
    <w:p>
      <w:pPr>
        <w:pStyle w:val="40"/>
        <w:ind w:left="0" w:leftChars="0" w:firstLine="0" w:firstLineChars="0"/>
        <w:jc w:val="center"/>
        <w:rPr>
          <w:sz w:val="52"/>
          <w:szCs w:val="52"/>
          <w:lang w:bidi="ar"/>
        </w:rPr>
      </w:pPr>
      <w:r>
        <w:rPr>
          <w:rFonts w:hint="eastAsia" w:ascii="仿宋" w:hAnsi="仿宋" w:eastAsia="仿宋" w:cs="仿宋"/>
          <w:b/>
          <w:bCs/>
          <w:kern w:val="2"/>
          <w:sz w:val="72"/>
          <w:szCs w:val="72"/>
          <w:lang w:val="en-US" w:eastAsia="zh-CN" w:bidi="ar-SA"/>
        </w:rPr>
        <w:t>招标文件</w:t>
      </w:r>
    </w:p>
    <w:p/>
    <w:p>
      <w:pPr>
        <w:pStyle w:val="16"/>
        <w:spacing w:after="0" w:line="240" w:lineRule="auto"/>
        <w:ind w:left="0" w:leftChars="0" w:firstLine="1906" w:firstLineChars="678"/>
        <w:jc w:val="both"/>
        <w:rPr>
          <w:rFonts w:hint="eastAsia" w:ascii="仿宋" w:hAnsi="仿宋" w:eastAsia="仿宋" w:cs="仿宋"/>
          <w:b/>
          <w:color w:val="auto"/>
          <w:sz w:val="28"/>
          <w:szCs w:val="28"/>
        </w:rPr>
      </w:pPr>
      <w:r>
        <w:rPr>
          <w:rFonts w:hint="eastAsia" w:ascii="仿宋" w:hAnsi="仿宋" w:eastAsia="仿宋" w:cs="仿宋"/>
          <w:b/>
          <w:color w:val="auto"/>
          <w:sz w:val="28"/>
          <w:szCs w:val="28"/>
        </w:rPr>
        <w:t>招标编号：洛直工施招标(2024)0113号</w:t>
      </w:r>
    </w:p>
    <w:p>
      <w:pPr>
        <w:pStyle w:val="16"/>
        <w:spacing w:after="0" w:line="240" w:lineRule="auto"/>
        <w:ind w:left="0" w:leftChars="0" w:firstLine="1906" w:firstLineChars="678"/>
        <w:jc w:val="both"/>
        <w:rPr>
          <w:rFonts w:hint="eastAsia" w:ascii="仿宋" w:hAnsi="仿宋" w:eastAsia="仿宋" w:cs="仿宋"/>
          <w:b/>
          <w:color w:val="auto"/>
          <w:sz w:val="28"/>
          <w:szCs w:val="28"/>
        </w:rPr>
      </w:pPr>
      <w:r>
        <w:rPr>
          <w:rFonts w:hint="eastAsia" w:ascii="仿宋" w:hAnsi="仿宋" w:eastAsia="仿宋" w:cs="仿宋"/>
          <w:b/>
          <w:color w:val="auto"/>
          <w:sz w:val="28"/>
          <w:szCs w:val="28"/>
        </w:rPr>
        <w:t>政府采购备案编号：洛采公开-2024-36</w:t>
      </w:r>
    </w:p>
    <w:p/>
    <w:p>
      <w:pPr>
        <w:ind w:left="0" w:leftChars="0" w:firstLine="0" w:firstLineChars="0"/>
        <w:jc w:val="center"/>
        <w:rPr>
          <w:sz w:val="48"/>
          <w:szCs w:val="44"/>
        </w:rPr>
      </w:pPr>
      <w:r>
        <w:rPr>
          <w:rFonts w:hint="eastAsia"/>
        </w:rPr>
        <w:drawing>
          <wp:inline distT="0" distB="0" distL="114300" distR="114300">
            <wp:extent cx="2071370" cy="1946275"/>
            <wp:effectExtent l="0" t="0" r="5080" b="15875"/>
            <wp:docPr id="3" name="图片 1" descr="微信图片_2020010710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微信图片_20200107103653"/>
                    <pic:cNvPicPr>
                      <a:picLocks noChangeAspect="1"/>
                    </pic:cNvPicPr>
                  </pic:nvPicPr>
                  <pic:blipFill>
                    <a:blip r:embed="rId20"/>
                    <a:srcRect l="21721" t="13374" r="12903" b="43314"/>
                    <a:stretch>
                      <a:fillRect/>
                    </a:stretch>
                  </pic:blipFill>
                  <pic:spPr>
                    <a:xfrm>
                      <a:off x="0" y="0"/>
                      <a:ext cx="2071370" cy="1946275"/>
                    </a:xfrm>
                    <a:prstGeom prst="rect">
                      <a:avLst/>
                    </a:prstGeom>
                    <a:noFill/>
                    <a:ln>
                      <a:noFill/>
                    </a:ln>
                  </pic:spPr>
                </pic:pic>
              </a:graphicData>
            </a:graphic>
          </wp:inline>
        </w:drawing>
      </w:r>
    </w:p>
    <w:p>
      <w:pPr>
        <w:rPr>
          <w:rFonts w:hint="eastAsia"/>
        </w:rPr>
      </w:pPr>
      <w:r>
        <w:rPr>
          <w:rFonts w:hint="eastAsia"/>
        </w:rPr>
        <w:t xml:space="preserve">     </w:t>
      </w:r>
    </w:p>
    <w:p>
      <w:pPr>
        <w:pStyle w:val="25"/>
      </w:pPr>
    </w:p>
    <w:p>
      <w:pPr>
        <w:pStyle w:val="58"/>
        <w:rPr>
          <w:rFonts w:ascii="仿宋" w:hAnsi="仿宋" w:eastAsia="仿宋" w:cs="仿宋"/>
        </w:rPr>
      </w:pPr>
    </w:p>
    <w:p>
      <w:pPr>
        <w:widowControl/>
        <w:spacing w:before="120" w:beforeLines="50" w:after="120" w:afterLines="50" w:line="240" w:lineRule="auto"/>
        <w:ind w:left="0" w:leftChars="0" w:firstLine="1687" w:firstLineChars="600"/>
        <w:rPr>
          <w:rFonts w:hint="eastAsia" w:ascii="仿宋" w:hAnsi="仿宋" w:eastAsia="仿宋" w:cs="仿宋"/>
          <w:b/>
          <w:sz w:val="28"/>
          <w:szCs w:val="28"/>
          <w:lang w:val="en-US" w:eastAsia="zh-CN"/>
        </w:rPr>
      </w:pPr>
      <w:bookmarkStart w:id="0" w:name="_Toc152042286"/>
      <w:bookmarkStart w:id="1" w:name="_Toc144974478"/>
      <w:r>
        <w:rPr>
          <w:rFonts w:hint="eastAsia" w:ascii="仿宋" w:hAnsi="仿宋" w:eastAsia="仿宋" w:cs="仿宋"/>
          <w:b/>
          <w:sz w:val="28"/>
          <w:szCs w:val="28"/>
          <w:lang w:val="en-US" w:eastAsia="zh-CN"/>
        </w:rPr>
        <w:t>招 标 人：洛阳市文物局</w:t>
      </w:r>
    </w:p>
    <w:p>
      <w:pPr>
        <w:widowControl/>
        <w:spacing w:before="120" w:beforeLines="50" w:after="120" w:afterLines="50" w:line="240" w:lineRule="auto"/>
        <w:ind w:left="0" w:leftChars="0" w:firstLine="1687" w:firstLineChars="600"/>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代理机构：河南远桥工程管理咨询有限公司</w:t>
      </w:r>
    </w:p>
    <w:p>
      <w:pPr>
        <w:widowControl/>
        <w:spacing w:before="120" w:beforeLines="50" w:after="120" w:afterLines="50" w:line="240" w:lineRule="auto"/>
        <w:ind w:left="0" w:leftChars="0" w:firstLine="1687" w:firstLineChars="600"/>
        <w:rPr>
          <w:rFonts w:hint="eastAsia" w:ascii="仿宋" w:hAnsi="仿宋" w:eastAsia="仿宋" w:cs="仿宋"/>
          <w:b/>
          <w:color w:val="FF0000"/>
          <w:sz w:val="28"/>
          <w:szCs w:val="28"/>
          <w:lang w:val="en-US" w:eastAsia="zh-CN"/>
        </w:rPr>
      </w:pPr>
      <w:r>
        <w:rPr>
          <w:rFonts w:hint="eastAsia" w:ascii="仿宋" w:hAnsi="仿宋" w:eastAsia="仿宋" w:cs="仿宋"/>
          <w:b/>
          <w:sz w:val="28"/>
          <w:szCs w:val="28"/>
          <w:lang w:val="en-US" w:eastAsia="zh-CN"/>
        </w:rPr>
        <w:t>日    期：</w:t>
      </w:r>
      <w:r>
        <w:rPr>
          <w:rFonts w:hint="eastAsia" w:ascii="仿宋" w:hAnsi="仿宋" w:eastAsia="仿宋" w:cs="仿宋"/>
          <w:b/>
          <w:color w:val="auto"/>
          <w:sz w:val="28"/>
          <w:szCs w:val="28"/>
          <w:lang w:val="en-US" w:eastAsia="zh-CN"/>
        </w:rPr>
        <w:t>二〇二四年</w:t>
      </w:r>
      <w:r>
        <w:rPr>
          <w:rFonts w:hint="eastAsia" w:cs="仿宋"/>
          <w:b/>
          <w:color w:val="auto"/>
          <w:sz w:val="28"/>
          <w:szCs w:val="28"/>
          <w:lang w:val="en-US" w:eastAsia="zh-CN"/>
        </w:rPr>
        <w:t>三</w:t>
      </w:r>
      <w:r>
        <w:rPr>
          <w:rFonts w:hint="eastAsia" w:ascii="仿宋" w:hAnsi="仿宋" w:eastAsia="仿宋" w:cs="仿宋"/>
          <w:b/>
          <w:color w:val="auto"/>
          <w:sz w:val="28"/>
          <w:szCs w:val="28"/>
          <w:lang w:val="en-US" w:eastAsia="zh-CN"/>
        </w:rPr>
        <w:t>月</w:t>
      </w:r>
    </w:p>
    <w:p>
      <w:pPr>
        <w:spacing w:line="400" w:lineRule="exact"/>
        <w:ind w:firstLine="0" w:firstLineChars="0"/>
        <w:jc w:val="center"/>
        <w:rPr>
          <w:rFonts w:hint="eastAsia" w:ascii="仿宋" w:hAnsi="仿宋" w:eastAsia="仿宋" w:cs="仿宋"/>
          <w:b/>
          <w:bCs/>
          <w:sz w:val="32"/>
          <w:szCs w:val="24"/>
        </w:rPr>
        <w:sectPr>
          <w:footerReference r:id="rId5" w:type="default"/>
          <w:pgSz w:w="11906" w:h="16838"/>
          <w:pgMar w:top="1440" w:right="1800" w:bottom="1276" w:left="1800" w:header="851" w:footer="992" w:gutter="0"/>
          <w:pgNumType w:start="1"/>
          <w:cols w:space="720" w:num="1"/>
          <w:docGrid w:type="lines" w:linePitch="312" w:charSpace="0"/>
        </w:sectPr>
      </w:pPr>
      <w:r>
        <w:drawing>
          <wp:anchor distT="0" distB="0" distL="114300" distR="114300" simplePos="0" relativeHeight="251660288" behindDoc="0" locked="0" layoutInCell="1" allowOverlap="1">
            <wp:simplePos x="0" y="0"/>
            <wp:positionH relativeFrom="column">
              <wp:posOffset>-488315</wp:posOffset>
            </wp:positionH>
            <wp:positionV relativeFrom="paragraph">
              <wp:posOffset>13970</wp:posOffset>
            </wp:positionV>
            <wp:extent cx="6456680" cy="8809990"/>
            <wp:effectExtent l="0" t="0" r="1270" b="10160"/>
            <wp:wrapSquare wrapText="bothSides"/>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1"/>
                    <a:stretch>
                      <a:fillRect/>
                    </a:stretch>
                  </pic:blipFill>
                  <pic:spPr>
                    <a:xfrm>
                      <a:off x="0" y="0"/>
                      <a:ext cx="6456680" cy="8809990"/>
                    </a:xfrm>
                    <a:prstGeom prst="rect">
                      <a:avLst/>
                    </a:prstGeom>
                    <a:noFill/>
                    <a:ln>
                      <a:noFill/>
                    </a:ln>
                  </pic:spPr>
                </pic:pic>
              </a:graphicData>
            </a:graphic>
          </wp:anchor>
        </w:drawing>
      </w:r>
    </w:p>
    <w:p>
      <w:pPr>
        <w:pStyle w:val="25"/>
        <w:rPr>
          <w:rFonts w:hint="eastAsia"/>
        </w:rPr>
        <w:sectPr>
          <w:pgSz w:w="11906" w:h="16838"/>
          <w:pgMar w:top="1440" w:right="1800" w:bottom="1276" w:left="1800" w:header="851" w:footer="992" w:gutter="0"/>
          <w:pgNumType w:start="1"/>
          <w:cols w:space="720" w:num="1"/>
          <w:docGrid w:type="lines" w:linePitch="312" w:charSpace="0"/>
        </w:sectPr>
      </w:pPr>
      <w:r>
        <w:drawing>
          <wp:anchor distT="0" distB="0" distL="114300" distR="114300" simplePos="0" relativeHeight="251661312" behindDoc="0" locked="0" layoutInCell="1" allowOverlap="1">
            <wp:simplePos x="0" y="0"/>
            <wp:positionH relativeFrom="column">
              <wp:posOffset>-464185</wp:posOffset>
            </wp:positionH>
            <wp:positionV relativeFrom="paragraph">
              <wp:posOffset>196850</wp:posOffset>
            </wp:positionV>
            <wp:extent cx="6445250" cy="8606790"/>
            <wp:effectExtent l="0" t="0" r="12700" b="3810"/>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2"/>
                    <a:stretch>
                      <a:fillRect/>
                    </a:stretch>
                  </pic:blipFill>
                  <pic:spPr>
                    <a:xfrm>
                      <a:off x="0" y="0"/>
                      <a:ext cx="6445250" cy="8606790"/>
                    </a:xfrm>
                    <a:prstGeom prst="rect">
                      <a:avLst/>
                    </a:prstGeom>
                    <a:noFill/>
                    <a:ln>
                      <a:noFill/>
                    </a:ln>
                  </pic:spPr>
                </pic:pic>
              </a:graphicData>
            </a:graphic>
          </wp:anchor>
        </w:drawing>
      </w:r>
    </w:p>
    <w:p>
      <w:pPr>
        <w:jc w:val="center"/>
      </w:pPr>
      <w:r>
        <w:rPr>
          <w:rFonts w:hint="eastAsia" w:ascii="仿宋" w:hAnsi="仿宋" w:eastAsia="仿宋" w:cs="仿宋"/>
          <w:b/>
          <w:bCs/>
          <w:kern w:val="0"/>
          <w:sz w:val="28"/>
          <w:szCs w:val="28"/>
        </w:rPr>
        <w:t>特 别 提 示</w:t>
      </w:r>
    </w:p>
    <w:p>
      <w:pPr>
        <w:keepNext w:val="0"/>
        <w:keepLines w:val="0"/>
        <w:pageBreakBefore w:val="0"/>
        <w:widowControl w:val="0"/>
        <w:kinsoku/>
        <w:wordWrap/>
        <w:overflowPunct/>
        <w:topLinePunct w:val="0"/>
        <w:autoSpaceDE w:val="0"/>
        <w:autoSpaceDN w:val="0"/>
        <w:bidi w:val="0"/>
        <w:adjustRightInd w:val="0"/>
        <w:snapToGrid/>
        <w:spacing w:line="480" w:lineRule="exact"/>
        <w:ind w:firstLine="0" w:firstLineChars="0"/>
        <w:jc w:val="left"/>
        <w:textAlignment w:val="auto"/>
        <w:rPr>
          <w:rFonts w:hint="eastAsia" w:ascii="仿宋" w:hAnsi="仿宋" w:eastAsia="仿宋" w:cs="仿宋"/>
          <w:b/>
          <w:kern w:val="0"/>
          <w:szCs w:val="21"/>
        </w:rPr>
      </w:pPr>
      <w:r>
        <w:rPr>
          <w:rFonts w:hint="eastAsia" w:ascii="仿宋" w:hAnsi="仿宋" w:eastAsia="仿宋" w:cs="仿宋"/>
          <w:b/>
          <w:kern w:val="0"/>
          <w:szCs w:val="21"/>
        </w:rPr>
        <w:t xml:space="preserve">1、投标文件制作 </w:t>
      </w:r>
    </w:p>
    <w:p>
      <w:r>
        <w:rPr>
          <w:rFonts w:hint="eastAsia"/>
        </w:rPr>
        <w:t>1.1 投标人登录“洛阳市公共资源交易中心”网站，进入【办事指南】-【下载中心】-【操作手册】下载“新点投标文件制作软件”。</w:t>
      </w:r>
    </w:p>
    <w:p>
      <w:r>
        <w:rPr>
          <w:rFonts w:hint="eastAsia"/>
        </w:rPr>
        <w:t xml:space="preserve">1.2 投标人凭 CA 锁登录，并按网上提示自行下载招标文件。使用“新点投标文件制作软件”按要求制作电子投标文件。投标人在制作电子投标文件时，应按要求进行电子签章。投标人编辑电子投标文件时，根据招标文件要求用法定代表人CA锁和企业CA锁进行签章制作；最后一步生成电子投标文件（*.lytf格式和*.nlytf格式）时，只能用本单位的企业 CA 锁。联合体投标的，投标文件由联合体牵头人按上述规定进行签章。 </w:t>
      </w:r>
    </w:p>
    <w:p>
      <w:r>
        <w:rPr>
          <w:rFonts w:hint="eastAsia"/>
        </w:rPr>
        <w:t xml:space="preserve">1.3 加密的电子投标文件为“洛阳市公共资源交易中心”网站提供的“新点投标文件制作软件”制作生成的加密版投标文件。未加密的电子投标文件应与加密的电子投标文件为同时生成的版本。 </w:t>
      </w:r>
    </w:p>
    <w:p>
      <w:r>
        <w:rPr>
          <w:rFonts w:hint="eastAsia"/>
        </w:rPr>
        <w:t xml:space="preserve">1.4 招标文件格式所要求包含的全部资料应全部制作在投标文件内，严格按照本项目招标文件所有格式如实填写（不涉及的内容除外），不应存在漏项或缺项，否则将存在投标被否决的风险。 </w:t>
      </w:r>
    </w:p>
    <w:p>
      <w:r>
        <w:rPr>
          <w:rFonts w:hint="eastAsia"/>
        </w:rPr>
        <w:t xml:space="preserve">1.5 投标文件所附证明材料均为原件的扫描件，尺寸和清晰度应该能够在电脑上被阅读、识别和判断；若投标人未按要求提供证明材料或提供不清晰的扫描件（或照片）的，评标委员会有权认定其投标文件未对招标文件有关要求进行响应。 </w:t>
      </w:r>
    </w:p>
    <w:p>
      <w:pPr>
        <w:keepNext w:val="0"/>
        <w:keepLines w:val="0"/>
        <w:pageBreakBefore w:val="0"/>
        <w:widowControl w:val="0"/>
        <w:kinsoku/>
        <w:wordWrap/>
        <w:overflowPunct/>
        <w:topLinePunct w:val="0"/>
        <w:autoSpaceDE w:val="0"/>
        <w:autoSpaceDN w:val="0"/>
        <w:bidi w:val="0"/>
        <w:adjustRightInd w:val="0"/>
        <w:snapToGrid/>
        <w:spacing w:line="480" w:lineRule="exact"/>
        <w:ind w:firstLine="0" w:firstLineChars="0"/>
        <w:jc w:val="left"/>
        <w:textAlignment w:val="auto"/>
        <w:rPr>
          <w:rFonts w:hint="eastAsia" w:ascii="仿宋" w:hAnsi="仿宋" w:eastAsia="仿宋" w:cs="仿宋"/>
          <w:b/>
          <w:kern w:val="0"/>
          <w:szCs w:val="21"/>
        </w:rPr>
      </w:pPr>
      <w:r>
        <w:rPr>
          <w:rFonts w:hint="eastAsia" w:ascii="仿宋" w:hAnsi="仿宋" w:eastAsia="仿宋" w:cs="仿宋"/>
          <w:b/>
          <w:kern w:val="0"/>
          <w:szCs w:val="21"/>
        </w:rPr>
        <w:t xml:space="preserve">2、投标文件的提交 </w:t>
      </w:r>
    </w:p>
    <w:p>
      <w:r>
        <w:rPr>
          <w:rFonts w:hint="eastAsia"/>
        </w:rPr>
        <w:t>2.1除电子投标文件外，投标时不再接受任何纸质文件、资料等。</w:t>
      </w:r>
    </w:p>
    <w:p>
      <w:r>
        <w:rPr>
          <w:rFonts w:hint="eastAsia"/>
        </w:rPr>
        <w:t xml:space="preserve">2.2 投标人应在投标截止时间前上传加密的电子投标文件（*.lytf）到洛阳市电子招投标交易平台指定位置。上传时投标人须使用制作该投标文件的同一CA 锁进行上传操作。请投标人在上传时认真检查上传投标文件是否完整、正确。投标人应充分考虑上传文件时的不可预见因素，未在投标截止时间前完成上传的，视为逾期送达，洛阳市电子招投标交易平台将拒绝接收。上传成功后将得到上传成功的确认。 </w:t>
      </w:r>
    </w:p>
    <w:p>
      <w:r>
        <w:rPr>
          <w:rFonts w:hint="eastAsia"/>
        </w:rPr>
        <w:t>2.3 投标人因洛阳市电子招投标交易平台问题无法上传电子投标文件时，请在工作时间与交易中心联系。</w:t>
      </w:r>
    </w:p>
    <w:p>
      <w:pPr>
        <w:keepNext w:val="0"/>
        <w:keepLines w:val="0"/>
        <w:pageBreakBefore w:val="0"/>
        <w:widowControl w:val="0"/>
        <w:kinsoku/>
        <w:wordWrap/>
        <w:overflowPunct/>
        <w:topLinePunct w:val="0"/>
        <w:autoSpaceDE w:val="0"/>
        <w:autoSpaceDN w:val="0"/>
        <w:bidi w:val="0"/>
        <w:adjustRightInd w:val="0"/>
        <w:snapToGrid/>
        <w:spacing w:line="480" w:lineRule="exact"/>
        <w:ind w:firstLine="0" w:firstLineChars="0"/>
        <w:jc w:val="left"/>
        <w:textAlignment w:val="auto"/>
        <w:rPr>
          <w:rFonts w:hint="eastAsia" w:ascii="仿宋" w:hAnsi="仿宋" w:eastAsia="仿宋" w:cs="仿宋"/>
          <w:b/>
          <w:kern w:val="0"/>
          <w:szCs w:val="21"/>
        </w:rPr>
      </w:pPr>
      <w:r>
        <w:rPr>
          <w:rFonts w:hint="eastAsia" w:ascii="仿宋" w:hAnsi="仿宋" w:eastAsia="仿宋" w:cs="仿宋"/>
          <w:b/>
          <w:kern w:val="0"/>
          <w:szCs w:val="21"/>
        </w:rPr>
        <w:t xml:space="preserve">3、招标文件的澄清、修改 </w:t>
      </w:r>
    </w:p>
    <w:p>
      <w:r>
        <w:rPr>
          <w:rFonts w:hint="eastAsia"/>
        </w:rPr>
        <w:t xml:space="preserve">3.1招标文件的澄清、修改将在洛阳市公共资源交易中心网站上发布“变更公告”，如需修改招标文件，则同时在洛阳市电子招投标交易平台发布“答疑文件”（答疑文件指修改后最新的招标文件）。对于各项目中已经成功下载招标文件的投标人，将通过第三方短信群发方式提醒投标人进行查询。各投标人须重新下载最新的“答疑文件”，并以此编制投标文件。如不以最新发布的“答疑文件”编制投标文件，造成投标无效的后果由投标人自己承担。 </w:t>
      </w:r>
    </w:p>
    <w:p>
      <w:r>
        <w:rPr>
          <w:rFonts w:hint="eastAsia"/>
        </w:rPr>
        <w:t xml:space="preserve">3.2 因洛阳市电子招投标交易平台在开标前具有保密性，投标人在投标文件递交截止时间前须自行查看项目进展、变更通知、澄清及回复，因投标人未及时查看而造成的后果自负。 </w:t>
      </w:r>
    </w:p>
    <w:p>
      <w:pPr>
        <w:keepNext w:val="0"/>
        <w:keepLines w:val="0"/>
        <w:pageBreakBefore w:val="0"/>
        <w:widowControl w:val="0"/>
        <w:kinsoku/>
        <w:wordWrap/>
        <w:overflowPunct/>
        <w:topLinePunct w:val="0"/>
        <w:autoSpaceDE w:val="0"/>
        <w:autoSpaceDN w:val="0"/>
        <w:bidi w:val="0"/>
        <w:adjustRightInd w:val="0"/>
        <w:snapToGrid/>
        <w:spacing w:line="480" w:lineRule="exact"/>
        <w:ind w:firstLine="0" w:firstLineChars="0"/>
        <w:jc w:val="left"/>
        <w:textAlignment w:val="auto"/>
        <w:rPr>
          <w:rFonts w:hint="eastAsia" w:ascii="仿宋" w:hAnsi="仿宋" w:eastAsia="仿宋" w:cs="仿宋"/>
          <w:b/>
          <w:kern w:val="0"/>
          <w:szCs w:val="21"/>
        </w:rPr>
      </w:pPr>
      <w:r>
        <w:rPr>
          <w:rFonts w:hint="eastAsia" w:ascii="仿宋" w:hAnsi="仿宋" w:eastAsia="仿宋" w:cs="仿宋"/>
          <w:b/>
          <w:kern w:val="0"/>
          <w:szCs w:val="21"/>
        </w:rPr>
        <w:t xml:space="preserve">4、开标 </w:t>
      </w:r>
    </w:p>
    <w:p>
      <w:r>
        <w:rPr>
          <w:rFonts w:hint="eastAsia"/>
        </w:rPr>
        <w:t>本项目采用远程不见面交易的模式。开标当日，投标人无需到开标现场参加开标会议，投标人应当在投标截止时间前，登录不见面开标大厅选择洛阳市公共资源电子招投标系统进行登录，在线准时参加开标活动并进行投标文件解密等。因投标人原因未能解密、解密失败或解密超时的将被拒绝。请参照洛阳市公共资源交易中心首页—办事指南—下载中心—操作手册—《洛阳市公共资源交易中心不见面开标大厅操作手册（投标人）》。</w:t>
      </w:r>
    </w:p>
    <w:p>
      <w:pPr>
        <w:keepNext w:val="0"/>
        <w:keepLines w:val="0"/>
        <w:pageBreakBefore w:val="0"/>
        <w:widowControl w:val="0"/>
        <w:kinsoku/>
        <w:wordWrap/>
        <w:overflowPunct/>
        <w:topLinePunct w:val="0"/>
        <w:autoSpaceDE w:val="0"/>
        <w:autoSpaceDN w:val="0"/>
        <w:bidi w:val="0"/>
        <w:adjustRightInd w:val="0"/>
        <w:snapToGrid/>
        <w:spacing w:line="480" w:lineRule="exact"/>
        <w:ind w:firstLine="0" w:firstLineChars="0"/>
        <w:jc w:val="left"/>
        <w:textAlignment w:val="auto"/>
        <w:rPr>
          <w:rFonts w:hint="eastAsia" w:ascii="仿宋" w:hAnsi="仿宋" w:eastAsia="仿宋" w:cs="仿宋"/>
          <w:b/>
          <w:kern w:val="0"/>
          <w:szCs w:val="21"/>
        </w:rPr>
      </w:pPr>
      <w:r>
        <w:rPr>
          <w:rFonts w:hint="eastAsia" w:ascii="仿宋" w:hAnsi="仿宋" w:eastAsia="仿宋" w:cs="仿宋"/>
          <w:b/>
          <w:kern w:val="0"/>
          <w:szCs w:val="21"/>
        </w:rPr>
        <w:t>5、开标异常处理</w:t>
      </w:r>
    </w:p>
    <w:p>
      <w:r>
        <w:rPr>
          <w:rFonts w:hint="eastAsia"/>
        </w:rPr>
        <w:t>当出现以下情况时，应对未开标的中止电子开标，对原有资料及信息作出妥善保密处理，并在恢复正常后及时安排时间开标：</w:t>
      </w:r>
    </w:p>
    <w:p>
      <w:r>
        <w:rPr>
          <w:rFonts w:hint="eastAsia"/>
        </w:rPr>
        <w:t>（1）系统服务器发生故障，无法访问或无法使用系统；</w:t>
      </w:r>
    </w:p>
    <w:p>
      <w:r>
        <w:rPr>
          <w:rFonts w:hint="eastAsia"/>
        </w:rPr>
        <w:t>（2）系统的软件或数据库出现错误，不能进行正常操作；</w:t>
      </w:r>
    </w:p>
    <w:p>
      <w:r>
        <w:rPr>
          <w:rFonts w:hint="eastAsia"/>
        </w:rPr>
        <w:t>（3）系统发现有安全漏洞，有潜在的泄密危险；</w:t>
      </w:r>
    </w:p>
    <w:p>
      <w:r>
        <w:rPr>
          <w:rFonts w:hint="eastAsia"/>
        </w:rPr>
        <w:t>（4）出现断电事故且短时间内无法恢复供电；</w:t>
      </w:r>
    </w:p>
    <w:p>
      <w:r>
        <w:rPr>
          <w:rFonts w:hint="eastAsia"/>
        </w:rPr>
        <w:t>（5）其他无法保证招投标过程正常进行的情形。</w:t>
      </w:r>
    </w:p>
    <w:p>
      <w:pPr>
        <w:keepNext w:val="0"/>
        <w:keepLines w:val="0"/>
        <w:pageBreakBefore w:val="0"/>
        <w:widowControl w:val="0"/>
        <w:kinsoku/>
        <w:wordWrap/>
        <w:overflowPunct/>
        <w:topLinePunct w:val="0"/>
        <w:autoSpaceDE w:val="0"/>
        <w:autoSpaceDN w:val="0"/>
        <w:bidi w:val="0"/>
        <w:adjustRightInd w:val="0"/>
        <w:snapToGrid/>
        <w:spacing w:line="480" w:lineRule="exact"/>
        <w:ind w:firstLine="0" w:firstLineChars="0"/>
        <w:jc w:val="left"/>
        <w:textAlignment w:val="auto"/>
        <w:rPr>
          <w:rFonts w:hint="eastAsia" w:ascii="仿宋" w:hAnsi="仿宋" w:eastAsia="仿宋" w:cs="仿宋"/>
          <w:b/>
          <w:kern w:val="0"/>
          <w:szCs w:val="21"/>
        </w:rPr>
      </w:pPr>
      <w:r>
        <w:rPr>
          <w:rFonts w:hint="eastAsia" w:ascii="仿宋" w:hAnsi="仿宋" w:eastAsia="仿宋" w:cs="仿宋"/>
          <w:b/>
          <w:kern w:val="0"/>
          <w:szCs w:val="21"/>
        </w:rPr>
        <w:t xml:space="preserve">6、 雷同性检查提示 </w:t>
      </w:r>
    </w:p>
    <w:p>
      <w:r>
        <w:rPr>
          <w:rFonts w:hint="eastAsia"/>
        </w:rPr>
        <w:t>市住建局将建立计价软件电子加密锁实名信息管理库，对参与洛阳市房屋建筑和市政基础设施项目的，实行计价软件电子加密锁进行实名管理（具体要求详见《关于进一步做好房屋建筑和市政基础设施工程电子投标文件雷同认定与处理的通知》（洛建【2022】47号文）。投标人原则上应使用本单位的计价软件加密锁编制已标价工程量清单。行政监督部门对使用非本单位或个人计价软件加密锁编制已标价工程量清单的投标人，以及频繁变更加密锁信息的单位或个人，予以列入重点监管对象，同时对其参与投标的项目进行重点监管。</w:t>
      </w:r>
    </w:p>
    <w:p>
      <w:r>
        <w:rPr>
          <w:rFonts w:hint="eastAsia"/>
        </w:rPr>
        <w:br w:type="page"/>
      </w:r>
    </w:p>
    <w:p>
      <w:pPr>
        <w:spacing w:line="500" w:lineRule="exact"/>
        <w:ind w:firstLine="0" w:firstLineChars="0"/>
        <w:jc w:val="center"/>
        <w:rPr>
          <w:rFonts w:hint="eastAsia" w:ascii="仿宋" w:hAnsi="仿宋" w:eastAsia="仿宋" w:cs="仿宋"/>
          <w:b/>
          <w:sz w:val="24"/>
          <w:szCs w:val="24"/>
        </w:rPr>
      </w:pPr>
      <w:r>
        <w:rPr>
          <w:rFonts w:hint="eastAsia" w:ascii="仿宋" w:hAnsi="仿宋" w:eastAsia="仿宋" w:cs="仿宋"/>
          <w:b/>
          <w:sz w:val="24"/>
          <w:szCs w:val="24"/>
        </w:rPr>
        <w:t>致房建和市政基础设施工程建设项目各方主体的一封公开信</w:t>
      </w:r>
    </w:p>
    <w:p>
      <w:pPr>
        <w:ind w:left="0" w:leftChars="0" w:firstLine="0" w:firstLineChars="0"/>
      </w:pPr>
      <w:r>
        <w:rPr>
          <w:rFonts w:hint="eastAsia"/>
        </w:rPr>
        <w:t>参与全市房屋建筑和市政基础设施工程建设项目各方主体：</w:t>
      </w:r>
    </w:p>
    <w:p>
      <w:r>
        <w:rPr>
          <w:rFonts w:hint="eastAsia"/>
        </w:rPr>
        <w:t>为进一步优化营商环境，强化工程监理行业和建设工程招标代理行业监管,严厉打击工程监理和招标投标活动中的违法违规行为，市住建局开展为期三个月的专项整治行动</w:t>
      </w:r>
      <w:r>
        <w:rPr>
          <w:rFonts w:hint="eastAsia"/>
          <w:highlight w:val="none"/>
        </w:rPr>
        <w:t>（2021年7月12日至2021年9月30日），</w:t>
      </w:r>
      <w:r>
        <w:rPr>
          <w:rFonts w:hint="eastAsia"/>
        </w:rPr>
        <w:t>重点治理以下行为：</w:t>
      </w:r>
    </w:p>
    <w:p>
      <w:r>
        <w:rPr>
          <w:rFonts w:hint="eastAsia"/>
        </w:rPr>
        <w:t>一、工程监理行业</w:t>
      </w:r>
    </w:p>
    <w:p>
      <w:r>
        <w:rPr>
          <w:rFonts w:hint="eastAsia"/>
        </w:rPr>
        <w:t>1.建设单位不按规定依法通过招标或委托监理单位；不按合同约定和监理投标承诺书对监理单位人员履职情况进行监管；不按规定以及合同约定，切实将应赋予监理企业的权力委托给监理企业。</w:t>
      </w:r>
    </w:p>
    <w:p>
      <w:r>
        <w:rPr>
          <w:rFonts w:hint="eastAsia"/>
        </w:rPr>
        <w:t>2.进洛外地监理企业无固定的办公场所、不在行业主管部门进行项目登记。</w:t>
      </w:r>
    </w:p>
    <w:p>
      <w:r>
        <w:rPr>
          <w:rFonts w:hint="eastAsia"/>
        </w:rPr>
        <w:t>3.项目总监不到岗履职；监理企业不按合同要求配备人员。</w:t>
      </w:r>
    </w:p>
    <w:p>
      <w:r>
        <w:rPr>
          <w:rFonts w:hint="eastAsia"/>
        </w:rPr>
        <w:t>4.监理企业转让或出借监理资质证书、转让监理业务、无资质或超资质承接监理项目等行为。</w:t>
      </w:r>
    </w:p>
    <w:p>
      <w:r>
        <w:rPr>
          <w:rFonts w:hint="eastAsia"/>
        </w:rPr>
        <w:t>5.监理人员存在与建设单位和施工单位串通、弄虚作假，向施工单位介绍施工队伍、建筑材料和构配件；监理人员接受施工单位贿赂或者向施工单位“吃、拿、卡、要”。</w:t>
      </w:r>
    </w:p>
    <w:p>
      <w:r>
        <w:rPr>
          <w:rFonts w:hint="eastAsia"/>
        </w:rPr>
        <w:t>二、建设工程招标代理行业</w:t>
      </w:r>
    </w:p>
    <w:p>
      <w:r>
        <w:rPr>
          <w:rFonts w:hint="eastAsia"/>
        </w:rPr>
        <w:t>1.通过行贿等不正当手段、以其他企业名义或者允许其他单位或者个人以本企业名义承接招标代理业务。</w:t>
      </w:r>
    </w:p>
    <w:p>
      <w:r>
        <w:rPr>
          <w:rFonts w:hint="eastAsia"/>
        </w:rPr>
        <w:t>2.为未招先建的依法必须进行招标的项目提供招标代理服务，进行明招暗定、虚假招标。</w:t>
      </w:r>
    </w:p>
    <w:p>
      <w:r>
        <w:rPr>
          <w:rFonts w:hint="eastAsia"/>
        </w:rPr>
        <w:t>3.在资格预审文件或者招标文件中设置限制、排斥投标人及潜在投标人的条款。</w:t>
      </w:r>
    </w:p>
    <w:p>
      <w:r>
        <w:rPr>
          <w:rFonts w:hint="eastAsia"/>
        </w:rPr>
        <w:t>4.不按法律法规和招标文件的规定组织开、评标活动，非法干预或者影响评标过程和结果。</w:t>
      </w:r>
    </w:p>
    <w:p>
      <w:r>
        <w:rPr>
          <w:rFonts w:hint="eastAsia"/>
        </w:rPr>
        <w:t>5.评标专家不公正评审，操纵左右评标结果，超额索要评审费，买标卖标等行为。</w:t>
      </w:r>
    </w:p>
    <w:p>
      <w:r>
        <w:rPr>
          <w:rFonts w:hint="eastAsia"/>
        </w:rPr>
        <w:t>6.为所代理的招标项目的投标人提供咨询服务，或者与招标人、投标人串通，操纵评标结果；投标人串通投标、弄虚作假投标。</w:t>
      </w:r>
    </w:p>
    <w:p>
      <w:r>
        <w:rPr>
          <w:rFonts w:hint="eastAsia"/>
        </w:rPr>
        <w:t>7.招标人约定由中标人支付代理费的，向中标人超额索要费用。</w:t>
      </w:r>
    </w:p>
    <w:p>
      <w:r>
        <w:rPr>
          <w:rFonts w:hint="eastAsia"/>
        </w:rPr>
        <w:t>8.拒收异议函或者不依法答复异议。</w:t>
      </w:r>
    </w:p>
    <w:p>
      <w:r>
        <w:rPr>
          <w:rFonts w:hint="eastAsia"/>
        </w:rPr>
        <w:t>9.泄露应当保密的与招标投标活动有关的情况和资料。</w:t>
      </w:r>
    </w:p>
    <w:p>
      <w:r>
        <w:rPr>
          <w:rFonts w:hint="eastAsia"/>
        </w:rPr>
        <w:t>10.国家公职人员利用职务或者职务便利违法插手招标投标活动。</w:t>
      </w:r>
    </w:p>
    <w:p>
      <w:r>
        <w:rPr>
          <w:rFonts w:hint="eastAsia"/>
        </w:rPr>
        <w:t>如果发现以上行为或其他不当行为，请依法向当地住房城乡建设主管部门举报。举报时请提供具体违法违规事实、可供查证的线索或必要的证明材料。我们将认真落实行业监管责任，坚决依法依规处理。涉及实名举报的，我们将严格为举报人保密。</w:t>
      </w:r>
    </w:p>
    <w:p>
      <w:r>
        <w:rPr>
          <w:rFonts w:hint="eastAsia"/>
        </w:rPr>
        <w:t>让我们大家共同行动起来，为营造公平公正的建筑市场环境而努力！</w:t>
      </w:r>
    </w:p>
    <w:p>
      <w:r>
        <w:rPr>
          <w:rFonts w:hint="eastAsia"/>
        </w:rPr>
        <w:t>工程监理行业举报电话：0379-63601281</w:t>
      </w:r>
    </w:p>
    <w:p>
      <w:r>
        <w:rPr>
          <w:rFonts w:hint="eastAsia"/>
          <w:kern w:val="0"/>
        </w:rPr>
        <w:t>举报邮箱：</w:t>
      </w:r>
      <w:r>
        <w:rPr>
          <w:rFonts w:hint="eastAsia"/>
        </w:rPr>
        <w:fldChar w:fldCharType="begin"/>
      </w:r>
      <w:r>
        <w:rPr>
          <w:rFonts w:hint="eastAsia"/>
        </w:rPr>
        <w:instrText xml:space="preserve"> HYPERLINK "mailto:ly63937963@126.com" </w:instrText>
      </w:r>
      <w:r>
        <w:fldChar w:fldCharType="separate"/>
      </w:r>
      <w:r>
        <w:rPr>
          <w:rFonts w:hint="eastAsia"/>
        </w:rPr>
        <w:fldChar w:fldCharType="end"/>
      </w:r>
      <w:r>
        <w:rPr>
          <w:rFonts w:hint="eastAsia"/>
        </w:rPr>
        <w:t>jwjianguanke@sina.com</w:t>
      </w:r>
    </w:p>
    <w:p>
      <w:r>
        <w:rPr>
          <w:rFonts w:hint="eastAsia"/>
        </w:rPr>
        <w:t>建设工程招标代理行业举报电话：0379-63937963/63305203</w:t>
      </w:r>
    </w:p>
    <w:p>
      <w:r>
        <w:rPr>
          <w:rFonts w:hint="eastAsia"/>
          <w:kern w:val="0"/>
        </w:rPr>
        <w:t>举报邮箱：</w:t>
      </w:r>
      <w:r>
        <w:rPr>
          <w:rFonts w:hint="eastAsia"/>
          <w:szCs w:val="24"/>
        </w:rPr>
        <w:fldChar w:fldCharType="begin"/>
      </w:r>
      <w:r>
        <w:rPr>
          <w:rFonts w:hint="eastAsia"/>
        </w:rPr>
        <w:instrText xml:space="preserve"> HYPERLINK "mailto:ly63937963@126.com" </w:instrText>
      </w:r>
      <w:r>
        <w:rPr>
          <w:rFonts w:hint="eastAsia"/>
          <w:szCs w:val="24"/>
        </w:rPr>
        <w:fldChar w:fldCharType="separate"/>
      </w:r>
      <w:r>
        <w:rPr>
          <w:rFonts w:hint="eastAsia"/>
        </w:rPr>
        <w:t>lyzbbjdgl@163.com</w:t>
      </w:r>
      <w:r>
        <w:rPr>
          <w:rFonts w:hint="eastAsia"/>
        </w:rPr>
        <w:fldChar w:fldCharType="end"/>
      </w:r>
    </w:p>
    <w:p>
      <w:pPr>
        <w:pStyle w:val="36"/>
        <w:ind w:firstLine="528"/>
        <w:rPr>
          <w:lang w:val="en-US"/>
        </w:rPr>
      </w:pPr>
    </w:p>
    <w:p>
      <w:pPr>
        <w:pStyle w:val="36"/>
        <w:ind w:firstLine="528"/>
        <w:rPr>
          <w:lang w:val="en-US"/>
        </w:rPr>
      </w:pPr>
    </w:p>
    <w:p>
      <w:pPr>
        <w:pStyle w:val="36"/>
        <w:ind w:firstLine="528"/>
        <w:jc w:val="right"/>
        <w:rPr>
          <w:lang w:val="en-US"/>
        </w:rPr>
      </w:pPr>
      <w:r>
        <w:rPr>
          <w:rFonts w:hint="eastAsia"/>
          <w:sz w:val="21"/>
          <w:szCs w:val="21"/>
        </w:rPr>
        <w:t>洛阳市住房和城乡建设局</w:t>
      </w:r>
    </w:p>
    <w:p>
      <w:pPr>
        <w:rPr>
          <w:b/>
          <w:bCs/>
        </w:rPr>
      </w:pPr>
      <w:r>
        <w:rPr>
          <w:rFonts w:hint="eastAsia"/>
        </w:rPr>
        <w:t xml:space="preserve">                                                     2021年7月12日</w:t>
      </w:r>
    </w:p>
    <w:p>
      <w:r>
        <w:rPr>
          <w:rFonts w:hint="eastAsia"/>
        </w:rPr>
        <w:br w:type="page"/>
      </w:r>
    </w:p>
    <w:p>
      <w:pPr>
        <w:spacing w:line="400" w:lineRule="exact"/>
        <w:ind w:firstLine="0" w:firstLineChars="0"/>
        <w:jc w:val="center"/>
        <w:rPr>
          <w:rFonts w:hint="eastAsia" w:ascii="仿宋" w:hAnsi="仿宋" w:eastAsia="仿宋" w:cs="仿宋"/>
          <w:b/>
          <w:bCs/>
          <w:sz w:val="32"/>
          <w:szCs w:val="24"/>
        </w:rPr>
        <w:sectPr>
          <w:headerReference r:id="rId7" w:type="first"/>
          <w:footerReference r:id="rId10" w:type="first"/>
          <w:footerReference r:id="rId8" w:type="default"/>
          <w:headerReference r:id="rId6" w:type="even"/>
          <w:footerReference r:id="rId9" w:type="even"/>
          <w:pgSz w:w="11906" w:h="16838"/>
          <w:pgMar w:top="1440" w:right="1800" w:bottom="1276" w:left="1800" w:header="851" w:footer="992" w:gutter="0"/>
          <w:pgNumType w:start="1"/>
          <w:cols w:space="720" w:num="1"/>
          <w:docGrid w:type="lines" w:linePitch="312" w:charSpace="0"/>
        </w:sectPr>
      </w:pPr>
    </w:p>
    <w:p>
      <w:pPr>
        <w:spacing w:line="400" w:lineRule="exact"/>
        <w:ind w:firstLine="0" w:firstLineChars="0"/>
        <w:jc w:val="center"/>
        <w:rPr>
          <w:rFonts w:hint="eastAsia" w:ascii="仿宋" w:hAnsi="仿宋" w:eastAsia="仿宋" w:cs="仿宋"/>
          <w:b/>
          <w:bCs/>
          <w:sz w:val="32"/>
          <w:szCs w:val="24"/>
        </w:rPr>
      </w:pPr>
      <w:r>
        <w:rPr>
          <w:rFonts w:hint="eastAsia" w:ascii="仿宋" w:hAnsi="仿宋" w:eastAsia="仿宋" w:cs="仿宋"/>
          <w:b/>
          <w:bCs/>
          <w:sz w:val="32"/>
          <w:szCs w:val="24"/>
        </w:rPr>
        <w:t>目   录</w:t>
      </w:r>
      <w:bookmarkEnd w:id="0"/>
      <w:bookmarkEnd w:id="1"/>
    </w:p>
    <w:p>
      <w:pPr>
        <w:pStyle w:val="29"/>
      </w:pPr>
    </w:p>
    <w:p>
      <w:pPr>
        <w:pStyle w:val="29"/>
        <w:tabs>
          <w:tab w:val="right" w:leader="dot" w:pos="8306"/>
          <w:tab w:val="clear" w:pos="8296"/>
        </w:tabs>
        <w:ind w:firstLine="0" w:firstLineChars="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TOC \o "1-3" \h \z \u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_Toc30032 </w:instrText>
      </w:r>
      <w:r>
        <w:rPr>
          <w:rFonts w:hint="eastAsia" w:ascii="仿宋" w:hAnsi="仿宋" w:eastAsia="仿宋" w:cs="仿宋"/>
          <w:sz w:val="24"/>
          <w:szCs w:val="24"/>
        </w:rPr>
        <w:fldChar w:fldCharType="separate"/>
      </w:r>
      <w:r>
        <w:rPr>
          <w:rFonts w:hint="eastAsia" w:ascii="仿宋" w:hAnsi="仿宋" w:eastAsia="仿宋" w:cs="仿宋"/>
          <w:sz w:val="24"/>
          <w:szCs w:val="24"/>
        </w:rPr>
        <w:t>第一章  招标公告</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_Toc30032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firstLine="0" w:firstLineChars="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_Toc1001 </w:instrText>
      </w:r>
      <w:r>
        <w:rPr>
          <w:rFonts w:hint="eastAsia" w:ascii="仿宋" w:hAnsi="仿宋" w:eastAsia="仿宋" w:cs="仿宋"/>
          <w:sz w:val="24"/>
          <w:szCs w:val="24"/>
        </w:rPr>
        <w:fldChar w:fldCharType="separate"/>
      </w:r>
      <w:r>
        <w:rPr>
          <w:rFonts w:hint="eastAsia" w:ascii="仿宋" w:hAnsi="仿宋" w:eastAsia="仿宋" w:cs="仿宋"/>
          <w:sz w:val="24"/>
          <w:szCs w:val="24"/>
        </w:rPr>
        <w:t>第二章 投标人须知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_Toc1001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left="0" w:leftChars="0" w:firstLine="420" w:firstLineChars="175"/>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_Toc29650 </w:instrText>
      </w:r>
      <w:r>
        <w:rPr>
          <w:rFonts w:hint="eastAsia" w:ascii="仿宋" w:hAnsi="仿宋" w:eastAsia="仿宋" w:cs="仿宋"/>
          <w:sz w:val="24"/>
          <w:szCs w:val="24"/>
        </w:rPr>
        <w:fldChar w:fldCharType="separate"/>
      </w:r>
      <w:r>
        <w:rPr>
          <w:rFonts w:hint="eastAsia" w:ascii="仿宋" w:hAnsi="仿宋" w:eastAsia="仿宋" w:cs="仿宋"/>
          <w:sz w:val="24"/>
          <w:szCs w:val="24"/>
        </w:rPr>
        <w:t>投标人须知前附表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_Toc29650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left="0" w:leftChars="0" w:firstLine="420" w:firstLineChars="175"/>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_Toc19174 </w:instrText>
      </w:r>
      <w:r>
        <w:rPr>
          <w:rFonts w:hint="eastAsia" w:ascii="仿宋" w:hAnsi="仿宋" w:eastAsia="仿宋" w:cs="仿宋"/>
          <w:sz w:val="24"/>
          <w:szCs w:val="24"/>
        </w:rPr>
        <w:fldChar w:fldCharType="separate"/>
      </w:r>
      <w:r>
        <w:rPr>
          <w:rFonts w:hint="eastAsia" w:ascii="仿宋" w:hAnsi="仿宋" w:eastAsia="仿宋" w:cs="仿宋"/>
          <w:sz w:val="24"/>
          <w:szCs w:val="24"/>
        </w:rPr>
        <w:t>1、总则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_Toc19174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left="0" w:leftChars="0" w:firstLine="420" w:firstLineChars="175"/>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_Toc23466 </w:instrText>
      </w:r>
      <w:r>
        <w:rPr>
          <w:rFonts w:hint="eastAsia" w:ascii="仿宋" w:hAnsi="仿宋" w:eastAsia="仿宋" w:cs="仿宋"/>
          <w:sz w:val="24"/>
          <w:szCs w:val="24"/>
        </w:rPr>
        <w:fldChar w:fldCharType="separate"/>
      </w:r>
      <w:r>
        <w:rPr>
          <w:rFonts w:hint="eastAsia" w:ascii="仿宋" w:hAnsi="仿宋" w:eastAsia="仿宋" w:cs="仿宋"/>
          <w:sz w:val="24"/>
          <w:szCs w:val="24"/>
        </w:rPr>
        <w:t>2、招标文件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_Toc23466 \h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left="0" w:leftChars="0" w:firstLine="420" w:firstLineChars="175"/>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_Toc16841 </w:instrText>
      </w:r>
      <w:r>
        <w:rPr>
          <w:rFonts w:hint="eastAsia" w:ascii="仿宋" w:hAnsi="仿宋" w:eastAsia="仿宋" w:cs="仿宋"/>
          <w:sz w:val="24"/>
          <w:szCs w:val="24"/>
        </w:rPr>
        <w:fldChar w:fldCharType="separate"/>
      </w:r>
      <w:r>
        <w:rPr>
          <w:rFonts w:hint="eastAsia" w:ascii="仿宋" w:hAnsi="仿宋" w:eastAsia="仿宋" w:cs="仿宋"/>
          <w:sz w:val="24"/>
          <w:szCs w:val="24"/>
        </w:rPr>
        <w:t>3、投标文件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_Toc16841 \h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left="0" w:leftChars="0" w:firstLine="420" w:firstLineChars="175"/>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_Toc32237 </w:instrText>
      </w:r>
      <w:r>
        <w:rPr>
          <w:rFonts w:hint="eastAsia" w:ascii="仿宋" w:hAnsi="仿宋" w:eastAsia="仿宋" w:cs="仿宋"/>
          <w:sz w:val="24"/>
          <w:szCs w:val="24"/>
        </w:rPr>
        <w:fldChar w:fldCharType="separate"/>
      </w:r>
      <w:r>
        <w:rPr>
          <w:rFonts w:hint="eastAsia" w:ascii="仿宋" w:hAnsi="仿宋" w:eastAsia="仿宋" w:cs="仿宋"/>
          <w:sz w:val="24"/>
          <w:szCs w:val="24"/>
        </w:rPr>
        <w:t>4、投标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_Toc32237 \h </w:instrText>
      </w:r>
      <w:r>
        <w:rPr>
          <w:rFonts w:hint="eastAsia" w:ascii="仿宋" w:hAnsi="仿宋" w:eastAsia="仿宋" w:cs="仿宋"/>
          <w:sz w:val="24"/>
          <w:szCs w:val="24"/>
        </w:rPr>
        <w:fldChar w:fldCharType="separate"/>
      </w:r>
      <w:r>
        <w:rPr>
          <w:rFonts w:hint="eastAsia" w:ascii="仿宋" w:hAnsi="仿宋" w:eastAsia="仿宋" w:cs="仿宋"/>
          <w:sz w:val="24"/>
          <w:szCs w:val="24"/>
        </w:rPr>
        <w:t>30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left="0" w:leftChars="0" w:firstLine="420" w:firstLineChars="175"/>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_Toc5937 </w:instrText>
      </w:r>
      <w:r>
        <w:rPr>
          <w:rFonts w:hint="eastAsia" w:ascii="仿宋" w:hAnsi="仿宋" w:eastAsia="仿宋" w:cs="仿宋"/>
          <w:sz w:val="24"/>
          <w:szCs w:val="24"/>
        </w:rPr>
        <w:fldChar w:fldCharType="separate"/>
      </w:r>
      <w:r>
        <w:rPr>
          <w:rFonts w:hint="eastAsia" w:ascii="仿宋" w:hAnsi="仿宋" w:eastAsia="仿宋" w:cs="仿宋"/>
          <w:sz w:val="24"/>
          <w:szCs w:val="24"/>
        </w:rPr>
        <w:t>5、开标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_Toc5937 \h </w:instrText>
      </w:r>
      <w:r>
        <w:rPr>
          <w:rFonts w:hint="eastAsia" w:ascii="仿宋" w:hAnsi="仿宋" w:eastAsia="仿宋" w:cs="仿宋"/>
          <w:sz w:val="24"/>
          <w:szCs w:val="24"/>
        </w:rPr>
        <w:fldChar w:fldCharType="separate"/>
      </w:r>
      <w:r>
        <w:rPr>
          <w:rFonts w:hint="eastAsia" w:ascii="仿宋" w:hAnsi="仿宋" w:eastAsia="仿宋" w:cs="仿宋"/>
          <w:sz w:val="24"/>
          <w:szCs w:val="24"/>
        </w:rPr>
        <w:t>30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left="0" w:leftChars="0" w:firstLine="420" w:firstLineChars="175"/>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_Toc8704 </w:instrText>
      </w:r>
      <w:r>
        <w:rPr>
          <w:rFonts w:hint="eastAsia" w:ascii="仿宋" w:hAnsi="仿宋" w:eastAsia="仿宋" w:cs="仿宋"/>
          <w:sz w:val="24"/>
          <w:szCs w:val="24"/>
        </w:rPr>
        <w:fldChar w:fldCharType="separate"/>
      </w:r>
      <w:r>
        <w:rPr>
          <w:rFonts w:hint="eastAsia" w:ascii="仿宋" w:hAnsi="仿宋" w:eastAsia="仿宋" w:cs="仿宋"/>
          <w:sz w:val="24"/>
          <w:szCs w:val="24"/>
        </w:rPr>
        <w:t>6、评标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_Toc8704 \h </w:instrText>
      </w:r>
      <w:r>
        <w:rPr>
          <w:rFonts w:hint="eastAsia" w:ascii="仿宋" w:hAnsi="仿宋" w:eastAsia="仿宋" w:cs="仿宋"/>
          <w:sz w:val="24"/>
          <w:szCs w:val="24"/>
        </w:rPr>
        <w:fldChar w:fldCharType="separate"/>
      </w:r>
      <w:r>
        <w:rPr>
          <w:rFonts w:hint="eastAsia" w:ascii="仿宋" w:hAnsi="仿宋" w:eastAsia="仿宋" w:cs="仿宋"/>
          <w:sz w:val="24"/>
          <w:szCs w:val="24"/>
        </w:rPr>
        <w:t>31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left="0" w:leftChars="0" w:firstLine="420" w:firstLineChars="175"/>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_Toc17902 </w:instrText>
      </w:r>
      <w:r>
        <w:rPr>
          <w:rFonts w:hint="eastAsia" w:ascii="仿宋" w:hAnsi="仿宋" w:eastAsia="仿宋" w:cs="仿宋"/>
          <w:sz w:val="24"/>
          <w:szCs w:val="24"/>
        </w:rPr>
        <w:fldChar w:fldCharType="separate"/>
      </w:r>
      <w:r>
        <w:rPr>
          <w:rFonts w:hint="eastAsia" w:ascii="仿宋" w:hAnsi="仿宋" w:eastAsia="仿宋" w:cs="仿宋"/>
          <w:sz w:val="24"/>
          <w:szCs w:val="24"/>
        </w:rPr>
        <w:t>7、合同授予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_Toc17902 \h </w:instrText>
      </w:r>
      <w:r>
        <w:rPr>
          <w:rFonts w:hint="eastAsia" w:ascii="仿宋" w:hAnsi="仿宋" w:eastAsia="仿宋" w:cs="仿宋"/>
          <w:sz w:val="24"/>
          <w:szCs w:val="24"/>
        </w:rPr>
        <w:fldChar w:fldCharType="separate"/>
      </w:r>
      <w:r>
        <w:rPr>
          <w:rFonts w:hint="eastAsia" w:ascii="仿宋" w:hAnsi="仿宋" w:eastAsia="仿宋" w:cs="仿宋"/>
          <w:sz w:val="24"/>
          <w:szCs w:val="24"/>
        </w:rPr>
        <w:t>33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left="0" w:leftChars="0" w:firstLine="420" w:firstLineChars="175"/>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_Toc28682 </w:instrText>
      </w:r>
      <w:r>
        <w:rPr>
          <w:rFonts w:hint="eastAsia" w:ascii="仿宋" w:hAnsi="仿宋" w:eastAsia="仿宋" w:cs="仿宋"/>
          <w:sz w:val="24"/>
          <w:szCs w:val="24"/>
        </w:rPr>
        <w:fldChar w:fldCharType="separate"/>
      </w:r>
      <w:r>
        <w:rPr>
          <w:rFonts w:hint="eastAsia" w:ascii="仿宋" w:hAnsi="仿宋" w:eastAsia="仿宋" w:cs="仿宋"/>
          <w:sz w:val="24"/>
          <w:szCs w:val="24"/>
        </w:rPr>
        <w:t>8、重新招标和不再招标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_Toc28682 \h </w:instrText>
      </w:r>
      <w:r>
        <w:rPr>
          <w:rFonts w:hint="eastAsia" w:ascii="仿宋" w:hAnsi="仿宋" w:eastAsia="仿宋" w:cs="仿宋"/>
          <w:sz w:val="24"/>
          <w:szCs w:val="24"/>
        </w:rPr>
        <w:fldChar w:fldCharType="separate"/>
      </w:r>
      <w:r>
        <w:rPr>
          <w:rFonts w:hint="eastAsia" w:ascii="仿宋" w:hAnsi="仿宋" w:eastAsia="仿宋" w:cs="仿宋"/>
          <w:sz w:val="24"/>
          <w:szCs w:val="24"/>
        </w:rPr>
        <w:t>34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left="0" w:leftChars="0" w:firstLine="420" w:firstLineChars="175"/>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_Toc31460 </w:instrText>
      </w:r>
      <w:r>
        <w:rPr>
          <w:rFonts w:hint="eastAsia" w:ascii="仿宋" w:hAnsi="仿宋" w:eastAsia="仿宋" w:cs="仿宋"/>
          <w:sz w:val="24"/>
          <w:szCs w:val="24"/>
        </w:rPr>
        <w:fldChar w:fldCharType="separate"/>
      </w:r>
      <w:r>
        <w:rPr>
          <w:rFonts w:hint="eastAsia" w:ascii="仿宋" w:hAnsi="仿宋" w:eastAsia="仿宋" w:cs="仿宋"/>
          <w:sz w:val="24"/>
          <w:szCs w:val="24"/>
        </w:rPr>
        <w:t>9、纪律和监督</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_Toc31460 \h </w:instrText>
      </w:r>
      <w:r>
        <w:rPr>
          <w:rFonts w:hint="eastAsia" w:ascii="仿宋" w:hAnsi="仿宋" w:eastAsia="仿宋" w:cs="仿宋"/>
          <w:sz w:val="24"/>
          <w:szCs w:val="24"/>
        </w:rPr>
        <w:fldChar w:fldCharType="separate"/>
      </w:r>
      <w:r>
        <w:rPr>
          <w:rFonts w:hint="eastAsia" w:ascii="仿宋" w:hAnsi="仿宋" w:eastAsia="仿宋" w:cs="仿宋"/>
          <w:sz w:val="24"/>
          <w:szCs w:val="24"/>
        </w:rPr>
        <w:t>34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left="0" w:leftChars="0" w:firstLine="420" w:firstLineChars="175"/>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_Toc25139 </w:instrText>
      </w:r>
      <w:r>
        <w:rPr>
          <w:rFonts w:hint="eastAsia" w:ascii="仿宋" w:hAnsi="仿宋" w:eastAsia="仿宋" w:cs="仿宋"/>
          <w:sz w:val="24"/>
          <w:szCs w:val="24"/>
        </w:rPr>
        <w:fldChar w:fldCharType="separate"/>
      </w:r>
      <w:r>
        <w:rPr>
          <w:rFonts w:hint="eastAsia" w:ascii="仿宋" w:hAnsi="仿宋" w:eastAsia="仿宋" w:cs="仿宋"/>
          <w:sz w:val="24"/>
          <w:szCs w:val="24"/>
        </w:rPr>
        <w:t>10、需要补充的其他内容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_Toc25139 \h </w:instrText>
      </w:r>
      <w:r>
        <w:rPr>
          <w:rFonts w:hint="eastAsia" w:ascii="仿宋" w:hAnsi="仿宋" w:eastAsia="仿宋" w:cs="仿宋"/>
          <w:sz w:val="24"/>
          <w:szCs w:val="24"/>
        </w:rPr>
        <w:fldChar w:fldCharType="separate"/>
      </w:r>
      <w:r>
        <w:rPr>
          <w:rFonts w:hint="eastAsia" w:ascii="仿宋" w:hAnsi="仿宋" w:eastAsia="仿宋" w:cs="仿宋"/>
          <w:sz w:val="24"/>
          <w:szCs w:val="24"/>
        </w:rPr>
        <w:t>35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firstLine="0" w:firstLineChars="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_Toc4546 </w:instrText>
      </w:r>
      <w:r>
        <w:rPr>
          <w:rFonts w:hint="eastAsia" w:ascii="仿宋" w:hAnsi="仿宋" w:eastAsia="仿宋" w:cs="仿宋"/>
          <w:sz w:val="24"/>
          <w:szCs w:val="24"/>
        </w:rPr>
        <w:fldChar w:fldCharType="separate"/>
      </w:r>
      <w:r>
        <w:rPr>
          <w:rFonts w:hint="eastAsia" w:ascii="仿宋" w:hAnsi="仿宋" w:eastAsia="仿宋" w:cs="仿宋"/>
          <w:sz w:val="24"/>
          <w:szCs w:val="24"/>
        </w:rPr>
        <w:t>第三章 评标办法（定量评审）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_Toc4546 \h </w:instrText>
      </w:r>
      <w:r>
        <w:rPr>
          <w:rFonts w:hint="eastAsia" w:ascii="仿宋" w:hAnsi="仿宋" w:eastAsia="仿宋" w:cs="仿宋"/>
          <w:sz w:val="24"/>
          <w:szCs w:val="24"/>
        </w:rPr>
        <w:fldChar w:fldCharType="separate"/>
      </w:r>
      <w:r>
        <w:rPr>
          <w:rFonts w:hint="eastAsia" w:ascii="仿宋" w:hAnsi="仿宋" w:eastAsia="仿宋" w:cs="仿宋"/>
          <w:sz w:val="24"/>
          <w:szCs w:val="24"/>
        </w:rPr>
        <w:t>37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firstLine="0" w:firstLineChars="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_Toc27336 </w:instrText>
      </w:r>
      <w:r>
        <w:rPr>
          <w:rFonts w:hint="eastAsia" w:ascii="仿宋" w:hAnsi="仿宋" w:eastAsia="仿宋" w:cs="仿宋"/>
          <w:sz w:val="24"/>
          <w:szCs w:val="24"/>
        </w:rPr>
        <w:fldChar w:fldCharType="separate"/>
      </w:r>
      <w:r>
        <w:rPr>
          <w:rFonts w:hint="eastAsia" w:ascii="仿宋" w:hAnsi="仿宋" w:eastAsia="仿宋" w:cs="仿宋"/>
          <w:sz w:val="24"/>
          <w:szCs w:val="24"/>
        </w:rPr>
        <w:t>第四章 合同条款及格式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_Toc27336 \h </w:instrText>
      </w:r>
      <w:r>
        <w:rPr>
          <w:rFonts w:hint="eastAsia" w:ascii="仿宋" w:hAnsi="仿宋" w:eastAsia="仿宋" w:cs="仿宋"/>
          <w:sz w:val="24"/>
          <w:szCs w:val="24"/>
        </w:rPr>
        <w:fldChar w:fldCharType="separate"/>
      </w:r>
      <w:r>
        <w:rPr>
          <w:rFonts w:hint="eastAsia" w:ascii="仿宋" w:hAnsi="仿宋" w:eastAsia="仿宋" w:cs="仿宋"/>
          <w:sz w:val="24"/>
          <w:szCs w:val="24"/>
        </w:rPr>
        <w:t>60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firstLine="0" w:firstLineChars="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_Toc2926 </w:instrText>
      </w:r>
      <w:r>
        <w:rPr>
          <w:rFonts w:hint="eastAsia" w:ascii="仿宋" w:hAnsi="仿宋" w:eastAsia="仿宋" w:cs="仿宋"/>
          <w:sz w:val="24"/>
          <w:szCs w:val="24"/>
        </w:rPr>
        <w:fldChar w:fldCharType="separate"/>
      </w:r>
      <w:r>
        <w:rPr>
          <w:rFonts w:hint="eastAsia" w:ascii="仿宋" w:hAnsi="仿宋" w:eastAsia="仿宋" w:cs="仿宋"/>
          <w:sz w:val="24"/>
          <w:szCs w:val="24"/>
        </w:rPr>
        <w:t>第五章  工程量清单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_Toc2926 \h </w:instrText>
      </w:r>
      <w:r>
        <w:rPr>
          <w:rFonts w:hint="eastAsia" w:ascii="仿宋" w:hAnsi="仿宋" w:eastAsia="仿宋" w:cs="仿宋"/>
          <w:sz w:val="24"/>
          <w:szCs w:val="24"/>
        </w:rPr>
        <w:fldChar w:fldCharType="separate"/>
      </w:r>
      <w:r>
        <w:rPr>
          <w:rFonts w:hint="eastAsia" w:ascii="仿宋" w:hAnsi="仿宋" w:eastAsia="仿宋" w:cs="仿宋"/>
          <w:sz w:val="24"/>
          <w:szCs w:val="24"/>
        </w:rPr>
        <w:t>62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firstLine="0" w:firstLineChars="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_Toc16347 </w:instrText>
      </w:r>
      <w:r>
        <w:rPr>
          <w:rFonts w:hint="eastAsia" w:ascii="仿宋" w:hAnsi="仿宋" w:eastAsia="仿宋" w:cs="仿宋"/>
          <w:sz w:val="24"/>
          <w:szCs w:val="24"/>
        </w:rPr>
        <w:fldChar w:fldCharType="separate"/>
      </w:r>
      <w:r>
        <w:rPr>
          <w:rFonts w:hint="eastAsia" w:ascii="仿宋" w:hAnsi="仿宋" w:eastAsia="仿宋" w:cs="仿宋"/>
          <w:sz w:val="24"/>
          <w:szCs w:val="24"/>
        </w:rPr>
        <w:t>第六章  图  纸</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_Toc16347 \h </w:instrText>
      </w:r>
      <w:r>
        <w:rPr>
          <w:rFonts w:hint="eastAsia" w:ascii="仿宋" w:hAnsi="仿宋" w:eastAsia="仿宋" w:cs="仿宋"/>
          <w:sz w:val="24"/>
          <w:szCs w:val="24"/>
        </w:rPr>
        <w:fldChar w:fldCharType="separate"/>
      </w:r>
      <w:r>
        <w:rPr>
          <w:rFonts w:hint="eastAsia" w:ascii="仿宋" w:hAnsi="仿宋" w:eastAsia="仿宋" w:cs="仿宋"/>
          <w:sz w:val="24"/>
          <w:szCs w:val="24"/>
        </w:rPr>
        <w:t>90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firstLine="0" w:firstLineChars="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_Toc13956 </w:instrText>
      </w:r>
      <w:r>
        <w:rPr>
          <w:rFonts w:hint="eastAsia" w:ascii="仿宋" w:hAnsi="仿宋" w:eastAsia="仿宋" w:cs="仿宋"/>
          <w:sz w:val="24"/>
          <w:szCs w:val="24"/>
        </w:rPr>
        <w:fldChar w:fldCharType="separate"/>
      </w:r>
      <w:r>
        <w:rPr>
          <w:rFonts w:hint="eastAsia" w:ascii="仿宋" w:hAnsi="仿宋" w:eastAsia="仿宋" w:cs="仿宋"/>
          <w:sz w:val="24"/>
          <w:szCs w:val="24"/>
        </w:rPr>
        <w:t>第七章  技术标准和要求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_Toc13956 \h </w:instrText>
      </w:r>
      <w:r>
        <w:rPr>
          <w:rFonts w:hint="eastAsia" w:ascii="仿宋" w:hAnsi="仿宋" w:eastAsia="仿宋" w:cs="仿宋"/>
          <w:sz w:val="24"/>
          <w:szCs w:val="24"/>
        </w:rPr>
        <w:fldChar w:fldCharType="separate"/>
      </w:r>
      <w:r>
        <w:rPr>
          <w:rFonts w:hint="eastAsia" w:ascii="仿宋" w:hAnsi="仿宋" w:eastAsia="仿宋" w:cs="仿宋"/>
          <w:sz w:val="24"/>
          <w:szCs w:val="24"/>
        </w:rPr>
        <w:t>91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firstLine="0" w:firstLineChars="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_Toc2795 </w:instrText>
      </w:r>
      <w:r>
        <w:rPr>
          <w:rFonts w:hint="eastAsia" w:ascii="仿宋" w:hAnsi="仿宋" w:eastAsia="仿宋" w:cs="仿宋"/>
          <w:sz w:val="24"/>
          <w:szCs w:val="24"/>
        </w:rPr>
        <w:fldChar w:fldCharType="separate"/>
      </w:r>
      <w:r>
        <w:rPr>
          <w:rFonts w:hint="eastAsia" w:ascii="仿宋" w:hAnsi="仿宋" w:eastAsia="仿宋" w:cs="仿宋"/>
          <w:sz w:val="24"/>
          <w:szCs w:val="24"/>
        </w:rPr>
        <w:t>第八章  投标文件格式</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_Toc2795 \h </w:instrText>
      </w:r>
      <w:r>
        <w:rPr>
          <w:rFonts w:hint="eastAsia" w:ascii="仿宋" w:hAnsi="仿宋" w:eastAsia="仿宋" w:cs="仿宋"/>
          <w:sz w:val="24"/>
          <w:szCs w:val="24"/>
        </w:rPr>
        <w:fldChar w:fldCharType="separate"/>
      </w:r>
      <w:r>
        <w:rPr>
          <w:rFonts w:hint="eastAsia" w:ascii="仿宋" w:hAnsi="仿宋" w:eastAsia="仿宋" w:cs="仿宋"/>
          <w:sz w:val="24"/>
          <w:szCs w:val="24"/>
        </w:rPr>
        <w:t>92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29"/>
        <w:tabs>
          <w:tab w:val="right" w:leader="dot" w:pos="8306"/>
          <w:tab w:val="clear" w:pos="8296"/>
        </w:tabs>
        <w:ind w:firstLine="0" w:firstLineChars="0"/>
        <w:rPr>
          <w:rFonts w:hint="eastAsia" w:ascii="仿宋" w:hAnsi="仿宋" w:eastAsia="仿宋" w:cs="仿宋"/>
          <w:sz w:val="24"/>
          <w:szCs w:val="24"/>
        </w:rPr>
        <w:sectPr>
          <w:pgSz w:w="11906" w:h="16838"/>
          <w:pgMar w:top="1440" w:right="1800" w:bottom="1276" w:left="1800" w:header="851" w:footer="992" w:gutter="0"/>
          <w:pgNumType w:start="1"/>
          <w:cols w:space="720" w:num="1"/>
          <w:docGrid w:type="lines" w:linePitch="312" w:charSpace="0"/>
        </w:sectPr>
      </w:pPr>
      <w:r>
        <w:rPr>
          <w:rFonts w:hint="eastAsia" w:ascii="仿宋" w:hAnsi="仿宋" w:eastAsia="仿宋" w:cs="仿宋"/>
          <w:sz w:val="24"/>
          <w:szCs w:val="24"/>
        </w:rPr>
        <w:fldChar w:fldCharType="end"/>
      </w:r>
    </w:p>
    <w:p>
      <w:pPr>
        <w:pStyle w:val="2"/>
        <w:pageBreakBefore w:val="0"/>
        <w:widowControl w:val="0"/>
        <w:kinsoku/>
        <w:wordWrap/>
        <w:overflowPunct/>
        <w:topLinePunct w:val="0"/>
        <w:autoSpaceDE/>
        <w:autoSpaceDN/>
        <w:bidi w:val="0"/>
        <w:adjustRightInd/>
        <w:snapToGrid/>
        <w:spacing w:line="440" w:lineRule="exact"/>
        <w:ind w:firstLine="972"/>
        <w:jc w:val="center"/>
        <w:textAlignment w:val="auto"/>
      </w:pPr>
      <w:bookmarkStart w:id="2" w:name="_Toc152045511"/>
      <w:bookmarkStart w:id="3" w:name="_Toc144974479"/>
      <w:bookmarkStart w:id="4" w:name="_Toc30032"/>
      <w:bookmarkStart w:id="5" w:name="_Toc152042287"/>
      <w:r>
        <w:rPr>
          <w:rFonts w:hint="eastAsia" w:ascii="仿宋" w:hAnsi="仿宋" w:eastAsia="仿宋" w:cs="仿宋"/>
          <w:b/>
          <w:bCs w:val="0"/>
          <w:sz w:val="32"/>
          <w:szCs w:val="32"/>
        </w:rPr>
        <w:t>第一章  招标公告</w:t>
      </w:r>
      <w:bookmarkEnd w:id="2"/>
      <w:bookmarkEnd w:id="3"/>
      <w:bookmarkEnd w:id="4"/>
      <w:bookmarkEnd w:id="5"/>
      <w:bookmarkStart w:id="6" w:name="_Hlk13584322"/>
    </w:p>
    <w:bookmarkEnd w:id="6"/>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both"/>
        <w:textAlignment w:val="auto"/>
        <w:rPr>
          <w:rFonts w:hint="eastAsia" w:ascii="仿宋" w:hAnsi="仿宋" w:eastAsia="仿宋" w:cs="仿宋"/>
          <w:b/>
          <w:bCs w:val="0"/>
          <w:kern w:val="2"/>
          <w:sz w:val="21"/>
          <w:szCs w:val="21"/>
          <w:lang w:val="en-US" w:eastAsia="zh-CN" w:bidi="ar"/>
        </w:rPr>
      </w:pPr>
      <w:bookmarkStart w:id="7" w:name="_Toc144974495"/>
      <w:bookmarkStart w:id="8" w:name="_Toc152045527"/>
      <w:bookmarkStart w:id="9" w:name="_Toc152042303"/>
      <w:r>
        <w:rPr>
          <w:rFonts w:hint="eastAsia" w:ascii="仿宋" w:hAnsi="仿宋" w:eastAsia="仿宋" w:cs="仿宋"/>
          <w:b/>
          <w:bCs w:val="0"/>
          <w:kern w:val="2"/>
          <w:sz w:val="21"/>
          <w:szCs w:val="21"/>
          <w:lang w:val="en-US" w:eastAsia="zh-CN" w:bidi="ar"/>
        </w:rPr>
        <w:t>一、招标条件</w:t>
      </w:r>
    </w:p>
    <w:p>
      <w:pPr>
        <w:keepNext w:val="0"/>
        <w:keepLines w:val="0"/>
        <w:pageBreakBefore w:val="0"/>
        <w:kinsoku/>
        <w:wordWrap/>
        <w:overflowPunct/>
        <w:topLinePunct w:val="0"/>
        <w:bidi w:val="0"/>
        <w:adjustRightInd/>
        <w:snapToGrid/>
        <w:spacing w:line="440" w:lineRule="exact"/>
        <w:textAlignment w:val="auto"/>
      </w:pPr>
      <w:r>
        <w:rPr>
          <w:rFonts w:hint="eastAsia"/>
          <w:lang w:bidi="ar"/>
        </w:rPr>
        <w:t>本招标项目洛阳市文物局汉魏洛阳城遗址博物馆空调工程项目已由相关部门批准，项目业主为洛阳市文物局，建设资金来自市财政资金，出资比例为100%，招标代理机构为河南远桥工程管理咨询有限公司，项目已具备招标条件，现对本项目进行公开招标。</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0" w:firstLineChars="0"/>
        <w:jc w:val="both"/>
        <w:textAlignment w:val="auto"/>
        <w:rPr>
          <w:rFonts w:hint="eastAsia" w:ascii="仿宋" w:hAnsi="仿宋" w:eastAsia="仿宋" w:cs="仿宋"/>
          <w:b/>
          <w:bCs w:val="0"/>
          <w:kern w:val="2"/>
          <w:sz w:val="21"/>
          <w:szCs w:val="21"/>
          <w:lang w:val="en-US" w:eastAsia="zh-CN" w:bidi="ar"/>
        </w:rPr>
      </w:pPr>
      <w:r>
        <w:rPr>
          <w:rFonts w:hint="eastAsia" w:ascii="仿宋" w:hAnsi="仿宋" w:eastAsia="仿宋" w:cs="仿宋"/>
          <w:b/>
          <w:bCs w:val="0"/>
          <w:kern w:val="2"/>
          <w:sz w:val="21"/>
          <w:szCs w:val="21"/>
          <w:lang w:val="en-US" w:eastAsia="zh-CN" w:bidi="ar"/>
        </w:rPr>
        <w:t>二、项目概况与招标范围</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1、项目名称：洛阳市文物局汉魏洛阳城遗址博物馆空调工程项目</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default" w:ascii="仿宋" w:hAnsi="仿宋" w:eastAsia="仿宋" w:cs="仿宋"/>
          <w:kern w:val="2"/>
          <w:sz w:val="21"/>
          <w:szCs w:val="21"/>
          <w:lang w:val="en-US" w:eastAsia="zh-CN" w:bidi="ar"/>
        </w:rPr>
      </w:pPr>
      <w:r>
        <w:rPr>
          <w:rFonts w:hint="eastAsia" w:cs="仿宋"/>
          <w:kern w:val="2"/>
          <w:sz w:val="21"/>
          <w:szCs w:val="21"/>
          <w:lang w:val="en-US" w:eastAsia="zh-CN" w:bidi="ar"/>
        </w:rPr>
        <w:t>2、项目代码：2112-410300-04-01-912417</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cs="仿宋"/>
          <w:kern w:val="2"/>
          <w:sz w:val="21"/>
          <w:szCs w:val="21"/>
          <w:lang w:val="en-US" w:eastAsia="zh-CN" w:bidi="ar"/>
        </w:rPr>
        <w:t>3</w:t>
      </w:r>
      <w:r>
        <w:rPr>
          <w:rFonts w:hint="eastAsia" w:ascii="仿宋" w:hAnsi="仿宋" w:eastAsia="仿宋" w:cs="仿宋"/>
          <w:kern w:val="2"/>
          <w:sz w:val="21"/>
          <w:szCs w:val="21"/>
          <w:lang w:val="en-US" w:eastAsia="zh-CN" w:bidi="ar"/>
        </w:rPr>
        <w:t>、招标编号：洛直工施招标(2024)0113号</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财政部门批复编号：洛采公开-2024-36</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cs="仿宋"/>
          <w:kern w:val="2"/>
          <w:sz w:val="21"/>
          <w:szCs w:val="21"/>
          <w:lang w:val="en-US" w:eastAsia="zh-CN" w:bidi="ar"/>
        </w:rPr>
        <w:t>4</w:t>
      </w:r>
      <w:r>
        <w:rPr>
          <w:rFonts w:hint="eastAsia" w:ascii="仿宋" w:hAnsi="仿宋" w:eastAsia="仿宋" w:cs="仿宋"/>
          <w:kern w:val="2"/>
          <w:sz w:val="21"/>
          <w:szCs w:val="21"/>
          <w:lang w:val="en-US" w:eastAsia="zh-CN" w:bidi="ar"/>
        </w:rPr>
        <w:t>、</w:t>
      </w:r>
      <w:bookmarkStart w:id="10" w:name="_Hlk160816206"/>
      <w:r>
        <w:rPr>
          <w:rFonts w:hint="eastAsia" w:ascii="仿宋" w:hAnsi="仿宋" w:eastAsia="仿宋" w:cs="仿宋"/>
          <w:kern w:val="2"/>
          <w:sz w:val="21"/>
          <w:szCs w:val="21"/>
          <w:lang w:val="en-US" w:eastAsia="zh-CN" w:bidi="ar"/>
        </w:rPr>
        <w:t>招标范围</w:t>
      </w:r>
      <w:bookmarkEnd w:id="10"/>
      <w:r>
        <w:rPr>
          <w:rFonts w:hint="eastAsia" w:ascii="仿宋" w:hAnsi="仿宋" w:eastAsia="仿宋" w:cs="仿宋"/>
          <w:kern w:val="2"/>
          <w:sz w:val="21"/>
          <w:szCs w:val="21"/>
          <w:lang w:val="en-US" w:eastAsia="zh-CN" w:bidi="ar"/>
        </w:rPr>
        <w:t>：</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汉魏洛阳城遗址博物馆主馆空调工程、新风及通风工程、厨房排油烟系统等。具体界线划分如下：</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包含空调系统、新风系统、通风系统，非精装区域的风口及配套工程安装，厨房内空调系统、通风系统、排油烟系统按图纸计入本次招标范围。</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精装区域的风口，厨房内厨具、灶具、集烟灶，机房群控系统及一层网络机房恒温恒湿精密空调系统不在本次招标范围。</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cs="仿宋"/>
          <w:kern w:val="2"/>
          <w:sz w:val="21"/>
          <w:szCs w:val="21"/>
          <w:lang w:val="en-US" w:eastAsia="zh-CN" w:bidi="ar"/>
        </w:rPr>
        <w:t>5</w:t>
      </w:r>
      <w:r>
        <w:rPr>
          <w:rFonts w:hint="eastAsia" w:ascii="仿宋" w:hAnsi="仿宋" w:eastAsia="仿宋" w:cs="仿宋"/>
          <w:kern w:val="2"/>
          <w:sz w:val="21"/>
          <w:szCs w:val="21"/>
          <w:lang w:val="en-US" w:eastAsia="zh-CN" w:bidi="ar"/>
        </w:rPr>
        <w:t>、建设地点：洛阳市平乐镇翟泉村南部、洛白路北侧、工业大道东侧</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cs="仿宋"/>
          <w:kern w:val="2"/>
          <w:sz w:val="21"/>
          <w:szCs w:val="21"/>
          <w:lang w:val="en-US" w:eastAsia="zh-CN" w:bidi="ar"/>
        </w:rPr>
        <w:t>6</w:t>
      </w:r>
      <w:r>
        <w:rPr>
          <w:rFonts w:hint="eastAsia" w:ascii="仿宋" w:hAnsi="仿宋" w:eastAsia="仿宋" w:cs="仿宋"/>
          <w:kern w:val="2"/>
          <w:sz w:val="21"/>
          <w:szCs w:val="21"/>
          <w:lang w:val="en-US" w:eastAsia="zh-CN" w:bidi="ar"/>
        </w:rPr>
        <w:t>、资金来源及出资比例：市财政资金，100%。</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cs="仿宋"/>
          <w:kern w:val="2"/>
          <w:sz w:val="21"/>
          <w:szCs w:val="21"/>
          <w:lang w:val="en-US" w:eastAsia="zh-CN" w:bidi="ar"/>
        </w:rPr>
        <w:t>7</w:t>
      </w:r>
      <w:r>
        <w:rPr>
          <w:rFonts w:hint="eastAsia" w:ascii="仿宋" w:hAnsi="仿宋" w:eastAsia="仿宋" w:cs="仿宋"/>
          <w:kern w:val="2"/>
          <w:sz w:val="21"/>
          <w:szCs w:val="21"/>
          <w:lang w:val="en-US" w:eastAsia="zh-CN" w:bidi="ar"/>
        </w:rPr>
        <w:t>、标段划分：本项目共一个标段</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cs="仿宋"/>
          <w:kern w:val="2"/>
          <w:sz w:val="21"/>
          <w:szCs w:val="21"/>
          <w:lang w:val="en-US" w:eastAsia="zh-CN" w:bidi="ar"/>
        </w:rPr>
        <w:t>8</w:t>
      </w:r>
      <w:r>
        <w:rPr>
          <w:rFonts w:hint="eastAsia" w:ascii="仿宋" w:hAnsi="仿宋" w:eastAsia="仿宋" w:cs="仿宋"/>
          <w:kern w:val="2"/>
          <w:sz w:val="21"/>
          <w:szCs w:val="21"/>
          <w:lang w:val="en-US" w:eastAsia="zh-CN" w:bidi="ar"/>
        </w:rPr>
        <w:t>、招标范围：本招标项目施工图纸、答疑及工程量清单范围内的全部内容。</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cs="仿宋"/>
          <w:kern w:val="2"/>
          <w:sz w:val="21"/>
          <w:szCs w:val="21"/>
          <w:lang w:val="en-US" w:eastAsia="zh-CN" w:bidi="ar"/>
        </w:rPr>
        <w:t>9</w:t>
      </w:r>
      <w:r>
        <w:rPr>
          <w:rFonts w:hint="eastAsia" w:ascii="仿宋" w:hAnsi="仿宋" w:eastAsia="仿宋" w:cs="仿宋"/>
          <w:kern w:val="2"/>
          <w:sz w:val="21"/>
          <w:szCs w:val="21"/>
          <w:lang w:val="en-US" w:eastAsia="zh-CN" w:bidi="ar"/>
        </w:rPr>
        <w:t>、计划工期：60日历天</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cs="仿宋"/>
          <w:kern w:val="2"/>
          <w:sz w:val="21"/>
          <w:szCs w:val="21"/>
          <w:lang w:val="en-US" w:eastAsia="zh-CN" w:bidi="ar"/>
        </w:rPr>
        <w:t>10</w:t>
      </w:r>
      <w:r>
        <w:rPr>
          <w:rFonts w:hint="eastAsia" w:ascii="仿宋" w:hAnsi="仿宋" w:eastAsia="仿宋" w:cs="仿宋"/>
          <w:kern w:val="2"/>
          <w:sz w:val="21"/>
          <w:szCs w:val="21"/>
          <w:lang w:val="en-US" w:eastAsia="zh-CN" w:bidi="ar"/>
        </w:rPr>
        <w:t>、质量要求：达到国家质量验收备案标准，争创国家优质工程。</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1</w:t>
      </w:r>
      <w:r>
        <w:rPr>
          <w:rFonts w:hint="eastAsia" w:cs="仿宋"/>
          <w:kern w:val="2"/>
          <w:sz w:val="21"/>
          <w:szCs w:val="21"/>
          <w:lang w:val="en-US" w:eastAsia="zh-CN" w:bidi="ar"/>
        </w:rPr>
        <w:t>1</w:t>
      </w:r>
      <w:r>
        <w:rPr>
          <w:rFonts w:hint="eastAsia" w:ascii="仿宋" w:hAnsi="仿宋" w:eastAsia="仿宋" w:cs="仿宋"/>
          <w:kern w:val="2"/>
          <w:sz w:val="21"/>
          <w:szCs w:val="21"/>
          <w:lang w:val="en-US" w:eastAsia="zh-CN" w:bidi="ar"/>
        </w:rPr>
        <w:t>、安全目标：杜绝重伤、死亡事故。</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1</w:t>
      </w:r>
      <w:r>
        <w:rPr>
          <w:rFonts w:hint="eastAsia" w:cs="仿宋"/>
          <w:kern w:val="2"/>
          <w:sz w:val="21"/>
          <w:szCs w:val="21"/>
          <w:lang w:val="en-US" w:eastAsia="zh-CN" w:bidi="ar"/>
        </w:rPr>
        <w:t>2</w:t>
      </w:r>
      <w:r>
        <w:rPr>
          <w:rFonts w:hint="eastAsia" w:ascii="仿宋" w:hAnsi="仿宋" w:eastAsia="仿宋" w:cs="仿宋"/>
          <w:kern w:val="2"/>
          <w:sz w:val="21"/>
          <w:szCs w:val="21"/>
          <w:lang w:val="en-US" w:eastAsia="zh-CN" w:bidi="ar"/>
        </w:rPr>
        <w:t>、文明工地目标：省级文明工地</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1</w:t>
      </w:r>
      <w:r>
        <w:rPr>
          <w:rFonts w:hint="eastAsia" w:cs="仿宋"/>
          <w:kern w:val="2"/>
          <w:sz w:val="21"/>
          <w:szCs w:val="21"/>
          <w:lang w:val="en-US" w:eastAsia="zh-CN" w:bidi="ar"/>
        </w:rPr>
        <w:t>3</w:t>
      </w:r>
      <w:r>
        <w:rPr>
          <w:rFonts w:hint="eastAsia" w:ascii="仿宋" w:hAnsi="仿宋" w:eastAsia="仿宋" w:cs="仿宋"/>
          <w:kern w:val="2"/>
          <w:sz w:val="21"/>
          <w:szCs w:val="21"/>
          <w:lang w:val="en-US" w:eastAsia="zh-CN" w:bidi="ar"/>
        </w:rPr>
        <w:t>、扬尘治理目标：严格按照国家、省、市扬尘污染防治标准及各项扬尘管控指令，做到达标生产。</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1</w:t>
      </w:r>
      <w:r>
        <w:rPr>
          <w:rFonts w:hint="eastAsia" w:cs="仿宋"/>
          <w:kern w:val="2"/>
          <w:sz w:val="21"/>
          <w:szCs w:val="21"/>
          <w:lang w:val="en-US" w:eastAsia="zh-CN" w:bidi="ar"/>
        </w:rPr>
        <w:t>4</w:t>
      </w:r>
      <w:r>
        <w:rPr>
          <w:rFonts w:hint="eastAsia" w:ascii="仿宋" w:hAnsi="仿宋" w:eastAsia="仿宋" w:cs="仿宋"/>
          <w:kern w:val="2"/>
          <w:sz w:val="21"/>
          <w:szCs w:val="21"/>
          <w:lang w:val="en-US" w:eastAsia="zh-CN" w:bidi="ar"/>
        </w:rPr>
        <w:t>、预算控制金额（最高投标限价）：14445371.19</w:t>
      </w:r>
      <w:r>
        <w:rPr>
          <w:rFonts w:hint="eastAsia" w:ascii="仿宋" w:hAnsi="仿宋" w:eastAsia="仿宋" w:cs="仿宋"/>
          <w:kern w:val="2"/>
          <w:sz w:val="21"/>
          <w:szCs w:val="21"/>
          <w:highlight w:val="none"/>
          <w:lang w:val="en-US" w:eastAsia="zh-CN" w:bidi="ar"/>
        </w:rPr>
        <w:t>元。</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注：预算控制金额（最高投标限价）为招标人设定的最高限价，投标人的投标报价高于（不含等于）预算控制金额（最高投标限价）的，按无效投标处理。</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1</w:t>
      </w:r>
      <w:r>
        <w:rPr>
          <w:rFonts w:hint="eastAsia" w:cs="仿宋"/>
          <w:kern w:val="2"/>
          <w:sz w:val="21"/>
          <w:szCs w:val="21"/>
          <w:lang w:val="en-US" w:eastAsia="zh-CN" w:bidi="ar"/>
        </w:rPr>
        <w:t>5</w:t>
      </w:r>
      <w:r>
        <w:rPr>
          <w:rFonts w:hint="eastAsia" w:ascii="仿宋" w:hAnsi="仿宋" w:eastAsia="仿宋" w:cs="仿宋"/>
          <w:kern w:val="2"/>
          <w:sz w:val="21"/>
          <w:szCs w:val="21"/>
          <w:lang w:val="en-US" w:eastAsia="zh-CN" w:bidi="ar"/>
        </w:rPr>
        <w:t>、资格审查：本项目实行资格后审。</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kern w:val="2"/>
          <w:sz w:val="21"/>
          <w:szCs w:val="21"/>
          <w:lang w:val="en-US" w:eastAsia="zh-CN" w:bidi="ar"/>
        </w:rPr>
      </w:pPr>
      <w:r>
        <w:rPr>
          <w:rFonts w:hint="eastAsia" w:ascii="仿宋" w:hAnsi="仿宋" w:eastAsia="仿宋" w:cs="仿宋"/>
          <w:kern w:val="2"/>
          <w:sz w:val="21"/>
          <w:szCs w:val="21"/>
          <w:lang w:val="en-US" w:eastAsia="zh-CN" w:bidi="ar"/>
        </w:rPr>
        <w:t>1</w:t>
      </w:r>
      <w:r>
        <w:rPr>
          <w:rFonts w:hint="eastAsia" w:cs="仿宋"/>
          <w:kern w:val="2"/>
          <w:sz w:val="21"/>
          <w:szCs w:val="21"/>
          <w:lang w:val="en-US" w:eastAsia="zh-CN" w:bidi="ar"/>
        </w:rPr>
        <w:t>6</w:t>
      </w:r>
      <w:r>
        <w:rPr>
          <w:rFonts w:hint="eastAsia" w:ascii="仿宋" w:hAnsi="仿宋" w:eastAsia="仿宋" w:cs="仿宋"/>
          <w:kern w:val="2"/>
          <w:sz w:val="21"/>
          <w:szCs w:val="21"/>
          <w:lang w:val="en-US" w:eastAsia="zh-CN" w:bidi="ar"/>
        </w:rPr>
        <w:t>、支持中小微（监狱、残疾人福利）企业；执行节约能源、保护环境、扶持不发达地区和少数民族地区、节能环保产品优先采购等政府采购政策。</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422" w:firstLineChars="200"/>
        <w:jc w:val="both"/>
        <w:textAlignment w:val="auto"/>
        <w:rPr>
          <w:rFonts w:hint="eastAsia" w:ascii="仿宋" w:hAnsi="仿宋" w:eastAsia="仿宋" w:cs="仿宋"/>
          <w:b/>
          <w:bCs w:val="0"/>
          <w:color w:val="auto"/>
          <w:kern w:val="2"/>
          <w:sz w:val="21"/>
          <w:szCs w:val="21"/>
          <w:lang w:val="en-US" w:eastAsia="zh-CN" w:bidi="ar"/>
        </w:rPr>
      </w:pPr>
      <w:r>
        <w:rPr>
          <w:rFonts w:hint="eastAsia" w:ascii="仿宋" w:hAnsi="仿宋" w:eastAsia="仿宋" w:cs="仿宋"/>
          <w:b/>
          <w:bCs w:val="0"/>
          <w:color w:val="auto"/>
          <w:kern w:val="2"/>
          <w:sz w:val="21"/>
          <w:szCs w:val="21"/>
          <w:lang w:val="en-US" w:eastAsia="zh-CN" w:bidi="ar"/>
        </w:rPr>
        <w:t>三、投标人资格要求</w:t>
      </w:r>
    </w:p>
    <w:p>
      <w:pPr>
        <w:keepNext w:val="0"/>
        <w:keepLines w:val="0"/>
        <w:pageBreakBefore w:val="0"/>
        <w:kinsoku/>
        <w:wordWrap/>
        <w:overflowPunct/>
        <w:topLinePunct w:val="0"/>
        <w:bidi w:val="0"/>
        <w:adjustRightInd/>
        <w:snapToGrid/>
        <w:spacing w:line="440" w:lineRule="exact"/>
        <w:textAlignment w:val="auto"/>
        <w:rPr>
          <w:rFonts w:hint="eastAsia" w:eastAsia="仿宋"/>
          <w:b/>
          <w:bCs/>
          <w:lang w:val="en-US" w:eastAsia="zh-CN" w:bidi="ar"/>
        </w:rPr>
      </w:pPr>
      <w:r>
        <w:rPr>
          <w:rFonts w:hint="eastAsia"/>
          <w:lang w:bidi="ar"/>
        </w:rPr>
        <w:t>1、投标人须具有独立承担民事行为责任的能力，具有有效的营业执照或有效的事业单位登记证书</w:t>
      </w:r>
      <w:r>
        <w:rPr>
          <w:rFonts w:hint="eastAsia"/>
          <w:b/>
          <w:bCs/>
          <w:lang w:bidi="ar"/>
        </w:rPr>
        <w:t>（须在投标文件中附营业执照或事业单位登记证书原件的扫描件，并加盖投标单位公章）；</w:t>
      </w:r>
      <w:r>
        <w:rPr>
          <w:rFonts w:hint="eastAsia"/>
          <w:b/>
          <w:bCs/>
          <w:lang w:val="en-US" w:eastAsia="zh-CN" w:bidi="ar"/>
        </w:rPr>
        <w:t xml:space="preserve"> </w:t>
      </w:r>
    </w:p>
    <w:p>
      <w:pPr>
        <w:keepNext w:val="0"/>
        <w:keepLines w:val="0"/>
        <w:pageBreakBefore w:val="0"/>
        <w:kinsoku/>
        <w:wordWrap/>
        <w:overflowPunct/>
        <w:topLinePunct w:val="0"/>
        <w:bidi w:val="0"/>
        <w:adjustRightInd/>
        <w:snapToGrid/>
        <w:spacing w:line="440" w:lineRule="exact"/>
        <w:textAlignment w:val="auto"/>
        <w:rPr>
          <w:b/>
          <w:bCs/>
          <w:color w:val="auto"/>
          <w:shd w:val="clear" w:color="auto" w:fill="auto"/>
        </w:rPr>
      </w:pPr>
      <w:r>
        <w:rPr>
          <w:rFonts w:hint="eastAsia"/>
          <w:lang w:bidi="ar"/>
        </w:rPr>
        <w:t>2、投标人须具有建设行政主管部门颁发的有</w:t>
      </w:r>
      <w:r>
        <w:rPr>
          <w:rFonts w:hint="eastAsia"/>
          <w:color w:val="auto"/>
          <w:shd w:val="clear" w:color="auto" w:fill="auto"/>
          <w:lang w:bidi="ar"/>
        </w:rPr>
        <w:t>效的建筑机电安装工程专业承包二级（含）以上资质，并具有有效的安全生产许可证。</w:t>
      </w:r>
      <w:r>
        <w:rPr>
          <w:rFonts w:hint="eastAsia"/>
          <w:b/>
          <w:bCs/>
          <w:color w:val="auto"/>
          <w:shd w:val="clear" w:color="auto" w:fill="auto"/>
          <w:lang w:bidi="ar"/>
        </w:rPr>
        <w:t>（投标文件中须附以上证件原件扫描件，并加盖单位公章）；</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color w:val="auto"/>
          <w:shd w:val="clear" w:color="auto" w:fill="auto"/>
          <w:lang w:bidi="ar"/>
        </w:rPr>
        <w:t>3、投标人拟任项目经理应具有在本单位注册的机电工程专业二级（含）以上注册建造师</w:t>
      </w:r>
      <w:r>
        <w:rPr>
          <w:rFonts w:hint="eastAsia"/>
          <w:lang w:bidi="ar"/>
        </w:rPr>
        <w:t>证（不含临时执业证），具备有效的安全生产考核合格证书，且承诺中标后不得在其他在建项目中担任职务（投标文件中须附以上证件的原件扫描件及无在建承诺书，并加盖单位公章）；</w:t>
      </w:r>
    </w:p>
    <w:p>
      <w:pPr>
        <w:keepNext w:val="0"/>
        <w:keepLines w:val="0"/>
        <w:pageBreakBefore w:val="0"/>
        <w:kinsoku/>
        <w:wordWrap/>
        <w:overflowPunct/>
        <w:topLinePunct w:val="0"/>
        <w:bidi w:val="0"/>
        <w:adjustRightInd/>
        <w:snapToGrid/>
        <w:spacing w:line="440" w:lineRule="exact"/>
        <w:textAlignment w:val="auto"/>
      </w:pPr>
      <w:r>
        <w:rPr>
          <w:rFonts w:hint="eastAsia"/>
          <w:lang w:bidi="ar"/>
        </w:rPr>
        <w:t>4、投标人需提供“信用承诺函”（信用承诺函格式详见招标文件第</w:t>
      </w:r>
      <w:r>
        <w:rPr>
          <w:rFonts w:hint="eastAsia"/>
          <w:lang w:val="en-US" w:eastAsia="zh-CN" w:bidi="ar"/>
        </w:rPr>
        <w:t>八</w:t>
      </w:r>
      <w:r>
        <w:rPr>
          <w:rFonts w:hint="eastAsia"/>
          <w:lang w:bidi="ar"/>
        </w:rPr>
        <w:t>章），招标人有权在签订合同前要求中标人提供相关证明材料以核实中标单位承诺事项的真实性，投标时不再需要提供以下证明材料：</w:t>
      </w:r>
    </w:p>
    <w:p>
      <w:pPr>
        <w:keepNext w:val="0"/>
        <w:keepLines w:val="0"/>
        <w:pageBreakBefore w:val="0"/>
        <w:kinsoku/>
        <w:wordWrap/>
        <w:overflowPunct/>
        <w:topLinePunct w:val="0"/>
        <w:bidi w:val="0"/>
        <w:adjustRightInd/>
        <w:snapToGrid/>
        <w:spacing w:line="440" w:lineRule="exact"/>
        <w:textAlignment w:val="auto"/>
      </w:pPr>
      <w:r>
        <w:rPr>
          <w:rFonts w:hint="eastAsia"/>
          <w:lang w:bidi="ar"/>
        </w:rPr>
        <w:t>（1）符合国家相关规定的财务状况报告；</w:t>
      </w:r>
    </w:p>
    <w:p>
      <w:pPr>
        <w:keepNext w:val="0"/>
        <w:keepLines w:val="0"/>
        <w:pageBreakBefore w:val="0"/>
        <w:kinsoku/>
        <w:wordWrap/>
        <w:overflowPunct/>
        <w:topLinePunct w:val="0"/>
        <w:bidi w:val="0"/>
        <w:adjustRightInd/>
        <w:snapToGrid/>
        <w:spacing w:line="440" w:lineRule="exact"/>
        <w:textAlignment w:val="auto"/>
      </w:pPr>
      <w:r>
        <w:rPr>
          <w:rFonts w:hint="eastAsia"/>
          <w:lang w:bidi="ar"/>
        </w:rPr>
        <w:t xml:space="preserve">（2）依法缴纳税收的证明材料； </w:t>
      </w:r>
    </w:p>
    <w:p>
      <w:pPr>
        <w:keepNext w:val="0"/>
        <w:keepLines w:val="0"/>
        <w:pageBreakBefore w:val="0"/>
        <w:kinsoku/>
        <w:wordWrap/>
        <w:overflowPunct/>
        <w:topLinePunct w:val="0"/>
        <w:bidi w:val="0"/>
        <w:adjustRightInd/>
        <w:snapToGrid/>
        <w:spacing w:line="440" w:lineRule="exact"/>
        <w:textAlignment w:val="auto"/>
      </w:pPr>
      <w:r>
        <w:rPr>
          <w:rFonts w:hint="eastAsia"/>
          <w:lang w:bidi="ar"/>
        </w:rPr>
        <w:t xml:space="preserve">（3）依法缴纳社会保障资金的证明材料； </w:t>
      </w:r>
    </w:p>
    <w:p>
      <w:pPr>
        <w:keepNext w:val="0"/>
        <w:keepLines w:val="0"/>
        <w:pageBreakBefore w:val="0"/>
        <w:kinsoku/>
        <w:wordWrap/>
        <w:overflowPunct/>
        <w:topLinePunct w:val="0"/>
        <w:bidi w:val="0"/>
        <w:adjustRightInd/>
        <w:snapToGrid/>
        <w:spacing w:line="440" w:lineRule="exact"/>
        <w:textAlignment w:val="auto"/>
      </w:pPr>
      <w:r>
        <w:rPr>
          <w:rFonts w:hint="eastAsia"/>
          <w:lang w:bidi="ar"/>
        </w:rPr>
        <w:t xml:space="preserve">（4）具备履行合同所必需的设备和专业技术能力的证明材料； </w:t>
      </w:r>
    </w:p>
    <w:p>
      <w:pPr>
        <w:keepNext w:val="0"/>
        <w:keepLines w:val="0"/>
        <w:pageBreakBefore w:val="0"/>
        <w:kinsoku/>
        <w:wordWrap/>
        <w:overflowPunct/>
        <w:topLinePunct w:val="0"/>
        <w:bidi w:val="0"/>
        <w:adjustRightInd/>
        <w:snapToGrid/>
        <w:spacing w:line="440" w:lineRule="exact"/>
        <w:textAlignment w:val="auto"/>
      </w:pPr>
      <w:r>
        <w:rPr>
          <w:rFonts w:hint="eastAsia"/>
          <w:lang w:bidi="ar"/>
        </w:rPr>
        <w:t xml:space="preserve">（5）参加招标活动前三年内在经营活动中没有重大违法记录的证明材料； </w:t>
      </w:r>
    </w:p>
    <w:p>
      <w:pPr>
        <w:keepNext w:val="0"/>
        <w:keepLines w:val="0"/>
        <w:pageBreakBefore w:val="0"/>
        <w:kinsoku/>
        <w:wordWrap/>
        <w:overflowPunct/>
        <w:topLinePunct w:val="0"/>
        <w:bidi w:val="0"/>
        <w:adjustRightInd/>
        <w:snapToGrid/>
        <w:spacing w:line="440" w:lineRule="exact"/>
        <w:textAlignment w:val="auto"/>
      </w:pPr>
      <w:r>
        <w:rPr>
          <w:rFonts w:hint="eastAsia"/>
          <w:lang w:bidi="ar"/>
        </w:rPr>
        <w:t>（6）未被列入失信被执行人、重大税收违法案件当事人名单、没有招投标严重违法失信行为记录、政府采购严重违法失信行为记录名单的证明材料。</w:t>
      </w:r>
    </w:p>
    <w:p>
      <w:pPr>
        <w:keepNext w:val="0"/>
        <w:keepLines w:val="0"/>
        <w:pageBreakBefore w:val="0"/>
        <w:kinsoku/>
        <w:wordWrap/>
        <w:overflowPunct/>
        <w:topLinePunct w:val="0"/>
        <w:bidi w:val="0"/>
        <w:adjustRightInd/>
        <w:snapToGrid/>
        <w:spacing w:line="440" w:lineRule="exact"/>
        <w:textAlignment w:val="auto"/>
      </w:pPr>
      <w:r>
        <w:rPr>
          <w:rFonts w:hint="eastAsia"/>
          <w:lang w:bidi="ar"/>
        </w:rPr>
        <w:t>5、本次招标不接受联合体投标。</w:t>
      </w:r>
    </w:p>
    <w:p>
      <w:pPr>
        <w:keepNext w:val="0"/>
        <w:keepLines w:val="0"/>
        <w:pageBreakBefore w:val="0"/>
        <w:kinsoku/>
        <w:wordWrap/>
        <w:overflowPunct/>
        <w:topLinePunct w:val="0"/>
        <w:bidi w:val="0"/>
        <w:adjustRightInd/>
        <w:snapToGrid/>
        <w:spacing w:line="440" w:lineRule="exact"/>
        <w:textAlignment w:val="auto"/>
      </w:pPr>
      <w:r>
        <w:rPr>
          <w:rFonts w:hint="eastAsia"/>
          <w:lang w:bidi="ar"/>
        </w:rPr>
        <w:t xml:space="preserve">6、本次招标实行资格后审，资格审查的具体要求见招标文件。 </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0" w:firstLineChars="0"/>
        <w:jc w:val="both"/>
        <w:textAlignment w:val="auto"/>
        <w:rPr>
          <w:rFonts w:hint="eastAsia" w:ascii="仿宋" w:hAnsi="仿宋" w:eastAsia="仿宋" w:cs="仿宋"/>
          <w:b/>
          <w:kern w:val="2"/>
          <w:sz w:val="21"/>
          <w:szCs w:val="21"/>
          <w:lang w:val="en-US" w:eastAsia="zh-CN" w:bidi="ar"/>
        </w:rPr>
      </w:pPr>
      <w:r>
        <w:rPr>
          <w:rFonts w:hint="eastAsia" w:ascii="仿宋" w:hAnsi="仿宋" w:eastAsia="仿宋" w:cs="仿宋"/>
          <w:b/>
          <w:kern w:val="2"/>
          <w:sz w:val="21"/>
          <w:szCs w:val="21"/>
          <w:lang w:val="en-US" w:eastAsia="zh-CN" w:bidi="ar"/>
        </w:rPr>
        <w:t>四、招标文件的领取</w:t>
      </w:r>
    </w:p>
    <w:p>
      <w:pPr>
        <w:pStyle w:val="36"/>
        <w:keepNext w:val="0"/>
        <w:keepLines w:val="0"/>
        <w:pageBreakBefore w:val="0"/>
        <w:widowControl/>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sz w:val="21"/>
          <w:szCs w:val="21"/>
          <w:lang w:val="en-US"/>
        </w:rPr>
      </w:pPr>
      <w:bookmarkStart w:id="11" w:name="_Toc152047197"/>
      <w:bookmarkStart w:id="12" w:name="_Toc179715689"/>
      <w:bookmarkStart w:id="13" w:name="_Toc144974401"/>
      <w:bookmarkStart w:id="14" w:name="_Toc425500906"/>
      <w:bookmarkStart w:id="15" w:name="_Toc425518828"/>
      <w:r>
        <w:rPr>
          <w:rFonts w:hint="eastAsia" w:ascii="仿宋" w:hAnsi="仿宋" w:eastAsia="仿宋" w:cs="仿宋"/>
          <w:sz w:val="21"/>
          <w:szCs w:val="21"/>
          <w:lang w:val="en-US"/>
        </w:rPr>
        <w:t>1</w:t>
      </w:r>
      <w:r>
        <w:rPr>
          <w:rFonts w:hint="eastAsia" w:ascii="仿宋" w:hAnsi="仿宋" w:eastAsia="仿宋" w:cs="仿宋"/>
          <w:sz w:val="21"/>
          <w:szCs w:val="21"/>
          <w:lang w:eastAsia="zh-CN"/>
        </w:rPr>
        <w:t>、本次招标文件在网上获取，请登录洛阳市公共资源交易中心网（</w:t>
      </w:r>
      <w:r>
        <w:rPr>
          <w:rFonts w:hint="eastAsia" w:ascii="仿宋" w:hAnsi="仿宋" w:eastAsia="仿宋" w:cs="仿宋"/>
          <w:sz w:val="21"/>
          <w:szCs w:val="21"/>
          <w:lang w:val="en-US"/>
        </w:rPr>
        <w:t>lyggzyjy.ly.gov.cn</w:t>
      </w:r>
      <w:r>
        <w:rPr>
          <w:rFonts w:hint="eastAsia" w:ascii="仿宋" w:hAnsi="仿宋" w:eastAsia="仿宋" w:cs="仿宋"/>
          <w:sz w:val="21"/>
          <w:szCs w:val="21"/>
          <w:lang w:eastAsia="zh-CN"/>
        </w:rPr>
        <w:t>），点击“交易登录”进入“洛阳市电子招投标交易平台”进行用户注册，并办理</w:t>
      </w:r>
      <w:r>
        <w:rPr>
          <w:rFonts w:hint="eastAsia" w:ascii="仿宋" w:hAnsi="仿宋" w:eastAsia="仿宋" w:cs="仿宋"/>
          <w:sz w:val="21"/>
          <w:szCs w:val="21"/>
          <w:lang w:val="en-US"/>
        </w:rPr>
        <w:t>CA</w:t>
      </w:r>
      <w:r>
        <w:rPr>
          <w:rFonts w:hint="eastAsia" w:ascii="仿宋" w:hAnsi="仿宋" w:eastAsia="仿宋" w:cs="仿宋"/>
          <w:sz w:val="21"/>
          <w:szCs w:val="21"/>
          <w:lang w:eastAsia="zh-CN"/>
        </w:rPr>
        <w:t>数字证书。详见洛阳市公共资源交易中心网站—办事指南—办事流程—主体注册</w:t>
      </w:r>
      <w:r>
        <w:rPr>
          <w:rFonts w:hint="eastAsia" w:ascii="仿宋" w:hAnsi="仿宋" w:eastAsia="仿宋" w:cs="仿宋"/>
          <w:sz w:val="21"/>
          <w:szCs w:val="21"/>
          <w:lang w:val="en-US"/>
        </w:rPr>
        <w:t>CA</w:t>
      </w:r>
      <w:r>
        <w:rPr>
          <w:rFonts w:hint="eastAsia" w:ascii="仿宋" w:hAnsi="仿宋" w:eastAsia="仿宋" w:cs="仿宋"/>
          <w:sz w:val="21"/>
          <w:szCs w:val="21"/>
          <w:lang w:eastAsia="zh-CN"/>
        </w:rPr>
        <w:t>办理。</w:t>
      </w:r>
    </w:p>
    <w:p>
      <w:pPr>
        <w:pStyle w:val="36"/>
        <w:keepNext w:val="0"/>
        <w:keepLines w:val="0"/>
        <w:pageBreakBefore w:val="0"/>
        <w:widowControl/>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sz w:val="21"/>
          <w:szCs w:val="21"/>
          <w:lang w:val="en-US"/>
        </w:rPr>
      </w:pPr>
      <w:r>
        <w:rPr>
          <w:rFonts w:hint="eastAsia" w:ascii="仿宋" w:hAnsi="仿宋" w:eastAsia="仿宋" w:cs="仿宋"/>
          <w:sz w:val="21"/>
          <w:szCs w:val="21"/>
          <w:lang w:val="en-US"/>
        </w:rPr>
        <w:t>2</w:t>
      </w:r>
      <w:r>
        <w:rPr>
          <w:rFonts w:hint="eastAsia" w:ascii="仿宋" w:hAnsi="仿宋" w:eastAsia="仿宋" w:cs="仿宋"/>
          <w:sz w:val="21"/>
          <w:szCs w:val="21"/>
          <w:lang w:eastAsia="zh-CN"/>
        </w:rPr>
        <w:t>、办理数字证书后</w:t>
      </w:r>
      <w:r>
        <w:rPr>
          <w:rFonts w:hint="eastAsia" w:ascii="仿宋" w:hAnsi="仿宋" w:eastAsia="仿宋" w:cs="仿宋"/>
          <w:color w:val="auto"/>
          <w:sz w:val="21"/>
          <w:szCs w:val="21"/>
          <w:highlight w:val="none"/>
          <w:lang w:eastAsia="zh-CN"/>
        </w:rPr>
        <w:t>，请于</w:t>
      </w:r>
      <w:r>
        <w:rPr>
          <w:rFonts w:hint="eastAsia" w:ascii="仿宋" w:hAnsi="仿宋" w:eastAsia="仿宋" w:cs="仿宋"/>
          <w:color w:val="auto"/>
          <w:sz w:val="21"/>
          <w:szCs w:val="21"/>
          <w:highlight w:val="none"/>
          <w:lang w:val="en-US"/>
        </w:rPr>
        <w:t>202</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lang w:eastAsia="zh-CN"/>
        </w:rPr>
        <w:t>年</w:t>
      </w:r>
      <w:r>
        <w:rPr>
          <w:rFonts w:hint="eastAsia" w:ascii="仿宋" w:hAnsi="仿宋" w:cs="仿宋"/>
          <w:color w:val="auto"/>
          <w:sz w:val="21"/>
          <w:szCs w:val="21"/>
          <w:highlight w:val="none"/>
          <w:lang w:val="en-US" w:eastAsia="zh-CN"/>
        </w:rPr>
        <w:t>3</w:t>
      </w:r>
      <w:r>
        <w:rPr>
          <w:rFonts w:hint="eastAsia" w:ascii="仿宋" w:hAnsi="仿宋" w:eastAsia="仿宋" w:cs="仿宋"/>
          <w:color w:val="auto"/>
          <w:sz w:val="21"/>
          <w:szCs w:val="21"/>
          <w:highlight w:val="none"/>
          <w:lang w:eastAsia="zh-CN"/>
        </w:rPr>
        <w:t>月</w:t>
      </w:r>
      <w:r>
        <w:rPr>
          <w:rFonts w:hint="eastAsia" w:ascii="仿宋" w:hAnsi="仿宋" w:cs="仿宋"/>
          <w:color w:val="auto"/>
          <w:sz w:val="21"/>
          <w:szCs w:val="21"/>
          <w:highlight w:val="none"/>
          <w:lang w:val="en-US" w:eastAsia="zh-CN"/>
        </w:rPr>
        <w:t>18</w:t>
      </w:r>
      <w:r>
        <w:rPr>
          <w:rFonts w:hint="eastAsia" w:ascii="仿宋" w:hAnsi="仿宋" w:eastAsia="仿宋" w:cs="仿宋"/>
          <w:color w:val="auto"/>
          <w:sz w:val="21"/>
          <w:szCs w:val="21"/>
          <w:highlight w:val="none"/>
          <w:lang w:eastAsia="zh-CN"/>
        </w:rPr>
        <w:t>日至</w:t>
      </w:r>
      <w:r>
        <w:rPr>
          <w:rFonts w:hint="eastAsia" w:ascii="仿宋" w:hAnsi="仿宋" w:eastAsia="仿宋" w:cs="仿宋"/>
          <w:color w:val="auto"/>
          <w:sz w:val="21"/>
          <w:szCs w:val="21"/>
          <w:highlight w:val="none"/>
          <w:lang w:val="en-US"/>
        </w:rPr>
        <w:t>202</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lang w:eastAsia="zh-CN"/>
        </w:rPr>
        <w:t>年</w:t>
      </w:r>
      <w:r>
        <w:rPr>
          <w:rFonts w:hint="eastAsia" w:ascii="仿宋" w:hAnsi="仿宋" w:cs="仿宋"/>
          <w:color w:val="auto"/>
          <w:sz w:val="21"/>
          <w:szCs w:val="21"/>
          <w:highlight w:val="none"/>
          <w:lang w:val="en-US" w:eastAsia="zh-CN"/>
        </w:rPr>
        <w:t>3</w:t>
      </w:r>
      <w:r>
        <w:rPr>
          <w:rFonts w:hint="eastAsia" w:ascii="仿宋" w:hAnsi="仿宋" w:eastAsia="仿宋" w:cs="仿宋"/>
          <w:color w:val="auto"/>
          <w:sz w:val="21"/>
          <w:szCs w:val="21"/>
          <w:highlight w:val="none"/>
          <w:lang w:eastAsia="zh-CN"/>
        </w:rPr>
        <w:t>月</w:t>
      </w:r>
      <w:r>
        <w:rPr>
          <w:rFonts w:hint="eastAsia" w:ascii="仿宋" w:hAnsi="仿宋" w:cs="仿宋"/>
          <w:color w:val="auto"/>
          <w:sz w:val="21"/>
          <w:szCs w:val="21"/>
          <w:highlight w:val="none"/>
          <w:lang w:val="en-US" w:eastAsia="zh-CN"/>
        </w:rPr>
        <w:t>22</w:t>
      </w:r>
      <w:r>
        <w:rPr>
          <w:rFonts w:hint="eastAsia" w:ascii="仿宋" w:hAnsi="仿宋" w:eastAsia="仿宋" w:cs="仿宋"/>
          <w:color w:val="auto"/>
          <w:sz w:val="21"/>
          <w:szCs w:val="21"/>
          <w:highlight w:val="none"/>
          <w:lang w:eastAsia="zh-CN"/>
        </w:rPr>
        <w:t>日，</w:t>
      </w:r>
      <w:r>
        <w:rPr>
          <w:rFonts w:hint="eastAsia" w:ascii="仿宋" w:hAnsi="仿宋" w:eastAsia="仿宋" w:cs="仿宋"/>
          <w:sz w:val="21"/>
          <w:szCs w:val="21"/>
          <w:lang w:eastAsia="zh-CN"/>
        </w:rPr>
        <w:t>登录洛阳市公共资源交易中心网站，点击“交易登录”，选择“证书</w:t>
      </w:r>
      <w:r>
        <w:rPr>
          <w:rFonts w:hint="eastAsia" w:ascii="仿宋" w:hAnsi="仿宋" w:eastAsia="仿宋" w:cs="仿宋"/>
          <w:sz w:val="21"/>
          <w:szCs w:val="21"/>
          <w:lang w:val="en-US"/>
        </w:rPr>
        <w:t>Key</w:t>
      </w:r>
      <w:r>
        <w:rPr>
          <w:rFonts w:hint="eastAsia" w:ascii="仿宋" w:hAnsi="仿宋" w:eastAsia="仿宋" w:cs="仿宋"/>
          <w:sz w:val="21"/>
          <w:szCs w:val="21"/>
          <w:lang w:eastAsia="zh-CN"/>
        </w:rPr>
        <w:t>”方式登录，免费下载招标文件。如投多个标段，则应就所投每个标段分别下载获取。联合体投标的，由联合体牵头人完成招标文件下载。</w:t>
      </w:r>
    </w:p>
    <w:p>
      <w:pPr>
        <w:pStyle w:val="36"/>
        <w:keepNext w:val="0"/>
        <w:keepLines w:val="0"/>
        <w:pageBreakBefore w:val="0"/>
        <w:widowControl/>
        <w:kinsoku/>
        <w:wordWrap/>
        <w:overflowPunct/>
        <w:topLinePunct w:val="0"/>
        <w:bidi w:val="0"/>
        <w:adjustRightInd/>
        <w:snapToGrid/>
        <w:spacing w:before="0" w:beforeAutospacing="0" w:after="0" w:afterAutospacing="0" w:line="440" w:lineRule="exact"/>
        <w:ind w:left="0" w:right="0" w:firstLine="420" w:firstLineChars="200"/>
        <w:jc w:val="both"/>
        <w:textAlignment w:val="auto"/>
        <w:rPr>
          <w:rFonts w:hint="eastAsia" w:ascii="仿宋" w:hAnsi="仿宋" w:eastAsia="仿宋" w:cs="仿宋"/>
          <w:sz w:val="21"/>
          <w:szCs w:val="21"/>
          <w:lang w:val="en-US"/>
        </w:rPr>
      </w:pPr>
      <w:r>
        <w:rPr>
          <w:rFonts w:hint="eastAsia" w:ascii="仿宋" w:hAnsi="仿宋" w:eastAsia="仿宋" w:cs="仿宋"/>
          <w:sz w:val="21"/>
          <w:szCs w:val="21"/>
          <w:lang w:val="en-US"/>
        </w:rPr>
        <w:t>3</w:t>
      </w:r>
      <w:r>
        <w:rPr>
          <w:rFonts w:hint="eastAsia" w:ascii="仿宋" w:hAnsi="仿宋" w:eastAsia="仿宋" w:cs="仿宋"/>
          <w:sz w:val="21"/>
          <w:szCs w:val="21"/>
          <w:lang w:eastAsia="zh-CN"/>
        </w:rPr>
        <w:t>、获取招标文件后，请到洛阳市公共资源交易中心网站—办事指南—下载中心栏目下载并安装最新版本投标文件制作工具，查看招标文件和制作电子投标文件。</w:t>
      </w:r>
    </w:p>
    <w:p>
      <w:pPr>
        <w:pStyle w:val="36"/>
        <w:keepNext w:val="0"/>
        <w:keepLines w:val="0"/>
        <w:pageBreakBefore w:val="0"/>
        <w:widowControl/>
        <w:kinsoku/>
        <w:wordWrap/>
        <w:overflowPunct/>
        <w:topLinePunct w:val="0"/>
        <w:bidi w:val="0"/>
        <w:adjustRightInd/>
        <w:snapToGrid/>
        <w:spacing w:before="0" w:beforeAutospacing="0" w:after="0" w:afterAutospacing="0" w:line="440" w:lineRule="exact"/>
        <w:ind w:left="0" w:right="0" w:firstLine="0" w:firstLineChars="0"/>
        <w:jc w:val="both"/>
        <w:textAlignment w:val="auto"/>
        <w:rPr>
          <w:rFonts w:hint="eastAsia" w:ascii="仿宋" w:hAnsi="仿宋" w:eastAsia="仿宋" w:cs="仿宋"/>
          <w:b/>
          <w:kern w:val="2"/>
          <w:sz w:val="21"/>
          <w:szCs w:val="21"/>
          <w:lang w:val="en-US" w:eastAsia="zh-CN" w:bidi="ar"/>
        </w:rPr>
      </w:pPr>
      <w:r>
        <w:rPr>
          <w:rFonts w:hint="eastAsia" w:ascii="仿宋" w:hAnsi="仿宋" w:eastAsia="仿宋" w:cs="仿宋"/>
          <w:b/>
          <w:kern w:val="2"/>
          <w:sz w:val="21"/>
          <w:szCs w:val="21"/>
          <w:lang w:eastAsia="zh-CN" w:bidi="ar"/>
        </w:rPr>
        <w:t>五、投标文件的递交</w:t>
      </w:r>
    </w:p>
    <w:bookmarkEnd w:id="11"/>
    <w:bookmarkEnd w:id="12"/>
    <w:bookmarkEnd w:id="13"/>
    <w:bookmarkEnd w:id="14"/>
    <w:bookmarkEnd w:id="15"/>
    <w:p>
      <w:pPr>
        <w:keepNext w:val="0"/>
        <w:keepLines w:val="0"/>
        <w:pageBreakBefore w:val="0"/>
        <w:kinsoku/>
        <w:wordWrap/>
        <w:overflowPunct/>
        <w:topLinePunct w:val="0"/>
        <w:bidi w:val="0"/>
        <w:adjustRightInd/>
        <w:snapToGrid/>
        <w:spacing w:line="440" w:lineRule="exact"/>
        <w:textAlignment w:val="auto"/>
        <w:rPr>
          <w:highlight w:val="none"/>
          <w:lang w:bidi="ar"/>
        </w:rPr>
      </w:pPr>
      <w:r>
        <w:rPr>
          <w:rFonts w:hint="eastAsia"/>
          <w:lang w:bidi="ar"/>
        </w:rPr>
        <w:t>1、投标文件递交的截止时间（投标截止时间）为</w:t>
      </w:r>
      <w:r>
        <w:rPr>
          <w:rFonts w:hint="eastAsia"/>
          <w:highlight w:val="none"/>
          <w:lang w:bidi="ar"/>
        </w:rPr>
        <w:t>2024年</w:t>
      </w:r>
      <w:r>
        <w:rPr>
          <w:rFonts w:hint="eastAsia"/>
          <w:highlight w:val="none"/>
          <w:lang w:val="en-US" w:eastAsia="zh-CN" w:bidi="ar"/>
        </w:rPr>
        <w:t>4</w:t>
      </w:r>
      <w:r>
        <w:rPr>
          <w:rFonts w:hint="eastAsia"/>
          <w:highlight w:val="none"/>
          <w:lang w:bidi="ar"/>
        </w:rPr>
        <w:t>月</w:t>
      </w:r>
      <w:r>
        <w:rPr>
          <w:rFonts w:hint="eastAsia"/>
          <w:highlight w:val="none"/>
          <w:lang w:val="en-US" w:eastAsia="zh-CN" w:bidi="ar"/>
        </w:rPr>
        <w:t>9</w:t>
      </w:r>
      <w:r>
        <w:rPr>
          <w:rFonts w:hint="eastAsia"/>
          <w:highlight w:val="none"/>
          <w:lang w:bidi="ar"/>
        </w:rPr>
        <w:t>日9时</w:t>
      </w:r>
      <w:r>
        <w:rPr>
          <w:rFonts w:hint="eastAsia"/>
          <w:highlight w:val="none"/>
          <w:lang w:val="en-US" w:eastAsia="zh-CN" w:bidi="ar"/>
        </w:rPr>
        <w:t>20</w:t>
      </w:r>
      <w:r>
        <w:rPr>
          <w:rFonts w:hint="eastAsia"/>
          <w:highlight w:val="none"/>
          <w:lang w:bidi="ar"/>
        </w:rPr>
        <w:t xml:space="preserve">分(北京时间)。 </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highlight w:val="none"/>
          <w:lang w:bidi="ar"/>
        </w:rPr>
        <w:t>2、投标文件接收地点及开标地点为洛阳市公共资源交易中心开标</w:t>
      </w:r>
      <w:r>
        <w:rPr>
          <w:rFonts w:hint="eastAsia"/>
          <w:highlight w:val="none"/>
          <w:lang w:val="en-US" w:eastAsia="zh-CN" w:bidi="ar"/>
        </w:rPr>
        <w:t>八</w:t>
      </w:r>
      <w:r>
        <w:rPr>
          <w:rFonts w:hint="eastAsia"/>
          <w:highlight w:val="none"/>
          <w:lang w:bidi="ar"/>
        </w:rPr>
        <w:t>室</w:t>
      </w:r>
      <w:r>
        <w:rPr>
          <w:rFonts w:hint="eastAsia"/>
          <w:lang w:bidi="ar"/>
        </w:rPr>
        <w:t xml:space="preserve">。 </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 xml:space="preserve">3、投标人应在投标截止时间前，通过互联网使用CA数字证书登录洛阳市公共资源交易中心网站，将加密的投标文件上传至“洛阳市电子招投标交易平台”指定位置，上传成功后将得到上传成功的确认。投标人应充分考虑上传文件时的不可预见因素，未在投标截止时间前完成上传的，视为逾期送达，洛阳市电子招投标交易平台将拒绝接收。  </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4、本项目采用远程不见面交易的模式，开标当日，投标人无需到开标现场参加开标会议，投标人应当在投标截止时间前，登录到洛阳市电子招投标交易平台（http://lyggzyjy.ly.gov.cn/TPBidder），点击右上方【不见面开标大厅】按钮进入，在线准时参加开标活动并进行投标文件解密等。因投标人原因未能解密、解密失败或解密超时的将被拒绝。请参照洛阳市公共资源交易中心首页-办事指南-下载中心-操作手册-《洛阳市公共资源交易中心不见面开标大厅操作手册（投标人）》。</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5、除电子投标文件外，投标时不再接受任何纸质文件、资料等。逾期送达的或者未送达指定地点的投标文件，招标人不予受理。</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6、不符合前述条件和招标文件规定的，</w:t>
      </w:r>
      <w:r>
        <w:rPr>
          <w:rFonts w:hint="eastAsia"/>
        </w:rPr>
        <w:t>其投标将不被接受。</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0" w:firstLineChars="0"/>
        <w:jc w:val="left"/>
        <w:textAlignment w:val="auto"/>
        <w:rPr>
          <w:rFonts w:hint="eastAsia" w:ascii="仿宋" w:hAnsi="仿宋" w:eastAsia="仿宋" w:cs="仿宋"/>
          <w:b/>
          <w:kern w:val="2"/>
          <w:sz w:val="21"/>
          <w:szCs w:val="21"/>
          <w:lang w:val="en-US" w:eastAsia="zh-CN" w:bidi="ar"/>
        </w:rPr>
      </w:pPr>
      <w:r>
        <w:rPr>
          <w:rFonts w:hint="eastAsia" w:ascii="仿宋" w:hAnsi="仿宋" w:eastAsia="仿宋" w:cs="仿宋"/>
          <w:b/>
          <w:kern w:val="2"/>
          <w:sz w:val="21"/>
          <w:szCs w:val="21"/>
          <w:lang w:val="en-US" w:eastAsia="zh-CN" w:bidi="ar"/>
        </w:rPr>
        <w:t>六、提出异议的渠道和方式</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投标人或者其他利害关系人对招标文件有异议的，应当在投标截止时间10日前通过交易系统内向招标人或招标代理机构提交异议函(法定代表人签字并加盖单位公章)，委托他人提出异议的，需一并提交授权委托书和授权委托人身份证明，邮寄件、传真件不予受理。逾期未提交或未按照要求提交的异议函将不予受理。</w:t>
      </w:r>
    </w:p>
    <w:p>
      <w:pPr>
        <w:keepNext w:val="0"/>
        <w:keepLines w:val="0"/>
        <w:pageBreakBefore w:val="0"/>
        <w:widowControl w:val="0"/>
        <w:suppressLineNumbers w:val="0"/>
        <w:kinsoku/>
        <w:wordWrap/>
        <w:overflowPunct/>
        <w:topLinePunct w:val="0"/>
        <w:bidi w:val="0"/>
        <w:adjustRightInd/>
        <w:snapToGrid/>
        <w:spacing w:before="0" w:beforeAutospacing="0" w:after="0" w:afterAutospacing="0" w:line="440" w:lineRule="exact"/>
        <w:ind w:left="0" w:right="0" w:firstLine="0" w:firstLineChars="0"/>
        <w:jc w:val="left"/>
        <w:textAlignment w:val="auto"/>
        <w:rPr>
          <w:rFonts w:hint="eastAsia" w:ascii="仿宋" w:hAnsi="仿宋" w:eastAsia="仿宋" w:cs="仿宋"/>
          <w:b/>
          <w:kern w:val="2"/>
          <w:sz w:val="21"/>
          <w:szCs w:val="21"/>
          <w:lang w:val="en-US" w:eastAsia="zh-CN" w:bidi="ar"/>
        </w:rPr>
      </w:pPr>
      <w:r>
        <w:rPr>
          <w:rFonts w:hint="eastAsia" w:ascii="仿宋" w:hAnsi="仿宋" w:eastAsia="仿宋" w:cs="仿宋"/>
          <w:b/>
          <w:kern w:val="2"/>
          <w:sz w:val="21"/>
          <w:szCs w:val="21"/>
          <w:lang w:val="en-US" w:eastAsia="zh-CN" w:bidi="ar"/>
        </w:rPr>
        <w:t>七、发布公告的媒体</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1、本次招标公告同时在《河南省电子招标投标公共服务平台》、《河南省政府采购网》、《洛阳市公共资源交易中心网》上发布。</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2、投标人在参与本项目招标采购活动期间应及时关注本网站获取相关澄清或变更等信息。</w:t>
      </w:r>
    </w:p>
    <w:p>
      <w:pPr>
        <w:keepNext w:val="0"/>
        <w:keepLines w:val="0"/>
        <w:pageBreakBefore w:val="0"/>
        <w:widowControl/>
        <w:suppressLineNumbers w:val="0"/>
        <w:kinsoku/>
        <w:wordWrap/>
        <w:overflowPunct/>
        <w:topLinePunct w:val="0"/>
        <w:bidi w:val="0"/>
        <w:adjustRightInd/>
        <w:snapToGrid/>
        <w:spacing w:before="0" w:beforeAutospacing="0" w:after="0" w:afterAutospacing="0" w:line="440" w:lineRule="exact"/>
        <w:ind w:left="0" w:right="0" w:firstLine="0" w:firstLineChars="0"/>
        <w:jc w:val="left"/>
        <w:textAlignment w:val="auto"/>
        <w:rPr>
          <w:rFonts w:hint="eastAsia" w:ascii="仿宋" w:hAnsi="仿宋" w:eastAsia="仿宋" w:cs="仿宋"/>
          <w:b/>
          <w:kern w:val="2"/>
          <w:sz w:val="21"/>
          <w:szCs w:val="21"/>
          <w:lang w:val="en-US" w:eastAsia="zh-CN" w:bidi="ar"/>
        </w:rPr>
      </w:pPr>
      <w:r>
        <w:rPr>
          <w:rFonts w:hint="eastAsia" w:ascii="仿宋" w:hAnsi="仿宋" w:eastAsia="仿宋" w:cs="仿宋"/>
          <w:b/>
          <w:kern w:val="2"/>
          <w:sz w:val="21"/>
          <w:szCs w:val="21"/>
          <w:lang w:val="en-US" w:eastAsia="zh-CN" w:bidi="ar"/>
        </w:rPr>
        <w:t>八、联系方式</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招 标 人：洛阳市文物局</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地    址：洛阳市洛龙区开元大道232号</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联 系 人：陈先生</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电  话：0379-65156387</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招标代理机构：河南远桥工程管理咨询有限公司</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地    址：洛阳市九都西路与周山大道交叉口西元国际19号楼10楼1002</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联 系 人：黄先生</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电  话：0379-63339557</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监管部门：洛阳市住建局</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监管部门联系人：洛阳市建设工程招标投标管理科</w:t>
      </w:r>
    </w:p>
    <w:p>
      <w:pPr>
        <w:keepNext w:val="0"/>
        <w:keepLines w:val="0"/>
        <w:pageBreakBefore w:val="0"/>
        <w:kinsoku/>
        <w:wordWrap/>
        <w:overflowPunct/>
        <w:topLinePunct w:val="0"/>
        <w:bidi w:val="0"/>
        <w:adjustRightInd/>
        <w:snapToGrid/>
        <w:spacing w:line="440" w:lineRule="exact"/>
        <w:textAlignment w:val="auto"/>
        <w:rPr>
          <w:lang w:bidi="ar"/>
        </w:rPr>
      </w:pPr>
      <w:r>
        <w:rPr>
          <w:rFonts w:hint="eastAsia"/>
          <w:lang w:bidi="ar"/>
        </w:rPr>
        <w:t>监管部门联系方式：0379-63937963</w:t>
      </w:r>
    </w:p>
    <w:p>
      <w:pPr>
        <w:keepNext w:val="0"/>
        <w:keepLines w:val="0"/>
        <w:pageBreakBefore w:val="0"/>
        <w:kinsoku/>
        <w:wordWrap/>
        <w:overflowPunct/>
        <w:topLinePunct w:val="0"/>
        <w:bidi w:val="0"/>
        <w:adjustRightInd/>
        <w:snapToGrid/>
        <w:spacing w:line="440" w:lineRule="exact"/>
        <w:jc w:val="right"/>
        <w:textAlignment w:val="auto"/>
        <w:rPr>
          <w:rFonts w:hint="eastAsia"/>
        </w:rPr>
      </w:pPr>
    </w:p>
    <w:p>
      <w:pPr>
        <w:keepNext w:val="0"/>
        <w:keepLines w:val="0"/>
        <w:pageBreakBefore w:val="0"/>
        <w:kinsoku/>
        <w:wordWrap/>
        <w:overflowPunct/>
        <w:topLinePunct w:val="0"/>
        <w:bidi w:val="0"/>
        <w:adjustRightInd/>
        <w:snapToGrid/>
        <w:spacing w:line="440" w:lineRule="exact"/>
        <w:jc w:val="right"/>
        <w:textAlignment w:val="auto"/>
      </w:pPr>
      <w:r>
        <w:rPr>
          <w:rFonts w:hint="eastAsia"/>
        </w:rPr>
        <w:t>2024年</w:t>
      </w:r>
      <w:r>
        <w:rPr>
          <w:rFonts w:hint="eastAsia"/>
          <w:lang w:val="en-US" w:eastAsia="zh-CN"/>
        </w:rPr>
        <w:t>3</w:t>
      </w:r>
      <w:r>
        <w:rPr>
          <w:rFonts w:hint="eastAsia"/>
        </w:rPr>
        <w:t>月</w:t>
      </w:r>
      <w:r>
        <w:rPr>
          <w:rFonts w:hint="eastAsia"/>
          <w:lang w:val="en-US" w:eastAsia="zh-CN"/>
        </w:rPr>
        <w:t>15</w:t>
      </w:r>
      <w:r>
        <w:rPr>
          <w:rFonts w:hint="eastAsia"/>
        </w:rPr>
        <w:t>日</w:t>
      </w:r>
      <w:r>
        <w:rPr>
          <w:rFonts w:hint="eastAsia"/>
        </w:rPr>
        <w:br w:type="page"/>
      </w:r>
    </w:p>
    <w:p>
      <w:pPr>
        <w:pStyle w:val="93"/>
        <w:ind w:firstLine="0" w:firstLineChars="0"/>
        <w:jc w:val="center"/>
        <w:rPr>
          <w:rFonts w:hint="eastAsia" w:ascii="仿宋" w:hAnsi="仿宋" w:eastAsia="仿宋" w:cs="仿宋"/>
          <w:sz w:val="24"/>
          <w:szCs w:val="18"/>
        </w:rPr>
      </w:pPr>
      <w:bookmarkStart w:id="16" w:name="_Toc1001"/>
      <w:r>
        <w:rPr>
          <w:rFonts w:hint="eastAsia" w:ascii="仿宋" w:hAnsi="仿宋" w:eastAsia="仿宋" w:cs="仿宋"/>
          <w:b/>
          <w:bCs/>
          <w:kern w:val="2"/>
          <w:sz w:val="32"/>
          <w:szCs w:val="32"/>
          <w:lang w:val="en-US" w:eastAsia="zh-CN" w:bidi="ar-SA"/>
        </w:rPr>
        <w:t>第二章 投标人须知</w:t>
      </w:r>
      <w:bookmarkEnd w:id="7"/>
      <w:bookmarkEnd w:id="8"/>
      <w:bookmarkEnd w:id="9"/>
      <w:bookmarkEnd w:id="16"/>
    </w:p>
    <w:p>
      <w:pPr>
        <w:pStyle w:val="93"/>
        <w:keepNext/>
        <w:keepLines/>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18"/>
        </w:rPr>
      </w:pPr>
      <w:bookmarkStart w:id="17" w:name="_Toc152045528"/>
      <w:bookmarkStart w:id="18" w:name="_Toc144974496"/>
      <w:bookmarkStart w:id="19" w:name="_Toc152042304"/>
      <w:bookmarkStart w:id="20" w:name="_Toc29650"/>
      <w:bookmarkStart w:id="21" w:name="_Toc535"/>
      <w:r>
        <w:rPr>
          <w:rFonts w:hint="eastAsia" w:ascii="仿宋" w:hAnsi="仿宋" w:eastAsia="仿宋" w:cs="仿宋"/>
          <w:b/>
          <w:bCs/>
          <w:sz w:val="24"/>
          <w:szCs w:val="18"/>
        </w:rPr>
        <w:t>投标人须知前附表</w:t>
      </w:r>
      <w:bookmarkEnd w:id="17"/>
      <w:bookmarkEnd w:id="18"/>
      <w:bookmarkEnd w:id="19"/>
      <w:bookmarkEnd w:id="20"/>
      <w:bookmarkEnd w:id="21"/>
    </w:p>
    <w:p>
      <w:pPr>
        <w:pStyle w:val="93"/>
        <w:keepNext/>
        <w:keepLines/>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仿宋" w:hAnsi="仿宋" w:eastAsia="仿宋" w:cs="仿宋"/>
          <w:sz w:val="24"/>
          <w:szCs w:val="18"/>
        </w:rPr>
      </w:pPr>
      <w:bookmarkStart w:id="22" w:name="_Toc152042305"/>
      <w:bookmarkStart w:id="23" w:name="_Toc152045529"/>
      <w:bookmarkStart w:id="24" w:name="_Toc144974497"/>
    </w:p>
    <w:tbl>
      <w:tblPr>
        <w:tblStyle w:val="41"/>
        <w:tblW w:w="9658" w:type="dxa"/>
        <w:tblInd w:w="159" w:type="dxa"/>
        <w:tblLayout w:type="fixed"/>
        <w:tblCellMar>
          <w:top w:w="0" w:type="dxa"/>
          <w:left w:w="108" w:type="dxa"/>
          <w:bottom w:w="0" w:type="dxa"/>
          <w:right w:w="108" w:type="dxa"/>
        </w:tblCellMar>
      </w:tblPr>
      <w:tblGrid>
        <w:gridCol w:w="1134"/>
        <w:gridCol w:w="2385"/>
        <w:gridCol w:w="6139"/>
      </w:tblGrid>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60" w:lineRule="exact"/>
              <w:ind w:left="0" w:right="0" w:firstLine="0" w:firstLineChars="0"/>
              <w:jc w:val="center"/>
              <w:rPr>
                <w:rFonts w:hint="eastAsia" w:ascii="仿宋" w:hAnsi="仿宋" w:eastAsia="仿宋" w:cs="仿宋"/>
                <w:b/>
                <w:bCs w:val="0"/>
                <w:kern w:val="2"/>
                <w:sz w:val="21"/>
                <w:szCs w:val="21"/>
                <w:lang w:val="en-US" w:eastAsia="zh-CN" w:bidi="ar"/>
              </w:rPr>
            </w:pPr>
            <w:r>
              <w:rPr>
                <w:rFonts w:hint="eastAsia" w:ascii="仿宋" w:hAnsi="仿宋" w:eastAsia="仿宋" w:cs="仿宋"/>
                <w:b/>
                <w:bCs w:val="0"/>
                <w:kern w:val="2"/>
                <w:sz w:val="21"/>
                <w:szCs w:val="21"/>
                <w:lang w:val="en-US" w:eastAsia="zh-CN" w:bidi="ar"/>
              </w:rPr>
              <w:t>条款号</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60" w:lineRule="exact"/>
              <w:ind w:left="0" w:right="0" w:firstLine="0" w:firstLineChars="0"/>
              <w:jc w:val="center"/>
              <w:rPr>
                <w:rFonts w:hint="eastAsia" w:ascii="仿宋" w:hAnsi="仿宋" w:eastAsia="仿宋" w:cs="仿宋"/>
                <w:b/>
                <w:bCs w:val="0"/>
                <w:kern w:val="2"/>
                <w:sz w:val="21"/>
                <w:szCs w:val="21"/>
                <w:lang w:val="en-US" w:eastAsia="zh-CN" w:bidi="ar"/>
              </w:rPr>
            </w:pPr>
            <w:r>
              <w:rPr>
                <w:rFonts w:hint="eastAsia" w:ascii="仿宋" w:hAnsi="仿宋" w:eastAsia="仿宋" w:cs="仿宋"/>
                <w:b/>
                <w:bCs w:val="0"/>
                <w:kern w:val="2"/>
                <w:sz w:val="21"/>
                <w:szCs w:val="21"/>
                <w:lang w:val="en-US" w:eastAsia="zh-CN" w:bidi="ar"/>
              </w:rPr>
              <w:t>条 款 名 称</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460" w:lineRule="exact"/>
              <w:ind w:left="0" w:right="0" w:firstLine="0" w:firstLineChars="0"/>
              <w:jc w:val="center"/>
              <w:rPr>
                <w:rFonts w:hint="eastAsia" w:ascii="仿宋" w:hAnsi="仿宋" w:eastAsia="仿宋" w:cs="仿宋"/>
                <w:b/>
                <w:bCs w:val="0"/>
                <w:kern w:val="2"/>
                <w:sz w:val="21"/>
                <w:szCs w:val="21"/>
                <w:lang w:val="en-US" w:eastAsia="zh-CN" w:bidi="ar"/>
              </w:rPr>
            </w:pPr>
            <w:r>
              <w:rPr>
                <w:rFonts w:hint="eastAsia" w:ascii="仿宋" w:hAnsi="仿宋" w:eastAsia="仿宋" w:cs="仿宋"/>
                <w:b/>
                <w:bCs w:val="0"/>
                <w:kern w:val="2"/>
                <w:sz w:val="21"/>
                <w:szCs w:val="21"/>
                <w:lang w:val="en-US" w:eastAsia="zh-CN" w:bidi="ar"/>
              </w:rPr>
              <w:t>编 列 内 容</w:t>
            </w:r>
          </w:p>
        </w:tc>
      </w:tr>
      <w:tr>
        <w:tblPrEx>
          <w:tblCellMar>
            <w:top w:w="0" w:type="dxa"/>
            <w:left w:w="108" w:type="dxa"/>
            <w:bottom w:w="0" w:type="dxa"/>
            <w:right w:w="108" w:type="dxa"/>
          </w:tblCellMar>
        </w:tblPrEx>
        <w:trPr>
          <w:trHeight w:val="1246"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1.1.2</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招标人</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left="0" w:leftChars="0" w:firstLine="0" w:firstLineChars="0"/>
              <w:rPr>
                <w:lang w:bidi="ar"/>
              </w:rPr>
            </w:pPr>
            <w:r>
              <w:rPr>
                <w:rFonts w:hint="eastAsia"/>
                <w:lang w:bidi="ar"/>
              </w:rPr>
              <w:t>招标人：洛阳市文物局</w:t>
            </w:r>
          </w:p>
          <w:p>
            <w:pPr>
              <w:spacing w:line="360" w:lineRule="auto"/>
              <w:ind w:left="0" w:leftChars="0" w:firstLine="0" w:firstLineChars="0"/>
              <w:rPr>
                <w:lang w:bidi="ar"/>
              </w:rPr>
            </w:pPr>
            <w:r>
              <w:rPr>
                <w:rFonts w:hint="eastAsia"/>
                <w:lang w:bidi="ar"/>
              </w:rPr>
              <w:t>地  址：洛阳市洛龙区开元大道232号</w:t>
            </w:r>
          </w:p>
          <w:p>
            <w:pPr>
              <w:spacing w:line="360" w:lineRule="auto"/>
              <w:ind w:left="0" w:leftChars="0" w:firstLine="0" w:firstLineChars="0"/>
              <w:rPr>
                <w:lang w:bidi="ar"/>
              </w:rPr>
            </w:pPr>
            <w:r>
              <w:rPr>
                <w:rFonts w:hint="eastAsia"/>
                <w:lang w:bidi="ar"/>
              </w:rPr>
              <w:t>联系人：陈先生</w:t>
            </w:r>
          </w:p>
          <w:p>
            <w:pPr>
              <w:spacing w:line="360" w:lineRule="auto"/>
              <w:ind w:left="0" w:leftChars="0" w:firstLine="0" w:firstLineChars="0"/>
            </w:pPr>
            <w:r>
              <w:rPr>
                <w:rFonts w:hint="eastAsia"/>
                <w:lang w:bidi="ar"/>
              </w:rPr>
              <w:t>电  话：0379-65156387</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1.1.3</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招标代理机构</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left="0" w:leftChars="0" w:firstLine="0" w:firstLineChars="0"/>
            </w:pPr>
            <w:r>
              <w:rPr>
                <w:rFonts w:hint="eastAsia"/>
              </w:rPr>
              <w:t>招标代理机构：河南远桥工程管理咨询有限公司</w:t>
            </w:r>
          </w:p>
          <w:p>
            <w:pPr>
              <w:spacing w:line="360" w:lineRule="auto"/>
              <w:ind w:left="0" w:leftChars="0" w:firstLine="0" w:firstLineChars="0"/>
            </w:pPr>
            <w:r>
              <w:rPr>
                <w:rFonts w:hint="eastAsia"/>
              </w:rPr>
              <w:t>地  址：洛阳市九都西路与周山大道交叉口西元国际19号楼10楼1002</w:t>
            </w:r>
          </w:p>
          <w:p>
            <w:pPr>
              <w:spacing w:line="360" w:lineRule="auto"/>
              <w:ind w:left="0" w:leftChars="0" w:firstLine="0" w:firstLineChars="0"/>
              <w:rPr>
                <w:rFonts w:hint="eastAsia"/>
                <w:lang w:val="en-US" w:eastAsia="zh-CN"/>
              </w:rPr>
            </w:pPr>
            <w:r>
              <w:rPr>
                <w:rFonts w:hint="eastAsia"/>
              </w:rPr>
              <w:t>联系人：黄先生</w:t>
            </w:r>
            <w:r>
              <w:rPr>
                <w:rFonts w:hint="eastAsia"/>
                <w:lang w:val="en-US" w:eastAsia="zh-CN"/>
              </w:rPr>
              <w:t xml:space="preserve"> </w:t>
            </w:r>
          </w:p>
          <w:p>
            <w:pPr>
              <w:spacing w:line="360" w:lineRule="auto"/>
              <w:ind w:left="0" w:leftChars="0" w:firstLine="0" w:firstLineChars="0"/>
            </w:pPr>
            <w:r>
              <w:rPr>
                <w:rFonts w:hint="eastAsia"/>
              </w:rPr>
              <w:t>电</w:t>
            </w:r>
            <w:r>
              <w:rPr>
                <w:rFonts w:hint="eastAsia"/>
                <w:lang w:val="en-US" w:eastAsia="zh-CN"/>
              </w:rPr>
              <w:t xml:space="preserve">  </w:t>
            </w:r>
            <w:r>
              <w:rPr>
                <w:rFonts w:hint="eastAsia"/>
              </w:rPr>
              <w:t>话：0379-63339557</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1.1.4</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left"/>
            </w:pPr>
            <w:r>
              <w:rPr>
                <w:rFonts w:hint="eastAsia"/>
                <w:lang w:bidi="ar"/>
              </w:rPr>
              <w:t>项目名称</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洛阳市文物局汉魏洛阳城遗址博物馆空调工程项目</w:t>
            </w:r>
          </w:p>
        </w:tc>
      </w:tr>
      <w:tr>
        <w:tblPrEx>
          <w:tblCellMar>
            <w:top w:w="0" w:type="dxa"/>
            <w:left w:w="108" w:type="dxa"/>
            <w:bottom w:w="0" w:type="dxa"/>
            <w:right w:w="108" w:type="dxa"/>
          </w:tblCellMar>
        </w:tblPrEx>
        <w:trPr>
          <w:trHeight w:val="43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1.1.5</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建设地点</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rPr>
              <w:t>洛阳市平乐镇翟泉村南部、洛白路北侧、工业大道东侧</w:t>
            </w:r>
          </w:p>
        </w:tc>
      </w:tr>
      <w:tr>
        <w:tblPrEx>
          <w:tblCellMar>
            <w:top w:w="0" w:type="dxa"/>
            <w:left w:w="108" w:type="dxa"/>
            <w:bottom w:w="0" w:type="dxa"/>
            <w:right w:w="108" w:type="dxa"/>
          </w:tblCellMar>
        </w:tblPrEx>
        <w:trPr>
          <w:trHeight w:val="45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1.2.1</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资金来源</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市财政资金</w:t>
            </w:r>
          </w:p>
        </w:tc>
      </w:tr>
      <w:tr>
        <w:tblPrEx>
          <w:tblCellMar>
            <w:top w:w="0" w:type="dxa"/>
            <w:left w:w="108" w:type="dxa"/>
            <w:bottom w:w="0" w:type="dxa"/>
            <w:right w:w="108" w:type="dxa"/>
          </w:tblCellMar>
        </w:tblPrEx>
        <w:trPr>
          <w:trHeight w:val="45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1.2.2</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出资比例</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100%</w:t>
            </w:r>
          </w:p>
        </w:tc>
      </w:tr>
      <w:tr>
        <w:tblPrEx>
          <w:tblCellMar>
            <w:top w:w="0" w:type="dxa"/>
            <w:left w:w="108" w:type="dxa"/>
            <w:bottom w:w="0" w:type="dxa"/>
            <w:right w:w="108" w:type="dxa"/>
          </w:tblCellMar>
        </w:tblPrEx>
        <w:trPr>
          <w:trHeight w:val="45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1.2.3</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资金落实情况</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已落实</w:t>
            </w:r>
          </w:p>
        </w:tc>
      </w:tr>
      <w:tr>
        <w:tblPrEx>
          <w:tblCellMar>
            <w:top w:w="0" w:type="dxa"/>
            <w:left w:w="108" w:type="dxa"/>
            <w:bottom w:w="0" w:type="dxa"/>
            <w:right w:w="108" w:type="dxa"/>
          </w:tblCellMar>
        </w:tblPrEx>
        <w:trPr>
          <w:trHeight w:val="45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1.2.4</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rPr>
                <w:highlight w:val="none"/>
              </w:rPr>
            </w:pPr>
            <w:r>
              <w:rPr>
                <w:rFonts w:hint="eastAsia"/>
                <w:highlight w:val="none"/>
                <w:lang w:bidi="ar"/>
              </w:rPr>
              <w:t>承包方式</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rPr>
                <w:highlight w:val="none"/>
              </w:rPr>
            </w:pPr>
            <w:r>
              <w:rPr>
                <w:rFonts w:hint="eastAsia"/>
                <w:highlight w:val="none"/>
                <w:lang w:bidi="ar"/>
              </w:rPr>
              <w:t>中标价加变更签证</w:t>
            </w:r>
          </w:p>
        </w:tc>
      </w:tr>
      <w:tr>
        <w:tblPrEx>
          <w:tblCellMar>
            <w:top w:w="0" w:type="dxa"/>
            <w:left w:w="108" w:type="dxa"/>
            <w:bottom w:w="0" w:type="dxa"/>
            <w:right w:w="108" w:type="dxa"/>
          </w:tblCellMar>
        </w:tblPrEx>
        <w:trPr>
          <w:trHeight w:val="9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1.3.1</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招标范围</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本招标施工图纸、答疑及工程量清单范围内的全部内容。</w:t>
            </w:r>
          </w:p>
        </w:tc>
      </w:tr>
      <w:tr>
        <w:tblPrEx>
          <w:tblCellMar>
            <w:top w:w="0" w:type="dxa"/>
            <w:left w:w="108" w:type="dxa"/>
            <w:bottom w:w="0" w:type="dxa"/>
            <w:right w:w="108" w:type="dxa"/>
          </w:tblCellMar>
        </w:tblPrEx>
        <w:trPr>
          <w:trHeight w:val="43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1.3.2</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rPr>
                <w:highlight w:val="none"/>
              </w:rPr>
            </w:pPr>
            <w:r>
              <w:rPr>
                <w:rFonts w:hint="eastAsia"/>
                <w:highlight w:val="none"/>
                <w:lang w:bidi="ar"/>
              </w:rPr>
              <w:t>计划工期</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rPr>
                <w:highlight w:val="none"/>
              </w:rPr>
            </w:pPr>
            <w:r>
              <w:rPr>
                <w:rFonts w:hint="eastAsia"/>
                <w:highlight w:val="none"/>
                <w:lang w:val="en-US" w:eastAsia="zh-CN" w:bidi="ar"/>
              </w:rPr>
              <w:t>60</w:t>
            </w:r>
            <w:r>
              <w:rPr>
                <w:rFonts w:hint="eastAsia"/>
                <w:highlight w:val="none"/>
                <w:lang w:bidi="ar"/>
              </w:rPr>
              <w:t>日历天</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1.3.3</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质量要求</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达到国家质量验收备案标准，争创国家优质工程。</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1.3.4</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项目概况</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详见第一章“招标公告”。</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1.3.5</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安全目标</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杜绝重伤、死亡事故</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1.3.6</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文明工地目标</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省级文明工地</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1.3.7</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扬尘治理目标</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严格按照国家、省、市扬尘污染防治标准及各项扬尘管控指令，做到达标生产。</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1.3.8</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缺陷责任期</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rPr>
                <w:lang w:bidi="ar"/>
              </w:rPr>
            </w:pPr>
            <w:r>
              <w:rPr>
                <w:rFonts w:hint="eastAsia"/>
                <w:lang w:bidi="ar"/>
              </w:rPr>
              <w:t>1.1缺陷责任期自工程验收合格移交招标人之日起24个月。</w:t>
            </w:r>
          </w:p>
          <w:p>
            <w:pPr>
              <w:ind w:left="0" w:leftChars="0" w:firstLine="0" w:firstLineChars="0"/>
              <w:rPr>
                <w:lang w:bidi="ar"/>
              </w:rPr>
            </w:pPr>
            <w:r>
              <w:rPr>
                <w:rFonts w:hint="eastAsia"/>
                <w:lang w:bidi="ar"/>
              </w:rPr>
              <w:t>1.2缺陷责任期内，由承包人原因造成的缺陷，承包人应负责维修，并承担鉴定费用及维修费用。如承包人不维修也不承担费用，招标人可按合同约定扣除质量保证金，并由承包人承担违约责任和损失赔偿责任。承包人维修并承担相应费用后，不免除其对工程的损失赔偿责任和违约责任。</w:t>
            </w:r>
          </w:p>
        </w:tc>
      </w:tr>
      <w:tr>
        <w:tblPrEx>
          <w:tblCellMar>
            <w:top w:w="0" w:type="dxa"/>
            <w:left w:w="108" w:type="dxa"/>
            <w:bottom w:w="0" w:type="dxa"/>
            <w:right w:w="108" w:type="dxa"/>
          </w:tblCellMar>
        </w:tblPrEx>
        <w:trPr>
          <w:trHeight w:val="46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1.3.9</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标段划分</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本项目共划分为一个标段。</w:t>
            </w:r>
          </w:p>
          <w:p>
            <w:pPr>
              <w:ind w:left="0" w:leftChars="0" w:firstLine="0" w:firstLineChars="0"/>
            </w:pPr>
            <w:r>
              <w:rPr>
                <w:rFonts w:hint="eastAsia"/>
                <w:lang w:bidi="ar"/>
              </w:rPr>
              <w:t>投标人可就本项目进行完整投标，不得拆分，否则将不被接受。</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1.4.1</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投标人资质条件、能力和信誉</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详见”第一章招标公告”</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1.4.2</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是否接受联合体投标</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不接受</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1.9.1</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踏勘现场</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不组织，投标人自行踏勘现场</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1.10.1</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投标预备会</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不召开</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1.10.2</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投标人提出问题的截止时间</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递交投标文件截止时间10日前，通过洛阳市电子招投标交易平台进行提问</w:t>
            </w:r>
          </w:p>
        </w:tc>
      </w:tr>
      <w:tr>
        <w:tblPrEx>
          <w:tblCellMar>
            <w:top w:w="0" w:type="dxa"/>
            <w:left w:w="108" w:type="dxa"/>
            <w:bottom w:w="0" w:type="dxa"/>
            <w:right w:w="108" w:type="dxa"/>
          </w:tblCellMar>
        </w:tblPrEx>
        <w:trPr>
          <w:trHeight w:val="46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1.10.3</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招标人书面澄清的时间</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 xml:space="preserve">递交投标文件截止时间15天前，招标人可以对已发出的招标文件进行必要的澄清或者修改，招标文件的澄清、修改将在发布招标公告的网上发布“变更公告”，如需修改招标文件，则同时在洛阳市电子招投标交易平台发布“答疑文件”（答疑文件指修改后最新的招标文件）。对于各项目中已经成功报名并下载招标文件的投标人，将通过第三方短信群发方式提醒投标人进行查询。各投标人须重新下载最新的“答疑文件”，并以此编制投标文件。如不以最新发布的“答疑文件”编制投标文件，造成投标无效的后果由投标人自己承担。如果澄清发出的时间距投标截止时间不足15天，且澄清的内容影响投标文件编制的，相应延长投标截止时间。 </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1.11</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分包</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不允许</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1.12</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偏离</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不允许</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2.1</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构成招标文件的其他材料</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招标过程的澄清、修改、补充、招标文件及图纸答疑等（如有）。</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2.2.1</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投标人要求澄清招标文件的截止时间</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递交投标文件截止时间10日前，通过洛阳市电子招投标交易平台进行提问</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2.2.2</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投标截止时间</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同招标公告投标截止时间</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2.2.3</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投标人确认收到招标文件澄清的时间</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招标人在招标公告发布同一媒介发出澄清或在洛阳市电子招投标交易平台发布“答疑文件”（答疑文件指修改后最新的招标文件）时。</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2.3.2</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投标人确认收到招标文件修改的时间</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招标人在招标公告发布同一媒介发出修改或在洛阳市电子招投标交易平台发布“答疑文件”（答疑文件指修改后最新的招标文件）时。</w:t>
            </w:r>
          </w:p>
        </w:tc>
      </w:tr>
      <w:tr>
        <w:tblPrEx>
          <w:tblCellMar>
            <w:top w:w="0" w:type="dxa"/>
            <w:left w:w="108" w:type="dxa"/>
            <w:bottom w:w="0" w:type="dxa"/>
            <w:right w:w="108" w:type="dxa"/>
          </w:tblCellMar>
        </w:tblPrEx>
        <w:trPr>
          <w:trHeight w:val="43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3.1.1</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构成投标文件的其他材料</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招标文件要求提交的其他资料</w:t>
            </w:r>
          </w:p>
        </w:tc>
      </w:tr>
      <w:tr>
        <w:tblPrEx>
          <w:tblCellMar>
            <w:top w:w="0" w:type="dxa"/>
            <w:left w:w="108" w:type="dxa"/>
            <w:bottom w:w="0" w:type="dxa"/>
            <w:right w:w="108" w:type="dxa"/>
          </w:tblCellMar>
        </w:tblPrEx>
        <w:trPr>
          <w:trHeight w:val="43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3.1.3</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电子投标文件要求</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电子版投标文件需有页码、目录，且目录中有相应正文内容跳转链接。</w:t>
            </w:r>
          </w:p>
        </w:tc>
      </w:tr>
      <w:tr>
        <w:tblPrEx>
          <w:tblCellMar>
            <w:top w:w="0" w:type="dxa"/>
            <w:left w:w="108" w:type="dxa"/>
            <w:bottom w:w="0" w:type="dxa"/>
            <w:right w:w="108" w:type="dxa"/>
          </w:tblCellMar>
        </w:tblPrEx>
        <w:trPr>
          <w:trHeight w:val="43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3.3.1</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投标有效期</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投标截止日起90日历天</w:t>
            </w:r>
          </w:p>
        </w:tc>
      </w:tr>
      <w:tr>
        <w:tblPrEx>
          <w:tblCellMar>
            <w:top w:w="0" w:type="dxa"/>
            <w:left w:w="108" w:type="dxa"/>
            <w:bottom w:w="0" w:type="dxa"/>
            <w:right w:w="108" w:type="dxa"/>
          </w:tblCellMar>
        </w:tblPrEx>
        <w:trPr>
          <w:trHeight w:val="43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3.4.1</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highlight w:val="none"/>
                <w:lang w:bidi="ar"/>
              </w:rPr>
              <w:t>投标保证金</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left="0" w:leftChars="0" w:firstLine="0" w:firstLineChars="0"/>
              <w:jc w:val="left"/>
              <w:rPr>
                <w:color w:val="FF0000"/>
              </w:rPr>
            </w:pPr>
            <w:r>
              <w:rPr>
                <w:rFonts w:hint="eastAsia"/>
                <w:lang w:val="en-US" w:eastAsia="zh-CN" w:bidi="ar"/>
              </w:rPr>
              <w:t>本项目免收投标保证金，根据《洛阳市公共资源交易管理委员会办公室文件》（洛公管办[2023]6 号）的通知规定，要求投标人递交投标保证金企业信用承诺函。</w:t>
            </w:r>
          </w:p>
        </w:tc>
      </w:tr>
      <w:tr>
        <w:tblPrEx>
          <w:tblCellMar>
            <w:top w:w="0" w:type="dxa"/>
            <w:left w:w="108" w:type="dxa"/>
            <w:bottom w:w="0" w:type="dxa"/>
            <w:right w:w="108" w:type="dxa"/>
          </w:tblCellMar>
        </w:tblPrEx>
        <w:trPr>
          <w:trHeight w:val="43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3.5.3</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近年完成的类似项目的年份要求</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2021年1月1日以来</w:t>
            </w:r>
          </w:p>
        </w:tc>
      </w:tr>
      <w:tr>
        <w:tblPrEx>
          <w:tblCellMar>
            <w:top w:w="0" w:type="dxa"/>
            <w:left w:w="108" w:type="dxa"/>
            <w:bottom w:w="0" w:type="dxa"/>
            <w:right w:w="108" w:type="dxa"/>
          </w:tblCellMar>
        </w:tblPrEx>
        <w:trPr>
          <w:trHeight w:val="40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3.5.4</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近年发生的诉讼及仲裁情况的年份要求</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近三年（至投标截止时间前1天）</w:t>
            </w:r>
          </w:p>
        </w:tc>
      </w:tr>
      <w:tr>
        <w:tblPrEx>
          <w:tblCellMar>
            <w:top w:w="0" w:type="dxa"/>
            <w:left w:w="108" w:type="dxa"/>
            <w:bottom w:w="0" w:type="dxa"/>
            <w:right w:w="108" w:type="dxa"/>
          </w:tblCellMar>
        </w:tblPrEx>
        <w:trPr>
          <w:trHeight w:val="943"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3.6</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是否允许递交备选投标方案</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不允许</w:t>
            </w:r>
          </w:p>
        </w:tc>
      </w:tr>
      <w:tr>
        <w:tblPrEx>
          <w:tblCellMar>
            <w:top w:w="0" w:type="dxa"/>
            <w:left w:w="108" w:type="dxa"/>
            <w:bottom w:w="0" w:type="dxa"/>
            <w:right w:w="108" w:type="dxa"/>
          </w:tblCellMar>
        </w:tblPrEx>
        <w:trPr>
          <w:trHeight w:val="623"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3.7.3</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签字和（或）盖章要求</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投标文件中要盖单位（公）章的地方，投标人均应使用CA数字证书加盖投标人的单位电子签章或盖好公章后上传的扫描件。签字可以是手签后上传的，也可以是电子手写签名或法定代表人的个人电子签章。</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4.4</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投标文件递交截止时间及地点</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时间：同投标截止时间。</w:t>
            </w:r>
          </w:p>
          <w:p>
            <w:pPr>
              <w:ind w:left="0" w:leftChars="0" w:firstLine="0" w:firstLineChars="0"/>
            </w:pPr>
            <w:r>
              <w:rPr>
                <w:rFonts w:hint="eastAsia"/>
                <w:lang w:bidi="ar"/>
              </w:rPr>
              <w:t>电子投标文件（加密版）递交地点：在投标截止时间前通过全国公共资源交易平台（河南省·洛阳市）系统中在线完成上传加密的电子投标文件。</w:t>
            </w:r>
          </w:p>
          <w:p>
            <w:pPr>
              <w:ind w:left="0" w:leftChars="0" w:firstLine="0" w:firstLineChars="0"/>
              <w:rPr>
                <w:b/>
              </w:rPr>
            </w:pPr>
            <w:r>
              <w:rPr>
                <w:rFonts w:hint="eastAsia"/>
                <w:lang w:bidi="ar"/>
              </w:rPr>
              <w:t>（提醒：投标人应考虑投标数据传输耗时以及意外情况的影响，适当提前上传。因投标人自身原因而导致投标文件无法导入“洛阳市电子招投标交易平台”电子开标、评标系统，该投标视为无效投标，投标人自行承担由此导致的全部责任）。</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5.1</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开标时间和地点</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开标时间：同投标截止时间；</w:t>
            </w:r>
          </w:p>
          <w:p>
            <w:pPr>
              <w:ind w:left="0" w:leftChars="0" w:firstLine="0" w:firstLineChars="0"/>
            </w:pPr>
            <w:r>
              <w:rPr>
                <w:rFonts w:hint="eastAsia"/>
                <w:lang w:bidi="ar"/>
              </w:rPr>
              <w:t>开标地点：同投标文件递交地点。</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rPr>
                <w:lang w:bidi="ar"/>
              </w:rPr>
            </w:pPr>
            <w:r>
              <w:rPr>
                <w:rFonts w:hint="eastAsia"/>
                <w:lang w:bidi="ar"/>
              </w:rPr>
              <w:t>5.2</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rPr>
                <w:lang w:bidi="ar"/>
              </w:rPr>
            </w:pPr>
            <w:r>
              <w:rPr>
                <w:rFonts w:hint="eastAsia"/>
                <w:lang w:bidi="ar"/>
              </w:rPr>
              <w:t>开标程序</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rPr>
                <w:lang w:bidi="ar"/>
              </w:rPr>
            </w:pPr>
            <w:r>
              <w:rPr>
                <w:rFonts w:hint="eastAsia"/>
                <w:lang w:bidi="ar"/>
              </w:rPr>
              <w:t>开标顺序：按照递交电子投标文件的顺序解密唱标。</w:t>
            </w:r>
          </w:p>
        </w:tc>
      </w:tr>
      <w:tr>
        <w:tblPrEx>
          <w:tblCellMar>
            <w:top w:w="0" w:type="dxa"/>
            <w:left w:w="108" w:type="dxa"/>
            <w:bottom w:w="0" w:type="dxa"/>
            <w:right w:w="108" w:type="dxa"/>
          </w:tblCellMar>
        </w:tblPrEx>
        <w:trPr>
          <w:trHeight w:val="51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rPr>
                <w:lang w:bidi="ar"/>
              </w:rPr>
            </w:pPr>
            <w:r>
              <w:rPr>
                <w:rFonts w:hint="eastAsia"/>
                <w:lang w:bidi="ar"/>
              </w:rPr>
              <w:t>6.1.1</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rPr>
                <w:lang w:bidi="ar"/>
              </w:rPr>
            </w:pPr>
            <w:r>
              <w:rPr>
                <w:rFonts w:hint="eastAsia"/>
                <w:lang w:bidi="ar"/>
              </w:rPr>
              <w:t>评标委员会的组建</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rPr>
                <w:lang w:bidi="ar"/>
              </w:rPr>
            </w:pPr>
            <w:r>
              <w:rPr>
                <w:rFonts w:hint="eastAsia"/>
                <w:lang w:bidi="ar"/>
              </w:rPr>
              <w:t>评标委员会构成：</w:t>
            </w:r>
            <w:r>
              <w:rPr>
                <w:rFonts w:hint="eastAsia"/>
                <w:u w:val="single"/>
                <w:lang w:bidi="ar"/>
              </w:rPr>
              <w:t xml:space="preserve"> 5 </w:t>
            </w:r>
            <w:r>
              <w:rPr>
                <w:rFonts w:hint="eastAsia"/>
                <w:lang w:bidi="ar"/>
              </w:rPr>
              <w:t>人；其中招标人代表</w:t>
            </w:r>
            <w:r>
              <w:rPr>
                <w:rFonts w:hint="eastAsia"/>
                <w:u w:val="single"/>
                <w:lang w:bidi="ar"/>
              </w:rPr>
              <w:t xml:space="preserve"> 1 </w:t>
            </w:r>
            <w:r>
              <w:rPr>
                <w:rFonts w:hint="eastAsia"/>
                <w:lang w:bidi="ar"/>
              </w:rPr>
              <w:t>人，专家</w:t>
            </w:r>
            <w:r>
              <w:rPr>
                <w:rFonts w:hint="eastAsia"/>
                <w:u w:val="single"/>
                <w:lang w:bidi="ar"/>
              </w:rPr>
              <w:t xml:space="preserve"> 4</w:t>
            </w:r>
            <w:r>
              <w:rPr>
                <w:rFonts w:hint="eastAsia"/>
                <w:lang w:bidi="ar"/>
              </w:rPr>
              <w:t>人；</w:t>
            </w:r>
          </w:p>
          <w:p>
            <w:pPr>
              <w:ind w:left="0" w:leftChars="0" w:firstLine="0" w:firstLineChars="0"/>
              <w:rPr>
                <w:lang w:bidi="ar"/>
              </w:rPr>
            </w:pPr>
            <w:r>
              <w:rPr>
                <w:rFonts w:hint="eastAsia"/>
                <w:lang w:bidi="ar"/>
              </w:rPr>
              <w:t>评标专家确定方式：经济、技术专家从河南省综合评标专家库中随机抽取确定。</w:t>
            </w:r>
          </w:p>
        </w:tc>
      </w:tr>
      <w:tr>
        <w:tblPrEx>
          <w:tblCellMar>
            <w:top w:w="0" w:type="dxa"/>
            <w:left w:w="108" w:type="dxa"/>
            <w:bottom w:w="0" w:type="dxa"/>
            <w:right w:w="108" w:type="dxa"/>
          </w:tblCellMar>
        </w:tblPrEx>
        <w:trPr>
          <w:trHeight w:val="51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6.3</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评标方法</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定量评审</w:t>
            </w:r>
          </w:p>
        </w:tc>
      </w:tr>
      <w:tr>
        <w:tblPrEx>
          <w:tblCellMar>
            <w:top w:w="0" w:type="dxa"/>
            <w:left w:w="108" w:type="dxa"/>
            <w:bottom w:w="0" w:type="dxa"/>
            <w:right w:w="108" w:type="dxa"/>
          </w:tblCellMar>
        </w:tblPrEx>
        <w:trPr>
          <w:trHeight w:val="51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6.3.2.4</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是否授权评标委员会确定中标人</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b/>
                <w:bCs/>
                <w:lang w:bidi="ar"/>
              </w:rPr>
              <w:t>评标委员会推荐不标明排序的中标候选人3名，按照其统一社会信用代码后4 位（除校验码外）由大到小排列。</w:t>
            </w:r>
            <w:r>
              <w:rPr>
                <w:rFonts w:hint="eastAsia"/>
                <w:b/>
                <w:bCs/>
              </w:rPr>
              <w:t>评标委员会应当对每个中标候选人的特点、优势、可能存在的风险等评审情况和推荐理由进行说明。注：评标环节的分数和名次不带入定标环节。</w:t>
            </w:r>
          </w:p>
        </w:tc>
      </w:tr>
      <w:tr>
        <w:tblPrEx>
          <w:tblCellMar>
            <w:top w:w="0" w:type="dxa"/>
            <w:left w:w="108" w:type="dxa"/>
            <w:bottom w:w="0" w:type="dxa"/>
            <w:right w:w="108" w:type="dxa"/>
          </w:tblCellMar>
        </w:tblPrEx>
        <w:trPr>
          <w:trHeight w:val="51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7.1</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定标委员会</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定标委员会应由5名及以上单数成员组成</w:t>
            </w:r>
          </w:p>
        </w:tc>
      </w:tr>
      <w:tr>
        <w:tblPrEx>
          <w:tblCellMar>
            <w:top w:w="0" w:type="dxa"/>
            <w:left w:w="108" w:type="dxa"/>
            <w:bottom w:w="0" w:type="dxa"/>
            <w:right w:w="108" w:type="dxa"/>
          </w:tblCellMar>
        </w:tblPrEx>
        <w:trPr>
          <w:trHeight w:val="51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rPr>
                <w:lang w:bidi="ar"/>
              </w:rPr>
            </w:pPr>
            <w:r>
              <w:rPr>
                <w:rFonts w:hint="eastAsia"/>
                <w:lang w:bidi="ar"/>
              </w:rPr>
              <w:t>7.3</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rPr>
                <w:lang w:bidi="ar"/>
              </w:rPr>
            </w:pPr>
            <w:r>
              <w:rPr>
                <w:rFonts w:hint="eastAsia"/>
                <w:lang w:bidi="ar"/>
              </w:rPr>
              <w:t>定标方法</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ind w:left="0" w:leftChars="0" w:firstLine="0" w:firstLineChars="0"/>
            </w:pPr>
            <w:r>
              <w:rPr>
                <w:rFonts w:hint="eastAsia" w:ascii="仿宋" w:hAnsi="仿宋" w:eastAsia="仿宋" w:cs="仿宋"/>
                <w:sz w:val="21"/>
                <w:szCs w:val="21"/>
                <w:lang w:bidi="ar"/>
              </w:rPr>
              <w:t>集体议事法</w:t>
            </w:r>
          </w:p>
        </w:tc>
      </w:tr>
      <w:tr>
        <w:tblPrEx>
          <w:tblCellMar>
            <w:top w:w="0" w:type="dxa"/>
            <w:left w:w="108" w:type="dxa"/>
            <w:bottom w:w="0" w:type="dxa"/>
            <w:right w:w="108" w:type="dxa"/>
          </w:tblCellMar>
        </w:tblPrEx>
        <w:trPr>
          <w:trHeight w:val="51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7.3.1</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履约担保</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rPr>
                <w:rFonts w:hint="eastAsia"/>
              </w:rPr>
            </w:pPr>
            <w:r>
              <w:rPr>
                <w:rFonts w:hint="eastAsia"/>
              </w:rPr>
              <w:t>履约担保的形式：提供履约保函（银行保函或保险公司保函）。</w:t>
            </w:r>
          </w:p>
          <w:p>
            <w:pPr>
              <w:ind w:left="0" w:leftChars="0" w:firstLine="0" w:firstLineChars="0"/>
            </w:pPr>
            <w:r>
              <w:rPr>
                <w:rFonts w:hint="eastAsia"/>
              </w:rPr>
              <w:t>金额：中标价的5％</w:t>
            </w:r>
          </w:p>
          <w:p>
            <w:pPr>
              <w:ind w:left="0" w:leftChars="0" w:firstLine="0" w:firstLineChars="0"/>
            </w:pPr>
            <w:r>
              <w:rPr>
                <w:rFonts w:hint="eastAsia"/>
              </w:rPr>
              <w:t>缴纳时间：合同签订前，逾期提交的，每逾期一日需承担合同总金额千分之三的违约金。</w:t>
            </w:r>
          </w:p>
          <w:p>
            <w:pPr>
              <w:ind w:left="0" w:leftChars="0" w:firstLine="0" w:firstLineChars="0"/>
            </w:pPr>
            <w:r>
              <w:rPr>
                <w:rFonts w:hint="eastAsia"/>
              </w:rPr>
              <w:t>以保函方式缴纳的，按河南省住房和城乡建设厅《关于印发&lt;工程保证保函基本要求（试行）&gt;》的通知》（豫建行规【2019】2号）和河南省住房和城乡建设厅等7部门《关于印发&lt;河南省工程保证制度实施办法（试行）&gt;的通知》（豫建【2018】14号）规定及招标人要求的形式出具。</w:t>
            </w:r>
          </w:p>
          <w:p>
            <w:pPr>
              <w:ind w:left="0" w:leftChars="0" w:firstLine="0" w:firstLineChars="0"/>
            </w:pPr>
            <w:r>
              <w:rPr>
                <w:rFonts w:hint="eastAsia"/>
              </w:rPr>
              <w:t>履约担保退还：承包人完全履约项目完成经竣工验收合格后且履约保函届满后自动失效，不再退还。</w:t>
            </w:r>
          </w:p>
        </w:tc>
      </w:tr>
      <w:tr>
        <w:tblPrEx>
          <w:tblCellMar>
            <w:top w:w="0" w:type="dxa"/>
            <w:left w:w="108" w:type="dxa"/>
            <w:bottom w:w="0" w:type="dxa"/>
            <w:right w:w="108" w:type="dxa"/>
          </w:tblCellMar>
        </w:tblPrEx>
        <w:trPr>
          <w:trHeight w:val="456"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10</w:t>
            </w:r>
          </w:p>
        </w:tc>
        <w:tc>
          <w:tcPr>
            <w:tcW w:w="85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b/>
                <w:bCs/>
                <w:lang w:bidi="ar"/>
              </w:rPr>
              <w:t>需要补充的其他内容</w:t>
            </w:r>
          </w:p>
        </w:tc>
      </w:tr>
      <w:tr>
        <w:tblPrEx>
          <w:tblCellMar>
            <w:top w:w="0" w:type="dxa"/>
            <w:left w:w="108" w:type="dxa"/>
            <w:bottom w:w="0" w:type="dxa"/>
            <w:right w:w="108" w:type="dxa"/>
          </w:tblCellMar>
        </w:tblPrEx>
        <w:trPr>
          <w:trHeight w:val="50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10.1</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rPr>
                <w:b/>
                <w:bCs/>
              </w:rPr>
            </w:pPr>
            <w:r>
              <w:rPr>
                <w:rFonts w:hint="eastAsia"/>
                <w:b/>
                <w:bCs/>
              </w:rPr>
              <w:t>最高投标限价（招标控制价）：</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rPr>
                <w:b/>
                <w:bCs/>
              </w:rPr>
            </w:pPr>
            <w:r>
              <w:rPr>
                <w:rFonts w:hint="eastAsia"/>
                <w:b/>
                <w:bCs/>
              </w:rPr>
              <w:t>最高投标限价（招标控制价）详见本节后 附的“最高投标限价(招标控制价)表”。</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10.2</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开标会议</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val="0"/>
              <w:overflowPunct/>
              <w:topLinePunct w:val="0"/>
              <w:autoSpaceDE/>
              <w:autoSpaceDN/>
              <w:bidi w:val="0"/>
              <w:adjustRightInd/>
              <w:snapToGrid/>
              <w:ind w:left="0" w:leftChars="0" w:firstLine="0" w:firstLineChars="0"/>
              <w:textAlignment w:val="auto"/>
            </w:pPr>
            <w:r>
              <w:rPr>
                <w:rFonts w:hint="eastAsia" w:ascii="仿宋" w:hAnsi="仿宋" w:eastAsia="仿宋" w:cs="仿宋"/>
                <w:kern w:val="2"/>
                <w:sz w:val="21"/>
                <w:szCs w:val="21"/>
                <w:lang w:val="en-US" w:eastAsia="zh-CN" w:bidi="ar"/>
              </w:rPr>
              <w:t>本项目采用远程不见面交易的模式。开标当日，投标人无需到开标现场参加开标会议，投标人应当在投标截止时间前，登录到洛阳市电子招投标交易平台（http://lyggzyjy.ly.gov.cn/TPBidder），点击右上方【不见面开标大厅】按钮进入，在线准时参加开标活动并进行投标文件解密等。</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10.3</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投标人违法行为的处理</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招标人若发现评标委员会推举的中标候选人有借用资质、串标围标、弄虚作假或其他违法行为谋取中标的，招标人将报请有关监督部门取消其中候选人资格或中标资格，情节严重的，招标人将上报有关监督部门按相关法律法规处理。给招标人造成的损失还应当予以赔偿。</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bookmarkStart w:id="25" w:name="_Hlk160810972"/>
            <w:r>
              <w:rPr>
                <w:rFonts w:hint="eastAsia"/>
                <w:lang w:bidi="ar"/>
              </w:rPr>
              <w:t>10.4</w:t>
            </w:r>
            <w:bookmarkEnd w:id="25"/>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付款办法</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rPr>
                <w:lang w:bidi="ar"/>
              </w:rPr>
            </w:pPr>
            <w:r>
              <w:rPr>
                <w:rFonts w:hint="eastAsia"/>
                <w:lang w:bidi="ar"/>
              </w:rPr>
              <w:t>1、付款办法：按工程形象进度付款：其中工程量完成50%，支付合同价的30%。工程竣工验收合格、竣工决算资料真实、完整地送达财政部门评审后，工程款支付到合同内的80% ；待财政部门对竣工决算审核批复、且有关单位办理固定资产移交手续后，工程款支付到财政审定金额的97% ；剩余3%作为质保金，在质保期届满且质保期内正常使用、期满验收合格、无质量问题后，无息支付给承包人。中标人须在招标人付款前向招标人开具相应金额的增值税专用发票，结算工作需按照洛财办〔2019〕63 号文规定的相关程序进行，不接受本付款方式的其投标不被接受。</w:t>
            </w:r>
          </w:p>
          <w:p>
            <w:pPr>
              <w:rPr>
                <w:lang w:bidi="ar"/>
              </w:rPr>
            </w:pPr>
            <w:r>
              <w:rPr>
                <w:rFonts w:hint="eastAsia"/>
                <w:lang w:bidi="ar"/>
              </w:rPr>
              <w:t>2、结算依据：投标单位应在投标文件中承诺接受建设单位委托的造价咨询服务单位的结算审核结果或财政部门的审核结果。如建设单位委托的造价咨询服务单位的结算审核结果经财政部门的稽核（审核）后对前述审核结果有调整的，以财政部门的稽核（审核）意见为准。（承诺函格式自拟）</w:t>
            </w:r>
          </w:p>
          <w:p>
            <w:r>
              <w:rPr>
                <w:rFonts w:hint="eastAsia"/>
                <w:lang w:bidi="ar"/>
              </w:rPr>
              <w:t>3、本项目施工配</w:t>
            </w:r>
            <w:r>
              <w:rPr>
                <w:rFonts w:hint="eastAsia"/>
                <w:color w:val="auto"/>
                <w:highlight w:val="none"/>
                <w:lang w:bidi="ar"/>
              </w:rPr>
              <w:t>合费和总承包管理费合计按1.5%，由建设单位协调中标人按相关规定与总包单位协商，并由中标人承担</w:t>
            </w:r>
            <w:r>
              <w:rPr>
                <w:rFonts w:hint="eastAsia"/>
                <w:lang w:bidi="ar"/>
              </w:rPr>
              <w:t>，</w:t>
            </w:r>
            <w:bookmarkStart w:id="26" w:name="_Hlk160810929"/>
            <w:r>
              <w:rPr>
                <w:rFonts w:hint="eastAsia"/>
                <w:lang w:bidi="ar"/>
              </w:rPr>
              <w:t>包含在合同价款中</w:t>
            </w:r>
            <w:bookmarkEnd w:id="26"/>
            <w:r>
              <w:rPr>
                <w:rFonts w:hint="eastAsia"/>
                <w:lang w:bidi="ar"/>
              </w:rPr>
              <w:t>。</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10.5</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关于对施工单位在工程价款结算时高估冒算的处理办法</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lang w:bidi="ar"/>
              </w:rPr>
              <w:t xml:space="preserve">施工单位所报结算资料经建设单位委托的造价咨询服务单位的结算审核（如财政部门稽核（审核）后对造价咨询服务单位的审核结果有调整的，以财政部门稽核（审核）意见为准），以审减额超过送审金额10%部分为基数，按4%计算审减追加审核费，从施工单位工程价款中扣除，并在《工程结算评审意见书》中明确。 </w:t>
            </w:r>
          </w:p>
          <w:p>
            <w:r>
              <w:rPr>
                <w:rFonts w:hint="eastAsia"/>
                <w:lang w:bidi="ar"/>
              </w:rPr>
              <w:t>工程结算经评审后，审减额超过送审金额 20%以上，且同一家施工企业在一年内（自发生之日起）发生两次（含）以上的，列入不良诚信记录。 同时，该企业一年内不得参加由市本级财政投资的基本建设项目招投标活动。</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10.6</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电子标雷同性检查</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r>
              <w:rPr>
                <w:rFonts w:hint="eastAsia"/>
                <w:lang w:bidi="ar"/>
              </w:rPr>
              <w:t>电子标雷同性认定及处理应符合《关于进一步做好房屋建筑和市政基础设施工程电子投标文件雷同认定与处理的通知》（洛建【2022】47 号）文件要求：</w:t>
            </w:r>
          </w:p>
          <w:p>
            <w:r>
              <w:rPr>
                <w:rFonts w:hint="eastAsia"/>
                <w:lang w:bidi="ar"/>
              </w:rPr>
              <w:t xml:space="preserve"> ①开评标过程中，电子开评标系统提示不同投标人的电子投标文件记录的文件制作机器码、文件创建标识码、文件生成标识码、IP 地址、计价软件电子加密锁锁号、计价软件电子加密锁企业实名认证信息等软硬件信息中 有一条及以上一致的，评标委员会应当对提示内容集体认定是否属于《中华人民共和国招标投标法实施条例》第四十条“视为投标人相互串通投标” 第（一）项“不同投标人的投标文件由同一单位或者个人编制”的情形。</w:t>
            </w:r>
          </w:p>
          <w:p>
            <w:r>
              <w:rPr>
                <w:rFonts w:hint="eastAsia"/>
                <w:lang w:bidi="ar"/>
              </w:rPr>
              <w:t xml:space="preserve"> ②开评标过程中，电子开评标系统提示不同投标人的投标技术文件存在高度雷同、投标报价或报价组成出现一致或者呈规律性变化的，评标委员会 应当对提示内容进行综合分析研判，集体认定是否属于《中华人民共和国招标投标法实施条例》第四十条“视为投标人相互串通投标”第（四）项 “不同投标人的投标文件异常一致或者投标报价呈规律性差异”的情形。</w:t>
            </w:r>
          </w:p>
          <w:p>
            <w:r>
              <w:rPr>
                <w:rFonts w:hint="eastAsia"/>
                <w:lang w:bidi="ar"/>
              </w:rPr>
              <w:t xml:space="preserve"> ③评标委员会在认定串通投标行为时，认为有必要的，可以要求投标人对 有关情况作出书面澄清。经认定，属于《中华人民共和国招标投标法实施条例》第四十条“视为投标人相互串通投标”情形的，评标委员会应当按 照《中华人民共和国招标投标法实施条例》第四十条和第五十一条第（七） 项的规定否决相应投标人的投标，并在评标报告中进行记录。评标委员会应当对电子开评标系统作出的雷同性提示内容以及串通投标行为的认定情 况，在评标报告中进行详细记录。招标人或其委托的招标代理机构应当对 评标委员会关于串通投标行为的认定情况和否决投标情况在招标投标情况书面报告中作出说明。</w:t>
            </w:r>
          </w:p>
          <w:p>
            <w:r>
              <w:rPr>
                <w:rFonts w:hint="eastAsia"/>
                <w:lang w:bidi="ar"/>
              </w:rPr>
              <w:t xml:space="preserve"> ④经查实，不同投标人存在串通投标行为的，按照《中华人民共和国招标 投标法》第五十三条和《中华人民共和国招标投标法实施条例》第六十七条的规定处罚；涉嫌构成犯罪的，依法移送公安机关追究刑事责任。</w:t>
            </w:r>
          </w:p>
          <w:p>
            <w:r>
              <w:rPr>
                <w:rFonts w:hint="eastAsia"/>
                <w:lang w:bidi="ar"/>
              </w:rPr>
              <w:t xml:space="preserve"> ⑤在计价软件电子加密锁实名信息库内填报虚假信息的，按照《河南省建 筑市场信用管理实施办法（暂行）》的规定，对企业的不良行为信息录入全省建筑市场公共信用管理系统并予以公示。</w:t>
            </w:r>
          </w:p>
          <w:p>
            <w:r>
              <w:rPr>
                <w:rFonts w:hint="eastAsia"/>
                <w:lang w:bidi="ar"/>
              </w:rPr>
              <w:t xml:space="preserve"> ⑥经查实，投标人使用存在虚假实名认证信息的计价软件电子加密锁编制 已标价工程量清单进行投标、或者篡改电子投标文件和已标价工程量清单记录的软硬件信息等弄虚作假行为的，按照《中华人民共和国招标投标法》第五十四条和《中华人民共和国招标投标法实施条例》第六十八条的规定处罚；涉嫌构成犯罪的，依法移送公安机关追究刑事责任。</w:t>
            </w:r>
          </w:p>
          <w:p>
            <w:pPr>
              <w:rPr>
                <w:color w:val="FF0000"/>
              </w:rPr>
            </w:pPr>
            <w:r>
              <w:rPr>
                <w:rFonts w:hint="eastAsia"/>
                <w:lang w:bidi="ar"/>
              </w:rPr>
              <w:t xml:space="preserve"> </w:t>
            </w:r>
            <w:r>
              <w:rPr>
                <w:rFonts w:hint="eastAsia"/>
                <w:b/>
                <w:bCs/>
                <w:lang w:bidi="ar"/>
              </w:rPr>
              <w:t>注：电子开评标系统对不同投标人的电子投标文件作出雷同性提示或预警的，资格评审委员会或评标委员会集体表决认定属于《中华人民共和国招标投标法实施条例》第四十条“视为投标人相互串通投标”的情形，同时写出串（围）标行为认定报告并签字的，按废标处理。</w:t>
            </w:r>
          </w:p>
        </w:tc>
      </w:tr>
      <w:tr>
        <w:tblPrEx>
          <w:tblCellMar>
            <w:top w:w="0" w:type="dxa"/>
            <w:left w:w="108" w:type="dxa"/>
            <w:bottom w:w="0" w:type="dxa"/>
            <w:right w:w="108" w:type="dxa"/>
          </w:tblCellMar>
        </w:tblPrEx>
        <w:trPr>
          <w:trHeight w:val="9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10.7</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对中标人项目部成员的相关规定</w:t>
            </w:r>
          </w:p>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1"/>
              <w:numPr>
                <w:ilvl w:val="0"/>
                <w:numId w:val="0"/>
              </w:numPr>
              <w:rPr>
                <w:lang w:bidi="ar"/>
              </w:rPr>
            </w:pPr>
            <w:r>
              <w:rPr>
                <w:rFonts w:hint="eastAsia" w:cs="仿宋"/>
                <w:kern w:val="2"/>
                <w:sz w:val="21"/>
                <w:szCs w:val="21"/>
                <w:lang w:val="en-US" w:eastAsia="zh-CN" w:bidi="ar"/>
              </w:rPr>
              <w:t>一</w:t>
            </w:r>
            <w:r>
              <w:rPr>
                <w:rFonts w:ascii="仿宋" w:hAnsi="仿宋" w:eastAsia="仿宋" w:cs="仿宋"/>
                <w:kern w:val="2"/>
                <w:sz w:val="21"/>
                <w:szCs w:val="21"/>
                <w:lang w:val="en-US" w:eastAsia="zh-CN" w:bidi="ar"/>
              </w:rPr>
              <w:t>、</w:t>
            </w:r>
            <w:r>
              <w:rPr>
                <w:rFonts w:hint="eastAsia"/>
                <w:lang w:bidi="ar"/>
              </w:rPr>
              <w:t>中标人须按投标文件派出项目经理、技术负责人及技术人员，否则招标人有权单方面解除合同，并要求中标人承担违约责任（违约金不低于中标合同总金额的 20%），扣除中标人的全部履约保证金，由此造成的一切损失均由中标人承担；施工期间，项目经理、技术负责人及工程技术人员需保证法定工作日及自身承诺的工作时间在施工现场，否则招标人有权单方面解除合同，并要求中标人承担违约责任，扣除中标人的全部履约保证金，由此造成的一切损失均由中标人承担。</w:t>
            </w:r>
          </w:p>
          <w:p>
            <w:pPr>
              <w:ind w:left="0" w:leftChars="0" w:firstLine="0" w:firstLineChars="0"/>
              <w:jc w:val="left"/>
              <w:rPr>
                <w:b/>
                <w:bCs/>
                <w:highlight w:val="none"/>
              </w:rPr>
            </w:pPr>
            <w:r>
              <w:rPr>
                <w:rFonts w:hint="eastAsia"/>
                <w:b/>
                <w:bCs/>
                <w:highlight w:val="none"/>
                <w:lang w:val="en-US" w:eastAsia="zh-CN" w:bidi="ar"/>
              </w:rPr>
              <w:t>二、</w:t>
            </w:r>
            <w:r>
              <w:rPr>
                <w:rFonts w:hint="eastAsia"/>
                <w:b/>
                <w:bCs/>
                <w:highlight w:val="none"/>
                <w:lang w:bidi="ar"/>
              </w:rPr>
              <w:t xml:space="preserve">对项目经理考勤及违约责任的约定 </w:t>
            </w:r>
          </w:p>
          <w:p>
            <w:pPr>
              <w:pStyle w:val="131"/>
              <w:numPr>
                <w:ilvl w:val="0"/>
                <w:numId w:val="0"/>
              </w:numPr>
              <w:ind w:left="0" w:leftChars="0" w:firstLine="420" w:firstLineChars="200"/>
            </w:pPr>
            <w:r>
              <w:rPr>
                <w:rFonts w:hint="eastAsia" w:cs="仿宋"/>
                <w:kern w:val="2"/>
                <w:sz w:val="21"/>
                <w:szCs w:val="21"/>
                <w:lang w:val="en-US" w:eastAsia="zh-CN" w:bidi="ar-SA"/>
              </w:rPr>
              <w:t>1</w:t>
            </w:r>
            <w:r>
              <w:rPr>
                <w:rFonts w:ascii="仿宋" w:hAnsi="仿宋" w:eastAsia="仿宋" w:cs="仿宋"/>
                <w:kern w:val="2"/>
                <w:sz w:val="21"/>
                <w:szCs w:val="21"/>
                <w:lang w:val="en-US" w:eastAsia="zh-CN" w:bidi="ar-SA"/>
              </w:rPr>
              <w:t>、</w:t>
            </w:r>
            <w:r>
              <w:rPr>
                <w:rFonts w:hint="eastAsia"/>
                <w:lang w:bidi="ar"/>
              </w:rPr>
              <w:t xml:space="preserve">考勤方式方法：全面实行“双随机、一公开”的监管模式，重点采取现场检查方式。现场检查：查证件（身份证、职业资格证、劳动合同、社保关系等）、查资料、查现场。 </w:t>
            </w:r>
          </w:p>
          <w:p>
            <w:pPr>
              <w:pStyle w:val="131"/>
              <w:numPr>
                <w:ilvl w:val="0"/>
                <w:numId w:val="0"/>
              </w:numPr>
              <w:ind w:left="0" w:leftChars="0" w:firstLine="420" w:firstLineChars="200"/>
              <w:rPr>
                <w:rFonts w:ascii="仿宋" w:hAnsi="仿宋" w:eastAsia="仿宋" w:cs="仿宋"/>
                <w:kern w:val="2"/>
                <w:sz w:val="21"/>
                <w:szCs w:val="21"/>
                <w:lang w:val="en-US" w:eastAsia="zh-CN" w:bidi="ar-SA"/>
              </w:rPr>
            </w:pPr>
            <w:r>
              <w:rPr>
                <w:rFonts w:hint="eastAsia" w:cs="仿宋"/>
                <w:kern w:val="2"/>
                <w:sz w:val="21"/>
                <w:szCs w:val="21"/>
                <w:lang w:val="en-US" w:eastAsia="zh-CN" w:bidi="ar-SA"/>
              </w:rPr>
              <w:t>2</w:t>
            </w:r>
            <w:r>
              <w:rPr>
                <w:rFonts w:hint="eastAsia" w:ascii="仿宋" w:hAnsi="仿宋" w:eastAsia="仿宋" w:cs="仿宋"/>
                <w:kern w:val="2"/>
                <w:sz w:val="21"/>
                <w:szCs w:val="21"/>
                <w:lang w:val="en-US" w:eastAsia="zh-CN" w:bidi="ar-SA"/>
              </w:rPr>
              <w:t>、考勤周期：一个月为一个考勤周期，考勤时间自进场施工起至工程竣工验收结束。</w:t>
            </w:r>
          </w:p>
          <w:p>
            <w:pPr>
              <w:pStyle w:val="131"/>
              <w:numPr>
                <w:ilvl w:val="0"/>
                <w:numId w:val="0"/>
              </w:numPr>
              <w:ind w:left="0" w:leftChars="0" w:firstLine="420" w:firstLineChars="200"/>
              <w:rPr>
                <w:rFonts w:ascii="仿宋" w:hAnsi="仿宋" w:eastAsia="仿宋" w:cs="仿宋"/>
                <w:kern w:val="2"/>
                <w:sz w:val="21"/>
                <w:szCs w:val="21"/>
                <w:lang w:val="en-US" w:eastAsia="zh-CN" w:bidi="ar-SA"/>
              </w:rPr>
            </w:pPr>
            <w:r>
              <w:rPr>
                <w:rFonts w:hint="eastAsia" w:cs="仿宋"/>
                <w:kern w:val="2"/>
                <w:sz w:val="21"/>
                <w:szCs w:val="21"/>
                <w:lang w:val="en-US" w:eastAsia="zh-CN" w:bidi="ar-SA"/>
              </w:rPr>
              <w:t>3</w:t>
            </w:r>
            <w:r>
              <w:rPr>
                <w:rFonts w:hint="eastAsia" w:ascii="仿宋" w:hAnsi="仿宋" w:eastAsia="仿宋" w:cs="仿宋"/>
                <w:kern w:val="2"/>
                <w:sz w:val="21"/>
                <w:szCs w:val="21"/>
                <w:lang w:val="en-US" w:eastAsia="zh-CN" w:bidi="ar-SA"/>
              </w:rPr>
              <w:t>、缺勤的法律责任：项目经理每月带班生产时间不得少于本月施工时间的 80%，因特殊原因确需请假的，至少提前一天报建设单位主管科室负责人审批，未经批准，不得离开。项目经理缺勤或者擅自离开施工现场的，其法律责任及后果详见招标文件所附合同文本中的相关内容。</w:t>
            </w:r>
          </w:p>
          <w:p>
            <w:r>
              <w:rPr>
                <w:rFonts w:hint="eastAsia"/>
                <w:lang w:val="en-US" w:eastAsia="zh-CN" w:bidi="ar"/>
              </w:rPr>
              <w:t>4</w:t>
            </w:r>
            <w:r>
              <w:rPr>
                <w:rFonts w:hint="eastAsia"/>
                <w:lang w:bidi="ar"/>
              </w:rPr>
              <w:t>、承包人应在发包人规定的限期内提交符合招标文件规定的劳动合同和社保已缴纳证明，否则项目经理无权履行职责，其法律责任及后果详见招标文件所附合同文本中的相关内容。</w:t>
            </w:r>
          </w:p>
          <w:p>
            <w:r>
              <w:rPr>
                <w:rFonts w:hint="eastAsia"/>
                <w:lang w:val="en-US" w:eastAsia="zh-CN" w:bidi="ar"/>
              </w:rPr>
              <w:t>5</w:t>
            </w:r>
            <w:r>
              <w:rPr>
                <w:rFonts w:hint="eastAsia"/>
                <w:lang w:bidi="ar"/>
              </w:rPr>
              <w:t>、项目经理不得随意变更。项目经理必须保证身体健康，能胜任本项目的工作。若出现重大疾病或意外事故等难以胜任的，经招标人同意，应依据《河南省规范项目经理和项目总监任职行为的若干规定（试行）》办理变更手续。经招标人书面同意，更换后的项目经理的注册执业资格、管理经验等不低于所更换人员，更换后的新任项目经理应具有原中标项目经理同等资质和相当业绩，企业需提供在本单位为其已缴纳一年的社保证明。 中标单位未经招标人书面同意擅自更换项目经理的，其法律责任及后果详见招标文件所附合同文本中的相关内容。</w:t>
            </w:r>
          </w:p>
          <w:p>
            <w:pPr>
              <w:rPr>
                <w:b/>
              </w:rPr>
            </w:pPr>
            <w:r>
              <w:rPr>
                <w:rFonts w:hint="eastAsia"/>
                <w:lang w:val="en-US" w:eastAsia="zh-CN" w:bidi="ar"/>
              </w:rPr>
              <w:t>6</w:t>
            </w:r>
            <w:r>
              <w:rPr>
                <w:rFonts w:hint="eastAsia"/>
                <w:lang w:bidi="ar"/>
              </w:rPr>
              <w:t>、对于不称职、履行职责不到位的项目经理，招标人有权要更换，中标单位应在接到书面通知后按要求给予更换，同时承担违约责任，相应违约等法律责任及后果详见招标文件所附合同文本中的相关内容。</w:t>
            </w:r>
          </w:p>
          <w:p>
            <w:pPr>
              <w:pStyle w:val="131"/>
              <w:numPr>
                <w:ilvl w:val="0"/>
                <w:numId w:val="0"/>
              </w:numPr>
              <w:ind w:left="0" w:leftChars="0" w:firstLine="0" w:firstLineChars="0"/>
              <w:rPr>
                <w:b/>
                <w:bCs/>
              </w:rPr>
            </w:pPr>
            <w:r>
              <w:rPr>
                <w:rFonts w:hint="eastAsia" w:cs="仿宋"/>
                <w:b/>
                <w:bCs/>
                <w:kern w:val="2"/>
                <w:sz w:val="21"/>
                <w:szCs w:val="21"/>
                <w:lang w:val="en-US" w:eastAsia="zh-CN" w:bidi="ar-SA"/>
              </w:rPr>
              <w:t>三</w:t>
            </w:r>
            <w:r>
              <w:rPr>
                <w:rFonts w:ascii="仿宋" w:hAnsi="仿宋" w:eastAsia="仿宋" w:cs="仿宋"/>
                <w:b/>
                <w:bCs/>
                <w:kern w:val="2"/>
                <w:sz w:val="21"/>
                <w:szCs w:val="21"/>
                <w:lang w:val="en-US" w:eastAsia="zh-CN" w:bidi="ar-SA"/>
              </w:rPr>
              <w:t>、</w:t>
            </w:r>
            <w:r>
              <w:rPr>
                <w:rFonts w:hint="eastAsia"/>
                <w:b/>
                <w:bCs/>
                <w:lang w:bidi="ar"/>
              </w:rPr>
              <w:t xml:space="preserve">对项目其他主要管理人员的要求 </w:t>
            </w:r>
          </w:p>
          <w:p>
            <w:r>
              <w:rPr>
                <w:rFonts w:hint="eastAsia"/>
                <w:lang w:bidi="ar"/>
              </w:rPr>
              <w:t>其他主要施工管理人员是指，除项目经理之外的技术负责人、施工员、质量员、预算员或造价人员、试验员、测量员、安全员、材料员、资料员等岗位人员。以上人员应为中标单位的正式职工，与中标单位签订了劳动合同，中标单位为其办理了社会保险。中标单位应承诺</w:t>
            </w:r>
            <w:r>
              <w:rPr>
                <w:rFonts w:hint="eastAsia"/>
                <w:b/>
                <w:lang w:bidi="ar"/>
              </w:rPr>
              <w:t>（承诺书格式自拟）</w:t>
            </w:r>
            <w:r>
              <w:rPr>
                <w:rFonts w:hint="eastAsia"/>
                <w:lang w:bidi="ar"/>
              </w:rPr>
              <w:t>以上人员应该与投标文件中填报的主要项目部成员一致。</w:t>
            </w:r>
          </w:p>
          <w:p>
            <w:r>
              <w:rPr>
                <w:rFonts w:hint="eastAsia"/>
                <w:lang w:bidi="ar"/>
              </w:rPr>
              <w:t>如出现违约情况其法律责任及后果详见招标文件所附合同文本中的相关内容。</w:t>
            </w:r>
          </w:p>
        </w:tc>
      </w:tr>
      <w:tr>
        <w:tblPrEx>
          <w:tblCellMar>
            <w:top w:w="0" w:type="dxa"/>
            <w:left w:w="108" w:type="dxa"/>
            <w:bottom w:w="0" w:type="dxa"/>
            <w:right w:w="108" w:type="dxa"/>
          </w:tblCellMar>
        </w:tblPrEx>
        <w:trPr>
          <w:trHeight w:val="9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10.8</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rPr>
                <w:b/>
              </w:rPr>
            </w:pPr>
            <w:r>
              <w:rPr>
                <w:rFonts w:hint="eastAsia"/>
                <w:lang w:bidi="ar"/>
              </w:rPr>
              <w:t>对项目工期的规定</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pPr>
            <w:r>
              <w:rPr>
                <w:rFonts w:ascii="仿宋" w:hAnsi="仿宋" w:eastAsia="仿宋" w:cs="仿宋"/>
                <w:kern w:val="2"/>
                <w:sz w:val="21"/>
                <w:szCs w:val="21"/>
                <w:lang w:val="en-US" w:eastAsia="zh-CN" w:bidi="ar-SA"/>
              </w:rPr>
              <w:t>1、</w:t>
            </w:r>
            <w:r>
              <w:rPr>
                <w:rFonts w:hint="eastAsia"/>
                <w:lang w:bidi="ar"/>
              </w:rPr>
              <w:t xml:space="preserve">本项目中标单位，非因为不可抗力或招标人的原因，没有在投标文 件承诺的工期内完工的，每逾期一日承担合同金额千分之二约金；连续逾期超过10日或累计20日以上的，招标人有权通知中标单位解除合同，合同自招标人解除合同通知送达中标单位时解除，合同解除后，招标人有权在扣除履约担保（保证）金之外，要求中标单位按合同约定承担违约责任和赔偿全部损失。 </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pPr>
            <w:r>
              <w:rPr>
                <w:rFonts w:ascii="仿宋" w:hAnsi="仿宋" w:eastAsia="仿宋" w:cs="仿宋"/>
                <w:kern w:val="2"/>
                <w:sz w:val="21"/>
                <w:szCs w:val="21"/>
                <w:lang w:val="en-US" w:eastAsia="zh-CN" w:bidi="ar-SA"/>
              </w:rPr>
              <w:t>2、</w:t>
            </w:r>
            <w:r>
              <w:rPr>
                <w:rFonts w:hint="eastAsia"/>
                <w:lang w:bidi="ar"/>
              </w:rPr>
              <w:t xml:space="preserve">中标单位进场后，不能按照投标文件中工期网络图承诺的施工节点按时完成的施工任务的，第一次承担合同总金额1%的违约金；第二次承担合同总金额3%的违约金，并限期整改；第三次发现仍不能按承诺的施工节点按时完成施工任务的，招标人有权通知中标单位解除合同，合同自招标人解除合同通知送达施工企业时解除，合同解除后，招标人有权在扣除履约担保金之外，要求中标单位按合同约定承担违约责任和赔偿全部损失。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pPr>
            <w:r>
              <w:rPr>
                <w:rFonts w:hint="eastAsia" w:ascii="仿宋" w:hAnsi="仿宋" w:eastAsia="仿宋" w:cs="仿宋"/>
                <w:kern w:val="2"/>
                <w:sz w:val="21"/>
                <w:szCs w:val="21"/>
                <w:lang w:val="en-US" w:eastAsia="zh-CN" w:bidi="ar-SA"/>
              </w:rPr>
              <w:t>3、自下达开工令起五日之内，项目经理不到位或中标单位不能按期进场施工的，将视为自动放弃中标资格或不愿履行合同，招标人有权解除合同，并在扣除履约担保金之外，要求中标单位按合同约定承担违约责任和赔偿全部损失。</w:t>
            </w:r>
          </w:p>
        </w:tc>
      </w:tr>
      <w:tr>
        <w:tblPrEx>
          <w:tblCellMar>
            <w:top w:w="0" w:type="dxa"/>
            <w:left w:w="108" w:type="dxa"/>
            <w:bottom w:w="0" w:type="dxa"/>
            <w:right w:w="108" w:type="dxa"/>
          </w:tblCellMar>
        </w:tblPrEx>
        <w:trPr>
          <w:trHeight w:val="9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10.9</w:t>
            </w:r>
          </w:p>
        </w:tc>
        <w:tc>
          <w:tcPr>
            <w:tcW w:w="2385"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pPr>
            <w:r>
              <w:rPr>
                <w:rFonts w:hint="eastAsia"/>
                <w:lang w:bidi="ar"/>
              </w:rPr>
              <w:t>涉及隐瞒“诉讼、仲裁”事项的处理方法：</w:t>
            </w:r>
          </w:p>
        </w:tc>
        <w:tc>
          <w:tcPr>
            <w:tcW w:w="613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textAlignment w:val="auto"/>
            </w:pPr>
            <w:r>
              <w:rPr>
                <w:rFonts w:ascii="仿宋" w:hAnsi="仿宋" w:eastAsia="仿宋" w:cs="仿宋"/>
                <w:kern w:val="2"/>
                <w:sz w:val="21"/>
                <w:szCs w:val="21"/>
                <w:lang w:val="en-US" w:eastAsia="zh-CN" w:bidi="ar-SA"/>
              </w:rPr>
              <w:t>3、</w:t>
            </w:r>
            <w:r>
              <w:rPr>
                <w:rFonts w:hint="eastAsia"/>
                <w:lang w:bidi="ar"/>
              </w:rPr>
              <w:t xml:space="preserve">涉及隐瞒“诉讼、仲裁”事项的处理方法：在招投标阶段发现的，按投标无效处理，并扣除投标保证金；在中标通知书发出前发现的，按中标无效处理，并扣除投标保证金；在合同执行阶段发现的，招标人有权解除合同，合同自招标人解除合同通知送达时解除，合同解除后，招标人有权在扣除履约担保金之外，要求中标单位按合同约定承担违约责任和赔偿全部损失。 </w:t>
            </w:r>
            <w:r>
              <w:rPr>
                <w:rFonts w:hint="eastAsia"/>
                <w:b/>
                <w:lang w:bidi="ar"/>
              </w:rPr>
              <w:t>（以评标现场在中国执行信息公开网综合查询的结果为准）</w:t>
            </w:r>
            <w:r>
              <w:rPr>
                <w:rFonts w:hint="eastAsia"/>
                <w:lang w:bidi="ar"/>
              </w:rPr>
              <w:t xml:space="preserve"> 。</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pPr>
            <w:r>
              <w:rPr>
                <w:rFonts w:ascii="仿宋" w:hAnsi="仿宋" w:eastAsia="仿宋" w:cs="仿宋"/>
                <w:kern w:val="2"/>
                <w:sz w:val="21"/>
                <w:szCs w:val="21"/>
                <w:lang w:val="en-US" w:eastAsia="zh-CN" w:bidi="ar-SA"/>
              </w:rPr>
              <w:t>4、</w:t>
            </w:r>
            <w:r>
              <w:rPr>
                <w:rFonts w:hint="eastAsia"/>
                <w:lang w:bidi="ar"/>
              </w:rPr>
              <w:t xml:space="preserve">涉及“投标人处于被责令停产、停业，或者投标资格被取消、最近三年内有骗取中标或者严重违约或者重大工程质量等问题，存在围标、串标行为、存在被有关部门暂停投标资格并在暂停 期内的”；以及“拟派项目经理最近三年内有严重违约或者重大工程质量等问题，存在围标、串标行为、存在被有关部门暂停投标资格并在暂停期内的”的处理方法：在招投标阶段发现的，按投标无效处理并扣除投标保证金；在中标通知书发出前发现的，按中标无效处理并扣除投标保证金；在合同执行阶段发现的，招标人 有权解除合同，合同自招标人解除合同通知送达时解除，合同解除后，招标人有权在扣除履约担保金之外，要求中标单位按合同约定承担违约责任和赔偿全部损失。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pPr>
            <w:r>
              <w:rPr>
                <w:rFonts w:hint="eastAsia"/>
                <w:b/>
                <w:bCs/>
                <w:lang w:bidi="ar"/>
              </w:rPr>
              <w:t>（以</w:t>
            </w:r>
            <w:r>
              <w:rPr>
                <w:rFonts w:hint="eastAsia"/>
                <w:b/>
                <w:bCs/>
                <w:lang w:val="en-US" w:eastAsia="zh-CN" w:bidi="ar"/>
              </w:rPr>
              <w:t>信用中国</w:t>
            </w:r>
            <w:r>
              <w:rPr>
                <w:rFonts w:hint="eastAsia"/>
                <w:b/>
                <w:bCs/>
                <w:lang w:bidi="ar"/>
              </w:rPr>
              <w:t>查询的结果为准）。</w:t>
            </w:r>
          </w:p>
        </w:tc>
      </w:tr>
      <w:tr>
        <w:tblPrEx>
          <w:tblCellMar>
            <w:top w:w="0" w:type="dxa"/>
            <w:left w:w="108" w:type="dxa"/>
            <w:bottom w:w="0" w:type="dxa"/>
            <w:right w:w="108" w:type="dxa"/>
          </w:tblCellMar>
        </w:tblPrEx>
        <w:trPr>
          <w:trHeight w:val="9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10.10</w:t>
            </w:r>
          </w:p>
        </w:tc>
        <w:tc>
          <w:tcPr>
            <w:tcW w:w="85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b w:val="0"/>
                <w:bCs w:val="0"/>
              </w:rPr>
            </w:pPr>
            <w:r>
              <w:rPr>
                <w:rFonts w:hint="eastAsia"/>
                <w:b w:val="0"/>
                <w:bCs w:val="0"/>
                <w:lang w:bidi="ar"/>
              </w:rPr>
              <w:t>1、本项目采用电子开评标，投标人开标前必须通过企业CA数字证书上传投标文件及清单电子版。因投标人自身原因而导致投标文件无法导入“洛阳市电子招投标交易平台”电子开标、评标系统，该投标视为无效投标，投标人自行承担由此导致的全部责任。</w:t>
            </w:r>
          </w:p>
          <w:p>
            <w:pPr>
              <w:keepNext w:val="0"/>
              <w:keepLines w:val="0"/>
              <w:pageBreakBefore w:val="0"/>
              <w:widowControl w:val="0"/>
              <w:kinsoku/>
              <w:wordWrap/>
              <w:overflowPunct/>
              <w:topLinePunct w:val="0"/>
              <w:autoSpaceDE/>
              <w:autoSpaceDN/>
              <w:bidi w:val="0"/>
              <w:adjustRightInd/>
              <w:snapToGrid/>
              <w:spacing w:line="460" w:lineRule="exact"/>
              <w:textAlignment w:val="auto"/>
              <w:rPr>
                <w:b w:val="0"/>
                <w:bCs w:val="0"/>
              </w:rPr>
            </w:pPr>
            <w:r>
              <w:rPr>
                <w:rFonts w:hint="eastAsia"/>
                <w:b w:val="0"/>
                <w:bCs w:val="0"/>
                <w:lang w:bidi="ar"/>
              </w:rPr>
              <w:t>2、投标人无需递交纸质版投标文件。</w:t>
            </w:r>
          </w:p>
          <w:p>
            <w:pPr>
              <w:keepNext w:val="0"/>
              <w:keepLines w:val="0"/>
              <w:pageBreakBefore w:val="0"/>
              <w:widowControl w:val="0"/>
              <w:kinsoku/>
              <w:wordWrap/>
              <w:overflowPunct/>
              <w:topLinePunct w:val="0"/>
              <w:autoSpaceDE/>
              <w:autoSpaceDN/>
              <w:bidi w:val="0"/>
              <w:adjustRightInd/>
              <w:snapToGrid/>
              <w:spacing w:line="460" w:lineRule="exact"/>
              <w:textAlignment w:val="auto"/>
              <w:rPr>
                <w:b w:val="0"/>
                <w:bCs w:val="0"/>
              </w:rPr>
            </w:pPr>
            <w:r>
              <w:rPr>
                <w:rFonts w:hint="eastAsia"/>
                <w:b w:val="0"/>
                <w:bCs w:val="0"/>
                <w:lang w:bidi="ar"/>
              </w:rPr>
              <w:t>3、投标文件的制作：</w:t>
            </w:r>
          </w:p>
          <w:p>
            <w:pPr>
              <w:keepNext w:val="0"/>
              <w:keepLines w:val="0"/>
              <w:pageBreakBefore w:val="0"/>
              <w:widowControl w:val="0"/>
              <w:kinsoku/>
              <w:wordWrap/>
              <w:overflowPunct/>
              <w:topLinePunct w:val="0"/>
              <w:autoSpaceDE/>
              <w:autoSpaceDN/>
              <w:bidi w:val="0"/>
              <w:adjustRightInd/>
              <w:snapToGrid/>
              <w:spacing w:line="460" w:lineRule="exact"/>
              <w:textAlignment w:val="auto"/>
              <w:rPr>
                <w:b w:val="0"/>
                <w:bCs w:val="0"/>
              </w:rPr>
            </w:pPr>
            <w:r>
              <w:rPr>
                <w:rFonts w:hint="eastAsia"/>
                <w:b w:val="0"/>
                <w:bCs w:val="0"/>
                <w:lang w:bidi="ar"/>
              </w:rPr>
              <w:t>（1）投标文件由投标人使用洛阳市公共资源交易中心网站提供的最新版的投标文件制作工具制作生成。</w:t>
            </w:r>
          </w:p>
          <w:p>
            <w:pPr>
              <w:keepNext w:val="0"/>
              <w:keepLines w:val="0"/>
              <w:pageBreakBefore w:val="0"/>
              <w:widowControl w:val="0"/>
              <w:kinsoku/>
              <w:wordWrap/>
              <w:overflowPunct/>
              <w:topLinePunct w:val="0"/>
              <w:autoSpaceDE/>
              <w:autoSpaceDN/>
              <w:bidi w:val="0"/>
              <w:adjustRightInd/>
              <w:snapToGrid/>
              <w:spacing w:line="460" w:lineRule="exact"/>
              <w:textAlignment w:val="auto"/>
              <w:rPr>
                <w:b w:val="0"/>
                <w:bCs w:val="0"/>
              </w:rPr>
            </w:pPr>
            <w:r>
              <w:rPr>
                <w:rFonts w:hint="eastAsia"/>
                <w:b w:val="0"/>
                <w:bCs w:val="0"/>
                <w:lang w:bidi="ar"/>
              </w:rPr>
              <w:t>（2）投标人在编制投标文件时应建立分级目录，并按照标签提示导入相关内容。</w:t>
            </w:r>
          </w:p>
          <w:p>
            <w:pPr>
              <w:keepNext w:val="0"/>
              <w:keepLines w:val="0"/>
              <w:pageBreakBefore w:val="0"/>
              <w:widowControl w:val="0"/>
              <w:kinsoku/>
              <w:wordWrap/>
              <w:overflowPunct/>
              <w:topLinePunct w:val="0"/>
              <w:autoSpaceDE/>
              <w:autoSpaceDN/>
              <w:bidi w:val="0"/>
              <w:adjustRightInd/>
              <w:snapToGrid/>
              <w:spacing w:line="460" w:lineRule="exact"/>
              <w:textAlignment w:val="auto"/>
              <w:rPr>
                <w:b w:val="0"/>
                <w:bCs w:val="0"/>
              </w:rPr>
            </w:pPr>
            <w:r>
              <w:rPr>
                <w:rFonts w:hint="eastAsia"/>
                <w:b w:val="0"/>
                <w:bCs w:val="0"/>
                <w:lang w:bidi="ar"/>
              </w:rPr>
              <w:t>（3）投标文件所附证明材料均为原件的扫描件（启用电子证书的可以是加盖企业公章的网络打印截图），尺寸和清晰度应该能够在电脑上被阅读、识别和判断；若投标人未按要求提供证明材料或提供不清晰的扫描件的，评标委员会有权认定其投标文件未对招标文件有关要求进行响应，各投标单位对原件扫描件的真实性、合法性、有效性负责。</w:t>
            </w:r>
          </w:p>
          <w:p>
            <w:pPr>
              <w:keepNext w:val="0"/>
              <w:keepLines w:val="0"/>
              <w:pageBreakBefore w:val="0"/>
              <w:widowControl w:val="0"/>
              <w:kinsoku/>
              <w:wordWrap/>
              <w:overflowPunct/>
              <w:topLinePunct w:val="0"/>
              <w:autoSpaceDE/>
              <w:autoSpaceDN/>
              <w:bidi w:val="0"/>
              <w:adjustRightInd/>
              <w:snapToGrid/>
              <w:spacing w:line="460" w:lineRule="exact"/>
              <w:textAlignment w:val="auto"/>
              <w:rPr>
                <w:b w:val="0"/>
                <w:bCs w:val="0"/>
              </w:rPr>
            </w:pPr>
            <w:r>
              <w:rPr>
                <w:rFonts w:hint="eastAsia"/>
                <w:b w:val="0"/>
                <w:bCs w:val="0"/>
                <w:lang w:bidi="ar"/>
              </w:rPr>
              <w:t>（4）投标文件中的已标价工程量清单数据文件应与招标人提供的工程量清单数据文件格式一致。</w:t>
            </w:r>
          </w:p>
          <w:p>
            <w:pPr>
              <w:keepNext w:val="0"/>
              <w:keepLines w:val="0"/>
              <w:pageBreakBefore w:val="0"/>
              <w:widowControl w:val="0"/>
              <w:kinsoku/>
              <w:wordWrap/>
              <w:overflowPunct/>
              <w:topLinePunct w:val="0"/>
              <w:autoSpaceDE/>
              <w:autoSpaceDN/>
              <w:bidi w:val="0"/>
              <w:adjustRightInd/>
              <w:snapToGrid/>
              <w:spacing w:line="460" w:lineRule="exact"/>
              <w:textAlignment w:val="auto"/>
              <w:rPr>
                <w:b w:val="0"/>
                <w:bCs w:val="0"/>
              </w:rPr>
            </w:pPr>
            <w:r>
              <w:rPr>
                <w:rFonts w:hint="eastAsia"/>
                <w:b w:val="0"/>
                <w:bCs w:val="0"/>
                <w:lang w:bidi="ar"/>
              </w:rPr>
              <w:t>（5）招标文件中要求提供网页查询路径或查询网址的，投标人在制作投标文件时应将查询路径或查询网址复制至投标文件中，方便评委会在评审时点击网址便可查询相关内容。</w:t>
            </w:r>
          </w:p>
          <w:p>
            <w:pPr>
              <w:keepNext w:val="0"/>
              <w:keepLines w:val="0"/>
              <w:pageBreakBefore w:val="0"/>
              <w:widowControl w:val="0"/>
              <w:kinsoku/>
              <w:wordWrap/>
              <w:overflowPunct/>
              <w:topLinePunct w:val="0"/>
              <w:autoSpaceDE/>
              <w:autoSpaceDN/>
              <w:bidi w:val="0"/>
              <w:adjustRightInd/>
              <w:snapToGrid/>
              <w:spacing w:line="460" w:lineRule="exact"/>
              <w:textAlignment w:val="auto"/>
              <w:rPr>
                <w:b w:val="0"/>
                <w:bCs w:val="0"/>
              </w:rPr>
            </w:pPr>
            <w:r>
              <w:rPr>
                <w:rFonts w:hint="eastAsia"/>
                <w:b w:val="0"/>
                <w:bCs w:val="0"/>
                <w:lang w:bidi="ar"/>
              </w:rPr>
              <w:t>（6）投标文件格式中要求盖单位章的地方，投标人均应使用CA数字证书加盖投标人的单位电子签章。法定代表人签字或盖章的签名可以是手签后上传的，也可以是电子手写签名或法定代表人的个人电子签章；委托代理人及项目经理签名可以是手签后上传的，也可以是电子手写签名。联合体投标的，投标文件由联合体牵头人按上述规定加盖联合体牵头人单位电子签章和（或）法定代表人手签后上传的，也可以是电子手写签名或法定代表人的个人电子签章。</w:t>
            </w:r>
          </w:p>
          <w:p>
            <w:pPr>
              <w:keepNext w:val="0"/>
              <w:keepLines w:val="0"/>
              <w:pageBreakBefore w:val="0"/>
              <w:widowControl w:val="0"/>
              <w:kinsoku/>
              <w:wordWrap/>
              <w:overflowPunct/>
              <w:topLinePunct w:val="0"/>
              <w:autoSpaceDE/>
              <w:autoSpaceDN/>
              <w:bidi w:val="0"/>
              <w:adjustRightInd/>
              <w:snapToGrid/>
              <w:spacing w:line="460" w:lineRule="exact"/>
              <w:textAlignment w:val="auto"/>
            </w:pPr>
            <w:r>
              <w:rPr>
                <w:rFonts w:hint="eastAsia"/>
                <w:b w:val="0"/>
                <w:bCs w:val="0"/>
                <w:lang w:bidi="ar"/>
              </w:rPr>
              <w:t>（7）投标文件制作完成后，最后一步生成电子投标文件和对投标文件进行加密时，投标人应使用投标人单位 CA 数字证书。未加密的电子投标文件应与加密的电子投标文件为同时生成的版本。（8）投标文件制作的具体方法详见投标文件制作工具操作手册及投标文件制作工具中的帮助文档。</w:t>
            </w:r>
          </w:p>
        </w:tc>
      </w:tr>
      <w:tr>
        <w:tblPrEx>
          <w:tblCellMar>
            <w:top w:w="0" w:type="dxa"/>
            <w:left w:w="108" w:type="dxa"/>
            <w:bottom w:w="0" w:type="dxa"/>
            <w:right w:w="108" w:type="dxa"/>
          </w:tblCellMar>
        </w:tblPrEx>
        <w:trPr>
          <w:trHeight w:val="465"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10.11</w:t>
            </w:r>
          </w:p>
        </w:tc>
        <w:tc>
          <w:tcPr>
            <w:tcW w:w="85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pPr>
            <w:r>
              <w:rPr>
                <w:rFonts w:hint="eastAsia"/>
              </w:rPr>
              <w:t xml:space="preserve">落实政府采购政策： </w:t>
            </w:r>
          </w:p>
          <w:p>
            <w:pPr>
              <w:keepNext w:val="0"/>
              <w:keepLines w:val="0"/>
              <w:pageBreakBefore w:val="0"/>
              <w:widowControl w:val="0"/>
              <w:kinsoku/>
              <w:wordWrap/>
              <w:overflowPunct/>
              <w:topLinePunct w:val="0"/>
              <w:autoSpaceDE/>
              <w:autoSpaceDN/>
              <w:bidi w:val="0"/>
              <w:adjustRightInd/>
              <w:snapToGrid/>
              <w:spacing w:line="460" w:lineRule="exact"/>
              <w:textAlignment w:val="auto"/>
            </w:pPr>
            <w:r>
              <w:rPr>
                <w:rFonts w:hint="eastAsia"/>
              </w:rPr>
              <w:t xml:space="preserve">1、本项目对应的《中小企业划型标准规定》（工信部联企业〔2011〕300 号）中小企业划分标准所属行业为“建筑业”；（三）建筑业。营业收入 80000 万元以下或资产总额80000 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pPr>
              <w:keepNext w:val="0"/>
              <w:keepLines w:val="0"/>
              <w:pageBreakBefore w:val="0"/>
              <w:widowControl w:val="0"/>
              <w:kinsoku/>
              <w:wordWrap/>
              <w:overflowPunct/>
              <w:topLinePunct w:val="0"/>
              <w:autoSpaceDE/>
              <w:autoSpaceDN/>
              <w:bidi w:val="0"/>
              <w:adjustRightInd/>
              <w:snapToGrid/>
              <w:spacing w:line="460" w:lineRule="exact"/>
              <w:textAlignment w:val="auto"/>
            </w:pPr>
            <w:r>
              <w:rPr>
                <w:rFonts w:hint="eastAsia"/>
              </w:rPr>
              <w:t xml:space="preserve">本规定适用于在中华人民共和国境内依法设立的各类所有制和各种组织形式的企业。个体工商户和本规定以外的行业，参照本规定进行划型。 </w:t>
            </w:r>
          </w:p>
          <w:p>
            <w:pPr>
              <w:keepNext w:val="0"/>
              <w:keepLines w:val="0"/>
              <w:pageBreakBefore w:val="0"/>
              <w:widowControl w:val="0"/>
              <w:kinsoku/>
              <w:wordWrap/>
              <w:overflowPunct/>
              <w:topLinePunct w:val="0"/>
              <w:autoSpaceDE/>
              <w:autoSpaceDN/>
              <w:bidi w:val="0"/>
              <w:adjustRightInd/>
              <w:snapToGrid/>
              <w:spacing w:line="460" w:lineRule="exact"/>
              <w:textAlignment w:val="auto"/>
            </w:pPr>
            <w:r>
              <w:rPr>
                <w:rFonts w:hint="eastAsia"/>
              </w:rPr>
              <w:t xml:space="preserve">本规定的中型企业标准上限即为大型企业标准的下限。 </w:t>
            </w:r>
          </w:p>
          <w:p>
            <w:pPr>
              <w:keepNext w:val="0"/>
              <w:keepLines w:val="0"/>
              <w:pageBreakBefore w:val="0"/>
              <w:widowControl w:val="0"/>
              <w:kinsoku/>
              <w:wordWrap/>
              <w:overflowPunct/>
              <w:topLinePunct w:val="0"/>
              <w:autoSpaceDE/>
              <w:autoSpaceDN/>
              <w:bidi w:val="0"/>
              <w:adjustRightInd/>
              <w:snapToGrid/>
              <w:spacing w:line="460" w:lineRule="exact"/>
              <w:textAlignment w:val="auto"/>
            </w:pPr>
            <w:r>
              <w:rPr>
                <w:rFonts w:hint="eastAsia"/>
              </w:rPr>
              <w:t xml:space="preserve">2、根据《政府采购促进中小企业发展管理办法》（财库【2020】46 号）的规定，投标人为小微企业的，在投标报价得分的基础上增加其价格得分的5%作为其价格分，计算公式如下。 </w:t>
            </w:r>
          </w:p>
          <w:p>
            <w:pPr>
              <w:keepNext w:val="0"/>
              <w:keepLines w:val="0"/>
              <w:pageBreakBefore w:val="0"/>
              <w:widowControl w:val="0"/>
              <w:kinsoku/>
              <w:wordWrap/>
              <w:overflowPunct/>
              <w:topLinePunct w:val="0"/>
              <w:autoSpaceDE/>
              <w:autoSpaceDN/>
              <w:bidi w:val="0"/>
              <w:adjustRightInd/>
              <w:snapToGrid/>
              <w:spacing w:line="460" w:lineRule="exact"/>
              <w:textAlignment w:val="auto"/>
            </w:pPr>
            <w:r>
              <w:rPr>
                <w:rFonts w:hint="eastAsia"/>
              </w:rPr>
              <w:t xml:space="preserve">小微企业投标报价得分=采用原报价评审得分×（1+5%）。 </w:t>
            </w:r>
          </w:p>
          <w:p>
            <w:pPr>
              <w:keepNext w:val="0"/>
              <w:keepLines w:val="0"/>
              <w:pageBreakBefore w:val="0"/>
              <w:widowControl w:val="0"/>
              <w:kinsoku/>
              <w:wordWrap/>
              <w:overflowPunct/>
              <w:topLinePunct w:val="0"/>
              <w:autoSpaceDE/>
              <w:autoSpaceDN/>
              <w:bidi w:val="0"/>
              <w:adjustRightInd/>
              <w:snapToGrid/>
              <w:spacing w:line="460" w:lineRule="exact"/>
              <w:textAlignment w:val="auto"/>
            </w:pPr>
            <w:r>
              <w:rPr>
                <w:rFonts w:hint="eastAsia"/>
              </w:rPr>
              <w:t xml:space="preserve">3、中、小、微企业参加政府采购活动，应当如实出具招标文件规定格式的《中小企业声明函》，否则不得享受相关中小企业扶持政策。 </w:t>
            </w:r>
          </w:p>
          <w:p>
            <w:pPr>
              <w:keepNext w:val="0"/>
              <w:keepLines w:val="0"/>
              <w:pageBreakBefore w:val="0"/>
              <w:widowControl w:val="0"/>
              <w:kinsoku/>
              <w:wordWrap/>
              <w:overflowPunct/>
              <w:topLinePunct w:val="0"/>
              <w:autoSpaceDE/>
              <w:autoSpaceDN/>
              <w:bidi w:val="0"/>
              <w:adjustRightInd/>
              <w:snapToGrid/>
              <w:spacing w:line="460" w:lineRule="exact"/>
              <w:textAlignment w:val="auto"/>
              <w:rPr>
                <w:b/>
              </w:rPr>
            </w:pPr>
            <w:r>
              <w:rPr>
                <w:rFonts w:hint="eastAsia"/>
              </w:rPr>
              <w:t xml:space="preserve">4、提供声明函内容不实的，属于弄虚作假骗取中标，依照《中华人民共和国招标投标法》等国家有关规定追究相应责任。 </w:t>
            </w:r>
          </w:p>
        </w:tc>
      </w:tr>
      <w:tr>
        <w:tblPrEx>
          <w:tblCellMar>
            <w:top w:w="0" w:type="dxa"/>
            <w:left w:w="108" w:type="dxa"/>
            <w:bottom w:w="0" w:type="dxa"/>
            <w:right w:w="108" w:type="dxa"/>
          </w:tblCellMar>
        </w:tblPrEx>
        <w:trPr>
          <w:trHeight w:val="1537"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10.12</w:t>
            </w:r>
          </w:p>
        </w:tc>
        <w:tc>
          <w:tcPr>
            <w:tcW w:w="85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25"/>
              <w:keepNext w:val="0"/>
              <w:keepLines w:val="0"/>
              <w:pageBreakBefore w:val="0"/>
              <w:widowControl w:val="0"/>
              <w:kinsoku/>
              <w:wordWrap/>
              <w:overflowPunct/>
              <w:topLinePunct w:val="0"/>
              <w:autoSpaceDE/>
              <w:autoSpaceDN/>
              <w:bidi w:val="0"/>
              <w:adjustRightInd/>
              <w:snapToGrid/>
              <w:spacing w:line="460" w:lineRule="exact"/>
              <w:ind w:left="0" w:leftChars="0" w:firstLine="420" w:firstLineChars="200"/>
              <w:textAlignment w:val="auto"/>
            </w:pPr>
            <w:r>
              <w:rPr>
                <w:rFonts w:hint="eastAsia" w:ascii="仿宋" w:hAnsi="仿宋" w:eastAsia="仿宋" w:cs="仿宋"/>
                <w:kern w:val="2"/>
                <w:sz w:val="21"/>
                <w:szCs w:val="21"/>
                <w:lang w:val="en-US" w:eastAsia="zh-CN" w:bidi="ar-SA"/>
              </w:rPr>
              <w:t>一个制造商对同一品牌同一型号的设备，仅能委托一个代理商参加投标。本工程所用中央空调设备应符合图纸技术标准及行业要求，可参考麦克维尔、格力、美的等同档次或不低于参考品牌档次进行报价，投标人所报设备品牌应与实际实施的品牌相一致。</w:t>
            </w:r>
          </w:p>
        </w:tc>
      </w:tr>
      <w:tr>
        <w:tblPrEx>
          <w:tblCellMar>
            <w:top w:w="0" w:type="dxa"/>
            <w:left w:w="108" w:type="dxa"/>
            <w:bottom w:w="0" w:type="dxa"/>
            <w:right w:w="108" w:type="dxa"/>
          </w:tblCellMar>
        </w:tblPrEx>
        <w:trPr>
          <w:trHeight w:val="9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rPr>
                <w:b/>
              </w:rPr>
            </w:pPr>
            <w:r>
              <w:rPr>
                <w:rFonts w:hint="eastAsia"/>
                <w:lang w:bidi="ar"/>
              </w:rPr>
              <w:t>10.13</w:t>
            </w:r>
          </w:p>
        </w:tc>
        <w:tc>
          <w:tcPr>
            <w:tcW w:w="85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ind w:firstLine="464"/>
              <w:textAlignment w:val="auto"/>
              <w:rPr>
                <w:b/>
              </w:rPr>
            </w:pPr>
            <w:r>
              <w:rPr>
                <w:rFonts w:hint="eastAsia"/>
                <w:b/>
                <w:lang w:bidi="ar"/>
              </w:rPr>
              <w:t>解释权：</w:t>
            </w:r>
            <w:r>
              <w:rPr>
                <w:rFonts w:hint="eastAsia"/>
                <w:lang w:bidi="ar"/>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或招标代理机构负责解释。</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rPr>
                <w:lang w:bidi="ar"/>
              </w:rPr>
            </w:pPr>
            <w:r>
              <w:rPr>
                <w:rFonts w:hint="eastAsia"/>
                <w:lang w:bidi="ar"/>
              </w:rPr>
              <w:t>10.14</w:t>
            </w:r>
          </w:p>
        </w:tc>
        <w:tc>
          <w:tcPr>
            <w:tcW w:w="8524" w:type="dxa"/>
            <w:gridSpan w:val="2"/>
            <w:tcBorders>
              <w:top w:val="single" w:color="auto" w:sz="4" w:space="0"/>
              <w:left w:val="single" w:color="auto" w:sz="4" w:space="0"/>
              <w:bottom w:val="single" w:color="auto" w:sz="4" w:space="0"/>
              <w:right w:val="single" w:color="auto" w:sz="4" w:space="0"/>
            </w:tcBorders>
            <w:shd w:val="clear" w:color="auto" w:fill="auto"/>
          </w:tcPr>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pPr>
            <w:r>
              <w:rPr>
                <w:rFonts w:hint="eastAsia"/>
                <w:lang w:bidi="ar"/>
              </w:rPr>
              <w:t>本项目采用“评定分离”方式确定中标人。被推荐为中标候选人的投标人拟派项目经理须根据定标委员会的要求进行答辩。</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10.15</w:t>
            </w:r>
          </w:p>
        </w:tc>
        <w:tc>
          <w:tcPr>
            <w:tcW w:w="85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pPr>
            <w:r>
              <w:rPr>
                <w:rFonts w:hint="eastAsia"/>
                <w:lang w:bidi="ar"/>
              </w:rPr>
              <w:t>外省企业进豫承揽业务办法：如中标单位为外省企业，与招标人签订合同前须通 过“河南省建筑市场监管公共服务平台（http://hngcjs.hnjs.henan.gov.cn/）”按规定报送企业基本信息并向招标人提供“河南省建筑市场监管公共服务平台” 网页查询截图，否则招标人有权取消中标人的中标资格。</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rPr>
                <w:lang w:bidi="ar"/>
              </w:rPr>
            </w:pPr>
            <w:r>
              <w:rPr>
                <w:rFonts w:hint="eastAsia"/>
                <w:lang w:bidi="ar"/>
              </w:rPr>
              <w:t>10.16</w:t>
            </w:r>
          </w:p>
        </w:tc>
        <w:tc>
          <w:tcPr>
            <w:tcW w:w="85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lang w:bidi="ar"/>
              </w:rPr>
            </w:pPr>
            <w:r>
              <w:rPr>
                <w:rFonts w:hint="eastAsia"/>
                <w:color w:val="auto"/>
              </w:rPr>
              <w:t>本项目质保期不少于2年</w:t>
            </w:r>
            <w:r>
              <w:rPr>
                <w:rFonts w:hint="eastAsia"/>
              </w:rPr>
              <w:t>，且国家、行业、中标人质保期长于高期限的，以较长期限为准，自项目验收合格并移交招标人之日起起算。质保金为最终结算总金额的 3%，待质保期满且无质量问题未解决，招标人无息支付给中标人。</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rPr>
                <w:lang w:bidi="ar"/>
              </w:rPr>
            </w:pPr>
            <w:r>
              <w:rPr>
                <w:rFonts w:hint="eastAsia"/>
                <w:lang w:bidi="ar"/>
              </w:rPr>
              <w:t>10.17</w:t>
            </w:r>
          </w:p>
        </w:tc>
        <w:tc>
          <w:tcPr>
            <w:tcW w:w="85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pPr>
            <w:r>
              <w:rPr>
                <w:rFonts w:hint="eastAsia"/>
              </w:rPr>
              <w:t>1、中标人负责施工范围内的安全管理和安全防护责任，发生安全事故或纠纷的，由中标人负责解决和承担相应法律责任和费用。</w:t>
            </w:r>
          </w:p>
          <w:p>
            <w:pPr>
              <w:keepNext w:val="0"/>
              <w:keepLines w:val="0"/>
              <w:pageBreakBefore w:val="0"/>
              <w:widowControl w:val="0"/>
              <w:kinsoku/>
              <w:wordWrap/>
              <w:overflowPunct/>
              <w:topLinePunct w:val="0"/>
              <w:autoSpaceDE/>
              <w:autoSpaceDN/>
              <w:bidi w:val="0"/>
              <w:adjustRightInd/>
              <w:snapToGrid/>
              <w:spacing w:line="460" w:lineRule="exact"/>
              <w:textAlignment w:val="auto"/>
            </w:pPr>
            <w:r>
              <w:rPr>
                <w:rFonts w:hint="eastAsia"/>
              </w:rPr>
              <w:t>2、投标人及中标人均需遵守法律法规之规定，若发现中标人在本项目中存在出借资质、挂靠、以及其他违法等情形的，未签订合同的，取消其中标资格，扣除其全部投标保证金，且其须向招标人支付中标金额20%的金额作为赔偿招标人损失的赔偿金；签订合同的，终止合同履行，扣除其全部履约保证金，且其须向招标人支付合同总额的30%金额作为违约金，此外：若项目验收合格的招标人有权不再支付其任何款项；若项目验收不合格的招标人不仅有权不予支付其任何款项还有权要求其赔偿损失。除前述责任外，与此相关的民事、行政、刑事责任也均由其承担。对于发现其他投标人借用资质进行投标活动的，扣除其全部投标保证金，给招标人造成损失的还需承担赔偿责任，由此产生的民事、行政、刑事责任也均由其承担。</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rPr>
                <w:lang w:bidi="ar"/>
              </w:rPr>
            </w:pPr>
            <w:r>
              <w:rPr>
                <w:rFonts w:hint="eastAsia"/>
                <w:lang w:bidi="ar"/>
              </w:rPr>
              <w:t>10.18</w:t>
            </w:r>
          </w:p>
        </w:tc>
        <w:tc>
          <w:tcPr>
            <w:tcW w:w="85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lang w:bidi="ar"/>
              </w:rPr>
            </w:pPr>
            <w:r>
              <w:rPr>
                <w:rFonts w:hint="eastAsia"/>
                <w:lang w:bidi="ar"/>
              </w:rPr>
              <w:t>本次招标代理服务费参照洛财购（2019）3 号文收费标准的计取，由中标人在领取《中标通知书》时向招标代理机构一次性缴纳，此费用由投标人在投标报价中综合考虑。</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10.19</w:t>
            </w:r>
          </w:p>
        </w:tc>
        <w:tc>
          <w:tcPr>
            <w:tcW w:w="85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pPr>
            <w:r>
              <w:rPr>
                <w:rFonts w:hint="eastAsia"/>
                <w:lang w:bidi="ar"/>
              </w:rPr>
              <w:t>其它未尽事宜，按国家有关法律、法规执行。</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pPr>
            <w:r>
              <w:rPr>
                <w:rFonts w:hint="eastAsia"/>
                <w:lang w:bidi="ar"/>
              </w:rPr>
              <w:t>10.21</w:t>
            </w:r>
          </w:p>
        </w:tc>
        <w:tc>
          <w:tcPr>
            <w:tcW w:w="85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lang w:bidi="ar"/>
              </w:rPr>
            </w:pPr>
            <w:r>
              <w:rPr>
                <w:rFonts w:hint="eastAsia"/>
                <w:lang w:bidi="ar"/>
              </w:rPr>
              <w:t>监管部门：洛阳市住建局</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lang w:bidi="ar"/>
              </w:rPr>
            </w:pPr>
            <w:r>
              <w:rPr>
                <w:rFonts w:hint="eastAsia"/>
                <w:lang w:bidi="ar"/>
              </w:rPr>
              <w:t>监管部门联系人：洛阳市建设工程招标投标管理科</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lang w:bidi="ar"/>
              </w:rPr>
            </w:pPr>
            <w:r>
              <w:rPr>
                <w:rFonts w:hint="eastAsia"/>
                <w:lang w:bidi="ar"/>
              </w:rPr>
              <w:t>监管部门联系方式：0379-63937963</w:t>
            </w:r>
          </w:p>
        </w:tc>
      </w:tr>
      <w:tr>
        <w:tblPrEx>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ind w:left="0" w:leftChars="0" w:firstLine="0" w:firstLineChars="0"/>
              <w:jc w:val="center"/>
              <w:rPr>
                <w:lang w:bidi="ar"/>
              </w:rPr>
            </w:pPr>
            <w:r>
              <w:rPr>
                <w:rFonts w:hint="eastAsia"/>
                <w:lang w:bidi="ar"/>
              </w:rPr>
              <w:t>10.21</w:t>
            </w:r>
          </w:p>
        </w:tc>
        <w:tc>
          <w:tcPr>
            <w:tcW w:w="85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lang w:bidi="ar"/>
              </w:rPr>
            </w:pPr>
            <w:r>
              <w:rPr>
                <w:rFonts w:hint="eastAsia"/>
                <w:lang w:bidi="ar"/>
              </w:rPr>
              <w:t>中标人中标后3日内需向招标人提供与电子投标文件内容一致的纸质版（加盖公章）投标文件一式2套。</w:t>
            </w:r>
          </w:p>
        </w:tc>
      </w:tr>
    </w:tbl>
    <w:p>
      <w:pPr>
        <w:pStyle w:val="39"/>
        <w:ind w:firstLine="462"/>
        <w:sectPr>
          <w:headerReference r:id="rId11" w:type="default"/>
          <w:footerReference r:id="rId12" w:type="default"/>
          <w:pgSz w:w="11906" w:h="16838"/>
          <w:pgMar w:top="1440" w:right="1080" w:bottom="1118" w:left="1080" w:header="851" w:footer="992" w:gutter="0"/>
          <w:pgNumType w:start="1"/>
          <w:cols w:space="720" w:num="1"/>
          <w:docGrid w:type="lines" w:linePitch="312" w:charSpace="0"/>
        </w:sectPr>
      </w:pPr>
    </w:p>
    <w:p>
      <w:pPr>
        <w:ind w:left="0" w:leftChars="0" w:firstLine="0" w:firstLineChars="0"/>
      </w:pPr>
      <w:r>
        <w:rPr>
          <w:rFonts w:hint="eastAsia"/>
        </w:rPr>
        <w:t>附表：</w:t>
      </w:r>
    </w:p>
    <w:p>
      <w:pPr>
        <w:pStyle w:val="95"/>
        <w:spacing w:line="360" w:lineRule="auto"/>
        <w:ind w:firstLineChars="0"/>
        <w:jc w:val="center"/>
        <w:rPr>
          <w:rFonts w:hint="eastAsia" w:ascii="仿宋" w:hAnsi="仿宋" w:eastAsia="仿宋" w:cs="仿宋"/>
          <w:b/>
          <w:sz w:val="24"/>
          <w:szCs w:val="24"/>
        </w:rPr>
      </w:pPr>
      <w:r>
        <w:rPr>
          <w:rFonts w:hint="eastAsia" w:ascii="仿宋" w:hAnsi="仿宋" w:eastAsia="仿宋" w:cs="仿宋"/>
          <w:b/>
          <w:sz w:val="24"/>
          <w:szCs w:val="24"/>
        </w:rPr>
        <w:t>最高投标限价（招标控制价）表</w:t>
      </w:r>
    </w:p>
    <w:p>
      <w:pPr>
        <w:ind w:left="0" w:leftChars="0" w:firstLine="0" w:firstLineChars="0"/>
      </w:pPr>
      <w:r>
        <w:rPr>
          <w:rFonts w:hint="eastAsia"/>
        </w:rPr>
        <w:t>工程名称：</w:t>
      </w:r>
      <w:r>
        <w:rPr>
          <w:rFonts w:hint="eastAsia"/>
          <w:lang w:bidi="ar"/>
        </w:rPr>
        <w:t>洛阳市文物局汉魏洛阳城遗址博物馆空调工程项目</w:t>
      </w:r>
    </w:p>
    <w:tbl>
      <w:tblPr>
        <w:tblStyle w:val="41"/>
        <w:tblW w:w="13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401"/>
        <w:gridCol w:w="1711"/>
        <w:gridCol w:w="1500"/>
        <w:gridCol w:w="2505"/>
        <w:gridCol w:w="2478"/>
        <w:gridCol w:w="1080"/>
        <w:gridCol w:w="1260"/>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456" w:type="dxa"/>
            <w:vMerge w:val="restart"/>
            <w:vAlign w:val="center"/>
          </w:tcPr>
          <w:p>
            <w:pPr>
              <w:ind w:left="0" w:leftChars="0" w:firstLine="0" w:firstLineChars="0"/>
              <w:rPr>
                <w:b/>
              </w:rPr>
            </w:pPr>
            <w:r>
              <w:rPr>
                <w:rFonts w:hint="eastAsia"/>
                <w:lang w:val="en-US" w:eastAsia="zh-CN"/>
              </w:rPr>
              <w:t>序</w:t>
            </w:r>
            <w:r>
              <w:rPr>
                <w:rFonts w:hint="eastAsia"/>
              </w:rPr>
              <w:t>号</w:t>
            </w:r>
          </w:p>
        </w:tc>
        <w:tc>
          <w:tcPr>
            <w:tcW w:w="1401" w:type="dxa"/>
            <w:vMerge w:val="restart"/>
            <w:vAlign w:val="center"/>
          </w:tcPr>
          <w:p>
            <w:pPr>
              <w:ind w:left="0" w:leftChars="0" w:firstLine="0" w:firstLineChars="0"/>
              <w:jc w:val="center"/>
            </w:pPr>
            <w:r>
              <w:rPr>
                <w:rFonts w:hint="eastAsia"/>
              </w:rPr>
              <w:t>工程名称</w:t>
            </w:r>
          </w:p>
        </w:tc>
        <w:tc>
          <w:tcPr>
            <w:tcW w:w="1711" w:type="dxa"/>
            <w:vAlign w:val="center"/>
          </w:tcPr>
          <w:p>
            <w:pPr>
              <w:ind w:left="0" w:leftChars="0" w:firstLine="0" w:firstLineChars="0"/>
              <w:jc w:val="center"/>
            </w:pPr>
            <w:r>
              <w:rPr>
                <w:rFonts w:hint="eastAsia"/>
              </w:rPr>
              <w:t>最高投标限价</w:t>
            </w:r>
          </w:p>
        </w:tc>
        <w:tc>
          <w:tcPr>
            <w:tcW w:w="10128" w:type="dxa"/>
            <w:gridSpan w:val="6"/>
            <w:vAlign w:val="center"/>
          </w:tcPr>
          <w:p>
            <w:pPr>
              <w:jc w:val="center"/>
            </w:pPr>
            <w:r>
              <w:rPr>
                <w:rFonts w:hint="eastAsia"/>
              </w:rPr>
              <w:t>其中：（元）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456" w:type="dxa"/>
            <w:vMerge w:val="continue"/>
            <w:vAlign w:val="center"/>
          </w:tcPr>
          <w:p/>
        </w:tc>
        <w:tc>
          <w:tcPr>
            <w:tcW w:w="1401" w:type="dxa"/>
            <w:vMerge w:val="continue"/>
            <w:vAlign w:val="center"/>
          </w:tcPr>
          <w:p/>
        </w:tc>
        <w:tc>
          <w:tcPr>
            <w:tcW w:w="1711" w:type="dxa"/>
            <w:vMerge w:val="restart"/>
            <w:vAlign w:val="center"/>
          </w:tcPr>
          <w:p>
            <w:pPr>
              <w:ind w:left="0" w:leftChars="0" w:firstLine="0" w:firstLineChars="0"/>
              <w:jc w:val="center"/>
            </w:pPr>
            <w:r>
              <w:rPr>
                <w:rFonts w:hint="eastAsia"/>
              </w:rPr>
              <w:t>招标控制价(元)</w:t>
            </w:r>
          </w:p>
        </w:tc>
        <w:tc>
          <w:tcPr>
            <w:tcW w:w="1500" w:type="dxa"/>
            <w:vMerge w:val="restart"/>
            <w:vAlign w:val="center"/>
          </w:tcPr>
          <w:p>
            <w:pPr>
              <w:ind w:left="0" w:leftChars="0" w:firstLine="0" w:firstLineChars="0"/>
              <w:jc w:val="center"/>
            </w:pPr>
            <w:r>
              <w:rPr>
                <w:rFonts w:hint="eastAsia"/>
              </w:rPr>
              <w:t>分部分项清单</w:t>
            </w:r>
          </w:p>
        </w:tc>
        <w:tc>
          <w:tcPr>
            <w:tcW w:w="4983" w:type="dxa"/>
            <w:gridSpan w:val="2"/>
            <w:vAlign w:val="center"/>
          </w:tcPr>
          <w:p>
            <w:pPr>
              <w:jc w:val="center"/>
            </w:pPr>
            <w:r>
              <w:rPr>
                <w:rFonts w:hint="eastAsia"/>
              </w:rPr>
              <w:t>措施项目清单</w:t>
            </w:r>
          </w:p>
        </w:tc>
        <w:tc>
          <w:tcPr>
            <w:tcW w:w="1080" w:type="dxa"/>
            <w:vMerge w:val="restart"/>
            <w:vAlign w:val="center"/>
          </w:tcPr>
          <w:p>
            <w:pPr>
              <w:ind w:left="0" w:leftChars="0" w:firstLine="0" w:firstLineChars="0"/>
              <w:jc w:val="center"/>
            </w:pPr>
            <w:r>
              <w:rPr>
                <w:rFonts w:hint="eastAsia"/>
              </w:rPr>
              <w:t>暂估价</w:t>
            </w:r>
          </w:p>
        </w:tc>
        <w:tc>
          <w:tcPr>
            <w:tcW w:w="1260" w:type="dxa"/>
            <w:vMerge w:val="restart"/>
            <w:vAlign w:val="center"/>
          </w:tcPr>
          <w:p>
            <w:pPr>
              <w:ind w:left="0" w:leftChars="0" w:firstLine="0" w:firstLineChars="0"/>
              <w:jc w:val="center"/>
            </w:pPr>
            <w:r>
              <w:rPr>
                <w:rFonts w:hint="eastAsia"/>
              </w:rPr>
              <w:t>规费</w:t>
            </w:r>
          </w:p>
        </w:tc>
        <w:tc>
          <w:tcPr>
            <w:tcW w:w="1305" w:type="dxa"/>
            <w:vMerge w:val="restart"/>
            <w:vAlign w:val="center"/>
          </w:tcPr>
          <w:p>
            <w:pPr>
              <w:ind w:left="0" w:leftChars="0" w:firstLine="0" w:firstLineChars="0"/>
              <w:jc w:val="center"/>
            </w:pPr>
            <w:r>
              <w:rPr>
                <w:rFonts w:hint="eastAsia"/>
              </w:rPr>
              <w:t>税金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456" w:type="dxa"/>
            <w:vMerge w:val="continue"/>
            <w:vAlign w:val="center"/>
          </w:tcPr>
          <w:p/>
        </w:tc>
        <w:tc>
          <w:tcPr>
            <w:tcW w:w="1401" w:type="dxa"/>
            <w:vMerge w:val="continue"/>
            <w:vAlign w:val="center"/>
          </w:tcPr>
          <w:p/>
        </w:tc>
        <w:tc>
          <w:tcPr>
            <w:tcW w:w="1711" w:type="dxa"/>
            <w:vMerge w:val="continue"/>
            <w:vAlign w:val="center"/>
          </w:tcPr>
          <w:p>
            <w:pPr>
              <w:jc w:val="center"/>
            </w:pPr>
          </w:p>
        </w:tc>
        <w:tc>
          <w:tcPr>
            <w:tcW w:w="1500" w:type="dxa"/>
            <w:vMerge w:val="continue"/>
            <w:vAlign w:val="center"/>
          </w:tcPr>
          <w:p>
            <w:pPr>
              <w:jc w:val="center"/>
            </w:pPr>
          </w:p>
        </w:tc>
        <w:tc>
          <w:tcPr>
            <w:tcW w:w="2505" w:type="dxa"/>
            <w:vAlign w:val="center"/>
          </w:tcPr>
          <w:p>
            <w:pPr>
              <w:ind w:left="0" w:leftChars="0" w:firstLine="0" w:firstLineChars="0"/>
              <w:jc w:val="center"/>
            </w:pPr>
            <w:r>
              <w:rPr>
                <w:rFonts w:hint="eastAsia"/>
              </w:rPr>
              <w:t>措施项目</w:t>
            </w:r>
          </w:p>
        </w:tc>
        <w:tc>
          <w:tcPr>
            <w:tcW w:w="2478" w:type="dxa"/>
            <w:vAlign w:val="center"/>
          </w:tcPr>
          <w:p>
            <w:pPr>
              <w:ind w:left="0" w:leftChars="0" w:firstLine="0" w:firstLineChars="0"/>
              <w:jc w:val="center"/>
            </w:pPr>
            <w:r>
              <w:rPr>
                <w:rFonts w:hint="eastAsia"/>
              </w:rPr>
              <w:t>其中：安全文明施工费</w:t>
            </w:r>
          </w:p>
        </w:tc>
        <w:tc>
          <w:tcPr>
            <w:tcW w:w="1080" w:type="dxa"/>
            <w:vMerge w:val="continue"/>
            <w:vAlign w:val="center"/>
          </w:tcPr>
          <w:p>
            <w:pPr>
              <w:jc w:val="center"/>
            </w:pPr>
          </w:p>
        </w:tc>
        <w:tc>
          <w:tcPr>
            <w:tcW w:w="1260" w:type="dxa"/>
            <w:vMerge w:val="continue"/>
            <w:vAlign w:val="center"/>
          </w:tcPr>
          <w:p>
            <w:pPr>
              <w:jc w:val="center"/>
            </w:pPr>
          </w:p>
        </w:tc>
        <w:tc>
          <w:tcPr>
            <w:tcW w:w="1305" w:type="dxa"/>
            <w:vMerge w:val="continue"/>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56" w:type="dxa"/>
            <w:vAlign w:val="center"/>
          </w:tcPr>
          <w:p>
            <w:bookmarkStart w:id="27" w:name="_Hlk108352058"/>
            <w:r>
              <w:rPr>
                <w:rFonts w:hint="eastAsia"/>
              </w:rPr>
              <w:t>1</w:t>
            </w:r>
          </w:p>
        </w:tc>
        <w:tc>
          <w:tcPr>
            <w:tcW w:w="1401" w:type="dxa"/>
            <w:vAlign w:val="center"/>
          </w:tcPr>
          <w:p>
            <w:pPr>
              <w:ind w:left="0" w:leftChars="0" w:firstLine="0" w:firstLineChars="0"/>
              <w:jc w:val="center"/>
            </w:pPr>
            <w:r>
              <w:rPr>
                <w:rFonts w:hint="eastAsia"/>
                <w:lang w:bidi="ar"/>
              </w:rPr>
              <w:t>洛阳市文物局汉魏洛阳城遗址博物馆空调工程项目</w:t>
            </w:r>
          </w:p>
        </w:tc>
        <w:tc>
          <w:tcPr>
            <w:tcW w:w="1711" w:type="dxa"/>
            <w:vAlign w:val="center"/>
          </w:tcPr>
          <w:p>
            <w:pPr>
              <w:ind w:left="0" w:leftChars="0" w:firstLine="0" w:firstLineChars="0"/>
              <w:jc w:val="both"/>
            </w:pPr>
            <w:r>
              <w:rPr>
                <w:rFonts w:hint="eastAsia"/>
                <w:lang w:val="en-US" w:eastAsia="zh-CN"/>
              </w:rPr>
              <w:t>14445371.19</w:t>
            </w:r>
          </w:p>
        </w:tc>
        <w:tc>
          <w:tcPr>
            <w:tcW w:w="1500" w:type="dxa"/>
            <w:vAlign w:val="center"/>
          </w:tcPr>
          <w:p>
            <w:pPr>
              <w:pStyle w:val="22"/>
              <w:ind w:left="0" w:leftChars="0" w:firstLine="0" w:firstLineChars="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12719486.53</w:t>
            </w:r>
          </w:p>
        </w:tc>
        <w:tc>
          <w:tcPr>
            <w:tcW w:w="2505" w:type="dxa"/>
            <w:vAlign w:val="center"/>
          </w:tcPr>
          <w:p>
            <w:pPr>
              <w:ind w:firstLine="462" w:firstLineChars="220"/>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292478.14</w:t>
            </w:r>
          </w:p>
        </w:tc>
        <w:tc>
          <w:tcPr>
            <w:tcW w:w="2478" w:type="dxa"/>
            <w:vAlign w:val="center"/>
          </w:tcPr>
          <w:p>
            <w:pPr>
              <w:ind w:firstLine="462" w:firstLineChars="220"/>
              <w:jc w:val="both"/>
            </w:pPr>
            <w:r>
              <w:rPr>
                <w:rFonts w:hint="eastAsia"/>
                <w:lang w:val="en-US" w:eastAsia="zh-CN"/>
              </w:rPr>
              <w:t>185014.39</w:t>
            </w:r>
          </w:p>
        </w:tc>
        <w:tc>
          <w:tcPr>
            <w:tcW w:w="1080" w:type="dxa"/>
            <w:vAlign w:val="center"/>
          </w:tcPr>
          <w:p>
            <w:pPr>
              <w:ind w:left="0" w:leftChars="0" w:firstLine="0" w:firstLineChars="0"/>
              <w:jc w:val="both"/>
            </w:pPr>
            <w:r>
              <w:rPr>
                <w:rFonts w:hint="eastAsia"/>
                <w:lang w:val="en-US" w:eastAsia="zh-CN"/>
              </w:rPr>
              <w:t>0.00</w:t>
            </w:r>
          </w:p>
        </w:tc>
        <w:tc>
          <w:tcPr>
            <w:tcW w:w="1260" w:type="dxa"/>
            <w:vAlign w:val="center"/>
          </w:tcPr>
          <w:p>
            <w:pPr>
              <w:ind w:left="0" w:leftChars="0" w:firstLine="0" w:firstLineChars="0"/>
              <w:jc w:val="both"/>
            </w:pPr>
            <w:r>
              <w:rPr>
                <w:rFonts w:hint="eastAsia"/>
                <w:lang w:val="en-US" w:eastAsia="zh-CN"/>
              </w:rPr>
              <w:t>240669.45</w:t>
            </w:r>
          </w:p>
        </w:tc>
        <w:tc>
          <w:tcPr>
            <w:tcW w:w="1305" w:type="dxa"/>
            <w:vAlign w:val="center"/>
          </w:tcPr>
          <w:p>
            <w:pPr>
              <w:ind w:left="0" w:leftChars="0" w:firstLine="0" w:firstLineChars="0"/>
              <w:jc w:val="both"/>
            </w:pPr>
            <w:r>
              <w:rPr>
                <w:rFonts w:hint="eastAsia"/>
                <w:lang w:val="en-US" w:eastAsia="zh-CN"/>
              </w:rPr>
              <w:t>1192737.07</w:t>
            </w:r>
          </w:p>
        </w:tc>
      </w:tr>
      <w:bookmarkEnd w:id="27"/>
    </w:tbl>
    <w:p>
      <w:pPr>
        <w:ind w:left="0" w:leftChars="0" w:firstLine="0" w:firstLineChars="0"/>
        <w:jc w:val="left"/>
        <w:rPr>
          <w:b/>
          <w:bCs/>
        </w:rPr>
        <w:sectPr>
          <w:headerReference r:id="rId13" w:type="default"/>
          <w:pgSz w:w="16838" w:h="11906" w:orient="landscape"/>
          <w:pgMar w:top="1500" w:right="1440" w:bottom="1080" w:left="1440" w:header="851" w:footer="992" w:gutter="0"/>
          <w:cols w:space="720" w:num="1"/>
          <w:docGrid w:type="lines" w:linePitch="312" w:charSpace="0"/>
        </w:sectPr>
      </w:pPr>
      <w:r>
        <w:rPr>
          <w:rFonts w:hint="eastAsia"/>
          <w:b/>
          <w:bCs/>
        </w:rPr>
        <w:t>注：投标人的投标报价不得高于最高投标限价（招标控制价）表中所列各项费用，否则，按废标处理。</w:t>
      </w:r>
    </w:p>
    <w:p>
      <w:pPr>
        <w:pStyle w:val="93"/>
        <w:spacing w:line="360" w:lineRule="auto"/>
        <w:ind w:firstLine="0" w:firstLineChars="0"/>
        <w:rPr>
          <w:rFonts w:hint="eastAsia" w:ascii="仿宋" w:hAnsi="仿宋" w:eastAsia="仿宋" w:cs="仿宋"/>
          <w:b/>
          <w:bCs/>
        </w:rPr>
      </w:pPr>
      <w:bookmarkStart w:id="28" w:name="_Toc19231"/>
      <w:bookmarkStart w:id="29" w:name="_Toc19174"/>
      <w:r>
        <w:rPr>
          <w:rFonts w:hint="eastAsia" w:ascii="仿宋" w:hAnsi="仿宋" w:eastAsia="仿宋" w:cs="仿宋"/>
          <w:b/>
          <w:bCs/>
        </w:rPr>
        <w:t>1、总则</w:t>
      </w:r>
      <w:bookmarkEnd w:id="22"/>
      <w:bookmarkEnd w:id="23"/>
      <w:bookmarkEnd w:id="24"/>
      <w:bookmarkEnd w:id="28"/>
      <w:bookmarkEnd w:id="29"/>
    </w:p>
    <w:p>
      <w:pPr>
        <w:pStyle w:val="102"/>
        <w:spacing w:line="360" w:lineRule="auto"/>
        <w:ind w:firstLine="0" w:firstLineChars="0"/>
        <w:outlineLvl w:val="9"/>
        <w:rPr>
          <w:rFonts w:hint="eastAsia" w:ascii="仿宋" w:hAnsi="仿宋" w:eastAsia="仿宋" w:cs="仿宋"/>
          <w:b/>
          <w:bCs/>
        </w:rPr>
      </w:pPr>
      <w:bookmarkStart w:id="30" w:name="_Toc152042306"/>
      <w:bookmarkStart w:id="31" w:name="_Toc144974498"/>
      <w:bookmarkStart w:id="32" w:name="_Toc8423530"/>
      <w:bookmarkStart w:id="33" w:name="_Toc7286"/>
      <w:bookmarkStart w:id="34" w:name="_Toc22841"/>
      <w:bookmarkStart w:id="35" w:name="_Toc152045530"/>
      <w:bookmarkStart w:id="36" w:name="_Toc9070"/>
      <w:r>
        <w:rPr>
          <w:rFonts w:hint="eastAsia" w:ascii="仿宋" w:hAnsi="仿宋" w:eastAsia="仿宋" w:cs="仿宋"/>
          <w:b/>
          <w:bCs/>
        </w:rPr>
        <w:t>1.1 项目概况</w:t>
      </w:r>
      <w:bookmarkEnd w:id="30"/>
      <w:bookmarkEnd w:id="31"/>
      <w:bookmarkEnd w:id="32"/>
      <w:bookmarkEnd w:id="33"/>
      <w:bookmarkEnd w:id="34"/>
      <w:bookmarkEnd w:id="35"/>
      <w:bookmarkEnd w:id="36"/>
    </w:p>
    <w:p>
      <w:pPr>
        <w:rPr>
          <w:lang w:bidi="ar"/>
        </w:rPr>
      </w:pPr>
      <w:r>
        <w:rPr>
          <w:rFonts w:hint="eastAsia"/>
          <w:lang w:bidi="ar"/>
        </w:rPr>
        <w:t>1.1.11.1.1根据《中华人民共和国招标投标法》、《洛阳市房屋建筑和市政基础设施工程招标投标管理办法（试行）》洛政办〔2021〕58号等有关法律、法规和规章的规定，本招标项目已具备招标条件，现对本项目施工进行招标。</w:t>
      </w:r>
    </w:p>
    <w:p>
      <w:pPr>
        <w:rPr>
          <w:lang w:bidi="ar"/>
        </w:rPr>
      </w:pPr>
      <w:r>
        <w:rPr>
          <w:rFonts w:hint="eastAsia"/>
          <w:lang w:bidi="ar"/>
        </w:rPr>
        <w:t>1.1.2 本招标项目招标人：见投标人须知前附表。</w:t>
      </w:r>
    </w:p>
    <w:p>
      <w:pPr>
        <w:rPr>
          <w:lang w:bidi="ar"/>
        </w:rPr>
      </w:pPr>
      <w:r>
        <w:rPr>
          <w:rFonts w:hint="eastAsia"/>
          <w:lang w:bidi="ar"/>
        </w:rPr>
        <w:t>1.1.3 本招标项目代理机构：见投标人须知前附表。</w:t>
      </w:r>
    </w:p>
    <w:p>
      <w:pPr>
        <w:rPr>
          <w:lang w:bidi="ar"/>
        </w:rPr>
      </w:pPr>
      <w:r>
        <w:rPr>
          <w:rFonts w:hint="eastAsia"/>
          <w:lang w:bidi="ar"/>
        </w:rPr>
        <w:t>1.1.4 本招标项目名称：见投标人须知前附表。</w:t>
      </w:r>
    </w:p>
    <w:p>
      <w:pPr>
        <w:rPr>
          <w:lang w:bidi="ar"/>
        </w:rPr>
      </w:pPr>
      <w:r>
        <w:rPr>
          <w:rFonts w:hint="eastAsia"/>
          <w:lang w:bidi="ar"/>
        </w:rPr>
        <w:t>1.1.5 本招标项目建设地点：见投标人须知前附表。</w:t>
      </w:r>
    </w:p>
    <w:p>
      <w:pPr>
        <w:pStyle w:val="102"/>
        <w:spacing w:line="360" w:lineRule="auto"/>
        <w:ind w:firstLine="0" w:firstLineChars="0"/>
        <w:outlineLvl w:val="9"/>
        <w:rPr>
          <w:rFonts w:hint="eastAsia" w:ascii="仿宋" w:hAnsi="仿宋" w:eastAsia="仿宋" w:cs="仿宋"/>
          <w:b/>
          <w:bCs/>
        </w:rPr>
      </w:pPr>
      <w:bookmarkStart w:id="37" w:name="_Toc152042307"/>
      <w:bookmarkStart w:id="38" w:name="_Toc144974499"/>
      <w:bookmarkStart w:id="39" w:name="_Toc152045531"/>
      <w:bookmarkStart w:id="40" w:name="_Toc18940"/>
      <w:bookmarkStart w:id="41" w:name="_Toc14740"/>
      <w:bookmarkStart w:id="42" w:name="_Toc7816"/>
      <w:bookmarkStart w:id="43" w:name="_Toc8423531"/>
      <w:r>
        <w:rPr>
          <w:rFonts w:hint="eastAsia" w:ascii="仿宋" w:hAnsi="仿宋" w:eastAsia="仿宋" w:cs="仿宋"/>
          <w:b/>
          <w:bCs/>
        </w:rPr>
        <w:t>1.2 资金来源和落实情况</w:t>
      </w:r>
      <w:bookmarkEnd w:id="37"/>
      <w:bookmarkEnd w:id="38"/>
      <w:bookmarkEnd w:id="39"/>
      <w:bookmarkEnd w:id="40"/>
      <w:bookmarkEnd w:id="41"/>
      <w:bookmarkEnd w:id="42"/>
      <w:bookmarkEnd w:id="43"/>
    </w:p>
    <w:p>
      <w:pPr>
        <w:rPr>
          <w:lang w:bidi="ar"/>
        </w:rPr>
      </w:pPr>
      <w:r>
        <w:rPr>
          <w:rFonts w:hint="eastAsia"/>
          <w:lang w:bidi="ar"/>
        </w:rPr>
        <w:t>1.2.1 本招标项目的资金来源：见投标人须知前附表。</w:t>
      </w:r>
    </w:p>
    <w:p>
      <w:pPr>
        <w:rPr>
          <w:lang w:bidi="ar"/>
        </w:rPr>
      </w:pPr>
      <w:r>
        <w:rPr>
          <w:rFonts w:hint="eastAsia"/>
          <w:lang w:bidi="ar"/>
        </w:rPr>
        <w:t>1.2.2 本招标项目的出资比例：见投标人须知前附表。</w:t>
      </w:r>
    </w:p>
    <w:p>
      <w:pPr>
        <w:rPr>
          <w:lang w:bidi="ar"/>
        </w:rPr>
      </w:pPr>
      <w:r>
        <w:rPr>
          <w:rFonts w:hint="eastAsia"/>
          <w:lang w:bidi="ar"/>
        </w:rPr>
        <w:t>1.2.3 本招标项目的资金落实情况：见投标人须知前附表。</w:t>
      </w:r>
    </w:p>
    <w:p>
      <w:pPr>
        <w:rPr>
          <w:lang w:bidi="ar"/>
        </w:rPr>
      </w:pPr>
      <w:r>
        <w:rPr>
          <w:rFonts w:hint="eastAsia"/>
          <w:lang w:bidi="ar"/>
        </w:rPr>
        <w:t>1.2.4 本招标项目的承包方式：见投标人须知前附表。</w:t>
      </w:r>
    </w:p>
    <w:p>
      <w:pPr>
        <w:pStyle w:val="102"/>
        <w:spacing w:line="360" w:lineRule="auto"/>
        <w:ind w:firstLine="0" w:firstLineChars="0"/>
        <w:outlineLvl w:val="9"/>
        <w:rPr>
          <w:rFonts w:hint="eastAsia" w:ascii="仿宋" w:hAnsi="仿宋" w:eastAsia="仿宋" w:cs="仿宋"/>
          <w:b/>
          <w:bCs/>
        </w:rPr>
      </w:pPr>
      <w:bookmarkStart w:id="44" w:name="_Toc27497"/>
      <w:bookmarkStart w:id="45" w:name="_Toc144974500"/>
      <w:bookmarkStart w:id="46" w:name="_Toc8423532"/>
      <w:bookmarkStart w:id="47" w:name="_Toc152045532"/>
      <w:bookmarkStart w:id="48" w:name="_Toc152042308"/>
      <w:bookmarkStart w:id="49" w:name="_Toc10641"/>
      <w:bookmarkStart w:id="50" w:name="_Toc15926"/>
      <w:r>
        <w:rPr>
          <w:rFonts w:hint="eastAsia" w:ascii="仿宋" w:hAnsi="仿宋" w:eastAsia="仿宋" w:cs="仿宋"/>
          <w:b/>
          <w:bCs/>
        </w:rPr>
        <w:t>1.3 招标范围、工期、质量和安全文明工地等要求</w:t>
      </w:r>
      <w:bookmarkEnd w:id="44"/>
      <w:bookmarkEnd w:id="45"/>
      <w:bookmarkEnd w:id="46"/>
      <w:bookmarkEnd w:id="47"/>
      <w:bookmarkEnd w:id="48"/>
      <w:bookmarkEnd w:id="49"/>
      <w:bookmarkEnd w:id="50"/>
    </w:p>
    <w:p>
      <w:pPr>
        <w:rPr>
          <w:lang w:bidi="ar"/>
        </w:rPr>
      </w:pPr>
      <w:r>
        <w:rPr>
          <w:rFonts w:hint="eastAsia"/>
          <w:lang w:bidi="ar"/>
        </w:rPr>
        <w:t>1.3.1 本招标项目的招标范围：见投标人须知前附表。</w:t>
      </w:r>
    </w:p>
    <w:p>
      <w:pPr>
        <w:rPr>
          <w:lang w:bidi="ar"/>
        </w:rPr>
      </w:pPr>
      <w:r>
        <w:rPr>
          <w:rFonts w:hint="eastAsia"/>
          <w:lang w:bidi="ar"/>
        </w:rPr>
        <w:t>1.3.2 本招标项目的工期：见投标人须知前附表。</w:t>
      </w:r>
    </w:p>
    <w:p>
      <w:pPr>
        <w:rPr>
          <w:lang w:bidi="ar"/>
        </w:rPr>
      </w:pPr>
      <w:r>
        <w:rPr>
          <w:rFonts w:hint="eastAsia"/>
          <w:lang w:bidi="ar"/>
        </w:rPr>
        <w:t>1.3.3 本招标项目的质量要求：见投标人须知前附表。</w:t>
      </w:r>
    </w:p>
    <w:p>
      <w:pPr>
        <w:rPr>
          <w:lang w:bidi="ar"/>
        </w:rPr>
      </w:pPr>
      <w:r>
        <w:rPr>
          <w:rFonts w:hint="eastAsia"/>
          <w:lang w:bidi="ar"/>
        </w:rPr>
        <w:t>1.3.4 本招标项目的项目概况：见投标人须知前附表。</w:t>
      </w:r>
    </w:p>
    <w:p>
      <w:pPr>
        <w:rPr>
          <w:lang w:bidi="ar"/>
        </w:rPr>
      </w:pPr>
      <w:r>
        <w:rPr>
          <w:rFonts w:hint="eastAsia"/>
          <w:lang w:bidi="ar"/>
        </w:rPr>
        <w:t>1.3.5 本招标项目的安全目标：见投标人须知前附表。</w:t>
      </w:r>
      <w:r>
        <w:rPr>
          <w:rFonts w:hint="eastAsia"/>
          <w:lang w:bidi="ar"/>
        </w:rPr>
        <w:tab/>
      </w:r>
    </w:p>
    <w:p>
      <w:pPr>
        <w:rPr>
          <w:lang w:bidi="ar"/>
        </w:rPr>
      </w:pPr>
      <w:r>
        <w:rPr>
          <w:rFonts w:hint="eastAsia"/>
          <w:lang w:bidi="ar"/>
        </w:rPr>
        <w:t>1.3.6 本招标项目的文明工地目标：见投标人须知前附表。</w:t>
      </w:r>
      <w:r>
        <w:rPr>
          <w:rFonts w:hint="eastAsia"/>
          <w:lang w:bidi="ar"/>
        </w:rPr>
        <w:tab/>
      </w:r>
    </w:p>
    <w:p>
      <w:pPr>
        <w:rPr>
          <w:lang w:bidi="ar"/>
        </w:rPr>
      </w:pPr>
      <w:r>
        <w:rPr>
          <w:rFonts w:hint="eastAsia"/>
          <w:lang w:bidi="ar"/>
        </w:rPr>
        <w:t>1.3.7 本招标项目的扬尘治理目标：见投标人须知前附表。</w:t>
      </w:r>
      <w:r>
        <w:rPr>
          <w:rFonts w:hint="eastAsia"/>
          <w:lang w:bidi="ar"/>
        </w:rPr>
        <w:tab/>
      </w:r>
    </w:p>
    <w:p>
      <w:pPr>
        <w:rPr>
          <w:lang w:bidi="ar"/>
        </w:rPr>
      </w:pPr>
      <w:r>
        <w:rPr>
          <w:rFonts w:hint="eastAsia"/>
          <w:lang w:bidi="ar"/>
        </w:rPr>
        <w:t>1.3.8 本招标项目的缺陷责任期：见投标人须知前附表。</w:t>
      </w:r>
    </w:p>
    <w:p>
      <w:pPr>
        <w:rPr>
          <w:lang w:bidi="ar"/>
        </w:rPr>
      </w:pPr>
      <w:r>
        <w:rPr>
          <w:rFonts w:hint="eastAsia"/>
          <w:lang w:bidi="ar"/>
        </w:rPr>
        <w:t>1.3.9本招标项目的标段划分：见投标人须知前附表。</w:t>
      </w:r>
      <w:r>
        <w:rPr>
          <w:rFonts w:hint="eastAsia"/>
          <w:lang w:bidi="ar"/>
        </w:rPr>
        <w:tab/>
      </w:r>
    </w:p>
    <w:p>
      <w:pPr>
        <w:pStyle w:val="102"/>
        <w:spacing w:line="360" w:lineRule="auto"/>
        <w:ind w:firstLine="0" w:firstLineChars="0"/>
        <w:outlineLvl w:val="9"/>
        <w:rPr>
          <w:rFonts w:hint="eastAsia" w:ascii="仿宋" w:hAnsi="仿宋" w:eastAsia="仿宋" w:cs="仿宋"/>
          <w:b/>
          <w:bCs/>
        </w:rPr>
      </w:pPr>
      <w:bookmarkStart w:id="51" w:name="_Toc9729"/>
      <w:bookmarkStart w:id="52" w:name="_Toc152045534"/>
      <w:bookmarkStart w:id="53" w:name="_Toc5391"/>
      <w:bookmarkStart w:id="54" w:name="_Toc152042310"/>
      <w:bookmarkStart w:id="55" w:name="_Toc3214"/>
      <w:bookmarkStart w:id="56" w:name="_Toc144974502"/>
      <w:bookmarkStart w:id="57" w:name="_Toc8423533"/>
      <w:r>
        <w:rPr>
          <w:rFonts w:hint="eastAsia" w:ascii="仿宋" w:hAnsi="仿宋" w:eastAsia="仿宋" w:cs="仿宋"/>
          <w:b/>
          <w:bCs/>
        </w:rPr>
        <w:t>1.4 投标人资格要求</w:t>
      </w:r>
      <w:bookmarkEnd w:id="51"/>
      <w:bookmarkEnd w:id="52"/>
      <w:bookmarkEnd w:id="53"/>
      <w:bookmarkEnd w:id="54"/>
      <w:bookmarkEnd w:id="55"/>
      <w:bookmarkEnd w:id="56"/>
      <w:bookmarkEnd w:id="57"/>
    </w:p>
    <w:p>
      <w:pPr>
        <w:rPr>
          <w:lang w:bidi="ar"/>
        </w:rPr>
      </w:pPr>
      <w:r>
        <w:rPr>
          <w:rFonts w:hint="eastAsia"/>
          <w:lang w:bidi="ar"/>
        </w:rPr>
        <w:t>1.4.1 投标人应具备承担本项目施工的资质条件、能力和信誉，具体内容见投标人须知前附表第 1.4.1 项。</w:t>
      </w:r>
    </w:p>
    <w:p>
      <w:pPr>
        <w:rPr>
          <w:lang w:bidi="ar"/>
        </w:rPr>
      </w:pPr>
      <w:r>
        <w:rPr>
          <w:rFonts w:hint="eastAsia"/>
          <w:lang w:bidi="ar"/>
        </w:rPr>
        <w:t xml:space="preserve">1.4.2 投标人须知前附表规定接受联合体投标的，除应符合本章第1.4.1项和投标人须知前附表的要求外，还应遵守以下规定： </w:t>
      </w:r>
    </w:p>
    <w:p>
      <w:pPr>
        <w:rPr>
          <w:lang w:bidi="ar"/>
        </w:rPr>
      </w:pPr>
      <w:r>
        <w:rPr>
          <w:rFonts w:hint="eastAsia"/>
          <w:lang w:bidi="ar"/>
        </w:rPr>
        <w:t>（1）联合体各方应按招标文件提供的格式签订联合体协议书，明确联合体牵头人和各方权利义务，并承诺就中标项目向招标人承担连带责任；</w:t>
      </w:r>
    </w:p>
    <w:p>
      <w:pPr>
        <w:rPr>
          <w:lang w:bidi="ar"/>
        </w:rPr>
      </w:pPr>
      <w:r>
        <w:rPr>
          <w:rFonts w:hint="eastAsia"/>
          <w:lang w:bidi="ar"/>
        </w:rPr>
        <w:t>（2）根据联合体协议分工，组成的联合体承担同一专业工程的，按照联合体各方资质等级低的认定其资质；不同专业组成的联合体，按照联合体协议分工承担范围认定其资质；</w:t>
      </w:r>
    </w:p>
    <w:p>
      <w:pPr>
        <w:rPr>
          <w:lang w:bidi="ar"/>
        </w:rPr>
      </w:pPr>
      <w:r>
        <w:rPr>
          <w:rFonts w:hint="eastAsia"/>
          <w:lang w:bidi="ar"/>
        </w:rPr>
        <w:t>（3）联合体各方不得再以自己名义单独或参加其他联合体在同一标段或未划分标段的同一项目中投标，否则各相关投标均无效。</w:t>
      </w:r>
    </w:p>
    <w:p>
      <w:pPr>
        <w:rPr>
          <w:lang w:bidi="ar"/>
        </w:rPr>
      </w:pPr>
      <w:r>
        <w:rPr>
          <w:rFonts w:hint="eastAsia"/>
          <w:lang w:bidi="ar"/>
        </w:rPr>
        <w:t>1.4.3 投标人不得存在下列情形之一：</w:t>
      </w:r>
    </w:p>
    <w:p>
      <w:pPr>
        <w:rPr>
          <w:lang w:bidi="ar"/>
        </w:rPr>
      </w:pPr>
      <w:r>
        <w:rPr>
          <w:rFonts w:hint="eastAsia"/>
          <w:lang w:bidi="ar"/>
        </w:rPr>
        <w:t>（1）为招标人不具有独立法人资格的附属机构（单位）；</w:t>
      </w:r>
    </w:p>
    <w:p>
      <w:pPr>
        <w:rPr>
          <w:lang w:bidi="ar"/>
        </w:rPr>
      </w:pPr>
      <w:r>
        <w:rPr>
          <w:rFonts w:hint="eastAsia"/>
          <w:lang w:bidi="ar"/>
        </w:rPr>
        <w:t>（2）为本项目前期准备提供设计或咨询服务的，但设计施工总承包的除外；</w:t>
      </w:r>
    </w:p>
    <w:p>
      <w:pPr>
        <w:rPr>
          <w:lang w:bidi="ar"/>
        </w:rPr>
      </w:pPr>
      <w:r>
        <w:rPr>
          <w:rFonts w:hint="eastAsia"/>
          <w:lang w:bidi="ar"/>
        </w:rPr>
        <w:t>（3）为本项目的监理人；</w:t>
      </w:r>
    </w:p>
    <w:p>
      <w:pPr>
        <w:rPr>
          <w:lang w:bidi="ar"/>
        </w:rPr>
      </w:pPr>
      <w:r>
        <w:rPr>
          <w:rFonts w:hint="eastAsia"/>
          <w:lang w:bidi="ar"/>
        </w:rPr>
        <w:t>（4）为本项目的代建人；</w:t>
      </w:r>
    </w:p>
    <w:p>
      <w:pPr>
        <w:rPr>
          <w:lang w:bidi="ar"/>
        </w:rPr>
      </w:pPr>
      <w:r>
        <w:rPr>
          <w:rFonts w:hint="eastAsia"/>
          <w:lang w:bidi="ar"/>
        </w:rPr>
        <w:t>（5）为本项目提供招标代理服务的；</w:t>
      </w:r>
    </w:p>
    <w:p>
      <w:pPr>
        <w:rPr>
          <w:lang w:bidi="ar"/>
        </w:rPr>
      </w:pPr>
      <w:r>
        <w:rPr>
          <w:rFonts w:hint="eastAsia"/>
          <w:lang w:bidi="ar"/>
        </w:rPr>
        <w:t>（6）与本项目的监理人或代建人或招标代理机构同为一个法定代表人的；</w:t>
      </w:r>
    </w:p>
    <w:p>
      <w:pPr>
        <w:rPr>
          <w:lang w:bidi="ar"/>
        </w:rPr>
      </w:pPr>
      <w:r>
        <w:rPr>
          <w:rFonts w:hint="eastAsia"/>
          <w:lang w:bidi="ar"/>
        </w:rPr>
        <w:t>（7）与本项目的监理人或代建人或招标代理机构相互控股或参股的；</w:t>
      </w:r>
    </w:p>
    <w:p>
      <w:pPr>
        <w:rPr>
          <w:lang w:bidi="ar"/>
        </w:rPr>
      </w:pPr>
      <w:r>
        <w:rPr>
          <w:rFonts w:hint="eastAsia"/>
          <w:lang w:bidi="ar"/>
        </w:rPr>
        <w:t>（8）与本项目的监理人或代建人或招标代理机构相互任职或工作的；</w:t>
      </w:r>
    </w:p>
    <w:p>
      <w:pPr>
        <w:rPr>
          <w:lang w:bidi="ar"/>
        </w:rPr>
      </w:pPr>
      <w:r>
        <w:rPr>
          <w:rFonts w:hint="eastAsia"/>
          <w:lang w:bidi="ar"/>
        </w:rPr>
        <w:t>（9）被责令停业的；</w:t>
      </w:r>
    </w:p>
    <w:p>
      <w:pPr>
        <w:rPr>
          <w:lang w:bidi="ar"/>
        </w:rPr>
      </w:pPr>
      <w:r>
        <w:rPr>
          <w:rFonts w:hint="eastAsia"/>
          <w:lang w:bidi="ar"/>
        </w:rPr>
        <w:t>（10）被暂停或取消投标资格的；</w:t>
      </w:r>
    </w:p>
    <w:p>
      <w:pPr>
        <w:rPr>
          <w:lang w:bidi="ar"/>
        </w:rPr>
      </w:pPr>
      <w:r>
        <w:rPr>
          <w:rFonts w:hint="eastAsia"/>
          <w:lang w:bidi="ar"/>
        </w:rPr>
        <w:t>（11）财产被接管或冻结的；</w:t>
      </w:r>
    </w:p>
    <w:p>
      <w:pPr>
        <w:rPr>
          <w:lang w:bidi="ar"/>
        </w:rPr>
      </w:pPr>
      <w:r>
        <w:rPr>
          <w:rFonts w:hint="eastAsia"/>
          <w:lang w:bidi="ar"/>
        </w:rPr>
        <w:t>（12）在最近三年内有骗取中标或严重违约或重大工程质量问题的。</w:t>
      </w:r>
    </w:p>
    <w:p>
      <w:pPr>
        <w:rPr>
          <w:lang w:bidi="ar"/>
        </w:rPr>
      </w:pPr>
      <w:r>
        <w:rPr>
          <w:rFonts w:hint="eastAsia"/>
          <w:lang w:bidi="ar"/>
        </w:rPr>
        <w:t>（13）单位负责人为同一人或者存在控股、管理关系的不同单位，不得同时参加本招标项目投标。</w:t>
      </w:r>
    </w:p>
    <w:p>
      <w:pPr>
        <w:pStyle w:val="102"/>
        <w:spacing w:line="360" w:lineRule="auto"/>
        <w:ind w:firstLine="0" w:firstLineChars="0"/>
        <w:outlineLvl w:val="9"/>
        <w:rPr>
          <w:rFonts w:hint="eastAsia" w:ascii="仿宋" w:hAnsi="仿宋" w:eastAsia="仿宋" w:cs="仿宋"/>
          <w:b/>
          <w:bCs/>
        </w:rPr>
      </w:pPr>
      <w:bookmarkStart w:id="58" w:name="_Toc8423534"/>
      <w:bookmarkStart w:id="59" w:name="_Toc8393"/>
      <w:bookmarkStart w:id="60" w:name="_Toc152045535"/>
      <w:bookmarkStart w:id="61" w:name="_Toc152042311"/>
      <w:bookmarkStart w:id="62" w:name="_Toc24663"/>
      <w:bookmarkStart w:id="63" w:name="_Toc144974503"/>
      <w:bookmarkStart w:id="64" w:name="_Toc20131"/>
      <w:r>
        <w:rPr>
          <w:rFonts w:hint="eastAsia" w:ascii="仿宋" w:hAnsi="仿宋" w:eastAsia="仿宋" w:cs="仿宋"/>
          <w:b/>
          <w:bCs/>
        </w:rPr>
        <w:t>1.5 费用承担</w:t>
      </w:r>
      <w:bookmarkEnd w:id="58"/>
      <w:bookmarkEnd w:id="59"/>
      <w:bookmarkEnd w:id="60"/>
      <w:bookmarkEnd w:id="61"/>
      <w:bookmarkEnd w:id="62"/>
      <w:bookmarkEnd w:id="63"/>
      <w:bookmarkEnd w:id="64"/>
    </w:p>
    <w:p>
      <w:pPr>
        <w:rPr>
          <w:lang w:bidi="ar"/>
        </w:rPr>
      </w:pPr>
      <w:r>
        <w:rPr>
          <w:rFonts w:hint="eastAsia"/>
          <w:lang w:bidi="ar"/>
        </w:rPr>
        <w:t>投标人准备和参加投标活动发生的费用自理。</w:t>
      </w:r>
    </w:p>
    <w:p>
      <w:pPr>
        <w:pStyle w:val="102"/>
        <w:spacing w:line="360" w:lineRule="auto"/>
        <w:ind w:firstLine="0" w:firstLineChars="0"/>
        <w:outlineLvl w:val="9"/>
        <w:rPr>
          <w:rFonts w:hint="eastAsia" w:ascii="仿宋" w:hAnsi="仿宋" w:eastAsia="仿宋" w:cs="仿宋"/>
          <w:b/>
          <w:bCs/>
        </w:rPr>
      </w:pPr>
      <w:bookmarkStart w:id="65" w:name="_Toc144974504"/>
      <w:bookmarkStart w:id="66" w:name="_Toc24280"/>
      <w:bookmarkStart w:id="67" w:name="_Toc31621"/>
      <w:bookmarkStart w:id="68" w:name="_Toc152045536"/>
      <w:bookmarkStart w:id="69" w:name="_Toc8423535"/>
      <w:bookmarkStart w:id="70" w:name="_Toc30460"/>
      <w:bookmarkStart w:id="71" w:name="_Toc152042312"/>
      <w:r>
        <w:rPr>
          <w:rFonts w:hint="eastAsia" w:ascii="仿宋" w:hAnsi="仿宋" w:eastAsia="仿宋" w:cs="仿宋"/>
          <w:b/>
          <w:bCs/>
        </w:rPr>
        <w:t>1.6 保密</w:t>
      </w:r>
      <w:bookmarkEnd w:id="65"/>
      <w:bookmarkEnd w:id="66"/>
      <w:bookmarkEnd w:id="67"/>
      <w:bookmarkEnd w:id="68"/>
      <w:bookmarkEnd w:id="69"/>
      <w:bookmarkEnd w:id="70"/>
      <w:bookmarkEnd w:id="71"/>
    </w:p>
    <w:p>
      <w:pPr>
        <w:rPr>
          <w:lang w:bidi="ar"/>
        </w:rPr>
      </w:pPr>
      <w:r>
        <w:rPr>
          <w:rFonts w:hint="eastAsia"/>
          <w:lang w:bidi="ar"/>
        </w:rPr>
        <w:t xml:space="preserve">参与招标投标活动的各方应对招标文件和投标文件中的商业和技术等秘密保密，违者应对由此造成的后果承担法律责任。 </w:t>
      </w:r>
    </w:p>
    <w:p>
      <w:pPr>
        <w:pStyle w:val="102"/>
        <w:spacing w:line="360" w:lineRule="auto"/>
        <w:ind w:firstLine="0" w:firstLineChars="0"/>
        <w:outlineLvl w:val="9"/>
        <w:rPr>
          <w:rFonts w:hint="eastAsia" w:ascii="仿宋" w:hAnsi="仿宋" w:eastAsia="仿宋" w:cs="仿宋"/>
          <w:b/>
          <w:bCs/>
        </w:rPr>
      </w:pPr>
      <w:bookmarkStart w:id="72" w:name="_Toc144974505"/>
      <w:bookmarkStart w:id="73" w:name="_Toc12398"/>
      <w:bookmarkStart w:id="74" w:name="_Toc18863"/>
      <w:bookmarkStart w:id="75" w:name="_Toc152042313"/>
      <w:bookmarkStart w:id="76" w:name="_Toc8423536"/>
      <w:bookmarkStart w:id="77" w:name="_Toc25979"/>
      <w:bookmarkStart w:id="78" w:name="_Toc152045537"/>
      <w:r>
        <w:rPr>
          <w:rFonts w:hint="eastAsia" w:ascii="仿宋" w:hAnsi="仿宋" w:eastAsia="仿宋" w:cs="仿宋"/>
          <w:b/>
          <w:bCs/>
        </w:rPr>
        <w:t>1.7 语言</w:t>
      </w:r>
      <w:bookmarkEnd w:id="72"/>
      <w:r>
        <w:rPr>
          <w:rFonts w:hint="eastAsia" w:ascii="仿宋" w:hAnsi="仿宋" w:eastAsia="仿宋" w:cs="仿宋"/>
          <w:b/>
          <w:bCs/>
        </w:rPr>
        <w:t>文字</w:t>
      </w:r>
      <w:bookmarkEnd w:id="73"/>
      <w:bookmarkEnd w:id="74"/>
      <w:bookmarkEnd w:id="75"/>
      <w:bookmarkEnd w:id="76"/>
      <w:bookmarkEnd w:id="77"/>
      <w:bookmarkEnd w:id="78"/>
    </w:p>
    <w:p>
      <w:pPr>
        <w:rPr>
          <w:lang w:bidi="ar"/>
        </w:rPr>
      </w:pPr>
      <w:r>
        <w:rPr>
          <w:rFonts w:hint="eastAsia"/>
          <w:lang w:bidi="ar"/>
        </w:rPr>
        <w:t>除专用术语外，与招标投标有关的语言均使用中文。必要时专用术语应附有中文注释。</w:t>
      </w:r>
    </w:p>
    <w:p>
      <w:pPr>
        <w:pStyle w:val="102"/>
        <w:spacing w:line="360" w:lineRule="auto"/>
        <w:ind w:firstLine="0" w:firstLineChars="0"/>
        <w:outlineLvl w:val="9"/>
        <w:rPr>
          <w:rFonts w:hint="eastAsia" w:ascii="仿宋" w:hAnsi="仿宋" w:eastAsia="仿宋" w:cs="仿宋"/>
          <w:b/>
          <w:bCs/>
        </w:rPr>
      </w:pPr>
      <w:bookmarkStart w:id="79" w:name="_Toc27405"/>
      <w:bookmarkStart w:id="80" w:name="_Toc152042314"/>
      <w:bookmarkStart w:id="81" w:name="_Toc144974506"/>
      <w:bookmarkStart w:id="82" w:name="_Toc19812"/>
      <w:bookmarkStart w:id="83" w:name="_Toc24630"/>
      <w:bookmarkStart w:id="84" w:name="_Toc152045538"/>
      <w:bookmarkStart w:id="85" w:name="_Toc8423537"/>
      <w:r>
        <w:rPr>
          <w:rFonts w:hint="eastAsia" w:ascii="仿宋" w:hAnsi="仿宋" w:eastAsia="仿宋" w:cs="仿宋"/>
          <w:b/>
          <w:bCs/>
        </w:rPr>
        <w:t>1.8 计量单位</w:t>
      </w:r>
      <w:bookmarkEnd w:id="79"/>
      <w:bookmarkEnd w:id="80"/>
      <w:bookmarkEnd w:id="81"/>
      <w:bookmarkEnd w:id="82"/>
      <w:bookmarkEnd w:id="83"/>
      <w:bookmarkEnd w:id="84"/>
      <w:bookmarkEnd w:id="85"/>
    </w:p>
    <w:p>
      <w:pPr>
        <w:rPr>
          <w:lang w:bidi="ar"/>
        </w:rPr>
      </w:pPr>
      <w:r>
        <w:rPr>
          <w:rFonts w:hint="eastAsia"/>
          <w:lang w:bidi="ar"/>
        </w:rPr>
        <w:t>所有计量均采用中华人民共和国法定计量单位。</w:t>
      </w:r>
    </w:p>
    <w:p>
      <w:pPr>
        <w:pStyle w:val="102"/>
        <w:spacing w:line="360" w:lineRule="auto"/>
        <w:ind w:firstLine="0" w:firstLineChars="0"/>
        <w:outlineLvl w:val="9"/>
        <w:rPr>
          <w:rFonts w:hint="eastAsia" w:ascii="仿宋" w:hAnsi="仿宋" w:eastAsia="仿宋" w:cs="仿宋"/>
          <w:b/>
          <w:bCs/>
        </w:rPr>
      </w:pPr>
      <w:bookmarkStart w:id="86" w:name="_Toc8423538"/>
      <w:bookmarkStart w:id="87" w:name="_Toc152045539"/>
      <w:bookmarkStart w:id="88" w:name="_Toc8643"/>
      <w:bookmarkStart w:id="89" w:name="_Toc144974507"/>
      <w:bookmarkStart w:id="90" w:name="_Toc7114"/>
      <w:bookmarkStart w:id="91" w:name="_Toc28183"/>
      <w:bookmarkStart w:id="92" w:name="_Toc152042315"/>
      <w:r>
        <w:rPr>
          <w:rFonts w:hint="eastAsia" w:ascii="仿宋" w:hAnsi="仿宋" w:eastAsia="仿宋" w:cs="仿宋"/>
          <w:b/>
          <w:bCs/>
        </w:rPr>
        <w:t>1.9 踏勘现场</w:t>
      </w:r>
      <w:bookmarkEnd w:id="86"/>
      <w:bookmarkEnd w:id="87"/>
      <w:bookmarkEnd w:id="88"/>
      <w:bookmarkEnd w:id="89"/>
      <w:bookmarkEnd w:id="90"/>
      <w:bookmarkEnd w:id="91"/>
      <w:bookmarkEnd w:id="92"/>
    </w:p>
    <w:p>
      <w:pPr>
        <w:rPr>
          <w:lang w:bidi="ar"/>
        </w:rPr>
      </w:pPr>
      <w:r>
        <w:rPr>
          <w:rFonts w:hint="eastAsia"/>
          <w:lang w:bidi="ar"/>
        </w:rPr>
        <w:t xml:space="preserve">1.9.1 投标人须知前附表规定组织踏勘现场的，招标人按投标人须知前附表规定的时间、地点组织投标人踏勘项目现场。 </w:t>
      </w:r>
    </w:p>
    <w:p>
      <w:pPr>
        <w:rPr>
          <w:lang w:bidi="ar"/>
        </w:rPr>
      </w:pPr>
      <w:r>
        <w:rPr>
          <w:rFonts w:hint="eastAsia"/>
          <w:lang w:bidi="ar"/>
        </w:rPr>
        <w:t>1.9.2 投标人踏勘现场发生的费用自理。</w:t>
      </w:r>
    </w:p>
    <w:p>
      <w:pPr>
        <w:rPr>
          <w:lang w:bidi="ar"/>
        </w:rPr>
      </w:pPr>
      <w:r>
        <w:rPr>
          <w:rFonts w:hint="eastAsia"/>
          <w:lang w:bidi="ar"/>
        </w:rPr>
        <w:t>1.9.3 除招标人的原因外，投标人自行负责在踏勘现场中所发生的人员伤亡和财产损失。</w:t>
      </w:r>
    </w:p>
    <w:p>
      <w:pPr>
        <w:rPr>
          <w:lang w:bidi="ar"/>
        </w:rPr>
      </w:pPr>
      <w:r>
        <w:rPr>
          <w:rFonts w:hint="eastAsia"/>
          <w:lang w:bidi="ar"/>
        </w:rPr>
        <w:t>1.9.4 招标人在踏勘现场中介绍的工程场地和相关的周边环境情况，供投标人在编制投标文件时参考，招标人不对投标人据此作出的判断和决策负责。</w:t>
      </w:r>
    </w:p>
    <w:p>
      <w:pPr>
        <w:rPr>
          <w:lang w:bidi="ar"/>
        </w:rPr>
      </w:pPr>
      <w:r>
        <w:rPr>
          <w:rFonts w:hint="eastAsia"/>
          <w:lang w:bidi="ar"/>
        </w:rPr>
        <w:t>1.9.5本项目招标人不组织踏勘现场，投标人自行踏勘现场并根据工程规模及技术参数合理预见工程施工所需的进出施工现场的方式、手段、路径等，相应费用支出已包含在投标总价款中。施工临时用水、电源，临时低压线路及涉及临时用电所需费用等均应包含在投标报价中。一经中标，不得以不完全了解现场情况为借口，而提出延长工期和提高工程造价等要求。因投标人未合理预见所增加的费用和（或）延误的工期均由投标人承担(若投标人有疑问需在开标前按规定时间提出书面答疑，否则视为投标人已完成施工现场踏勘、查勘，且无疑问)。</w:t>
      </w:r>
    </w:p>
    <w:p>
      <w:pPr>
        <w:pStyle w:val="102"/>
        <w:spacing w:line="360" w:lineRule="auto"/>
        <w:ind w:firstLine="0" w:firstLineChars="0"/>
        <w:outlineLvl w:val="9"/>
        <w:rPr>
          <w:rFonts w:hint="eastAsia" w:ascii="仿宋" w:hAnsi="仿宋" w:eastAsia="仿宋" w:cs="仿宋"/>
          <w:b/>
          <w:bCs/>
        </w:rPr>
      </w:pPr>
      <w:bookmarkStart w:id="93" w:name="_Toc152042316"/>
      <w:bookmarkStart w:id="94" w:name="_Toc144974508"/>
      <w:bookmarkStart w:id="95" w:name="_Toc8423539"/>
      <w:bookmarkStart w:id="96" w:name="_Toc152045540"/>
      <w:bookmarkStart w:id="97" w:name="_Toc18726"/>
      <w:bookmarkStart w:id="98" w:name="_Toc29986"/>
      <w:bookmarkStart w:id="99" w:name="_Toc32057"/>
      <w:r>
        <w:rPr>
          <w:rFonts w:hint="eastAsia" w:ascii="仿宋" w:hAnsi="仿宋" w:eastAsia="仿宋" w:cs="仿宋"/>
          <w:b/>
          <w:bCs/>
        </w:rPr>
        <w:t>1.10 投标预备会</w:t>
      </w:r>
      <w:bookmarkEnd w:id="93"/>
      <w:bookmarkEnd w:id="94"/>
      <w:bookmarkEnd w:id="95"/>
      <w:bookmarkEnd w:id="96"/>
      <w:r>
        <w:rPr>
          <w:rFonts w:hint="eastAsia" w:ascii="仿宋" w:hAnsi="仿宋" w:eastAsia="仿宋" w:cs="仿宋"/>
          <w:b/>
          <w:bCs/>
        </w:rPr>
        <w:t>（不召开）</w:t>
      </w:r>
      <w:bookmarkEnd w:id="97"/>
      <w:bookmarkEnd w:id="98"/>
      <w:bookmarkEnd w:id="99"/>
    </w:p>
    <w:p>
      <w:pPr>
        <w:rPr>
          <w:lang w:bidi="ar"/>
        </w:rPr>
      </w:pPr>
      <w:r>
        <w:rPr>
          <w:rFonts w:hint="eastAsia"/>
          <w:lang w:bidi="ar"/>
        </w:rPr>
        <w:t>1.10.1 投标人须知前附表规定召开投标预备会的，招标人按投标人须知前附表规定的时间和地点召开投标预备会，澄清投标人提出的问题。</w:t>
      </w:r>
    </w:p>
    <w:p>
      <w:pPr>
        <w:rPr>
          <w:lang w:bidi="ar"/>
        </w:rPr>
      </w:pPr>
      <w:r>
        <w:rPr>
          <w:rFonts w:hint="eastAsia"/>
          <w:lang w:bidi="ar"/>
        </w:rPr>
        <w:t>1.10.2 投标人应在投标人须知前附表规定的时间前，以书面形式将提出的问题送达招标人，以便招标人在会议期间澄清。</w:t>
      </w:r>
    </w:p>
    <w:p>
      <w:pPr>
        <w:rPr>
          <w:lang w:bidi="ar"/>
        </w:rPr>
      </w:pPr>
      <w:r>
        <w:rPr>
          <w:rFonts w:hint="eastAsia"/>
          <w:lang w:bidi="ar"/>
        </w:rPr>
        <w:t>1.10.3 投标预备会后，招标人在投标人须知前附表规定的时间内，将对投标人所提问题的澄清，以书面方式通知所有购买招标文件的投标人。该澄清内容为招标文件的组成部分。</w:t>
      </w:r>
    </w:p>
    <w:p>
      <w:pPr>
        <w:pStyle w:val="102"/>
        <w:spacing w:line="360" w:lineRule="auto"/>
        <w:ind w:firstLine="0" w:firstLineChars="0"/>
        <w:outlineLvl w:val="9"/>
        <w:rPr>
          <w:rFonts w:hint="eastAsia" w:ascii="仿宋" w:hAnsi="仿宋" w:eastAsia="仿宋" w:cs="仿宋"/>
          <w:b/>
          <w:bCs/>
        </w:rPr>
      </w:pPr>
      <w:bookmarkStart w:id="100" w:name="_Toc152042317"/>
      <w:bookmarkStart w:id="101" w:name="_Toc10103"/>
      <w:bookmarkStart w:id="102" w:name="_Toc27939"/>
      <w:bookmarkStart w:id="103" w:name="_Toc8423540"/>
      <w:bookmarkStart w:id="104" w:name="_Toc152045541"/>
      <w:bookmarkStart w:id="105" w:name="_Toc21216"/>
      <w:bookmarkStart w:id="106" w:name="_Toc144974509"/>
      <w:r>
        <w:rPr>
          <w:rFonts w:hint="eastAsia" w:ascii="仿宋" w:hAnsi="仿宋" w:eastAsia="仿宋" w:cs="仿宋"/>
          <w:b/>
          <w:bCs/>
        </w:rPr>
        <w:t>1.11 分包</w:t>
      </w:r>
      <w:bookmarkEnd w:id="100"/>
      <w:bookmarkEnd w:id="101"/>
      <w:bookmarkEnd w:id="102"/>
      <w:bookmarkEnd w:id="103"/>
      <w:bookmarkEnd w:id="104"/>
      <w:bookmarkEnd w:id="105"/>
      <w:bookmarkEnd w:id="106"/>
    </w:p>
    <w:p>
      <w:pPr>
        <w:rPr>
          <w:lang w:bidi="ar"/>
        </w:rPr>
      </w:pPr>
      <w:bookmarkStart w:id="107" w:name="_Toc4679"/>
      <w:bookmarkStart w:id="108" w:name="_Toc8822"/>
      <w:bookmarkStart w:id="109" w:name="_Toc8423541"/>
      <w:r>
        <w:rPr>
          <w:rFonts w:hint="eastAsia"/>
          <w:lang w:bidi="ar"/>
        </w:rPr>
        <w:t>不允许。本工程严禁分包或转包，中标人如有分包或转包行为，一经发现，招标人有权单方解除合同，扣除中标人全部履约保证（担保）金，并要求中标人支付合同总金额 20%的违约金和赔偿损失。</w:t>
      </w:r>
      <w:bookmarkEnd w:id="107"/>
      <w:bookmarkEnd w:id="108"/>
    </w:p>
    <w:p>
      <w:pPr>
        <w:pStyle w:val="102"/>
        <w:spacing w:line="360" w:lineRule="auto"/>
        <w:ind w:firstLine="0" w:firstLineChars="0"/>
        <w:outlineLvl w:val="9"/>
        <w:rPr>
          <w:rFonts w:hint="eastAsia" w:ascii="仿宋" w:hAnsi="仿宋" w:eastAsia="仿宋" w:cs="仿宋"/>
          <w:b/>
          <w:bCs/>
        </w:rPr>
      </w:pPr>
      <w:bookmarkStart w:id="110" w:name="_Toc27039"/>
      <w:bookmarkStart w:id="111" w:name="_Toc31902"/>
      <w:bookmarkStart w:id="112" w:name="_Toc24530"/>
      <w:r>
        <w:rPr>
          <w:rFonts w:hint="eastAsia" w:ascii="仿宋" w:hAnsi="仿宋" w:eastAsia="仿宋" w:cs="仿宋"/>
          <w:b/>
          <w:bCs/>
        </w:rPr>
        <w:t>1.12 偏离</w:t>
      </w:r>
      <w:bookmarkEnd w:id="109"/>
      <w:r>
        <w:rPr>
          <w:rFonts w:hint="eastAsia" w:ascii="仿宋" w:hAnsi="仿宋" w:eastAsia="仿宋" w:cs="仿宋"/>
          <w:b/>
          <w:bCs/>
        </w:rPr>
        <w:t>（不允许）</w:t>
      </w:r>
      <w:bookmarkEnd w:id="110"/>
      <w:bookmarkEnd w:id="111"/>
      <w:bookmarkEnd w:id="112"/>
    </w:p>
    <w:p>
      <w:pPr>
        <w:rPr>
          <w:lang w:bidi="ar"/>
        </w:rPr>
      </w:pPr>
      <w:r>
        <w:rPr>
          <w:rFonts w:hint="eastAsia"/>
          <w:lang w:bidi="ar"/>
        </w:rPr>
        <w:t>投标人须知前附表允许投标文件偏离招标文件某些要求的，偏离应当符合招标文件规定的偏离范围和幅度。</w:t>
      </w:r>
    </w:p>
    <w:p>
      <w:pPr>
        <w:pStyle w:val="102"/>
        <w:spacing w:line="360" w:lineRule="auto"/>
        <w:ind w:firstLine="0" w:firstLineChars="0"/>
        <w:outlineLvl w:val="9"/>
        <w:rPr>
          <w:rFonts w:hint="eastAsia" w:ascii="仿宋" w:hAnsi="仿宋" w:eastAsia="仿宋" w:cs="仿宋"/>
          <w:b/>
          <w:bCs/>
        </w:rPr>
      </w:pPr>
      <w:bookmarkStart w:id="113" w:name="_Toc1184"/>
      <w:bookmarkStart w:id="114" w:name="_Toc26992"/>
      <w:bookmarkStart w:id="115" w:name="_Toc19208"/>
      <w:bookmarkStart w:id="116" w:name="_Toc8423542"/>
      <w:r>
        <w:rPr>
          <w:rFonts w:hint="eastAsia" w:ascii="仿宋" w:hAnsi="仿宋" w:eastAsia="仿宋" w:cs="仿宋"/>
          <w:b/>
          <w:bCs/>
        </w:rPr>
        <w:t>1.13 农民工工资保障金</w:t>
      </w:r>
      <w:bookmarkEnd w:id="113"/>
      <w:bookmarkEnd w:id="114"/>
      <w:bookmarkEnd w:id="115"/>
      <w:bookmarkEnd w:id="116"/>
    </w:p>
    <w:p>
      <w:bookmarkStart w:id="117" w:name="_Toc152045542"/>
      <w:bookmarkStart w:id="118" w:name="_Toc144974510"/>
      <w:bookmarkStart w:id="119" w:name="_Toc152042318"/>
      <w:r>
        <w:rPr>
          <w:rFonts w:hint="eastAsia"/>
          <w:lang w:bidi="ar"/>
        </w:rPr>
        <w:t xml:space="preserve">为了规范农民工工资支付行为，保障农民工按时足额获得工资，中标人在实施过程中需严格按照《保障农民工工资支付条例》（中华人民共和国国务院令第724号）进行落实，包含但不限于以下要求进行执行： </w:t>
      </w:r>
    </w:p>
    <w:p>
      <w:r>
        <w:rPr>
          <w:rFonts w:hint="eastAsia"/>
          <w:lang w:bidi="ar"/>
        </w:rPr>
        <w:t xml:space="preserve">1.13.1 工程承包单位应当按照有关规定开设农民工工资专用账户，专项用于支付该工程建设项目农民工工资。开设、使用农民工工资专用账户有关资料应当由总承包单位妥善保存备查。农民工工资应以货币形式按照与农民工书面约定，通过银行转账或者现金足额支付给农民工本人。 </w:t>
      </w:r>
    </w:p>
    <w:p>
      <w:r>
        <w:rPr>
          <w:rFonts w:hint="eastAsia"/>
          <w:lang w:bidi="ar"/>
        </w:rPr>
        <w:t xml:space="preserve">1.13.2 工程承包单位或者分包单位应当依法与所招用的农民工订立劳动合同并进行用工实名登记，具备条件的行业应当通过相应的管理服务信息平台进行用工实名登记、管理。未与总承包单位或者分包单位订立劳动合同并进行用工实名登记的人员，不得进入项目现场施工。总承包单位应当在工程项目部配备劳资专管员，对分包单位劳动用工实施监督管理，掌握施工现场用工、考勤、工资支付等情况，审核分包单位编制的农民工工资支付表，分包单位应当予以配合。总承包单位、分包单位应当建立用工管理台账，并保存至工程完工且工资全部结清后至少3年。 </w:t>
      </w:r>
    </w:p>
    <w:p>
      <w:r>
        <w:rPr>
          <w:rFonts w:hint="eastAsia"/>
          <w:lang w:bidi="ar"/>
        </w:rPr>
        <w:t xml:space="preserve">1.13.3 推行分包单位农民工工资委托总承包单位代发制度。分包单位应当按月考核农民工工作量并编制工资支付表，经农民工本人签字确认后，与当月工程进度等情况一并交总承包单位。总承包单位根据分包单位编制的工资支付表，通过农民工工资专用账户直接将工资支付到农民工本人的银行账户，并向分包单位提供代发工资凭证。 </w:t>
      </w:r>
    </w:p>
    <w:p>
      <w:r>
        <w:rPr>
          <w:rFonts w:hint="eastAsia"/>
          <w:lang w:bidi="ar"/>
        </w:rPr>
        <w:t xml:space="preserve">1.13.4 工程承包单位应当按照有关规定存储合同价款2%作为工资保证金，存入农民工工资专用账户，专项用于支付为所承包工程提供劳动的农民工被拖欠的工资。工资保证金可以用金融机构保函替代。 </w:t>
      </w:r>
    </w:p>
    <w:p>
      <w:r>
        <w:rPr>
          <w:rFonts w:hint="eastAsia"/>
          <w:lang w:bidi="ar"/>
        </w:rPr>
        <w:t xml:space="preserve">1.13.5 除法律另有规定外，农民工工资专用账户资金和工资保证金不得因支付为本项目提供劳动的农民工工资之外的原因被查封、冻结或者划拨。 </w:t>
      </w:r>
    </w:p>
    <w:p>
      <w:r>
        <w:rPr>
          <w:rFonts w:hint="eastAsia"/>
          <w:lang w:bidi="ar"/>
        </w:rPr>
        <w:t xml:space="preserve">1.13.6 投标人提交的投标文件中未对农民工工资保障进行承诺的，在评标时对其投标文件按照废标处理。 </w:t>
      </w:r>
    </w:p>
    <w:p>
      <w:r>
        <w:rPr>
          <w:rFonts w:hint="eastAsia"/>
          <w:lang w:bidi="ar"/>
        </w:rPr>
        <w:t xml:space="preserve">1.13.7 如因农民工工资支付工作落实不力，发生维权、上访、堵门等行为，给招标人造成不良影响的，招标人有权对中标人进行处罚，直至解除合同。 </w:t>
      </w:r>
    </w:p>
    <w:p>
      <w:r>
        <w:rPr>
          <w:rFonts w:hint="eastAsia"/>
          <w:lang w:bidi="ar"/>
        </w:rPr>
        <w:t>1.13.8 农民工工资的相关约定建设单位按照合同要求履行义务后仍出现以下情况的，由工程承包人承担全部法律责任，并依法赔偿相应损失。</w:t>
      </w:r>
    </w:p>
    <w:p>
      <w:r>
        <w:rPr>
          <w:rFonts w:hint="eastAsia"/>
          <w:lang w:bidi="ar"/>
        </w:rPr>
        <w:t>（1）工程承包人使用个人、不具备合法经营资格的单位或者未依法取得劳务派遣许可证的单位派遣的农民工，拖欠农民工工资的，由工程承包人清偿。</w:t>
      </w:r>
    </w:p>
    <w:p>
      <w:r>
        <w:rPr>
          <w:rFonts w:hint="eastAsia"/>
          <w:lang w:bidi="ar"/>
        </w:rPr>
        <w:t>（2）工程建设项目转包，拖欠农民工工资的，由工程承包人先行清偿，再依法进行追偿。分包单位拖欠农民工工资的，由工程承包人先行清偿，再依法进行追偿。</w:t>
      </w:r>
    </w:p>
    <w:p>
      <w:r>
        <w:rPr>
          <w:rFonts w:hint="eastAsia"/>
          <w:lang w:bidi="ar"/>
        </w:rPr>
        <w:t>（3）工程承包人合并或者分立时，应当在实施合并或者分立前依法清偿拖欠的农民工工资；经与农民工书面协商一致的，可以由合并或者分立后承继其权利和义务的用人单位清偿。</w:t>
      </w:r>
    </w:p>
    <w:p>
      <w:r>
        <w:rPr>
          <w:rFonts w:hint="eastAsia"/>
          <w:lang w:bidi="ar"/>
        </w:rPr>
        <w:t>（4）工程承包人被依法吊销营业执照或者登记证书、被责令关闭、被撤销或者依法解散的，应当在申请注销登记前依法清偿拖欠的农民工工资。未依据前款规定清偿农民工工资的工程承包人主要出资人，应当在注册新用人单位前清偿拖欠的农民工工资。</w:t>
      </w:r>
    </w:p>
    <w:p>
      <w:r>
        <w:rPr>
          <w:rFonts w:hint="eastAsia"/>
          <w:lang w:bidi="ar"/>
        </w:rPr>
        <w:t xml:space="preserve">（5）如果工程承包人未按照合同约定或相关法律规定支付农民工工资造成建设单位损失的，一切责任由工程承包人承担。所造成的损失由建设单位在本合同剩余工程款中予以扣除，不足部分由建设单位向工程承包人追偿。 </w:t>
      </w:r>
    </w:p>
    <w:p>
      <w:pPr>
        <w:rPr>
          <w:lang w:bidi="ar"/>
        </w:rPr>
      </w:pPr>
      <w:r>
        <w:rPr>
          <w:rFonts w:hint="eastAsia"/>
          <w:lang w:bidi="ar"/>
        </w:rPr>
        <w:t>1.13.9 未尽事项按照相关法律法规及《保障农民工工资支付条例》相关规定执行。</w:t>
      </w:r>
    </w:p>
    <w:p>
      <w:pPr>
        <w:rPr>
          <w:lang w:bidi="ar"/>
        </w:rPr>
      </w:pPr>
      <w:r>
        <w:rPr>
          <w:rFonts w:hint="eastAsia"/>
          <w:lang w:bidi="ar"/>
        </w:rPr>
        <w:t xml:space="preserve"> 1.13.10除前述责任、义务外，若因中标人在实施本项目过程中未按时支付农民工劳动报酬引发不良影响的，中标人除需继续履行足额支付农民工工资责任外，还需向招标人支付合同总金额20%的违约金，给招标人造成其他损失的，中标人还需承担赔偿责任，但因非中标人原因造成的除外。</w:t>
      </w:r>
    </w:p>
    <w:p>
      <w:pPr>
        <w:pStyle w:val="93"/>
        <w:spacing w:line="360" w:lineRule="auto"/>
        <w:ind w:firstLine="0" w:firstLineChars="0"/>
        <w:rPr>
          <w:rFonts w:hint="eastAsia" w:ascii="仿宋" w:hAnsi="仿宋" w:eastAsia="仿宋" w:cs="仿宋"/>
          <w:b/>
          <w:bCs/>
        </w:rPr>
      </w:pPr>
      <w:bookmarkStart w:id="120" w:name="_Toc23466"/>
      <w:bookmarkStart w:id="121" w:name="_Toc27829"/>
      <w:r>
        <w:rPr>
          <w:rFonts w:hint="eastAsia" w:ascii="仿宋" w:hAnsi="仿宋" w:eastAsia="仿宋" w:cs="仿宋"/>
          <w:b/>
          <w:bCs/>
        </w:rPr>
        <w:t>2、招标文件</w:t>
      </w:r>
      <w:bookmarkEnd w:id="117"/>
      <w:bookmarkEnd w:id="118"/>
      <w:bookmarkEnd w:id="119"/>
      <w:bookmarkEnd w:id="120"/>
      <w:bookmarkEnd w:id="121"/>
    </w:p>
    <w:p>
      <w:pPr>
        <w:pStyle w:val="102"/>
        <w:spacing w:line="360" w:lineRule="auto"/>
        <w:ind w:firstLine="0" w:firstLineChars="0"/>
        <w:outlineLvl w:val="9"/>
        <w:rPr>
          <w:rFonts w:hint="eastAsia" w:ascii="仿宋" w:hAnsi="仿宋" w:eastAsia="仿宋" w:cs="仿宋"/>
          <w:b/>
          <w:bCs/>
        </w:rPr>
      </w:pPr>
      <w:bookmarkStart w:id="122" w:name="_Toc32443"/>
      <w:bookmarkStart w:id="123" w:name="_Toc7886"/>
      <w:bookmarkStart w:id="124" w:name="_Toc152045543"/>
      <w:bookmarkStart w:id="125" w:name="_Toc6648"/>
      <w:bookmarkStart w:id="126" w:name="_Toc8423544"/>
      <w:bookmarkStart w:id="127" w:name="_Toc144974511"/>
      <w:bookmarkStart w:id="128" w:name="_Toc152042319"/>
      <w:r>
        <w:rPr>
          <w:rFonts w:hint="eastAsia" w:ascii="仿宋" w:hAnsi="仿宋" w:eastAsia="仿宋" w:cs="仿宋"/>
          <w:b/>
          <w:bCs/>
        </w:rPr>
        <w:t>2.1 招标文件的组成</w:t>
      </w:r>
      <w:bookmarkEnd w:id="122"/>
      <w:bookmarkEnd w:id="123"/>
      <w:bookmarkEnd w:id="124"/>
      <w:bookmarkEnd w:id="125"/>
      <w:bookmarkEnd w:id="126"/>
      <w:bookmarkEnd w:id="127"/>
      <w:bookmarkEnd w:id="128"/>
    </w:p>
    <w:p>
      <w:r>
        <w:rPr>
          <w:rFonts w:hint="eastAsia"/>
        </w:rPr>
        <w:t>本招标文件包括：</w:t>
      </w:r>
    </w:p>
    <w:p>
      <w:r>
        <w:rPr>
          <w:rFonts w:hint="eastAsia"/>
        </w:rPr>
        <w:t>（1）招标公告；</w:t>
      </w:r>
    </w:p>
    <w:p>
      <w:r>
        <w:rPr>
          <w:rFonts w:hint="eastAsia"/>
        </w:rPr>
        <w:t>（2）投标人须知；</w:t>
      </w:r>
    </w:p>
    <w:p>
      <w:r>
        <w:rPr>
          <w:rFonts w:hint="eastAsia"/>
        </w:rPr>
        <w:t>（3）评标办法（定量评审）；</w:t>
      </w:r>
    </w:p>
    <w:p>
      <w:r>
        <w:rPr>
          <w:rFonts w:hint="eastAsia"/>
        </w:rPr>
        <w:t>（4）合同条款及格式；</w:t>
      </w:r>
    </w:p>
    <w:p>
      <w:r>
        <w:rPr>
          <w:rFonts w:hint="eastAsia"/>
        </w:rPr>
        <w:t>（5）工程量清单；</w:t>
      </w:r>
    </w:p>
    <w:p>
      <w:r>
        <w:rPr>
          <w:rFonts w:hint="eastAsia"/>
        </w:rPr>
        <w:t>（6）图纸；</w:t>
      </w:r>
    </w:p>
    <w:p>
      <w:r>
        <w:rPr>
          <w:rFonts w:hint="eastAsia"/>
        </w:rPr>
        <w:t>（7）技术标准和要求；</w:t>
      </w:r>
    </w:p>
    <w:p>
      <w:r>
        <w:rPr>
          <w:rFonts w:hint="eastAsia"/>
        </w:rPr>
        <w:t>（8）投标文件格式；</w:t>
      </w:r>
    </w:p>
    <w:p>
      <w:r>
        <w:rPr>
          <w:rFonts w:hint="eastAsia"/>
        </w:rPr>
        <w:t>（9）其他材料。</w:t>
      </w:r>
    </w:p>
    <w:p>
      <w:r>
        <w:rPr>
          <w:rFonts w:hint="eastAsia"/>
        </w:rPr>
        <w:t>根据本章第2.2款和第2.3款对招标文件所作的澄清、修改，构成招标文件的组成部分。</w:t>
      </w:r>
    </w:p>
    <w:p>
      <w:pPr>
        <w:pStyle w:val="102"/>
        <w:spacing w:line="360" w:lineRule="auto"/>
        <w:ind w:firstLine="0" w:firstLineChars="0"/>
        <w:outlineLvl w:val="9"/>
        <w:rPr>
          <w:rFonts w:hint="eastAsia" w:ascii="仿宋" w:hAnsi="仿宋" w:eastAsia="仿宋" w:cs="仿宋"/>
          <w:b/>
          <w:bCs/>
        </w:rPr>
      </w:pPr>
      <w:bookmarkStart w:id="129" w:name="_Toc152042320"/>
      <w:bookmarkStart w:id="130" w:name="_Toc31802"/>
      <w:bookmarkStart w:id="131" w:name="_Toc26281"/>
      <w:bookmarkStart w:id="132" w:name="_Toc8423545"/>
      <w:bookmarkStart w:id="133" w:name="_Toc152045544"/>
      <w:bookmarkStart w:id="134" w:name="_Toc144974512"/>
      <w:bookmarkStart w:id="135" w:name="_Toc24604"/>
      <w:r>
        <w:rPr>
          <w:rFonts w:hint="eastAsia" w:ascii="仿宋" w:hAnsi="仿宋" w:eastAsia="仿宋" w:cs="仿宋"/>
          <w:b/>
          <w:bCs/>
        </w:rPr>
        <w:t>2.2 招标文件的澄清</w:t>
      </w:r>
      <w:bookmarkEnd w:id="129"/>
      <w:bookmarkEnd w:id="130"/>
      <w:bookmarkEnd w:id="131"/>
      <w:bookmarkEnd w:id="132"/>
      <w:bookmarkEnd w:id="133"/>
      <w:bookmarkEnd w:id="134"/>
      <w:bookmarkEnd w:id="135"/>
    </w:p>
    <w:p>
      <w:r>
        <w:rPr>
          <w:rFonts w:hint="eastAsia"/>
        </w:rPr>
        <w:t>2.2.1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w:t>
      </w:r>
    </w:p>
    <w:p>
      <w:r>
        <w:rPr>
          <w:rFonts w:hint="eastAsia"/>
        </w:rPr>
        <w:t>2.2.2 招标文件的澄清将在投标人须知前附表规定的投标截止时间15天前发布，如果澄清发出的时间距投标截止时间不足15天，且澄清的内容影响投标文件编制的，相应延长投标截止时间。</w:t>
      </w:r>
    </w:p>
    <w:p>
      <w:r>
        <w:rPr>
          <w:rFonts w:hint="eastAsia"/>
        </w:rPr>
        <w:t>招标文件的澄清将在与招标公告发布媒介的同一媒介发布“变更公告”，或者在洛阳市电子招投标交易平台发布“答疑文件”（答疑文件指修改后最新的招标文件）。对于各项目中已经成功下载招标文件的投标人，将通过第三方短信群发方式提醒投标人进行查询。各投标人须重新下载最新的“答疑文件”，并以此编制投标文件。如不以“变更公告”或最新发布的“答疑文件”编制投标文件，造成投标无效的后果由投标人自己承担。</w:t>
      </w:r>
    </w:p>
    <w:p>
      <w:r>
        <w:rPr>
          <w:rFonts w:hint="eastAsia"/>
        </w:rPr>
        <w:t>2.2.3投标人确认收到招标文件澄清的时间见投标人须知前附表。因洛阳市电子招投标交易平台在开标前具有保密性，投标人在投标文件递交截止时间前须自行查看项目进展、变更通知、澄清及回复，因投标人未及时查看而造成的后果自负。</w:t>
      </w:r>
    </w:p>
    <w:p>
      <w:pPr>
        <w:pStyle w:val="102"/>
        <w:spacing w:line="360" w:lineRule="auto"/>
        <w:ind w:firstLine="0" w:firstLineChars="0"/>
        <w:outlineLvl w:val="9"/>
        <w:rPr>
          <w:rFonts w:hint="eastAsia" w:ascii="仿宋" w:hAnsi="仿宋" w:eastAsia="仿宋" w:cs="仿宋"/>
          <w:b/>
          <w:bCs/>
        </w:rPr>
      </w:pPr>
      <w:bookmarkStart w:id="136" w:name="_Toc144974513"/>
      <w:bookmarkStart w:id="137" w:name="_Toc152045545"/>
      <w:bookmarkStart w:id="138" w:name="_Toc8423546"/>
      <w:bookmarkStart w:id="139" w:name="_Toc152042321"/>
      <w:bookmarkStart w:id="140" w:name="_Toc7588"/>
      <w:bookmarkStart w:id="141" w:name="_Toc21218"/>
      <w:bookmarkStart w:id="142" w:name="_Toc22046"/>
      <w:r>
        <w:rPr>
          <w:rFonts w:hint="eastAsia" w:ascii="仿宋" w:hAnsi="仿宋" w:eastAsia="仿宋" w:cs="仿宋"/>
          <w:b/>
          <w:bCs/>
        </w:rPr>
        <w:t>2.3 招标文件的修改</w:t>
      </w:r>
      <w:bookmarkEnd w:id="136"/>
      <w:bookmarkEnd w:id="137"/>
      <w:bookmarkEnd w:id="138"/>
      <w:bookmarkEnd w:id="139"/>
      <w:bookmarkEnd w:id="140"/>
      <w:bookmarkEnd w:id="141"/>
      <w:bookmarkEnd w:id="142"/>
    </w:p>
    <w:p>
      <w:r>
        <w:rPr>
          <w:rFonts w:hint="eastAsia"/>
        </w:rPr>
        <w:t xml:space="preserve">2.3.1 招标文件的修改将在投标人须知前附表规定的投标截止时间15天前发布，如果修改发出的时间距投标截止时间不足15天，且修改的内容影响投标文件编制的，相应延长投标截止时间。 </w:t>
      </w:r>
    </w:p>
    <w:p>
      <w:r>
        <w:rPr>
          <w:rFonts w:hint="eastAsia"/>
        </w:rPr>
        <w:t>招标文件的修改将在与招标公告发布媒介的同一媒介发布“变更公告”，或者在洛阳市电子招投标交易平台发布“答疑文件”（答疑文件指修改后最新的招标文件）。对于各项目中已经成功报名并下载招标文件的投标人，将通过第三方短信群发方式提醒投标人进行查询。各投标人须重新下载最新的“答疑文件”，并以此编制投标文件。如不以“变更公告”或最新发布的“答疑文件”编制投标文件，造成投标无效的后果由投标人自己承担。</w:t>
      </w:r>
    </w:p>
    <w:p>
      <w:r>
        <w:rPr>
          <w:rFonts w:hint="eastAsia"/>
        </w:rPr>
        <w:t>2.3.2投标人确认收到招标文件修改的时间见投标人须知前附表。因洛阳市电子招投标交易平台在开标前具有保密性，投标人在投标文件递交截止时间前须自行查看项目进展、变更通知、澄清及回复，因投标人未及时查看而造成的后果自负。</w:t>
      </w:r>
    </w:p>
    <w:p>
      <w:pPr>
        <w:pStyle w:val="93"/>
        <w:spacing w:line="360" w:lineRule="auto"/>
        <w:ind w:firstLine="0" w:firstLineChars="0"/>
        <w:rPr>
          <w:rFonts w:hint="eastAsia" w:ascii="仿宋" w:hAnsi="仿宋" w:eastAsia="仿宋" w:cs="仿宋"/>
          <w:b/>
          <w:bCs/>
        </w:rPr>
      </w:pPr>
      <w:bookmarkStart w:id="143" w:name="_Toc152042322"/>
      <w:bookmarkStart w:id="144" w:name="_Toc20053"/>
      <w:bookmarkStart w:id="145" w:name="_Toc152045546"/>
      <w:bookmarkStart w:id="146" w:name="_Toc16841"/>
      <w:bookmarkStart w:id="147" w:name="_Toc144974514"/>
      <w:r>
        <w:rPr>
          <w:rFonts w:hint="eastAsia" w:ascii="仿宋" w:hAnsi="仿宋" w:eastAsia="仿宋" w:cs="仿宋"/>
          <w:b/>
          <w:bCs/>
        </w:rPr>
        <w:t>3、投标文件</w:t>
      </w:r>
      <w:bookmarkEnd w:id="143"/>
      <w:bookmarkEnd w:id="144"/>
      <w:bookmarkEnd w:id="145"/>
      <w:bookmarkEnd w:id="146"/>
      <w:bookmarkEnd w:id="147"/>
    </w:p>
    <w:p>
      <w:pPr>
        <w:pStyle w:val="102"/>
        <w:spacing w:line="360" w:lineRule="auto"/>
        <w:ind w:firstLine="0" w:firstLineChars="0"/>
        <w:outlineLvl w:val="9"/>
        <w:rPr>
          <w:rFonts w:hint="eastAsia" w:ascii="仿宋" w:hAnsi="仿宋" w:eastAsia="仿宋" w:cs="仿宋"/>
          <w:b/>
          <w:bCs/>
        </w:rPr>
      </w:pPr>
      <w:bookmarkStart w:id="148" w:name="_Toc31833"/>
      <w:bookmarkStart w:id="149" w:name="_Toc23519"/>
      <w:bookmarkStart w:id="150" w:name="_Toc152045547"/>
      <w:bookmarkStart w:id="151" w:name="_Toc152042323"/>
      <w:bookmarkStart w:id="152" w:name="_Toc8423548"/>
      <w:bookmarkStart w:id="153" w:name="_Toc144974515"/>
      <w:r>
        <w:rPr>
          <w:rFonts w:hint="eastAsia" w:ascii="仿宋" w:hAnsi="仿宋" w:eastAsia="仿宋" w:cs="仿宋"/>
          <w:b/>
          <w:bCs/>
        </w:rPr>
        <w:t>3.1 投标文件的组成</w:t>
      </w:r>
      <w:bookmarkEnd w:id="148"/>
      <w:bookmarkEnd w:id="149"/>
      <w:bookmarkEnd w:id="150"/>
      <w:bookmarkEnd w:id="151"/>
      <w:bookmarkEnd w:id="152"/>
      <w:bookmarkEnd w:id="153"/>
    </w:p>
    <w:p>
      <w:r>
        <w:rPr>
          <w:rFonts w:hint="eastAsia"/>
        </w:rPr>
        <w:t>3.1.1投标文件应包括下列内容：</w:t>
      </w:r>
    </w:p>
    <w:p>
      <w:r>
        <w:rPr>
          <w:rFonts w:hint="eastAsia"/>
        </w:rPr>
        <w:t>（1）投标函及投标函附录；</w:t>
      </w:r>
    </w:p>
    <w:p>
      <w:r>
        <w:rPr>
          <w:rFonts w:hint="eastAsia"/>
        </w:rPr>
        <w:t>（2）法定代表人身份证明及授权委托书；</w:t>
      </w:r>
    </w:p>
    <w:p>
      <w:r>
        <w:rPr>
          <w:rFonts w:hint="eastAsia"/>
        </w:rPr>
        <w:t>（3）投标保证金；</w:t>
      </w:r>
    </w:p>
    <w:p>
      <w:r>
        <w:rPr>
          <w:rFonts w:hint="eastAsia"/>
        </w:rPr>
        <w:t>（4）已标价工程量清单</w:t>
      </w:r>
    </w:p>
    <w:p>
      <w:r>
        <w:rPr>
          <w:rFonts w:hint="eastAsia"/>
        </w:rPr>
        <w:t>（5）施工组织设计；</w:t>
      </w:r>
    </w:p>
    <w:p>
      <w:r>
        <w:rPr>
          <w:rFonts w:hint="eastAsia"/>
        </w:rPr>
        <w:t>（6）项目管理机构；</w:t>
      </w:r>
    </w:p>
    <w:p>
      <w:r>
        <w:rPr>
          <w:rFonts w:hint="eastAsia"/>
        </w:rPr>
        <w:t>（7）资格审查资料；</w:t>
      </w:r>
    </w:p>
    <w:p>
      <w:r>
        <w:rPr>
          <w:rFonts w:hint="eastAsia"/>
        </w:rPr>
        <w:t>（8）其他资料；</w:t>
      </w:r>
    </w:p>
    <w:p>
      <w:r>
        <w:rPr>
          <w:rFonts w:hint="eastAsia"/>
        </w:rPr>
        <w:t xml:space="preserve">3.1.2 投标人须知前附表规定不接受联合体投标的，或投标人没有组成联合体的，投标文件不包括本章第3.1.1（4）目所指的联合体协议书。 </w:t>
      </w:r>
    </w:p>
    <w:p>
      <w:pPr>
        <w:pStyle w:val="102"/>
        <w:spacing w:line="360" w:lineRule="auto"/>
        <w:ind w:firstLine="0" w:firstLineChars="0"/>
        <w:outlineLvl w:val="9"/>
        <w:rPr>
          <w:rFonts w:hint="eastAsia" w:ascii="仿宋" w:hAnsi="仿宋" w:eastAsia="仿宋" w:cs="仿宋"/>
          <w:b/>
          <w:bCs/>
        </w:rPr>
      </w:pPr>
      <w:bookmarkStart w:id="154" w:name="_Toc144974516"/>
      <w:bookmarkStart w:id="155" w:name="_Toc8423549"/>
      <w:bookmarkStart w:id="156" w:name="_Toc152045548"/>
      <w:bookmarkStart w:id="157" w:name="_Toc12036"/>
      <w:bookmarkStart w:id="158" w:name="_Toc23298"/>
      <w:bookmarkStart w:id="159" w:name="_Toc152042324"/>
      <w:r>
        <w:rPr>
          <w:rFonts w:hint="eastAsia" w:ascii="仿宋" w:hAnsi="仿宋" w:eastAsia="仿宋" w:cs="仿宋"/>
          <w:b/>
          <w:bCs/>
        </w:rPr>
        <w:t>3.2 投标报价</w:t>
      </w:r>
      <w:bookmarkEnd w:id="154"/>
      <w:bookmarkEnd w:id="155"/>
      <w:bookmarkEnd w:id="156"/>
      <w:bookmarkEnd w:id="157"/>
      <w:bookmarkEnd w:id="158"/>
      <w:bookmarkEnd w:id="159"/>
    </w:p>
    <w:p>
      <w:bookmarkStart w:id="160" w:name="_Toc144974517"/>
      <w:bookmarkStart w:id="161" w:name="_Toc152042325"/>
      <w:bookmarkStart w:id="162" w:name="_Toc152045549"/>
      <w:bookmarkStart w:id="163" w:name="_Toc8423550"/>
      <w:r>
        <w:rPr>
          <w:rFonts w:hint="eastAsia"/>
        </w:rPr>
        <w:t>3.2.1投标报价计算办法及承包方式：</w:t>
      </w:r>
    </w:p>
    <w:p>
      <w:pPr>
        <w:rPr>
          <w:lang w:bidi="ar"/>
        </w:rPr>
      </w:pPr>
      <w:r>
        <w:rPr>
          <w:rFonts w:hint="eastAsia"/>
          <w:lang w:bidi="ar"/>
        </w:rPr>
        <w:t>（1）投标人对项目的各项报价和竣工结算的计价方式均采用工程量清单计价方式。工程量清单总报价（投标报价）以招标文件、图纸答疑、答疑纪要，《建设工程工程量清单计价规范》[GB50500-2013]、《河南省建设工程工程量清单计价实施细则》、《河南省房屋建筑与装饰工程预算定额(HA01-31-2016)》、《河南省通用安装工程预算定额(HA 02-31-2016)》、《河南省装配式建筑工程预算定额》（2019）、《河南省市政工程预算定额》(HAA1-31-2016)及综合解释，以及施工同期配套文件，招标人提供的施工图纸及相应规范为依据，充分考虑市场价格，结合实际在合理范围内自主报价，但不得低于企业实际成本。</w:t>
      </w:r>
    </w:p>
    <w:p>
      <w:pPr>
        <w:adjustRightInd w:val="0"/>
        <w:ind w:firstLine="420" w:firstLineChars="200"/>
        <w:textAlignment w:val="baseline"/>
        <w:rPr>
          <w:lang w:bidi="ar"/>
        </w:rPr>
      </w:pPr>
      <w:r>
        <w:rPr>
          <w:rFonts w:hint="eastAsia"/>
          <w:lang w:bidi="ar"/>
        </w:rPr>
        <w:t>（2）工程量清单中所报的单价和合价，以及投标文件中的投标报价应是招标文件所确定的发包范围内的全部工程内容的价格体现，应包括招标文件及技术规范、设计图纸等规定，实施和完成招标工程所需的全部费用（投标报价应包含满足交竣工验收要求的所有检验试验费）。投标人在投标时应按此要求，在投标文件中认真填写工程量清单所有工程项目的单价和合价。投标报价应包括施工设备、劳务、管理、材料、安装、维护、利润、税金、政策性文件规定及合同中包含的风险、责任等各项费用。各投标人应按照招标文件、招标文件的补充通知、答疑纪要、现场情况、承包范围，技术要求根据自身情况，在合理范围内，自主考虑、优惠报价，但不得低于企业成本，也不能高于控制价。</w:t>
      </w:r>
    </w:p>
    <w:p>
      <w:pPr>
        <w:rPr>
          <w:lang w:bidi="ar"/>
        </w:rPr>
      </w:pPr>
      <w:r>
        <w:rPr>
          <w:rFonts w:hint="eastAsia"/>
          <w:lang w:bidi="ar"/>
        </w:rPr>
        <w:t>（3）招标人提供的工程量清单是为投标人投标计量计价的依据，投标人不能够直接修改原清单的序号、项目编码、项目名称、项目特征描述、计量单位、工程量，不能直接删除或在中间插入需补充的清单项目。投标人应根据自己对招标文件和设计图纸的理解，凭借自己的实力对本招标工程进行准确计量和计价，投标人对招标人提供的清单有异议需进行修订的，应按招标项目要求中规定的招标答疑时间之前书面告知招标人，招标人以答疑纪要的形式予以回复；如招标人和投标人意见不一致时投标人不可以修改招标人提供的工程量清单内容，对于差异部分，由投标人在投标报价中自行考虑。</w:t>
      </w:r>
    </w:p>
    <w:p>
      <w:r>
        <w:rPr>
          <w:rFonts w:hint="eastAsia"/>
        </w:rPr>
        <w:t>（4）本次招标为中标价加变更签证，中标人投标报价和工程量清单中各分项工程单价以及投标文件中所报的材料单价（招标文件另有规定的除外）在合同实施期间均不作调整。</w:t>
      </w:r>
    </w:p>
    <w:p>
      <w:r>
        <w:rPr>
          <w:rFonts w:hint="eastAsia"/>
        </w:rPr>
        <w:t>（5）工程变更、签证引起的价款调整。工程变更、签证时增减工程量与招标文件中工程量清单数量相比，增加或减少项目幅度在15%以内（含15%）的，清单中有单价者，采用原单价；工程变更、签证时增减工程量与招标文件中工程量清单数量相比，增加或减少幅度在15%以外的部分和清单中没有单价者，依据《建设工程工程量清单计价规范》[GB50500-2013]、《河南省建设工程工程量清单计价实施细则》、《河南省房屋建筑与装饰工程预算定额》(HA 01-31-2016)、《河南省装配式建筑工程预算定额》（2019）、《河南省通用安装工程预算定额》(HA 02-31-2016)、《河南省市政工程预算定额》(HA A1-31-2016)及相关配套文件,并在此基础上结合中标人投标文件中所报变更签证优惠率重新编制清单单价。</w:t>
      </w:r>
    </w:p>
    <w:p>
      <w:r>
        <w:rPr>
          <w:rFonts w:hint="eastAsia"/>
        </w:rPr>
        <w:t>投标人所报设计变更及预算外签证部分优惠率不得低于投标优惠率【投标优惠率=（预算控制金额- 投标人投标报价）/预算控制金额*100%】，否则按废标处理。</w:t>
      </w:r>
    </w:p>
    <w:p>
      <w:pPr>
        <w:rPr>
          <w:lang w:bidi="ar"/>
        </w:rPr>
      </w:pPr>
      <w:r>
        <w:rPr>
          <w:rFonts w:hint="eastAsia"/>
          <w:lang w:bidi="ar"/>
        </w:rPr>
        <w:t>工程变更、签证和合同管理按洛阳市人民政府办公室2022年1月13日召开的“加强城建领域政府投资项目变更签证管理问题协调会《会议纪要》”、洛阳市财政局、发改委洛财办【2008】1号、洛财综【2009】119号、洛财办【2011】29号、洛财建〔2012〕33号、洛财办【2019】63号文执行，变更签证中垃圾外运及购黄土价格按洛财办【2017】47号文件执行。依据“洛财办【2017】47号”文件规定：财政投资建设项目的垃圾外运、外购黄土或毛料（天然砂石）均应按照就近消纳原则，由建筑垃圾主管部门协调解决。</w:t>
      </w:r>
    </w:p>
    <w:p>
      <w:pPr>
        <w:rPr>
          <w:lang w:bidi="ar"/>
        </w:rPr>
      </w:pPr>
      <w:r>
        <w:rPr>
          <w:rFonts w:hint="eastAsia"/>
          <w:lang w:bidi="ar"/>
        </w:rPr>
        <w:t>3.2.2工程量清单报价编制说明：</w:t>
      </w:r>
    </w:p>
    <w:p>
      <w:pPr>
        <w:rPr>
          <w:lang w:bidi="ar"/>
        </w:rPr>
      </w:pPr>
      <w:r>
        <w:rPr>
          <w:rFonts w:hint="eastAsia"/>
          <w:lang w:bidi="ar"/>
        </w:rPr>
        <w:t>（1）东南大学建筑设计研究院有限公司设计的本项目图纸、本招标文件及答疑文件等。</w:t>
      </w:r>
    </w:p>
    <w:p>
      <w:pPr>
        <w:rPr>
          <w:lang w:bidi="ar"/>
        </w:rPr>
      </w:pPr>
      <w:r>
        <w:rPr>
          <w:rFonts w:hint="eastAsia"/>
          <w:lang w:bidi="ar"/>
        </w:rPr>
        <w:t>（2）本次招标对工程量清单报价不指定定额，投标人可参考《河南省房屋建筑与装饰工程预算定额（HA 01-31-2016）》、《河南省通用安装工程预算定额（HA 02-31-2016）》、《河南省装配式建筑工程预算定额》（2019）、《河南省市政工程预算定额》（HA A1-31-2016）、《河南省住房和城乡建设厅关于加强房屋建筑工程和市政基础设施工程施工扬尘防治费管理的通知〔豫建设标〔2017〕30号〕》及相关配套文件等计价标准报价，但不应超过上述计价标准报价。费率计取相关文件依据：豫建设标【2016】24号（洛建【2016】127号）、豫建标定【2016】13号（洛建【2016】157号）、豫建设标【2016】47号（洛建【2016】282号）等。税金按豫办标函[2019]193号文件9%计取。</w:t>
      </w:r>
    </w:p>
    <w:p>
      <w:pPr>
        <w:rPr>
          <w:rFonts w:hint="eastAsia"/>
          <w:lang w:bidi="ar"/>
        </w:rPr>
      </w:pPr>
      <w:bookmarkStart w:id="164" w:name="_Hlk160789023"/>
      <w:r>
        <w:rPr>
          <w:rFonts w:hint="eastAsia"/>
          <w:lang w:bidi="ar"/>
        </w:rPr>
        <w:t>本工程人工费、机械费、管理费按豫建标定[2016]40号文执行，价格指数按豫建消技【2023】35号文件执行。</w:t>
      </w:r>
      <w:bookmarkEnd w:id="164"/>
      <w:r>
        <w:rPr>
          <w:rFonts w:hint="eastAsia"/>
          <w:lang w:bidi="ar"/>
        </w:rPr>
        <w:t>工程结算时，合同内人工费不再调整；变更签证部分人工费超过部分依实调整；跨季度施工时，按定期发布的人工费指数适用的时间长短加权平均计算；非建设单位原因造成工程实际施工工期超过合同约定工期的，按原合同工期人工费标准计算，超工期部分人工费增加因素不计算。</w:t>
      </w:r>
    </w:p>
    <w:p>
      <w:bookmarkStart w:id="165" w:name="_Hlk160787409"/>
      <w:r>
        <w:rPr>
          <w:rFonts w:hint="eastAsia"/>
          <w:lang w:bidi="ar"/>
        </w:rPr>
        <w:t>材料价格按《洛阳市建设工程造价信息》2023年第6期（除税单价</w:t>
      </w:r>
      <w:r>
        <w:rPr>
          <w:rFonts w:hint="eastAsia"/>
        </w:rPr>
        <w:t>）</w:t>
      </w:r>
      <w:bookmarkEnd w:id="165"/>
      <w:bookmarkStart w:id="166" w:name="_Hlk160789912"/>
      <w:r>
        <w:rPr>
          <w:rFonts w:hint="eastAsia"/>
        </w:rPr>
        <w:t>及其相关文件计取</w:t>
      </w:r>
      <w:bookmarkEnd w:id="166"/>
      <w:r>
        <w:rPr>
          <w:rFonts w:hint="eastAsia"/>
        </w:rPr>
        <w:t>，不全者按同时期市场价计入。投标人应充分考虑施工期间的材料价格波动风险，自行考虑并足额计取材料价格风险系数金额，参照工程造价信息价，依据市场情况自主报价。</w:t>
      </w:r>
    </w:p>
    <w:p>
      <w:bookmarkStart w:id="167" w:name="_Hlk160789518"/>
      <w:bookmarkStart w:id="168" w:name="_Hlk160811663"/>
      <w:r>
        <w:rPr>
          <w:rFonts w:hint="eastAsia"/>
        </w:rPr>
        <w:t>招标人与投标人共同承担价格风险</w:t>
      </w:r>
      <w:bookmarkEnd w:id="167"/>
      <w:r>
        <w:rPr>
          <w:rFonts w:hint="eastAsia"/>
        </w:rPr>
        <w:t>的材料范围</w:t>
      </w:r>
      <w:bookmarkEnd w:id="168"/>
      <w:r>
        <w:rPr>
          <w:rFonts w:hint="eastAsia"/>
        </w:rPr>
        <w:t>为：钢材、水泥、预拌砂浆、商品混凝土、生石灰、碎石、中粗砂、蒸压加气砼砌块。材料费的风险由承发包双方分担，风险幅度为±5%，基期价格为2023年第</w:t>
      </w:r>
      <w:r>
        <w:rPr>
          <w:rFonts w:hint="eastAsia"/>
          <w:highlight w:val="none"/>
        </w:rPr>
        <w:t>6期《洛阳市建设工程造价信息》(除税单价)及其相关文件，当施工期以上材料价格变动幅度在基期价格±</w:t>
      </w:r>
      <w:r>
        <w:rPr>
          <w:rFonts w:hint="eastAsia"/>
        </w:rPr>
        <w:t>5%(含±5%)以内时不调整，超过部分依实调整；跨季度施工时，按施工期对应的工程造价信息价与材料进场量加权平均计算；非建设单位原因造成工程实际施工工期超过合同约定工期的，按原合同工期对应的造价信息价格计算，超工期部分材料费增加因素不计算。共同承担价格风险材料范围以外的材料价格不调整。</w:t>
      </w:r>
    </w:p>
    <w:p>
      <w:pPr>
        <w:rPr>
          <w:rFonts w:hint="eastAsia"/>
          <w:highlight w:val="none"/>
        </w:rPr>
      </w:pPr>
      <w:r>
        <w:rPr>
          <w:rFonts w:hint="eastAsia" w:ascii="仿宋" w:hAnsi="仿宋" w:eastAsia="仿宋" w:cs="仿宋"/>
          <w:kern w:val="2"/>
          <w:sz w:val="21"/>
          <w:szCs w:val="21"/>
          <w:highlight w:val="none"/>
          <w:lang w:val="en-US" w:eastAsia="zh-CN" w:bidi="ar-SA"/>
        </w:rPr>
        <w:t>风险材料调差方法：承包人投标报价中材料单价低于基准单价时，施工期材料价格单价涨幅以基准单价为基础，或材料单价跌幅以投标报价为基础，超过风险幅度部分按实调整；承包人投标报价中材料单价高于基准单价时，施工期材料价格单价跌幅以基准单价为基础，或材料单价涨幅以投标报价为基础，超过风险幅度部分按实调整；承包人投标报价中材料单价等于基准单价时，施工期材料价格单价涨跌幅均以基准单价为基础，超过风险幅度部分按实调整；</w:t>
      </w:r>
    </w:p>
    <w:p>
      <w:r>
        <w:rPr>
          <w:rFonts w:hint="eastAsia"/>
        </w:rPr>
        <w:t xml:space="preserve">水、电、燃料政府定价材料价格风险由招标人承担，其中水、电基期价格分别为3 </w:t>
      </w:r>
      <w:r>
        <w:rPr>
          <w:rFonts w:hint="eastAsia"/>
          <w:b/>
        </w:rPr>
        <w:t>元/m</w:t>
      </w:r>
      <w:r>
        <w:rPr>
          <w:rFonts w:hint="eastAsia"/>
          <w:b/>
          <w:vertAlign w:val="superscript"/>
        </w:rPr>
        <w:t>3</w:t>
      </w:r>
      <w:r>
        <w:rPr>
          <w:rFonts w:hint="eastAsia"/>
        </w:rPr>
        <w:t>、 0.7 元/kv.h，；燃料基期价格为发标当期发改委发布河南地区价格(除税单价)。调整办法同上述人工费调整。(投标人应充分考虑施工期间的材料价格波动风险，自行考虑并足额计取材料价格风险系数金额，参照工程造价信息价，依据市场情况自主报价)。</w:t>
      </w:r>
    </w:p>
    <w:p>
      <w:pPr>
        <w:pStyle w:val="131"/>
        <w:numPr>
          <w:ilvl w:val="0"/>
          <w:numId w:val="1"/>
        </w:numPr>
        <w:ind w:firstLineChars="0"/>
      </w:pPr>
      <w:r>
        <w:rPr>
          <w:rFonts w:hint="eastAsia"/>
        </w:rPr>
        <w:t>税金、规费、安全文明施工措施费计入投标报价，不参与投标竞价。</w:t>
      </w:r>
    </w:p>
    <w:p>
      <w:pPr>
        <w:pStyle w:val="131"/>
        <w:numPr>
          <w:ilvl w:val="0"/>
          <w:numId w:val="1"/>
        </w:numPr>
        <w:ind w:firstLineChars="0"/>
      </w:pPr>
      <w:r>
        <w:rPr>
          <w:rFonts w:hint="eastAsia"/>
        </w:rPr>
        <w:t>本工程使用商品砼及预拌砂浆。</w:t>
      </w:r>
    </w:p>
    <w:p>
      <w:pPr>
        <w:pStyle w:val="131"/>
        <w:numPr>
          <w:ilvl w:val="0"/>
          <w:numId w:val="1"/>
        </w:numPr>
        <w:ind w:firstLineChars="0"/>
      </w:pPr>
      <w:r>
        <w:rPr>
          <w:rFonts w:hint="eastAsia"/>
        </w:rPr>
        <w:t>本项目夜间施工费、二次搬运费、冬雨季施工费由投标人自行考虑计入本次投标报价中，中标后不再调整。</w:t>
      </w:r>
    </w:p>
    <w:p>
      <w:pPr>
        <w:pStyle w:val="131"/>
        <w:numPr>
          <w:ilvl w:val="0"/>
          <w:numId w:val="1"/>
        </w:numPr>
        <w:ind w:firstLineChars="0"/>
      </w:pPr>
      <w:r>
        <w:rPr>
          <w:rFonts w:hint="eastAsia"/>
        </w:rPr>
        <w:t>投标人在工程量清单报价表中应按主要材料价格表的要求列出本工程实体性消耗主要材料的品种、数量、单价、合价等内容。</w:t>
      </w:r>
    </w:p>
    <w:p>
      <w:pPr>
        <w:pStyle w:val="131"/>
        <w:numPr>
          <w:ilvl w:val="0"/>
          <w:numId w:val="1"/>
        </w:numPr>
        <w:ind w:firstLineChars="0"/>
        <w:rPr>
          <w:bCs/>
        </w:rPr>
      </w:pPr>
      <w:r>
        <w:rPr>
          <w:rFonts w:hint="eastAsia"/>
        </w:rPr>
        <w:t>施工临时用水、临时用电均应包含在投标报价中。</w:t>
      </w:r>
    </w:p>
    <w:p>
      <w:pPr>
        <w:pStyle w:val="131"/>
        <w:numPr>
          <w:ilvl w:val="0"/>
          <w:numId w:val="1"/>
        </w:numPr>
        <w:ind w:firstLineChars="0"/>
      </w:pPr>
      <w:r>
        <w:rPr>
          <w:rFonts w:hint="eastAsia"/>
        </w:rPr>
        <w:t>本项目水、电、场地、垃圾清运等费用及检验试验费用均由中标人承担。</w:t>
      </w:r>
    </w:p>
    <w:p>
      <w:pPr>
        <w:pStyle w:val="131"/>
        <w:numPr>
          <w:ilvl w:val="0"/>
          <w:numId w:val="1"/>
        </w:numPr>
        <w:ind w:firstLineChars="0"/>
        <w:rPr>
          <w:bCs/>
        </w:rPr>
      </w:pPr>
      <w:r>
        <w:rPr>
          <w:rFonts w:hint="eastAsia"/>
        </w:rPr>
        <w:t>投标人进行本项目投标视为同意承诺在投标时已核对工程量并对工程量清单漏项、偏差负责。在工程量清单漏项、偏差时不调整价款。</w:t>
      </w:r>
    </w:p>
    <w:p>
      <w:pPr>
        <w:pStyle w:val="131"/>
        <w:numPr>
          <w:ilvl w:val="0"/>
          <w:numId w:val="1"/>
        </w:numPr>
        <w:ind w:firstLineChars="0"/>
      </w:pPr>
      <w:r>
        <w:rPr>
          <w:rFonts w:hint="eastAsia"/>
        </w:rPr>
        <w:t>按照洛阳市财政局关于印发《洛阳市政府投资项目评审管理办法》的通知（洛财办〔2019〕63号）文件规定：</w:t>
      </w:r>
    </w:p>
    <w:p>
      <w:r>
        <w:rPr>
          <w:rFonts w:hint="eastAsia"/>
        </w:rPr>
        <w:t>累计变更签证增加金额占合同价10%以上且金额50万元（含）以上的，须就变更签证内容和说明上报主管副市长批示；单项变更签证增加金额超过100万元（含）以上的，由主管副市长批示后转常务副市长审批。按以上规定执行的，方可计入竣工结算评审。未按以上执行的，视为中标人放弃相应权利。</w:t>
      </w:r>
    </w:p>
    <w:p>
      <w:r>
        <w:rPr>
          <w:rFonts w:hint="eastAsia"/>
        </w:rPr>
        <w:t>工程结算经评审后，以审减额超过送审造价10%部分为基数，按4%计算审减追加审核费，从施工单位工程价款中扣除，并在《工程结算评审意见书》中明确。</w:t>
      </w:r>
    </w:p>
    <w:p>
      <w:r>
        <w:rPr>
          <w:rFonts w:hint="eastAsia"/>
        </w:rPr>
        <w:t>工程结算经评审后，审减额超过送审造价20%以上，且同一家施工企业在一年内（自发生之日起）发生两次（含）以上的，列入不良诚信记录。同时，该企业一年内不得参加由市本级财政投资的基本建设项目招投标活动。</w:t>
      </w:r>
    </w:p>
    <w:p>
      <w:pPr>
        <w:pStyle w:val="131"/>
        <w:numPr>
          <w:ilvl w:val="0"/>
          <w:numId w:val="1"/>
        </w:numPr>
        <w:ind w:firstLineChars="0"/>
      </w:pPr>
      <w:r>
        <w:rPr>
          <w:rFonts w:hint="eastAsia"/>
        </w:rPr>
        <w:t>中标人必须依法接受招标人委托的监理公司对工程实行全过程监理、签证后方可作为工程最终结算依据。</w:t>
      </w:r>
    </w:p>
    <w:p>
      <w:r>
        <w:rPr>
          <w:rFonts w:hint="eastAsia"/>
        </w:rPr>
        <w:t>工程竣工验收后，由中标人根据中标价及变更签证所发生的费用编制工程结算书，报招标人、市财政部门审查确认后作为结算拨款依据。</w:t>
      </w:r>
    </w:p>
    <w:p>
      <w:pPr>
        <w:pStyle w:val="131"/>
        <w:numPr>
          <w:ilvl w:val="0"/>
          <w:numId w:val="1"/>
        </w:numPr>
        <w:ind w:firstLineChars="0"/>
      </w:pPr>
      <w:r>
        <w:rPr>
          <w:rFonts w:hint="eastAsia"/>
        </w:rPr>
        <w:t>中标单位承诺接受建设单位委托的造价咨询服务单位的结算审核结果，如财政部门稽核后对造价咨询单位的审核结果有调整的，以财政部门稽核意见为准。</w:t>
      </w:r>
    </w:p>
    <w:p>
      <w:r>
        <w:rPr>
          <w:rFonts w:hint="eastAsia"/>
        </w:rPr>
        <w:t>3.2.3投标人需做好现场踏勘工作，充分了解该现场情况，对施工现场水电接口位置、道路运输及装卸限制、施工道路情况等可能影响投标报价的全部因素，在投标报价时综合考虑计入总报价。中标后，任何因素对现场情况误解或不了解，导致的费用和工期增加，招标人均不予批准。</w:t>
      </w:r>
    </w:p>
    <w:p>
      <w:r>
        <w:rPr>
          <w:rFonts w:hint="eastAsia"/>
        </w:rPr>
        <w:t>3.2.4 投标人应按第五章“工程量清单”的要求填写相应表格。</w:t>
      </w:r>
    </w:p>
    <w:p>
      <w:r>
        <w:rPr>
          <w:rFonts w:hint="eastAsia"/>
        </w:rPr>
        <w:t>3.2.5投标人在投标截止时间前修改投标函中的投标总报价，应同时修改第五章“工程量清单”中的相应报价。此修改须符合本章第 4.3款的有关要求。</w:t>
      </w:r>
    </w:p>
    <w:p>
      <w:pPr>
        <w:pStyle w:val="102"/>
        <w:spacing w:line="360" w:lineRule="auto"/>
        <w:ind w:firstLine="0" w:firstLineChars="0"/>
        <w:outlineLvl w:val="9"/>
        <w:rPr>
          <w:rFonts w:hint="eastAsia" w:ascii="仿宋" w:hAnsi="仿宋" w:eastAsia="仿宋" w:cs="仿宋"/>
          <w:b/>
          <w:bCs/>
        </w:rPr>
      </w:pPr>
      <w:bookmarkStart w:id="169" w:name="_Toc7887"/>
      <w:bookmarkStart w:id="170" w:name="_Toc4760"/>
      <w:r>
        <w:rPr>
          <w:rFonts w:hint="eastAsia" w:ascii="仿宋" w:hAnsi="仿宋" w:eastAsia="仿宋" w:cs="仿宋"/>
          <w:b/>
          <w:bCs/>
        </w:rPr>
        <w:t>3.3 投标有效期</w:t>
      </w:r>
      <w:bookmarkEnd w:id="160"/>
      <w:bookmarkEnd w:id="161"/>
      <w:bookmarkEnd w:id="162"/>
      <w:bookmarkEnd w:id="163"/>
      <w:bookmarkEnd w:id="169"/>
      <w:bookmarkEnd w:id="170"/>
    </w:p>
    <w:p>
      <w:r>
        <w:rPr>
          <w:rFonts w:hint="eastAsia"/>
        </w:rPr>
        <w:t>3.3.1 在投标人须知前附表规定的投标有效期内，投标人不得要求撤销或修改其投标文件。</w:t>
      </w:r>
    </w:p>
    <w:p>
      <w:r>
        <w:rPr>
          <w:rFonts w:hint="eastAsia"/>
        </w:rPr>
        <w:t xml:space="preserve">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 </w:t>
      </w:r>
    </w:p>
    <w:p>
      <w:pPr>
        <w:pStyle w:val="102"/>
        <w:spacing w:line="360" w:lineRule="auto"/>
        <w:ind w:firstLine="0" w:firstLineChars="0"/>
        <w:outlineLvl w:val="9"/>
        <w:rPr>
          <w:rFonts w:hint="eastAsia" w:ascii="仿宋" w:hAnsi="仿宋" w:eastAsia="仿宋" w:cs="仿宋"/>
          <w:b/>
          <w:bCs/>
        </w:rPr>
      </w:pPr>
      <w:bookmarkStart w:id="171" w:name="_Toc152042326"/>
      <w:bookmarkStart w:id="172" w:name="_Toc8423551"/>
      <w:bookmarkStart w:id="173" w:name="_Toc13640"/>
      <w:bookmarkStart w:id="174" w:name="_Toc152045550"/>
      <w:bookmarkStart w:id="175" w:name="_Toc15931"/>
      <w:bookmarkStart w:id="176" w:name="_Toc144974518"/>
      <w:r>
        <w:rPr>
          <w:rFonts w:hint="eastAsia" w:ascii="仿宋" w:hAnsi="仿宋" w:eastAsia="仿宋" w:cs="仿宋"/>
          <w:b/>
          <w:bCs/>
        </w:rPr>
        <w:t>3.4 投标保证金</w:t>
      </w:r>
      <w:bookmarkEnd w:id="171"/>
      <w:bookmarkEnd w:id="172"/>
      <w:bookmarkEnd w:id="173"/>
      <w:bookmarkEnd w:id="174"/>
      <w:bookmarkEnd w:id="175"/>
      <w:bookmarkEnd w:id="176"/>
    </w:p>
    <w:p>
      <w:bookmarkStart w:id="177" w:name="_Toc152045552"/>
      <w:bookmarkStart w:id="178" w:name="_Toc8423552"/>
      <w:bookmarkStart w:id="179" w:name="_Toc152042328"/>
      <w:bookmarkStart w:id="180" w:name="_Toc144974520"/>
      <w:r>
        <w:rPr>
          <w:rFonts w:hint="eastAsia"/>
        </w:rPr>
        <w:t>3.4.1 投标人在递交投标文件的同时，应按投标人须知前附表规定的金额、担保形式和第八章“投标文件格式”规定的投标保证金格式递交投标保证金，并作为其投标文件的组成部分。联合体投标的，其投标保证金由牵头人递交，并应符合投标人须知前附表的规定。</w:t>
      </w:r>
    </w:p>
    <w:p>
      <w:r>
        <w:rPr>
          <w:rFonts w:hint="eastAsia"/>
        </w:rPr>
        <w:t>3.4.2 投标人不按本章第3.4.1项金额和方式要求提交投标保证金的，其投标文件作废标处理。</w:t>
      </w:r>
    </w:p>
    <w:p>
      <w:r>
        <w:rPr>
          <w:rFonts w:hint="eastAsia"/>
        </w:rPr>
        <w:t>3.4.3 退还投标保证金的方式和时间见投标人须知前附表3.4.1的规定</w:t>
      </w:r>
    </w:p>
    <w:p>
      <w:r>
        <w:rPr>
          <w:rFonts w:hint="eastAsia"/>
        </w:rPr>
        <w:t xml:space="preserve">3.4.4 有下列情形之一的，投标保证金将不予退还： </w:t>
      </w:r>
    </w:p>
    <w:p>
      <w:r>
        <w:rPr>
          <w:rFonts w:hint="eastAsia"/>
        </w:rPr>
        <w:t>（1）投标人在规定的投标有效期内撤销或修改其投标文件；</w:t>
      </w:r>
    </w:p>
    <w:p>
      <w:r>
        <w:rPr>
          <w:rFonts w:hint="eastAsia"/>
        </w:rPr>
        <w:t>（2）中标人在收到中标通知书后，无正当理由拒签合同协议书或未按招标文件规定提交履约担保。</w:t>
      </w:r>
    </w:p>
    <w:p>
      <w:r>
        <w:rPr>
          <w:rFonts w:hint="eastAsia"/>
        </w:rPr>
        <w:t>（3）投标人在投标时有弄虚作假、串通投标等违法行为的。</w:t>
      </w:r>
    </w:p>
    <w:p>
      <w:pPr>
        <w:pStyle w:val="102"/>
        <w:spacing w:line="360" w:lineRule="auto"/>
        <w:ind w:firstLine="0" w:firstLineChars="0"/>
        <w:outlineLvl w:val="9"/>
        <w:rPr>
          <w:rFonts w:hint="eastAsia" w:ascii="仿宋" w:hAnsi="仿宋" w:eastAsia="仿宋" w:cs="仿宋"/>
          <w:b/>
          <w:bCs/>
        </w:rPr>
      </w:pPr>
      <w:bookmarkStart w:id="181" w:name="_Toc30610"/>
      <w:bookmarkStart w:id="182" w:name="_Toc16640"/>
      <w:r>
        <w:rPr>
          <w:rFonts w:hint="eastAsia" w:ascii="仿宋" w:hAnsi="仿宋" w:eastAsia="仿宋" w:cs="仿宋"/>
          <w:b/>
          <w:bCs/>
        </w:rPr>
        <w:t>3.5 资格审查资料</w:t>
      </w:r>
      <w:bookmarkEnd w:id="177"/>
      <w:bookmarkEnd w:id="178"/>
      <w:bookmarkEnd w:id="179"/>
      <w:bookmarkEnd w:id="180"/>
      <w:bookmarkEnd w:id="181"/>
      <w:bookmarkEnd w:id="182"/>
    </w:p>
    <w:p>
      <w:r>
        <w:rPr>
          <w:rFonts w:hint="eastAsia"/>
        </w:rPr>
        <w:t>3.5.1符合投标人须知前附表 1.4.1项规定的资格条件。</w:t>
      </w:r>
    </w:p>
    <w:p>
      <w:r>
        <w:rPr>
          <w:rFonts w:hint="eastAsia"/>
        </w:rPr>
        <w:t>3.5.2近年完成的类似项目的年份要求见投标人须知前附表。</w:t>
      </w:r>
    </w:p>
    <w:p>
      <w:r>
        <w:rPr>
          <w:rFonts w:hint="eastAsia"/>
        </w:rPr>
        <w:t>3.5.3近年发生的诉讼及仲裁情况的年份要求见投标人须知前附表。</w:t>
      </w:r>
    </w:p>
    <w:p>
      <w:pPr>
        <w:pStyle w:val="102"/>
        <w:spacing w:line="360" w:lineRule="auto"/>
        <w:ind w:firstLine="0" w:firstLineChars="0"/>
        <w:outlineLvl w:val="9"/>
        <w:rPr>
          <w:rFonts w:hint="eastAsia" w:ascii="仿宋" w:hAnsi="仿宋" w:eastAsia="仿宋" w:cs="仿宋"/>
          <w:b/>
          <w:bCs/>
        </w:rPr>
      </w:pPr>
      <w:bookmarkStart w:id="183" w:name="_Toc8423553"/>
      <w:bookmarkStart w:id="184" w:name="_Toc144974521"/>
      <w:bookmarkStart w:id="185" w:name="_Toc23956"/>
      <w:bookmarkStart w:id="186" w:name="_Toc19779"/>
      <w:bookmarkStart w:id="187" w:name="_Toc152045553"/>
      <w:bookmarkStart w:id="188" w:name="_Toc152042329"/>
      <w:r>
        <w:rPr>
          <w:rFonts w:hint="eastAsia" w:ascii="仿宋" w:hAnsi="仿宋" w:eastAsia="仿宋" w:cs="仿宋"/>
          <w:b/>
          <w:bCs/>
        </w:rPr>
        <w:t>3.6 备选投标方案</w:t>
      </w:r>
      <w:bookmarkEnd w:id="183"/>
      <w:bookmarkEnd w:id="184"/>
      <w:bookmarkEnd w:id="185"/>
      <w:bookmarkEnd w:id="186"/>
      <w:bookmarkEnd w:id="187"/>
      <w:bookmarkEnd w:id="188"/>
    </w:p>
    <w:p>
      <w:r>
        <w:rPr>
          <w:rFonts w:hint="eastAsia"/>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pStyle w:val="102"/>
        <w:spacing w:line="360" w:lineRule="auto"/>
        <w:ind w:firstLine="0" w:firstLineChars="0"/>
        <w:outlineLvl w:val="9"/>
        <w:rPr>
          <w:rFonts w:hint="eastAsia" w:ascii="仿宋" w:hAnsi="仿宋" w:eastAsia="仿宋" w:cs="仿宋"/>
          <w:b/>
          <w:bCs/>
        </w:rPr>
      </w:pPr>
      <w:bookmarkStart w:id="189" w:name="_Toc948"/>
      <w:bookmarkStart w:id="190" w:name="_Toc24857"/>
      <w:bookmarkStart w:id="191" w:name="_Toc152042330"/>
      <w:bookmarkStart w:id="192" w:name="_Toc152045554"/>
      <w:bookmarkStart w:id="193" w:name="_Toc8423554"/>
      <w:bookmarkStart w:id="194" w:name="_Toc144974522"/>
      <w:r>
        <w:rPr>
          <w:rFonts w:hint="eastAsia" w:ascii="仿宋" w:hAnsi="仿宋" w:eastAsia="仿宋" w:cs="仿宋"/>
          <w:b/>
          <w:bCs/>
        </w:rPr>
        <w:t>3.7 投标文件的编制</w:t>
      </w:r>
      <w:bookmarkEnd w:id="189"/>
      <w:bookmarkEnd w:id="190"/>
      <w:bookmarkEnd w:id="191"/>
      <w:bookmarkEnd w:id="192"/>
      <w:bookmarkEnd w:id="193"/>
      <w:bookmarkEnd w:id="194"/>
    </w:p>
    <w:p>
      <w:r>
        <w:rPr>
          <w:rFonts w:hint="eastAsia"/>
        </w:rPr>
        <w:t>3.7.1投标文件应按第八章“投标文件格式”进行编写，如有必要，可以增加附页，作为投标文件的组成部分。其中，投标函附录在满足招标文件实质性要求的基础上，可以提出比招标文件要求更有利于招标人的承诺。</w:t>
      </w:r>
    </w:p>
    <w:p>
      <w:r>
        <w:rPr>
          <w:rFonts w:hint="eastAsia"/>
        </w:rPr>
        <w:t>3.7.2 投标文件应当对招标文件有关工期、投标有效期、质量要求、缺陷责任期等实质性内容作出响应。</w:t>
      </w:r>
    </w:p>
    <w:p>
      <w:r>
        <w:rPr>
          <w:rFonts w:hint="eastAsia"/>
        </w:rPr>
        <w:t>3.7.3签字和（或）盖章要求：见投标人须知前附表。</w:t>
      </w:r>
    </w:p>
    <w:p>
      <w:r>
        <w:rPr>
          <w:rFonts w:hint="eastAsia"/>
        </w:rPr>
        <w:t>3.7.4为便于评标委员会评审，投标人在编制电子投标文件时，尽量将投标文件目录细化，并在电子投标文件中编制详细的跳转目录。否则，投标人自行承担因投标文件编制混乱导致评标委员会做出不利于投标人的评审结果。</w:t>
      </w:r>
    </w:p>
    <w:p>
      <w:pPr>
        <w:pStyle w:val="102"/>
        <w:spacing w:line="360" w:lineRule="auto"/>
        <w:ind w:firstLine="0" w:firstLineChars="0"/>
        <w:outlineLvl w:val="9"/>
        <w:rPr>
          <w:rFonts w:hint="eastAsia" w:ascii="仿宋" w:hAnsi="仿宋" w:eastAsia="仿宋" w:cs="仿宋"/>
          <w:b/>
          <w:bCs/>
        </w:rPr>
      </w:pPr>
      <w:bookmarkStart w:id="195" w:name="_Toc16726"/>
      <w:bookmarkStart w:id="196" w:name="_Toc17376"/>
      <w:r>
        <w:rPr>
          <w:rFonts w:hint="eastAsia" w:ascii="仿宋" w:hAnsi="仿宋" w:eastAsia="仿宋" w:cs="仿宋"/>
          <w:b/>
          <w:bCs/>
        </w:rPr>
        <w:t>3.8 投标文件的修改与撤回</w:t>
      </w:r>
      <w:bookmarkEnd w:id="195"/>
      <w:bookmarkEnd w:id="196"/>
    </w:p>
    <w:p>
      <w:bookmarkStart w:id="197" w:name="_Hlk12795122"/>
      <w:r>
        <w:rPr>
          <w:rFonts w:hint="eastAsia"/>
        </w:rPr>
        <w:t>（1）在投标截止时间前，投标人可以修改或撤回已递交的投标文件。投标人对加密的投标文件进行撤回的，应在“洛阳市电子招投标交易平台”直接进行撤回操作；投标人对加密的投标文件进行修改的，应在投标截止时间前完成上传。</w:t>
      </w:r>
    </w:p>
    <w:p>
      <w:r>
        <w:rPr>
          <w:rFonts w:hint="eastAsia"/>
        </w:rPr>
        <w:t>（2）投标人修改投标文件的，应使用规定的投标文件制作工具制作成完整的投标文件，并按照规定进行编制、加密和递交。对采用网上递交的加密的投标文件，以投标截止时间前最后完成上传的文件为准。</w:t>
      </w:r>
    </w:p>
    <w:bookmarkEnd w:id="197"/>
    <w:p>
      <w:pPr>
        <w:pStyle w:val="93"/>
        <w:spacing w:line="360" w:lineRule="auto"/>
        <w:ind w:firstLine="0" w:firstLineChars="0"/>
        <w:rPr>
          <w:rFonts w:hint="eastAsia" w:ascii="仿宋" w:hAnsi="仿宋" w:eastAsia="仿宋" w:cs="仿宋"/>
          <w:b/>
          <w:bCs/>
        </w:rPr>
      </w:pPr>
      <w:bookmarkStart w:id="198" w:name="_Toc152042331"/>
      <w:bookmarkStart w:id="199" w:name="_Toc144974523"/>
      <w:bookmarkStart w:id="200" w:name="_Toc14677"/>
      <w:bookmarkStart w:id="201" w:name="_Toc152045555"/>
      <w:bookmarkStart w:id="202" w:name="_Toc32237"/>
      <w:r>
        <w:rPr>
          <w:rFonts w:hint="eastAsia" w:ascii="仿宋" w:hAnsi="仿宋" w:eastAsia="仿宋" w:cs="仿宋"/>
          <w:b/>
          <w:bCs/>
        </w:rPr>
        <w:t>4、投标</w:t>
      </w:r>
      <w:bookmarkEnd w:id="198"/>
      <w:bookmarkEnd w:id="199"/>
      <w:bookmarkEnd w:id="200"/>
      <w:bookmarkEnd w:id="201"/>
      <w:bookmarkEnd w:id="202"/>
    </w:p>
    <w:p>
      <w:pPr>
        <w:rPr>
          <w:lang w:bidi="ar"/>
        </w:rPr>
      </w:pPr>
      <w:r>
        <w:rPr>
          <w:rFonts w:hint="eastAsia"/>
          <w:lang w:bidi="ar"/>
        </w:rPr>
        <w:t>4.1.开标时因投标人自身原因而导致投标文件无法导入“洛阳市电子招投标交易平台”电子开标、评标系统，该投标视为无效投标，投标人自行承担由此导致的全部责任。</w:t>
      </w:r>
    </w:p>
    <w:p>
      <w:pPr>
        <w:rPr>
          <w:lang w:bidi="ar"/>
        </w:rPr>
      </w:pPr>
      <w:bookmarkStart w:id="203" w:name="_Toc31773"/>
      <w:r>
        <w:rPr>
          <w:rFonts w:hint="eastAsia"/>
          <w:lang w:bidi="ar"/>
        </w:rPr>
        <w:t>4.2.投标文件所附证明材料均为原件的扫描件，尺寸和清晰度应该能够在电脑上被阅读、识别和判断；若投标人未按要求提供证明材料或提供不清晰的扫描件的，评标委员会有权认定其投标文件未对招标文件有关要求进行响应。各投标单位对原件扫描件的真实性、合法性、有效性负责。</w:t>
      </w:r>
      <w:bookmarkEnd w:id="203"/>
    </w:p>
    <w:p>
      <w:pPr>
        <w:rPr>
          <w:lang w:bidi="ar"/>
        </w:rPr>
      </w:pPr>
      <w:r>
        <w:rPr>
          <w:rFonts w:hint="eastAsia"/>
          <w:lang w:bidi="ar"/>
        </w:rPr>
        <w:t>4.3投标人不须递交纸质版投标文件。</w:t>
      </w:r>
    </w:p>
    <w:p>
      <w:pPr>
        <w:rPr>
          <w:lang w:bidi="ar"/>
        </w:rPr>
      </w:pPr>
      <w:r>
        <w:rPr>
          <w:rFonts w:hint="eastAsia"/>
          <w:lang w:bidi="ar"/>
        </w:rPr>
        <w:t>4.4 投标人递交投标文件的截止时间及地点：见投标人须知前附表。</w:t>
      </w:r>
    </w:p>
    <w:p>
      <w:pPr>
        <w:rPr>
          <w:lang w:bidi="ar"/>
        </w:rPr>
      </w:pPr>
      <w:r>
        <w:rPr>
          <w:rFonts w:hint="eastAsia"/>
          <w:lang w:bidi="ar"/>
        </w:rPr>
        <w:t>4.5 逾期送达的或者未送达指定地点的投标文件，招标人不予受理。</w:t>
      </w:r>
    </w:p>
    <w:p>
      <w:pPr>
        <w:pStyle w:val="93"/>
        <w:spacing w:line="360" w:lineRule="auto"/>
        <w:ind w:firstLine="0" w:firstLineChars="0"/>
        <w:rPr>
          <w:rFonts w:hint="eastAsia" w:ascii="仿宋" w:hAnsi="仿宋" w:eastAsia="仿宋" w:cs="仿宋"/>
          <w:b/>
          <w:bCs/>
        </w:rPr>
      </w:pPr>
      <w:bookmarkStart w:id="204" w:name="_Toc21948"/>
      <w:bookmarkStart w:id="205" w:name="_Toc144974527"/>
      <w:bookmarkStart w:id="206" w:name="_Toc152042335"/>
      <w:bookmarkStart w:id="207" w:name="_Toc152045559"/>
      <w:bookmarkStart w:id="208" w:name="_Toc5937"/>
      <w:r>
        <w:rPr>
          <w:rFonts w:hint="eastAsia" w:ascii="仿宋" w:hAnsi="仿宋" w:eastAsia="仿宋" w:cs="仿宋"/>
          <w:b/>
          <w:bCs/>
        </w:rPr>
        <w:t>5、开标</w:t>
      </w:r>
      <w:bookmarkEnd w:id="204"/>
      <w:bookmarkEnd w:id="205"/>
      <w:bookmarkEnd w:id="206"/>
      <w:bookmarkEnd w:id="207"/>
      <w:bookmarkEnd w:id="208"/>
    </w:p>
    <w:p>
      <w:pPr>
        <w:pStyle w:val="102"/>
        <w:spacing w:line="360" w:lineRule="auto"/>
        <w:ind w:firstLine="0" w:firstLineChars="0"/>
        <w:outlineLvl w:val="9"/>
        <w:rPr>
          <w:rFonts w:hint="eastAsia" w:ascii="仿宋" w:hAnsi="仿宋" w:eastAsia="仿宋" w:cs="仿宋"/>
          <w:b/>
          <w:bCs/>
        </w:rPr>
      </w:pPr>
      <w:bookmarkStart w:id="209" w:name="_Toc144974528"/>
      <w:bookmarkStart w:id="210" w:name="_Toc28190"/>
      <w:bookmarkStart w:id="211" w:name="_Toc8423560"/>
      <w:bookmarkStart w:id="212" w:name="_Toc152042336"/>
      <w:bookmarkStart w:id="213" w:name="_Toc152045560"/>
      <w:bookmarkStart w:id="214" w:name="_Toc27003"/>
      <w:r>
        <w:rPr>
          <w:rFonts w:hint="eastAsia" w:ascii="仿宋" w:hAnsi="仿宋" w:eastAsia="仿宋" w:cs="仿宋"/>
          <w:b/>
          <w:bCs/>
        </w:rPr>
        <w:t>5.1 开标时间和地点</w:t>
      </w:r>
      <w:bookmarkEnd w:id="209"/>
      <w:bookmarkEnd w:id="210"/>
      <w:bookmarkEnd w:id="211"/>
      <w:bookmarkEnd w:id="212"/>
      <w:bookmarkEnd w:id="213"/>
      <w:bookmarkEnd w:id="214"/>
    </w:p>
    <w:p>
      <w:pPr>
        <w:rPr>
          <w:lang w:bidi="ar"/>
        </w:rPr>
      </w:pPr>
      <w:bookmarkStart w:id="215" w:name="_Toc11969"/>
      <w:bookmarkStart w:id="216" w:name="_Toc152042337"/>
      <w:bookmarkStart w:id="217" w:name="_Toc8423561"/>
      <w:bookmarkStart w:id="218" w:name="_Toc152045561"/>
      <w:bookmarkStart w:id="219" w:name="_Toc144974529"/>
      <w:r>
        <w:rPr>
          <w:rFonts w:hint="eastAsia"/>
          <w:lang w:bidi="ar"/>
        </w:rPr>
        <w:t>招标人在本章第 2.2.2 项规定的投标截止时间（开标时间）和投标人须知前附表规定的地点公开开标。本项目采用远程不见面交易的模式。开标当日，投标人无需到开标现场参加开标会议，投标人应当在投标截止时间前，登录到洛阳市电子招投标交易平台（http://ly ggzyjy.ly.gov.cn/TPBidder），点击右上方【不见面开标大厅】按钮进入，在线准时参加开标活动并进行投标文件解密等。因投标人原因未能解密、解密失败或解密超时的将被拒绝。</w:t>
      </w:r>
      <w:bookmarkEnd w:id="215"/>
    </w:p>
    <w:p>
      <w:pPr>
        <w:pStyle w:val="102"/>
        <w:spacing w:line="360" w:lineRule="auto"/>
        <w:ind w:firstLine="0" w:firstLineChars="0"/>
        <w:outlineLvl w:val="9"/>
        <w:rPr>
          <w:rFonts w:hint="eastAsia" w:ascii="仿宋" w:hAnsi="仿宋" w:eastAsia="仿宋" w:cs="仿宋"/>
          <w:b/>
          <w:bCs/>
        </w:rPr>
      </w:pPr>
      <w:bookmarkStart w:id="220" w:name="_Toc28770"/>
      <w:bookmarkStart w:id="221" w:name="_Toc14029"/>
      <w:r>
        <w:rPr>
          <w:rFonts w:hint="eastAsia" w:ascii="仿宋" w:hAnsi="仿宋" w:eastAsia="仿宋" w:cs="仿宋"/>
          <w:b/>
          <w:bCs/>
        </w:rPr>
        <w:t>5.2 开标程序</w:t>
      </w:r>
      <w:bookmarkEnd w:id="216"/>
      <w:bookmarkEnd w:id="217"/>
      <w:bookmarkEnd w:id="218"/>
      <w:bookmarkEnd w:id="219"/>
      <w:bookmarkEnd w:id="220"/>
      <w:bookmarkEnd w:id="221"/>
    </w:p>
    <w:p>
      <w:r>
        <w:rPr>
          <w:rFonts w:hint="eastAsia"/>
        </w:rPr>
        <w:t>按照【不见面开标大厅】系统设定的开标程序进行开标。</w:t>
      </w:r>
    </w:p>
    <w:p>
      <w:pPr>
        <w:pStyle w:val="102"/>
        <w:spacing w:line="360" w:lineRule="auto"/>
        <w:ind w:firstLine="0" w:firstLineChars="0"/>
        <w:outlineLvl w:val="9"/>
        <w:rPr>
          <w:rFonts w:hint="eastAsia" w:ascii="仿宋" w:hAnsi="仿宋" w:eastAsia="仿宋" w:cs="仿宋"/>
          <w:b/>
          <w:bCs/>
        </w:rPr>
      </w:pPr>
      <w:bookmarkStart w:id="222" w:name="_Toc26356"/>
      <w:bookmarkStart w:id="223" w:name="_Toc2761"/>
      <w:r>
        <w:rPr>
          <w:rFonts w:hint="eastAsia" w:ascii="仿宋" w:hAnsi="仿宋" w:eastAsia="仿宋" w:cs="仿宋"/>
          <w:b/>
          <w:bCs/>
        </w:rPr>
        <w:t>5.3  开标异议</w:t>
      </w:r>
      <w:bookmarkEnd w:id="222"/>
      <w:bookmarkEnd w:id="223"/>
      <w:r>
        <w:rPr>
          <w:rFonts w:hint="eastAsia" w:ascii="仿宋" w:hAnsi="仿宋" w:eastAsia="仿宋" w:cs="仿宋"/>
          <w:b/>
          <w:bCs/>
        </w:rPr>
        <w:t xml:space="preserve"> </w:t>
      </w:r>
    </w:p>
    <w:p>
      <w:r>
        <w:rPr>
          <w:rFonts w:hint="eastAsia"/>
        </w:rPr>
        <w:t>投标人对开标有异议的，应在开标时通过【不见面开标大厅】系统提出，招标人当场作出答复，并制作记录。</w:t>
      </w:r>
    </w:p>
    <w:p>
      <w:pPr>
        <w:pStyle w:val="102"/>
        <w:spacing w:line="360" w:lineRule="auto"/>
        <w:ind w:firstLine="0" w:firstLineChars="0"/>
        <w:outlineLvl w:val="9"/>
        <w:rPr>
          <w:rFonts w:hint="eastAsia" w:ascii="仿宋" w:hAnsi="仿宋" w:eastAsia="仿宋" w:cs="仿宋"/>
          <w:b/>
          <w:bCs/>
        </w:rPr>
      </w:pPr>
      <w:bookmarkStart w:id="224" w:name="_Toc8219"/>
      <w:bookmarkStart w:id="225" w:name="_Toc3502"/>
      <w:r>
        <w:rPr>
          <w:rFonts w:hint="eastAsia" w:ascii="仿宋" w:hAnsi="仿宋" w:eastAsia="仿宋" w:cs="仿宋"/>
          <w:b/>
          <w:bCs/>
        </w:rPr>
        <w:t>5.4投标人出现下列情况者视为无效投标文件，取消参加评标资格：</w:t>
      </w:r>
      <w:bookmarkEnd w:id="224"/>
      <w:bookmarkEnd w:id="225"/>
    </w:p>
    <w:p>
      <w:pPr>
        <w:rPr>
          <w:rFonts w:hint="eastAsia" w:eastAsia="仿宋"/>
          <w:lang w:eastAsia="zh-CN"/>
        </w:rPr>
      </w:pPr>
      <w:r>
        <w:rPr>
          <w:rFonts w:hint="eastAsia"/>
        </w:rPr>
        <w:t>开标时因投标人自身原因而导致投标文件无法导入“洛阳市电子招投标交易平台”电子开标、评标系统的</w:t>
      </w:r>
      <w:r>
        <w:rPr>
          <w:rFonts w:hint="eastAsia"/>
          <w:lang w:eastAsia="zh-CN"/>
        </w:rPr>
        <w:t>。</w:t>
      </w:r>
    </w:p>
    <w:p>
      <w:pPr>
        <w:pStyle w:val="93"/>
        <w:spacing w:line="360" w:lineRule="auto"/>
        <w:ind w:firstLine="0" w:firstLineChars="0"/>
        <w:rPr>
          <w:rFonts w:hint="eastAsia" w:ascii="仿宋" w:hAnsi="仿宋" w:eastAsia="仿宋" w:cs="仿宋"/>
          <w:b/>
          <w:bCs/>
        </w:rPr>
      </w:pPr>
      <w:bookmarkStart w:id="226" w:name="_Toc11679"/>
      <w:bookmarkStart w:id="227" w:name="_Toc152045562"/>
      <w:bookmarkStart w:id="228" w:name="_Toc152042338"/>
      <w:bookmarkStart w:id="229" w:name="_Toc144974530"/>
      <w:bookmarkStart w:id="230" w:name="_Toc8704"/>
      <w:r>
        <w:rPr>
          <w:rFonts w:hint="eastAsia" w:ascii="仿宋" w:hAnsi="仿宋" w:eastAsia="仿宋" w:cs="仿宋"/>
          <w:b/>
          <w:bCs/>
        </w:rPr>
        <w:t>6、评标</w:t>
      </w:r>
      <w:bookmarkEnd w:id="226"/>
      <w:bookmarkEnd w:id="227"/>
      <w:bookmarkEnd w:id="228"/>
      <w:bookmarkEnd w:id="229"/>
      <w:bookmarkEnd w:id="230"/>
    </w:p>
    <w:p>
      <w:pPr>
        <w:pStyle w:val="102"/>
        <w:spacing w:line="360" w:lineRule="auto"/>
        <w:ind w:firstLine="0" w:firstLineChars="0"/>
        <w:outlineLvl w:val="9"/>
        <w:rPr>
          <w:rFonts w:hint="eastAsia" w:ascii="仿宋" w:hAnsi="仿宋" w:eastAsia="仿宋" w:cs="仿宋"/>
          <w:b/>
          <w:bCs/>
        </w:rPr>
      </w:pPr>
      <w:bookmarkStart w:id="231" w:name="_Toc14111"/>
      <w:bookmarkStart w:id="232" w:name="_Toc144974531"/>
      <w:bookmarkStart w:id="233" w:name="_Toc152045563"/>
      <w:bookmarkStart w:id="234" w:name="_Toc152042339"/>
      <w:bookmarkStart w:id="235" w:name="_Toc13749"/>
      <w:bookmarkStart w:id="236" w:name="_Toc8423563"/>
      <w:r>
        <w:rPr>
          <w:rFonts w:hint="eastAsia" w:ascii="仿宋" w:hAnsi="仿宋" w:eastAsia="仿宋" w:cs="仿宋"/>
          <w:b/>
          <w:bCs/>
        </w:rPr>
        <w:t>6.1 评标委员会</w:t>
      </w:r>
      <w:bookmarkEnd w:id="231"/>
      <w:bookmarkEnd w:id="232"/>
      <w:bookmarkEnd w:id="233"/>
      <w:bookmarkEnd w:id="234"/>
      <w:bookmarkEnd w:id="235"/>
      <w:bookmarkEnd w:id="236"/>
    </w:p>
    <w:p>
      <w:r>
        <w:rPr>
          <w:rFonts w:hint="eastAsia"/>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r>
        <w:rPr>
          <w:rFonts w:hint="eastAsia"/>
        </w:rPr>
        <w:t>6.1.2 评标委员会成员有下列情形之一的，应当回避：</w:t>
      </w:r>
    </w:p>
    <w:p>
      <w:r>
        <w:rPr>
          <w:rFonts w:hint="eastAsia"/>
        </w:rPr>
        <w:t>（1）投标人或投标人的主要负责人的近亲属；</w:t>
      </w:r>
    </w:p>
    <w:p>
      <w:r>
        <w:rPr>
          <w:rFonts w:hint="eastAsia"/>
        </w:rPr>
        <w:t>（2）项目主管部门或者行政监督部门的人员；</w:t>
      </w:r>
    </w:p>
    <w:p>
      <w:r>
        <w:rPr>
          <w:rFonts w:hint="eastAsia"/>
        </w:rPr>
        <w:t>（3）与投标人有经济利益关系，可能影响对投标公正评审的；</w:t>
      </w:r>
    </w:p>
    <w:p>
      <w:r>
        <w:rPr>
          <w:rFonts w:hint="eastAsia"/>
        </w:rPr>
        <w:t>（4）曾因在招标、评标以及其他与招标投标有关活动中从事违法行为而受过行政处罚或刑事处罚的。</w:t>
      </w:r>
    </w:p>
    <w:p>
      <w:pPr>
        <w:pStyle w:val="102"/>
        <w:spacing w:line="360" w:lineRule="auto"/>
        <w:ind w:firstLine="0" w:firstLineChars="0"/>
        <w:outlineLvl w:val="9"/>
        <w:rPr>
          <w:rFonts w:hint="eastAsia" w:ascii="仿宋" w:hAnsi="仿宋" w:eastAsia="仿宋" w:cs="仿宋"/>
          <w:b/>
          <w:bCs/>
        </w:rPr>
      </w:pPr>
      <w:bookmarkStart w:id="237" w:name="_Toc144974532"/>
      <w:bookmarkStart w:id="238" w:name="_Toc2589"/>
      <w:bookmarkStart w:id="239" w:name="_Toc29976"/>
      <w:bookmarkStart w:id="240" w:name="_Toc8423564"/>
      <w:bookmarkStart w:id="241" w:name="_Toc152045564"/>
      <w:bookmarkStart w:id="242" w:name="_Toc152042340"/>
      <w:r>
        <w:rPr>
          <w:rFonts w:hint="eastAsia" w:ascii="仿宋" w:hAnsi="仿宋" w:eastAsia="仿宋" w:cs="仿宋"/>
          <w:b/>
          <w:bCs/>
        </w:rPr>
        <w:t>6.2 评标原则</w:t>
      </w:r>
      <w:bookmarkEnd w:id="237"/>
      <w:bookmarkEnd w:id="238"/>
      <w:bookmarkEnd w:id="239"/>
      <w:bookmarkEnd w:id="240"/>
      <w:bookmarkEnd w:id="241"/>
      <w:bookmarkEnd w:id="242"/>
      <w:r>
        <w:rPr>
          <w:rFonts w:hint="eastAsia" w:ascii="仿宋" w:hAnsi="仿宋" w:eastAsia="仿宋" w:cs="仿宋"/>
          <w:b/>
          <w:bCs/>
        </w:rPr>
        <w:tab/>
      </w:r>
    </w:p>
    <w:p>
      <w:r>
        <w:rPr>
          <w:rFonts w:hint="eastAsia"/>
        </w:rPr>
        <w:t>评标活动遵循公平、公正、科学和择优的原则。</w:t>
      </w:r>
    </w:p>
    <w:p>
      <w:pPr>
        <w:pStyle w:val="102"/>
        <w:spacing w:line="360" w:lineRule="auto"/>
        <w:ind w:firstLine="0" w:firstLineChars="0"/>
        <w:outlineLvl w:val="9"/>
        <w:rPr>
          <w:rFonts w:hint="eastAsia" w:ascii="仿宋" w:hAnsi="仿宋" w:eastAsia="仿宋" w:cs="仿宋"/>
          <w:b/>
          <w:bCs/>
        </w:rPr>
      </w:pPr>
      <w:bookmarkStart w:id="243" w:name="_Toc144974533"/>
      <w:bookmarkStart w:id="244" w:name="_Toc8423565"/>
      <w:bookmarkStart w:id="245" w:name="_Toc152045565"/>
      <w:bookmarkStart w:id="246" w:name="_Toc152042341"/>
      <w:bookmarkStart w:id="247" w:name="_Toc10358"/>
      <w:bookmarkStart w:id="248" w:name="_Toc2881"/>
      <w:r>
        <w:rPr>
          <w:rFonts w:hint="eastAsia" w:ascii="仿宋" w:hAnsi="仿宋" w:eastAsia="仿宋" w:cs="仿宋"/>
          <w:b/>
          <w:bCs/>
        </w:rPr>
        <w:t xml:space="preserve">6.3 </w:t>
      </w:r>
      <w:bookmarkEnd w:id="243"/>
      <w:bookmarkEnd w:id="244"/>
      <w:bookmarkEnd w:id="245"/>
      <w:bookmarkEnd w:id="246"/>
      <w:r>
        <w:rPr>
          <w:rFonts w:hint="eastAsia" w:ascii="仿宋" w:hAnsi="仿宋" w:eastAsia="仿宋" w:cs="仿宋"/>
          <w:b/>
          <w:bCs/>
        </w:rPr>
        <w:t xml:space="preserve"> 评标及推荐中标候选人</w:t>
      </w:r>
      <w:bookmarkEnd w:id="247"/>
      <w:bookmarkEnd w:id="248"/>
      <w:r>
        <w:rPr>
          <w:rFonts w:hint="eastAsia" w:ascii="仿宋" w:hAnsi="仿宋" w:eastAsia="仿宋" w:cs="仿宋"/>
          <w:b/>
          <w:bCs/>
        </w:rPr>
        <w:t xml:space="preserve"> </w:t>
      </w:r>
    </w:p>
    <w:p>
      <w:bookmarkStart w:id="249" w:name="_Toc152042342"/>
      <w:bookmarkStart w:id="250" w:name="_Toc144974534"/>
      <w:bookmarkStart w:id="251" w:name="_Toc152045566"/>
      <w:r>
        <w:rPr>
          <w:rFonts w:hint="eastAsia"/>
        </w:rPr>
        <w:t>6.3.1初步评审</w:t>
      </w:r>
    </w:p>
    <w:p>
      <w:r>
        <w:rPr>
          <w:rFonts w:hint="eastAsia"/>
        </w:rPr>
        <w:t>按照招标文件规定的评标标准和方法对进入评审环节的所有投标文件进行初步评审，评审顺序及内容为：形式评审、资格性评审、响应性评审，初步评审时有一项不合格不得进入下一环节评审。</w:t>
      </w:r>
    </w:p>
    <w:p>
      <w:r>
        <w:rPr>
          <w:rFonts w:hint="eastAsia"/>
        </w:rPr>
        <w:t>6.3.2详细评审</w:t>
      </w:r>
    </w:p>
    <w:p>
      <w:r>
        <w:rPr>
          <w:rFonts w:hint="eastAsia"/>
        </w:rPr>
        <w:t>评标委员会按照评标办法规定的评标标准和方法进行详细评审。</w:t>
      </w:r>
    </w:p>
    <w:p>
      <w:r>
        <w:rPr>
          <w:rFonts w:hint="eastAsia"/>
        </w:rPr>
        <w:t>6.3.2.1 定量评审评标时，评标委员会各成员独立定量评审。</w:t>
      </w:r>
    </w:p>
    <w:p>
      <w:r>
        <w:rPr>
          <w:rFonts w:hint="eastAsia"/>
        </w:rPr>
        <w:t>6.3.2.2质询与澄清</w:t>
      </w:r>
    </w:p>
    <w:p>
      <w:pPr>
        <w:pStyle w:val="16"/>
      </w:pPr>
      <w:r>
        <w:rPr>
          <w:rFonts w:hint="eastAsia"/>
        </w:rPr>
        <w:t>(1)为便于投标文件的审查、评价和比较，评标过程中，评标委员会可以质询各投标文件相关容。为此，评标委员会可要求其对于投标文件中含义不明确的容作必要澄清和解释，并作好相关记录。</w:t>
      </w:r>
    </w:p>
    <w:p>
      <w:pPr>
        <w:pStyle w:val="16"/>
      </w:pPr>
      <w:r>
        <w:rPr>
          <w:rFonts w:hint="eastAsia"/>
        </w:rPr>
        <w:t>(2)投标人应当在通知规定时间，将投标文件问题澄清情况反馈至评标委员会。未能按时反馈的，评标委员会可对相应投标文件按最不利情形认定。</w:t>
      </w:r>
    </w:p>
    <w:p>
      <w:pPr>
        <w:pStyle w:val="16"/>
      </w:pPr>
      <w:r>
        <w:rPr>
          <w:rFonts w:hint="eastAsia"/>
        </w:rPr>
        <w:t>6.3.2.3废标判定</w:t>
      </w:r>
    </w:p>
    <w:p>
      <w:pPr>
        <w:pStyle w:val="16"/>
        <w:numPr>
          <w:ilvl w:val="0"/>
          <w:numId w:val="2"/>
        </w:numPr>
        <w:ind w:firstLineChars="0"/>
      </w:pPr>
      <w:r>
        <w:rPr>
          <w:rFonts w:hint="eastAsia"/>
        </w:rPr>
        <w:t>评标委员会按照“废标条件审慎设立、严格执行”原则，对所有投标人的投标文件是否废标，进行评审与判定。标委员会作出是否具备竞争性判断，如具备竞争性，可继续推荐中标候选人。</w:t>
      </w:r>
    </w:p>
    <w:p>
      <w:pPr>
        <w:pStyle w:val="16"/>
      </w:pPr>
      <w:r>
        <w:rPr>
          <w:rFonts w:hint="eastAsia"/>
        </w:rPr>
        <w:t>(2)若清理废标后的合格投标人不足3个时，应及时告知招标人。招标人可以重新招标，也可以授权评标委员会作出是否具备竞争性判断，如具备竞争性，可继续推荐中标候选人。</w:t>
      </w:r>
    </w:p>
    <w:p>
      <w:pPr>
        <w:pStyle w:val="16"/>
      </w:pPr>
      <w:r>
        <w:rPr>
          <w:rFonts w:hint="eastAsia"/>
        </w:rPr>
        <w:t>6.3.2.4推荐中标候选人</w:t>
      </w:r>
    </w:p>
    <w:p>
      <w:pPr>
        <w:pStyle w:val="16"/>
      </w:pPr>
      <w:r>
        <w:rPr>
          <w:rFonts w:hint="eastAsia"/>
        </w:rPr>
        <w:t>根据投标人须知前附表规定的数量推荐不排序的中标候选人。</w:t>
      </w:r>
    </w:p>
    <w:p>
      <w:pPr>
        <w:pStyle w:val="16"/>
      </w:pPr>
      <w:r>
        <w:rPr>
          <w:rFonts w:hint="eastAsia"/>
        </w:rPr>
        <w:t>6.3.2.5形成评标报告</w:t>
      </w:r>
    </w:p>
    <w:p>
      <w:pPr>
        <w:pStyle w:val="16"/>
      </w:pPr>
      <w:r>
        <w:rPr>
          <w:rFonts w:hint="eastAsia"/>
        </w:rPr>
        <w:t>(1)评标委员会收集并汇总全体评委评审意见后，由评标委员会主任委员或其指定评委成员填写《评标报告》。</w:t>
      </w:r>
    </w:p>
    <w:p>
      <w:pPr>
        <w:pStyle w:val="16"/>
      </w:pPr>
      <w:r>
        <w:rPr>
          <w:rFonts w:hint="eastAsia"/>
        </w:rPr>
        <w:t>(2)评标报告应由评标委员会全体成员签字。对评标总体结论持有异议的评委，可采用书面式阐述其不同意见和理由。评标委员会成员拒绝签字的，视为同意评标总体结论。评标委员会应对此做出书面记录。</w:t>
      </w:r>
    </w:p>
    <w:p>
      <w:pPr>
        <w:pStyle w:val="16"/>
      </w:pPr>
      <w:r>
        <w:rPr>
          <w:rFonts w:hint="eastAsia"/>
        </w:rPr>
        <w:t>(3)对发现的涉嫌违规行为，应当在评标报告中做出详细说明，做好取证工作，并及时告知建设行政监督部门。</w:t>
      </w:r>
    </w:p>
    <w:p>
      <w:pPr>
        <w:pStyle w:val="16"/>
      </w:pPr>
      <w:r>
        <w:rPr>
          <w:rFonts w:hint="eastAsia"/>
        </w:rPr>
        <w:t>6.3.2.6其他规定</w:t>
      </w:r>
    </w:p>
    <w:p>
      <w:pPr>
        <w:pStyle w:val="16"/>
      </w:pPr>
      <w:r>
        <w:rPr>
          <w:rFonts w:hint="eastAsia"/>
        </w:rPr>
        <w:t>(1)评标委员会应根据招标文件规定的评标方法和标准，开展具体评审。招标文件中未作规定的评标方法和标准，不得作为评标依据。</w:t>
      </w:r>
    </w:p>
    <w:p>
      <w:pPr>
        <w:pStyle w:val="16"/>
      </w:pPr>
      <w:r>
        <w:rPr>
          <w:rFonts w:hint="eastAsia"/>
        </w:rPr>
        <w:t>(2)评标讨论过程中，评标委员会成员意见不一致时，应作进一步讨论。评标委员会成员对任一个投标文件的疑问，应当在讨论或现场讲解时提出。表决结果确定后才提出的疑问，不可作为改变表决结果的依据。</w:t>
      </w:r>
    </w:p>
    <w:p>
      <w:pPr>
        <w:pStyle w:val="16"/>
      </w:pPr>
      <w:r>
        <w:rPr>
          <w:rFonts w:hint="eastAsia"/>
        </w:rPr>
        <w:t>6.3.2.7评标结果公示</w:t>
      </w:r>
    </w:p>
    <w:p>
      <w:pPr>
        <w:pStyle w:val="16"/>
      </w:pPr>
      <w:r>
        <w:rPr>
          <w:rFonts w:hint="eastAsia"/>
        </w:rPr>
        <w:t>招标人应当收到评标报告后的3日内对中标候选人公示，公示期3日。</w:t>
      </w:r>
    </w:p>
    <w:p>
      <w:r>
        <w:rPr>
          <w:rFonts w:hint="eastAsia"/>
        </w:rPr>
        <w:t>中标候选人公示期间，因异议或投诉导致中标候选人少于招标文件规定的数量时，招标人可以继续定标、也可以组织原评标委员会重新评审推荐中标候选人、也可以重新招标。</w:t>
      </w:r>
    </w:p>
    <w:p>
      <w:pPr>
        <w:pStyle w:val="93"/>
        <w:spacing w:line="360" w:lineRule="auto"/>
        <w:ind w:firstLine="0" w:firstLineChars="0"/>
        <w:rPr>
          <w:rFonts w:hint="eastAsia" w:ascii="仿宋" w:hAnsi="仿宋" w:eastAsia="仿宋" w:cs="仿宋"/>
          <w:b/>
          <w:bCs/>
        </w:rPr>
      </w:pPr>
      <w:bookmarkStart w:id="252" w:name="_Toc17902"/>
      <w:bookmarkStart w:id="253" w:name="_Toc4204"/>
      <w:r>
        <w:rPr>
          <w:rFonts w:hint="eastAsia" w:ascii="仿宋" w:hAnsi="仿宋" w:eastAsia="仿宋" w:cs="仿宋"/>
          <w:b/>
          <w:bCs/>
        </w:rPr>
        <w:t>7、合同授予</w:t>
      </w:r>
      <w:bookmarkEnd w:id="249"/>
      <w:bookmarkEnd w:id="250"/>
      <w:bookmarkEnd w:id="251"/>
      <w:bookmarkEnd w:id="252"/>
      <w:bookmarkEnd w:id="253"/>
    </w:p>
    <w:p>
      <w:pPr>
        <w:pStyle w:val="102"/>
        <w:spacing w:line="360" w:lineRule="auto"/>
        <w:ind w:firstLine="0" w:firstLineChars="0"/>
        <w:outlineLvl w:val="9"/>
        <w:rPr>
          <w:rFonts w:hint="eastAsia" w:ascii="仿宋" w:hAnsi="仿宋" w:eastAsia="仿宋" w:cs="仿宋"/>
          <w:b/>
          <w:bCs/>
        </w:rPr>
      </w:pPr>
      <w:bookmarkStart w:id="254" w:name="_Toc8423567"/>
      <w:bookmarkStart w:id="255" w:name="_Toc144974535"/>
      <w:bookmarkStart w:id="256" w:name="_Toc152045567"/>
      <w:bookmarkStart w:id="257" w:name="_Toc152042343"/>
      <w:r>
        <w:rPr>
          <w:rFonts w:hint="eastAsia" w:ascii="仿宋" w:hAnsi="仿宋" w:eastAsia="仿宋" w:cs="仿宋"/>
          <w:b/>
          <w:bCs/>
        </w:rPr>
        <w:t>7.1 定标方法</w:t>
      </w:r>
    </w:p>
    <w:p>
      <w:pPr>
        <w:pStyle w:val="16"/>
        <w:rPr>
          <w:b/>
          <w:bCs/>
        </w:rPr>
      </w:pPr>
      <w:r>
        <w:rPr>
          <w:rFonts w:hint="eastAsia"/>
          <w:b/>
          <w:bCs/>
        </w:rPr>
        <w:t>本项目按照《洛阳市人民政府办公室关于印发洛阳市房屋建筑和市政基础设施工程招标投标管理办法（试行）的通知》（洛政办〔2021〕58 号）的相关要求，采用“评定分离” 的方式，由招标人根据评标委员会出具的评标报告和推荐的中标候选人，自主确定中标人。</w:t>
      </w:r>
    </w:p>
    <w:p>
      <w:pPr>
        <w:pStyle w:val="16"/>
      </w:pPr>
      <w:r>
        <w:rPr>
          <w:rFonts w:hint="eastAsia"/>
        </w:rPr>
        <w:t>7.1.1定标委员会</w:t>
      </w:r>
    </w:p>
    <w:p>
      <w:pPr>
        <w:pStyle w:val="16"/>
      </w:pPr>
      <w:r>
        <w:rPr>
          <w:rFonts w:hint="eastAsia"/>
        </w:rPr>
        <w:t>组建定标委员会招标人按前附表规定，负责组建定标委员会。组建要求如下：招标人在定标当日，组建定标委员会进行定标。定标委员会成员数量为5人以上单数。</w:t>
      </w:r>
    </w:p>
    <w:p>
      <w:pPr>
        <w:pStyle w:val="16"/>
      </w:pPr>
      <w:r>
        <w:rPr>
          <w:rFonts w:hint="eastAsia"/>
        </w:rPr>
        <w:t>7.1.2定标委员会</w:t>
      </w:r>
    </w:p>
    <w:p>
      <w:pPr>
        <w:pStyle w:val="16"/>
      </w:pPr>
      <w:r>
        <w:rPr>
          <w:rFonts w:hint="eastAsia"/>
        </w:rPr>
        <w:t>定标委员会成员由汉魏洛阳城遗址博物馆建设工作专班成员组成。</w:t>
      </w:r>
    </w:p>
    <w:p>
      <w:pPr>
        <w:pStyle w:val="16"/>
      </w:pPr>
      <w:r>
        <w:rPr>
          <w:rFonts w:hint="eastAsia"/>
        </w:rPr>
        <w:t>定标委员会应当在定标会议上推荐定标负责人。招标人的法定代表人或者主要负责人参加定标委员会的，由其直接担任定标委员会负责人。</w:t>
      </w:r>
    </w:p>
    <w:p>
      <w:pPr>
        <w:pStyle w:val="102"/>
        <w:spacing w:line="360" w:lineRule="auto"/>
        <w:ind w:firstLine="0" w:firstLineChars="0"/>
        <w:outlineLvl w:val="9"/>
        <w:rPr>
          <w:rFonts w:hint="eastAsia" w:ascii="仿宋" w:hAnsi="仿宋" w:eastAsia="仿宋" w:cs="仿宋"/>
          <w:b/>
          <w:bCs/>
        </w:rPr>
      </w:pPr>
      <w:r>
        <w:rPr>
          <w:rFonts w:hint="eastAsia" w:ascii="仿宋" w:hAnsi="仿宋" w:eastAsia="仿宋" w:cs="仿宋"/>
          <w:b/>
          <w:bCs/>
        </w:rPr>
        <w:t>7.2监督小组</w:t>
      </w:r>
    </w:p>
    <w:p>
      <w:pPr>
        <w:pStyle w:val="16"/>
      </w:pPr>
      <w:r>
        <w:rPr>
          <w:rFonts w:hint="eastAsia"/>
        </w:rPr>
        <w:t>由市纪委监委驻文物局纪检监察组委派2名监督人员组成监督小组，对定标全过程进行监督。定标全过程应录音录像，存档备查。</w:t>
      </w:r>
    </w:p>
    <w:p>
      <w:pPr>
        <w:pStyle w:val="102"/>
        <w:spacing w:line="360" w:lineRule="auto"/>
        <w:ind w:firstLine="0" w:firstLineChars="0"/>
        <w:outlineLvl w:val="9"/>
        <w:rPr>
          <w:rFonts w:hint="eastAsia" w:ascii="仿宋" w:hAnsi="仿宋" w:eastAsia="仿宋" w:cs="仿宋"/>
          <w:b/>
          <w:bCs/>
        </w:rPr>
      </w:pPr>
      <w:r>
        <w:rPr>
          <w:rFonts w:hint="eastAsia" w:ascii="仿宋" w:hAnsi="仿宋" w:eastAsia="仿宋" w:cs="仿宋"/>
          <w:b/>
          <w:bCs/>
        </w:rPr>
        <w:t>7.3 定标方法</w:t>
      </w:r>
    </w:p>
    <w:p>
      <w:pPr>
        <w:pStyle w:val="16"/>
      </w:pPr>
      <w:r>
        <w:rPr>
          <w:rFonts w:hint="eastAsia"/>
        </w:rPr>
        <w:t>集体议事法：由定标委员会负责人组织定标委员会成员进行集体商议，形成集体意见后确定中标人，并出具书面定标报告。定标委员会所有成员签字确认。</w:t>
      </w:r>
    </w:p>
    <w:p>
      <w:pPr>
        <w:pStyle w:val="16"/>
        <w:rPr>
          <w:rFonts w:hint="eastAsia"/>
        </w:rPr>
      </w:pPr>
      <w:r>
        <w:rPr>
          <w:rFonts w:hint="eastAsia"/>
        </w:rPr>
        <w:t>定标过程中如有异常情况，由定标委员会成员集体讨论决定，以少数服从多数的原则进行记名表决。</w:t>
      </w:r>
    </w:p>
    <w:p>
      <w:pPr>
        <w:pStyle w:val="16"/>
        <w:rPr>
          <w:rFonts w:hint="eastAsia"/>
        </w:rPr>
      </w:pPr>
      <w:r>
        <w:rPr>
          <w:rFonts w:hint="eastAsia"/>
        </w:rPr>
        <w:t>中标结果公示：中标人确定后，招标人（或招标代理机构）将在招标公告发布媒介的同一媒介发布中标结果公示，公示期不少于3日。</w:t>
      </w:r>
    </w:p>
    <w:p>
      <w:pPr>
        <w:pStyle w:val="102"/>
        <w:spacing w:line="360" w:lineRule="auto"/>
        <w:ind w:firstLine="0" w:firstLineChars="0"/>
        <w:outlineLvl w:val="9"/>
        <w:rPr>
          <w:rFonts w:hint="eastAsia" w:ascii="仿宋" w:hAnsi="仿宋" w:eastAsia="仿宋" w:cs="仿宋"/>
          <w:b/>
          <w:bCs/>
        </w:rPr>
      </w:pPr>
      <w:r>
        <w:rPr>
          <w:rFonts w:hint="eastAsia" w:ascii="仿宋" w:hAnsi="仿宋" w:eastAsia="仿宋" w:cs="仿宋"/>
          <w:b/>
          <w:bCs/>
        </w:rPr>
        <w:t>7.4中标通知</w:t>
      </w:r>
    </w:p>
    <w:p>
      <w:pPr>
        <w:pStyle w:val="16"/>
      </w:pPr>
      <w:r>
        <w:rPr>
          <w:rFonts w:hint="eastAsia"/>
        </w:rPr>
        <w:t>在本章第3.3款规定的投标有效期内，招标人以书面形式向中标人发出中标通知书，同时将中标结果通知未中标的投标人。</w:t>
      </w:r>
    </w:p>
    <w:p>
      <w:pPr>
        <w:pStyle w:val="102"/>
        <w:spacing w:line="360" w:lineRule="auto"/>
        <w:ind w:firstLine="0" w:firstLineChars="0"/>
        <w:outlineLvl w:val="9"/>
        <w:rPr>
          <w:rFonts w:hint="eastAsia" w:ascii="仿宋" w:hAnsi="仿宋" w:eastAsia="仿宋" w:cs="仿宋"/>
          <w:b/>
          <w:bCs/>
        </w:rPr>
      </w:pPr>
      <w:r>
        <w:rPr>
          <w:rFonts w:hint="eastAsia" w:ascii="仿宋" w:hAnsi="仿宋" w:eastAsia="仿宋" w:cs="仿宋"/>
          <w:b/>
          <w:bCs/>
        </w:rPr>
        <w:t>7.5 履约担保</w:t>
      </w:r>
    </w:p>
    <w:p>
      <w:pPr>
        <w:pStyle w:val="16"/>
      </w:pPr>
      <w:r>
        <w:rPr>
          <w:rFonts w:hint="eastAsia"/>
        </w:rPr>
        <w:t>7.5.1在前附表规定时间前，中标人应按投标人须知前附表规定的金额、担保形式和招标文件第四章“合同条款及格式”规定的履约担保格式向招标人提交履约担保。联合体中标的，其履约担保由牵头人递交，并应符合投标人须知前附表规定的金额、担保形式和招标文件第四章“合同条款及格式”规定的履约担保格式要求。</w:t>
      </w:r>
    </w:p>
    <w:p>
      <w:pPr>
        <w:pStyle w:val="16"/>
      </w:pPr>
      <w:r>
        <w:rPr>
          <w:rFonts w:hint="eastAsia"/>
        </w:rPr>
        <w:t>7.5.2 中标人不能按本章第7.3.1项要求提交履约担保的，视为放弃中标，其投标保证金不予退还，给招标人造成的损失超过投标保证金数额的，中标人还应当对超过部分予以赔偿。</w:t>
      </w:r>
    </w:p>
    <w:p>
      <w:pPr>
        <w:pStyle w:val="102"/>
        <w:spacing w:line="360" w:lineRule="auto"/>
        <w:ind w:firstLine="0" w:firstLineChars="0"/>
        <w:outlineLvl w:val="9"/>
        <w:rPr>
          <w:rFonts w:hint="eastAsia" w:ascii="仿宋" w:hAnsi="仿宋" w:eastAsia="仿宋" w:cs="仿宋"/>
          <w:b/>
          <w:bCs/>
        </w:rPr>
      </w:pPr>
      <w:r>
        <w:rPr>
          <w:rFonts w:hint="eastAsia" w:ascii="仿宋" w:hAnsi="仿宋" w:eastAsia="仿宋" w:cs="仿宋"/>
          <w:b/>
          <w:bCs/>
        </w:rPr>
        <w:t>7.6 签订合同</w:t>
      </w:r>
    </w:p>
    <w:p>
      <w:pPr>
        <w:pStyle w:val="16"/>
      </w:pPr>
      <w:r>
        <w:rPr>
          <w:rFonts w:hint="eastAsia"/>
        </w:rPr>
        <w:t xml:space="preserve">7.6.1招标人和中标人应当自中标通知书发出之日起15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pPr>
        <w:pStyle w:val="16"/>
      </w:pPr>
      <w:r>
        <w:rPr>
          <w:rFonts w:hint="eastAsia"/>
        </w:rPr>
        <w:t xml:space="preserve">7.6.2 发出中标通知书后，招标人无正当理由拒签合同的，招标人向中标人退还投标保证金；给中标人造成损失的，还应当赔偿损失。 </w:t>
      </w:r>
    </w:p>
    <w:bookmarkEnd w:id="254"/>
    <w:bookmarkEnd w:id="255"/>
    <w:bookmarkEnd w:id="256"/>
    <w:bookmarkEnd w:id="257"/>
    <w:p>
      <w:pPr>
        <w:pStyle w:val="93"/>
        <w:spacing w:line="360" w:lineRule="auto"/>
        <w:ind w:firstLine="0" w:firstLineChars="0"/>
        <w:rPr>
          <w:rFonts w:hint="eastAsia" w:ascii="仿宋" w:hAnsi="仿宋" w:eastAsia="仿宋" w:cs="仿宋"/>
          <w:b/>
          <w:bCs/>
        </w:rPr>
      </w:pPr>
      <w:bookmarkStart w:id="258" w:name="_Toc28682"/>
      <w:bookmarkStart w:id="259" w:name="_Toc13442"/>
      <w:bookmarkStart w:id="260" w:name="_Toc152045571"/>
      <w:bookmarkStart w:id="261" w:name="_Toc144974539"/>
      <w:bookmarkStart w:id="262" w:name="_Toc152042347"/>
      <w:r>
        <w:rPr>
          <w:rFonts w:hint="eastAsia" w:ascii="仿宋" w:hAnsi="仿宋" w:eastAsia="仿宋" w:cs="仿宋"/>
          <w:b/>
          <w:bCs/>
        </w:rPr>
        <w:t>8、重新招标和不再招标</w:t>
      </w:r>
      <w:bookmarkEnd w:id="258"/>
      <w:bookmarkEnd w:id="259"/>
      <w:bookmarkEnd w:id="260"/>
      <w:bookmarkEnd w:id="261"/>
      <w:bookmarkEnd w:id="262"/>
    </w:p>
    <w:p>
      <w:pPr>
        <w:pStyle w:val="102"/>
        <w:spacing w:line="360" w:lineRule="auto"/>
        <w:ind w:firstLine="0" w:firstLineChars="0"/>
        <w:outlineLvl w:val="9"/>
        <w:rPr>
          <w:rFonts w:hint="eastAsia" w:ascii="仿宋" w:hAnsi="仿宋" w:eastAsia="仿宋" w:cs="仿宋"/>
          <w:b/>
          <w:bCs/>
        </w:rPr>
      </w:pPr>
      <w:bookmarkStart w:id="263" w:name="_Toc19914"/>
      <w:bookmarkStart w:id="264" w:name="_Toc152042348"/>
      <w:bookmarkStart w:id="265" w:name="_Toc144974540"/>
      <w:bookmarkStart w:id="266" w:name="_Toc8423572"/>
      <w:bookmarkStart w:id="267" w:name="_Toc26115"/>
      <w:bookmarkStart w:id="268" w:name="_Toc152045572"/>
      <w:r>
        <w:rPr>
          <w:rFonts w:hint="eastAsia" w:ascii="仿宋" w:hAnsi="仿宋" w:eastAsia="仿宋" w:cs="仿宋"/>
          <w:b/>
          <w:bCs/>
        </w:rPr>
        <w:t>8.1 重新招标</w:t>
      </w:r>
      <w:bookmarkEnd w:id="263"/>
      <w:bookmarkEnd w:id="264"/>
      <w:bookmarkEnd w:id="265"/>
      <w:bookmarkEnd w:id="266"/>
      <w:bookmarkEnd w:id="267"/>
      <w:bookmarkEnd w:id="268"/>
    </w:p>
    <w:p>
      <w:r>
        <w:rPr>
          <w:rFonts w:hint="eastAsia"/>
        </w:rPr>
        <w:t>有下列情形之一的，招标人将重新招标：</w:t>
      </w:r>
    </w:p>
    <w:p>
      <w:r>
        <w:rPr>
          <w:rFonts w:hint="eastAsia"/>
        </w:rPr>
        <w:t>（1）投标截止时间止，投标人少于3个的；</w:t>
      </w:r>
    </w:p>
    <w:p>
      <w:r>
        <w:rPr>
          <w:rFonts w:hint="eastAsia"/>
        </w:rPr>
        <w:t>（2）经评标委员会评审后否决所有投标的。</w:t>
      </w:r>
    </w:p>
    <w:p>
      <w:pPr>
        <w:pStyle w:val="102"/>
        <w:spacing w:line="360" w:lineRule="auto"/>
        <w:ind w:firstLine="0" w:firstLineChars="0"/>
        <w:outlineLvl w:val="9"/>
        <w:rPr>
          <w:rFonts w:hint="eastAsia" w:ascii="仿宋" w:hAnsi="仿宋" w:eastAsia="仿宋" w:cs="仿宋"/>
          <w:b/>
          <w:bCs/>
        </w:rPr>
      </w:pPr>
      <w:bookmarkStart w:id="269" w:name="_Toc8423573"/>
      <w:bookmarkStart w:id="270" w:name="_Toc25862"/>
      <w:bookmarkStart w:id="271" w:name="_Toc24350"/>
      <w:bookmarkStart w:id="272" w:name="_Toc152045573"/>
      <w:bookmarkStart w:id="273" w:name="_Toc144974541"/>
      <w:bookmarkStart w:id="274" w:name="_Toc152042349"/>
      <w:r>
        <w:rPr>
          <w:rFonts w:hint="eastAsia" w:ascii="仿宋" w:hAnsi="仿宋" w:eastAsia="仿宋" w:cs="仿宋"/>
          <w:b/>
          <w:bCs/>
        </w:rPr>
        <w:t>8.2 不再招标</w:t>
      </w:r>
      <w:bookmarkEnd w:id="269"/>
      <w:bookmarkEnd w:id="270"/>
      <w:bookmarkEnd w:id="271"/>
      <w:bookmarkEnd w:id="272"/>
      <w:bookmarkEnd w:id="273"/>
      <w:bookmarkEnd w:id="274"/>
    </w:p>
    <w:p>
      <w:r>
        <w:rPr>
          <w:rFonts w:hint="eastAsia"/>
        </w:rPr>
        <w:t>重新招标后投标人仍少于3个或者所有投标被否决的，属于必须审批或核准的工程建设项目，经原审批或核准部门批准后不再进行招标。</w:t>
      </w:r>
    </w:p>
    <w:p>
      <w:pPr>
        <w:pStyle w:val="93"/>
        <w:spacing w:line="360" w:lineRule="auto"/>
        <w:ind w:firstLine="0" w:firstLineChars="0"/>
        <w:rPr>
          <w:rFonts w:hint="eastAsia" w:ascii="仿宋" w:hAnsi="仿宋" w:eastAsia="仿宋" w:cs="仿宋"/>
          <w:b/>
          <w:bCs/>
        </w:rPr>
      </w:pPr>
      <w:bookmarkStart w:id="275" w:name="_Toc152045574"/>
      <w:bookmarkStart w:id="276" w:name="_Toc144974542"/>
      <w:bookmarkStart w:id="277" w:name="_Toc152042350"/>
      <w:bookmarkStart w:id="278" w:name="_Toc31460"/>
      <w:bookmarkStart w:id="279" w:name="_Toc23302"/>
      <w:r>
        <w:rPr>
          <w:rFonts w:hint="eastAsia" w:ascii="仿宋" w:hAnsi="仿宋" w:eastAsia="仿宋" w:cs="仿宋"/>
          <w:b/>
          <w:bCs/>
        </w:rPr>
        <w:t>9、纪律和监督</w:t>
      </w:r>
      <w:bookmarkEnd w:id="275"/>
      <w:bookmarkEnd w:id="276"/>
      <w:bookmarkEnd w:id="277"/>
      <w:bookmarkEnd w:id="278"/>
      <w:bookmarkEnd w:id="279"/>
    </w:p>
    <w:p>
      <w:pPr>
        <w:pStyle w:val="102"/>
        <w:spacing w:line="360" w:lineRule="auto"/>
        <w:ind w:firstLine="0" w:firstLineChars="0"/>
        <w:outlineLvl w:val="9"/>
        <w:rPr>
          <w:rFonts w:hint="eastAsia" w:ascii="仿宋" w:hAnsi="仿宋" w:eastAsia="仿宋" w:cs="仿宋"/>
          <w:b/>
          <w:bCs/>
        </w:rPr>
      </w:pPr>
      <w:bookmarkStart w:id="280" w:name="_Toc152045575"/>
      <w:bookmarkStart w:id="281" w:name="_Toc8423575"/>
      <w:bookmarkStart w:id="282" w:name="_Toc2494"/>
      <w:bookmarkStart w:id="283" w:name="_Toc152042351"/>
      <w:bookmarkStart w:id="284" w:name="_Toc22301"/>
      <w:bookmarkStart w:id="285" w:name="_Toc144974543"/>
      <w:r>
        <w:rPr>
          <w:rFonts w:hint="eastAsia" w:ascii="仿宋" w:hAnsi="仿宋" w:eastAsia="仿宋" w:cs="仿宋"/>
          <w:b/>
          <w:bCs/>
        </w:rPr>
        <w:t>9.1 对招标人的纪律要求</w:t>
      </w:r>
      <w:bookmarkEnd w:id="280"/>
      <w:bookmarkEnd w:id="281"/>
      <w:bookmarkEnd w:id="282"/>
      <w:bookmarkEnd w:id="283"/>
      <w:bookmarkEnd w:id="284"/>
      <w:bookmarkEnd w:id="285"/>
    </w:p>
    <w:p>
      <w:r>
        <w:rPr>
          <w:rFonts w:hint="eastAsia"/>
        </w:rPr>
        <w:t>招标人不得泄漏招标投标活动中应当保密的情况和资料，不得与投标人串通损害国家利益、社会公共利益或者他人合法权益。</w:t>
      </w:r>
    </w:p>
    <w:p>
      <w:pPr>
        <w:pStyle w:val="102"/>
        <w:spacing w:line="360" w:lineRule="auto"/>
        <w:ind w:firstLine="0" w:firstLineChars="0"/>
        <w:outlineLvl w:val="9"/>
        <w:rPr>
          <w:rFonts w:hint="eastAsia" w:ascii="仿宋" w:hAnsi="仿宋" w:eastAsia="仿宋" w:cs="仿宋"/>
          <w:b/>
          <w:bCs/>
        </w:rPr>
      </w:pPr>
      <w:bookmarkStart w:id="286" w:name="_Toc152045576"/>
      <w:bookmarkStart w:id="287" w:name="_Toc144974544"/>
      <w:bookmarkStart w:id="288" w:name="_Toc8423576"/>
      <w:bookmarkStart w:id="289" w:name="_Toc21760"/>
      <w:bookmarkStart w:id="290" w:name="_Toc4190"/>
      <w:bookmarkStart w:id="291" w:name="_Toc152042352"/>
      <w:r>
        <w:rPr>
          <w:rFonts w:hint="eastAsia" w:ascii="仿宋" w:hAnsi="仿宋" w:eastAsia="仿宋" w:cs="仿宋"/>
          <w:b/>
          <w:bCs/>
        </w:rPr>
        <w:t>9.2 对投标人的纪律要求</w:t>
      </w:r>
      <w:bookmarkEnd w:id="286"/>
      <w:bookmarkEnd w:id="287"/>
      <w:bookmarkEnd w:id="288"/>
      <w:bookmarkEnd w:id="289"/>
      <w:bookmarkEnd w:id="290"/>
      <w:bookmarkEnd w:id="291"/>
    </w:p>
    <w:p>
      <w:r>
        <w:rPr>
          <w:rFonts w:hint="eastAsia"/>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102"/>
        <w:spacing w:line="360" w:lineRule="auto"/>
        <w:ind w:firstLine="0" w:firstLineChars="0"/>
        <w:outlineLvl w:val="9"/>
        <w:rPr>
          <w:rFonts w:hint="eastAsia" w:ascii="仿宋" w:hAnsi="仿宋" w:eastAsia="仿宋" w:cs="仿宋"/>
          <w:b/>
          <w:bCs/>
        </w:rPr>
      </w:pPr>
      <w:bookmarkStart w:id="292" w:name="_Toc144974545"/>
      <w:bookmarkStart w:id="293" w:name="_Toc8423577"/>
      <w:bookmarkStart w:id="294" w:name="_Toc8082"/>
      <w:bookmarkStart w:id="295" w:name="_Toc152042353"/>
      <w:bookmarkStart w:id="296" w:name="_Toc152045577"/>
      <w:bookmarkStart w:id="297" w:name="_Toc5599"/>
      <w:r>
        <w:rPr>
          <w:rFonts w:hint="eastAsia" w:ascii="仿宋" w:hAnsi="仿宋" w:eastAsia="仿宋" w:cs="仿宋"/>
          <w:b/>
          <w:bCs/>
        </w:rPr>
        <w:t>9.3 对评标委员会成员的纪律要求</w:t>
      </w:r>
      <w:bookmarkEnd w:id="292"/>
      <w:bookmarkEnd w:id="293"/>
      <w:bookmarkEnd w:id="294"/>
      <w:bookmarkEnd w:id="295"/>
      <w:bookmarkEnd w:id="296"/>
      <w:bookmarkEnd w:id="297"/>
    </w:p>
    <w:p>
      <w:r>
        <w:rPr>
          <w:rFonts w:hint="eastAsia"/>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102"/>
        <w:spacing w:line="360" w:lineRule="auto"/>
        <w:ind w:firstLine="0" w:firstLineChars="0"/>
        <w:outlineLvl w:val="9"/>
        <w:rPr>
          <w:rFonts w:hint="eastAsia" w:ascii="仿宋" w:hAnsi="仿宋" w:eastAsia="仿宋" w:cs="仿宋"/>
          <w:b/>
          <w:bCs/>
        </w:rPr>
      </w:pPr>
      <w:bookmarkStart w:id="298" w:name="_Toc152042354"/>
      <w:bookmarkStart w:id="299" w:name="_Toc152045578"/>
      <w:bookmarkStart w:id="300" w:name="_Toc25370"/>
      <w:bookmarkStart w:id="301" w:name="_Toc24685"/>
      <w:bookmarkStart w:id="302" w:name="_Toc8423578"/>
      <w:bookmarkStart w:id="303" w:name="_Toc144974546"/>
      <w:r>
        <w:rPr>
          <w:rFonts w:hint="eastAsia" w:ascii="仿宋" w:hAnsi="仿宋" w:eastAsia="仿宋" w:cs="仿宋"/>
          <w:b/>
          <w:bCs/>
        </w:rPr>
        <w:t>9.4 对与评标活动有关的工作人员的纪律要求</w:t>
      </w:r>
      <w:bookmarkEnd w:id="298"/>
      <w:bookmarkEnd w:id="299"/>
      <w:bookmarkEnd w:id="300"/>
      <w:bookmarkEnd w:id="301"/>
      <w:bookmarkEnd w:id="302"/>
    </w:p>
    <w:p>
      <w:bookmarkStart w:id="304" w:name="_Toc152042355"/>
      <w:r>
        <w:rPr>
          <w:rFonts w:hint="eastAsia"/>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04"/>
    </w:p>
    <w:p>
      <w:pPr>
        <w:pStyle w:val="102"/>
        <w:spacing w:line="360" w:lineRule="auto"/>
        <w:ind w:firstLine="0" w:firstLineChars="0"/>
        <w:outlineLvl w:val="9"/>
        <w:rPr>
          <w:rFonts w:hint="eastAsia" w:ascii="仿宋" w:hAnsi="仿宋" w:eastAsia="仿宋" w:cs="仿宋"/>
          <w:b/>
          <w:bCs/>
        </w:rPr>
      </w:pPr>
      <w:bookmarkStart w:id="305" w:name="_Toc7928"/>
      <w:bookmarkStart w:id="306" w:name="_Toc14850"/>
      <w:bookmarkStart w:id="307" w:name="_Toc152042356"/>
      <w:bookmarkStart w:id="308" w:name="_Toc8423579"/>
      <w:bookmarkStart w:id="309" w:name="_Toc152045579"/>
      <w:r>
        <w:rPr>
          <w:rFonts w:hint="eastAsia" w:ascii="仿宋" w:hAnsi="仿宋" w:eastAsia="仿宋" w:cs="仿宋"/>
          <w:b/>
          <w:bCs/>
        </w:rPr>
        <w:t>9.5 投诉</w:t>
      </w:r>
      <w:bookmarkEnd w:id="303"/>
      <w:bookmarkEnd w:id="305"/>
      <w:bookmarkEnd w:id="306"/>
      <w:bookmarkEnd w:id="307"/>
      <w:bookmarkEnd w:id="308"/>
      <w:bookmarkEnd w:id="309"/>
    </w:p>
    <w:p>
      <w:r>
        <w:rPr>
          <w:rFonts w:hint="eastAsia"/>
        </w:rPr>
        <w:t>投标人和其他利害关系人认为本次招标活动违反法律、法规和规章规定的，有权向有关行政监督部门投诉。</w:t>
      </w:r>
    </w:p>
    <w:p>
      <w:pPr>
        <w:pStyle w:val="93"/>
        <w:spacing w:line="360" w:lineRule="auto"/>
        <w:ind w:firstLine="0" w:firstLineChars="0"/>
        <w:rPr>
          <w:rFonts w:hint="eastAsia" w:ascii="仿宋" w:hAnsi="仿宋" w:eastAsia="仿宋" w:cs="仿宋"/>
          <w:b/>
          <w:bCs/>
        </w:rPr>
      </w:pPr>
      <w:bookmarkStart w:id="310" w:name="_Toc25139"/>
      <w:bookmarkStart w:id="311" w:name="_Toc152045580"/>
      <w:bookmarkStart w:id="312" w:name="_Toc144974547"/>
      <w:bookmarkStart w:id="313" w:name="_Toc18285"/>
      <w:bookmarkStart w:id="314" w:name="_Toc152042357"/>
      <w:r>
        <w:rPr>
          <w:rFonts w:hint="eastAsia" w:ascii="仿宋" w:hAnsi="仿宋" w:eastAsia="仿宋" w:cs="仿宋"/>
          <w:b/>
          <w:bCs/>
        </w:rPr>
        <w:t>10、需要补充的其他内容</w:t>
      </w:r>
      <w:bookmarkEnd w:id="310"/>
      <w:bookmarkEnd w:id="311"/>
      <w:bookmarkEnd w:id="312"/>
      <w:bookmarkEnd w:id="313"/>
      <w:bookmarkEnd w:id="314"/>
    </w:p>
    <w:p>
      <w:r>
        <w:rPr>
          <w:rFonts w:hint="eastAsia"/>
        </w:rPr>
        <w:t>需要补充的其他内容：见投标人须知前附表。</w:t>
      </w:r>
    </w:p>
    <w:p>
      <w:bookmarkStart w:id="315" w:name="_Toc152042359"/>
      <w:bookmarkStart w:id="316" w:name="_Toc8423582"/>
      <w:bookmarkStart w:id="317" w:name="_Toc144974549"/>
      <w:bookmarkStart w:id="318" w:name="_Toc152045582"/>
      <w:r>
        <w:rPr>
          <w:rFonts w:hint="eastAsia"/>
        </w:rPr>
        <w:t>10.1中标人须按投标文件派出项目经理、技术负责人及技术人员，否则招标人有权单方面解除合同，并要求中标人承担违约责任（违约金不低于中标合同总金额的 20%），扣除中标人的全部履约保证金，由此造成的一切损失均由中标人承担；施工期间，项目经理、技术负责人及工程技术人员需保证法定工作日及自身承诺的工作时间在施工现场，否则招标人有权单方面解除合同，并要求中标人承担违约责任，扣除中标人的全部履约保证金，由此造成的一切损失均由中标人承担。</w:t>
      </w:r>
    </w:p>
    <w:p>
      <w:r>
        <w:rPr>
          <w:rFonts w:hint="eastAsia"/>
        </w:rPr>
        <w:t>10.2本项目水、电、场地、垃圾清运等费用及检验试验费用均由中标人承担。</w:t>
      </w:r>
    </w:p>
    <w:p>
      <w:r>
        <w:rPr>
          <w:rFonts w:hint="eastAsia"/>
        </w:rPr>
        <w:t>10.3本项目质保期不少于2年，且国家、行业、中标人质保期长于高期限的，以较长期限为准，自项目验收合格并移交招标人之日起起算。质保金为最终结算总金额的 3%，待质保期满且无质量问题未解决，招标人无息支付给中标人。</w:t>
      </w:r>
    </w:p>
    <w:p>
      <w:r>
        <w:rPr>
          <w:rFonts w:hint="eastAsia"/>
        </w:rPr>
        <w:t>10.4本项目中标人需在合同签订前向招标人交纳履约保证（担保）金，履约保证金为中标合同金额的5%。需以银行保函或保险公司保函的形式提交给招标人。逾期提交的，每逾期一日需承担合同总金额千分之三的违约金。承包人完全履约项目完成经竣工验收合格后且履约保函届满后自动失效，不再退还。</w:t>
      </w:r>
    </w:p>
    <w:p>
      <w:r>
        <w:rPr>
          <w:rFonts w:hint="eastAsia"/>
        </w:rPr>
        <w:t>10.5中标人负责施工范围内的安全管理和安全防护责任，发生安全事故或纠纷的，由中标人负责解决和承担相应法律责任和费用。</w:t>
      </w:r>
    </w:p>
    <w:p>
      <w:r>
        <w:rPr>
          <w:rFonts w:hint="eastAsia"/>
        </w:rPr>
        <w:t>10.6投标人及中标人均需遵守法律法规之规定，若发现中标人在本项目中存在出借资质、挂靠、以及其他违法等情形的，未签订合同的，取消其中标资格，扣除其全部投标保证金，且其须向招标人支付中标金额20%的金额作为赔偿招标人损失的赔偿金；签订合同的，终止合同履行，扣除其全部履约保证金，且其须向招标人支付合同总额的30%金额作为违约金，此外：若项目验收合格的招标人有权不再支付其任何款项；若项目验收不合格的招标人不仅有权不予支付其任何款项还有权要求其赔偿损失。除前述责任外，与此相关的民事、行政、刑事责任也均由其承担。对于发现其他投标人借用资质进行投标活动的，扣除其全部投标保证金，给招标人造成损失的还需承担赔偿责任，由此产生的民事、行政、刑事责任也均由其承担。</w:t>
      </w:r>
    </w:p>
    <w:p>
      <w:r>
        <w:rPr>
          <w:rFonts w:hint="eastAsia"/>
        </w:rPr>
        <w:t>10.7投标人进行本项目投标视为同意承诺在投标时已核对工程量并对工程量清单漏项、偏差负责。在工程量清单漏项、偏差时不调整价款。</w:t>
      </w:r>
    </w:p>
    <w:p>
      <w:pPr>
        <w:pStyle w:val="102"/>
        <w:outlineLvl w:val="1"/>
        <w:rPr>
          <w:rFonts w:hint="eastAsia" w:ascii="仿宋" w:hAnsi="仿宋" w:eastAsia="仿宋" w:cs="仿宋"/>
        </w:rPr>
      </w:pPr>
      <w:r>
        <w:rPr>
          <w:rFonts w:hint="eastAsia"/>
          <w:sz w:val="21"/>
          <w:szCs w:val="21"/>
        </w:rPr>
        <w:br w:type="page"/>
      </w:r>
      <w:bookmarkEnd w:id="315"/>
      <w:bookmarkEnd w:id="316"/>
      <w:bookmarkEnd w:id="317"/>
      <w:bookmarkEnd w:id="318"/>
      <w:bookmarkStart w:id="319" w:name="_Toc11148"/>
      <w:bookmarkStart w:id="320" w:name="_Toc144974565"/>
      <w:bookmarkStart w:id="321" w:name="_Toc152045598"/>
      <w:bookmarkStart w:id="322" w:name="_Toc152042375"/>
      <w:bookmarkStart w:id="323" w:name="_Toc4546"/>
      <w:r>
        <w:rPr>
          <w:rFonts w:hint="eastAsia" w:ascii="仿宋" w:hAnsi="仿宋" w:eastAsia="仿宋" w:cs="仿宋"/>
        </w:rPr>
        <w:t>附表一：问题澄清通知</w:t>
      </w:r>
      <w:bookmarkEnd w:id="319"/>
    </w:p>
    <w:p>
      <w:pPr>
        <w:spacing w:line="440" w:lineRule="exact"/>
        <w:jc w:val="center"/>
        <w:rPr>
          <w:rFonts w:hint="eastAsia" w:ascii="仿宋" w:hAnsi="仿宋" w:eastAsia="仿宋" w:cs="仿宋"/>
          <w:szCs w:val="21"/>
        </w:rPr>
      </w:pPr>
    </w:p>
    <w:p>
      <w:pPr>
        <w:spacing w:line="440" w:lineRule="exact"/>
        <w:jc w:val="center"/>
        <w:rPr>
          <w:rFonts w:hint="eastAsia" w:ascii="仿宋" w:hAnsi="仿宋" w:eastAsia="仿宋" w:cs="仿宋"/>
          <w:sz w:val="28"/>
          <w:szCs w:val="28"/>
        </w:rPr>
      </w:pPr>
      <w:r>
        <w:rPr>
          <w:rFonts w:hint="eastAsia" w:ascii="仿宋" w:hAnsi="仿宋" w:eastAsia="仿宋" w:cs="仿宋"/>
          <w:sz w:val="28"/>
          <w:szCs w:val="28"/>
        </w:rPr>
        <w:t>问题澄清通知</w:t>
      </w:r>
    </w:p>
    <w:p>
      <w:pPr>
        <w:spacing w:line="440" w:lineRule="exact"/>
        <w:rPr>
          <w:rFonts w:hint="eastAsia" w:ascii="仿宋" w:hAnsi="仿宋" w:eastAsia="仿宋" w:cs="仿宋"/>
          <w:szCs w:val="21"/>
        </w:rPr>
      </w:pPr>
      <w:r>
        <w:rPr>
          <w:rFonts w:hint="eastAsia" w:ascii="仿宋" w:hAnsi="仿宋" w:eastAsia="仿宋" w:cs="仿宋"/>
          <w:szCs w:val="21"/>
        </w:rPr>
        <w:t xml:space="preserve">                                编号：</w:t>
      </w: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（投标人名称）：</w:t>
      </w: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（项目名称）施工招标的评标委员会，对你方的投标文件进行了仔细的审查，现需你方对下列问题以书面形式予以澄清：</w:t>
      </w:r>
    </w:p>
    <w:p>
      <w:pPr>
        <w:spacing w:line="440" w:lineRule="exact"/>
        <w:rPr>
          <w:rFonts w:hint="eastAsia" w:ascii="仿宋" w:hAnsi="仿宋" w:eastAsia="仿宋" w:cs="仿宋"/>
          <w:szCs w:val="21"/>
        </w:rPr>
      </w:pPr>
      <w:r>
        <w:rPr>
          <w:rFonts w:hint="eastAsia" w:ascii="仿宋" w:hAnsi="仿宋" w:eastAsia="仿宋" w:cs="仿宋"/>
          <w:szCs w:val="21"/>
        </w:rPr>
        <w:t>　　</w:t>
      </w:r>
    </w:p>
    <w:p>
      <w:pPr>
        <w:spacing w:line="440" w:lineRule="exact"/>
        <w:rPr>
          <w:rFonts w:hint="eastAsia" w:ascii="仿宋" w:hAnsi="仿宋" w:eastAsia="仿宋" w:cs="仿宋"/>
          <w:szCs w:val="21"/>
        </w:rPr>
      </w:pPr>
      <w:r>
        <w:rPr>
          <w:rFonts w:hint="eastAsia" w:ascii="仿宋" w:hAnsi="仿宋" w:eastAsia="仿宋" w:cs="仿宋"/>
          <w:szCs w:val="21"/>
        </w:rPr>
        <w:t xml:space="preserve">    1.</w:t>
      </w:r>
    </w:p>
    <w:p>
      <w:pPr>
        <w:spacing w:line="440" w:lineRule="exact"/>
        <w:rPr>
          <w:rFonts w:hint="eastAsia" w:ascii="仿宋" w:hAnsi="仿宋" w:eastAsia="仿宋" w:cs="仿宋"/>
          <w:szCs w:val="21"/>
        </w:rPr>
      </w:pPr>
      <w:r>
        <w:rPr>
          <w:rFonts w:hint="eastAsia" w:ascii="仿宋" w:hAnsi="仿宋" w:eastAsia="仿宋" w:cs="仿宋"/>
          <w:szCs w:val="21"/>
        </w:rPr>
        <w:t xml:space="preserve">    2.</w:t>
      </w:r>
    </w:p>
    <w:p>
      <w:pPr>
        <w:spacing w:line="440" w:lineRule="exact"/>
        <w:rPr>
          <w:rFonts w:hint="eastAsia" w:ascii="仿宋" w:hAnsi="仿宋" w:eastAsia="仿宋" w:cs="仿宋"/>
          <w:szCs w:val="21"/>
        </w:rPr>
      </w:pPr>
      <w:r>
        <w:rPr>
          <w:rFonts w:hint="eastAsia" w:ascii="仿宋" w:hAnsi="仿宋" w:eastAsia="仿宋" w:cs="仿宋"/>
          <w:szCs w:val="21"/>
        </w:rPr>
        <w:t xml:space="preserve">     ......   </w:t>
      </w:r>
    </w:p>
    <w:p>
      <w:pPr>
        <w:spacing w:line="440" w:lineRule="exact"/>
        <w:rPr>
          <w:rFonts w:hint="eastAsia" w:ascii="仿宋" w:hAnsi="仿宋" w:eastAsia="仿宋" w:cs="仿宋"/>
          <w:szCs w:val="21"/>
        </w:rPr>
      </w:pPr>
      <w:r>
        <w:rPr>
          <w:rFonts w:hint="eastAsia" w:ascii="仿宋" w:hAnsi="仿宋" w:eastAsia="仿宋" w:cs="仿宋"/>
          <w:szCs w:val="21"/>
        </w:rPr>
        <w:t>　　　</w:t>
      </w:r>
    </w:p>
    <w:p>
      <w:pPr>
        <w:spacing w:line="440" w:lineRule="exact"/>
        <w:rPr>
          <w:rFonts w:hint="eastAsia" w:ascii="仿宋" w:hAnsi="仿宋" w:eastAsia="仿宋" w:cs="仿宋"/>
          <w:szCs w:val="21"/>
        </w:rPr>
      </w:pPr>
      <w:r>
        <w:rPr>
          <w:rFonts w:hint="eastAsia" w:ascii="仿宋" w:hAnsi="仿宋" w:eastAsia="仿宋" w:cs="仿宋"/>
          <w:szCs w:val="21"/>
        </w:rPr>
        <w:t>　　请将上述问题的澄清于</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r>
        <w:rPr>
          <w:rFonts w:hint="eastAsia" w:ascii="仿宋" w:hAnsi="仿宋" w:eastAsia="仿宋" w:cs="仿宋"/>
          <w:szCs w:val="21"/>
          <w:u w:val="single"/>
        </w:rPr>
        <w:t xml:space="preserve">     </w:t>
      </w:r>
      <w:r>
        <w:rPr>
          <w:rFonts w:hint="eastAsia" w:ascii="仿宋" w:hAnsi="仿宋" w:eastAsia="仿宋" w:cs="仿宋"/>
          <w:szCs w:val="21"/>
        </w:rPr>
        <w:t>时前递交至</w:t>
      </w:r>
      <w:r>
        <w:rPr>
          <w:rFonts w:hint="eastAsia" w:ascii="仿宋" w:hAnsi="仿宋" w:eastAsia="仿宋" w:cs="仿宋"/>
          <w:szCs w:val="21"/>
          <w:u w:val="single"/>
        </w:rPr>
        <w:t xml:space="preserve">         </w:t>
      </w:r>
      <w:r>
        <w:rPr>
          <w:rFonts w:hint="eastAsia" w:ascii="仿宋" w:hAnsi="仿宋" w:eastAsia="仿宋" w:cs="仿宋"/>
          <w:szCs w:val="21"/>
        </w:rPr>
        <w:t>（详细地址）。</w:t>
      </w: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r>
        <w:rPr>
          <w:rFonts w:hint="eastAsia" w:ascii="仿宋" w:hAnsi="仿宋" w:eastAsia="仿宋" w:cs="仿宋"/>
          <w:szCs w:val="21"/>
        </w:rPr>
        <w:t xml:space="preserve">                               评标工作组负责人：</w:t>
      </w:r>
      <w:r>
        <w:rPr>
          <w:rFonts w:hint="eastAsia" w:ascii="仿宋" w:hAnsi="仿宋" w:eastAsia="仿宋" w:cs="仿宋"/>
          <w:szCs w:val="21"/>
          <w:u w:val="single"/>
        </w:rPr>
        <w:t xml:space="preserve">           </w:t>
      </w:r>
      <w:r>
        <w:rPr>
          <w:rFonts w:hint="eastAsia" w:ascii="仿宋" w:hAnsi="仿宋" w:eastAsia="仿宋" w:cs="仿宋"/>
          <w:szCs w:val="21"/>
        </w:rPr>
        <w:t>（签字）</w:t>
      </w:r>
    </w:p>
    <w:p>
      <w:pPr>
        <w:spacing w:line="440" w:lineRule="exact"/>
        <w:rPr>
          <w:rFonts w:hint="eastAsia" w:ascii="仿宋" w:hAnsi="仿宋" w:eastAsia="仿宋" w:cs="仿宋"/>
          <w:szCs w:val="21"/>
        </w:rPr>
      </w:pPr>
      <w:r>
        <w:rPr>
          <w:rFonts w:hint="eastAsia" w:ascii="仿宋" w:hAnsi="仿宋" w:eastAsia="仿宋" w:cs="仿宋"/>
          <w:szCs w:val="21"/>
        </w:rPr>
        <w:t xml:space="preserve">                                          </w:t>
      </w:r>
    </w:p>
    <w:p>
      <w:pPr>
        <w:spacing w:line="44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年 </w:t>
      </w:r>
      <w:r>
        <w:rPr>
          <w:rFonts w:hint="eastAsia" w:ascii="仿宋" w:hAnsi="仿宋" w:eastAsia="仿宋" w:cs="仿宋"/>
          <w:szCs w:val="21"/>
          <w:u w:val="single"/>
        </w:rPr>
        <w:t xml:space="preserve">        </w:t>
      </w:r>
      <w:r>
        <w:rPr>
          <w:rFonts w:hint="eastAsia" w:ascii="仿宋" w:hAnsi="仿宋" w:eastAsia="仿宋" w:cs="仿宋"/>
          <w:szCs w:val="21"/>
        </w:rPr>
        <w:t xml:space="preserve">月 </w:t>
      </w:r>
      <w:r>
        <w:rPr>
          <w:rFonts w:hint="eastAsia" w:ascii="仿宋" w:hAnsi="仿宋" w:eastAsia="仿宋" w:cs="仿宋"/>
          <w:szCs w:val="21"/>
          <w:u w:val="single"/>
        </w:rPr>
        <w:t xml:space="preserve">        </w:t>
      </w:r>
      <w:r>
        <w:rPr>
          <w:rFonts w:hint="eastAsia" w:ascii="仿宋" w:hAnsi="仿宋" w:eastAsia="仿宋" w:cs="仿宋"/>
          <w:szCs w:val="21"/>
        </w:rPr>
        <w:t>日</w:t>
      </w:r>
    </w:p>
    <w:p>
      <w:pPr>
        <w:spacing w:line="400" w:lineRule="exact"/>
        <w:rPr>
          <w:rFonts w:hint="eastAsia" w:ascii="仿宋" w:hAnsi="仿宋" w:eastAsia="仿宋" w:cs="仿宋"/>
        </w:rPr>
      </w:pPr>
    </w:p>
    <w:p>
      <w:pPr>
        <w:spacing w:line="400" w:lineRule="exact"/>
        <w:rPr>
          <w:rFonts w:hint="eastAsia" w:ascii="仿宋" w:hAnsi="仿宋" w:eastAsia="仿宋" w:cs="仿宋"/>
        </w:rPr>
      </w:pPr>
    </w:p>
    <w:p>
      <w:pPr>
        <w:spacing w:line="400" w:lineRule="exact"/>
        <w:rPr>
          <w:rFonts w:hint="eastAsia" w:ascii="仿宋" w:hAnsi="仿宋" w:eastAsia="仿宋" w:cs="仿宋"/>
        </w:rPr>
      </w:pPr>
    </w:p>
    <w:p>
      <w:pPr>
        <w:spacing w:line="400" w:lineRule="exact"/>
        <w:rPr>
          <w:rFonts w:hint="eastAsia" w:ascii="仿宋" w:hAnsi="仿宋" w:eastAsia="仿宋" w:cs="仿宋"/>
        </w:rPr>
      </w:pPr>
    </w:p>
    <w:p>
      <w:pPr>
        <w:spacing w:line="400" w:lineRule="exact"/>
        <w:rPr>
          <w:rFonts w:hint="eastAsia" w:ascii="仿宋" w:hAnsi="仿宋" w:eastAsia="仿宋" w:cs="仿宋"/>
        </w:rPr>
      </w:pPr>
    </w:p>
    <w:p>
      <w:pPr>
        <w:spacing w:line="400" w:lineRule="exact"/>
        <w:rPr>
          <w:rFonts w:hint="eastAsia" w:ascii="仿宋" w:hAnsi="仿宋" w:eastAsia="仿宋" w:cs="仿宋"/>
        </w:rPr>
      </w:pPr>
    </w:p>
    <w:p>
      <w:pPr>
        <w:spacing w:line="400" w:lineRule="exact"/>
        <w:rPr>
          <w:rFonts w:hint="eastAsia" w:ascii="仿宋" w:hAnsi="仿宋" w:eastAsia="仿宋" w:cs="仿宋"/>
        </w:rPr>
      </w:pPr>
    </w:p>
    <w:p>
      <w:pPr>
        <w:spacing w:line="400" w:lineRule="exact"/>
        <w:rPr>
          <w:rFonts w:hint="eastAsia" w:ascii="仿宋" w:hAnsi="仿宋" w:eastAsia="仿宋" w:cs="仿宋"/>
        </w:rPr>
      </w:pPr>
    </w:p>
    <w:p>
      <w:pPr>
        <w:spacing w:line="400" w:lineRule="exact"/>
        <w:rPr>
          <w:rFonts w:hint="eastAsia" w:ascii="仿宋" w:hAnsi="仿宋" w:eastAsia="仿宋" w:cs="仿宋"/>
        </w:rPr>
      </w:pPr>
    </w:p>
    <w:p>
      <w:pPr>
        <w:spacing w:line="400" w:lineRule="exact"/>
        <w:rPr>
          <w:rFonts w:hint="eastAsia" w:ascii="仿宋" w:hAnsi="仿宋" w:eastAsia="仿宋" w:cs="仿宋"/>
        </w:rPr>
      </w:pPr>
    </w:p>
    <w:p>
      <w:pPr>
        <w:pStyle w:val="22"/>
        <w:rPr>
          <w:rFonts w:hint="eastAsia" w:ascii="仿宋" w:hAnsi="仿宋" w:eastAsia="仿宋" w:cs="仿宋"/>
        </w:rPr>
      </w:pPr>
    </w:p>
    <w:p>
      <w:pPr>
        <w:spacing w:line="400" w:lineRule="exact"/>
        <w:rPr>
          <w:rFonts w:hint="eastAsia" w:ascii="仿宋" w:hAnsi="仿宋" w:eastAsia="仿宋" w:cs="仿宋"/>
        </w:rPr>
      </w:pPr>
    </w:p>
    <w:p>
      <w:pPr>
        <w:pStyle w:val="102"/>
        <w:outlineLvl w:val="1"/>
        <w:rPr>
          <w:rFonts w:hint="eastAsia" w:ascii="仿宋" w:hAnsi="仿宋" w:eastAsia="仿宋" w:cs="仿宋"/>
        </w:rPr>
      </w:pPr>
      <w:bookmarkStart w:id="324" w:name="_Toc152042360"/>
      <w:bookmarkStart w:id="325" w:name="_Toc152045583"/>
      <w:bookmarkStart w:id="326" w:name="_Toc20901"/>
      <w:bookmarkStart w:id="327" w:name="_Toc8423583"/>
      <w:bookmarkStart w:id="328" w:name="_Toc144974550"/>
      <w:r>
        <w:rPr>
          <w:rFonts w:hint="eastAsia" w:ascii="仿宋" w:hAnsi="仿宋" w:eastAsia="仿宋" w:cs="仿宋"/>
        </w:rPr>
        <w:t>附表二：问题的澄清</w:t>
      </w:r>
      <w:bookmarkEnd w:id="324"/>
      <w:bookmarkEnd w:id="325"/>
      <w:bookmarkEnd w:id="326"/>
      <w:bookmarkEnd w:id="327"/>
      <w:bookmarkEnd w:id="328"/>
    </w:p>
    <w:p>
      <w:pPr>
        <w:spacing w:line="400" w:lineRule="exact"/>
        <w:jc w:val="center"/>
        <w:rPr>
          <w:rFonts w:hint="eastAsia" w:ascii="仿宋" w:hAnsi="仿宋" w:eastAsia="仿宋" w:cs="仿宋"/>
          <w:sz w:val="28"/>
          <w:szCs w:val="28"/>
        </w:rPr>
      </w:pPr>
    </w:p>
    <w:p>
      <w:pPr>
        <w:spacing w:line="400" w:lineRule="exact"/>
        <w:jc w:val="center"/>
        <w:rPr>
          <w:rFonts w:hint="eastAsia" w:ascii="仿宋" w:hAnsi="仿宋" w:eastAsia="仿宋" w:cs="仿宋"/>
          <w:sz w:val="28"/>
          <w:szCs w:val="28"/>
        </w:rPr>
      </w:pPr>
      <w:r>
        <w:rPr>
          <w:rFonts w:hint="eastAsia" w:ascii="仿宋" w:hAnsi="仿宋" w:eastAsia="仿宋" w:cs="仿宋"/>
          <w:sz w:val="28"/>
          <w:szCs w:val="28"/>
        </w:rPr>
        <w:t>问题的澄清</w:t>
      </w:r>
    </w:p>
    <w:p>
      <w:pPr>
        <w:spacing w:line="400" w:lineRule="exact"/>
        <w:ind w:firstLine="3465" w:firstLineChars="1650"/>
        <w:rPr>
          <w:rFonts w:hint="eastAsia" w:ascii="仿宋" w:hAnsi="仿宋" w:eastAsia="仿宋" w:cs="仿宋"/>
        </w:rPr>
      </w:pPr>
      <w:r>
        <w:rPr>
          <w:rFonts w:hint="eastAsia" w:ascii="仿宋" w:hAnsi="仿宋" w:eastAsia="仿宋" w:cs="仿宋"/>
        </w:rPr>
        <w:t xml:space="preserve">编号： </w:t>
      </w:r>
    </w:p>
    <w:p>
      <w:pPr>
        <w:spacing w:line="400" w:lineRule="exact"/>
        <w:rPr>
          <w:rFonts w:hint="eastAsia" w:ascii="仿宋" w:hAnsi="仿宋" w:eastAsia="仿宋" w:cs="仿宋"/>
          <w:szCs w:val="21"/>
        </w:rPr>
      </w:pPr>
    </w:p>
    <w:p>
      <w:pPr>
        <w:spacing w:line="440" w:lineRule="exact"/>
        <w:rPr>
          <w:rFonts w:hint="eastAsia" w:ascii="仿宋" w:hAnsi="仿宋" w:eastAsia="仿宋" w:cs="仿宋"/>
          <w:szCs w:val="21"/>
        </w:rPr>
      </w:pPr>
      <w:r>
        <w:rPr>
          <w:rFonts w:hint="eastAsia" w:ascii="仿宋" w:hAnsi="仿宋" w:eastAsia="仿宋" w:cs="仿宋"/>
          <w:szCs w:val="21"/>
          <w:u w:val="single"/>
        </w:rPr>
        <w:t xml:space="preserve">                  （</w:t>
      </w:r>
      <w:r>
        <w:rPr>
          <w:rFonts w:hint="eastAsia" w:ascii="仿宋" w:hAnsi="仿宋" w:eastAsia="仿宋" w:cs="仿宋"/>
          <w:szCs w:val="21"/>
        </w:rPr>
        <w:t>项目名称）施工招标评标委员会：</w:t>
      </w: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r>
        <w:rPr>
          <w:rFonts w:hint="eastAsia" w:ascii="仿宋" w:hAnsi="仿宋" w:eastAsia="仿宋" w:cs="仿宋"/>
          <w:szCs w:val="21"/>
        </w:rPr>
        <w:t>　　问题澄清通知（编号：</w:t>
      </w:r>
      <w:r>
        <w:rPr>
          <w:rFonts w:hint="eastAsia" w:ascii="仿宋" w:hAnsi="仿宋" w:eastAsia="仿宋" w:cs="仿宋"/>
          <w:szCs w:val="21"/>
          <w:u w:val="single"/>
        </w:rPr>
        <w:t xml:space="preserve">        </w:t>
      </w:r>
      <w:r>
        <w:rPr>
          <w:rFonts w:hint="eastAsia" w:ascii="仿宋" w:hAnsi="仿宋" w:eastAsia="仿宋" w:cs="仿宋"/>
          <w:szCs w:val="21"/>
        </w:rPr>
        <w:t>）已收悉，现澄清如下：</w:t>
      </w:r>
    </w:p>
    <w:p>
      <w:pPr>
        <w:spacing w:line="440" w:lineRule="exact"/>
        <w:rPr>
          <w:rFonts w:hint="eastAsia" w:ascii="仿宋" w:hAnsi="仿宋" w:eastAsia="仿宋" w:cs="仿宋"/>
          <w:szCs w:val="21"/>
        </w:rPr>
      </w:pPr>
      <w:r>
        <w:rPr>
          <w:rFonts w:hint="eastAsia" w:ascii="仿宋" w:hAnsi="仿宋" w:eastAsia="仿宋" w:cs="仿宋"/>
          <w:szCs w:val="21"/>
        </w:rPr>
        <w:t>　     1、</w:t>
      </w:r>
    </w:p>
    <w:p>
      <w:pPr>
        <w:spacing w:line="440" w:lineRule="exact"/>
        <w:rPr>
          <w:rFonts w:hint="eastAsia" w:ascii="仿宋" w:hAnsi="仿宋" w:eastAsia="仿宋" w:cs="仿宋"/>
          <w:szCs w:val="21"/>
        </w:rPr>
      </w:pPr>
      <w:r>
        <w:rPr>
          <w:rFonts w:hint="eastAsia" w:ascii="仿宋" w:hAnsi="仿宋" w:eastAsia="仿宋" w:cs="仿宋"/>
          <w:szCs w:val="21"/>
        </w:rPr>
        <w:t>　     2、</w:t>
      </w:r>
    </w:p>
    <w:p>
      <w:pPr>
        <w:spacing w:line="440" w:lineRule="exact"/>
        <w:rPr>
          <w:rFonts w:hint="eastAsia" w:ascii="仿宋" w:hAnsi="仿宋" w:eastAsia="仿宋" w:cs="仿宋"/>
          <w:szCs w:val="21"/>
        </w:rPr>
      </w:pPr>
      <w:r>
        <w:rPr>
          <w:rFonts w:hint="eastAsia" w:ascii="仿宋" w:hAnsi="仿宋" w:eastAsia="仿宋" w:cs="仿宋"/>
          <w:szCs w:val="21"/>
        </w:rPr>
        <w:t xml:space="preserve">　   </w:t>
      </w:r>
    </w:p>
    <w:p>
      <w:pPr>
        <w:spacing w:line="440" w:lineRule="exact"/>
        <w:rPr>
          <w:rFonts w:hint="eastAsia" w:ascii="仿宋" w:hAnsi="仿宋" w:eastAsia="仿宋" w:cs="仿宋"/>
          <w:szCs w:val="21"/>
        </w:rPr>
      </w:pPr>
      <w:r>
        <w:rPr>
          <w:rFonts w:hint="eastAsia" w:ascii="仿宋" w:hAnsi="仿宋" w:eastAsia="仿宋" w:cs="仿宋"/>
          <w:szCs w:val="21"/>
        </w:rPr>
        <w:t>　    .....</w:t>
      </w:r>
    </w:p>
    <w:p>
      <w:pPr>
        <w:spacing w:line="440" w:lineRule="exact"/>
        <w:rPr>
          <w:rFonts w:hint="eastAsia" w:ascii="仿宋" w:hAnsi="仿宋" w:eastAsia="仿宋" w:cs="仿宋"/>
          <w:szCs w:val="21"/>
        </w:rPr>
      </w:pPr>
      <w:r>
        <w:rPr>
          <w:rFonts w:hint="eastAsia" w:ascii="仿宋" w:hAnsi="仿宋" w:eastAsia="仿宋" w:cs="仿宋"/>
          <w:szCs w:val="21"/>
        </w:rPr>
        <w:t xml:space="preserve">                       </w:t>
      </w:r>
    </w:p>
    <w:p>
      <w:pPr>
        <w:spacing w:line="440" w:lineRule="exact"/>
        <w:rPr>
          <w:rFonts w:hint="eastAsia" w:ascii="仿宋" w:hAnsi="仿宋" w:eastAsia="仿宋" w:cs="仿宋"/>
          <w:szCs w:val="21"/>
        </w:rPr>
      </w:pPr>
      <w:r>
        <w:rPr>
          <w:rFonts w:hint="eastAsia" w:ascii="仿宋" w:hAnsi="仿宋" w:eastAsia="仿宋" w:cs="仿宋"/>
          <w:szCs w:val="21"/>
        </w:rPr>
        <w:t xml:space="preserve">　 </w:t>
      </w: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r>
        <w:rPr>
          <w:rFonts w:hint="eastAsia" w:ascii="仿宋" w:hAnsi="仿宋" w:eastAsia="仿宋" w:cs="仿宋"/>
          <w:szCs w:val="21"/>
        </w:rPr>
        <w:t>　　　　　　　　　　　　　　　投标人：</w:t>
      </w:r>
      <w:r>
        <w:rPr>
          <w:rFonts w:hint="eastAsia" w:ascii="仿宋" w:hAnsi="仿宋" w:eastAsia="仿宋" w:cs="仿宋"/>
          <w:szCs w:val="21"/>
          <w:u w:val="single"/>
        </w:rPr>
        <w:t xml:space="preserve">                        </w:t>
      </w:r>
      <w:r>
        <w:rPr>
          <w:rFonts w:hint="eastAsia" w:ascii="仿宋" w:hAnsi="仿宋" w:eastAsia="仿宋" w:cs="仿宋"/>
          <w:szCs w:val="21"/>
        </w:rPr>
        <w:t>（盖单位章）</w:t>
      </w:r>
    </w:p>
    <w:p>
      <w:pPr>
        <w:spacing w:line="440" w:lineRule="exact"/>
        <w:rPr>
          <w:rFonts w:hint="eastAsia" w:ascii="仿宋" w:hAnsi="仿宋" w:eastAsia="仿宋" w:cs="仿宋"/>
          <w:szCs w:val="21"/>
        </w:rPr>
      </w:pPr>
      <w:r>
        <w:rPr>
          <w:rFonts w:hint="eastAsia" w:ascii="仿宋" w:hAnsi="仿宋" w:eastAsia="仿宋" w:cs="仿宋"/>
          <w:szCs w:val="21"/>
        </w:rPr>
        <w:t>　　　　　　　　　　　　　　　</w:t>
      </w:r>
    </w:p>
    <w:p>
      <w:pPr>
        <w:spacing w:line="440" w:lineRule="exact"/>
        <w:rPr>
          <w:rFonts w:hint="eastAsia" w:ascii="仿宋" w:hAnsi="仿宋" w:eastAsia="仿宋" w:cs="仿宋"/>
          <w:szCs w:val="21"/>
        </w:rPr>
      </w:pPr>
      <w:r>
        <w:rPr>
          <w:rFonts w:hint="eastAsia" w:ascii="仿宋" w:hAnsi="仿宋" w:eastAsia="仿宋" w:cs="仿宋"/>
          <w:szCs w:val="21"/>
        </w:rPr>
        <w:t>　　　　　　　　　　　　　　　法定代表人或其委托代理人：</w:t>
      </w:r>
      <w:r>
        <w:rPr>
          <w:rFonts w:hint="eastAsia" w:ascii="仿宋" w:hAnsi="仿宋" w:eastAsia="仿宋" w:cs="仿宋"/>
          <w:szCs w:val="21"/>
          <w:u w:val="single"/>
        </w:rPr>
        <w:t xml:space="preserve">          </w:t>
      </w:r>
      <w:r>
        <w:rPr>
          <w:rFonts w:hint="eastAsia" w:ascii="仿宋" w:hAnsi="仿宋" w:eastAsia="仿宋" w:cs="仿宋"/>
          <w:szCs w:val="21"/>
        </w:rPr>
        <w:t>（签字）</w:t>
      </w:r>
    </w:p>
    <w:p>
      <w:pPr>
        <w:spacing w:line="440" w:lineRule="exact"/>
        <w:rPr>
          <w:rFonts w:hint="eastAsia" w:ascii="仿宋" w:hAnsi="仿宋" w:eastAsia="仿宋" w:cs="仿宋"/>
          <w:szCs w:val="21"/>
        </w:rPr>
      </w:pPr>
      <w:r>
        <w:rPr>
          <w:rFonts w:hint="eastAsia" w:ascii="仿宋" w:hAnsi="仿宋" w:eastAsia="仿宋" w:cs="仿宋"/>
          <w:szCs w:val="21"/>
        </w:rPr>
        <w:t>　　　　　　　　　　　　　　　</w:t>
      </w:r>
    </w:p>
    <w:p>
      <w:pPr>
        <w:spacing w:line="44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spacing w:line="400" w:lineRule="exact"/>
        <w:rPr>
          <w:rFonts w:hint="eastAsia" w:ascii="仿宋" w:hAnsi="仿宋" w:eastAsia="仿宋" w:cs="仿宋"/>
        </w:rPr>
      </w:pPr>
    </w:p>
    <w:p>
      <w:pPr>
        <w:spacing w:line="400" w:lineRule="exact"/>
        <w:rPr>
          <w:rFonts w:hint="eastAsia" w:ascii="仿宋" w:hAnsi="仿宋" w:eastAsia="仿宋" w:cs="仿宋"/>
        </w:rPr>
      </w:pPr>
    </w:p>
    <w:p>
      <w:pPr>
        <w:spacing w:line="400" w:lineRule="exact"/>
        <w:rPr>
          <w:rFonts w:hint="eastAsia" w:ascii="仿宋" w:hAnsi="仿宋" w:eastAsia="仿宋" w:cs="仿宋"/>
        </w:rPr>
      </w:pPr>
    </w:p>
    <w:p>
      <w:pPr>
        <w:spacing w:line="400" w:lineRule="exact"/>
        <w:rPr>
          <w:rFonts w:hint="eastAsia" w:ascii="仿宋" w:hAnsi="仿宋" w:eastAsia="仿宋" w:cs="仿宋"/>
        </w:rPr>
      </w:pPr>
    </w:p>
    <w:p>
      <w:pPr>
        <w:pStyle w:val="95"/>
        <w:rPr>
          <w:rFonts w:hint="eastAsia" w:ascii="仿宋" w:hAnsi="仿宋" w:eastAsia="仿宋" w:cs="仿宋"/>
        </w:rPr>
      </w:pPr>
    </w:p>
    <w:p>
      <w:pPr>
        <w:pStyle w:val="95"/>
        <w:rPr>
          <w:rFonts w:hint="eastAsia" w:ascii="仿宋" w:hAnsi="仿宋" w:eastAsia="仿宋" w:cs="仿宋"/>
        </w:rPr>
      </w:pPr>
    </w:p>
    <w:p>
      <w:pPr>
        <w:rPr>
          <w:rFonts w:hint="eastAsia" w:ascii="仿宋" w:hAnsi="仿宋" w:eastAsia="仿宋" w:cs="仿宋"/>
        </w:rPr>
      </w:pPr>
    </w:p>
    <w:p>
      <w:pPr>
        <w:pStyle w:val="95"/>
        <w:ind w:left="0" w:leftChars="0" w:firstLine="0" w:firstLineChars="0"/>
        <w:rPr>
          <w:rFonts w:hint="eastAsia" w:ascii="仿宋" w:hAnsi="仿宋" w:eastAsia="仿宋" w:cs="仿宋"/>
          <w:b/>
          <w:bCs/>
          <w:sz w:val="32"/>
        </w:rPr>
      </w:pPr>
    </w:p>
    <w:p>
      <w:pPr>
        <w:pStyle w:val="2"/>
        <w:keepNext w:val="0"/>
        <w:keepLines w:val="0"/>
        <w:spacing w:before="120" w:after="120" w:line="400" w:lineRule="exact"/>
        <w:jc w:val="center"/>
        <w:rPr>
          <w:rFonts w:hint="eastAsia" w:ascii="仿宋" w:hAnsi="仿宋" w:eastAsia="仿宋" w:cs="仿宋"/>
          <w:b w:val="0"/>
          <w:bCs w:val="0"/>
          <w:sz w:val="32"/>
        </w:rPr>
      </w:pPr>
    </w:p>
    <w:p>
      <w:pPr>
        <w:pStyle w:val="2"/>
        <w:keepNext w:val="0"/>
        <w:keepLines w:val="0"/>
        <w:spacing w:before="120" w:after="120" w:line="400" w:lineRule="exact"/>
        <w:ind w:firstLine="0" w:firstLineChars="0"/>
        <w:jc w:val="center"/>
        <w:rPr>
          <w:rFonts w:hint="eastAsia" w:ascii="仿宋" w:hAnsi="仿宋" w:eastAsia="仿宋" w:cs="仿宋"/>
          <w:b/>
          <w:bCs/>
          <w:sz w:val="32"/>
        </w:rPr>
      </w:pPr>
      <w:r>
        <w:rPr>
          <w:rFonts w:hint="eastAsia" w:ascii="仿宋" w:hAnsi="仿宋" w:eastAsia="仿宋" w:cs="仿宋"/>
          <w:b/>
          <w:bCs/>
          <w:sz w:val="32"/>
        </w:rPr>
        <w:t>第三章 评标办法（定量评审）</w:t>
      </w:r>
      <w:bookmarkEnd w:id="320"/>
      <w:bookmarkEnd w:id="321"/>
      <w:bookmarkEnd w:id="322"/>
      <w:bookmarkEnd w:id="323"/>
    </w:p>
    <w:p>
      <w:pPr>
        <w:pStyle w:val="3"/>
        <w:spacing w:line="240" w:lineRule="auto"/>
        <w:ind w:firstLine="0" w:firstLineChars="0"/>
        <w:jc w:val="center"/>
        <w:rPr>
          <w:rFonts w:hint="eastAsia" w:ascii="仿宋" w:hAnsi="仿宋" w:eastAsia="仿宋" w:cs="仿宋"/>
          <w:sz w:val="24"/>
          <w:szCs w:val="21"/>
        </w:rPr>
      </w:pPr>
      <w:bookmarkStart w:id="329" w:name="_Toc13384"/>
      <w:bookmarkStart w:id="330" w:name="_Toc152042376"/>
      <w:bookmarkStart w:id="331" w:name="_Toc20899"/>
      <w:bookmarkStart w:id="332" w:name="_Toc144974566"/>
      <w:bookmarkStart w:id="333" w:name="_Toc152045599"/>
      <w:r>
        <w:rPr>
          <w:rFonts w:hint="eastAsia" w:ascii="仿宋" w:hAnsi="仿宋" w:eastAsia="仿宋" w:cs="仿宋"/>
          <w:sz w:val="24"/>
          <w:szCs w:val="21"/>
        </w:rPr>
        <w:t>评标办法前附表</w:t>
      </w:r>
      <w:bookmarkEnd w:id="329"/>
      <w:bookmarkEnd w:id="330"/>
      <w:bookmarkEnd w:id="331"/>
      <w:bookmarkEnd w:id="332"/>
      <w:bookmarkEnd w:id="333"/>
    </w:p>
    <w:tbl>
      <w:tblPr>
        <w:tblStyle w:val="41"/>
        <w:tblW w:w="98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4"/>
        <w:gridCol w:w="1095"/>
        <w:gridCol w:w="1800"/>
        <w:gridCol w:w="622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59" w:type="dxa"/>
            <w:gridSpan w:val="2"/>
            <w:tcBorders>
              <w:top w:val="single" w:color="auto" w:sz="4" w:space="0"/>
              <w:bottom w:val="single" w:color="auto" w:sz="4" w:space="0"/>
              <w:right w:val="single" w:color="auto" w:sz="4" w:space="0"/>
            </w:tcBorders>
            <w:vAlign w:val="center"/>
          </w:tcPr>
          <w:p>
            <w:pPr>
              <w:jc w:val="center"/>
              <w:rPr>
                <w:b/>
                <w:bCs/>
              </w:rPr>
            </w:pPr>
            <w:r>
              <w:rPr>
                <w:rFonts w:hint="eastAsia"/>
                <w:b/>
                <w:bCs/>
              </w:rPr>
              <w:t>条款号</w:t>
            </w:r>
          </w:p>
        </w:tc>
        <w:tc>
          <w:tcPr>
            <w:tcW w:w="1800" w:type="dxa"/>
            <w:tcBorders>
              <w:top w:val="single" w:color="auto" w:sz="4" w:space="0"/>
              <w:left w:val="single" w:color="auto" w:sz="4" w:space="0"/>
              <w:bottom w:val="single" w:color="auto" w:sz="4" w:space="0"/>
              <w:right w:val="single" w:color="auto" w:sz="4" w:space="0"/>
            </w:tcBorders>
            <w:vAlign w:val="center"/>
          </w:tcPr>
          <w:p>
            <w:pPr>
              <w:jc w:val="center"/>
              <w:rPr>
                <w:b/>
                <w:bCs/>
              </w:rPr>
            </w:pPr>
            <w:r>
              <w:rPr>
                <w:rFonts w:hint="eastAsia"/>
                <w:b/>
                <w:bCs/>
              </w:rPr>
              <w:t>评审因素</w:t>
            </w:r>
          </w:p>
        </w:tc>
        <w:tc>
          <w:tcPr>
            <w:tcW w:w="6222" w:type="dxa"/>
            <w:tcBorders>
              <w:top w:val="single" w:color="auto" w:sz="4" w:space="0"/>
              <w:left w:val="single" w:color="auto" w:sz="4" w:space="0"/>
              <w:bottom w:val="single" w:color="auto" w:sz="4" w:space="0"/>
              <w:right w:val="single" w:color="auto" w:sz="4" w:space="0"/>
            </w:tcBorders>
            <w:vAlign w:val="center"/>
          </w:tcPr>
          <w:p>
            <w:pPr>
              <w:jc w:val="center"/>
              <w:rPr>
                <w:b/>
                <w:bCs/>
              </w:rPr>
            </w:pPr>
            <w:r>
              <w:rPr>
                <w:rFonts w:hint="eastAsia"/>
                <w:b/>
                <w:bCs/>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7" w:hRule="atLeast"/>
          <w:jc w:val="center"/>
        </w:trPr>
        <w:tc>
          <w:tcPr>
            <w:tcW w:w="764" w:type="dxa"/>
            <w:tcBorders>
              <w:top w:val="single" w:color="auto" w:sz="4" w:space="0"/>
              <w:bottom w:val="single" w:color="auto" w:sz="4" w:space="0"/>
              <w:right w:val="single" w:color="auto" w:sz="4" w:space="0"/>
            </w:tcBorders>
            <w:vAlign w:val="center"/>
          </w:tcPr>
          <w:p>
            <w:pPr>
              <w:ind w:left="0" w:leftChars="0" w:firstLine="0" w:firstLineChars="0"/>
              <w:jc w:val="center"/>
            </w:pPr>
            <w:r>
              <w:rPr>
                <w:rFonts w:hint="eastAsia"/>
              </w:rPr>
              <w:t>1</w:t>
            </w:r>
          </w:p>
        </w:tc>
        <w:tc>
          <w:tcPr>
            <w:tcW w:w="1095" w:type="dxa"/>
            <w:tcBorders>
              <w:top w:val="single" w:color="auto" w:sz="4" w:space="0"/>
              <w:bottom w:val="single" w:color="auto" w:sz="4" w:space="0"/>
              <w:right w:val="single" w:color="auto" w:sz="4" w:space="0"/>
            </w:tcBorders>
            <w:vAlign w:val="center"/>
          </w:tcPr>
          <w:p>
            <w:pPr>
              <w:ind w:left="0" w:leftChars="0" w:firstLine="0" w:firstLineChars="0"/>
              <w:jc w:val="center"/>
            </w:pPr>
            <w:r>
              <w:rPr>
                <w:rFonts w:hint="eastAsia"/>
              </w:rPr>
              <w:t>评标方法</w:t>
            </w:r>
          </w:p>
        </w:tc>
        <w:tc>
          <w:tcPr>
            <w:tcW w:w="8022" w:type="dxa"/>
            <w:gridSpan w:val="2"/>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定量评审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8" w:hRule="exact"/>
          <w:jc w:val="center"/>
        </w:trPr>
        <w:tc>
          <w:tcPr>
            <w:tcW w:w="764" w:type="dxa"/>
            <w:vMerge w:val="restart"/>
            <w:tcBorders>
              <w:top w:val="single" w:color="auto" w:sz="4" w:space="0"/>
              <w:bottom w:val="single" w:color="auto" w:sz="4" w:space="0"/>
              <w:right w:val="single" w:color="auto" w:sz="4" w:space="0"/>
            </w:tcBorders>
            <w:vAlign w:val="center"/>
          </w:tcPr>
          <w:p>
            <w:pPr>
              <w:ind w:left="0" w:leftChars="0" w:firstLine="0" w:firstLineChars="0"/>
              <w:jc w:val="center"/>
            </w:pPr>
            <w:r>
              <w:rPr>
                <w:rFonts w:hint="eastAsia"/>
              </w:rPr>
              <w:t>2.1.1</w:t>
            </w:r>
          </w:p>
        </w:tc>
        <w:tc>
          <w:tcPr>
            <w:tcW w:w="1095" w:type="dxa"/>
            <w:vMerge w:val="restart"/>
            <w:tcBorders>
              <w:top w:val="single" w:color="auto" w:sz="4" w:space="0"/>
              <w:bottom w:val="single" w:color="auto" w:sz="4" w:space="0"/>
              <w:right w:val="single" w:color="auto" w:sz="4" w:space="0"/>
            </w:tcBorders>
            <w:vAlign w:val="center"/>
          </w:tcPr>
          <w:p>
            <w:pPr>
              <w:ind w:left="0" w:leftChars="0" w:firstLine="0" w:firstLineChars="0"/>
              <w:jc w:val="center"/>
            </w:pPr>
            <w:r>
              <w:rPr>
                <w:rFonts w:hint="eastAsia"/>
              </w:rPr>
              <w:t>符合性</w:t>
            </w:r>
          </w:p>
          <w:p>
            <w:pPr>
              <w:ind w:left="0" w:leftChars="0" w:firstLine="0" w:firstLineChars="0"/>
              <w:jc w:val="center"/>
            </w:pPr>
            <w:r>
              <w:rPr>
                <w:rFonts w:hint="eastAsia"/>
              </w:rPr>
              <w:t>评审</w:t>
            </w: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投标人名称</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rPr>
                <w:rFonts w:hint="eastAsia"/>
              </w:rPr>
            </w:pPr>
            <w:r>
              <w:rPr>
                <w:rFonts w:hint="eastAsia"/>
              </w:rPr>
              <w:t>与营业执照或事业单位登记证书、资质证书、安全生产许可证一致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6" w:hRule="exact"/>
          <w:jc w:val="center"/>
        </w:trPr>
        <w:tc>
          <w:tcPr>
            <w:tcW w:w="764" w:type="dxa"/>
            <w:vMerge w:val="continue"/>
            <w:tcBorders>
              <w:top w:val="nil"/>
              <w:bottom w:val="single" w:color="auto" w:sz="4" w:space="0"/>
              <w:right w:val="single" w:color="auto" w:sz="4" w:space="0"/>
            </w:tcBorders>
            <w:vAlign w:val="center"/>
          </w:tcPr>
          <w:p>
            <w:pPr>
              <w:jc w:val="left"/>
            </w:pPr>
          </w:p>
        </w:tc>
        <w:tc>
          <w:tcPr>
            <w:tcW w:w="1095" w:type="dxa"/>
            <w:vMerge w:val="continue"/>
            <w:tcBorders>
              <w:top w:val="nil"/>
              <w:bottom w:val="single" w:color="auto" w:sz="4" w:space="0"/>
              <w:right w:val="single" w:color="auto" w:sz="4" w:space="0"/>
            </w:tcBorders>
            <w:vAlign w:val="center"/>
          </w:tcPr>
          <w:p>
            <w:pPr>
              <w:jc w:val="center"/>
            </w:pPr>
          </w:p>
        </w:tc>
        <w:tc>
          <w:tcPr>
            <w:tcW w:w="1800" w:type="dxa"/>
            <w:tcBorders>
              <w:top w:val="single" w:color="auto" w:sz="4" w:space="0"/>
              <w:left w:val="single" w:color="auto" w:sz="4" w:space="0"/>
              <w:bottom w:val="single" w:color="auto" w:sz="4" w:space="0"/>
              <w:right w:val="single" w:color="auto" w:sz="4" w:space="0"/>
            </w:tcBorders>
            <w:vAlign w:val="center"/>
          </w:tcPr>
          <w:p>
            <w:pPr>
              <w:spacing w:line="240" w:lineRule="auto"/>
              <w:ind w:left="0" w:leftChars="0" w:firstLine="0" w:firstLineChars="0"/>
              <w:jc w:val="center"/>
            </w:pPr>
            <w:r>
              <w:rPr>
                <w:rFonts w:hint="eastAsia"/>
              </w:rPr>
              <w:t>投标</w:t>
            </w:r>
            <w:r>
              <w:rPr>
                <w:rFonts w:hint="eastAsia"/>
                <w:lang w:val="en-US" w:eastAsia="zh-CN"/>
              </w:rPr>
              <w:t>文件</w:t>
            </w:r>
            <w:r>
              <w:rPr>
                <w:rFonts w:hint="eastAsia"/>
              </w:rPr>
              <w:t>签字盖章</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符合第八章“投标文件格式”中签字盖章的要求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continue"/>
            <w:tcBorders>
              <w:top w:val="nil"/>
              <w:bottom w:val="single" w:color="auto" w:sz="4" w:space="0"/>
              <w:right w:val="single" w:color="auto" w:sz="4" w:space="0"/>
            </w:tcBorders>
            <w:vAlign w:val="center"/>
          </w:tcPr>
          <w:p>
            <w:pPr>
              <w:jc w:val="left"/>
            </w:pPr>
          </w:p>
        </w:tc>
        <w:tc>
          <w:tcPr>
            <w:tcW w:w="1095" w:type="dxa"/>
            <w:vMerge w:val="continue"/>
            <w:tcBorders>
              <w:top w:val="nil"/>
              <w:bottom w:val="single" w:color="auto" w:sz="4" w:space="0"/>
              <w:right w:val="single" w:color="auto" w:sz="4" w:space="0"/>
            </w:tcBorders>
            <w:vAlign w:val="center"/>
          </w:tcPr>
          <w:p>
            <w:pPr>
              <w:jc w:val="center"/>
            </w:p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投标文件格式</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符合第八章“投标文件格式”的要求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0" w:hRule="exact"/>
          <w:jc w:val="center"/>
        </w:trPr>
        <w:tc>
          <w:tcPr>
            <w:tcW w:w="764" w:type="dxa"/>
            <w:vMerge w:val="continue"/>
            <w:tcBorders>
              <w:top w:val="nil"/>
              <w:bottom w:val="single" w:color="auto" w:sz="4" w:space="0"/>
              <w:right w:val="single" w:color="auto" w:sz="4" w:space="0"/>
            </w:tcBorders>
            <w:vAlign w:val="center"/>
          </w:tcPr>
          <w:p>
            <w:pPr>
              <w:jc w:val="left"/>
            </w:pPr>
          </w:p>
        </w:tc>
        <w:tc>
          <w:tcPr>
            <w:tcW w:w="1095" w:type="dxa"/>
            <w:vMerge w:val="continue"/>
            <w:tcBorders>
              <w:top w:val="nil"/>
              <w:bottom w:val="single" w:color="auto" w:sz="4" w:space="0"/>
              <w:right w:val="single" w:color="auto" w:sz="4" w:space="0"/>
            </w:tcBorders>
            <w:vAlign w:val="center"/>
          </w:tcPr>
          <w:p>
            <w:pPr>
              <w:jc w:val="center"/>
            </w:p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报价唯一</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只能有一个有效报价，且各相关报价不高于“最高 投标限价（招标控制价）表”中所列各项费用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3" w:hRule="exact"/>
          <w:jc w:val="center"/>
        </w:trPr>
        <w:tc>
          <w:tcPr>
            <w:tcW w:w="764" w:type="dxa"/>
            <w:vMerge w:val="restart"/>
            <w:tcBorders>
              <w:top w:val="single" w:color="auto" w:sz="4" w:space="0"/>
              <w:right w:val="single" w:color="auto" w:sz="4" w:space="0"/>
            </w:tcBorders>
            <w:vAlign w:val="center"/>
          </w:tcPr>
          <w:p>
            <w:pPr>
              <w:ind w:left="0" w:leftChars="0" w:firstLine="0" w:firstLineChars="0"/>
              <w:jc w:val="left"/>
            </w:pPr>
            <w:r>
              <w:rPr>
                <w:rFonts w:hint="eastAsia"/>
              </w:rPr>
              <w:t>2.1.2</w:t>
            </w:r>
          </w:p>
        </w:tc>
        <w:tc>
          <w:tcPr>
            <w:tcW w:w="1095" w:type="dxa"/>
            <w:vMerge w:val="restart"/>
            <w:tcBorders>
              <w:top w:val="single" w:color="auto" w:sz="4" w:space="0"/>
              <w:right w:val="single" w:color="auto" w:sz="4" w:space="0"/>
            </w:tcBorders>
            <w:vAlign w:val="center"/>
          </w:tcPr>
          <w:p>
            <w:pPr>
              <w:ind w:left="0" w:leftChars="0" w:firstLine="0" w:firstLineChars="0"/>
              <w:jc w:val="center"/>
            </w:pPr>
            <w:r>
              <w:rPr>
                <w:rFonts w:hint="eastAsia"/>
              </w:rPr>
              <w:t>资格评审标准</w:t>
            </w: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营业执照</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符合第二章“投标人须知前附表”第1.4.1项规定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continue"/>
            <w:tcBorders>
              <w:right w:val="single" w:color="auto" w:sz="4" w:space="0"/>
            </w:tcBorders>
            <w:vAlign w:val="center"/>
          </w:tcPr>
          <w:p>
            <w:pPr>
              <w:jc w:val="left"/>
            </w:pPr>
          </w:p>
        </w:tc>
        <w:tc>
          <w:tcPr>
            <w:tcW w:w="1095" w:type="dxa"/>
            <w:vMerge w:val="continue"/>
            <w:tcBorders>
              <w:right w:val="single" w:color="auto" w:sz="4" w:space="0"/>
            </w:tcBorders>
            <w:vAlign w:val="center"/>
          </w:tcPr>
          <w:p>
            <w:pPr>
              <w:jc w:val="center"/>
            </w:pPr>
          </w:p>
        </w:tc>
        <w:tc>
          <w:tcPr>
            <w:tcW w:w="1800" w:type="dxa"/>
            <w:tcBorders>
              <w:top w:val="single" w:color="auto" w:sz="4" w:space="0"/>
              <w:left w:val="single" w:color="auto" w:sz="4" w:space="0"/>
              <w:bottom w:val="single" w:color="auto" w:sz="4" w:space="0"/>
              <w:right w:val="single" w:color="auto" w:sz="4" w:space="0"/>
            </w:tcBorders>
          </w:tcPr>
          <w:p>
            <w:pPr>
              <w:ind w:left="0" w:leftChars="0" w:firstLine="0" w:firstLineChars="0"/>
              <w:jc w:val="center"/>
            </w:pPr>
            <w:r>
              <w:rPr>
                <w:rFonts w:hint="eastAsia"/>
              </w:rPr>
              <w:t>资质证书</w:t>
            </w:r>
          </w:p>
        </w:tc>
        <w:tc>
          <w:tcPr>
            <w:tcW w:w="6222" w:type="dxa"/>
            <w:tcBorders>
              <w:top w:val="single" w:color="auto" w:sz="4" w:space="0"/>
              <w:left w:val="single" w:color="auto" w:sz="4" w:space="0"/>
              <w:bottom w:val="single" w:color="auto" w:sz="4" w:space="0"/>
              <w:right w:val="single" w:color="auto" w:sz="4" w:space="0"/>
            </w:tcBorders>
          </w:tcPr>
          <w:p>
            <w:pPr>
              <w:ind w:left="0" w:leftChars="0" w:firstLine="0" w:firstLineChars="0"/>
            </w:pPr>
            <w:r>
              <w:rPr>
                <w:rFonts w:hint="eastAsia"/>
              </w:rPr>
              <w:t>符合第二章“投标人须知前附表”第1.4.1项规定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2" w:hRule="exact"/>
          <w:jc w:val="center"/>
        </w:trPr>
        <w:tc>
          <w:tcPr>
            <w:tcW w:w="764" w:type="dxa"/>
            <w:vMerge w:val="continue"/>
            <w:tcBorders>
              <w:right w:val="single" w:color="auto" w:sz="4" w:space="0"/>
            </w:tcBorders>
            <w:vAlign w:val="center"/>
          </w:tcPr>
          <w:p>
            <w:pPr>
              <w:jc w:val="left"/>
            </w:pPr>
          </w:p>
        </w:tc>
        <w:tc>
          <w:tcPr>
            <w:tcW w:w="1095" w:type="dxa"/>
            <w:vMerge w:val="continue"/>
            <w:tcBorders>
              <w:right w:val="single" w:color="auto" w:sz="4" w:space="0"/>
            </w:tcBorders>
            <w:vAlign w:val="center"/>
          </w:tcPr>
          <w:p>
            <w:pPr>
              <w:jc w:val="center"/>
            </w:p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安全生产许可证</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符合第二章“投标人须知前附表”第1.4.1项规定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exact"/>
          <w:jc w:val="center"/>
        </w:trPr>
        <w:tc>
          <w:tcPr>
            <w:tcW w:w="764" w:type="dxa"/>
            <w:vMerge w:val="continue"/>
            <w:tcBorders>
              <w:right w:val="single" w:color="auto" w:sz="4" w:space="0"/>
            </w:tcBorders>
            <w:vAlign w:val="center"/>
          </w:tcPr>
          <w:p>
            <w:pPr>
              <w:jc w:val="left"/>
            </w:pPr>
          </w:p>
        </w:tc>
        <w:tc>
          <w:tcPr>
            <w:tcW w:w="1095" w:type="dxa"/>
            <w:vMerge w:val="continue"/>
            <w:tcBorders>
              <w:right w:val="single" w:color="auto" w:sz="4" w:space="0"/>
            </w:tcBorders>
            <w:vAlign w:val="center"/>
          </w:tcPr>
          <w:p>
            <w:pPr>
              <w:jc w:val="center"/>
            </w:p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项目经理</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符合第二章“投标人须知前附表”第1.4.1项规定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continue"/>
            <w:tcBorders>
              <w:right w:val="single" w:color="auto" w:sz="4" w:space="0"/>
            </w:tcBorders>
            <w:vAlign w:val="center"/>
          </w:tcPr>
          <w:p>
            <w:pPr>
              <w:jc w:val="left"/>
            </w:pPr>
          </w:p>
        </w:tc>
        <w:tc>
          <w:tcPr>
            <w:tcW w:w="1095" w:type="dxa"/>
            <w:vMerge w:val="continue"/>
            <w:tcBorders>
              <w:right w:val="single" w:color="auto" w:sz="4" w:space="0"/>
            </w:tcBorders>
            <w:vAlign w:val="center"/>
          </w:tcPr>
          <w:p>
            <w:pPr>
              <w:jc w:val="center"/>
            </w:p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信用承诺函</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符合第二章“投标人须知前附表”第1.4.1项规定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continue"/>
            <w:tcBorders>
              <w:bottom w:val="single" w:color="auto" w:sz="4" w:space="0"/>
              <w:right w:val="single" w:color="auto" w:sz="4" w:space="0"/>
            </w:tcBorders>
            <w:vAlign w:val="center"/>
          </w:tcPr>
          <w:p>
            <w:pPr>
              <w:jc w:val="left"/>
            </w:pPr>
          </w:p>
        </w:tc>
        <w:tc>
          <w:tcPr>
            <w:tcW w:w="1095" w:type="dxa"/>
            <w:vMerge w:val="continue"/>
            <w:tcBorders>
              <w:bottom w:val="single" w:color="auto" w:sz="4" w:space="0"/>
              <w:right w:val="single" w:color="auto" w:sz="4" w:space="0"/>
            </w:tcBorders>
            <w:vAlign w:val="center"/>
          </w:tcPr>
          <w:p>
            <w:pPr>
              <w:jc w:val="center"/>
            </w:p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其他</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符合第二章“投标人须知前附表”第1.4.1项规定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restart"/>
            <w:tcBorders>
              <w:top w:val="single" w:color="auto" w:sz="4" w:space="0"/>
              <w:right w:val="single" w:color="auto" w:sz="4" w:space="0"/>
            </w:tcBorders>
            <w:vAlign w:val="center"/>
          </w:tcPr>
          <w:p>
            <w:pPr>
              <w:ind w:left="0" w:leftChars="0" w:firstLine="0" w:firstLineChars="0"/>
              <w:jc w:val="left"/>
            </w:pPr>
            <w:r>
              <w:rPr>
                <w:rFonts w:hint="eastAsia"/>
              </w:rPr>
              <w:t>2.1.3</w:t>
            </w:r>
          </w:p>
        </w:tc>
        <w:tc>
          <w:tcPr>
            <w:tcW w:w="1095" w:type="dxa"/>
            <w:vMerge w:val="restart"/>
            <w:tcBorders>
              <w:top w:val="single" w:color="auto" w:sz="4" w:space="0"/>
              <w:right w:val="single" w:color="auto" w:sz="4" w:space="0"/>
            </w:tcBorders>
            <w:vAlign w:val="center"/>
          </w:tcPr>
          <w:p>
            <w:pPr>
              <w:ind w:left="0" w:leftChars="0" w:firstLine="0" w:firstLineChars="0"/>
              <w:jc w:val="center"/>
            </w:pPr>
            <w:r>
              <w:rPr>
                <w:rFonts w:hint="eastAsia"/>
              </w:rPr>
              <w:t>响应性</w:t>
            </w:r>
          </w:p>
          <w:p>
            <w:pPr>
              <w:ind w:left="0" w:leftChars="0" w:firstLine="0" w:firstLineChars="0"/>
              <w:jc w:val="center"/>
            </w:pPr>
            <w:r>
              <w:rPr>
                <w:rFonts w:hint="eastAsia"/>
              </w:rPr>
              <w:t>评审标准</w:t>
            </w: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投标内容</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符合第二章“投标人须知前附表”第1.3.1项规定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continue"/>
            <w:tcBorders>
              <w:right w:val="single" w:color="auto" w:sz="4" w:space="0"/>
            </w:tcBorders>
            <w:vAlign w:val="center"/>
          </w:tcPr>
          <w:p/>
        </w:tc>
        <w:tc>
          <w:tcPr>
            <w:tcW w:w="1095" w:type="dxa"/>
            <w:vMerge w:val="continue"/>
            <w:tcBorders>
              <w:right w:val="single" w:color="auto" w:sz="4" w:space="0"/>
            </w:tcBorders>
            <w:vAlign w:val="center"/>
          </w:tc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工期</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符合第二章“投标人须知前附表”第1.3.2项规定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continue"/>
            <w:tcBorders>
              <w:right w:val="single" w:color="auto" w:sz="4" w:space="0"/>
            </w:tcBorders>
            <w:vAlign w:val="center"/>
          </w:tcPr>
          <w:p/>
        </w:tc>
        <w:tc>
          <w:tcPr>
            <w:tcW w:w="1095" w:type="dxa"/>
            <w:vMerge w:val="continue"/>
            <w:tcBorders>
              <w:right w:val="single" w:color="auto" w:sz="4" w:space="0"/>
            </w:tcBorders>
            <w:vAlign w:val="center"/>
          </w:tc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质量要求</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符合第二章“投标人须知前附表”第1.3.3项规定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continue"/>
            <w:tcBorders>
              <w:right w:val="single" w:color="auto" w:sz="4" w:space="0"/>
            </w:tcBorders>
            <w:vAlign w:val="center"/>
          </w:tcPr>
          <w:p/>
        </w:tc>
        <w:tc>
          <w:tcPr>
            <w:tcW w:w="1095" w:type="dxa"/>
            <w:vMerge w:val="continue"/>
            <w:tcBorders>
              <w:right w:val="single" w:color="auto" w:sz="4" w:space="0"/>
            </w:tcBorders>
            <w:vAlign w:val="center"/>
          </w:tc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安全目标</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符合第二章“投标人须知前附表”第1.3.5项规定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continue"/>
            <w:tcBorders>
              <w:right w:val="single" w:color="auto" w:sz="4" w:space="0"/>
            </w:tcBorders>
            <w:vAlign w:val="center"/>
          </w:tcPr>
          <w:p/>
        </w:tc>
        <w:tc>
          <w:tcPr>
            <w:tcW w:w="1095" w:type="dxa"/>
            <w:vMerge w:val="continue"/>
            <w:tcBorders>
              <w:right w:val="single" w:color="auto" w:sz="4" w:space="0"/>
            </w:tcBorders>
            <w:vAlign w:val="center"/>
          </w:tc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文明工地目标</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符合第二章“投标人须知前附表”第1.3.6项规定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continue"/>
            <w:tcBorders>
              <w:right w:val="single" w:color="auto" w:sz="4" w:space="0"/>
            </w:tcBorders>
            <w:vAlign w:val="center"/>
          </w:tcPr>
          <w:p/>
        </w:tc>
        <w:tc>
          <w:tcPr>
            <w:tcW w:w="1095" w:type="dxa"/>
            <w:vMerge w:val="continue"/>
            <w:tcBorders>
              <w:right w:val="single" w:color="auto" w:sz="4" w:space="0"/>
            </w:tcBorders>
            <w:vAlign w:val="center"/>
          </w:tc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扬尘治理目标</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符合第二章“投标人须知前附表”第1.3.7项规定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continue"/>
            <w:tcBorders>
              <w:right w:val="single" w:color="auto" w:sz="4" w:space="0"/>
            </w:tcBorders>
            <w:vAlign w:val="center"/>
          </w:tcPr>
          <w:p/>
        </w:tc>
        <w:tc>
          <w:tcPr>
            <w:tcW w:w="1095" w:type="dxa"/>
            <w:vMerge w:val="continue"/>
            <w:tcBorders>
              <w:right w:val="single" w:color="auto" w:sz="4" w:space="0"/>
            </w:tcBorders>
            <w:vAlign w:val="center"/>
          </w:tc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缺陷责任期</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符合第二章“投标人须知前附表”第1.3.8项规定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continue"/>
            <w:tcBorders>
              <w:right w:val="single" w:color="auto" w:sz="4" w:space="0"/>
            </w:tcBorders>
            <w:vAlign w:val="center"/>
          </w:tcPr>
          <w:p/>
        </w:tc>
        <w:tc>
          <w:tcPr>
            <w:tcW w:w="1095" w:type="dxa"/>
            <w:vMerge w:val="continue"/>
            <w:tcBorders>
              <w:right w:val="single" w:color="auto" w:sz="4" w:space="0"/>
            </w:tcBorders>
            <w:vAlign w:val="center"/>
          </w:tc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投标有效期</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符合第二章“投标人须知前附表”第3.3.1项规定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continue"/>
            <w:tcBorders>
              <w:right w:val="single" w:color="auto" w:sz="4" w:space="0"/>
            </w:tcBorders>
            <w:vAlign w:val="center"/>
          </w:tcPr>
          <w:p/>
        </w:tc>
        <w:tc>
          <w:tcPr>
            <w:tcW w:w="1095" w:type="dxa"/>
            <w:vMerge w:val="continue"/>
            <w:tcBorders>
              <w:right w:val="single" w:color="auto" w:sz="4" w:space="0"/>
            </w:tcBorders>
            <w:vAlign w:val="center"/>
          </w:tc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投标保证金</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符合第二章“投标人须知前附表”第3.4.1项规定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continue"/>
            <w:tcBorders>
              <w:right w:val="single" w:color="auto" w:sz="4" w:space="0"/>
            </w:tcBorders>
            <w:vAlign w:val="center"/>
          </w:tcPr>
          <w:p/>
        </w:tc>
        <w:tc>
          <w:tcPr>
            <w:tcW w:w="1095" w:type="dxa"/>
            <w:vMerge w:val="continue"/>
            <w:tcBorders>
              <w:right w:val="single" w:color="auto" w:sz="4" w:space="0"/>
            </w:tcBorders>
            <w:vAlign w:val="center"/>
          </w:tc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lang w:bidi="ar"/>
              </w:rPr>
              <w:t>付款办法</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符合第二章“投标人须知前附表”第10.45项规定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continue"/>
            <w:tcBorders>
              <w:right w:val="single" w:color="auto" w:sz="4" w:space="0"/>
            </w:tcBorders>
            <w:vAlign w:val="center"/>
          </w:tcPr>
          <w:p/>
        </w:tc>
        <w:tc>
          <w:tcPr>
            <w:tcW w:w="1095" w:type="dxa"/>
            <w:vMerge w:val="continue"/>
            <w:tcBorders>
              <w:right w:val="single" w:color="auto" w:sz="4" w:space="0"/>
            </w:tcBorders>
            <w:vAlign w:val="center"/>
          </w:tc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lang w:val="en-US" w:eastAsia="zh-CN"/>
              </w:rPr>
              <w:t>否决投标的情形</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rPr>
                <w:rFonts w:hint="default" w:eastAsia="仿宋"/>
                <w:lang w:val="en-US" w:eastAsia="zh-CN"/>
              </w:rPr>
            </w:pPr>
            <w:r>
              <w:rPr>
                <w:rFonts w:hint="eastAsia"/>
                <w:lang w:val="en-US" w:eastAsia="zh-CN"/>
              </w:rPr>
              <w:t>没有附表一中否决投标的情形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continue"/>
            <w:tcBorders>
              <w:right w:val="single" w:color="auto" w:sz="4" w:space="0"/>
            </w:tcBorders>
            <w:vAlign w:val="center"/>
          </w:tcPr>
          <w:p/>
        </w:tc>
        <w:tc>
          <w:tcPr>
            <w:tcW w:w="1095" w:type="dxa"/>
            <w:vMerge w:val="continue"/>
            <w:tcBorders>
              <w:right w:val="single" w:color="auto" w:sz="4" w:space="0"/>
            </w:tcBorders>
            <w:vAlign w:val="center"/>
          </w:tc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雷同性检查</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符合第三章评标办法（定量评审）第2.1.5项规定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exact"/>
          <w:jc w:val="center"/>
        </w:trPr>
        <w:tc>
          <w:tcPr>
            <w:tcW w:w="764" w:type="dxa"/>
            <w:vMerge w:val="continue"/>
            <w:tcBorders>
              <w:bottom w:val="single" w:color="auto" w:sz="4" w:space="0"/>
              <w:right w:val="single" w:color="auto" w:sz="4" w:space="0"/>
            </w:tcBorders>
            <w:vAlign w:val="center"/>
          </w:tcPr>
          <w:p/>
        </w:tc>
        <w:tc>
          <w:tcPr>
            <w:tcW w:w="1095" w:type="dxa"/>
            <w:vMerge w:val="continue"/>
            <w:tcBorders>
              <w:bottom w:val="single" w:color="auto" w:sz="4" w:space="0"/>
              <w:right w:val="single" w:color="auto" w:sz="4" w:space="0"/>
            </w:tcBorders>
            <w:vAlign w:val="center"/>
          </w:tcPr>
          <w:p/>
        </w:tc>
        <w:tc>
          <w:tcPr>
            <w:tcW w:w="180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其他</w:t>
            </w:r>
          </w:p>
        </w:tc>
        <w:tc>
          <w:tcPr>
            <w:tcW w:w="622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pPr>
            <w:r>
              <w:rPr>
                <w:rFonts w:hint="eastAsia"/>
              </w:rPr>
              <w:t>招标文件规定的其他内容</w:t>
            </w:r>
          </w:p>
        </w:tc>
      </w:tr>
    </w:tbl>
    <w:p>
      <w:pPr>
        <w:spacing w:line="560" w:lineRule="exact"/>
        <w:ind w:firstLine="482" w:firstLineChars="200"/>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一、技术标的主要内容及评标分值：20分</w:t>
      </w:r>
    </w:p>
    <w:p>
      <w:pPr>
        <w:rPr>
          <w:sz w:val="24"/>
          <w:szCs w:val="24"/>
        </w:rPr>
      </w:pPr>
      <w:r>
        <w:rPr>
          <w:rFonts w:hint="eastAsia"/>
          <w:sz w:val="24"/>
          <w:szCs w:val="24"/>
        </w:rPr>
        <w:t>（一）技术标的主要内容及评标分值</w:t>
      </w:r>
    </w:p>
    <w:tbl>
      <w:tblPr>
        <w:tblStyle w:val="41"/>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443"/>
        <w:gridCol w:w="771"/>
        <w:gridCol w:w="539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pPr>
            <w:r>
              <w:rPr>
                <w:rFonts w:hint="eastAsia" w:ascii="仿宋" w:hAnsi="仿宋" w:eastAsia="仿宋" w:cs="仿宋"/>
                <w:color w:val="auto"/>
                <w:sz w:val="22"/>
                <w:szCs w:val="22"/>
                <w:highlight w:val="none"/>
              </w:rPr>
              <w:t>序号</w:t>
            </w:r>
          </w:p>
        </w:tc>
        <w:tc>
          <w:tcPr>
            <w:tcW w:w="1443"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pPr>
            <w:r>
              <w:rPr>
                <w:rFonts w:hint="eastAsia"/>
              </w:rPr>
              <w:t>项目</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pPr>
            <w:r>
              <w:rPr>
                <w:rFonts w:hint="eastAsia"/>
              </w:rPr>
              <w:t>分值</w:t>
            </w:r>
          </w:p>
        </w:tc>
        <w:tc>
          <w:tcPr>
            <w:tcW w:w="5391"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pPr>
            <w:r>
              <w:rPr>
                <w:rFonts w:hint="eastAsia"/>
              </w:rPr>
              <w:t>评审内容</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pPr>
            <w:r>
              <w:rPr>
                <w:rFonts w:hint="eastAsia"/>
              </w:rPr>
              <w:t>评审得分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rFonts w:hint="eastAsia" w:eastAsia="仿宋"/>
                <w:sz w:val="22"/>
                <w:szCs w:val="22"/>
                <w:lang w:val="en-US" w:eastAsia="zh-CN"/>
              </w:rPr>
            </w:pPr>
            <w:r>
              <w:rPr>
                <w:rFonts w:hint="eastAsia"/>
                <w:sz w:val="22"/>
                <w:szCs w:val="22"/>
                <w:lang w:val="en-US" w:eastAsia="zh-CN"/>
              </w:rPr>
              <w:t>1</w:t>
            </w:r>
          </w:p>
        </w:tc>
        <w:tc>
          <w:tcPr>
            <w:tcW w:w="1443"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textAlignment w:val="auto"/>
              <w:rPr>
                <w:sz w:val="22"/>
                <w:szCs w:val="22"/>
              </w:rPr>
            </w:pPr>
            <w:r>
              <w:rPr>
                <w:rFonts w:hint="eastAsia"/>
                <w:sz w:val="22"/>
                <w:szCs w:val="22"/>
              </w:rPr>
              <w:t>主要施工方案与技术措施</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2</w:t>
            </w:r>
          </w:p>
        </w:tc>
        <w:tc>
          <w:tcPr>
            <w:tcW w:w="5391"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440" w:firstLineChars="200"/>
              <w:textAlignment w:val="auto"/>
              <w:rPr>
                <w:sz w:val="22"/>
                <w:szCs w:val="22"/>
              </w:rPr>
            </w:pPr>
            <w:r>
              <w:rPr>
                <w:rFonts w:hint="eastAsia"/>
                <w:sz w:val="22"/>
                <w:szCs w:val="22"/>
              </w:rPr>
              <w:t>施工方案（含工程特点、施工重点与难点及绿色施工）总体安排合理，合理运用先进的施工工艺、施工机械；对施工难点有科学合理的建议</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2</w:t>
            </w:r>
          </w:p>
        </w:tc>
        <w:tc>
          <w:tcPr>
            <w:tcW w:w="1443"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textAlignment w:val="auto"/>
              <w:rPr>
                <w:sz w:val="22"/>
                <w:szCs w:val="22"/>
              </w:rPr>
            </w:pPr>
            <w:r>
              <w:rPr>
                <w:rFonts w:hint="eastAsia"/>
                <w:sz w:val="22"/>
                <w:szCs w:val="22"/>
              </w:rPr>
              <w:t>质量管理体系与措施</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1.5</w:t>
            </w:r>
          </w:p>
        </w:tc>
        <w:tc>
          <w:tcPr>
            <w:tcW w:w="5391" w:type="dxa"/>
            <w:vAlign w:val="center"/>
          </w:tcPr>
          <w:p>
            <w:pPr>
              <w:keepNext w:val="0"/>
              <w:keepLines w:val="0"/>
              <w:pageBreakBefore w:val="0"/>
              <w:widowControl w:val="0"/>
              <w:kinsoku/>
              <w:wordWrap/>
              <w:overflowPunct/>
              <w:topLinePunct w:val="0"/>
              <w:autoSpaceDE/>
              <w:autoSpaceDN/>
              <w:bidi w:val="0"/>
              <w:adjustRightInd/>
              <w:snapToGrid/>
              <w:spacing w:line="300" w:lineRule="atLeast"/>
              <w:textAlignment w:val="auto"/>
              <w:rPr>
                <w:sz w:val="22"/>
                <w:szCs w:val="22"/>
              </w:rPr>
            </w:pPr>
            <w:r>
              <w:rPr>
                <w:rFonts w:hint="eastAsia"/>
                <w:sz w:val="22"/>
                <w:szCs w:val="22"/>
              </w:rPr>
              <w:t>组织机构形式合理，有完善的指挥系统、质量监控系统、联络协调系统，有健全的质量管理体系、相应的施工技术标准、施工质量检验制度和综合施工质量水平评定考核制度。施工措施符合国家及我省现行工程建设标准，满足通用规范、项目规范及质量验收规范的要求，质量保证措施内容完整、经济安全、合理先进、切实可行。</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3</w:t>
            </w:r>
          </w:p>
        </w:tc>
        <w:tc>
          <w:tcPr>
            <w:tcW w:w="1443"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textAlignment w:val="auto"/>
              <w:rPr>
                <w:sz w:val="22"/>
                <w:szCs w:val="22"/>
              </w:rPr>
            </w:pPr>
            <w:r>
              <w:rPr>
                <w:rFonts w:hint="eastAsia"/>
                <w:sz w:val="22"/>
                <w:szCs w:val="22"/>
              </w:rPr>
              <w:t>安全管理体系与措施</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1.5</w:t>
            </w:r>
          </w:p>
        </w:tc>
        <w:tc>
          <w:tcPr>
            <w:tcW w:w="5391" w:type="dxa"/>
            <w:vAlign w:val="center"/>
          </w:tcPr>
          <w:p>
            <w:pPr>
              <w:pStyle w:val="131"/>
              <w:keepNext w:val="0"/>
              <w:keepLines w:val="0"/>
              <w:pageBreakBefore w:val="0"/>
              <w:widowControl w:val="0"/>
              <w:numPr>
                <w:ilvl w:val="0"/>
                <w:numId w:val="3"/>
              </w:numPr>
              <w:kinsoku/>
              <w:wordWrap/>
              <w:overflowPunct/>
              <w:topLinePunct w:val="0"/>
              <w:autoSpaceDE/>
              <w:autoSpaceDN/>
              <w:bidi w:val="0"/>
              <w:adjustRightInd/>
              <w:snapToGrid/>
              <w:spacing w:line="300" w:lineRule="atLeast"/>
              <w:ind w:firstLineChars="0"/>
              <w:textAlignment w:val="auto"/>
              <w:rPr>
                <w:sz w:val="22"/>
                <w:szCs w:val="22"/>
              </w:rPr>
            </w:pPr>
            <w:r>
              <w:rPr>
                <w:rFonts w:hint="eastAsia"/>
                <w:sz w:val="22"/>
                <w:szCs w:val="22"/>
              </w:rPr>
              <w:t>施工安全生产保障体系健全，安全管理制度完善，安全管理目标具体，全员安全责任制明确，现场安全管理组织机构、人员配备满足国家规定要求。</w:t>
            </w:r>
          </w:p>
          <w:p>
            <w:pPr>
              <w:pStyle w:val="131"/>
              <w:keepNext w:val="0"/>
              <w:keepLines w:val="0"/>
              <w:pageBreakBefore w:val="0"/>
              <w:widowControl w:val="0"/>
              <w:numPr>
                <w:ilvl w:val="0"/>
                <w:numId w:val="3"/>
              </w:numPr>
              <w:kinsoku/>
              <w:wordWrap/>
              <w:overflowPunct/>
              <w:topLinePunct w:val="0"/>
              <w:autoSpaceDE/>
              <w:autoSpaceDN/>
              <w:bidi w:val="0"/>
              <w:adjustRightInd/>
              <w:snapToGrid/>
              <w:spacing w:line="300" w:lineRule="atLeast"/>
              <w:ind w:firstLineChars="0"/>
              <w:textAlignment w:val="auto"/>
              <w:rPr>
                <w:sz w:val="22"/>
                <w:szCs w:val="22"/>
              </w:rPr>
            </w:pPr>
            <w:r>
              <w:rPr>
                <w:rFonts w:hint="eastAsia"/>
                <w:sz w:val="22"/>
                <w:szCs w:val="22"/>
              </w:rPr>
              <w:t>安全技术方案根据工程特点、周边环境和施工工艺，制定措施科学合理、可行。</w:t>
            </w:r>
          </w:p>
          <w:p>
            <w:pPr>
              <w:pStyle w:val="131"/>
              <w:keepNext w:val="0"/>
              <w:keepLines w:val="0"/>
              <w:pageBreakBefore w:val="0"/>
              <w:widowControl w:val="0"/>
              <w:numPr>
                <w:ilvl w:val="0"/>
                <w:numId w:val="3"/>
              </w:numPr>
              <w:kinsoku/>
              <w:wordWrap/>
              <w:overflowPunct/>
              <w:topLinePunct w:val="0"/>
              <w:autoSpaceDE/>
              <w:autoSpaceDN/>
              <w:bidi w:val="0"/>
              <w:adjustRightInd/>
              <w:snapToGrid/>
              <w:spacing w:line="300" w:lineRule="atLeast"/>
              <w:ind w:firstLineChars="0"/>
              <w:textAlignment w:val="auto"/>
              <w:rPr>
                <w:sz w:val="22"/>
                <w:szCs w:val="22"/>
              </w:rPr>
            </w:pPr>
            <w:r>
              <w:rPr>
                <w:rFonts w:hint="eastAsia"/>
                <w:sz w:val="22"/>
                <w:szCs w:val="22"/>
              </w:rPr>
              <w:t>现场重大危险源辨识全面，有项目危险性较大的分部分项工程清单并明确有相应的安全管理措施。</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0－0.5/项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4</w:t>
            </w:r>
          </w:p>
        </w:tc>
        <w:tc>
          <w:tcPr>
            <w:tcW w:w="1443"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textAlignment w:val="auto"/>
              <w:rPr>
                <w:sz w:val="22"/>
                <w:szCs w:val="22"/>
              </w:rPr>
            </w:pPr>
            <w:r>
              <w:rPr>
                <w:rFonts w:hint="eastAsia"/>
                <w:sz w:val="22"/>
                <w:szCs w:val="22"/>
              </w:rPr>
              <w:t>文明施工、环境保护管理体系及施工现场扬尘治理措施</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1</w:t>
            </w:r>
          </w:p>
        </w:tc>
        <w:tc>
          <w:tcPr>
            <w:tcW w:w="5391"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textAlignment w:val="auto"/>
              <w:rPr>
                <w:sz w:val="22"/>
                <w:szCs w:val="22"/>
              </w:rPr>
            </w:pPr>
            <w:r>
              <w:rPr>
                <w:rFonts w:hint="eastAsia"/>
                <w:sz w:val="22"/>
                <w:szCs w:val="22"/>
              </w:rPr>
              <w:t>创安全文明标准化工地目标明确，有针对项目实际情况，科学可行的创建计划和符合相关标准、规范、规程的创建保证措施和安全文明施工措施费投入使用计划，现场施工区、生活区、办公区等设置科学规范，符合有关文明施工、健康卫生的规定。有防治施工现场扬尘治理方案，措施符合河南省《城市房屋建筑和市政基础设施工程及道路扬尘污染防治标准》（DBJ41/174）的规定。</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5</w:t>
            </w:r>
          </w:p>
        </w:tc>
        <w:tc>
          <w:tcPr>
            <w:tcW w:w="1443"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textAlignment w:val="auto"/>
              <w:rPr>
                <w:sz w:val="22"/>
                <w:szCs w:val="22"/>
              </w:rPr>
            </w:pPr>
            <w:r>
              <w:rPr>
                <w:rFonts w:hint="eastAsia"/>
                <w:sz w:val="22"/>
                <w:szCs w:val="22"/>
              </w:rPr>
              <w:t>工期保证措施</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1</w:t>
            </w:r>
          </w:p>
        </w:tc>
        <w:tc>
          <w:tcPr>
            <w:tcW w:w="5391" w:type="dxa"/>
            <w:vAlign w:val="center"/>
          </w:tcPr>
          <w:p>
            <w:pPr>
              <w:keepNext w:val="0"/>
              <w:keepLines w:val="0"/>
              <w:pageBreakBefore w:val="0"/>
              <w:widowControl w:val="0"/>
              <w:kinsoku/>
              <w:wordWrap/>
              <w:overflowPunct/>
              <w:topLinePunct w:val="0"/>
              <w:autoSpaceDE/>
              <w:autoSpaceDN/>
              <w:bidi w:val="0"/>
              <w:adjustRightInd/>
              <w:snapToGrid/>
              <w:spacing w:line="300" w:lineRule="atLeast"/>
              <w:textAlignment w:val="auto"/>
              <w:rPr>
                <w:sz w:val="22"/>
                <w:szCs w:val="22"/>
              </w:rPr>
            </w:pPr>
            <w:r>
              <w:rPr>
                <w:rFonts w:hint="eastAsia"/>
                <w:sz w:val="22"/>
                <w:szCs w:val="22"/>
              </w:rPr>
              <w:t>工期承诺满足招标文件要求，工期保证措施合理且有针对性，有具体的违约责任承诺。</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6</w:t>
            </w:r>
          </w:p>
        </w:tc>
        <w:tc>
          <w:tcPr>
            <w:tcW w:w="1443"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textAlignment w:val="auto"/>
              <w:rPr>
                <w:sz w:val="22"/>
                <w:szCs w:val="22"/>
              </w:rPr>
            </w:pPr>
            <w:r>
              <w:rPr>
                <w:rFonts w:hint="eastAsia"/>
                <w:sz w:val="22"/>
                <w:szCs w:val="22"/>
              </w:rPr>
              <w:t>拟投入资源配备计划</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1.5</w:t>
            </w:r>
          </w:p>
        </w:tc>
        <w:tc>
          <w:tcPr>
            <w:tcW w:w="5391" w:type="dxa"/>
            <w:vAlign w:val="center"/>
          </w:tcPr>
          <w:p>
            <w:pPr>
              <w:keepNext w:val="0"/>
              <w:keepLines w:val="0"/>
              <w:pageBreakBefore w:val="0"/>
              <w:widowControl w:val="0"/>
              <w:kinsoku/>
              <w:wordWrap/>
              <w:overflowPunct/>
              <w:topLinePunct w:val="0"/>
              <w:autoSpaceDE/>
              <w:autoSpaceDN/>
              <w:bidi w:val="0"/>
              <w:adjustRightInd/>
              <w:snapToGrid/>
              <w:spacing w:line="300" w:lineRule="atLeast"/>
              <w:textAlignment w:val="auto"/>
              <w:rPr>
                <w:sz w:val="22"/>
                <w:szCs w:val="22"/>
              </w:rPr>
            </w:pPr>
            <w:r>
              <w:rPr>
                <w:rFonts w:hint="eastAsia"/>
                <w:sz w:val="22"/>
                <w:szCs w:val="22"/>
              </w:rPr>
              <w:t>1.机械：投入计划与进度计划呼应，采用先进机械设备且配置合理，满足安全技术规范和施工进度需要；PC构件运输、安装设备满足施工要求；</w:t>
            </w:r>
          </w:p>
          <w:p>
            <w:pPr>
              <w:keepNext w:val="0"/>
              <w:keepLines w:val="0"/>
              <w:pageBreakBefore w:val="0"/>
              <w:widowControl w:val="0"/>
              <w:kinsoku/>
              <w:wordWrap/>
              <w:overflowPunct/>
              <w:topLinePunct w:val="0"/>
              <w:autoSpaceDE/>
              <w:autoSpaceDN/>
              <w:bidi w:val="0"/>
              <w:adjustRightInd/>
              <w:snapToGrid/>
              <w:spacing w:line="300" w:lineRule="atLeast"/>
              <w:textAlignment w:val="auto"/>
              <w:rPr>
                <w:sz w:val="22"/>
                <w:szCs w:val="22"/>
              </w:rPr>
            </w:pPr>
            <w:r>
              <w:rPr>
                <w:rFonts w:hint="eastAsia"/>
                <w:sz w:val="22"/>
                <w:szCs w:val="22"/>
              </w:rPr>
              <w:t>2.劳动力：投入计划与进度计划呼应，满足施工需要，调配投入计划合理、准确；</w:t>
            </w:r>
          </w:p>
          <w:p>
            <w:pPr>
              <w:keepNext w:val="0"/>
              <w:keepLines w:val="0"/>
              <w:pageBreakBefore w:val="0"/>
              <w:widowControl w:val="0"/>
              <w:kinsoku/>
              <w:wordWrap/>
              <w:overflowPunct/>
              <w:topLinePunct w:val="0"/>
              <w:autoSpaceDE/>
              <w:autoSpaceDN/>
              <w:bidi w:val="0"/>
              <w:adjustRightInd/>
              <w:snapToGrid/>
              <w:spacing w:line="300" w:lineRule="atLeast"/>
              <w:textAlignment w:val="auto"/>
              <w:rPr>
                <w:sz w:val="22"/>
                <w:szCs w:val="22"/>
              </w:rPr>
            </w:pPr>
            <w:r>
              <w:rPr>
                <w:rFonts w:hint="eastAsia"/>
                <w:sz w:val="22"/>
                <w:szCs w:val="22"/>
              </w:rPr>
              <w:t>3.主要物资计划：主要物资（含PC构件的供应需求）投入计划与进度计划呼应，满足施工需要，调配投入计划合理、准确。</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0－0.5/项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7</w:t>
            </w:r>
          </w:p>
        </w:tc>
        <w:tc>
          <w:tcPr>
            <w:tcW w:w="1443"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textAlignment w:val="auto"/>
              <w:rPr>
                <w:sz w:val="22"/>
                <w:szCs w:val="22"/>
              </w:rPr>
            </w:pPr>
            <w:r>
              <w:rPr>
                <w:rFonts w:hint="eastAsia"/>
                <w:sz w:val="22"/>
                <w:szCs w:val="22"/>
              </w:rPr>
              <w:t>施工进度表与网络计划图</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1</w:t>
            </w:r>
          </w:p>
        </w:tc>
        <w:tc>
          <w:tcPr>
            <w:tcW w:w="5391" w:type="dxa"/>
            <w:vAlign w:val="center"/>
          </w:tcPr>
          <w:p>
            <w:pPr>
              <w:keepNext w:val="0"/>
              <w:keepLines w:val="0"/>
              <w:pageBreakBefore w:val="0"/>
              <w:widowControl w:val="0"/>
              <w:kinsoku/>
              <w:wordWrap/>
              <w:overflowPunct/>
              <w:topLinePunct w:val="0"/>
              <w:autoSpaceDE/>
              <w:autoSpaceDN/>
              <w:bidi w:val="0"/>
              <w:adjustRightInd/>
              <w:snapToGrid/>
              <w:spacing w:line="300" w:lineRule="atLeast"/>
              <w:textAlignment w:val="auto"/>
              <w:rPr>
                <w:sz w:val="22"/>
                <w:szCs w:val="22"/>
              </w:rPr>
            </w:pPr>
            <w:r>
              <w:rPr>
                <w:rFonts w:hint="eastAsia"/>
                <w:sz w:val="22"/>
                <w:szCs w:val="22"/>
              </w:rPr>
              <w:t>关键线路清晰、准确、完整，计划编制合理、可行，满足招标文件对工期的要求。</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8</w:t>
            </w:r>
          </w:p>
        </w:tc>
        <w:tc>
          <w:tcPr>
            <w:tcW w:w="1443"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textAlignment w:val="auto"/>
              <w:rPr>
                <w:sz w:val="22"/>
                <w:szCs w:val="22"/>
              </w:rPr>
            </w:pPr>
            <w:r>
              <w:rPr>
                <w:rFonts w:hint="eastAsia"/>
                <w:sz w:val="22"/>
                <w:szCs w:val="22"/>
              </w:rPr>
              <w:t>施工总平面图布置</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1</w:t>
            </w:r>
          </w:p>
        </w:tc>
        <w:tc>
          <w:tcPr>
            <w:tcW w:w="5391" w:type="dxa"/>
            <w:vAlign w:val="center"/>
          </w:tcPr>
          <w:p>
            <w:pPr>
              <w:keepNext w:val="0"/>
              <w:keepLines w:val="0"/>
              <w:pageBreakBefore w:val="0"/>
              <w:widowControl w:val="0"/>
              <w:kinsoku/>
              <w:wordWrap/>
              <w:overflowPunct/>
              <w:topLinePunct w:val="0"/>
              <w:autoSpaceDE/>
              <w:autoSpaceDN/>
              <w:bidi w:val="0"/>
              <w:adjustRightInd/>
              <w:snapToGrid/>
              <w:spacing w:line="300" w:lineRule="atLeast"/>
              <w:textAlignment w:val="auto"/>
              <w:rPr>
                <w:sz w:val="22"/>
                <w:szCs w:val="22"/>
              </w:rPr>
            </w:pPr>
            <w:r>
              <w:rPr>
                <w:rFonts w:hint="eastAsia"/>
                <w:sz w:val="22"/>
                <w:szCs w:val="22"/>
              </w:rPr>
              <w:t>总体布置有针对性、合理，能满足施工需要，符合安全、文明施工要求，材料堆放有序。</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9</w:t>
            </w:r>
          </w:p>
        </w:tc>
        <w:tc>
          <w:tcPr>
            <w:tcW w:w="1443"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textAlignment w:val="auto"/>
              <w:rPr>
                <w:sz w:val="22"/>
                <w:szCs w:val="22"/>
              </w:rPr>
            </w:pPr>
            <w:r>
              <w:rPr>
                <w:rFonts w:hint="eastAsia"/>
                <w:sz w:val="22"/>
                <w:szCs w:val="22"/>
              </w:rPr>
              <w:t>建造方式的创新应用实施方案</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4</w:t>
            </w:r>
          </w:p>
        </w:tc>
        <w:tc>
          <w:tcPr>
            <w:tcW w:w="5391" w:type="dxa"/>
            <w:vAlign w:val="center"/>
          </w:tcPr>
          <w:p>
            <w:pPr>
              <w:keepNext w:val="0"/>
              <w:keepLines w:val="0"/>
              <w:pageBreakBefore w:val="0"/>
              <w:widowControl w:val="0"/>
              <w:kinsoku/>
              <w:wordWrap/>
              <w:overflowPunct/>
              <w:topLinePunct w:val="0"/>
              <w:autoSpaceDE/>
              <w:autoSpaceDN/>
              <w:bidi w:val="0"/>
              <w:adjustRightInd/>
              <w:snapToGrid/>
              <w:spacing w:line="300" w:lineRule="atLeast"/>
              <w:textAlignment w:val="auto"/>
              <w:rPr>
                <w:sz w:val="22"/>
                <w:szCs w:val="22"/>
              </w:rPr>
            </w:pPr>
            <w:r>
              <w:rPr>
                <w:rFonts w:hint="eastAsia"/>
                <w:sz w:val="22"/>
                <w:szCs w:val="22"/>
              </w:rPr>
              <w:t>（1）智能建造、（2）节能减排、（3）绿色施工、（4）装配式建筑等建造方式的创新应用实施方案符合工程情况，具有针对性、可行性、经济适用性。</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0－1/项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61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10</w:t>
            </w:r>
          </w:p>
        </w:tc>
        <w:tc>
          <w:tcPr>
            <w:tcW w:w="1443"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textAlignment w:val="auto"/>
              <w:rPr>
                <w:sz w:val="22"/>
                <w:szCs w:val="22"/>
              </w:rPr>
            </w:pPr>
            <w:r>
              <w:rPr>
                <w:rFonts w:hint="eastAsia"/>
                <w:sz w:val="22"/>
                <w:szCs w:val="22"/>
              </w:rPr>
              <w:t>采用新工艺、新技术、新设备、新材料、BIM等的程度</w:t>
            </w:r>
          </w:p>
        </w:tc>
        <w:tc>
          <w:tcPr>
            <w:tcW w:w="771"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3.5</w:t>
            </w:r>
          </w:p>
        </w:tc>
        <w:tc>
          <w:tcPr>
            <w:tcW w:w="5391" w:type="dxa"/>
            <w:vAlign w:val="center"/>
          </w:tcPr>
          <w:p>
            <w:pPr>
              <w:keepNext w:val="0"/>
              <w:keepLines w:val="0"/>
              <w:pageBreakBefore w:val="0"/>
              <w:widowControl w:val="0"/>
              <w:kinsoku/>
              <w:wordWrap/>
              <w:overflowPunct/>
              <w:topLinePunct w:val="0"/>
              <w:autoSpaceDE/>
              <w:autoSpaceDN/>
              <w:bidi w:val="0"/>
              <w:adjustRightInd/>
              <w:snapToGrid/>
              <w:spacing w:line="300" w:lineRule="atLeast"/>
              <w:textAlignment w:val="auto"/>
              <w:rPr>
                <w:sz w:val="22"/>
                <w:szCs w:val="22"/>
              </w:rPr>
            </w:pPr>
            <w:r>
              <w:rPr>
                <w:rFonts w:hint="eastAsia"/>
                <w:sz w:val="22"/>
                <w:szCs w:val="22"/>
              </w:rPr>
              <w:t>采用（1）新工艺、（2）新技术、（3）新设备（含工器具、智能设备等）、（4）新材料等满足实现设计要求，符合施工需要和相应技术标准等规定，经济适用。</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0－0.5/项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1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atLeast"/>
              <w:jc w:val="center"/>
              <w:textAlignment w:val="auto"/>
              <w:rPr>
                <w:sz w:val="22"/>
                <w:szCs w:val="22"/>
              </w:rPr>
            </w:pPr>
          </w:p>
        </w:tc>
        <w:tc>
          <w:tcPr>
            <w:tcW w:w="144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atLeast"/>
              <w:textAlignment w:val="auto"/>
              <w:rPr>
                <w:sz w:val="22"/>
                <w:szCs w:val="22"/>
              </w:rPr>
            </w:pPr>
          </w:p>
        </w:tc>
        <w:tc>
          <w:tcPr>
            <w:tcW w:w="771"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atLeast"/>
              <w:jc w:val="center"/>
              <w:textAlignment w:val="auto"/>
              <w:rPr>
                <w:sz w:val="22"/>
                <w:szCs w:val="22"/>
              </w:rPr>
            </w:pPr>
          </w:p>
        </w:tc>
        <w:tc>
          <w:tcPr>
            <w:tcW w:w="5391" w:type="dxa"/>
            <w:vAlign w:val="center"/>
          </w:tcPr>
          <w:p>
            <w:pPr>
              <w:keepNext w:val="0"/>
              <w:keepLines w:val="0"/>
              <w:pageBreakBefore w:val="0"/>
              <w:widowControl w:val="0"/>
              <w:kinsoku/>
              <w:wordWrap/>
              <w:overflowPunct/>
              <w:topLinePunct w:val="0"/>
              <w:autoSpaceDE/>
              <w:autoSpaceDN/>
              <w:bidi w:val="0"/>
              <w:adjustRightInd/>
              <w:snapToGrid/>
              <w:spacing w:line="300" w:lineRule="atLeast"/>
              <w:textAlignment w:val="auto"/>
              <w:rPr>
                <w:sz w:val="22"/>
                <w:szCs w:val="22"/>
              </w:rPr>
            </w:pPr>
            <w:r>
              <w:rPr>
                <w:rFonts w:hint="eastAsia"/>
                <w:sz w:val="22"/>
                <w:szCs w:val="22"/>
              </w:rPr>
              <w:t>应用BIM技术优化施工工序、资源配置及数字化管理，措施得当，有效提高施工效率。</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11</w:t>
            </w:r>
          </w:p>
        </w:tc>
        <w:tc>
          <w:tcPr>
            <w:tcW w:w="1443"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textAlignment w:val="auto"/>
              <w:rPr>
                <w:sz w:val="22"/>
                <w:szCs w:val="22"/>
              </w:rPr>
            </w:pPr>
            <w:r>
              <w:rPr>
                <w:rFonts w:hint="eastAsia"/>
                <w:sz w:val="22"/>
                <w:szCs w:val="22"/>
              </w:rPr>
              <w:t>施工现场实施信息化监控和数据处理</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1</w:t>
            </w:r>
          </w:p>
        </w:tc>
        <w:tc>
          <w:tcPr>
            <w:tcW w:w="5391" w:type="dxa"/>
            <w:vAlign w:val="center"/>
          </w:tcPr>
          <w:p>
            <w:pPr>
              <w:keepNext w:val="0"/>
              <w:keepLines w:val="0"/>
              <w:pageBreakBefore w:val="0"/>
              <w:widowControl w:val="0"/>
              <w:kinsoku/>
              <w:wordWrap/>
              <w:overflowPunct/>
              <w:topLinePunct w:val="0"/>
              <w:autoSpaceDE/>
              <w:autoSpaceDN/>
              <w:bidi w:val="0"/>
              <w:adjustRightInd/>
              <w:snapToGrid/>
              <w:spacing w:line="300" w:lineRule="atLeast"/>
              <w:textAlignment w:val="auto"/>
              <w:rPr>
                <w:sz w:val="22"/>
                <w:szCs w:val="22"/>
              </w:rPr>
            </w:pPr>
            <w:r>
              <w:rPr>
                <w:rFonts w:hint="eastAsia"/>
                <w:sz w:val="22"/>
                <w:szCs w:val="22"/>
              </w:rPr>
              <w:t>施工现场实施信息化监控和数据处理系统布置合理，满足管理需要。</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617"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12</w:t>
            </w:r>
          </w:p>
        </w:tc>
        <w:tc>
          <w:tcPr>
            <w:tcW w:w="1443"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textAlignment w:val="auto"/>
              <w:rPr>
                <w:sz w:val="22"/>
                <w:szCs w:val="22"/>
              </w:rPr>
            </w:pPr>
            <w:r>
              <w:rPr>
                <w:rFonts w:hint="eastAsia"/>
                <w:sz w:val="22"/>
                <w:szCs w:val="22"/>
              </w:rPr>
              <w:t>风险管理措施</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1</w:t>
            </w:r>
          </w:p>
        </w:tc>
        <w:tc>
          <w:tcPr>
            <w:tcW w:w="5391" w:type="dxa"/>
            <w:vAlign w:val="center"/>
          </w:tcPr>
          <w:p>
            <w:pPr>
              <w:keepNext w:val="0"/>
              <w:keepLines w:val="0"/>
              <w:pageBreakBefore w:val="0"/>
              <w:widowControl w:val="0"/>
              <w:kinsoku/>
              <w:wordWrap/>
              <w:overflowPunct/>
              <w:topLinePunct w:val="0"/>
              <w:autoSpaceDE/>
              <w:autoSpaceDN/>
              <w:bidi w:val="0"/>
              <w:adjustRightInd/>
              <w:snapToGrid/>
              <w:spacing w:line="300" w:lineRule="atLeast"/>
              <w:textAlignment w:val="auto"/>
              <w:rPr>
                <w:sz w:val="22"/>
                <w:szCs w:val="22"/>
              </w:rPr>
            </w:pPr>
            <w:r>
              <w:rPr>
                <w:rFonts w:hint="eastAsia"/>
                <w:sz w:val="22"/>
                <w:szCs w:val="22"/>
              </w:rPr>
              <w:t>风险防控管理措施齐全，风险预控符合规范要求，风险控制要点定位准确，各阶段风险控制及应急措施得力。</w:t>
            </w: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060" w:type="dxa"/>
            <w:gridSpan w:val="2"/>
            <w:vAlign w:val="center"/>
          </w:tcPr>
          <w:p>
            <w:pPr>
              <w:keepNext w:val="0"/>
              <w:keepLines w:val="0"/>
              <w:pageBreakBefore w:val="0"/>
              <w:widowControl w:val="0"/>
              <w:kinsoku/>
              <w:wordWrap/>
              <w:overflowPunct/>
              <w:topLinePunct w:val="0"/>
              <w:autoSpaceDE/>
              <w:autoSpaceDN/>
              <w:bidi w:val="0"/>
              <w:adjustRightInd/>
              <w:snapToGrid/>
              <w:spacing w:line="300" w:lineRule="atLeast"/>
              <w:textAlignment w:val="auto"/>
              <w:rPr>
                <w:sz w:val="22"/>
                <w:szCs w:val="22"/>
              </w:rPr>
            </w:pPr>
            <w:r>
              <w:rPr>
                <w:rFonts w:hint="eastAsia"/>
                <w:sz w:val="22"/>
                <w:szCs w:val="22"/>
              </w:rPr>
              <w:t>合计</w:t>
            </w:r>
          </w:p>
        </w:tc>
        <w:tc>
          <w:tcPr>
            <w:tcW w:w="771"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20</w:t>
            </w:r>
          </w:p>
        </w:tc>
        <w:tc>
          <w:tcPr>
            <w:tcW w:w="5391" w:type="dxa"/>
            <w:vAlign w:val="center"/>
          </w:tcPr>
          <w:p>
            <w:pPr>
              <w:keepNext w:val="0"/>
              <w:keepLines w:val="0"/>
              <w:pageBreakBefore w:val="0"/>
              <w:widowControl w:val="0"/>
              <w:kinsoku/>
              <w:wordWrap/>
              <w:overflowPunct/>
              <w:topLinePunct w:val="0"/>
              <w:autoSpaceDE/>
              <w:autoSpaceDN/>
              <w:bidi w:val="0"/>
              <w:adjustRightInd/>
              <w:snapToGrid/>
              <w:spacing w:line="300" w:lineRule="atLeast"/>
              <w:textAlignment w:val="auto"/>
              <w:rPr>
                <w:sz w:val="22"/>
                <w:szCs w:val="22"/>
              </w:rPr>
            </w:pPr>
          </w:p>
        </w:tc>
        <w:tc>
          <w:tcPr>
            <w:tcW w:w="1276" w:type="dxa"/>
            <w:vAlign w:val="center"/>
          </w:tcPr>
          <w:p>
            <w:pPr>
              <w:keepNext w:val="0"/>
              <w:keepLines w:val="0"/>
              <w:pageBreakBefore w:val="0"/>
              <w:widowControl w:val="0"/>
              <w:kinsoku/>
              <w:wordWrap/>
              <w:overflowPunct/>
              <w:topLinePunct w:val="0"/>
              <w:autoSpaceDE/>
              <w:autoSpaceDN/>
              <w:bidi w:val="0"/>
              <w:adjustRightInd/>
              <w:snapToGrid/>
              <w:spacing w:line="300" w:lineRule="atLeast"/>
              <w:ind w:left="0" w:leftChars="0" w:firstLine="0" w:firstLineChars="0"/>
              <w:jc w:val="center"/>
              <w:textAlignment w:val="auto"/>
              <w:rPr>
                <w:sz w:val="22"/>
                <w:szCs w:val="22"/>
              </w:rPr>
            </w:pPr>
            <w:r>
              <w:rPr>
                <w:rFonts w:hint="eastAsia"/>
                <w:sz w:val="22"/>
                <w:szCs w:val="22"/>
              </w:rPr>
              <w:t>0－20</w:t>
            </w:r>
          </w:p>
        </w:tc>
      </w:tr>
    </w:tbl>
    <w:p>
      <w:pPr>
        <w:rPr>
          <w:sz w:val="24"/>
          <w:szCs w:val="24"/>
        </w:rPr>
      </w:pPr>
      <w:r>
        <w:rPr>
          <w:rFonts w:hint="eastAsia"/>
          <w:sz w:val="24"/>
          <w:szCs w:val="24"/>
        </w:rPr>
        <w:t>（二）评审规则</w:t>
      </w:r>
    </w:p>
    <w:p>
      <w:pPr>
        <w:rPr>
          <w:sz w:val="24"/>
          <w:szCs w:val="24"/>
        </w:rPr>
      </w:pPr>
      <w:r>
        <w:rPr>
          <w:rFonts w:hint="eastAsia"/>
          <w:sz w:val="24"/>
          <w:szCs w:val="24"/>
        </w:rPr>
        <w:t>评标委员会应按技术标评审内容对技术标进行评审。评审得分按照招标文件规定的分值范围内计分。</w:t>
      </w:r>
    </w:p>
    <w:p>
      <w:pPr>
        <w:spacing w:line="560" w:lineRule="exact"/>
        <w:ind w:firstLine="482" w:firstLineChars="200"/>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二、商务标的主要内容及评标分值：50分</w:t>
      </w:r>
    </w:p>
    <w:p>
      <w:pPr>
        <w:spacing w:line="240" w:lineRule="auto"/>
        <w:ind w:firstLine="610" w:firstLineChars="0"/>
        <w:textAlignment w:val="baseline"/>
        <w:rPr>
          <w:rFonts w:hint="default" w:ascii="Times New Roman" w:hAnsi="Times New Roman" w:eastAsia="楷体_GB2312" w:cs="Times New Roman"/>
          <w:color w:val="auto"/>
          <w:sz w:val="24"/>
          <w:szCs w:val="24"/>
          <w:highlight w:val="none"/>
          <w:lang w:eastAsia="zh-CN"/>
        </w:rPr>
      </w:pPr>
      <w:r>
        <w:rPr>
          <w:rFonts w:hint="default" w:ascii="Times New Roman" w:hAnsi="Times New Roman" w:eastAsia="楷体_GB2312" w:cs="Times New Roman"/>
          <w:color w:val="auto"/>
          <w:sz w:val="24"/>
          <w:szCs w:val="24"/>
          <w:highlight w:val="none"/>
          <w:lang w:eastAsia="zh-CN"/>
        </w:rPr>
        <w:t>（一）评标基准价的计算</w:t>
      </w:r>
    </w:p>
    <w:p>
      <w:pPr>
        <w:spacing w:line="240" w:lineRule="auto"/>
        <w:ind w:firstLine="482" w:firstLineChars="200"/>
        <w:textAlignment w:val="baseline"/>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1. 有关定义：</w:t>
      </w:r>
    </w:p>
    <w:tbl>
      <w:tblPr>
        <w:tblStyle w:val="42"/>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7"/>
        <w:gridCol w:w="2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6227" w:type="dxa"/>
          </w:tcPr>
          <w:p>
            <w:pPr>
              <w:ind w:left="0" w:leftChars="0" w:firstLine="0" w:firstLineChars="0"/>
              <w:rPr>
                <w:sz w:val="22"/>
                <w:szCs w:val="22"/>
              </w:rPr>
            </w:pPr>
            <w:r>
              <w:rPr>
                <w:rFonts w:hint="eastAsia"/>
                <w:sz w:val="22"/>
                <w:szCs w:val="22"/>
              </w:rPr>
              <w:t>有效投标报价</w:t>
            </w:r>
          </w:p>
        </w:tc>
        <w:tc>
          <w:tcPr>
            <w:tcW w:w="2681" w:type="dxa"/>
          </w:tcPr>
          <w:p>
            <w:pPr>
              <w:ind w:left="0" w:leftChars="0" w:firstLine="0" w:firstLineChars="0"/>
              <w:jc w:val="center"/>
              <w:rPr>
                <w:sz w:val="22"/>
                <w:szCs w:val="22"/>
              </w:rPr>
            </w:pPr>
            <w:r>
              <w:rPr>
                <w:rFonts w:hint="eastAsia"/>
                <w:sz w:val="22"/>
                <w:szCs w:val="22"/>
              </w:rPr>
              <w:t>x</w:t>
            </w:r>
            <w:r>
              <w:rPr>
                <w:rFonts w:hint="eastAsia"/>
                <w:sz w:val="22"/>
                <w:szCs w:val="22"/>
                <w:vertAlign w:val="subscript"/>
              </w:rPr>
              <w:t>i</w:t>
            </w:r>
            <w:r>
              <w:rPr>
                <w:rFonts w:hint="eastAsia"/>
                <w:sz w:val="22"/>
                <w:szCs w:val="22"/>
              </w:rPr>
              <w:t>，i为1到N的整数值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227" w:type="dxa"/>
          </w:tcPr>
          <w:p>
            <w:pPr>
              <w:ind w:left="0" w:leftChars="0" w:firstLine="0" w:firstLineChars="0"/>
              <w:rPr>
                <w:sz w:val="22"/>
                <w:szCs w:val="22"/>
              </w:rPr>
            </w:pPr>
            <w:r>
              <w:rPr>
                <w:rFonts w:hint="eastAsia"/>
                <w:sz w:val="22"/>
                <w:szCs w:val="22"/>
              </w:rPr>
              <w:t>有效投标报价的数量</w:t>
            </w:r>
          </w:p>
        </w:tc>
        <w:tc>
          <w:tcPr>
            <w:tcW w:w="2681" w:type="dxa"/>
            <w:vAlign w:val="center"/>
          </w:tcPr>
          <w:p>
            <w:pPr>
              <w:ind w:left="0" w:leftChars="0" w:firstLine="0" w:firstLineChars="0"/>
              <w:jc w:val="center"/>
              <w:rPr>
                <w:sz w:val="22"/>
                <w:szCs w:val="22"/>
              </w:rPr>
            </w:pPr>
            <w:r>
              <w:rPr>
                <w:rFonts w:hint="eastAsia"/>
                <w:sz w:val="22"/>
                <w:szCs w:val="22"/>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6227" w:type="dxa"/>
          </w:tcPr>
          <w:p>
            <w:pPr>
              <w:ind w:left="0" w:leftChars="0" w:firstLine="0" w:firstLineChars="0"/>
              <w:rPr>
                <w:sz w:val="22"/>
                <w:szCs w:val="22"/>
              </w:rPr>
            </w:pPr>
            <w:r>
              <w:rPr>
                <w:rFonts w:hint="eastAsia"/>
                <w:sz w:val="22"/>
                <w:szCs w:val="22"/>
              </w:rPr>
              <w:t>有效投标报价的算术平均值</w:t>
            </w:r>
          </w:p>
        </w:tc>
        <w:tc>
          <w:tcPr>
            <w:tcW w:w="2681" w:type="dxa"/>
            <w:vAlign w:val="center"/>
          </w:tcPr>
          <w:p>
            <w:pPr>
              <w:ind w:left="0" w:leftChars="0" w:firstLine="0" w:firstLineChars="0"/>
              <w:jc w:val="center"/>
              <w:rPr>
                <w:sz w:val="22"/>
                <w:szCs w:val="22"/>
              </w:rPr>
            </w:pPr>
            <w:r>
              <w:rPr>
                <w:rFonts w:hint="eastAsia"/>
                <w:sz w:val="22"/>
                <w:szCs w:val="22"/>
              </w:rPr>
              <w:t>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6227" w:type="dxa"/>
          </w:tcPr>
          <w:p>
            <w:pPr>
              <w:ind w:left="0" w:leftChars="0" w:firstLine="0" w:firstLineChars="0"/>
              <w:rPr>
                <w:sz w:val="22"/>
                <w:szCs w:val="22"/>
              </w:rPr>
            </w:pPr>
            <w:r>
              <w:rPr>
                <w:rFonts w:hint="eastAsia"/>
                <w:sz w:val="22"/>
                <w:szCs w:val="22"/>
              </w:rPr>
              <w:t>求和</w:t>
            </w:r>
          </w:p>
        </w:tc>
        <w:tc>
          <w:tcPr>
            <w:tcW w:w="2681" w:type="dxa"/>
            <w:vAlign w:val="center"/>
          </w:tcPr>
          <w:p>
            <w:pPr>
              <w:ind w:left="0" w:leftChars="0" w:firstLine="0" w:firstLineChars="0"/>
              <w:jc w:val="center"/>
              <w:rPr>
                <w:sz w:val="22"/>
                <w:szCs w:val="22"/>
              </w:rPr>
            </w:pPr>
            <w:r>
              <w:rPr>
                <w:rFonts w:hint="eastAsia"/>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6227" w:type="dxa"/>
          </w:tcPr>
          <w:p>
            <w:pPr>
              <w:ind w:left="0" w:leftChars="0" w:firstLine="0" w:firstLineChars="0"/>
              <w:rPr>
                <w:sz w:val="22"/>
                <w:szCs w:val="22"/>
              </w:rPr>
            </w:pPr>
            <w:r>
              <w:rPr>
                <w:rFonts w:hint="eastAsia"/>
                <w:sz w:val="22"/>
                <w:szCs w:val="22"/>
              </w:rPr>
              <w:t>有效投标报价的标准差</w:t>
            </w:r>
          </w:p>
        </w:tc>
        <w:tc>
          <w:tcPr>
            <w:tcW w:w="2681" w:type="dxa"/>
            <w:vAlign w:val="center"/>
          </w:tcPr>
          <w:p>
            <w:pPr>
              <w:ind w:left="0" w:leftChars="0" w:firstLine="0" w:firstLineChars="0"/>
              <w:jc w:val="center"/>
              <w:rPr>
                <w:sz w:val="22"/>
                <w:szCs w:val="22"/>
              </w:rPr>
            </w:pPr>
            <w:r>
              <w:rPr>
                <w:rFonts w:hint="eastAsia"/>
                <w:sz w:val="22"/>
                <w:szCs w:val="22"/>
              </w:rPr>
              <w:t>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6227" w:type="dxa"/>
          </w:tcPr>
          <w:p>
            <w:pPr>
              <w:ind w:left="0" w:leftChars="0" w:firstLine="0" w:firstLineChars="0"/>
              <w:rPr>
                <w:sz w:val="22"/>
                <w:szCs w:val="22"/>
              </w:rPr>
            </w:pPr>
            <w:r>
              <w:rPr>
                <w:rFonts w:hint="eastAsia"/>
                <w:sz w:val="22"/>
                <w:szCs w:val="22"/>
              </w:rPr>
              <w:t>变异系数</w:t>
            </w:r>
          </w:p>
        </w:tc>
        <w:tc>
          <w:tcPr>
            <w:tcW w:w="2681" w:type="dxa"/>
            <w:vAlign w:val="center"/>
          </w:tcPr>
          <w:p>
            <w:pPr>
              <w:ind w:left="0" w:leftChars="0" w:firstLine="0" w:firstLineChars="0"/>
              <w:jc w:val="center"/>
              <w:rPr>
                <w:sz w:val="22"/>
                <w:szCs w:val="22"/>
              </w:rPr>
            </w:pPr>
            <w:r>
              <w:rPr>
                <w:rFonts w:hint="eastAsia"/>
                <w:sz w:val="22"/>
                <w:szCs w:val="22"/>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27" w:type="dxa"/>
          </w:tcPr>
          <w:p>
            <w:pPr>
              <w:ind w:left="0" w:leftChars="0" w:firstLine="0" w:firstLineChars="0"/>
              <w:rPr>
                <w:sz w:val="22"/>
                <w:szCs w:val="22"/>
              </w:rPr>
            </w:pPr>
            <w:r>
              <w:rPr>
                <w:rFonts w:hint="eastAsia"/>
                <w:sz w:val="22"/>
                <w:szCs w:val="22"/>
              </w:rPr>
              <w:t>参与评标基准价计算的有效投标报价范围的最大值（上限）</w:t>
            </w:r>
          </w:p>
        </w:tc>
        <w:tc>
          <w:tcPr>
            <w:tcW w:w="2681" w:type="dxa"/>
            <w:vAlign w:val="center"/>
          </w:tcPr>
          <w:p>
            <w:pPr>
              <w:ind w:left="0" w:leftChars="0" w:firstLine="0" w:firstLineChars="0"/>
              <w:jc w:val="center"/>
              <w:rPr>
                <w:sz w:val="22"/>
                <w:szCs w:val="22"/>
              </w:rPr>
            </w:pPr>
            <w:r>
              <w:rPr>
                <w:rFonts w:hint="eastAsia"/>
                <w:sz w:val="22"/>
                <w:szCs w:val="22"/>
              </w:rPr>
              <w:t>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227" w:type="dxa"/>
          </w:tcPr>
          <w:p>
            <w:pPr>
              <w:ind w:left="0" w:leftChars="0" w:firstLine="0" w:firstLineChars="0"/>
              <w:rPr>
                <w:sz w:val="22"/>
                <w:szCs w:val="22"/>
              </w:rPr>
            </w:pPr>
            <w:r>
              <w:rPr>
                <w:rFonts w:hint="eastAsia"/>
                <w:sz w:val="22"/>
                <w:szCs w:val="22"/>
              </w:rPr>
              <w:t>参与评标基准价计算的有效投标报价范围的最小值（下限）</w:t>
            </w:r>
          </w:p>
        </w:tc>
        <w:tc>
          <w:tcPr>
            <w:tcW w:w="2681" w:type="dxa"/>
            <w:vAlign w:val="center"/>
          </w:tcPr>
          <w:p>
            <w:pPr>
              <w:ind w:left="0" w:leftChars="0" w:firstLine="0" w:firstLineChars="0"/>
              <w:jc w:val="center"/>
              <w:rPr>
                <w:sz w:val="22"/>
                <w:szCs w:val="22"/>
              </w:rPr>
            </w:pPr>
            <w:r>
              <w:rPr>
                <w:rFonts w:hint="eastAsia"/>
                <w:sz w:val="22"/>
                <w:szCs w:val="22"/>
              </w:rPr>
              <w:t>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7" w:type="dxa"/>
          </w:tcPr>
          <w:p>
            <w:pPr>
              <w:ind w:left="0" w:leftChars="0" w:firstLine="0" w:firstLineChars="0"/>
              <w:rPr>
                <w:sz w:val="22"/>
                <w:szCs w:val="22"/>
              </w:rPr>
            </w:pPr>
            <w:r>
              <w:rPr>
                <w:rFonts w:hint="eastAsia"/>
                <w:sz w:val="22"/>
                <w:szCs w:val="22"/>
              </w:rPr>
              <w:t>确定参与评标基准价计算的有效投标报价范围的调整系数</w:t>
            </w:r>
          </w:p>
        </w:tc>
        <w:tc>
          <w:tcPr>
            <w:tcW w:w="2681" w:type="dxa"/>
            <w:vAlign w:val="center"/>
          </w:tcPr>
          <w:p>
            <w:pPr>
              <w:ind w:left="0" w:leftChars="0" w:firstLine="0" w:firstLineChars="0"/>
              <w:jc w:val="center"/>
              <w:rPr>
                <w:sz w:val="22"/>
                <w:szCs w:val="22"/>
              </w:rPr>
            </w:pPr>
            <w:r>
              <w:rPr>
                <w:rFonts w:hint="eastAsia"/>
                <w:sz w:val="22"/>
                <w:szCs w:val="22"/>
              </w:rPr>
              <w: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227" w:type="dxa"/>
          </w:tcPr>
          <w:p>
            <w:pPr>
              <w:ind w:left="0" w:leftChars="0" w:firstLine="0" w:firstLineChars="0"/>
              <w:rPr>
                <w:sz w:val="22"/>
                <w:szCs w:val="22"/>
              </w:rPr>
            </w:pPr>
            <w:r>
              <w:rPr>
                <w:rFonts w:hint="eastAsia"/>
                <w:sz w:val="22"/>
                <w:szCs w:val="22"/>
              </w:rPr>
              <w:t>参与投标报价基准价计算去掉最高最低值的数量</w:t>
            </w:r>
          </w:p>
        </w:tc>
        <w:tc>
          <w:tcPr>
            <w:tcW w:w="2681" w:type="dxa"/>
            <w:vAlign w:val="center"/>
          </w:tcPr>
          <w:p>
            <w:pPr>
              <w:ind w:left="0" w:leftChars="0" w:firstLine="0" w:firstLineChars="0"/>
              <w:jc w:val="center"/>
              <w:rPr>
                <w:sz w:val="22"/>
                <w:szCs w:val="22"/>
              </w:rPr>
            </w:pPr>
            <w:r>
              <w:rPr>
                <w:rFonts w:hint="eastAsia"/>
                <w:sz w:val="22"/>
                <w:szCs w:val="22"/>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227" w:type="dxa"/>
          </w:tcPr>
          <w:p>
            <w:pPr>
              <w:ind w:left="0" w:leftChars="0" w:firstLine="0" w:firstLineChars="0"/>
              <w:rPr>
                <w:sz w:val="22"/>
                <w:szCs w:val="22"/>
              </w:rPr>
            </w:pPr>
            <w:r>
              <w:rPr>
                <w:rFonts w:hint="eastAsia"/>
                <w:sz w:val="22"/>
                <w:szCs w:val="22"/>
              </w:rPr>
              <w:t>投标报价基准价</w:t>
            </w:r>
          </w:p>
        </w:tc>
        <w:tc>
          <w:tcPr>
            <w:tcW w:w="2681" w:type="dxa"/>
            <w:vAlign w:val="center"/>
          </w:tcPr>
          <w:p>
            <w:pPr>
              <w:ind w:left="0" w:leftChars="0" w:firstLine="0" w:firstLineChars="0"/>
              <w:jc w:val="center"/>
              <w:rPr>
                <w:sz w:val="22"/>
                <w:szCs w:val="22"/>
              </w:rPr>
            </w:pPr>
            <w:r>
              <w:rPr>
                <w:rFonts w:hint="eastAsia"/>
                <w:sz w:val="22"/>
                <w:szCs w:val="22"/>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7" w:type="dxa"/>
          </w:tcPr>
          <w:p>
            <w:pPr>
              <w:ind w:left="0" w:leftChars="0" w:firstLine="0" w:firstLineChars="0"/>
              <w:rPr>
                <w:sz w:val="22"/>
                <w:szCs w:val="22"/>
              </w:rPr>
            </w:pPr>
            <w:r>
              <w:rPr>
                <w:rFonts w:hint="eastAsia"/>
                <w:sz w:val="22"/>
                <w:szCs w:val="22"/>
              </w:rPr>
              <w:t>分部分项工程项目清单综合单价的基准价</w:t>
            </w:r>
          </w:p>
        </w:tc>
        <w:tc>
          <w:tcPr>
            <w:tcW w:w="2681" w:type="dxa"/>
            <w:vAlign w:val="center"/>
          </w:tcPr>
          <w:p>
            <w:pPr>
              <w:ind w:left="0" w:leftChars="0" w:firstLine="0" w:firstLineChars="0"/>
              <w:jc w:val="center"/>
              <w:rPr>
                <w:sz w:val="22"/>
                <w:szCs w:val="22"/>
              </w:rPr>
            </w:pPr>
            <w:r>
              <w:rPr>
                <w:rFonts w:hint="eastAsia"/>
                <w:sz w:val="22"/>
                <w:szCs w:val="22"/>
              </w:rPr>
              <w:t>Jf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227" w:type="dxa"/>
          </w:tcPr>
          <w:p>
            <w:pPr>
              <w:ind w:left="0" w:leftChars="0" w:firstLine="0" w:firstLineChars="0"/>
              <w:rPr>
                <w:sz w:val="22"/>
                <w:szCs w:val="22"/>
              </w:rPr>
            </w:pPr>
            <w:r>
              <w:rPr>
                <w:rFonts w:hint="eastAsia"/>
                <w:sz w:val="22"/>
                <w:szCs w:val="22"/>
              </w:rPr>
              <w:t>措施项目费（不含安全文明施工措施费）的基准价</w:t>
            </w:r>
          </w:p>
        </w:tc>
        <w:tc>
          <w:tcPr>
            <w:tcW w:w="2681" w:type="dxa"/>
            <w:vAlign w:val="center"/>
          </w:tcPr>
          <w:p>
            <w:pPr>
              <w:ind w:left="0" w:leftChars="0" w:firstLine="0" w:firstLineChars="0"/>
              <w:jc w:val="center"/>
              <w:rPr>
                <w:sz w:val="22"/>
                <w:szCs w:val="22"/>
              </w:rPr>
            </w:pPr>
            <w:r>
              <w:rPr>
                <w:rFonts w:hint="eastAsia"/>
                <w:sz w:val="22"/>
                <w:szCs w:val="22"/>
              </w:rPr>
              <w:t>Js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27" w:type="dxa"/>
          </w:tcPr>
          <w:p>
            <w:pPr>
              <w:ind w:left="0" w:leftChars="0" w:firstLine="0" w:firstLineChars="0"/>
              <w:rPr>
                <w:sz w:val="22"/>
                <w:szCs w:val="22"/>
              </w:rPr>
            </w:pPr>
            <w:r>
              <w:rPr>
                <w:rFonts w:hint="eastAsia"/>
                <w:sz w:val="22"/>
                <w:szCs w:val="22"/>
              </w:rPr>
              <w:t>材料单价的基准价</w:t>
            </w:r>
          </w:p>
        </w:tc>
        <w:tc>
          <w:tcPr>
            <w:tcW w:w="2681" w:type="dxa"/>
            <w:vAlign w:val="center"/>
          </w:tcPr>
          <w:p>
            <w:pPr>
              <w:ind w:left="0" w:leftChars="0" w:firstLine="0" w:firstLineChars="0"/>
              <w:jc w:val="center"/>
              <w:rPr>
                <w:sz w:val="22"/>
                <w:szCs w:val="22"/>
              </w:rPr>
            </w:pPr>
            <w:r>
              <w:rPr>
                <w:rFonts w:hint="eastAsia"/>
                <w:sz w:val="22"/>
                <w:szCs w:val="22"/>
              </w:rPr>
              <w:t>Jc</w:t>
            </w:r>
          </w:p>
        </w:tc>
      </w:tr>
    </w:tbl>
    <w:p>
      <w:pPr>
        <w:spacing w:line="240" w:lineRule="auto"/>
        <w:ind w:firstLine="482" w:firstLineChars="200"/>
        <w:textAlignment w:val="baseline"/>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2. 投标报价基准价计算</w:t>
      </w:r>
    </w:p>
    <w:p>
      <w:pPr>
        <w:rPr>
          <w:sz w:val="22"/>
          <w:szCs w:val="22"/>
        </w:rPr>
      </w:pPr>
      <w:r>
        <w:rPr>
          <w:sz w:val="22"/>
          <w:szCs w:val="22"/>
        </w:rPr>
        <w:t>有效投标报价数据（X</w:t>
      </w:r>
      <w:r>
        <w:rPr>
          <w:sz w:val="22"/>
          <w:szCs w:val="22"/>
          <w:vertAlign w:val="subscript"/>
        </w:rPr>
        <w:t>1</w:t>
      </w:r>
      <w:r>
        <w:rPr>
          <w:sz w:val="22"/>
          <w:szCs w:val="22"/>
        </w:rPr>
        <w:t>，X</w:t>
      </w:r>
      <w:r>
        <w:rPr>
          <w:sz w:val="22"/>
          <w:szCs w:val="22"/>
          <w:vertAlign w:val="subscript"/>
        </w:rPr>
        <w:t>2</w:t>
      </w:r>
      <w:r>
        <w:rPr>
          <w:sz w:val="22"/>
          <w:szCs w:val="22"/>
        </w:rPr>
        <w:t>，X</w:t>
      </w:r>
      <w:r>
        <w:rPr>
          <w:sz w:val="22"/>
          <w:szCs w:val="22"/>
          <w:vertAlign w:val="subscript"/>
        </w:rPr>
        <w:t>3</w:t>
      </w:r>
      <w:r>
        <w:rPr>
          <w:sz w:val="22"/>
          <w:szCs w:val="22"/>
        </w:rPr>
        <w:t>........Xn），其平均值为μ，</w:t>
      </w:r>
      <w:r>
        <w:rPr>
          <w:rFonts w:eastAsia="微软雅黑"/>
          <w:sz w:val="22"/>
          <w:szCs w:val="22"/>
          <w:shd w:val="clear" w:color="auto" w:fill="FFFFFF"/>
        </w:rPr>
        <w:drawing>
          <wp:inline distT="0" distB="0" distL="114300" distR="114300">
            <wp:extent cx="1009650" cy="400050"/>
            <wp:effectExtent l="0" t="0" r="0" b="0"/>
            <wp:docPr id="8" name="图片 2" descr="平均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平均值"/>
                    <pic:cNvPicPr>
                      <a:picLocks noChangeAspect="1"/>
                    </pic:cNvPicPr>
                  </pic:nvPicPr>
                  <pic:blipFill>
                    <a:blip r:embed="rId23"/>
                    <a:stretch>
                      <a:fillRect/>
                    </a:stretch>
                  </pic:blipFill>
                  <pic:spPr>
                    <a:xfrm>
                      <a:off x="0" y="0"/>
                      <a:ext cx="1009650" cy="400050"/>
                    </a:xfrm>
                    <a:prstGeom prst="rect">
                      <a:avLst/>
                    </a:prstGeom>
                    <a:noFill/>
                    <a:ln>
                      <a:noFill/>
                    </a:ln>
                  </pic:spPr>
                </pic:pic>
              </a:graphicData>
            </a:graphic>
          </wp:inline>
        </w:drawing>
      </w:r>
      <w:r>
        <w:rPr>
          <w:sz w:val="22"/>
          <w:szCs w:val="22"/>
        </w:rPr>
        <w:t>；其标准差为σ，</w:t>
      </w:r>
      <w:r>
        <w:rPr>
          <w:rFonts w:eastAsia="微软雅黑"/>
          <w:sz w:val="22"/>
          <w:szCs w:val="22"/>
          <w:shd w:val="clear" w:color="auto" w:fill="FFFFFF"/>
        </w:rPr>
        <w:drawing>
          <wp:inline distT="0" distB="0" distL="114300" distR="114300">
            <wp:extent cx="1724025" cy="419735"/>
            <wp:effectExtent l="0" t="0" r="9525" b="18415"/>
            <wp:docPr id="2" name="图片 3" descr="标准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标准差"/>
                    <pic:cNvPicPr>
                      <a:picLocks noChangeAspect="1"/>
                    </pic:cNvPicPr>
                  </pic:nvPicPr>
                  <pic:blipFill>
                    <a:blip r:embed="rId24"/>
                    <a:stretch>
                      <a:fillRect/>
                    </a:stretch>
                  </pic:blipFill>
                  <pic:spPr>
                    <a:xfrm>
                      <a:off x="0" y="0"/>
                      <a:ext cx="1724025" cy="419735"/>
                    </a:xfrm>
                    <a:prstGeom prst="rect">
                      <a:avLst/>
                    </a:prstGeom>
                    <a:noFill/>
                    <a:ln>
                      <a:noFill/>
                    </a:ln>
                  </pic:spPr>
                </pic:pic>
              </a:graphicData>
            </a:graphic>
          </wp:inline>
        </w:drawing>
      </w:r>
      <w:r>
        <w:rPr>
          <w:sz w:val="22"/>
          <w:szCs w:val="22"/>
        </w:rPr>
        <w:t>；标准差与平均数的比值为变异系数，记为Z，</w:t>
      </w:r>
      <w:r>
        <w:rPr>
          <w:rFonts w:ascii="Calibri" w:hAnsi="Calibri" w:cs="Calibri"/>
          <w:sz w:val="22"/>
          <w:szCs w:val="22"/>
        </w:rPr>
        <w:t> </w:t>
      </w:r>
      <w:r>
        <w:rPr>
          <w:sz w:val="22"/>
          <w:szCs w:val="22"/>
        </w:rPr>
        <w:t>Z =( σ / μ )× 100%；参与评标基准价计算的有效投标报价范围的最大值（上限）确定为：MAX=μ＋3×K×σ，最小值（下限）为：MIN=μ－2×K×σ；在此范围内的有效投标报价参与评标基准价的计算。</w:t>
      </w:r>
    </w:p>
    <w:p>
      <w:pPr>
        <w:rPr>
          <w:sz w:val="22"/>
          <w:szCs w:val="22"/>
        </w:rPr>
      </w:pPr>
      <w:r>
        <w:rPr>
          <w:sz w:val="22"/>
          <w:szCs w:val="22"/>
        </w:rPr>
        <w:t>K值的取值为：</w:t>
      </w:r>
    </w:p>
    <w:tbl>
      <w:tblPr>
        <w:tblStyle w:val="42"/>
        <w:tblpPr w:leftFromText="180" w:rightFromText="180" w:vertAnchor="text" w:horzAnchor="page" w:tblpX="1620" w:tblpY="20"/>
        <w:tblOverlap w:val="never"/>
        <w:tblW w:w="8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2285"/>
        <w:gridCol w:w="1147"/>
        <w:gridCol w:w="1009"/>
        <w:gridCol w:w="2274"/>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007" w:type="dxa"/>
            <w:vAlign w:val="center"/>
          </w:tcPr>
          <w:p>
            <w:pPr>
              <w:ind w:left="0" w:leftChars="0" w:firstLine="0" w:firstLineChars="0"/>
              <w:jc w:val="center"/>
              <w:rPr>
                <w:sz w:val="22"/>
                <w:szCs w:val="22"/>
              </w:rPr>
            </w:pPr>
            <w:r>
              <w:rPr>
                <w:rFonts w:hint="eastAsia"/>
                <w:sz w:val="22"/>
                <w:szCs w:val="22"/>
              </w:rPr>
              <w:t>序号</w:t>
            </w:r>
          </w:p>
        </w:tc>
        <w:tc>
          <w:tcPr>
            <w:tcW w:w="2285" w:type="dxa"/>
            <w:vAlign w:val="center"/>
          </w:tcPr>
          <w:p>
            <w:pPr>
              <w:ind w:left="0" w:leftChars="0" w:firstLine="0" w:firstLineChars="0"/>
              <w:jc w:val="center"/>
              <w:rPr>
                <w:sz w:val="22"/>
                <w:szCs w:val="22"/>
              </w:rPr>
            </w:pPr>
            <w:r>
              <w:rPr>
                <w:rFonts w:hint="eastAsia"/>
                <w:sz w:val="22"/>
                <w:szCs w:val="22"/>
              </w:rPr>
              <w:t>Z范围</w:t>
            </w:r>
          </w:p>
        </w:tc>
        <w:tc>
          <w:tcPr>
            <w:tcW w:w="1147" w:type="dxa"/>
            <w:vAlign w:val="center"/>
          </w:tcPr>
          <w:p>
            <w:pPr>
              <w:ind w:left="0" w:leftChars="0" w:firstLine="0" w:firstLineChars="0"/>
              <w:jc w:val="center"/>
              <w:rPr>
                <w:sz w:val="22"/>
                <w:szCs w:val="22"/>
              </w:rPr>
            </w:pPr>
            <w:r>
              <w:rPr>
                <w:rFonts w:hint="eastAsia"/>
                <w:sz w:val="22"/>
                <w:szCs w:val="22"/>
              </w:rPr>
              <w:t>K值</w:t>
            </w:r>
          </w:p>
        </w:tc>
        <w:tc>
          <w:tcPr>
            <w:tcW w:w="1009" w:type="dxa"/>
            <w:vAlign w:val="center"/>
          </w:tcPr>
          <w:p>
            <w:pPr>
              <w:ind w:left="0" w:leftChars="0" w:firstLine="0" w:firstLineChars="0"/>
              <w:jc w:val="center"/>
              <w:rPr>
                <w:sz w:val="22"/>
                <w:szCs w:val="22"/>
              </w:rPr>
            </w:pPr>
            <w:r>
              <w:rPr>
                <w:rFonts w:hint="eastAsia"/>
                <w:sz w:val="22"/>
                <w:szCs w:val="22"/>
              </w:rPr>
              <w:t>序号</w:t>
            </w:r>
          </w:p>
        </w:tc>
        <w:tc>
          <w:tcPr>
            <w:tcW w:w="2274" w:type="dxa"/>
            <w:vAlign w:val="center"/>
          </w:tcPr>
          <w:p>
            <w:pPr>
              <w:ind w:left="0" w:leftChars="0" w:firstLine="0" w:firstLineChars="0"/>
              <w:jc w:val="center"/>
              <w:rPr>
                <w:sz w:val="22"/>
                <w:szCs w:val="22"/>
              </w:rPr>
            </w:pPr>
            <w:r>
              <w:rPr>
                <w:rFonts w:hint="eastAsia"/>
                <w:sz w:val="22"/>
                <w:szCs w:val="22"/>
              </w:rPr>
              <w:t>Z范围</w:t>
            </w:r>
          </w:p>
        </w:tc>
        <w:tc>
          <w:tcPr>
            <w:tcW w:w="1196" w:type="dxa"/>
            <w:vAlign w:val="center"/>
          </w:tcPr>
          <w:p>
            <w:pPr>
              <w:ind w:left="0" w:leftChars="0" w:firstLine="0" w:firstLineChars="0"/>
              <w:jc w:val="center"/>
              <w:rPr>
                <w:sz w:val="22"/>
                <w:szCs w:val="22"/>
              </w:rPr>
            </w:pPr>
            <w:r>
              <w:rPr>
                <w:rFonts w:hint="eastAsia"/>
                <w:sz w:val="22"/>
                <w:szCs w:val="22"/>
              </w:rPr>
              <w:t>K值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007" w:type="dxa"/>
            <w:vAlign w:val="center"/>
          </w:tcPr>
          <w:p>
            <w:pPr>
              <w:ind w:left="0" w:leftChars="0" w:firstLine="0" w:firstLineChars="0"/>
              <w:jc w:val="center"/>
              <w:rPr>
                <w:sz w:val="22"/>
                <w:szCs w:val="22"/>
              </w:rPr>
            </w:pPr>
            <w:r>
              <w:rPr>
                <w:rFonts w:hint="eastAsia"/>
                <w:sz w:val="22"/>
                <w:szCs w:val="22"/>
              </w:rPr>
              <w:t>1</w:t>
            </w:r>
          </w:p>
        </w:tc>
        <w:tc>
          <w:tcPr>
            <w:tcW w:w="2285" w:type="dxa"/>
            <w:vAlign w:val="center"/>
          </w:tcPr>
          <w:p>
            <w:pPr>
              <w:ind w:left="0" w:leftChars="0" w:firstLine="0" w:firstLineChars="0"/>
              <w:jc w:val="center"/>
              <w:rPr>
                <w:sz w:val="22"/>
                <w:szCs w:val="22"/>
              </w:rPr>
            </w:pPr>
            <w:r>
              <w:rPr>
                <w:rFonts w:hint="eastAsia"/>
                <w:sz w:val="22"/>
                <w:szCs w:val="22"/>
              </w:rPr>
              <w:t>Z&gt;10%</w:t>
            </w:r>
          </w:p>
        </w:tc>
        <w:tc>
          <w:tcPr>
            <w:tcW w:w="1147" w:type="dxa"/>
            <w:vAlign w:val="center"/>
          </w:tcPr>
          <w:p>
            <w:pPr>
              <w:ind w:left="0" w:leftChars="0" w:firstLine="0" w:firstLineChars="0"/>
              <w:jc w:val="center"/>
              <w:rPr>
                <w:sz w:val="22"/>
                <w:szCs w:val="22"/>
              </w:rPr>
            </w:pPr>
            <w:r>
              <w:rPr>
                <w:rFonts w:hint="eastAsia"/>
                <w:sz w:val="22"/>
                <w:szCs w:val="22"/>
              </w:rPr>
              <w:t>0.1</w:t>
            </w:r>
          </w:p>
        </w:tc>
        <w:tc>
          <w:tcPr>
            <w:tcW w:w="1009" w:type="dxa"/>
            <w:vAlign w:val="center"/>
          </w:tcPr>
          <w:p>
            <w:pPr>
              <w:ind w:left="0" w:leftChars="0" w:firstLine="0" w:firstLineChars="0"/>
              <w:jc w:val="center"/>
              <w:rPr>
                <w:sz w:val="22"/>
                <w:szCs w:val="22"/>
              </w:rPr>
            </w:pPr>
            <w:r>
              <w:rPr>
                <w:rFonts w:hint="eastAsia"/>
                <w:sz w:val="22"/>
                <w:szCs w:val="22"/>
              </w:rPr>
              <w:t>4</w:t>
            </w:r>
          </w:p>
        </w:tc>
        <w:tc>
          <w:tcPr>
            <w:tcW w:w="2274" w:type="dxa"/>
            <w:vAlign w:val="center"/>
          </w:tcPr>
          <w:p>
            <w:pPr>
              <w:ind w:left="0" w:leftChars="0" w:firstLine="0" w:firstLineChars="0"/>
              <w:jc w:val="center"/>
              <w:rPr>
                <w:sz w:val="22"/>
                <w:szCs w:val="22"/>
              </w:rPr>
            </w:pPr>
            <w:r>
              <w:rPr>
                <w:rFonts w:hint="eastAsia"/>
                <w:sz w:val="22"/>
                <w:szCs w:val="22"/>
              </w:rPr>
              <w:t>6%≥Z&gt;4%</w:t>
            </w:r>
          </w:p>
        </w:tc>
        <w:tc>
          <w:tcPr>
            <w:tcW w:w="1196" w:type="dxa"/>
            <w:vAlign w:val="center"/>
          </w:tcPr>
          <w:p>
            <w:pPr>
              <w:ind w:left="0" w:leftChars="0" w:firstLine="0" w:firstLineChars="0"/>
              <w:jc w:val="center"/>
              <w:rPr>
                <w:sz w:val="22"/>
                <w:szCs w:val="22"/>
              </w:rPr>
            </w:pPr>
            <w:r>
              <w:rPr>
                <w:rFonts w:hint="eastAsia"/>
                <w:sz w:val="22"/>
                <w:szCs w:val="22"/>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007" w:type="dxa"/>
            <w:vAlign w:val="center"/>
          </w:tcPr>
          <w:p>
            <w:pPr>
              <w:ind w:left="0" w:leftChars="0" w:firstLine="0" w:firstLineChars="0"/>
              <w:jc w:val="center"/>
              <w:rPr>
                <w:sz w:val="22"/>
                <w:szCs w:val="22"/>
              </w:rPr>
            </w:pPr>
            <w:r>
              <w:rPr>
                <w:rFonts w:hint="eastAsia"/>
                <w:sz w:val="22"/>
                <w:szCs w:val="22"/>
              </w:rPr>
              <w:t>2</w:t>
            </w:r>
          </w:p>
        </w:tc>
        <w:tc>
          <w:tcPr>
            <w:tcW w:w="2285" w:type="dxa"/>
            <w:vAlign w:val="center"/>
          </w:tcPr>
          <w:p>
            <w:pPr>
              <w:ind w:left="0" w:leftChars="0" w:firstLine="0" w:firstLineChars="0"/>
              <w:jc w:val="center"/>
              <w:rPr>
                <w:sz w:val="22"/>
                <w:szCs w:val="22"/>
              </w:rPr>
            </w:pPr>
            <w:r>
              <w:rPr>
                <w:rFonts w:hint="eastAsia"/>
                <w:sz w:val="22"/>
                <w:szCs w:val="22"/>
              </w:rPr>
              <w:t>10%≥Z&gt;8%</w:t>
            </w:r>
          </w:p>
        </w:tc>
        <w:tc>
          <w:tcPr>
            <w:tcW w:w="1147" w:type="dxa"/>
            <w:vAlign w:val="center"/>
          </w:tcPr>
          <w:p>
            <w:pPr>
              <w:ind w:left="0" w:leftChars="0" w:firstLine="0" w:firstLineChars="0"/>
              <w:jc w:val="center"/>
              <w:rPr>
                <w:sz w:val="22"/>
                <w:szCs w:val="22"/>
              </w:rPr>
            </w:pPr>
            <w:r>
              <w:rPr>
                <w:rFonts w:hint="eastAsia"/>
                <w:sz w:val="22"/>
                <w:szCs w:val="22"/>
              </w:rPr>
              <w:t>0.15</w:t>
            </w:r>
          </w:p>
        </w:tc>
        <w:tc>
          <w:tcPr>
            <w:tcW w:w="1009" w:type="dxa"/>
            <w:vAlign w:val="center"/>
          </w:tcPr>
          <w:p>
            <w:pPr>
              <w:ind w:left="0" w:leftChars="0" w:firstLine="0" w:firstLineChars="0"/>
              <w:jc w:val="center"/>
              <w:rPr>
                <w:sz w:val="22"/>
                <w:szCs w:val="22"/>
              </w:rPr>
            </w:pPr>
            <w:r>
              <w:rPr>
                <w:rFonts w:hint="eastAsia"/>
                <w:sz w:val="22"/>
                <w:szCs w:val="22"/>
              </w:rPr>
              <w:t>5</w:t>
            </w:r>
          </w:p>
        </w:tc>
        <w:tc>
          <w:tcPr>
            <w:tcW w:w="2274" w:type="dxa"/>
            <w:vAlign w:val="center"/>
          </w:tcPr>
          <w:p>
            <w:pPr>
              <w:ind w:left="0" w:leftChars="0" w:firstLine="0" w:firstLineChars="0"/>
              <w:jc w:val="center"/>
              <w:rPr>
                <w:sz w:val="22"/>
                <w:szCs w:val="22"/>
              </w:rPr>
            </w:pPr>
            <w:r>
              <w:rPr>
                <w:rFonts w:hint="eastAsia"/>
                <w:sz w:val="22"/>
                <w:szCs w:val="22"/>
              </w:rPr>
              <w:t>4%≥Z&gt;2%</w:t>
            </w:r>
          </w:p>
        </w:tc>
        <w:tc>
          <w:tcPr>
            <w:tcW w:w="1196" w:type="dxa"/>
            <w:vAlign w:val="center"/>
          </w:tcPr>
          <w:p>
            <w:pPr>
              <w:ind w:left="0" w:leftChars="0" w:firstLine="0" w:firstLineChars="0"/>
              <w:jc w:val="center"/>
              <w:rPr>
                <w:sz w:val="22"/>
                <w:szCs w:val="22"/>
              </w:rPr>
            </w:pPr>
            <w:r>
              <w:rPr>
                <w:rFonts w:hint="eastAsia"/>
                <w:sz w:val="22"/>
                <w:szCs w:val="22"/>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007" w:type="dxa"/>
            <w:vAlign w:val="center"/>
          </w:tcPr>
          <w:p>
            <w:pPr>
              <w:ind w:left="0" w:leftChars="0" w:firstLine="0" w:firstLineChars="0"/>
              <w:jc w:val="center"/>
              <w:rPr>
                <w:sz w:val="22"/>
                <w:szCs w:val="22"/>
              </w:rPr>
            </w:pPr>
            <w:r>
              <w:rPr>
                <w:rFonts w:hint="eastAsia"/>
                <w:sz w:val="22"/>
                <w:szCs w:val="22"/>
              </w:rPr>
              <w:t>3</w:t>
            </w:r>
          </w:p>
        </w:tc>
        <w:tc>
          <w:tcPr>
            <w:tcW w:w="2285" w:type="dxa"/>
            <w:vAlign w:val="center"/>
          </w:tcPr>
          <w:p>
            <w:pPr>
              <w:ind w:left="0" w:leftChars="0" w:firstLine="0" w:firstLineChars="0"/>
              <w:jc w:val="center"/>
              <w:rPr>
                <w:sz w:val="22"/>
                <w:szCs w:val="22"/>
              </w:rPr>
            </w:pPr>
            <w:r>
              <w:rPr>
                <w:rFonts w:hint="eastAsia"/>
                <w:sz w:val="22"/>
                <w:szCs w:val="22"/>
              </w:rPr>
              <w:t>8%≥Z&gt;6%</w:t>
            </w:r>
          </w:p>
        </w:tc>
        <w:tc>
          <w:tcPr>
            <w:tcW w:w="1147" w:type="dxa"/>
            <w:vAlign w:val="center"/>
          </w:tcPr>
          <w:p>
            <w:pPr>
              <w:ind w:left="0" w:leftChars="0" w:firstLine="0" w:firstLineChars="0"/>
              <w:jc w:val="center"/>
              <w:rPr>
                <w:sz w:val="22"/>
                <w:szCs w:val="22"/>
              </w:rPr>
            </w:pPr>
            <w:r>
              <w:rPr>
                <w:rFonts w:hint="eastAsia"/>
                <w:sz w:val="22"/>
                <w:szCs w:val="22"/>
              </w:rPr>
              <w:t>0.2</w:t>
            </w:r>
          </w:p>
        </w:tc>
        <w:tc>
          <w:tcPr>
            <w:tcW w:w="1009" w:type="dxa"/>
            <w:vAlign w:val="center"/>
          </w:tcPr>
          <w:p>
            <w:pPr>
              <w:ind w:left="0" w:leftChars="0" w:firstLine="0" w:firstLineChars="0"/>
              <w:jc w:val="center"/>
              <w:rPr>
                <w:sz w:val="22"/>
                <w:szCs w:val="22"/>
              </w:rPr>
            </w:pPr>
            <w:r>
              <w:rPr>
                <w:rFonts w:hint="eastAsia"/>
                <w:sz w:val="22"/>
                <w:szCs w:val="22"/>
              </w:rPr>
              <w:t>6</w:t>
            </w:r>
          </w:p>
        </w:tc>
        <w:tc>
          <w:tcPr>
            <w:tcW w:w="2274" w:type="dxa"/>
            <w:vAlign w:val="center"/>
          </w:tcPr>
          <w:p>
            <w:pPr>
              <w:ind w:left="0" w:leftChars="0" w:firstLine="0" w:firstLineChars="0"/>
              <w:jc w:val="center"/>
              <w:rPr>
                <w:sz w:val="22"/>
                <w:szCs w:val="22"/>
              </w:rPr>
            </w:pPr>
            <w:r>
              <w:rPr>
                <w:rFonts w:hint="eastAsia"/>
                <w:sz w:val="22"/>
                <w:szCs w:val="22"/>
              </w:rPr>
              <w:t>2%≥Z&gt;0%</w:t>
            </w:r>
          </w:p>
        </w:tc>
        <w:tc>
          <w:tcPr>
            <w:tcW w:w="1196" w:type="dxa"/>
            <w:vAlign w:val="center"/>
          </w:tcPr>
          <w:p>
            <w:pPr>
              <w:ind w:left="0" w:leftChars="0" w:firstLine="0" w:firstLineChars="0"/>
              <w:jc w:val="center"/>
              <w:rPr>
                <w:sz w:val="22"/>
                <w:szCs w:val="22"/>
              </w:rPr>
            </w:pPr>
            <w:r>
              <w:rPr>
                <w:rFonts w:hint="eastAsia"/>
                <w:sz w:val="22"/>
                <w:szCs w:val="22"/>
              </w:rPr>
              <w:t>0.35</w:t>
            </w:r>
          </w:p>
        </w:tc>
      </w:tr>
    </w:tbl>
    <w:p>
      <w:pPr>
        <w:rPr>
          <w:sz w:val="22"/>
          <w:szCs w:val="22"/>
        </w:rPr>
      </w:pPr>
      <w:r>
        <w:rPr>
          <w:sz w:val="22"/>
          <w:szCs w:val="22"/>
        </w:rPr>
        <w:t>投标报价基准价计算规则见下表。</w:t>
      </w:r>
    </w:p>
    <w:tbl>
      <w:tblPr>
        <w:tblStyle w:val="42"/>
        <w:tblpPr w:leftFromText="180" w:rightFromText="180" w:vertAnchor="text" w:horzAnchor="page" w:tblpX="1620" w:tblpY="357"/>
        <w:tblOverlap w:val="never"/>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0"/>
        <w:gridCol w:w="5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60" w:type="dxa"/>
            <w:vAlign w:val="center"/>
          </w:tcPr>
          <w:p>
            <w:pPr>
              <w:ind w:left="0" w:leftChars="0" w:firstLine="0" w:firstLineChars="0"/>
              <w:rPr>
                <w:kern w:val="0"/>
                <w:sz w:val="22"/>
                <w:szCs w:val="22"/>
              </w:rPr>
            </w:pPr>
            <w:r>
              <w:rPr>
                <w:rFonts w:hint="eastAsia"/>
                <w:sz w:val="22"/>
                <w:szCs w:val="22"/>
              </w:rPr>
              <w:t>有效投标报价</w:t>
            </w:r>
            <w:r>
              <w:rPr>
                <w:rFonts w:hint="eastAsia"/>
                <w:kern w:val="0"/>
                <w:sz w:val="22"/>
                <w:szCs w:val="22"/>
              </w:rPr>
              <w:t>在</w:t>
            </w:r>
            <w:r>
              <w:rPr>
                <w:rFonts w:hint="eastAsia"/>
                <w:sz w:val="22"/>
                <w:szCs w:val="22"/>
              </w:rPr>
              <w:t>MAX、MIN范围内（含MAX、MIN值）的个数</w:t>
            </w:r>
          </w:p>
        </w:tc>
        <w:tc>
          <w:tcPr>
            <w:tcW w:w="5619" w:type="dxa"/>
            <w:vAlign w:val="center"/>
          </w:tcPr>
          <w:p>
            <w:pPr>
              <w:ind w:left="0" w:leftChars="0" w:firstLine="0" w:firstLineChars="0"/>
              <w:jc w:val="center"/>
              <w:rPr>
                <w:kern w:val="0"/>
                <w:sz w:val="22"/>
                <w:szCs w:val="22"/>
              </w:rPr>
            </w:pPr>
            <w:r>
              <w:rPr>
                <w:rFonts w:hint="eastAsia"/>
                <w:sz w:val="22"/>
                <w:szCs w:val="22"/>
              </w:rPr>
              <w:t>投标报价基准价J的计算方法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3360" w:type="dxa"/>
            <w:vAlign w:val="center"/>
          </w:tcPr>
          <w:p>
            <w:pPr>
              <w:rPr>
                <w:sz w:val="22"/>
                <w:szCs w:val="22"/>
              </w:rPr>
            </w:pPr>
            <w:r>
              <w:rPr>
                <w:rFonts w:hint="eastAsia"/>
                <w:sz w:val="22"/>
                <w:szCs w:val="22"/>
              </w:rPr>
              <w:t>个数&lt;3</w:t>
            </w:r>
          </w:p>
        </w:tc>
        <w:tc>
          <w:tcPr>
            <w:tcW w:w="5619" w:type="dxa"/>
          </w:tcPr>
          <w:p>
            <w:pPr>
              <w:ind w:left="0" w:leftChars="0" w:firstLine="0" w:firstLineChars="0"/>
              <w:rPr>
                <w:sz w:val="22"/>
                <w:szCs w:val="22"/>
              </w:rPr>
            </w:pPr>
            <w:r>
              <w:rPr>
                <w:rFonts w:hint="eastAsia"/>
                <w:sz w:val="22"/>
                <w:szCs w:val="22"/>
              </w:rPr>
              <w:t>所有有效投标报价（不受MAX、MIN范围的限制）的算术平均值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3360" w:type="dxa"/>
            <w:vAlign w:val="center"/>
          </w:tcPr>
          <w:p>
            <w:pPr>
              <w:rPr>
                <w:kern w:val="0"/>
                <w:sz w:val="22"/>
                <w:szCs w:val="22"/>
              </w:rPr>
            </w:pPr>
            <w:r>
              <w:rPr>
                <w:rFonts w:hint="eastAsia"/>
                <w:sz w:val="22"/>
                <w:szCs w:val="22"/>
              </w:rPr>
              <w:t>3≤个数≤6</w:t>
            </w:r>
          </w:p>
        </w:tc>
        <w:tc>
          <w:tcPr>
            <w:tcW w:w="5619" w:type="dxa"/>
          </w:tcPr>
          <w:p>
            <w:pPr>
              <w:ind w:left="0" w:leftChars="0" w:firstLine="0" w:firstLineChars="0"/>
              <w:jc w:val="both"/>
              <w:rPr>
                <w:sz w:val="22"/>
                <w:szCs w:val="22"/>
              </w:rPr>
            </w:pPr>
            <w:r>
              <w:rPr>
                <w:rFonts w:hint="eastAsia"/>
                <w:sz w:val="22"/>
                <w:szCs w:val="22"/>
              </w:rPr>
              <w:t>在MAX、MIN范围内的所有有效投标报价的算术平均值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3360" w:type="dxa"/>
            <w:vAlign w:val="center"/>
          </w:tcPr>
          <w:p>
            <w:pPr>
              <w:rPr>
                <w:sz w:val="22"/>
                <w:szCs w:val="22"/>
              </w:rPr>
            </w:pPr>
            <w:r>
              <w:rPr>
                <w:rFonts w:hint="eastAsia"/>
                <w:sz w:val="22"/>
                <w:szCs w:val="22"/>
              </w:rPr>
              <w:t>个数&gt;6</w:t>
            </w:r>
          </w:p>
        </w:tc>
        <w:tc>
          <w:tcPr>
            <w:tcW w:w="5619" w:type="dxa"/>
          </w:tcPr>
          <w:p>
            <w:pPr>
              <w:rPr>
                <w:sz w:val="22"/>
                <w:szCs w:val="22"/>
              </w:rPr>
            </w:pPr>
            <w:r>
              <w:rPr>
                <w:rFonts w:hint="eastAsia"/>
                <w:sz w:val="22"/>
                <w:szCs w:val="22"/>
              </w:rPr>
              <w:t>在MAX、MIN范围内的所有有效投标报价去掉M个最高报价和M个最低报价后的算术平均值，M为有效投标报价在MAX、MIN范围内的个数÷4后向下取整的整数值</w:t>
            </w:r>
          </w:p>
        </w:tc>
      </w:tr>
    </w:tbl>
    <w:p>
      <w:pPr>
        <w:rPr>
          <w:sz w:val="22"/>
          <w:szCs w:val="22"/>
        </w:rPr>
      </w:pPr>
      <w:r>
        <w:rPr>
          <w:sz w:val="22"/>
          <w:szCs w:val="22"/>
        </w:rPr>
        <w:t>上述参与评标基准价计算的有效投标报价，均不含规费、安全文明施工措施费、暂列金额、专业工程暂估价和税金。</w:t>
      </w:r>
    </w:p>
    <w:p>
      <w:pPr>
        <w:rPr>
          <w:sz w:val="22"/>
          <w:szCs w:val="22"/>
        </w:rPr>
      </w:pPr>
      <w:r>
        <w:rPr>
          <w:sz w:val="22"/>
          <w:szCs w:val="22"/>
        </w:rPr>
        <w:t>3.分部分项工程项目清单综合单价基准价、措施项目费（不含</w:t>
      </w:r>
      <w:r>
        <w:rPr>
          <w:kern w:val="0"/>
          <w:sz w:val="22"/>
          <w:szCs w:val="22"/>
        </w:rPr>
        <w:t>安全文明施工措施费</w:t>
      </w:r>
      <w:r>
        <w:rPr>
          <w:sz w:val="22"/>
          <w:szCs w:val="22"/>
        </w:rPr>
        <w:t>）基准价、材料单价基准价是所有有效投标报价中相应项目的算术平均值。</w:t>
      </w:r>
    </w:p>
    <w:tbl>
      <w:tblPr>
        <w:tblStyle w:val="42"/>
        <w:tblW w:w="8885" w:type="dxa"/>
        <w:tblInd w:w="4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7"/>
        <w:gridCol w:w="5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497" w:type="dxa"/>
          </w:tcPr>
          <w:p>
            <w:pPr>
              <w:ind w:left="0" w:leftChars="0" w:firstLine="0" w:firstLineChars="0"/>
              <w:jc w:val="center"/>
              <w:rPr>
                <w:kern w:val="0"/>
                <w:sz w:val="22"/>
                <w:szCs w:val="22"/>
              </w:rPr>
            </w:pPr>
            <w:r>
              <w:rPr>
                <w:rFonts w:hint="eastAsia"/>
                <w:sz w:val="22"/>
                <w:szCs w:val="22"/>
              </w:rPr>
              <w:t>基准价分类</w:t>
            </w:r>
          </w:p>
        </w:tc>
        <w:tc>
          <w:tcPr>
            <w:tcW w:w="5388" w:type="dxa"/>
          </w:tcPr>
          <w:p>
            <w:pPr>
              <w:ind w:left="0" w:leftChars="0" w:firstLine="0" w:firstLineChars="0"/>
              <w:jc w:val="center"/>
              <w:rPr>
                <w:kern w:val="0"/>
                <w:sz w:val="22"/>
                <w:szCs w:val="22"/>
              </w:rPr>
            </w:pPr>
            <w:r>
              <w:rPr>
                <w:rFonts w:hint="eastAsia"/>
                <w:sz w:val="22"/>
                <w:szCs w:val="22"/>
              </w:rPr>
              <w:t>基准价计算方法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rPr>
        <w:tc>
          <w:tcPr>
            <w:tcW w:w="3497" w:type="dxa"/>
            <w:vAlign w:val="center"/>
          </w:tcPr>
          <w:p>
            <w:pPr>
              <w:ind w:left="0" w:leftChars="0" w:firstLine="0" w:firstLineChars="0"/>
              <w:jc w:val="center"/>
              <w:rPr>
                <w:sz w:val="22"/>
                <w:szCs w:val="22"/>
              </w:rPr>
            </w:pPr>
            <w:r>
              <w:rPr>
                <w:rFonts w:hint="eastAsia"/>
                <w:sz w:val="22"/>
                <w:szCs w:val="22"/>
              </w:rPr>
              <w:t>分部分项工程项目清单综合单价基准价Jf</w:t>
            </w:r>
          </w:p>
        </w:tc>
        <w:tc>
          <w:tcPr>
            <w:tcW w:w="5388" w:type="dxa"/>
            <w:vAlign w:val="center"/>
          </w:tcPr>
          <w:p>
            <w:pPr>
              <w:ind w:left="0" w:leftChars="0" w:firstLine="0" w:firstLineChars="0"/>
              <w:rPr>
                <w:kern w:val="0"/>
                <w:sz w:val="22"/>
                <w:szCs w:val="22"/>
              </w:rPr>
            </w:pPr>
            <w:r>
              <w:rPr>
                <w:rFonts w:hint="eastAsia"/>
                <w:sz w:val="22"/>
                <w:szCs w:val="22"/>
              </w:rPr>
              <w:t>有效投标报价中的分部分项工程项目清单综合单价</w:t>
            </w:r>
            <w:r>
              <w:rPr>
                <w:rFonts w:hint="eastAsia"/>
                <w:kern w:val="0"/>
                <w:sz w:val="22"/>
                <w:szCs w:val="22"/>
              </w:rPr>
              <w:t>的算术平均值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3497" w:type="dxa"/>
            <w:vAlign w:val="center"/>
          </w:tcPr>
          <w:p>
            <w:pPr>
              <w:ind w:left="0" w:leftChars="0" w:firstLine="0" w:firstLineChars="0"/>
              <w:jc w:val="center"/>
              <w:rPr>
                <w:sz w:val="22"/>
                <w:szCs w:val="22"/>
              </w:rPr>
            </w:pPr>
            <w:r>
              <w:rPr>
                <w:rFonts w:hint="eastAsia"/>
                <w:sz w:val="22"/>
                <w:szCs w:val="22"/>
              </w:rPr>
              <w:t>措施项目费（不含安全文明施工措施费）基准价Js</w:t>
            </w:r>
          </w:p>
        </w:tc>
        <w:tc>
          <w:tcPr>
            <w:tcW w:w="5388" w:type="dxa"/>
            <w:vAlign w:val="center"/>
          </w:tcPr>
          <w:p>
            <w:pPr>
              <w:ind w:left="0" w:leftChars="0" w:firstLine="0" w:firstLineChars="0"/>
              <w:rPr>
                <w:kern w:val="0"/>
                <w:sz w:val="22"/>
                <w:szCs w:val="22"/>
              </w:rPr>
            </w:pPr>
            <w:r>
              <w:rPr>
                <w:rFonts w:hint="eastAsia"/>
                <w:sz w:val="22"/>
                <w:szCs w:val="22"/>
              </w:rPr>
              <w:t>有效投标报价中的措施项目费</w:t>
            </w:r>
            <w:r>
              <w:rPr>
                <w:rFonts w:hint="eastAsia"/>
                <w:kern w:val="0"/>
                <w:sz w:val="22"/>
                <w:szCs w:val="22"/>
              </w:rPr>
              <w:t>的算术平均值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3497" w:type="dxa"/>
            <w:vAlign w:val="center"/>
          </w:tcPr>
          <w:p>
            <w:pPr>
              <w:ind w:left="0" w:leftChars="0" w:firstLine="0" w:firstLineChars="0"/>
              <w:jc w:val="center"/>
              <w:rPr>
                <w:sz w:val="22"/>
                <w:szCs w:val="22"/>
              </w:rPr>
            </w:pPr>
            <w:r>
              <w:rPr>
                <w:rFonts w:hint="eastAsia"/>
                <w:sz w:val="22"/>
                <w:szCs w:val="22"/>
              </w:rPr>
              <w:t>材料单价基准价Jc</w:t>
            </w:r>
          </w:p>
        </w:tc>
        <w:tc>
          <w:tcPr>
            <w:tcW w:w="5388" w:type="dxa"/>
            <w:vAlign w:val="center"/>
          </w:tcPr>
          <w:p>
            <w:pPr>
              <w:ind w:left="0" w:leftChars="0" w:firstLine="0" w:firstLineChars="0"/>
              <w:rPr>
                <w:kern w:val="0"/>
                <w:sz w:val="22"/>
                <w:szCs w:val="22"/>
              </w:rPr>
            </w:pPr>
            <w:r>
              <w:rPr>
                <w:rFonts w:hint="eastAsia"/>
                <w:sz w:val="22"/>
                <w:szCs w:val="22"/>
              </w:rPr>
              <w:t>有效投标报价中的材料单价</w:t>
            </w:r>
            <w:r>
              <w:rPr>
                <w:rFonts w:hint="eastAsia"/>
                <w:kern w:val="0"/>
                <w:sz w:val="22"/>
                <w:szCs w:val="22"/>
              </w:rPr>
              <w:t>的算术平均值</w:t>
            </w:r>
          </w:p>
        </w:tc>
      </w:tr>
    </w:tbl>
    <w:p>
      <w:pPr>
        <w:pStyle w:val="131"/>
        <w:numPr>
          <w:ilvl w:val="0"/>
          <w:numId w:val="4"/>
        </w:numPr>
        <w:ind w:firstLineChars="0"/>
        <w:rPr>
          <w:sz w:val="22"/>
          <w:szCs w:val="22"/>
        </w:rPr>
      </w:pPr>
      <w:r>
        <w:rPr>
          <w:sz w:val="22"/>
          <w:szCs w:val="22"/>
        </w:rPr>
        <w:t>评审计分</w:t>
      </w:r>
    </w:p>
    <w:p>
      <w:pPr>
        <w:spacing w:line="240" w:lineRule="auto"/>
        <w:ind w:firstLine="482" w:firstLineChars="200"/>
        <w:textAlignment w:val="baseline"/>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1.有关定义：</w:t>
      </w:r>
    </w:p>
    <w:tbl>
      <w:tblPr>
        <w:tblStyle w:val="42"/>
        <w:tblW w:w="8904" w:type="dxa"/>
        <w:tblInd w:w="4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4"/>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594" w:type="dxa"/>
            <w:vAlign w:val="center"/>
          </w:tcPr>
          <w:p>
            <w:pPr>
              <w:rPr>
                <w:sz w:val="22"/>
                <w:szCs w:val="22"/>
              </w:rPr>
            </w:pPr>
            <w:r>
              <w:rPr>
                <w:rFonts w:hint="eastAsia"/>
                <w:sz w:val="22"/>
                <w:szCs w:val="22"/>
              </w:rPr>
              <w:t>商务标总得分</w:t>
            </w:r>
          </w:p>
        </w:tc>
        <w:tc>
          <w:tcPr>
            <w:tcW w:w="2310" w:type="dxa"/>
            <w:vAlign w:val="center"/>
          </w:tcPr>
          <w:p>
            <w:pPr>
              <w:rPr>
                <w:sz w:val="22"/>
                <w:szCs w:val="22"/>
              </w:rPr>
            </w:pPr>
            <w:r>
              <w:rPr>
                <w:rFonts w:hint="eastAsia"/>
                <w:sz w:val="22"/>
                <w:szCs w:val="22"/>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594" w:type="dxa"/>
            <w:vAlign w:val="center"/>
          </w:tcPr>
          <w:p>
            <w:pPr>
              <w:rPr>
                <w:sz w:val="22"/>
                <w:szCs w:val="22"/>
              </w:rPr>
            </w:pPr>
            <w:r>
              <w:rPr>
                <w:rFonts w:hint="eastAsia"/>
                <w:sz w:val="22"/>
                <w:szCs w:val="22"/>
              </w:rPr>
              <w:t>投标报价评审得分</w:t>
            </w:r>
          </w:p>
        </w:tc>
        <w:tc>
          <w:tcPr>
            <w:tcW w:w="2310" w:type="dxa"/>
            <w:vAlign w:val="center"/>
          </w:tcPr>
          <w:p>
            <w:pPr>
              <w:rPr>
                <w:sz w:val="22"/>
                <w:szCs w:val="22"/>
              </w:rPr>
            </w:pPr>
            <w:r>
              <w:rPr>
                <w:rFonts w:hint="eastAsia"/>
                <w:sz w:val="22"/>
                <w:szCs w:val="22"/>
              </w:rPr>
              <w:t>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594" w:type="dxa"/>
            <w:vAlign w:val="center"/>
          </w:tcPr>
          <w:p>
            <w:pPr>
              <w:rPr>
                <w:sz w:val="22"/>
                <w:szCs w:val="22"/>
              </w:rPr>
            </w:pPr>
            <w:r>
              <w:rPr>
                <w:rFonts w:hint="eastAsia"/>
                <w:sz w:val="22"/>
                <w:szCs w:val="22"/>
              </w:rPr>
              <w:t>分部分项工程项目清单综合单价评审得分</w:t>
            </w:r>
          </w:p>
        </w:tc>
        <w:tc>
          <w:tcPr>
            <w:tcW w:w="2310" w:type="dxa"/>
            <w:vAlign w:val="center"/>
          </w:tcPr>
          <w:p>
            <w:pPr>
              <w:rPr>
                <w:sz w:val="22"/>
                <w:szCs w:val="22"/>
              </w:rPr>
            </w:pPr>
            <w:r>
              <w:rPr>
                <w:rFonts w:hint="eastAsia"/>
                <w:sz w:val="22"/>
                <w:szCs w:val="22"/>
              </w:rPr>
              <w:t>FB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594" w:type="dxa"/>
            <w:vAlign w:val="center"/>
          </w:tcPr>
          <w:p>
            <w:pPr>
              <w:rPr>
                <w:sz w:val="22"/>
                <w:szCs w:val="22"/>
              </w:rPr>
            </w:pPr>
            <w:r>
              <w:rPr>
                <w:rFonts w:hint="eastAsia"/>
                <w:sz w:val="22"/>
                <w:szCs w:val="22"/>
              </w:rPr>
              <w:t>措施项目费（不含安全文明施工措施费）评审得分</w:t>
            </w:r>
          </w:p>
        </w:tc>
        <w:tc>
          <w:tcPr>
            <w:tcW w:w="2310" w:type="dxa"/>
            <w:vAlign w:val="center"/>
          </w:tcPr>
          <w:p>
            <w:pPr>
              <w:rPr>
                <w:sz w:val="22"/>
                <w:szCs w:val="22"/>
              </w:rPr>
            </w:pPr>
            <w:r>
              <w:rPr>
                <w:rFonts w:hint="eastAsia"/>
                <w:sz w:val="22"/>
                <w:szCs w:val="22"/>
              </w:rPr>
              <w:t>FC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594" w:type="dxa"/>
            <w:vAlign w:val="center"/>
          </w:tcPr>
          <w:p>
            <w:pPr>
              <w:rPr>
                <w:sz w:val="22"/>
                <w:szCs w:val="22"/>
              </w:rPr>
            </w:pPr>
            <w:r>
              <w:rPr>
                <w:rFonts w:hint="eastAsia"/>
                <w:sz w:val="22"/>
                <w:szCs w:val="22"/>
              </w:rPr>
              <w:t>材料单价评审得分</w:t>
            </w:r>
          </w:p>
        </w:tc>
        <w:tc>
          <w:tcPr>
            <w:tcW w:w="2310" w:type="dxa"/>
            <w:vAlign w:val="center"/>
          </w:tcPr>
          <w:p>
            <w:pPr>
              <w:rPr>
                <w:sz w:val="22"/>
                <w:szCs w:val="22"/>
              </w:rPr>
            </w:pPr>
            <w:r>
              <w:rPr>
                <w:rFonts w:hint="eastAsia"/>
                <w:sz w:val="22"/>
                <w:szCs w:val="22"/>
              </w:rPr>
              <w:t>FD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594" w:type="dxa"/>
            <w:vAlign w:val="center"/>
          </w:tcPr>
          <w:p>
            <w:pPr>
              <w:rPr>
                <w:sz w:val="22"/>
                <w:szCs w:val="22"/>
              </w:rPr>
            </w:pPr>
            <w:r>
              <w:rPr>
                <w:rFonts w:hint="eastAsia"/>
                <w:sz w:val="22"/>
                <w:szCs w:val="22"/>
              </w:rPr>
              <w:t>偏差率</w:t>
            </w:r>
          </w:p>
        </w:tc>
        <w:tc>
          <w:tcPr>
            <w:tcW w:w="2310" w:type="dxa"/>
            <w:vAlign w:val="center"/>
          </w:tcPr>
          <w:p>
            <w:pPr>
              <w:rPr>
                <w:sz w:val="22"/>
                <w:szCs w:val="22"/>
              </w:rPr>
            </w:pPr>
            <w:r>
              <w:rPr>
                <w:rFonts w:hint="eastAsia"/>
                <w:sz w:val="22"/>
                <w:szCs w:val="22"/>
              </w:rPr>
              <w:t>α</w:t>
            </w:r>
            <w:r>
              <w:rPr>
                <w:rFonts w:hint="eastAsia"/>
                <w:sz w:val="22"/>
                <w:szCs w:val="22"/>
                <w:vertAlign w:val="subscript"/>
              </w:rPr>
              <w:t>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6594" w:type="dxa"/>
            <w:vAlign w:val="center"/>
          </w:tcPr>
          <w:p>
            <w:pPr>
              <w:rPr>
                <w:sz w:val="22"/>
                <w:szCs w:val="22"/>
              </w:rPr>
            </w:pPr>
            <w:r>
              <w:rPr>
                <w:rFonts w:hint="eastAsia"/>
                <w:sz w:val="22"/>
                <w:szCs w:val="22"/>
              </w:rPr>
              <w:t>最低价偏差率</w:t>
            </w:r>
          </w:p>
        </w:tc>
        <w:tc>
          <w:tcPr>
            <w:tcW w:w="2310" w:type="dxa"/>
            <w:vAlign w:val="center"/>
          </w:tcPr>
          <w:p>
            <w:pPr>
              <w:rPr>
                <w:sz w:val="22"/>
                <w:szCs w:val="22"/>
              </w:rPr>
            </w:pPr>
            <w:r>
              <w:rPr>
                <w:rFonts w:hint="eastAsia"/>
                <w:sz w:val="22"/>
                <w:szCs w:val="22"/>
              </w:rPr>
              <w:t>β</w:t>
            </w:r>
            <w:r>
              <w:rPr>
                <w:rFonts w:hint="eastAsia"/>
                <w:sz w:val="22"/>
                <w:szCs w:val="22"/>
                <w:vertAlign w:val="subscript"/>
              </w:rPr>
              <w:t>FA</w:t>
            </w:r>
          </w:p>
        </w:tc>
      </w:tr>
    </w:tbl>
    <w:p>
      <w:pPr>
        <w:spacing w:line="240" w:lineRule="auto"/>
        <w:ind w:firstLine="482" w:firstLineChars="200"/>
        <w:textAlignment w:val="baseline"/>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2.商务标得分等于下列4项得分之和。</w:t>
      </w:r>
    </w:p>
    <w:tbl>
      <w:tblPr>
        <w:tblStyle w:val="42"/>
        <w:tblW w:w="8941" w:type="dxa"/>
        <w:tblInd w:w="4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5018"/>
        <w:gridCol w:w="887"/>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58" w:type="dxa"/>
            <w:vAlign w:val="center"/>
          </w:tcPr>
          <w:p>
            <w:pPr>
              <w:ind w:left="0" w:leftChars="0" w:firstLine="0" w:firstLineChars="0"/>
              <w:jc w:val="center"/>
              <w:rPr>
                <w:sz w:val="22"/>
                <w:szCs w:val="22"/>
              </w:rPr>
            </w:pPr>
            <w:r>
              <w:rPr>
                <w:rFonts w:hint="eastAsia"/>
                <w:sz w:val="22"/>
                <w:szCs w:val="22"/>
              </w:rPr>
              <w:t>序号</w:t>
            </w:r>
          </w:p>
        </w:tc>
        <w:tc>
          <w:tcPr>
            <w:tcW w:w="5018" w:type="dxa"/>
            <w:vAlign w:val="center"/>
          </w:tcPr>
          <w:p>
            <w:pPr>
              <w:ind w:left="0" w:leftChars="0" w:firstLine="0" w:firstLineChars="0"/>
              <w:jc w:val="center"/>
              <w:rPr>
                <w:sz w:val="22"/>
                <w:szCs w:val="22"/>
              </w:rPr>
            </w:pPr>
            <w:r>
              <w:rPr>
                <w:rFonts w:hint="eastAsia"/>
                <w:sz w:val="22"/>
                <w:szCs w:val="22"/>
              </w:rPr>
              <w:t>项目</w:t>
            </w:r>
          </w:p>
        </w:tc>
        <w:tc>
          <w:tcPr>
            <w:tcW w:w="887" w:type="dxa"/>
            <w:vAlign w:val="center"/>
          </w:tcPr>
          <w:p>
            <w:pPr>
              <w:ind w:left="0" w:leftChars="0" w:firstLine="0" w:firstLineChars="0"/>
              <w:jc w:val="center"/>
              <w:rPr>
                <w:sz w:val="22"/>
                <w:szCs w:val="22"/>
              </w:rPr>
            </w:pPr>
            <w:r>
              <w:rPr>
                <w:rFonts w:hint="eastAsia"/>
                <w:sz w:val="22"/>
                <w:szCs w:val="22"/>
              </w:rPr>
              <w:t>分值</w:t>
            </w:r>
          </w:p>
        </w:tc>
        <w:tc>
          <w:tcPr>
            <w:tcW w:w="2278" w:type="dxa"/>
            <w:vAlign w:val="center"/>
          </w:tcPr>
          <w:p>
            <w:pPr>
              <w:ind w:left="0" w:leftChars="0" w:firstLine="0" w:firstLineChars="0"/>
              <w:jc w:val="center"/>
              <w:rPr>
                <w:sz w:val="22"/>
                <w:szCs w:val="22"/>
              </w:rPr>
            </w:pPr>
            <w:r>
              <w:rPr>
                <w:rFonts w:hint="eastAsia"/>
                <w:sz w:val="22"/>
                <w:szCs w:val="22"/>
              </w:rPr>
              <w:t>评审得分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58" w:type="dxa"/>
            <w:vAlign w:val="center"/>
          </w:tcPr>
          <w:p>
            <w:pPr>
              <w:ind w:left="0" w:leftChars="0" w:firstLine="0" w:firstLineChars="0"/>
              <w:jc w:val="center"/>
              <w:rPr>
                <w:sz w:val="22"/>
                <w:szCs w:val="22"/>
              </w:rPr>
            </w:pPr>
            <w:r>
              <w:rPr>
                <w:rFonts w:hint="eastAsia"/>
                <w:sz w:val="22"/>
                <w:szCs w:val="22"/>
              </w:rPr>
              <w:t>1</w:t>
            </w:r>
          </w:p>
        </w:tc>
        <w:tc>
          <w:tcPr>
            <w:tcW w:w="5018" w:type="dxa"/>
            <w:vAlign w:val="center"/>
          </w:tcPr>
          <w:p>
            <w:pPr>
              <w:ind w:left="0" w:leftChars="0" w:firstLine="0" w:firstLineChars="0"/>
              <w:jc w:val="center"/>
              <w:rPr>
                <w:sz w:val="22"/>
                <w:szCs w:val="22"/>
              </w:rPr>
            </w:pPr>
            <w:r>
              <w:rPr>
                <w:rFonts w:hint="eastAsia"/>
                <w:sz w:val="22"/>
                <w:szCs w:val="22"/>
              </w:rPr>
              <w:t>投标报价评审</w:t>
            </w:r>
          </w:p>
        </w:tc>
        <w:tc>
          <w:tcPr>
            <w:tcW w:w="887" w:type="dxa"/>
            <w:vAlign w:val="center"/>
          </w:tcPr>
          <w:p>
            <w:pPr>
              <w:ind w:left="0" w:leftChars="0" w:firstLine="0" w:firstLineChars="0"/>
              <w:jc w:val="center"/>
              <w:rPr>
                <w:sz w:val="22"/>
                <w:szCs w:val="22"/>
              </w:rPr>
            </w:pPr>
            <w:r>
              <w:rPr>
                <w:rFonts w:hint="eastAsia"/>
                <w:sz w:val="22"/>
                <w:szCs w:val="22"/>
              </w:rPr>
              <w:t>30</w:t>
            </w:r>
          </w:p>
        </w:tc>
        <w:tc>
          <w:tcPr>
            <w:tcW w:w="2278" w:type="dxa"/>
            <w:vAlign w:val="center"/>
          </w:tcPr>
          <w:p>
            <w:pPr>
              <w:pStyle w:val="39"/>
              <w:ind w:left="0" w:leftChars="0" w:firstLine="0" w:firstLineChars="0"/>
              <w:jc w:val="center"/>
              <w:rPr>
                <w:sz w:val="22"/>
                <w:szCs w:val="22"/>
              </w:rPr>
            </w:pPr>
            <w:r>
              <w:rPr>
                <w:rFonts w:hint="eastAsia"/>
                <w:sz w:val="22"/>
                <w:szCs w:val="22"/>
              </w:rPr>
              <w:t>30≥FA≥0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58" w:type="dxa"/>
            <w:vAlign w:val="center"/>
          </w:tcPr>
          <w:p>
            <w:pPr>
              <w:ind w:left="0" w:leftChars="0" w:firstLine="0" w:firstLineChars="0"/>
              <w:jc w:val="center"/>
              <w:rPr>
                <w:sz w:val="22"/>
                <w:szCs w:val="22"/>
              </w:rPr>
            </w:pPr>
            <w:r>
              <w:rPr>
                <w:rFonts w:hint="eastAsia"/>
                <w:sz w:val="22"/>
                <w:szCs w:val="22"/>
              </w:rPr>
              <w:t>2</w:t>
            </w:r>
          </w:p>
        </w:tc>
        <w:tc>
          <w:tcPr>
            <w:tcW w:w="5018" w:type="dxa"/>
            <w:vAlign w:val="center"/>
          </w:tcPr>
          <w:p>
            <w:pPr>
              <w:ind w:left="0" w:leftChars="0" w:firstLine="0" w:firstLineChars="0"/>
              <w:jc w:val="center"/>
              <w:rPr>
                <w:sz w:val="22"/>
                <w:szCs w:val="22"/>
              </w:rPr>
            </w:pPr>
            <w:r>
              <w:rPr>
                <w:rFonts w:hint="eastAsia"/>
                <w:sz w:val="22"/>
                <w:szCs w:val="22"/>
              </w:rPr>
              <w:t>分部分项工程项目清单综合单价评审</w:t>
            </w:r>
          </w:p>
        </w:tc>
        <w:tc>
          <w:tcPr>
            <w:tcW w:w="887" w:type="dxa"/>
            <w:vAlign w:val="center"/>
          </w:tcPr>
          <w:p>
            <w:pPr>
              <w:ind w:left="0" w:leftChars="0" w:firstLine="0" w:firstLineChars="0"/>
              <w:jc w:val="center"/>
              <w:rPr>
                <w:sz w:val="22"/>
                <w:szCs w:val="22"/>
              </w:rPr>
            </w:pPr>
            <w:r>
              <w:rPr>
                <w:rFonts w:hint="eastAsia"/>
                <w:sz w:val="22"/>
                <w:szCs w:val="22"/>
              </w:rPr>
              <w:t>10</w:t>
            </w:r>
          </w:p>
        </w:tc>
        <w:tc>
          <w:tcPr>
            <w:tcW w:w="2278" w:type="dxa"/>
            <w:vAlign w:val="center"/>
          </w:tcPr>
          <w:p>
            <w:pPr>
              <w:pStyle w:val="39"/>
              <w:ind w:left="0" w:leftChars="0" w:firstLine="0" w:firstLineChars="0"/>
              <w:jc w:val="center"/>
              <w:rPr>
                <w:sz w:val="22"/>
                <w:szCs w:val="22"/>
              </w:rPr>
            </w:pPr>
            <w:r>
              <w:rPr>
                <w:rFonts w:hint="eastAsia"/>
                <w:sz w:val="22"/>
                <w:szCs w:val="22"/>
              </w:rPr>
              <w:t>10≥FB≥0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58" w:type="dxa"/>
            <w:vAlign w:val="center"/>
          </w:tcPr>
          <w:p>
            <w:pPr>
              <w:ind w:left="0" w:leftChars="0" w:firstLine="0" w:firstLineChars="0"/>
              <w:jc w:val="center"/>
              <w:rPr>
                <w:sz w:val="22"/>
                <w:szCs w:val="22"/>
              </w:rPr>
            </w:pPr>
            <w:r>
              <w:rPr>
                <w:rFonts w:hint="eastAsia"/>
                <w:sz w:val="22"/>
                <w:szCs w:val="22"/>
              </w:rPr>
              <w:t>3</w:t>
            </w:r>
          </w:p>
        </w:tc>
        <w:tc>
          <w:tcPr>
            <w:tcW w:w="5018" w:type="dxa"/>
            <w:vAlign w:val="center"/>
          </w:tcPr>
          <w:p>
            <w:pPr>
              <w:ind w:left="0" w:leftChars="0" w:firstLine="0" w:firstLineChars="0"/>
              <w:jc w:val="center"/>
              <w:rPr>
                <w:sz w:val="22"/>
                <w:szCs w:val="22"/>
              </w:rPr>
            </w:pPr>
            <w:r>
              <w:rPr>
                <w:rFonts w:hint="eastAsia"/>
                <w:sz w:val="22"/>
                <w:szCs w:val="22"/>
              </w:rPr>
              <w:t>措施项目费（不含安全文明施工措施费）评审</w:t>
            </w:r>
          </w:p>
        </w:tc>
        <w:tc>
          <w:tcPr>
            <w:tcW w:w="887" w:type="dxa"/>
            <w:vAlign w:val="center"/>
          </w:tcPr>
          <w:p>
            <w:pPr>
              <w:ind w:left="0" w:leftChars="0" w:firstLine="0" w:firstLineChars="0"/>
              <w:jc w:val="center"/>
              <w:rPr>
                <w:sz w:val="22"/>
                <w:szCs w:val="22"/>
              </w:rPr>
            </w:pPr>
            <w:r>
              <w:rPr>
                <w:rFonts w:hint="eastAsia"/>
                <w:sz w:val="22"/>
                <w:szCs w:val="22"/>
              </w:rPr>
              <w:t>5</w:t>
            </w:r>
          </w:p>
        </w:tc>
        <w:tc>
          <w:tcPr>
            <w:tcW w:w="2278" w:type="dxa"/>
            <w:vAlign w:val="center"/>
          </w:tcPr>
          <w:p>
            <w:pPr>
              <w:pStyle w:val="39"/>
              <w:ind w:left="0" w:leftChars="0" w:firstLine="0" w:firstLineChars="0"/>
              <w:jc w:val="center"/>
              <w:rPr>
                <w:sz w:val="22"/>
                <w:szCs w:val="22"/>
              </w:rPr>
            </w:pPr>
            <w:r>
              <w:rPr>
                <w:rFonts w:hint="eastAsia"/>
                <w:sz w:val="22"/>
                <w:szCs w:val="22"/>
              </w:rPr>
              <w:t>5≥FC≥0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758" w:type="dxa"/>
            <w:vAlign w:val="center"/>
          </w:tcPr>
          <w:p>
            <w:pPr>
              <w:ind w:left="0" w:leftChars="0" w:firstLine="0" w:firstLineChars="0"/>
              <w:jc w:val="center"/>
              <w:rPr>
                <w:sz w:val="22"/>
                <w:szCs w:val="22"/>
              </w:rPr>
            </w:pPr>
            <w:r>
              <w:rPr>
                <w:rFonts w:hint="eastAsia"/>
                <w:sz w:val="22"/>
                <w:szCs w:val="22"/>
              </w:rPr>
              <w:t>4</w:t>
            </w:r>
          </w:p>
        </w:tc>
        <w:tc>
          <w:tcPr>
            <w:tcW w:w="5018" w:type="dxa"/>
            <w:vAlign w:val="center"/>
          </w:tcPr>
          <w:p>
            <w:pPr>
              <w:ind w:left="0" w:leftChars="0" w:firstLine="0" w:firstLineChars="0"/>
              <w:jc w:val="center"/>
              <w:rPr>
                <w:sz w:val="22"/>
                <w:szCs w:val="22"/>
              </w:rPr>
            </w:pPr>
            <w:r>
              <w:rPr>
                <w:rFonts w:hint="eastAsia"/>
                <w:sz w:val="22"/>
                <w:szCs w:val="22"/>
              </w:rPr>
              <w:t>材料单价评审</w:t>
            </w:r>
          </w:p>
        </w:tc>
        <w:tc>
          <w:tcPr>
            <w:tcW w:w="887" w:type="dxa"/>
            <w:vAlign w:val="center"/>
          </w:tcPr>
          <w:p>
            <w:pPr>
              <w:ind w:left="0" w:leftChars="0" w:firstLine="0" w:firstLineChars="0"/>
              <w:jc w:val="center"/>
              <w:rPr>
                <w:sz w:val="22"/>
                <w:szCs w:val="22"/>
              </w:rPr>
            </w:pPr>
            <w:r>
              <w:rPr>
                <w:rFonts w:hint="eastAsia"/>
                <w:sz w:val="22"/>
                <w:szCs w:val="22"/>
              </w:rPr>
              <w:t>5</w:t>
            </w:r>
          </w:p>
        </w:tc>
        <w:tc>
          <w:tcPr>
            <w:tcW w:w="2278" w:type="dxa"/>
            <w:vAlign w:val="center"/>
          </w:tcPr>
          <w:p>
            <w:pPr>
              <w:pStyle w:val="39"/>
              <w:ind w:left="0" w:leftChars="0" w:firstLine="0" w:firstLineChars="0"/>
              <w:jc w:val="center"/>
              <w:rPr>
                <w:sz w:val="22"/>
                <w:szCs w:val="22"/>
              </w:rPr>
            </w:pPr>
            <w:r>
              <w:rPr>
                <w:rFonts w:hint="eastAsia"/>
                <w:sz w:val="22"/>
                <w:szCs w:val="22"/>
              </w:rPr>
              <w:t>5≥FD≥0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5776" w:type="dxa"/>
            <w:gridSpan w:val="2"/>
            <w:vAlign w:val="center"/>
          </w:tcPr>
          <w:p>
            <w:pPr>
              <w:rPr>
                <w:sz w:val="22"/>
                <w:szCs w:val="22"/>
              </w:rPr>
            </w:pPr>
            <w:r>
              <w:rPr>
                <w:rFonts w:hint="eastAsia"/>
                <w:sz w:val="22"/>
                <w:szCs w:val="22"/>
              </w:rPr>
              <w:t>合计</w:t>
            </w:r>
          </w:p>
        </w:tc>
        <w:tc>
          <w:tcPr>
            <w:tcW w:w="887" w:type="dxa"/>
            <w:vAlign w:val="center"/>
          </w:tcPr>
          <w:p>
            <w:pPr>
              <w:ind w:left="0" w:leftChars="0" w:firstLine="0" w:firstLineChars="0"/>
              <w:jc w:val="center"/>
              <w:rPr>
                <w:sz w:val="22"/>
                <w:szCs w:val="22"/>
              </w:rPr>
            </w:pPr>
            <w:r>
              <w:rPr>
                <w:rFonts w:hint="eastAsia"/>
                <w:sz w:val="22"/>
                <w:szCs w:val="22"/>
              </w:rPr>
              <w:t>50</w:t>
            </w:r>
          </w:p>
        </w:tc>
        <w:tc>
          <w:tcPr>
            <w:tcW w:w="2278" w:type="dxa"/>
            <w:vAlign w:val="center"/>
          </w:tcPr>
          <w:p>
            <w:pPr>
              <w:pStyle w:val="39"/>
              <w:ind w:left="0" w:leftChars="0" w:firstLine="0" w:firstLineChars="0"/>
              <w:jc w:val="center"/>
              <w:rPr>
                <w:sz w:val="22"/>
                <w:szCs w:val="22"/>
              </w:rPr>
            </w:pPr>
            <w:r>
              <w:rPr>
                <w:rFonts w:hint="eastAsia"/>
                <w:sz w:val="22"/>
                <w:szCs w:val="22"/>
              </w:rPr>
              <w:t>F=FA＋FB＋FC＋FD</w:t>
            </w:r>
          </w:p>
        </w:tc>
      </w:tr>
    </w:tbl>
    <w:p>
      <w:pPr>
        <w:spacing w:line="240" w:lineRule="auto"/>
        <w:ind w:firstLine="482" w:firstLineChars="200"/>
        <w:textAlignment w:val="baseline"/>
        <w:rPr>
          <w:rFonts w:hint="default" w:ascii="Times New Roman" w:hAnsi="Times New Roman" w:eastAsia="仿宋" w:cs="Times New Roman"/>
          <w:b/>
          <w:bCs/>
          <w:color w:val="auto"/>
          <w:sz w:val="24"/>
          <w:szCs w:val="24"/>
          <w:highlight w:val="none"/>
          <w:lang w:val="en-US" w:eastAsia="zh-CN"/>
        </w:rPr>
      </w:pPr>
      <w:r>
        <w:rPr>
          <w:rFonts w:hint="default" w:ascii="Times New Roman" w:hAnsi="Times New Roman" w:eastAsia="仿宋" w:cs="Times New Roman"/>
          <w:b/>
          <w:bCs/>
          <w:color w:val="auto"/>
          <w:sz w:val="24"/>
          <w:szCs w:val="24"/>
          <w:highlight w:val="none"/>
          <w:lang w:val="en-US" w:eastAsia="zh-CN"/>
        </w:rPr>
        <w:t>3.投标报价的评审，共计30分。</w:t>
      </w:r>
    </w:p>
    <w:p>
      <w:pPr>
        <w:rPr>
          <w:sz w:val="22"/>
          <w:szCs w:val="22"/>
        </w:rPr>
      </w:pPr>
      <w:r>
        <w:rPr>
          <w:sz w:val="22"/>
          <w:szCs w:val="22"/>
        </w:rPr>
        <w:t>偏差率</w:t>
      </w:r>
      <w:r>
        <w:rPr>
          <w:rFonts w:eastAsia="宋体"/>
          <w:sz w:val="22"/>
          <w:szCs w:val="22"/>
        </w:rPr>
        <w:t>α</w:t>
      </w:r>
      <w:r>
        <w:rPr>
          <w:sz w:val="22"/>
          <w:szCs w:val="22"/>
          <w:vertAlign w:val="subscript"/>
        </w:rPr>
        <w:t>FA</w:t>
      </w:r>
      <w:r>
        <w:rPr>
          <w:sz w:val="22"/>
          <w:szCs w:val="22"/>
        </w:rPr>
        <w:t>=（投标人有效投标报价 － 投标报价基准价）/投标报价基准价；</w:t>
      </w:r>
    </w:p>
    <w:p>
      <w:pPr>
        <w:rPr>
          <w:sz w:val="22"/>
          <w:szCs w:val="22"/>
        </w:rPr>
      </w:pPr>
      <w:r>
        <w:rPr>
          <w:sz w:val="22"/>
          <w:szCs w:val="22"/>
        </w:rPr>
        <w:t>最低价偏差率β</w:t>
      </w:r>
      <w:r>
        <w:rPr>
          <w:sz w:val="22"/>
          <w:szCs w:val="22"/>
          <w:vertAlign w:val="subscript"/>
        </w:rPr>
        <w:t>FA</w:t>
      </w:r>
      <w:r>
        <w:rPr>
          <w:sz w:val="22"/>
          <w:szCs w:val="22"/>
        </w:rPr>
        <w:t>=（评标委员会认可的投标人合理最低有效投标报价 － 投标报价基准价）/投标报价基准价；</w:t>
      </w:r>
    </w:p>
    <w:p>
      <w:r>
        <w:rPr>
          <w:sz w:val="22"/>
          <w:szCs w:val="22"/>
        </w:rPr>
        <w:t>计分规则见下表。</w:t>
      </w:r>
    </w:p>
    <w:tbl>
      <w:tblPr>
        <w:tblStyle w:val="42"/>
        <w:tblW w:w="9014" w:type="dxa"/>
        <w:tblInd w:w="3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815"/>
        <w:gridCol w:w="3585"/>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682" w:type="dxa"/>
            <w:vAlign w:val="center"/>
          </w:tcPr>
          <w:p>
            <w:pPr>
              <w:ind w:left="0" w:leftChars="0" w:firstLine="0" w:firstLineChars="0"/>
              <w:jc w:val="center"/>
              <w:rPr>
                <w:b/>
                <w:bCs/>
                <w:sz w:val="22"/>
                <w:szCs w:val="22"/>
              </w:rPr>
            </w:pPr>
            <w:r>
              <w:rPr>
                <w:rFonts w:hint="eastAsia"/>
                <w:b/>
                <w:bCs/>
                <w:sz w:val="22"/>
                <w:szCs w:val="22"/>
              </w:rPr>
              <w:t>序号</w:t>
            </w:r>
          </w:p>
        </w:tc>
        <w:tc>
          <w:tcPr>
            <w:tcW w:w="1815" w:type="dxa"/>
            <w:vAlign w:val="center"/>
          </w:tcPr>
          <w:p>
            <w:pPr>
              <w:ind w:left="0" w:leftChars="0" w:firstLine="0" w:firstLineChars="0"/>
              <w:jc w:val="center"/>
              <w:rPr>
                <w:b/>
                <w:bCs/>
                <w:sz w:val="22"/>
                <w:szCs w:val="22"/>
              </w:rPr>
            </w:pPr>
            <w:r>
              <w:rPr>
                <w:rFonts w:hint="eastAsia"/>
                <w:b/>
                <w:bCs/>
                <w:sz w:val="22"/>
                <w:szCs w:val="22"/>
              </w:rPr>
              <w:t>偏差率α</w:t>
            </w:r>
            <w:r>
              <w:rPr>
                <w:rFonts w:hint="eastAsia"/>
                <w:b/>
                <w:bCs/>
                <w:sz w:val="22"/>
                <w:szCs w:val="22"/>
                <w:vertAlign w:val="subscript"/>
              </w:rPr>
              <w:t>FA</w:t>
            </w:r>
          </w:p>
        </w:tc>
        <w:tc>
          <w:tcPr>
            <w:tcW w:w="3585" w:type="dxa"/>
            <w:vAlign w:val="center"/>
          </w:tcPr>
          <w:p>
            <w:pPr>
              <w:ind w:left="0" w:leftChars="0" w:firstLine="0" w:firstLineChars="0"/>
              <w:jc w:val="center"/>
              <w:rPr>
                <w:b/>
                <w:bCs/>
                <w:sz w:val="22"/>
                <w:szCs w:val="22"/>
              </w:rPr>
            </w:pPr>
            <w:r>
              <w:rPr>
                <w:rFonts w:hint="eastAsia"/>
                <w:b/>
                <w:bCs/>
                <w:sz w:val="22"/>
                <w:szCs w:val="22"/>
              </w:rPr>
              <w:t>满足条件</w:t>
            </w:r>
          </w:p>
        </w:tc>
        <w:tc>
          <w:tcPr>
            <w:tcW w:w="2932" w:type="dxa"/>
            <w:vAlign w:val="center"/>
          </w:tcPr>
          <w:p>
            <w:pPr>
              <w:ind w:left="0" w:leftChars="0" w:firstLine="0" w:firstLineChars="0"/>
              <w:jc w:val="center"/>
              <w:rPr>
                <w:b/>
                <w:bCs/>
                <w:sz w:val="22"/>
                <w:szCs w:val="22"/>
              </w:rPr>
            </w:pPr>
            <w:r>
              <w:rPr>
                <w:rFonts w:hint="eastAsia"/>
                <w:b/>
                <w:bCs/>
                <w:sz w:val="22"/>
                <w:szCs w:val="22"/>
              </w:rPr>
              <w:t>计分FA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14" w:type="dxa"/>
            <w:gridSpan w:val="4"/>
            <w:vAlign w:val="center"/>
          </w:tcPr>
          <w:p>
            <w:pPr>
              <w:jc w:val="center"/>
              <w:rPr>
                <w:sz w:val="22"/>
                <w:szCs w:val="22"/>
              </w:rPr>
            </w:pPr>
            <w:r>
              <w:rPr>
                <w:rFonts w:hint="eastAsia"/>
                <w:b/>
                <w:bCs/>
                <w:sz w:val="22"/>
                <w:szCs w:val="22"/>
              </w:rPr>
              <w:t>综合评估法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vAlign w:val="center"/>
          </w:tcPr>
          <w:p>
            <w:pPr>
              <w:keepNext w:val="0"/>
              <w:keepLines w:val="0"/>
              <w:suppressLineNumbers w:val="0"/>
              <w:spacing w:before="0" w:beforeAutospacing="0" w:after="0" w:afterAutospacing="0" w:line="240" w:lineRule="auto"/>
              <w:ind w:left="0" w:right="0" w:firstLine="0" w:firstLineChars="0"/>
              <w:jc w:val="center"/>
              <w:textAlignment w:val="baseline"/>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1</w:t>
            </w:r>
          </w:p>
        </w:tc>
        <w:tc>
          <w:tcPr>
            <w:tcW w:w="1815" w:type="dxa"/>
            <w:vAlign w:val="center"/>
          </w:tcPr>
          <w:p>
            <w:pPr>
              <w:keepNext w:val="0"/>
              <w:keepLines w:val="0"/>
              <w:suppressLineNumbers w:val="0"/>
              <w:spacing w:before="0" w:beforeAutospacing="0" w:after="0" w:afterAutospacing="0" w:line="240" w:lineRule="auto"/>
              <w:ind w:left="0" w:right="0" w:firstLine="0" w:firstLineChars="0"/>
              <w:jc w:val="center"/>
              <w:textAlignment w:val="baseline"/>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αFA=0</w:t>
            </w:r>
          </w:p>
        </w:tc>
        <w:tc>
          <w:tcPr>
            <w:tcW w:w="3585" w:type="dxa"/>
            <w:vAlign w:val="center"/>
          </w:tcPr>
          <w:p>
            <w:pPr>
              <w:keepNext w:val="0"/>
              <w:keepLines w:val="0"/>
              <w:suppressLineNumbers w:val="0"/>
              <w:spacing w:before="0" w:beforeAutospacing="0" w:after="0" w:afterAutospacing="0" w:line="240" w:lineRule="auto"/>
              <w:ind w:left="0" w:right="0" w:firstLine="0" w:firstLineChars="0"/>
              <w:jc w:val="center"/>
              <w:textAlignment w:val="baseline"/>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FA=满分</w:t>
            </w:r>
          </w:p>
        </w:tc>
        <w:tc>
          <w:tcPr>
            <w:tcW w:w="2932" w:type="dxa"/>
            <w:vAlign w:val="center"/>
          </w:tcPr>
          <w:p>
            <w:pPr>
              <w:keepNext w:val="0"/>
              <w:keepLines w:val="0"/>
              <w:suppressLineNumbers w:val="0"/>
              <w:spacing w:before="0" w:beforeAutospacing="0" w:after="0" w:afterAutospacing="0" w:line="240" w:lineRule="auto"/>
              <w:ind w:left="0" w:right="0" w:firstLine="0" w:firstLineChars="0"/>
              <w:jc w:val="center"/>
              <w:textAlignment w:val="baseline"/>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FA=30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682" w:type="dxa"/>
            <w:vAlign w:val="center"/>
          </w:tcPr>
          <w:p>
            <w:pPr>
              <w:keepNext w:val="0"/>
              <w:keepLines w:val="0"/>
              <w:suppressLineNumbers w:val="0"/>
              <w:spacing w:before="0" w:beforeAutospacing="0" w:after="0" w:afterAutospacing="0" w:line="240" w:lineRule="auto"/>
              <w:ind w:left="0" w:right="0" w:firstLine="0" w:firstLineChars="0"/>
              <w:jc w:val="center"/>
              <w:textAlignment w:val="baseline"/>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2</w:t>
            </w:r>
          </w:p>
        </w:tc>
        <w:tc>
          <w:tcPr>
            <w:tcW w:w="1815" w:type="dxa"/>
            <w:vAlign w:val="center"/>
          </w:tcPr>
          <w:p>
            <w:pPr>
              <w:keepNext w:val="0"/>
              <w:keepLines w:val="0"/>
              <w:suppressLineNumbers w:val="0"/>
              <w:spacing w:before="0" w:beforeAutospacing="0" w:after="0" w:afterAutospacing="0" w:line="240" w:lineRule="auto"/>
              <w:ind w:left="0" w:right="0" w:firstLine="0" w:firstLineChars="0"/>
              <w:jc w:val="center"/>
              <w:textAlignment w:val="baseline"/>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αFA&lt;0</w:t>
            </w:r>
          </w:p>
        </w:tc>
        <w:tc>
          <w:tcPr>
            <w:tcW w:w="3585" w:type="dxa"/>
            <w:vAlign w:val="center"/>
          </w:tcPr>
          <w:p>
            <w:pPr>
              <w:keepNext w:val="0"/>
              <w:keepLines w:val="0"/>
              <w:suppressLineNumbers w:val="0"/>
              <w:spacing w:before="0" w:beforeAutospacing="0" w:after="0" w:afterAutospacing="0" w:line="240" w:lineRule="auto"/>
              <w:ind w:left="0" w:right="0" w:firstLine="0" w:firstLineChars="0"/>
              <w:jc w:val="center"/>
              <w:textAlignment w:val="baseline"/>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偏差率αFA每减少1%时，在满分30分上减扣1分；以此类推，减扣至0为止。</w:t>
            </w:r>
          </w:p>
        </w:tc>
        <w:tc>
          <w:tcPr>
            <w:tcW w:w="2932" w:type="dxa"/>
            <w:vAlign w:val="center"/>
          </w:tcPr>
          <w:p>
            <w:pPr>
              <w:keepNext w:val="0"/>
              <w:keepLines w:val="0"/>
              <w:suppressLineNumbers w:val="0"/>
              <w:spacing w:before="0" w:beforeAutospacing="0" w:after="0" w:afterAutospacing="0" w:line="240" w:lineRule="auto"/>
              <w:ind w:left="0" w:right="0" w:firstLine="0" w:firstLineChars="0"/>
              <w:jc w:val="center"/>
              <w:textAlignment w:val="baseline"/>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FA=30－|αFA|×100×1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682" w:type="dxa"/>
            <w:vAlign w:val="center"/>
          </w:tcPr>
          <w:p>
            <w:pPr>
              <w:keepNext w:val="0"/>
              <w:keepLines w:val="0"/>
              <w:suppressLineNumbers w:val="0"/>
              <w:spacing w:before="0" w:beforeAutospacing="0" w:after="0" w:afterAutospacing="0" w:line="240" w:lineRule="auto"/>
              <w:ind w:left="0" w:right="0" w:firstLine="0" w:firstLineChars="0"/>
              <w:jc w:val="center"/>
              <w:textAlignment w:val="baseline"/>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3</w:t>
            </w:r>
          </w:p>
        </w:tc>
        <w:tc>
          <w:tcPr>
            <w:tcW w:w="1815" w:type="dxa"/>
            <w:vAlign w:val="center"/>
          </w:tcPr>
          <w:p>
            <w:pPr>
              <w:keepNext w:val="0"/>
              <w:keepLines w:val="0"/>
              <w:suppressLineNumbers w:val="0"/>
              <w:spacing w:before="0" w:beforeAutospacing="0" w:after="0" w:afterAutospacing="0" w:line="240" w:lineRule="auto"/>
              <w:ind w:left="0" w:right="0" w:firstLine="0" w:firstLineChars="0"/>
              <w:jc w:val="center"/>
              <w:textAlignment w:val="baseline"/>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αFA&gt;0</w:t>
            </w:r>
          </w:p>
        </w:tc>
        <w:tc>
          <w:tcPr>
            <w:tcW w:w="3585" w:type="dxa"/>
            <w:vAlign w:val="center"/>
          </w:tcPr>
          <w:p>
            <w:pPr>
              <w:keepNext w:val="0"/>
              <w:keepLines w:val="0"/>
              <w:suppressLineNumbers w:val="0"/>
              <w:spacing w:before="0" w:beforeAutospacing="0" w:after="0" w:afterAutospacing="0" w:line="240" w:lineRule="auto"/>
              <w:ind w:left="0" w:right="0" w:firstLine="0" w:firstLineChars="0"/>
              <w:jc w:val="center"/>
              <w:textAlignment w:val="baseline"/>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偏差率αFA每增加1%时，在满分30分上减扣2分；以此类推，减扣至0为止。</w:t>
            </w:r>
          </w:p>
        </w:tc>
        <w:tc>
          <w:tcPr>
            <w:tcW w:w="2932" w:type="dxa"/>
            <w:vAlign w:val="center"/>
          </w:tcPr>
          <w:p>
            <w:pPr>
              <w:keepNext w:val="0"/>
              <w:keepLines w:val="0"/>
              <w:suppressLineNumbers w:val="0"/>
              <w:spacing w:before="0" w:beforeAutospacing="0" w:after="0" w:afterAutospacing="0" w:line="240" w:lineRule="auto"/>
              <w:ind w:left="0" w:right="0" w:firstLine="0" w:firstLineChars="0"/>
              <w:jc w:val="center"/>
              <w:textAlignment w:val="baseline"/>
              <w:rPr>
                <w:rFonts w:hint="eastAsia" w:ascii="仿宋" w:hAnsi="仿宋" w:eastAsia="仿宋" w:cs="仿宋"/>
                <w:color w:val="auto"/>
                <w:sz w:val="22"/>
                <w:szCs w:val="22"/>
                <w:highlight w:val="none"/>
                <w:lang w:val="en-US" w:eastAsia="zh-CN"/>
              </w:rPr>
            </w:pPr>
            <w:r>
              <w:rPr>
                <w:rFonts w:hint="eastAsia" w:ascii="仿宋" w:hAnsi="仿宋" w:eastAsia="仿宋" w:cs="仿宋"/>
                <w:color w:val="auto"/>
                <w:sz w:val="22"/>
                <w:szCs w:val="22"/>
                <w:highlight w:val="none"/>
                <w:lang w:val="en-US" w:eastAsia="zh-CN"/>
              </w:rPr>
              <w:t>FA=30－|αFA|×100×2</w:t>
            </w:r>
          </w:p>
        </w:tc>
      </w:tr>
    </w:tbl>
    <w:p>
      <w:pPr>
        <w:rPr>
          <w:sz w:val="22"/>
          <w:szCs w:val="22"/>
        </w:rPr>
      </w:pPr>
      <w:r>
        <w:rPr>
          <w:rFonts w:hint="eastAsia"/>
          <w:sz w:val="22"/>
          <w:szCs w:val="22"/>
        </w:rPr>
        <w:t>注：表中的｜α</w:t>
      </w:r>
      <w:r>
        <w:rPr>
          <w:rFonts w:hint="eastAsia"/>
          <w:sz w:val="22"/>
          <w:szCs w:val="22"/>
          <w:vertAlign w:val="subscript"/>
        </w:rPr>
        <w:t>FA</w:t>
      </w:r>
      <w:r>
        <w:rPr>
          <w:rFonts w:hint="eastAsia"/>
          <w:sz w:val="22"/>
          <w:szCs w:val="22"/>
        </w:rPr>
        <w:t>|、|β</w:t>
      </w:r>
      <w:r>
        <w:rPr>
          <w:rFonts w:hint="eastAsia"/>
          <w:sz w:val="22"/>
          <w:szCs w:val="22"/>
          <w:vertAlign w:val="subscript"/>
        </w:rPr>
        <w:t>FA</w:t>
      </w:r>
      <w:r>
        <w:rPr>
          <w:rFonts w:hint="eastAsia"/>
          <w:sz w:val="22"/>
          <w:szCs w:val="22"/>
        </w:rPr>
        <w:t>|为取绝对值函数。FA分值数据保留小数点后三位。</w:t>
      </w:r>
    </w:p>
    <w:p>
      <w:pPr>
        <w:rPr>
          <w:rFonts w:eastAsia="仿宋_GB2312"/>
          <w:b/>
          <w:bCs/>
          <w:sz w:val="22"/>
          <w:szCs w:val="22"/>
        </w:rPr>
      </w:pPr>
      <w:r>
        <w:rPr>
          <w:b/>
          <w:bCs/>
          <w:sz w:val="22"/>
          <w:szCs w:val="22"/>
        </w:rPr>
        <w:t>4.分部分项工程项目清单综合单价评审，共计10分。计分规则见下表。</w:t>
      </w:r>
    </w:p>
    <w:tbl>
      <w:tblPr>
        <w:tblStyle w:val="42"/>
        <w:tblW w:w="8912" w:type="dxa"/>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2"/>
        <w:gridCol w:w="4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4312" w:type="dxa"/>
            <w:vAlign w:val="center"/>
          </w:tcPr>
          <w:p>
            <w:pPr>
              <w:ind w:left="0" w:leftChars="0" w:firstLine="0" w:firstLineChars="0"/>
              <w:jc w:val="center"/>
              <w:rPr>
                <w:b/>
                <w:bCs/>
                <w:sz w:val="22"/>
                <w:szCs w:val="22"/>
              </w:rPr>
            </w:pPr>
            <w:r>
              <w:rPr>
                <w:rFonts w:hint="eastAsia"/>
                <w:b/>
                <w:bCs/>
                <w:sz w:val="22"/>
                <w:szCs w:val="22"/>
              </w:rPr>
              <w:t>分部分项工程项目清单综合单价</w:t>
            </w:r>
          </w:p>
        </w:tc>
        <w:tc>
          <w:tcPr>
            <w:tcW w:w="4600" w:type="dxa"/>
            <w:vAlign w:val="center"/>
          </w:tcPr>
          <w:p>
            <w:pPr>
              <w:ind w:left="0" w:leftChars="0" w:firstLine="0" w:firstLineChars="0"/>
              <w:jc w:val="center"/>
              <w:rPr>
                <w:b/>
                <w:bCs/>
                <w:sz w:val="22"/>
                <w:szCs w:val="22"/>
              </w:rPr>
            </w:pPr>
            <w:r>
              <w:rPr>
                <w:rFonts w:hint="eastAsia"/>
                <w:b/>
                <w:bCs/>
                <w:sz w:val="22"/>
                <w:szCs w:val="22"/>
              </w:rPr>
              <w:t>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8912" w:type="dxa"/>
            <w:gridSpan w:val="2"/>
            <w:vAlign w:val="center"/>
          </w:tcPr>
          <w:p>
            <w:pPr>
              <w:ind w:left="0" w:leftChars="0" w:firstLine="0" w:firstLineChars="0"/>
              <w:jc w:val="center"/>
              <w:rPr>
                <w:sz w:val="22"/>
                <w:szCs w:val="22"/>
              </w:rPr>
            </w:pPr>
            <w:r>
              <w:rPr>
                <w:rFonts w:hint="eastAsia"/>
                <w:sz w:val="22"/>
                <w:szCs w:val="22"/>
              </w:rPr>
              <w:t>P为分部分项工程项目清单综合单价项数总数，R为计分系数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912" w:type="dxa"/>
            <w:gridSpan w:val="2"/>
            <w:vAlign w:val="center"/>
          </w:tcPr>
          <w:p>
            <w:pPr>
              <w:ind w:left="0" w:leftChars="0" w:firstLine="0" w:firstLineChars="0"/>
              <w:jc w:val="center"/>
              <w:rPr>
                <w:sz w:val="22"/>
                <w:szCs w:val="22"/>
              </w:rPr>
            </w:pPr>
            <w:r>
              <w:rPr>
                <w:rFonts w:hint="eastAsia"/>
                <w:sz w:val="22"/>
                <w:szCs w:val="22"/>
              </w:rPr>
              <w:t>综合评估法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431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baseline"/>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在分部分项工程项目清单综合单价基准价95%–103%（不含95%和含103%）内的项数E</w:t>
            </w:r>
          </w:p>
        </w:tc>
        <w:tc>
          <w:tcPr>
            <w:tcW w:w="460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baseline"/>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FB1=10×E×R1/P，其中计分系数R1=1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431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baseline"/>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 xml:space="preserve">在分部分项工程项目清单综合单价基准价93%–95%（含93%和95%）内的项数H </w:t>
            </w:r>
          </w:p>
        </w:tc>
        <w:tc>
          <w:tcPr>
            <w:tcW w:w="460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baseline"/>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FB2=10×H×R2/P，其中计分系数R2=0.5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431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baseline"/>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低于分部分项工程项目清单综合单价基准价93%和高于分部分项工程项目清单综合单价基准价103%的项数</w:t>
            </w:r>
          </w:p>
        </w:tc>
        <w:tc>
          <w:tcPr>
            <w:tcW w:w="460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baseline"/>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FB3=0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4312"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baseline"/>
              <w:rPr>
                <w:rFonts w:hint="eastAsia" w:ascii="仿宋" w:hAnsi="仿宋" w:eastAsia="仿宋" w:cs="仿宋"/>
                <w:color w:val="auto"/>
                <w:kern w:val="2"/>
                <w:sz w:val="22"/>
                <w:szCs w:val="22"/>
                <w:highlight w:val="none"/>
                <w:lang w:val="en-US" w:eastAsia="zh-CN" w:bidi="ar-SA"/>
              </w:rPr>
            </w:pPr>
          </w:p>
        </w:tc>
        <w:tc>
          <w:tcPr>
            <w:tcW w:w="460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baseline"/>
              <w:rPr>
                <w:rFonts w:hint="eastAsia" w:ascii="仿宋" w:hAnsi="仿宋" w:eastAsia="仿宋" w:cs="仿宋"/>
                <w:color w:val="auto"/>
                <w:kern w:val="2"/>
                <w:sz w:val="22"/>
                <w:szCs w:val="22"/>
                <w:highlight w:val="none"/>
                <w:lang w:val="en-US" w:eastAsia="zh-CN" w:bidi="ar-SA"/>
              </w:rPr>
            </w:pPr>
            <w:r>
              <w:rPr>
                <w:rFonts w:hint="eastAsia" w:ascii="仿宋" w:hAnsi="仿宋" w:eastAsia="仿宋" w:cs="仿宋"/>
                <w:color w:val="auto"/>
                <w:kern w:val="2"/>
                <w:sz w:val="22"/>
                <w:szCs w:val="22"/>
                <w:highlight w:val="none"/>
                <w:lang w:val="en-US" w:eastAsia="zh-CN" w:bidi="ar-SA"/>
              </w:rPr>
              <w:t>上述合计FB=FB1＋FB2＋FB3，FB的最高分为10分</w:t>
            </w:r>
          </w:p>
        </w:tc>
      </w:tr>
    </w:tbl>
    <w:p>
      <w:pPr>
        <w:rPr>
          <w:sz w:val="22"/>
          <w:szCs w:val="22"/>
        </w:rPr>
      </w:pPr>
      <w:r>
        <w:rPr>
          <w:rFonts w:hint="eastAsia"/>
          <w:sz w:val="22"/>
          <w:szCs w:val="22"/>
        </w:rPr>
        <w:t>注：FB分值数据保留小数点后三位。</w:t>
      </w:r>
    </w:p>
    <w:p>
      <w:pPr>
        <w:rPr>
          <w:b/>
          <w:bCs/>
          <w:sz w:val="22"/>
          <w:szCs w:val="22"/>
        </w:rPr>
      </w:pPr>
      <w:r>
        <w:rPr>
          <w:b/>
          <w:bCs/>
          <w:sz w:val="22"/>
          <w:szCs w:val="22"/>
        </w:rPr>
        <w:t>5.措施项目费（不含安全文明施工措施费）的评审，共计5分。计分规则见下表。</w:t>
      </w:r>
    </w:p>
    <w:p>
      <w:pPr>
        <w:rPr>
          <w:sz w:val="22"/>
          <w:szCs w:val="22"/>
        </w:rPr>
      </w:pPr>
      <w:r>
        <w:rPr>
          <w:sz w:val="22"/>
          <w:szCs w:val="22"/>
        </w:rPr>
        <w:t>偏差率</w:t>
      </w:r>
      <w:r>
        <w:rPr>
          <w:rFonts w:eastAsia="宋体"/>
          <w:sz w:val="22"/>
          <w:szCs w:val="22"/>
        </w:rPr>
        <w:t>α</w:t>
      </w:r>
      <w:r>
        <w:rPr>
          <w:sz w:val="22"/>
          <w:szCs w:val="22"/>
          <w:vertAlign w:val="subscript"/>
        </w:rPr>
        <w:t>FC</w:t>
      </w:r>
      <w:r>
        <w:rPr>
          <w:sz w:val="22"/>
          <w:szCs w:val="22"/>
        </w:rPr>
        <w:t>=（投标人措施项目费报价－措施项目费基准价）÷措施项目费基准价×100%</w:t>
      </w:r>
    </w:p>
    <w:tbl>
      <w:tblPr>
        <w:tblStyle w:val="42"/>
        <w:tblW w:w="8912" w:type="dxa"/>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761"/>
        <w:gridCol w:w="3975"/>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653" w:type="dxa"/>
            <w:vAlign w:val="center"/>
          </w:tcPr>
          <w:p>
            <w:pPr>
              <w:ind w:left="0" w:leftChars="0" w:firstLine="0" w:firstLineChars="0"/>
              <w:jc w:val="center"/>
              <w:rPr>
                <w:b/>
                <w:bCs/>
                <w:sz w:val="22"/>
                <w:szCs w:val="22"/>
              </w:rPr>
            </w:pPr>
            <w:r>
              <w:rPr>
                <w:rFonts w:hint="eastAsia"/>
                <w:b/>
                <w:bCs/>
                <w:sz w:val="22"/>
                <w:szCs w:val="22"/>
              </w:rPr>
              <w:t>序号</w:t>
            </w:r>
          </w:p>
        </w:tc>
        <w:tc>
          <w:tcPr>
            <w:tcW w:w="1761" w:type="dxa"/>
            <w:vAlign w:val="center"/>
          </w:tcPr>
          <w:p>
            <w:pPr>
              <w:ind w:left="0" w:leftChars="0" w:firstLine="0" w:firstLineChars="0"/>
              <w:jc w:val="center"/>
              <w:rPr>
                <w:b/>
                <w:bCs/>
                <w:sz w:val="22"/>
                <w:szCs w:val="22"/>
              </w:rPr>
            </w:pPr>
            <w:r>
              <w:rPr>
                <w:rFonts w:hint="eastAsia"/>
                <w:b/>
                <w:bCs/>
                <w:sz w:val="22"/>
                <w:szCs w:val="22"/>
              </w:rPr>
              <w:t>偏差率α</w:t>
            </w:r>
            <w:r>
              <w:rPr>
                <w:rFonts w:hint="eastAsia"/>
                <w:b/>
                <w:bCs/>
                <w:sz w:val="22"/>
                <w:szCs w:val="22"/>
                <w:vertAlign w:val="subscript"/>
              </w:rPr>
              <w:t>FC</w:t>
            </w:r>
          </w:p>
        </w:tc>
        <w:tc>
          <w:tcPr>
            <w:tcW w:w="3975" w:type="dxa"/>
            <w:vAlign w:val="center"/>
          </w:tcPr>
          <w:p>
            <w:pPr>
              <w:ind w:left="0" w:leftChars="0" w:firstLine="0" w:firstLineChars="0"/>
              <w:jc w:val="center"/>
              <w:rPr>
                <w:b/>
                <w:bCs/>
                <w:sz w:val="22"/>
                <w:szCs w:val="22"/>
              </w:rPr>
            </w:pPr>
            <w:r>
              <w:rPr>
                <w:rFonts w:hint="eastAsia"/>
                <w:b/>
                <w:bCs/>
                <w:sz w:val="22"/>
                <w:szCs w:val="22"/>
              </w:rPr>
              <w:t>满足条件</w:t>
            </w:r>
          </w:p>
        </w:tc>
        <w:tc>
          <w:tcPr>
            <w:tcW w:w="2523" w:type="dxa"/>
            <w:vAlign w:val="center"/>
          </w:tcPr>
          <w:p>
            <w:pPr>
              <w:ind w:left="0" w:leftChars="0" w:firstLine="0" w:firstLineChars="0"/>
              <w:jc w:val="center"/>
              <w:rPr>
                <w:b/>
                <w:bCs/>
                <w:sz w:val="22"/>
                <w:szCs w:val="22"/>
              </w:rPr>
            </w:pPr>
            <w:r>
              <w:rPr>
                <w:rFonts w:hint="eastAsia"/>
                <w:b/>
                <w:bCs/>
                <w:sz w:val="22"/>
                <w:szCs w:val="22"/>
              </w:rPr>
              <w:t>计分FC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912" w:type="dxa"/>
            <w:gridSpan w:val="4"/>
            <w:vAlign w:val="center"/>
          </w:tcPr>
          <w:p>
            <w:pPr>
              <w:ind w:left="0" w:leftChars="0" w:firstLine="0" w:firstLineChars="0"/>
              <w:jc w:val="center"/>
              <w:rPr>
                <w:sz w:val="22"/>
                <w:szCs w:val="22"/>
              </w:rPr>
            </w:pPr>
            <w:r>
              <w:rPr>
                <w:rFonts w:hint="eastAsia"/>
                <w:b/>
                <w:bCs/>
                <w:sz w:val="22"/>
                <w:szCs w:val="22"/>
              </w:rPr>
              <w:t>综合评估法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5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textAlignment w:val="baseline"/>
              <w:rPr>
                <w:sz w:val="22"/>
                <w:szCs w:val="22"/>
              </w:rPr>
            </w:pPr>
            <w:r>
              <w:rPr>
                <w:rFonts w:hint="eastAsia"/>
                <w:sz w:val="22"/>
                <w:szCs w:val="22"/>
              </w:rPr>
              <w:t>1</w:t>
            </w:r>
          </w:p>
        </w:tc>
        <w:tc>
          <w:tcPr>
            <w:tcW w:w="1761" w:type="dxa"/>
            <w:vAlign w:val="center"/>
          </w:tcPr>
          <w:p>
            <w:pPr>
              <w:ind w:left="0" w:leftChars="0" w:firstLine="0" w:firstLineChars="0"/>
              <w:jc w:val="center"/>
              <w:rPr>
                <w:sz w:val="22"/>
                <w:szCs w:val="22"/>
              </w:rPr>
            </w:pPr>
            <w:r>
              <w:rPr>
                <w:rFonts w:hint="eastAsia"/>
                <w:sz w:val="22"/>
                <w:szCs w:val="22"/>
              </w:rPr>
              <w:t>α</w:t>
            </w:r>
            <w:r>
              <w:rPr>
                <w:rFonts w:hint="eastAsia"/>
                <w:sz w:val="22"/>
                <w:szCs w:val="22"/>
                <w:vertAlign w:val="subscript"/>
              </w:rPr>
              <w:t>FC</w:t>
            </w:r>
            <w:r>
              <w:rPr>
                <w:rFonts w:hint="eastAsia"/>
                <w:sz w:val="22"/>
                <w:szCs w:val="22"/>
              </w:rPr>
              <w:t>=0</w:t>
            </w:r>
          </w:p>
        </w:tc>
        <w:tc>
          <w:tcPr>
            <w:tcW w:w="3975" w:type="dxa"/>
            <w:vAlign w:val="center"/>
          </w:tcPr>
          <w:p>
            <w:pPr>
              <w:ind w:left="0" w:leftChars="0" w:firstLine="0" w:firstLineChars="0"/>
              <w:rPr>
                <w:sz w:val="22"/>
                <w:szCs w:val="22"/>
              </w:rPr>
            </w:pPr>
            <w:r>
              <w:rPr>
                <w:rFonts w:hint="eastAsia"/>
                <w:sz w:val="22"/>
                <w:szCs w:val="22"/>
              </w:rPr>
              <w:t>FC=基础分</w:t>
            </w:r>
          </w:p>
        </w:tc>
        <w:tc>
          <w:tcPr>
            <w:tcW w:w="2523" w:type="dxa"/>
            <w:vAlign w:val="center"/>
          </w:tcPr>
          <w:p>
            <w:pPr>
              <w:ind w:left="0" w:leftChars="0" w:firstLine="0" w:firstLineChars="0"/>
              <w:rPr>
                <w:sz w:val="22"/>
                <w:szCs w:val="22"/>
              </w:rPr>
            </w:pPr>
            <w:r>
              <w:rPr>
                <w:rFonts w:hint="eastAsia"/>
                <w:sz w:val="22"/>
                <w:szCs w:val="22"/>
              </w:rPr>
              <w:t>FC=3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vAlign w:val="center"/>
          </w:tcPr>
          <w:p>
            <w:pPr>
              <w:ind w:left="0" w:leftChars="0" w:firstLine="0" w:firstLineChars="0"/>
              <w:jc w:val="center"/>
              <w:rPr>
                <w:sz w:val="22"/>
                <w:szCs w:val="22"/>
              </w:rPr>
            </w:pPr>
            <w:r>
              <w:rPr>
                <w:rFonts w:hint="eastAsia"/>
                <w:sz w:val="22"/>
                <w:szCs w:val="22"/>
              </w:rPr>
              <w:t>2</w:t>
            </w:r>
          </w:p>
        </w:tc>
        <w:tc>
          <w:tcPr>
            <w:tcW w:w="1761" w:type="dxa"/>
            <w:vAlign w:val="center"/>
          </w:tcPr>
          <w:p>
            <w:pPr>
              <w:ind w:left="0" w:leftChars="0" w:firstLine="0" w:firstLineChars="0"/>
              <w:jc w:val="center"/>
              <w:rPr>
                <w:sz w:val="22"/>
                <w:szCs w:val="22"/>
              </w:rPr>
            </w:pPr>
            <w:r>
              <w:rPr>
                <w:rFonts w:hint="eastAsia"/>
                <w:sz w:val="22"/>
                <w:szCs w:val="22"/>
              </w:rPr>
              <w:t>α</w:t>
            </w:r>
            <w:r>
              <w:rPr>
                <w:rFonts w:hint="eastAsia"/>
                <w:sz w:val="22"/>
                <w:szCs w:val="22"/>
                <w:vertAlign w:val="subscript"/>
              </w:rPr>
              <w:t>FC</w:t>
            </w:r>
            <w:r>
              <w:rPr>
                <w:rFonts w:hint="eastAsia"/>
                <w:sz w:val="22"/>
                <w:szCs w:val="22"/>
              </w:rPr>
              <w:t>&lt;0</w:t>
            </w:r>
          </w:p>
        </w:tc>
        <w:tc>
          <w:tcPr>
            <w:tcW w:w="3975" w:type="dxa"/>
            <w:vAlign w:val="center"/>
          </w:tcPr>
          <w:p>
            <w:pPr>
              <w:ind w:left="0" w:leftChars="0" w:firstLine="0" w:firstLineChars="0"/>
              <w:rPr>
                <w:sz w:val="22"/>
                <w:szCs w:val="22"/>
              </w:rPr>
            </w:pPr>
            <w:r>
              <w:rPr>
                <w:rFonts w:hint="eastAsia"/>
                <w:sz w:val="22"/>
                <w:szCs w:val="22"/>
              </w:rPr>
              <w:t>偏差率α</w:t>
            </w:r>
            <w:r>
              <w:rPr>
                <w:rFonts w:hint="eastAsia"/>
                <w:sz w:val="22"/>
                <w:szCs w:val="22"/>
                <w:vertAlign w:val="subscript"/>
              </w:rPr>
              <w:t>FC</w:t>
            </w:r>
            <w:r>
              <w:rPr>
                <w:rFonts w:hint="eastAsia"/>
                <w:sz w:val="22"/>
                <w:szCs w:val="22"/>
              </w:rPr>
              <w:t>每减少1%时，在基础分上加0.1分；以此类推，最高加至5分为止。</w:t>
            </w:r>
          </w:p>
        </w:tc>
        <w:tc>
          <w:tcPr>
            <w:tcW w:w="2523" w:type="dxa"/>
            <w:vAlign w:val="center"/>
          </w:tcPr>
          <w:p>
            <w:pPr>
              <w:ind w:left="0" w:leftChars="0" w:firstLine="0" w:firstLineChars="0"/>
              <w:rPr>
                <w:sz w:val="22"/>
                <w:szCs w:val="22"/>
              </w:rPr>
            </w:pPr>
            <w:r>
              <w:rPr>
                <w:rFonts w:hint="eastAsia"/>
                <w:sz w:val="22"/>
                <w:szCs w:val="22"/>
              </w:rPr>
              <w:t>FC=3＋|α</w:t>
            </w:r>
            <w:r>
              <w:rPr>
                <w:rFonts w:hint="eastAsia"/>
                <w:sz w:val="22"/>
                <w:szCs w:val="22"/>
                <w:vertAlign w:val="subscript"/>
              </w:rPr>
              <w:t>FC</w:t>
            </w:r>
            <w:r>
              <w:rPr>
                <w:rFonts w:hint="eastAsia"/>
                <w:sz w:val="22"/>
                <w:szCs w:val="22"/>
              </w:rPr>
              <w:t>|×100×0.1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653" w:type="dxa"/>
            <w:vAlign w:val="center"/>
          </w:tcPr>
          <w:p>
            <w:pPr>
              <w:ind w:left="0" w:leftChars="0" w:firstLine="0" w:firstLineChars="0"/>
              <w:jc w:val="center"/>
              <w:rPr>
                <w:sz w:val="22"/>
                <w:szCs w:val="22"/>
              </w:rPr>
            </w:pPr>
            <w:r>
              <w:rPr>
                <w:rFonts w:hint="eastAsia"/>
                <w:sz w:val="22"/>
                <w:szCs w:val="22"/>
              </w:rPr>
              <w:t>3</w:t>
            </w:r>
          </w:p>
        </w:tc>
        <w:tc>
          <w:tcPr>
            <w:tcW w:w="1761" w:type="dxa"/>
            <w:vAlign w:val="center"/>
          </w:tcPr>
          <w:p>
            <w:pPr>
              <w:ind w:left="0" w:leftChars="0" w:firstLine="0" w:firstLineChars="0"/>
              <w:jc w:val="center"/>
              <w:rPr>
                <w:sz w:val="22"/>
                <w:szCs w:val="22"/>
              </w:rPr>
            </w:pPr>
            <w:r>
              <w:rPr>
                <w:rFonts w:hint="eastAsia"/>
                <w:sz w:val="22"/>
                <w:szCs w:val="22"/>
              </w:rPr>
              <w:t>α</w:t>
            </w:r>
            <w:r>
              <w:rPr>
                <w:rFonts w:hint="eastAsia"/>
                <w:sz w:val="22"/>
                <w:szCs w:val="22"/>
                <w:vertAlign w:val="subscript"/>
              </w:rPr>
              <w:t>FC</w:t>
            </w:r>
            <w:r>
              <w:rPr>
                <w:rFonts w:hint="eastAsia"/>
                <w:sz w:val="22"/>
                <w:szCs w:val="22"/>
              </w:rPr>
              <w:t>&gt;0</w:t>
            </w:r>
          </w:p>
        </w:tc>
        <w:tc>
          <w:tcPr>
            <w:tcW w:w="3975" w:type="dxa"/>
            <w:vAlign w:val="center"/>
          </w:tcPr>
          <w:p>
            <w:pPr>
              <w:ind w:left="0" w:leftChars="0" w:firstLine="0" w:firstLineChars="0"/>
              <w:rPr>
                <w:sz w:val="22"/>
                <w:szCs w:val="22"/>
              </w:rPr>
            </w:pPr>
            <w:r>
              <w:rPr>
                <w:rFonts w:hint="eastAsia"/>
                <w:sz w:val="22"/>
                <w:szCs w:val="22"/>
              </w:rPr>
              <w:t>偏差率α</w:t>
            </w:r>
            <w:r>
              <w:rPr>
                <w:rFonts w:hint="eastAsia"/>
                <w:sz w:val="22"/>
                <w:szCs w:val="22"/>
                <w:vertAlign w:val="subscript"/>
              </w:rPr>
              <w:t>FC</w:t>
            </w:r>
            <w:r>
              <w:rPr>
                <w:rFonts w:hint="eastAsia"/>
                <w:sz w:val="22"/>
                <w:szCs w:val="22"/>
              </w:rPr>
              <w:t>每增加1%时，在基础分上减扣0.1分；以此类推，减扣至0为止。</w:t>
            </w:r>
          </w:p>
        </w:tc>
        <w:tc>
          <w:tcPr>
            <w:tcW w:w="2523" w:type="dxa"/>
            <w:vAlign w:val="center"/>
          </w:tcPr>
          <w:p>
            <w:pPr>
              <w:ind w:left="0" w:leftChars="0" w:firstLine="0" w:firstLineChars="0"/>
              <w:rPr>
                <w:sz w:val="22"/>
                <w:szCs w:val="22"/>
              </w:rPr>
            </w:pPr>
            <w:r>
              <w:rPr>
                <w:rFonts w:hint="eastAsia"/>
                <w:sz w:val="22"/>
                <w:szCs w:val="22"/>
              </w:rPr>
              <w:t>FC=3－|α</w:t>
            </w:r>
            <w:r>
              <w:rPr>
                <w:rFonts w:hint="eastAsia"/>
                <w:sz w:val="22"/>
                <w:szCs w:val="22"/>
                <w:vertAlign w:val="subscript"/>
              </w:rPr>
              <w:t>FC</w:t>
            </w:r>
            <w:r>
              <w:rPr>
                <w:rFonts w:hint="eastAsia"/>
                <w:sz w:val="22"/>
                <w:szCs w:val="22"/>
              </w:rPr>
              <w:t>|×100×0.1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653" w:type="dxa"/>
            <w:vAlign w:val="center"/>
          </w:tcPr>
          <w:p>
            <w:pPr>
              <w:jc w:val="center"/>
              <w:rPr>
                <w:sz w:val="22"/>
                <w:szCs w:val="22"/>
              </w:rPr>
            </w:pPr>
          </w:p>
        </w:tc>
        <w:tc>
          <w:tcPr>
            <w:tcW w:w="1761" w:type="dxa"/>
            <w:vAlign w:val="center"/>
          </w:tcPr>
          <w:p>
            <w:pPr>
              <w:jc w:val="center"/>
              <w:rPr>
                <w:sz w:val="22"/>
                <w:szCs w:val="22"/>
              </w:rPr>
            </w:pPr>
          </w:p>
        </w:tc>
        <w:tc>
          <w:tcPr>
            <w:tcW w:w="3975" w:type="dxa"/>
            <w:vAlign w:val="center"/>
          </w:tcPr>
          <w:p>
            <w:pPr>
              <w:rPr>
                <w:sz w:val="22"/>
                <w:szCs w:val="22"/>
              </w:rPr>
            </w:pPr>
          </w:p>
        </w:tc>
        <w:tc>
          <w:tcPr>
            <w:tcW w:w="2523" w:type="dxa"/>
            <w:vAlign w:val="center"/>
          </w:tcPr>
          <w:p>
            <w:pPr>
              <w:ind w:left="0" w:leftChars="0" w:firstLine="0" w:firstLineChars="0"/>
              <w:rPr>
                <w:sz w:val="22"/>
                <w:szCs w:val="22"/>
              </w:rPr>
            </w:pPr>
            <w:r>
              <w:rPr>
                <w:rFonts w:hint="eastAsia"/>
                <w:sz w:val="22"/>
                <w:szCs w:val="22"/>
              </w:rPr>
              <w:t>FC最高分为5分</w:t>
            </w:r>
          </w:p>
        </w:tc>
      </w:tr>
    </w:tbl>
    <w:p>
      <w:pPr>
        <w:rPr>
          <w:sz w:val="22"/>
          <w:szCs w:val="22"/>
        </w:rPr>
      </w:pPr>
      <w:r>
        <w:rPr>
          <w:rFonts w:hint="eastAsia"/>
          <w:sz w:val="22"/>
          <w:szCs w:val="22"/>
        </w:rPr>
        <w:t>注：表中的|α</w:t>
      </w:r>
      <w:r>
        <w:rPr>
          <w:rFonts w:hint="eastAsia"/>
          <w:sz w:val="22"/>
          <w:szCs w:val="22"/>
          <w:vertAlign w:val="subscript"/>
        </w:rPr>
        <w:t>FC</w:t>
      </w:r>
      <w:r>
        <w:rPr>
          <w:rFonts w:hint="eastAsia"/>
          <w:sz w:val="22"/>
          <w:szCs w:val="22"/>
        </w:rPr>
        <w:t>|为取绝对值函数。FC分值数据保留小数点后三位。</w:t>
      </w:r>
    </w:p>
    <w:p>
      <w:pPr>
        <w:pStyle w:val="131"/>
        <w:numPr>
          <w:ilvl w:val="0"/>
          <w:numId w:val="0"/>
        </w:numPr>
        <w:ind w:firstLine="420" w:firstLineChars="0"/>
        <w:rPr>
          <w:b/>
          <w:bCs/>
          <w:sz w:val="22"/>
          <w:szCs w:val="22"/>
        </w:rPr>
      </w:pPr>
      <w:r>
        <w:rPr>
          <w:rFonts w:ascii="仿宋" w:hAnsi="仿宋" w:eastAsia="仿宋" w:cs="仿宋"/>
          <w:b/>
          <w:bCs/>
          <w:kern w:val="2"/>
          <w:sz w:val="22"/>
          <w:szCs w:val="22"/>
          <w:lang w:val="en-US" w:eastAsia="zh-CN" w:bidi="ar-SA"/>
        </w:rPr>
        <w:t>6.</w:t>
      </w:r>
      <w:r>
        <w:rPr>
          <w:b/>
          <w:bCs/>
          <w:sz w:val="22"/>
          <w:szCs w:val="22"/>
        </w:rPr>
        <w:t>材料单价的评审，共计5分。计分规则见下表。</w:t>
      </w:r>
    </w:p>
    <w:tbl>
      <w:tblPr>
        <w:tblStyle w:val="42"/>
        <w:tblW w:w="8891" w:type="dxa"/>
        <w:tblInd w:w="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8"/>
        <w:gridCol w:w="4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518" w:type="dxa"/>
            <w:vAlign w:val="center"/>
          </w:tcPr>
          <w:p>
            <w:pPr>
              <w:ind w:left="0" w:leftChars="0" w:firstLine="0" w:firstLineChars="0"/>
              <w:jc w:val="center"/>
              <w:rPr>
                <w:b/>
                <w:bCs/>
                <w:sz w:val="22"/>
                <w:szCs w:val="22"/>
              </w:rPr>
            </w:pPr>
            <w:r>
              <w:rPr>
                <w:rFonts w:hint="eastAsia"/>
                <w:b/>
                <w:bCs/>
                <w:sz w:val="22"/>
                <w:szCs w:val="22"/>
              </w:rPr>
              <w:t>投标报价材料单价</w:t>
            </w:r>
          </w:p>
        </w:tc>
        <w:tc>
          <w:tcPr>
            <w:tcW w:w="4373" w:type="dxa"/>
            <w:vAlign w:val="center"/>
          </w:tcPr>
          <w:p>
            <w:pPr>
              <w:ind w:left="0" w:leftChars="0" w:firstLine="0" w:firstLineChars="0"/>
              <w:jc w:val="center"/>
              <w:rPr>
                <w:b/>
                <w:bCs/>
                <w:sz w:val="22"/>
                <w:szCs w:val="22"/>
              </w:rPr>
            </w:pPr>
            <w:r>
              <w:rPr>
                <w:rFonts w:hint="eastAsia"/>
                <w:b/>
                <w:bCs/>
                <w:sz w:val="22"/>
                <w:szCs w:val="22"/>
              </w:rPr>
              <w:t>计分FD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8891" w:type="dxa"/>
            <w:gridSpan w:val="2"/>
            <w:vAlign w:val="center"/>
          </w:tcPr>
          <w:p>
            <w:pPr>
              <w:ind w:left="0" w:leftChars="0" w:firstLine="0" w:firstLineChars="0"/>
              <w:jc w:val="center"/>
              <w:rPr>
                <w:sz w:val="22"/>
                <w:szCs w:val="22"/>
              </w:rPr>
            </w:pPr>
            <w:r>
              <w:rPr>
                <w:rFonts w:hint="eastAsia"/>
                <w:sz w:val="22"/>
                <w:szCs w:val="22"/>
              </w:rPr>
              <w:t>Pd为工程量清单材料表中的材料总数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8891" w:type="dxa"/>
            <w:gridSpan w:val="2"/>
            <w:vAlign w:val="center"/>
          </w:tcPr>
          <w:p>
            <w:pPr>
              <w:ind w:left="0" w:leftChars="0" w:firstLine="0" w:firstLineChars="0"/>
              <w:jc w:val="center"/>
              <w:rPr>
                <w:sz w:val="22"/>
                <w:szCs w:val="22"/>
              </w:rPr>
            </w:pPr>
            <w:r>
              <w:rPr>
                <w:rFonts w:hint="eastAsia"/>
                <w:b/>
                <w:bCs/>
                <w:sz w:val="22"/>
                <w:szCs w:val="22"/>
              </w:rPr>
              <w:t>综合评估法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4518" w:type="dxa"/>
            <w:vAlign w:val="center"/>
          </w:tcPr>
          <w:p>
            <w:pPr>
              <w:ind w:left="0" w:leftChars="0" w:firstLine="0" w:firstLineChars="0"/>
              <w:rPr>
                <w:sz w:val="22"/>
                <w:szCs w:val="22"/>
              </w:rPr>
            </w:pPr>
            <w:r>
              <w:rPr>
                <w:rFonts w:hint="eastAsia"/>
                <w:sz w:val="22"/>
                <w:szCs w:val="22"/>
              </w:rPr>
              <w:t>在材料单价基准价95%–103%（不含95%和含103%）内的项数Md</w:t>
            </w:r>
          </w:p>
        </w:tc>
        <w:tc>
          <w:tcPr>
            <w:tcW w:w="4373" w:type="dxa"/>
            <w:vAlign w:val="center"/>
          </w:tcPr>
          <w:p>
            <w:pPr>
              <w:ind w:left="0" w:leftChars="0" w:firstLine="0" w:firstLineChars="0"/>
              <w:rPr>
                <w:sz w:val="22"/>
                <w:szCs w:val="22"/>
              </w:rPr>
            </w:pPr>
            <w:r>
              <w:rPr>
                <w:rFonts w:hint="eastAsia"/>
                <w:sz w:val="22"/>
                <w:szCs w:val="22"/>
              </w:rPr>
              <w:t>FD1=5×Md×Rd</w:t>
            </w:r>
            <w:r>
              <w:rPr>
                <w:rFonts w:hint="eastAsia"/>
                <w:sz w:val="22"/>
                <w:szCs w:val="22"/>
                <w:vertAlign w:val="subscript"/>
              </w:rPr>
              <w:t>1</w:t>
            </w:r>
            <w:r>
              <w:rPr>
                <w:rFonts w:hint="eastAsia"/>
                <w:sz w:val="22"/>
                <w:szCs w:val="22"/>
              </w:rPr>
              <w:t>/Pd，其中计分系数Rd</w:t>
            </w:r>
            <w:r>
              <w:rPr>
                <w:rFonts w:hint="eastAsia"/>
                <w:sz w:val="22"/>
                <w:szCs w:val="22"/>
                <w:vertAlign w:val="subscript"/>
              </w:rPr>
              <w:t>1</w:t>
            </w:r>
            <w:r>
              <w:rPr>
                <w:rFonts w:hint="eastAsia"/>
                <w:sz w:val="22"/>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4518" w:type="dxa"/>
            <w:vAlign w:val="center"/>
          </w:tcPr>
          <w:p>
            <w:pPr>
              <w:ind w:left="0" w:leftChars="0" w:firstLine="0" w:firstLineChars="0"/>
              <w:rPr>
                <w:sz w:val="22"/>
                <w:szCs w:val="22"/>
              </w:rPr>
            </w:pPr>
            <w:r>
              <w:rPr>
                <w:rFonts w:hint="eastAsia"/>
                <w:sz w:val="22"/>
                <w:szCs w:val="22"/>
              </w:rPr>
              <w:t xml:space="preserve">在材料单价基准价93%–95%（含93%和95%）内的项数Nd </w:t>
            </w:r>
          </w:p>
        </w:tc>
        <w:tc>
          <w:tcPr>
            <w:tcW w:w="4373" w:type="dxa"/>
            <w:vAlign w:val="center"/>
          </w:tcPr>
          <w:p>
            <w:pPr>
              <w:ind w:left="0" w:leftChars="0" w:firstLine="0" w:firstLineChars="0"/>
              <w:rPr>
                <w:sz w:val="22"/>
                <w:szCs w:val="22"/>
              </w:rPr>
            </w:pPr>
            <w:r>
              <w:rPr>
                <w:rFonts w:hint="eastAsia"/>
                <w:sz w:val="22"/>
                <w:szCs w:val="22"/>
              </w:rPr>
              <w:t>FD2=5×Nd×Rd</w:t>
            </w:r>
            <w:r>
              <w:rPr>
                <w:rFonts w:hint="eastAsia"/>
                <w:sz w:val="22"/>
                <w:szCs w:val="22"/>
                <w:vertAlign w:val="subscript"/>
              </w:rPr>
              <w:t>2</w:t>
            </w:r>
            <w:r>
              <w:rPr>
                <w:rFonts w:hint="eastAsia"/>
                <w:sz w:val="22"/>
                <w:szCs w:val="22"/>
              </w:rPr>
              <w:t>/Pd，其中计分系数Rd</w:t>
            </w:r>
            <w:r>
              <w:rPr>
                <w:rFonts w:hint="eastAsia"/>
                <w:sz w:val="22"/>
                <w:szCs w:val="22"/>
                <w:vertAlign w:val="subscript"/>
              </w:rPr>
              <w:t>2</w:t>
            </w:r>
            <w:r>
              <w:rPr>
                <w:rFonts w:hint="eastAsia"/>
                <w:sz w:val="22"/>
                <w:szCs w:val="22"/>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4518" w:type="dxa"/>
            <w:vAlign w:val="center"/>
          </w:tcPr>
          <w:p>
            <w:pPr>
              <w:ind w:left="0" w:leftChars="0" w:firstLine="0" w:firstLineChars="0"/>
              <w:rPr>
                <w:sz w:val="22"/>
                <w:szCs w:val="22"/>
              </w:rPr>
            </w:pPr>
            <w:r>
              <w:rPr>
                <w:rFonts w:hint="eastAsia"/>
                <w:sz w:val="22"/>
                <w:szCs w:val="22"/>
              </w:rPr>
              <w:t>低于材料单价基准价93%和高于材料单价基准价103%的项数</w:t>
            </w:r>
          </w:p>
        </w:tc>
        <w:tc>
          <w:tcPr>
            <w:tcW w:w="4373" w:type="dxa"/>
            <w:vAlign w:val="center"/>
          </w:tcPr>
          <w:p>
            <w:pPr>
              <w:ind w:left="0" w:leftChars="0" w:firstLine="0" w:firstLineChars="0"/>
              <w:rPr>
                <w:sz w:val="22"/>
                <w:szCs w:val="22"/>
              </w:rPr>
            </w:pPr>
            <w:r>
              <w:rPr>
                <w:rFonts w:hint="eastAsia"/>
                <w:sz w:val="22"/>
                <w:szCs w:val="22"/>
              </w:rPr>
              <w:t>FD3=0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4518" w:type="dxa"/>
            <w:vAlign w:val="center"/>
          </w:tcPr>
          <w:p>
            <w:pPr>
              <w:rPr>
                <w:sz w:val="22"/>
                <w:szCs w:val="22"/>
              </w:rPr>
            </w:pPr>
          </w:p>
        </w:tc>
        <w:tc>
          <w:tcPr>
            <w:tcW w:w="4373" w:type="dxa"/>
            <w:vAlign w:val="center"/>
          </w:tcPr>
          <w:p>
            <w:pPr>
              <w:rPr>
                <w:sz w:val="22"/>
                <w:szCs w:val="22"/>
              </w:rPr>
            </w:pPr>
            <w:r>
              <w:rPr>
                <w:rFonts w:hint="eastAsia"/>
                <w:sz w:val="22"/>
                <w:szCs w:val="22"/>
              </w:rPr>
              <w:t>上述合计FD=FD1＋FD2＋FD3，FD最高分为5分</w:t>
            </w:r>
          </w:p>
        </w:tc>
      </w:tr>
    </w:tbl>
    <w:p>
      <w:pPr>
        <w:rPr>
          <w:sz w:val="22"/>
          <w:szCs w:val="22"/>
        </w:rPr>
      </w:pPr>
      <w:r>
        <w:rPr>
          <w:rFonts w:hint="eastAsia"/>
          <w:sz w:val="22"/>
          <w:szCs w:val="22"/>
        </w:rPr>
        <w:t>注：招标文件应提供工程量清单材料表。投标人漏报材料单价的，该投标人漏报项不参与材料单价基准价计算。</w:t>
      </w:r>
    </w:p>
    <w:p>
      <w:pPr>
        <w:spacing w:line="560" w:lineRule="exact"/>
        <w:ind w:firstLine="482" w:firstLineChars="200"/>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三、综合标的主要内容及评标分值：3</w:t>
      </w:r>
      <w:r>
        <w:rPr>
          <w:rFonts w:hint="eastAsia" w:ascii="仿宋" w:hAnsi="仿宋" w:eastAsia="仿宋" w:cs="仿宋"/>
          <w:b/>
          <w:bCs/>
          <w:sz w:val="24"/>
          <w:szCs w:val="24"/>
          <w:highlight w:val="none"/>
          <w:lang w:val="en-US" w:eastAsia="zh-CN"/>
        </w:rPr>
        <w:t>1.5</w:t>
      </w:r>
      <w:r>
        <w:rPr>
          <w:rFonts w:hint="eastAsia" w:ascii="仿宋" w:hAnsi="仿宋" w:eastAsia="仿宋" w:cs="仿宋"/>
          <w:b/>
          <w:bCs/>
          <w:sz w:val="24"/>
          <w:szCs w:val="24"/>
          <w:highlight w:val="none"/>
        </w:rPr>
        <w:t>分</w:t>
      </w:r>
    </w:p>
    <w:tbl>
      <w:tblPr>
        <w:tblStyle w:val="41"/>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366"/>
        <w:gridCol w:w="2412"/>
        <w:gridCol w:w="2598"/>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87" w:type="dxa"/>
            <w:vAlign w:val="center"/>
          </w:tcPr>
          <w:p>
            <w:pPr>
              <w:ind w:left="0" w:leftChars="0" w:firstLine="0" w:firstLineChars="0"/>
              <w:jc w:val="center"/>
              <w:rPr>
                <w:sz w:val="22"/>
                <w:szCs w:val="22"/>
              </w:rPr>
            </w:pPr>
            <w:r>
              <w:rPr>
                <w:rFonts w:hint="eastAsia"/>
                <w:sz w:val="22"/>
                <w:szCs w:val="22"/>
              </w:rPr>
              <w:t>序号</w:t>
            </w:r>
          </w:p>
        </w:tc>
        <w:tc>
          <w:tcPr>
            <w:tcW w:w="1366" w:type="dxa"/>
            <w:vAlign w:val="center"/>
          </w:tcPr>
          <w:p>
            <w:pPr>
              <w:ind w:left="0" w:leftChars="0" w:firstLine="0" w:firstLineChars="0"/>
              <w:jc w:val="center"/>
              <w:rPr>
                <w:sz w:val="22"/>
                <w:szCs w:val="22"/>
              </w:rPr>
            </w:pPr>
            <w:r>
              <w:rPr>
                <w:rFonts w:hint="eastAsia"/>
                <w:sz w:val="22"/>
                <w:szCs w:val="22"/>
              </w:rPr>
              <w:t>项目</w:t>
            </w:r>
          </w:p>
        </w:tc>
        <w:tc>
          <w:tcPr>
            <w:tcW w:w="5010" w:type="dxa"/>
            <w:gridSpan w:val="2"/>
            <w:vAlign w:val="center"/>
          </w:tcPr>
          <w:p>
            <w:pPr>
              <w:ind w:left="0" w:leftChars="0" w:firstLine="0" w:firstLineChars="0"/>
              <w:jc w:val="center"/>
              <w:rPr>
                <w:sz w:val="22"/>
                <w:szCs w:val="22"/>
              </w:rPr>
            </w:pPr>
            <w:r>
              <w:rPr>
                <w:rFonts w:hint="eastAsia"/>
                <w:sz w:val="22"/>
                <w:szCs w:val="22"/>
              </w:rPr>
              <w:t>评审标准</w:t>
            </w:r>
          </w:p>
        </w:tc>
        <w:tc>
          <w:tcPr>
            <w:tcW w:w="2037" w:type="dxa"/>
            <w:vAlign w:val="center"/>
          </w:tcPr>
          <w:p>
            <w:pPr>
              <w:ind w:left="0" w:leftChars="0" w:firstLine="0" w:firstLineChars="0"/>
              <w:jc w:val="center"/>
              <w:rPr>
                <w:sz w:val="22"/>
                <w:szCs w:val="22"/>
              </w:rPr>
            </w:pPr>
            <w:r>
              <w:rPr>
                <w:rFonts w:hint="eastAsia"/>
                <w:sz w:val="22"/>
                <w:szCs w:val="22"/>
              </w:rPr>
              <w:t>评审计分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87" w:type="dxa"/>
            <w:vAlign w:val="center"/>
          </w:tcPr>
          <w:p>
            <w:pPr>
              <w:ind w:left="0" w:leftChars="0" w:firstLine="0" w:firstLineChars="0"/>
              <w:jc w:val="center"/>
              <w:rPr>
                <w:sz w:val="22"/>
                <w:szCs w:val="22"/>
              </w:rPr>
            </w:pPr>
            <w:r>
              <w:rPr>
                <w:rFonts w:hint="eastAsia"/>
                <w:sz w:val="22"/>
                <w:szCs w:val="22"/>
              </w:rPr>
              <w:t>1</w:t>
            </w:r>
          </w:p>
        </w:tc>
        <w:tc>
          <w:tcPr>
            <w:tcW w:w="1366" w:type="dxa"/>
            <w:vAlign w:val="center"/>
          </w:tcPr>
          <w:p>
            <w:pPr>
              <w:ind w:left="0" w:leftChars="0" w:firstLine="0" w:firstLineChars="0"/>
              <w:jc w:val="center"/>
              <w:rPr>
                <w:sz w:val="22"/>
                <w:szCs w:val="22"/>
              </w:rPr>
            </w:pPr>
            <w:r>
              <w:rPr>
                <w:rFonts w:hint="eastAsia"/>
                <w:sz w:val="22"/>
                <w:szCs w:val="22"/>
              </w:rPr>
              <w:t>企业业绩</w:t>
            </w:r>
          </w:p>
        </w:tc>
        <w:tc>
          <w:tcPr>
            <w:tcW w:w="5010" w:type="dxa"/>
            <w:gridSpan w:val="2"/>
            <w:vAlign w:val="center"/>
          </w:tcPr>
          <w:p>
            <w:pPr>
              <w:ind w:left="0" w:leftChars="0" w:firstLine="0" w:firstLineChars="0"/>
              <w:rPr>
                <w:sz w:val="22"/>
                <w:szCs w:val="22"/>
              </w:rPr>
            </w:pPr>
            <w:r>
              <w:rPr>
                <w:rFonts w:hint="eastAsia" w:ascii="仿宋" w:hAnsi="仿宋" w:eastAsia="仿宋" w:cs="仿宋"/>
                <w:strike w:val="0"/>
                <w:dstrike w:val="0"/>
                <w:color w:val="auto"/>
                <w:sz w:val="22"/>
                <w:szCs w:val="22"/>
                <w:highlight w:val="none"/>
                <w:lang w:val="en-US" w:eastAsia="zh-CN"/>
              </w:rPr>
              <w:t>投标人2021年1月1日以来承担过类似项目（空调工程）的每有1个得1分，最多得2分。（时间以合同签订时间为准。提供中标通知书及合同扫描件，否则不得分。）</w:t>
            </w:r>
          </w:p>
        </w:tc>
        <w:tc>
          <w:tcPr>
            <w:tcW w:w="2037" w:type="dxa"/>
            <w:vAlign w:val="center"/>
          </w:tcPr>
          <w:p>
            <w:pPr>
              <w:rPr>
                <w:sz w:val="22"/>
                <w:szCs w:val="22"/>
              </w:rPr>
            </w:pPr>
            <w:r>
              <w:rPr>
                <w:rFonts w:hint="eastAsia"/>
                <w:sz w:val="22"/>
                <w:szCs w:val="22"/>
              </w:rPr>
              <w:t>0≤得分≤2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687" w:type="dxa"/>
            <w:vMerge w:val="restart"/>
            <w:vAlign w:val="center"/>
          </w:tcPr>
          <w:p>
            <w:pPr>
              <w:ind w:left="0" w:leftChars="0" w:firstLine="0" w:firstLineChars="0"/>
              <w:jc w:val="center"/>
              <w:rPr>
                <w:sz w:val="22"/>
                <w:szCs w:val="22"/>
              </w:rPr>
            </w:pPr>
            <w:r>
              <w:rPr>
                <w:rFonts w:hint="eastAsia"/>
                <w:sz w:val="22"/>
                <w:szCs w:val="22"/>
              </w:rPr>
              <w:t>2</w:t>
            </w:r>
          </w:p>
        </w:tc>
        <w:tc>
          <w:tcPr>
            <w:tcW w:w="1366" w:type="dxa"/>
            <w:vMerge w:val="restart"/>
            <w:vAlign w:val="center"/>
          </w:tcPr>
          <w:p>
            <w:pPr>
              <w:ind w:left="0" w:leftChars="0" w:firstLine="0" w:firstLineChars="0"/>
              <w:jc w:val="center"/>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*企业既往项目人员在岗情况</w:t>
            </w:r>
          </w:p>
        </w:tc>
        <w:tc>
          <w:tcPr>
            <w:tcW w:w="2412" w:type="dxa"/>
            <w:vMerge w:val="restart"/>
            <w:vAlign w:val="center"/>
          </w:tcPr>
          <w:p>
            <w:pPr>
              <w:ind w:left="0" w:leftChars="0" w:firstLine="0" w:firstLineChars="0"/>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企业项目经理</w:t>
            </w:r>
            <w:r>
              <w:rPr>
                <w:rFonts w:hint="eastAsia" w:ascii="仿宋" w:hAnsi="仿宋" w:eastAsia="仿宋" w:cs="仿宋"/>
                <w:kern w:val="2"/>
                <w:sz w:val="22"/>
                <w:szCs w:val="22"/>
                <w:lang w:val="en" w:eastAsia="zh-CN" w:bidi="ar-SA"/>
              </w:rPr>
              <w:t>实名制</w:t>
            </w:r>
            <w:r>
              <w:rPr>
                <w:rFonts w:hint="eastAsia" w:ascii="仿宋" w:hAnsi="仿宋" w:eastAsia="仿宋" w:cs="仿宋"/>
                <w:kern w:val="2"/>
                <w:sz w:val="22"/>
                <w:szCs w:val="22"/>
                <w:lang w:val="en-US" w:eastAsia="zh-CN" w:bidi="ar-SA"/>
              </w:rPr>
              <w:t>平均</w:t>
            </w:r>
            <w:r>
              <w:rPr>
                <w:rFonts w:hint="eastAsia" w:ascii="仿宋" w:hAnsi="仿宋" w:eastAsia="仿宋" w:cs="仿宋"/>
                <w:kern w:val="2"/>
                <w:sz w:val="22"/>
                <w:szCs w:val="22"/>
                <w:lang w:val="en" w:eastAsia="zh-CN" w:bidi="ar-SA"/>
              </w:rPr>
              <w:t>考勤</w:t>
            </w:r>
            <w:r>
              <w:rPr>
                <w:rFonts w:hint="eastAsia" w:ascii="仿宋" w:hAnsi="仿宋" w:eastAsia="仿宋" w:cs="仿宋"/>
                <w:kern w:val="2"/>
                <w:sz w:val="22"/>
                <w:szCs w:val="22"/>
                <w:lang w:val="en-US" w:eastAsia="zh-CN" w:bidi="ar-SA"/>
              </w:rPr>
              <w:t>率</w:t>
            </w:r>
          </w:p>
        </w:tc>
        <w:tc>
          <w:tcPr>
            <w:tcW w:w="2598" w:type="dxa"/>
            <w:vAlign w:val="center"/>
          </w:tcPr>
          <w:p>
            <w:pPr>
              <w:ind w:left="0" w:leftChars="0" w:firstLine="0" w:firstLineChars="0"/>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平均</w:t>
            </w:r>
            <w:r>
              <w:rPr>
                <w:rFonts w:hint="eastAsia" w:ascii="仿宋" w:hAnsi="仿宋" w:eastAsia="仿宋" w:cs="仿宋"/>
                <w:kern w:val="2"/>
                <w:sz w:val="22"/>
                <w:szCs w:val="22"/>
                <w:lang w:val="en" w:eastAsia="zh-CN" w:bidi="ar-SA"/>
              </w:rPr>
              <w:t>考勤</w:t>
            </w:r>
            <w:r>
              <w:rPr>
                <w:rFonts w:hint="eastAsia" w:ascii="仿宋" w:hAnsi="仿宋" w:eastAsia="仿宋" w:cs="仿宋"/>
                <w:kern w:val="2"/>
                <w:sz w:val="22"/>
                <w:szCs w:val="22"/>
                <w:lang w:val="en-US" w:eastAsia="zh-CN" w:bidi="ar-SA"/>
              </w:rPr>
              <w:t>率≥80%</w:t>
            </w:r>
          </w:p>
        </w:tc>
        <w:tc>
          <w:tcPr>
            <w:tcW w:w="2037" w:type="dxa"/>
            <w:vAlign w:val="center"/>
          </w:tcPr>
          <w:p>
            <w:pPr>
              <w:ind w:left="0" w:leftChars="0" w:firstLine="0" w:firstLineChars="0"/>
              <w:jc w:val="center"/>
              <w:rPr>
                <w:sz w:val="22"/>
                <w:szCs w:val="22"/>
              </w:rPr>
            </w:pPr>
            <w:r>
              <w:rPr>
                <w:rFonts w:hint="eastAsia"/>
                <w:sz w:val="22"/>
                <w:szCs w:val="22"/>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687" w:type="dxa"/>
            <w:vMerge w:val="continue"/>
            <w:vAlign w:val="center"/>
          </w:tcPr>
          <w:p>
            <w:pPr>
              <w:jc w:val="center"/>
              <w:rPr>
                <w:sz w:val="22"/>
                <w:szCs w:val="22"/>
              </w:rPr>
            </w:pPr>
          </w:p>
        </w:tc>
        <w:tc>
          <w:tcPr>
            <w:tcW w:w="1366" w:type="dxa"/>
            <w:vMerge w:val="continue"/>
            <w:vAlign w:val="center"/>
          </w:tcPr>
          <w:p>
            <w:pPr>
              <w:rPr>
                <w:rFonts w:hint="eastAsia" w:ascii="仿宋" w:hAnsi="仿宋" w:eastAsia="仿宋" w:cs="仿宋"/>
                <w:kern w:val="2"/>
                <w:sz w:val="22"/>
                <w:szCs w:val="22"/>
                <w:lang w:val="en-US" w:eastAsia="zh-CN" w:bidi="ar-SA"/>
              </w:rPr>
            </w:pPr>
          </w:p>
        </w:tc>
        <w:tc>
          <w:tcPr>
            <w:tcW w:w="2412" w:type="dxa"/>
            <w:vMerge w:val="continue"/>
            <w:vAlign w:val="center"/>
          </w:tcPr>
          <w:p>
            <w:pPr>
              <w:rPr>
                <w:rFonts w:hint="eastAsia" w:ascii="仿宋" w:hAnsi="仿宋" w:eastAsia="仿宋" w:cs="仿宋"/>
                <w:kern w:val="2"/>
                <w:sz w:val="22"/>
                <w:szCs w:val="22"/>
                <w:lang w:val="en-US" w:eastAsia="zh-CN" w:bidi="ar-SA"/>
              </w:rPr>
            </w:pPr>
          </w:p>
        </w:tc>
        <w:tc>
          <w:tcPr>
            <w:tcW w:w="2598" w:type="dxa"/>
            <w:vAlign w:val="center"/>
          </w:tcPr>
          <w:p>
            <w:pPr>
              <w:ind w:left="0" w:leftChars="0" w:firstLine="0" w:firstLineChars="0"/>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80%＞平均</w:t>
            </w:r>
            <w:r>
              <w:rPr>
                <w:rFonts w:hint="eastAsia" w:ascii="仿宋" w:hAnsi="仿宋" w:eastAsia="仿宋" w:cs="仿宋"/>
                <w:kern w:val="2"/>
                <w:sz w:val="22"/>
                <w:szCs w:val="22"/>
                <w:lang w:val="en" w:eastAsia="zh-CN" w:bidi="ar-SA"/>
              </w:rPr>
              <w:t>考勤</w:t>
            </w:r>
            <w:r>
              <w:rPr>
                <w:rFonts w:hint="eastAsia" w:ascii="仿宋" w:hAnsi="仿宋" w:eastAsia="仿宋" w:cs="仿宋"/>
                <w:kern w:val="2"/>
                <w:sz w:val="22"/>
                <w:szCs w:val="22"/>
                <w:lang w:val="en-US" w:eastAsia="zh-CN" w:bidi="ar-SA"/>
              </w:rPr>
              <w:t>率≥30%</w:t>
            </w:r>
          </w:p>
        </w:tc>
        <w:tc>
          <w:tcPr>
            <w:tcW w:w="2037" w:type="dxa"/>
            <w:vAlign w:val="center"/>
          </w:tcPr>
          <w:p>
            <w:pPr>
              <w:ind w:left="0" w:leftChars="0" w:firstLine="0" w:firstLineChars="0"/>
              <w:jc w:val="center"/>
              <w:rPr>
                <w:sz w:val="22"/>
                <w:szCs w:val="22"/>
              </w:rPr>
            </w:pPr>
            <w:r>
              <w:rPr>
                <w:rFonts w:hint="eastAsia"/>
                <w:sz w:val="22"/>
                <w:szCs w:val="22"/>
              </w:rPr>
              <w:t>8×(平均</w:t>
            </w:r>
            <w:r>
              <w:rPr>
                <w:rFonts w:hint="eastAsia"/>
                <w:sz w:val="22"/>
                <w:szCs w:val="22"/>
                <w:lang w:val="en"/>
              </w:rPr>
              <w:t>考勤</w:t>
            </w:r>
            <w:r>
              <w:rPr>
                <w:rFonts w:hint="eastAsia"/>
                <w:sz w:val="22"/>
                <w:szCs w:val="22"/>
              </w:rPr>
              <w:t>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87" w:type="dxa"/>
            <w:vMerge w:val="continue"/>
            <w:vAlign w:val="center"/>
          </w:tcPr>
          <w:p>
            <w:pPr>
              <w:jc w:val="center"/>
              <w:rPr>
                <w:sz w:val="22"/>
                <w:szCs w:val="22"/>
              </w:rPr>
            </w:pPr>
          </w:p>
        </w:tc>
        <w:tc>
          <w:tcPr>
            <w:tcW w:w="1366" w:type="dxa"/>
            <w:vMerge w:val="continue"/>
            <w:vAlign w:val="center"/>
          </w:tcPr>
          <w:p>
            <w:pPr>
              <w:rPr>
                <w:rFonts w:hint="eastAsia" w:ascii="仿宋" w:hAnsi="仿宋" w:eastAsia="仿宋" w:cs="仿宋"/>
                <w:kern w:val="2"/>
                <w:sz w:val="22"/>
                <w:szCs w:val="22"/>
                <w:lang w:val="en-US" w:eastAsia="zh-CN" w:bidi="ar-SA"/>
              </w:rPr>
            </w:pPr>
          </w:p>
        </w:tc>
        <w:tc>
          <w:tcPr>
            <w:tcW w:w="2412" w:type="dxa"/>
            <w:vMerge w:val="continue"/>
            <w:vAlign w:val="center"/>
          </w:tcPr>
          <w:p>
            <w:pPr>
              <w:rPr>
                <w:rFonts w:hint="eastAsia" w:ascii="仿宋" w:hAnsi="仿宋" w:eastAsia="仿宋" w:cs="仿宋"/>
                <w:kern w:val="2"/>
                <w:sz w:val="22"/>
                <w:szCs w:val="22"/>
                <w:lang w:val="en-US" w:eastAsia="zh-CN" w:bidi="ar-SA"/>
              </w:rPr>
            </w:pPr>
          </w:p>
        </w:tc>
        <w:tc>
          <w:tcPr>
            <w:tcW w:w="2598" w:type="dxa"/>
            <w:vAlign w:val="center"/>
          </w:tcPr>
          <w:p>
            <w:pPr>
              <w:ind w:left="0" w:leftChars="0" w:firstLine="0" w:firstLineChars="0"/>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平均</w:t>
            </w:r>
            <w:r>
              <w:rPr>
                <w:rFonts w:hint="eastAsia" w:ascii="仿宋" w:hAnsi="仿宋" w:eastAsia="仿宋" w:cs="仿宋"/>
                <w:kern w:val="2"/>
                <w:sz w:val="22"/>
                <w:szCs w:val="22"/>
                <w:lang w:val="en" w:eastAsia="zh-CN" w:bidi="ar-SA"/>
              </w:rPr>
              <w:t>考勤</w:t>
            </w:r>
            <w:r>
              <w:rPr>
                <w:rFonts w:hint="eastAsia" w:ascii="仿宋" w:hAnsi="仿宋" w:eastAsia="仿宋" w:cs="仿宋"/>
                <w:kern w:val="2"/>
                <w:sz w:val="22"/>
                <w:szCs w:val="22"/>
                <w:lang w:val="en-US" w:eastAsia="zh-CN" w:bidi="ar-SA"/>
              </w:rPr>
              <w:t>率＜30%</w:t>
            </w:r>
          </w:p>
        </w:tc>
        <w:tc>
          <w:tcPr>
            <w:tcW w:w="2037" w:type="dxa"/>
            <w:vAlign w:val="center"/>
          </w:tcPr>
          <w:p>
            <w:pPr>
              <w:ind w:left="0" w:leftChars="0" w:firstLine="0" w:firstLineChars="0"/>
              <w:jc w:val="center"/>
              <w:rPr>
                <w:sz w:val="22"/>
                <w:szCs w:val="22"/>
              </w:rPr>
            </w:pPr>
            <w:r>
              <w:rPr>
                <w:rFonts w:hint="eastAsia"/>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687" w:type="dxa"/>
            <w:vMerge w:val="continue"/>
            <w:vAlign w:val="center"/>
          </w:tcPr>
          <w:p>
            <w:pPr>
              <w:jc w:val="center"/>
              <w:rPr>
                <w:sz w:val="22"/>
                <w:szCs w:val="22"/>
              </w:rPr>
            </w:pPr>
          </w:p>
        </w:tc>
        <w:tc>
          <w:tcPr>
            <w:tcW w:w="1366" w:type="dxa"/>
            <w:vMerge w:val="continue"/>
            <w:vAlign w:val="center"/>
          </w:tcPr>
          <w:p>
            <w:pPr>
              <w:rPr>
                <w:rFonts w:hint="eastAsia" w:ascii="仿宋" w:hAnsi="仿宋" w:eastAsia="仿宋" w:cs="仿宋"/>
                <w:kern w:val="2"/>
                <w:sz w:val="22"/>
                <w:szCs w:val="22"/>
                <w:lang w:val="en-US" w:eastAsia="zh-CN" w:bidi="ar-SA"/>
              </w:rPr>
            </w:pPr>
          </w:p>
        </w:tc>
        <w:tc>
          <w:tcPr>
            <w:tcW w:w="2412" w:type="dxa"/>
            <w:vMerge w:val="restart"/>
            <w:vAlign w:val="center"/>
          </w:tcPr>
          <w:p>
            <w:pPr>
              <w:ind w:left="0" w:leftChars="0" w:firstLine="0" w:firstLineChars="0"/>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企业项目建筑工人实名制平均考勤率</w:t>
            </w:r>
          </w:p>
        </w:tc>
        <w:tc>
          <w:tcPr>
            <w:tcW w:w="2598" w:type="dxa"/>
            <w:vAlign w:val="center"/>
          </w:tcPr>
          <w:p>
            <w:pPr>
              <w:ind w:left="0" w:leftChars="0" w:firstLine="0" w:firstLineChars="0"/>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平均考勤率≥80%</w:t>
            </w:r>
          </w:p>
        </w:tc>
        <w:tc>
          <w:tcPr>
            <w:tcW w:w="2037" w:type="dxa"/>
            <w:vAlign w:val="center"/>
          </w:tcPr>
          <w:p>
            <w:pPr>
              <w:ind w:left="0" w:leftChars="0" w:firstLine="0" w:firstLineChars="0"/>
              <w:jc w:val="center"/>
              <w:rPr>
                <w:sz w:val="22"/>
                <w:szCs w:val="22"/>
              </w:rPr>
            </w:pPr>
            <w:r>
              <w:rPr>
                <w:rFonts w:hint="eastAsia"/>
                <w:sz w:val="22"/>
                <w:szCs w:val="22"/>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87" w:type="dxa"/>
            <w:vMerge w:val="continue"/>
            <w:vAlign w:val="center"/>
          </w:tcPr>
          <w:p>
            <w:pPr>
              <w:jc w:val="center"/>
              <w:rPr>
                <w:sz w:val="22"/>
                <w:szCs w:val="22"/>
              </w:rPr>
            </w:pPr>
          </w:p>
        </w:tc>
        <w:tc>
          <w:tcPr>
            <w:tcW w:w="1366" w:type="dxa"/>
            <w:vMerge w:val="continue"/>
            <w:vAlign w:val="center"/>
          </w:tcPr>
          <w:p>
            <w:pPr>
              <w:rPr>
                <w:rFonts w:hint="eastAsia" w:ascii="仿宋" w:hAnsi="仿宋" w:eastAsia="仿宋" w:cs="仿宋"/>
                <w:kern w:val="2"/>
                <w:sz w:val="22"/>
                <w:szCs w:val="22"/>
                <w:lang w:val="en-US" w:eastAsia="zh-CN" w:bidi="ar-SA"/>
              </w:rPr>
            </w:pPr>
          </w:p>
        </w:tc>
        <w:tc>
          <w:tcPr>
            <w:tcW w:w="2412" w:type="dxa"/>
            <w:vMerge w:val="continue"/>
            <w:vAlign w:val="center"/>
          </w:tcPr>
          <w:p>
            <w:pPr>
              <w:rPr>
                <w:rFonts w:hint="eastAsia" w:ascii="仿宋" w:hAnsi="仿宋" w:eastAsia="仿宋" w:cs="仿宋"/>
                <w:kern w:val="2"/>
                <w:sz w:val="22"/>
                <w:szCs w:val="22"/>
                <w:lang w:val="en-US" w:eastAsia="zh-CN" w:bidi="ar-SA"/>
              </w:rPr>
            </w:pPr>
          </w:p>
        </w:tc>
        <w:tc>
          <w:tcPr>
            <w:tcW w:w="2598" w:type="dxa"/>
            <w:vAlign w:val="center"/>
          </w:tcPr>
          <w:p>
            <w:pPr>
              <w:ind w:left="0" w:leftChars="0" w:firstLine="0" w:firstLineChars="0"/>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80%&gt;平均考勤率≥30%</w:t>
            </w:r>
          </w:p>
        </w:tc>
        <w:tc>
          <w:tcPr>
            <w:tcW w:w="2037" w:type="dxa"/>
            <w:vAlign w:val="center"/>
          </w:tcPr>
          <w:p>
            <w:pPr>
              <w:ind w:left="0" w:leftChars="0" w:firstLine="0" w:firstLineChars="0"/>
              <w:jc w:val="center"/>
              <w:rPr>
                <w:sz w:val="22"/>
                <w:szCs w:val="22"/>
              </w:rPr>
            </w:pPr>
            <w:r>
              <w:rPr>
                <w:rFonts w:hint="eastAsia"/>
                <w:sz w:val="22"/>
                <w:szCs w:val="22"/>
              </w:rPr>
              <w:t>8×(平均考勤率－30%)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87" w:type="dxa"/>
            <w:vMerge w:val="continue"/>
            <w:vAlign w:val="center"/>
          </w:tcPr>
          <w:p>
            <w:pPr>
              <w:jc w:val="center"/>
              <w:rPr>
                <w:sz w:val="22"/>
                <w:szCs w:val="22"/>
              </w:rPr>
            </w:pPr>
          </w:p>
        </w:tc>
        <w:tc>
          <w:tcPr>
            <w:tcW w:w="1366" w:type="dxa"/>
            <w:vMerge w:val="continue"/>
            <w:vAlign w:val="center"/>
          </w:tcPr>
          <w:p>
            <w:pPr>
              <w:rPr>
                <w:rFonts w:hint="eastAsia" w:ascii="仿宋" w:hAnsi="仿宋" w:eastAsia="仿宋" w:cs="仿宋"/>
                <w:kern w:val="2"/>
                <w:sz w:val="22"/>
                <w:szCs w:val="22"/>
                <w:lang w:val="en-US" w:eastAsia="zh-CN" w:bidi="ar-SA"/>
              </w:rPr>
            </w:pPr>
          </w:p>
        </w:tc>
        <w:tc>
          <w:tcPr>
            <w:tcW w:w="2412" w:type="dxa"/>
            <w:vMerge w:val="continue"/>
            <w:vAlign w:val="center"/>
          </w:tcPr>
          <w:p>
            <w:pPr>
              <w:rPr>
                <w:rFonts w:hint="eastAsia" w:ascii="仿宋" w:hAnsi="仿宋" w:eastAsia="仿宋" w:cs="仿宋"/>
                <w:kern w:val="2"/>
                <w:sz w:val="22"/>
                <w:szCs w:val="22"/>
                <w:lang w:val="en-US" w:eastAsia="zh-CN" w:bidi="ar-SA"/>
              </w:rPr>
            </w:pPr>
          </w:p>
        </w:tc>
        <w:tc>
          <w:tcPr>
            <w:tcW w:w="2598" w:type="dxa"/>
            <w:vAlign w:val="center"/>
          </w:tcPr>
          <w:p>
            <w:pPr>
              <w:ind w:left="0" w:leftChars="0" w:firstLine="0" w:firstLineChars="0"/>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平均考勤率&lt;30%</w:t>
            </w:r>
          </w:p>
        </w:tc>
        <w:tc>
          <w:tcPr>
            <w:tcW w:w="2037" w:type="dxa"/>
            <w:vAlign w:val="center"/>
          </w:tcPr>
          <w:p>
            <w:pPr>
              <w:ind w:left="0" w:leftChars="0" w:firstLine="0" w:firstLineChars="0"/>
              <w:jc w:val="center"/>
              <w:rPr>
                <w:sz w:val="22"/>
                <w:szCs w:val="22"/>
              </w:rPr>
            </w:pPr>
            <w:r>
              <w:rPr>
                <w:rFonts w:hint="eastAsia"/>
                <w:sz w:val="22"/>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687" w:type="dxa"/>
            <w:vMerge w:val="restart"/>
            <w:vAlign w:val="center"/>
          </w:tcPr>
          <w:p>
            <w:pPr>
              <w:ind w:left="0" w:leftChars="0" w:firstLine="0" w:firstLineChars="0"/>
              <w:jc w:val="center"/>
              <w:rPr>
                <w:sz w:val="22"/>
                <w:szCs w:val="22"/>
              </w:rPr>
            </w:pPr>
            <w:r>
              <w:rPr>
                <w:rFonts w:hint="eastAsia"/>
                <w:sz w:val="22"/>
                <w:szCs w:val="22"/>
              </w:rPr>
              <w:t>3</w:t>
            </w:r>
          </w:p>
        </w:tc>
        <w:tc>
          <w:tcPr>
            <w:tcW w:w="1366" w:type="dxa"/>
            <w:vMerge w:val="restart"/>
            <w:vAlign w:val="center"/>
          </w:tcPr>
          <w:p>
            <w:pPr>
              <w:ind w:left="0" w:leftChars="0" w:firstLine="0" w:firstLineChars="0"/>
              <w:jc w:val="center"/>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*企业信用</w:t>
            </w:r>
          </w:p>
        </w:tc>
        <w:tc>
          <w:tcPr>
            <w:tcW w:w="5010" w:type="dxa"/>
            <w:gridSpan w:val="2"/>
            <w:vAlign w:val="center"/>
          </w:tcPr>
          <w:p>
            <w:pPr>
              <w:pStyle w:val="39"/>
              <w:ind w:firstLine="462"/>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 xml:space="preserve">□采用 </w:t>
            </w:r>
          </w:p>
          <w:p>
            <w:pPr>
              <w:pStyle w:val="39"/>
              <w:ind w:firstLine="462"/>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 xml:space="preserve">☑不采用 </w:t>
            </w:r>
          </w:p>
          <w:p>
            <w:pPr>
              <w:pStyle w:val="39"/>
              <w:ind w:firstLine="462"/>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方法一：有效投标人的市场企业信用评价分值为Ln（n为从1到n的自然数，示例：L1、L2........Ln），其中最高值为LMAX，投标人的企业信用得分Li=15×Ln/LMAX  。</w:t>
            </w:r>
          </w:p>
        </w:tc>
        <w:tc>
          <w:tcPr>
            <w:tcW w:w="2037" w:type="dxa"/>
            <w:vMerge w:val="restart"/>
            <w:vAlign w:val="center"/>
          </w:tcPr>
          <w:p>
            <w:pPr>
              <w:ind w:left="0" w:leftChars="0" w:firstLine="0" w:firstLineChars="0"/>
              <w:jc w:val="center"/>
              <w:rPr>
                <w:sz w:val="22"/>
                <w:szCs w:val="22"/>
              </w:rPr>
            </w:pPr>
            <w:r>
              <w:rPr>
                <w:rFonts w:hint="eastAsia"/>
                <w:sz w:val="22"/>
                <w:szCs w:val="22"/>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687" w:type="dxa"/>
            <w:vMerge w:val="continue"/>
            <w:vAlign w:val="center"/>
          </w:tcPr>
          <w:p>
            <w:pPr>
              <w:jc w:val="center"/>
              <w:rPr>
                <w:sz w:val="22"/>
                <w:szCs w:val="22"/>
              </w:rPr>
            </w:pPr>
          </w:p>
        </w:tc>
        <w:tc>
          <w:tcPr>
            <w:tcW w:w="1366" w:type="dxa"/>
            <w:vMerge w:val="continue"/>
            <w:vAlign w:val="center"/>
          </w:tcPr>
          <w:p>
            <w:pPr>
              <w:rPr>
                <w:sz w:val="22"/>
                <w:szCs w:val="22"/>
              </w:rPr>
            </w:pPr>
          </w:p>
        </w:tc>
        <w:tc>
          <w:tcPr>
            <w:tcW w:w="5010" w:type="dxa"/>
            <w:gridSpan w:val="2"/>
            <w:vAlign w:val="center"/>
          </w:tcPr>
          <w:p>
            <w:pPr>
              <w:pStyle w:val="39"/>
              <w:ind w:firstLine="462"/>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 xml:space="preserve">□采用 </w:t>
            </w:r>
          </w:p>
          <w:p>
            <w:pPr>
              <w:pStyle w:val="39"/>
              <w:ind w:firstLine="462"/>
              <w:rPr>
                <w:rFonts w:hint="eastAsia" w:ascii="仿宋" w:hAnsi="仿宋" w:eastAsia="仿宋" w:cs="仿宋"/>
                <w:kern w:val="2"/>
                <w:sz w:val="22"/>
                <w:szCs w:val="22"/>
                <w:lang w:val="en-US" w:eastAsia="zh-CN" w:bidi="ar-SA"/>
              </w:rPr>
            </w:pPr>
            <w:r>
              <w:rPr>
                <w:rFonts w:hint="eastAsia" w:ascii="仿宋" w:hAnsi="仿宋" w:eastAsia="仿宋" w:cs="仿宋"/>
                <w:kern w:val="2"/>
                <w:sz w:val="22"/>
                <w:szCs w:val="22"/>
                <w:lang w:val="en-US" w:eastAsia="zh-CN" w:bidi="ar-SA"/>
              </w:rPr>
              <w:t xml:space="preserve">☑不采用 </w:t>
            </w:r>
          </w:p>
          <w:p>
            <w:pPr>
              <w:pStyle w:val="39"/>
              <w:ind w:firstLine="462"/>
              <w:rPr>
                <w:sz w:val="22"/>
                <w:szCs w:val="22"/>
              </w:rPr>
            </w:pPr>
            <w:r>
              <w:rPr>
                <w:rFonts w:hint="eastAsia"/>
                <w:sz w:val="22"/>
                <w:szCs w:val="22"/>
              </w:rPr>
              <w:t>方法二：某有效投标人市场企业信用评价分为L</w:t>
            </w:r>
            <w:r>
              <w:rPr>
                <w:rFonts w:hint="eastAsia"/>
                <w:sz w:val="22"/>
                <w:szCs w:val="22"/>
                <w:vertAlign w:val="subscript"/>
              </w:rPr>
              <w:t>n</w:t>
            </w:r>
            <w:r>
              <w:rPr>
                <w:rFonts w:hint="eastAsia"/>
                <w:sz w:val="22"/>
                <w:szCs w:val="22"/>
              </w:rPr>
              <w:t>（n为从1到n的自然数，示例：L</w:t>
            </w:r>
            <w:r>
              <w:rPr>
                <w:rFonts w:hint="eastAsia"/>
                <w:sz w:val="22"/>
                <w:szCs w:val="22"/>
                <w:vertAlign w:val="subscript"/>
              </w:rPr>
              <w:t>1</w:t>
            </w:r>
            <w:r>
              <w:rPr>
                <w:rFonts w:hint="eastAsia"/>
                <w:sz w:val="22"/>
                <w:szCs w:val="22"/>
              </w:rPr>
              <w:t>、L</w:t>
            </w:r>
            <w:r>
              <w:rPr>
                <w:rFonts w:hint="eastAsia"/>
                <w:sz w:val="22"/>
                <w:szCs w:val="22"/>
                <w:vertAlign w:val="subscript"/>
              </w:rPr>
              <w:t>2</w:t>
            </w:r>
            <w:r>
              <w:rPr>
                <w:rFonts w:hint="eastAsia"/>
                <w:sz w:val="22"/>
                <w:szCs w:val="22"/>
              </w:rPr>
              <w:t>........L</w:t>
            </w:r>
            <w:r>
              <w:rPr>
                <w:rFonts w:hint="eastAsia"/>
                <w:sz w:val="22"/>
                <w:szCs w:val="22"/>
                <w:vertAlign w:val="subscript"/>
              </w:rPr>
              <w:t>n</w:t>
            </w:r>
            <w:r>
              <w:rPr>
                <w:rFonts w:hint="eastAsia"/>
                <w:sz w:val="22"/>
                <w:szCs w:val="22"/>
              </w:rPr>
              <w:t>），投标人的企业信用得分L</w:t>
            </w:r>
            <w:r>
              <w:rPr>
                <w:rFonts w:hint="eastAsia"/>
                <w:sz w:val="22"/>
                <w:szCs w:val="22"/>
                <w:vertAlign w:val="subscript"/>
              </w:rPr>
              <w:t>i</w:t>
            </w:r>
            <w:r>
              <w:rPr>
                <w:rFonts w:hint="eastAsia"/>
                <w:sz w:val="22"/>
                <w:szCs w:val="22"/>
              </w:rPr>
              <w:t>=6＋（L</w:t>
            </w:r>
            <w:r>
              <w:rPr>
                <w:rFonts w:hint="eastAsia"/>
                <w:sz w:val="22"/>
                <w:szCs w:val="22"/>
                <w:vertAlign w:val="subscript"/>
              </w:rPr>
              <w:t>n</w:t>
            </w:r>
            <w:r>
              <w:rPr>
                <w:rFonts w:hint="eastAsia"/>
                <w:sz w:val="22"/>
                <w:szCs w:val="22"/>
              </w:rPr>
              <w:t>－80）/10  。</w:t>
            </w:r>
          </w:p>
        </w:tc>
        <w:tc>
          <w:tcPr>
            <w:tcW w:w="2037" w:type="dxa"/>
            <w:vMerge w:val="continue"/>
            <w:vAlign w:val="center"/>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4" w:hRule="atLeast"/>
          <w:jc w:val="center"/>
        </w:trPr>
        <w:tc>
          <w:tcPr>
            <w:tcW w:w="687" w:type="dxa"/>
            <w:vMerge w:val="continue"/>
            <w:vAlign w:val="center"/>
          </w:tcPr>
          <w:p>
            <w:pPr>
              <w:pStyle w:val="39"/>
              <w:ind w:firstLine="462"/>
              <w:jc w:val="center"/>
              <w:rPr>
                <w:sz w:val="22"/>
                <w:szCs w:val="22"/>
              </w:rPr>
            </w:pPr>
          </w:p>
        </w:tc>
        <w:tc>
          <w:tcPr>
            <w:tcW w:w="1366" w:type="dxa"/>
            <w:vMerge w:val="continue"/>
            <w:vAlign w:val="center"/>
          </w:tcPr>
          <w:p>
            <w:pPr>
              <w:pStyle w:val="39"/>
              <w:ind w:firstLine="462"/>
              <w:rPr>
                <w:sz w:val="22"/>
                <w:szCs w:val="22"/>
              </w:rPr>
            </w:pPr>
          </w:p>
        </w:tc>
        <w:tc>
          <w:tcPr>
            <w:tcW w:w="5010" w:type="dxa"/>
            <w:gridSpan w:val="2"/>
            <w:vAlign w:val="center"/>
          </w:tcPr>
          <w:p>
            <w:pPr>
              <w:pStyle w:val="39"/>
              <w:ind w:firstLine="462"/>
              <w:rPr>
                <w:rFonts w:hint="eastAsia" w:ascii="仿宋" w:hAnsi="仿宋" w:eastAsia="仿宋" w:cs="仿宋"/>
                <w:kern w:val="2"/>
                <w:sz w:val="22"/>
                <w:szCs w:val="22"/>
                <w:lang w:val="en-US" w:eastAsia="zh-CN" w:bidi="ar-SA"/>
              </w:rPr>
            </w:pPr>
            <w:r>
              <w:rPr>
                <w:rFonts w:hint="eastAsia" w:cs="仿宋"/>
                <w:kern w:val="2"/>
                <w:sz w:val="22"/>
                <w:szCs w:val="22"/>
                <w:lang w:val="en-US" w:eastAsia="zh-CN" w:bidi="ar-SA"/>
              </w:rPr>
              <w:t>☑</w:t>
            </w:r>
            <w:r>
              <w:rPr>
                <w:rFonts w:hint="eastAsia" w:ascii="仿宋" w:hAnsi="仿宋" w:eastAsia="仿宋" w:cs="仿宋"/>
                <w:kern w:val="2"/>
                <w:sz w:val="22"/>
                <w:szCs w:val="22"/>
                <w:lang w:val="en-US" w:eastAsia="zh-CN" w:bidi="ar-SA"/>
              </w:rPr>
              <w:t xml:space="preserve">采用 </w:t>
            </w:r>
          </w:p>
          <w:p>
            <w:pPr>
              <w:pStyle w:val="39"/>
              <w:ind w:firstLine="462"/>
              <w:rPr>
                <w:rFonts w:hint="eastAsia" w:ascii="仿宋" w:hAnsi="仿宋" w:eastAsia="仿宋" w:cs="仿宋"/>
                <w:kern w:val="2"/>
                <w:sz w:val="22"/>
                <w:szCs w:val="22"/>
                <w:lang w:val="en-US" w:eastAsia="zh-CN" w:bidi="ar-SA"/>
              </w:rPr>
            </w:pPr>
            <w:r>
              <w:rPr>
                <w:rFonts w:hint="eastAsia" w:cs="仿宋"/>
                <w:kern w:val="2"/>
                <w:sz w:val="22"/>
                <w:szCs w:val="22"/>
                <w:lang w:val="en-US" w:eastAsia="zh-CN" w:bidi="ar-SA"/>
              </w:rPr>
              <w:t>□</w:t>
            </w:r>
            <w:r>
              <w:rPr>
                <w:rFonts w:hint="eastAsia" w:ascii="仿宋" w:hAnsi="仿宋" w:eastAsia="仿宋" w:cs="仿宋"/>
                <w:kern w:val="2"/>
                <w:sz w:val="22"/>
                <w:szCs w:val="22"/>
                <w:lang w:val="en-US" w:eastAsia="zh-CN" w:bidi="ar-SA"/>
              </w:rPr>
              <w:t xml:space="preserve">不采用 </w:t>
            </w:r>
          </w:p>
          <w:p>
            <w:pPr>
              <w:pStyle w:val="39"/>
              <w:ind w:firstLine="462"/>
              <w:rPr>
                <w:sz w:val="22"/>
                <w:szCs w:val="22"/>
              </w:rPr>
            </w:pPr>
            <w:r>
              <w:rPr>
                <w:rFonts w:hint="eastAsia"/>
                <w:sz w:val="22"/>
                <w:szCs w:val="22"/>
              </w:rPr>
              <w:t>方法三：某有效投标人市场企业信用评价分为L</w:t>
            </w:r>
            <w:r>
              <w:rPr>
                <w:rFonts w:hint="eastAsia"/>
                <w:sz w:val="22"/>
                <w:szCs w:val="22"/>
                <w:vertAlign w:val="subscript"/>
              </w:rPr>
              <w:t>n</w:t>
            </w:r>
            <w:r>
              <w:rPr>
                <w:rFonts w:hint="eastAsia"/>
                <w:sz w:val="22"/>
                <w:szCs w:val="22"/>
              </w:rPr>
              <w:t>（n为从1到n的自然数，示例：L</w:t>
            </w:r>
            <w:r>
              <w:rPr>
                <w:rFonts w:hint="eastAsia"/>
                <w:sz w:val="22"/>
                <w:szCs w:val="22"/>
                <w:vertAlign w:val="subscript"/>
              </w:rPr>
              <w:t>1</w:t>
            </w:r>
            <w:r>
              <w:rPr>
                <w:rFonts w:hint="eastAsia"/>
                <w:sz w:val="22"/>
                <w:szCs w:val="22"/>
              </w:rPr>
              <w:t>、L</w:t>
            </w:r>
            <w:r>
              <w:rPr>
                <w:rFonts w:hint="eastAsia"/>
                <w:sz w:val="22"/>
                <w:szCs w:val="22"/>
                <w:vertAlign w:val="subscript"/>
              </w:rPr>
              <w:t>2</w:t>
            </w:r>
            <w:r>
              <w:rPr>
                <w:rFonts w:hint="eastAsia"/>
                <w:sz w:val="22"/>
                <w:szCs w:val="22"/>
              </w:rPr>
              <w:t>........L</w:t>
            </w:r>
            <w:r>
              <w:rPr>
                <w:rFonts w:hint="eastAsia"/>
                <w:sz w:val="22"/>
                <w:szCs w:val="22"/>
                <w:vertAlign w:val="subscript"/>
              </w:rPr>
              <w:t>n</w:t>
            </w:r>
            <w:r>
              <w:rPr>
                <w:rFonts w:hint="eastAsia"/>
                <w:sz w:val="22"/>
                <w:szCs w:val="22"/>
              </w:rPr>
              <w:t>），所有有效投标人L</w:t>
            </w:r>
            <w:r>
              <w:rPr>
                <w:rFonts w:hint="eastAsia"/>
                <w:sz w:val="22"/>
                <w:szCs w:val="22"/>
                <w:vertAlign w:val="subscript"/>
              </w:rPr>
              <w:t>n</w:t>
            </w:r>
            <w:r>
              <w:rPr>
                <w:rFonts w:hint="eastAsia"/>
                <w:sz w:val="22"/>
                <w:szCs w:val="22"/>
              </w:rPr>
              <w:t>的算术平均值作为基准值L</w:t>
            </w:r>
            <w:r>
              <w:rPr>
                <w:rFonts w:hint="eastAsia"/>
                <w:sz w:val="22"/>
                <w:szCs w:val="22"/>
                <w:vertAlign w:val="subscript"/>
              </w:rPr>
              <w:t>0</w:t>
            </w:r>
            <w:r>
              <w:rPr>
                <w:rFonts w:hint="eastAsia"/>
                <w:sz w:val="22"/>
                <w:szCs w:val="22"/>
              </w:rPr>
              <w:t>，投标人市场企业信用评价分偏差率为 L</w:t>
            </w:r>
            <w:r>
              <w:rPr>
                <w:rFonts w:hint="eastAsia"/>
                <w:sz w:val="22"/>
                <w:szCs w:val="22"/>
                <w:vertAlign w:val="subscript"/>
              </w:rPr>
              <w:t>m</w:t>
            </w:r>
            <w:r>
              <w:rPr>
                <w:rFonts w:hint="eastAsia"/>
                <w:sz w:val="22"/>
                <w:szCs w:val="22"/>
              </w:rPr>
              <w:t>=100×L</w:t>
            </w:r>
            <w:r>
              <w:rPr>
                <w:rFonts w:hint="eastAsia"/>
                <w:sz w:val="22"/>
                <w:szCs w:val="22"/>
                <w:vertAlign w:val="subscript"/>
              </w:rPr>
              <w:t>n</w:t>
            </w:r>
            <w:r>
              <w:rPr>
                <w:rFonts w:hint="eastAsia"/>
                <w:sz w:val="22"/>
                <w:szCs w:val="22"/>
              </w:rPr>
              <w:t>/L</w:t>
            </w:r>
            <w:r>
              <w:rPr>
                <w:rFonts w:hint="eastAsia"/>
                <w:sz w:val="22"/>
                <w:szCs w:val="22"/>
                <w:vertAlign w:val="subscript"/>
              </w:rPr>
              <w:t>0</w:t>
            </w:r>
          </w:p>
          <w:p>
            <w:pPr>
              <w:pStyle w:val="39"/>
              <w:ind w:firstLine="462"/>
              <w:rPr>
                <w:sz w:val="22"/>
                <w:szCs w:val="22"/>
              </w:rPr>
            </w:pPr>
            <w:r>
              <w:rPr>
                <w:rFonts w:hint="eastAsia"/>
                <w:sz w:val="22"/>
                <w:szCs w:val="22"/>
              </w:rPr>
              <w:t>L</w:t>
            </w:r>
            <w:r>
              <w:rPr>
                <w:rFonts w:hint="eastAsia"/>
                <w:sz w:val="22"/>
                <w:szCs w:val="22"/>
                <w:vertAlign w:val="subscript"/>
              </w:rPr>
              <w:t>m</w:t>
            </w:r>
            <w:r>
              <w:rPr>
                <w:rFonts w:hint="eastAsia"/>
                <w:sz w:val="22"/>
                <w:szCs w:val="22"/>
              </w:rPr>
              <w:t>≥150%，L</w:t>
            </w:r>
            <w:r>
              <w:rPr>
                <w:rFonts w:hint="eastAsia"/>
                <w:sz w:val="22"/>
                <w:szCs w:val="22"/>
                <w:vertAlign w:val="subscript"/>
              </w:rPr>
              <w:t>i</w:t>
            </w:r>
            <w:r>
              <w:rPr>
                <w:rFonts w:hint="eastAsia"/>
                <w:sz w:val="22"/>
                <w:szCs w:val="22"/>
              </w:rPr>
              <w:t>=15分</w:t>
            </w:r>
          </w:p>
          <w:p>
            <w:pPr>
              <w:pStyle w:val="39"/>
              <w:ind w:firstLine="462"/>
              <w:rPr>
                <w:sz w:val="22"/>
                <w:szCs w:val="22"/>
              </w:rPr>
            </w:pPr>
            <w:r>
              <w:rPr>
                <w:rFonts w:hint="eastAsia"/>
                <w:sz w:val="22"/>
                <w:szCs w:val="22"/>
              </w:rPr>
              <w:t>120%≤L</w:t>
            </w:r>
            <w:r>
              <w:rPr>
                <w:rFonts w:hint="eastAsia"/>
                <w:sz w:val="22"/>
                <w:szCs w:val="22"/>
                <w:vertAlign w:val="subscript"/>
              </w:rPr>
              <w:t>m</w:t>
            </w:r>
            <w:r>
              <w:rPr>
                <w:rFonts w:hint="eastAsia"/>
                <w:sz w:val="22"/>
                <w:szCs w:val="22"/>
              </w:rPr>
              <w:t>&lt;150%，L</w:t>
            </w:r>
            <w:r>
              <w:rPr>
                <w:rFonts w:hint="eastAsia"/>
                <w:sz w:val="22"/>
                <w:szCs w:val="22"/>
                <w:vertAlign w:val="subscript"/>
              </w:rPr>
              <w:t>i</w:t>
            </w:r>
            <w:r>
              <w:rPr>
                <w:rFonts w:hint="eastAsia"/>
                <w:sz w:val="22"/>
                <w:szCs w:val="22"/>
              </w:rPr>
              <w:t>=12分</w:t>
            </w:r>
          </w:p>
          <w:p>
            <w:pPr>
              <w:pStyle w:val="39"/>
              <w:ind w:firstLine="462"/>
              <w:rPr>
                <w:sz w:val="22"/>
                <w:szCs w:val="22"/>
              </w:rPr>
            </w:pPr>
            <w:r>
              <w:rPr>
                <w:rFonts w:hint="eastAsia"/>
                <w:sz w:val="22"/>
                <w:szCs w:val="22"/>
              </w:rPr>
              <w:t>90%≤L</w:t>
            </w:r>
            <w:r>
              <w:rPr>
                <w:rFonts w:hint="eastAsia"/>
                <w:sz w:val="22"/>
                <w:szCs w:val="22"/>
                <w:vertAlign w:val="subscript"/>
              </w:rPr>
              <w:t>m</w:t>
            </w:r>
            <w:r>
              <w:rPr>
                <w:rFonts w:hint="eastAsia"/>
                <w:sz w:val="22"/>
                <w:szCs w:val="22"/>
              </w:rPr>
              <w:t>&lt;120%，L</w:t>
            </w:r>
            <w:r>
              <w:rPr>
                <w:rFonts w:hint="eastAsia"/>
                <w:sz w:val="22"/>
                <w:szCs w:val="22"/>
                <w:vertAlign w:val="subscript"/>
              </w:rPr>
              <w:t>i</w:t>
            </w:r>
            <w:r>
              <w:rPr>
                <w:rFonts w:hint="eastAsia"/>
                <w:sz w:val="22"/>
                <w:szCs w:val="22"/>
              </w:rPr>
              <w:t>=9分</w:t>
            </w:r>
          </w:p>
          <w:p>
            <w:pPr>
              <w:pStyle w:val="39"/>
              <w:ind w:firstLine="462"/>
              <w:rPr>
                <w:sz w:val="22"/>
                <w:szCs w:val="22"/>
              </w:rPr>
            </w:pPr>
            <w:r>
              <w:rPr>
                <w:rFonts w:hint="eastAsia"/>
                <w:sz w:val="22"/>
                <w:szCs w:val="22"/>
              </w:rPr>
              <w:t>60%≤L</w:t>
            </w:r>
            <w:r>
              <w:rPr>
                <w:rFonts w:hint="eastAsia"/>
                <w:sz w:val="22"/>
                <w:szCs w:val="22"/>
                <w:vertAlign w:val="subscript"/>
              </w:rPr>
              <w:t>m</w:t>
            </w:r>
            <w:r>
              <w:rPr>
                <w:rFonts w:hint="eastAsia"/>
                <w:sz w:val="22"/>
                <w:szCs w:val="22"/>
              </w:rPr>
              <w:t>&lt;90%，L</w:t>
            </w:r>
            <w:r>
              <w:rPr>
                <w:rFonts w:hint="eastAsia"/>
                <w:sz w:val="22"/>
                <w:szCs w:val="22"/>
                <w:vertAlign w:val="subscript"/>
              </w:rPr>
              <w:t>i</w:t>
            </w:r>
            <w:r>
              <w:rPr>
                <w:rFonts w:hint="eastAsia"/>
                <w:sz w:val="22"/>
                <w:szCs w:val="22"/>
              </w:rPr>
              <w:t>=6分</w:t>
            </w:r>
          </w:p>
          <w:p>
            <w:pPr>
              <w:pStyle w:val="39"/>
              <w:ind w:firstLine="462"/>
              <w:rPr>
                <w:kern w:val="0"/>
                <w:sz w:val="22"/>
                <w:szCs w:val="22"/>
                <w:lang w:bidi="zh-CN"/>
              </w:rPr>
            </w:pPr>
            <w:r>
              <w:rPr>
                <w:rFonts w:hint="eastAsia"/>
                <w:sz w:val="22"/>
                <w:szCs w:val="22"/>
              </w:rPr>
              <w:t>L</w:t>
            </w:r>
            <w:r>
              <w:rPr>
                <w:rFonts w:hint="eastAsia"/>
                <w:sz w:val="22"/>
                <w:szCs w:val="22"/>
                <w:vertAlign w:val="subscript"/>
              </w:rPr>
              <w:t>n</w:t>
            </w:r>
            <w:r>
              <w:rPr>
                <w:rFonts w:hint="eastAsia"/>
                <w:sz w:val="22"/>
                <w:szCs w:val="22"/>
              </w:rPr>
              <w:t>&lt;60%</w:t>
            </w:r>
            <w:r>
              <w:rPr>
                <w:rFonts w:hint="eastAsia"/>
                <w:sz w:val="22"/>
                <w:szCs w:val="22"/>
              </w:rPr>
              <w:tab/>
            </w:r>
            <w:r>
              <w:rPr>
                <w:rFonts w:hint="eastAsia"/>
                <w:sz w:val="22"/>
                <w:szCs w:val="22"/>
              </w:rPr>
              <w:t>L</w:t>
            </w:r>
            <w:r>
              <w:rPr>
                <w:rFonts w:hint="eastAsia"/>
                <w:sz w:val="22"/>
                <w:szCs w:val="22"/>
                <w:vertAlign w:val="subscript"/>
              </w:rPr>
              <w:t>i</w:t>
            </w:r>
            <w:r>
              <w:rPr>
                <w:rFonts w:hint="eastAsia"/>
                <w:sz w:val="22"/>
                <w:szCs w:val="22"/>
              </w:rPr>
              <w:t>=3分；</w:t>
            </w:r>
          </w:p>
        </w:tc>
        <w:tc>
          <w:tcPr>
            <w:tcW w:w="2037" w:type="dxa"/>
            <w:vMerge w:val="continue"/>
            <w:vAlign w:val="center"/>
          </w:tcPr>
          <w:p>
            <w:pPr>
              <w:pStyle w:val="39"/>
              <w:ind w:firstLine="462"/>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7" w:hRule="atLeast"/>
          <w:jc w:val="center"/>
        </w:trPr>
        <w:tc>
          <w:tcPr>
            <w:tcW w:w="687" w:type="dxa"/>
            <w:vAlign w:val="center"/>
          </w:tcPr>
          <w:p>
            <w:pPr>
              <w:ind w:left="0" w:leftChars="0" w:firstLine="0" w:firstLineChars="0"/>
              <w:jc w:val="center"/>
              <w:rPr>
                <w:sz w:val="22"/>
                <w:szCs w:val="22"/>
              </w:rPr>
            </w:pPr>
            <w:r>
              <w:rPr>
                <w:rFonts w:hint="eastAsia"/>
                <w:sz w:val="22"/>
                <w:szCs w:val="22"/>
              </w:rPr>
              <w:t>4</w:t>
            </w:r>
          </w:p>
        </w:tc>
        <w:tc>
          <w:tcPr>
            <w:tcW w:w="1366" w:type="dxa"/>
            <w:vAlign w:val="center"/>
          </w:tcPr>
          <w:p>
            <w:pPr>
              <w:ind w:left="0" w:leftChars="0" w:firstLine="0" w:firstLineChars="0"/>
              <w:jc w:val="center"/>
              <w:rPr>
                <w:sz w:val="22"/>
                <w:szCs w:val="22"/>
              </w:rPr>
            </w:pPr>
            <w:r>
              <w:rPr>
                <w:rFonts w:hint="eastAsia"/>
                <w:sz w:val="22"/>
                <w:szCs w:val="22"/>
              </w:rPr>
              <w:t>*拟派项目经理信用</w:t>
            </w:r>
          </w:p>
        </w:tc>
        <w:tc>
          <w:tcPr>
            <w:tcW w:w="5010" w:type="dxa"/>
            <w:gridSpan w:val="2"/>
            <w:vAlign w:val="center"/>
          </w:tcPr>
          <w:p>
            <w:pPr>
              <w:rPr>
                <w:sz w:val="22"/>
                <w:szCs w:val="22"/>
              </w:rPr>
            </w:pPr>
            <w:r>
              <w:rPr>
                <w:rFonts w:hint="eastAsia"/>
                <w:sz w:val="22"/>
                <w:szCs w:val="22"/>
              </w:rPr>
              <w:t>有效投标人的拟派项目经理市场个人信用评价分值为W</w:t>
            </w:r>
            <w:r>
              <w:rPr>
                <w:rFonts w:hint="eastAsia"/>
                <w:sz w:val="22"/>
                <w:szCs w:val="22"/>
                <w:vertAlign w:val="subscript"/>
              </w:rPr>
              <w:t>n</w:t>
            </w:r>
            <w:r>
              <w:rPr>
                <w:rFonts w:hint="eastAsia"/>
                <w:sz w:val="22"/>
                <w:szCs w:val="22"/>
              </w:rPr>
              <w:t>（n为从1到n的自然数，示例：W</w:t>
            </w:r>
            <w:r>
              <w:rPr>
                <w:rFonts w:hint="eastAsia"/>
                <w:sz w:val="22"/>
                <w:szCs w:val="22"/>
                <w:vertAlign w:val="subscript"/>
              </w:rPr>
              <w:t>1</w:t>
            </w:r>
            <w:r>
              <w:rPr>
                <w:rFonts w:hint="eastAsia"/>
                <w:sz w:val="22"/>
                <w:szCs w:val="22"/>
              </w:rPr>
              <w:t>、W</w:t>
            </w:r>
            <w:r>
              <w:rPr>
                <w:rFonts w:hint="eastAsia"/>
                <w:sz w:val="22"/>
                <w:szCs w:val="22"/>
                <w:vertAlign w:val="subscript"/>
              </w:rPr>
              <w:t>2</w:t>
            </w:r>
            <w:r>
              <w:rPr>
                <w:rFonts w:hint="eastAsia"/>
                <w:sz w:val="22"/>
                <w:szCs w:val="22"/>
              </w:rPr>
              <w:t>........W</w:t>
            </w:r>
            <w:r>
              <w:rPr>
                <w:rFonts w:hint="eastAsia"/>
                <w:sz w:val="22"/>
                <w:szCs w:val="22"/>
                <w:vertAlign w:val="subscript"/>
              </w:rPr>
              <w:t>n</w:t>
            </w:r>
            <w:r>
              <w:rPr>
                <w:rFonts w:hint="eastAsia"/>
                <w:sz w:val="22"/>
                <w:szCs w:val="22"/>
              </w:rPr>
              <w:t>），其中最高值为W</w:t>
            </w:r>
            <w:r>
              <w:rPr>
                <w:rFonts w:hint="eastAsia"/>
                <w:sz w:val="22"/>
                <w:szCs w:val="22"/>
                <w:vertAlign w:val="subscript"/>
              </w:rPr>
              <w:t>MAX</w:t>
            </w:r>
            <w:r>
              <w:rPr>
                <w:rFonts w:hint="eastAsia"/>
                <w:sz w:val="22"/>
                <w:szCs w:val="22"/>
              </w:rPr>
              <w:t>，投标人拟派项目经理信用得分：</w:t>
            </w:r>
          </w:p>
          <w:p>
            <w:pPr>
              <w:rPr>
                <w:sz w:val="22"/>
                <w:szCs w:val="22"/>
              </w:rPr>
            </w:pPr>
            <w:r>
              <w:rPr>
                <w:rFonts w:hint="eastAsia"/>
                <w:sz w:val="22"/>
                <w:szCs w:val="22"/>
              </w:rPr>
              <w:t>W</w:t>
            </w:r>
            <w:r>
              <w:rPr>
                <w:rFonts w:hint="eastAsia"/>
                <w:sz w:val="22"/>
                <w:szCs w:val="22"/>
                <w:vertAlign w:val="subscript"/>
              </w:rPr>
              <w:t>i</w:t>
            </w:r>
            <w:r>
              <w:rPr>
                <w:rFonts w:hint="eastAsia"/>
                <w:sz w:val="22"/>
                <w:szCs w:val="22"/>
              </w:rPr>
              <w:t>=5×W</w:t>
            </w:r>
            <w:r>
              <w:rPr>
                <w:rFonts w:hint="eastAsia"/>
                <w:sz w:val="22"/>
                <w:szCs w:val="22"/>
                <w:vertAlign w:val="subscript"/>
              </w:rPr>
              <w:t>n</w:t>
            </w:r>
            <w:r>
              <w:rPr>
                <w:rFonts w:hint="eastAsia"/>
                <w:sz w:val="22"/>
                <w:szCs w:val="22"/>
              </w:rPr>
              <w:t>/W</w:t>
            </w:r>
            <w:r>
              <w:rPr>
                <w:rFonts w:hint="eastAsia"/>
                <w:sz w:val="22"/>
                <w:szCs w:val="22"/>
                <w:vertAlign w:val="subscript"/>
              </w:rPr>
              <w:t xml:space="preserve">MAX </w:t>
            </w:r>
            <w:r>
              <w:rPr>
                <w:rFonts w:hint="eastAsia"/>
                <w:sz w:val="22"/>
                <w:szCs w:val="22"/>
              </w:rPr>
              <w:t>。</w:t>
            </w:r>
          </w:p>
        </w:tc>
        <w:tc>
          <w:tcPr>
            <w:tcW w:w="2037" w:type="dxa"/>
            <w:vAlign w:val="center"/>
          </w:tcPr>
          <w:p>
            <w:pPr>
              <w:ind w:left="0" w:leftChars="0" w:firstLine="0" w:firstLineChars="0"/>
              <w:jc w:val="center"/>
              <w:rPr>
                <w:sz w:val="22"/>
                <w:szCs w:val="22"/>
              </w:rPr>
            </w:pPr>
            <w:r>
              <w:rPr>
                <w:rFonts w:hint="eastAsia"/>
                <w:sz w:val="22"/>
                <w:szCs w:val="22"/>
              </w:rPr>
              <w:t>0－5</w:t>
            </w:r>
          </w:p>
        </w:tc>
      </w:tr>
    </w:tbl>
    <w:p>
      <w:r>
        <w:rPr>
          <w:rFonts w:hint="eastAsia"/>
        </w:rPr>
        <w:t>注：1.上表中“企业既往项目人员在岗情况”涉及的“平均</w:t>
      </w:r>
      <w:r>
        <w:rPr>
          <w:rFonts w:hint="eastAsia"/>
          <w:lang w:val="en"/>
        </w:rPr>
        <w:t>考勤</w:t>
      </w:r>
      <w:r>
        <w:rPr>
          <w:rFonts w:hint="eastAsia"/>
        </w:rPr>
        <w:t>率”，由招标人在开标现场从河南省建筑市场监管公共服务平台（以下简称：平台）上提取。</w:t>
      </w:r>
    </w:p>
    <w:p>
      <w:r>
        <w:rPr>
          <w:rFonts w:hint="eastAsia"/>
        </w:rPr>
        <w:t>2.上表中“市场（或个人）主体信用评价分值L、W”，由招标人在开标现场从平台上提取。提取数据为投标人开标当天平台显示的企业信用评价分值和拟派项目经理的个人信用评价分值。</w:t>
      </w:r>
    </w:p>
    <w:p>
      <w:pPr>
        <w:rPr>
          <w:b/>
          <w:bCs/>
          <w:sz w:val="24"/>
          <w:szCs w:val="24"/>
        </w:rPr>
      </w:pPr>
      <w:r>
        <w:rPr>
          <w:rFonts w:hint="eastAsia"/>
          <w:b/>
          <w:bCs/>
          <w:sz w:val="24"/>
          <w:szCs w:val="24"/>
        </w:rPr>
        <w:t>四、扶持政策得分：1.5分</w:t>
      </w:r>
    </w:p>
    <w:p>
      <w:pPr>
        <w:rPr>
          <w:rFonts w:hint="eastAsia"/>
        </w:rPr>
      </w:pPr>
      <w:r>
        <w:rPr>
          <w:rFonts w:hint="eastAsia"/>
        </w:rPr>
        <w:t xml:space="preserve">根据《政府采购促进中小企业发展管理办法》（财库【2020】46 号）的规定，投标人为小微企业的，在投标报价得分的基础上增加其价格得分的5%作为其价格分，计算公式如下。 </w:t>
      </w:r>
    </w:p>
    <w:p>
      <w:pPr>
        <w:rPr>
          <w:rFonts w:hint="eastAsia"/>
        </w:rPr>
      </w:pPr>
      <w:r>
        <w:rPr>
          <w:rFonts w:hint="eastAsia"/>
        </w:rPr>
        <w:t xml:space="preserve">小微企业扶持政策得分=投标报价得分×5%。 </w:t>
      </w:r>
    </w:p>
    <w:p>
      <w:pPr>
        <w:spacing w:line="420" w:lineRule="exact"/>
        <w:ind w:firstLine="0" w:firstLineChars="0"/>
        <w:rPr>
          <w:rFonts w:hint="eastAsia" w:ascii="仿宋" w:hAnsi="仿宋" w:eastAsia="仿宋" w:cs="仿宋"/>
          <w:b/>
          <w:kern w:val="0"/>
          <w:szCs w:val="21"/>
        </w:rPr>
      </w:pPr>
      <w:r>
        <w:rPr>
          <w:rFonts w:hint="eastAsia" w:ascii="仿宋" w:hAnsi="仿宋" w:eastAsia="仿宋" w:cs="仿宋"/>
          <w:b/>
          <w:kern w:val="0"/>
          <w:szCs w:val="21"/>
        </w:rPr>
        <w:t>1、评标办法</w:t>
      </w:r>
    </w:p>
    <w:p>
      <w:pPr>
        <w:rPr>
          <w:kern w:val="0"/>
        </w:rPr>
      </w:pPr>
      <w:r>
        <w:rPr>
          <w:rFonts w:hint="eastAsia"/>
        </w:rPr>
        <w:t>本次评标采用定量评审法。评标委员会对满足招标文件实质性要求的投标文件，按照本章第 2.2 款规定的评分标准进行打分，并按招标文件规定的方法推荐中标候选人。</w:t>
      </w:r>
    </w:p>
    <w:p>
      <w:pPr>
        <w:spacing w:line="420" w:lineRule="exact"/>
        <w:ind w:firstLine="0" w:firstLineChars="0"/>
        <w:rPr>
          <w:rFonts w:hint="eastAsia" w:ascii="仿宋" w:hAnsi="仿宋" w:eastAsia="仿宋" w:cs="仿宋"/>
          <w:b/>
          <w:kern w:val="0"/>
          <w:szCs w:val="21"/>
        </w:rPr>
      </w:pPr>
      <w:r>
        <w:rPr>
          <w:rFonts w:hint="eastAsia" w:ascii="仿宋" w:hAnsi="仿宋" w:eastAsia="仿宋" w:cs="仿宋"/>
          <w:b/>
          <w:kern w:val="0"/>
          <w:szCs w:val="21"/>
        </w:rPr>
        <w:t>2、评审标准和程序</w:t>
      </w:r>
    </w:p>
    <w:p>
      <w:r>
        <w:rPr>
          <w:rFonts w:hint="eastAsia"/>
        </w:rPr>
        <w:t>评标活动分为初步评审和详细评审等阶段。</w:t>
      </w:r>
    </w:p>
    <w:p>
      <w:pPr>
        <w:spacing w:line="420" w:lineRule="exact"/>
        <w:ind w:firstLine="0" w:firstLineChars="0"/>
        <w:rPr>
          <w:rFonts w:hint="eastAsia" w:ascii="仿宋" w:hAnsi="仿宋" w:eastAsia="仿宋" w:cs="仿宋"/>
          <w:b/>
          <w:kern w:val="0"/>
          <w:szCs w:val="21"/>
        </w:rPr>
      </w:pPr>
      <w:r>
        <w:rPr>
          <w:rFonts w:hint="eastAsia" w:ascii="仿宋" w:hAnsi="仿宋" w:eastAsia="仿宋" w:cs="仿宋"/>
          <w:b/>
          <w:kern w:val="0"/>
          <w:szCs w:val="21"/>
        </w:rPr>
        <w:t>2.1 初步评审</w:t>
      </w:r>
    </w:p>
    <w:p>
      <w:r>
        <w:rPr>
          <w:rFonts w:hint="eastAsia"/>
        </w:rPr>
        <w:t>2.1.1评标委员会按招标文件评标办法前附表要求对投标文件的符合性、响应性、资格条件和重大偏差等逐一进行评审。经审查不符合招标文件要求的，不再进入详细评审阶段；符合招标文件要求的投标文件为有效投标文件，进入详细评审阶段，其报价为有效投标报价。</w:t>
      </w:r>
    </w:p>
    <w:p>
      <w:r>
        <w:rPr>
          <w:rFonts w:hint="eastAsia"/>
        </w:rPr>
        <w:t>2.1.2重大偏差是指投标文件存在标的物、价格、工期、质量、付款方式、结算方式、承诺等不符合《评标委员会和评标方法暂行规定》第二十五条规定及本招标文件实质性要求的情况。</w:t>
      </w:r>
    </w:p>
    <w:p>
      <w:r>
        <w:rPr>
          <w:rFonts w:hint="eastAsia"/>
          <w:kern w:val="0"/>
        </w:rPr>
        <w:t>2.1.3</w:t>
      </w:r>
      <w:r>
        <w:rPr>
          <w:rFonts w:hint="eastAsia"/>
        </w:rPr>
        <w:t xml:space="preserve"> 投标人有以下情形之一的，按否决投标处理：</w:t>
      </w:r>
    </w:p>
    <w:p>
      <w:r>
        <w:rPr>
          <w:rFonts w:hint="eastAsia"/>
        </w:rPr>
        <w:t>（1）存在第二章“投标人须知”第1.4.3项规定的任何一种情形的；</w:t>
      </w:r>
    </w:p>
    <w:p>
      <w:r>
        <w:rPr>
          <w:rFonts w:hint="eastAsia"/>
        </w:rPr>
        <w:t>（2）串通投标或弄虚作假或有其他违法行为的；</w:t>
      </w:r>
    </w:p>
    <w:p>
      <w:r>
        <w:rPr>
          <w:rFonts w:hint="eastAsia"/>
        </w:rPr>
        <w:t>（3）不按评标委员会要求澄清、说明或补正的；</w:t>
      </w:r>
    </w:p>
    <w:p>
      <w:r>
        <w:rPr>
          <w:rFonts w:hint="eastAsia"/>
        </w:rPr>
        <w:t>（4）投标文件不按规定签字盖章的；</w:t>
      </w:r>
    </w:p>
    <w:p>
      <w:r>
        <w:rPr>
          <w:rFonts w:hint="eastAsia"/>
        </w:rPr>
        <w:t>（5）投标文件的关键内容字迹模糊，无法辨认的；</w:t>
      </w:r>
    </w:p>
    <w:p>
      <w:r>
        <w:rPr>
          <w:rFonts w:hint="eastAsia"/>
        </w:rPr>
        <w:t>（6）未按规定提交投标担保或提交的投标担保不满足投标人须知正文3.4款担保责任的；</w:t>
      </w:r>
    </w:p>
    <w:p>
      <w:r>
        <w:rPr>
          <w:rFonts w:hint="eastAsia"/>
        </w:rPr>
        <w:t>（7）投标人的投标报价高于最高投标限价或低于成本价的；</w:t>
      </w:r>
    </w:p>
    <w:p>
      <w:r>
        <w:rPr>
          <w:rFonts w:hint="eastAsia"/>
        </w:rPr>
        <w:t>（8）未按招标文件规定编制各项报价的；</w:t>
      </w:r>
    </w:p>
    <w:p>
      <w:r>
        <w:rPr>
          <w:rFonts w:hint="eastAsia"/>
          <w:kern w:val="0"/>
        </w:rPr>
        <w:t>（9）</w:t>
      </w:r>
      <w:r>
        <w:rPr>
          <w:rFonts w:hint="eastAsia"/>
        </w:rPr>
        <w:t>投标人不按照招标文件提供的工程量清单及编码进行工程量清单综合单价分析的；</w:t>
      </w:r>
    </w:p>
    <w:p>
      <w:r>
        <w:rPr>
          <w:rFonts w:hint="eastAsia"/>
        </w:rPr>
        <w:t>（10）投标报价与其组成部分、工程量清单项目合价与综合单价、综合单价与人材机用量相互矛盾，致使评标委员会无法正常评审判定的；</w:t>
      </w:r>
    </w:p>
    <w:p>
      <w:r>
        <w:rPr>
          <w:rFonts w:hint="eastAsia"/>
        </w:rPr>
        <w:t>（11）规费、税金和安全文明施工费违反工程造价计价有关规定的；</w:t>
      </w:r>
    </w:p>
    <w:p>
      <w:r>
        <w:rPr>
          <w:rFonts w:hint="eastAsia"/>
        </w:rPr>
        <w:t>（12）分部分项工程项目、措施项目报价中的项目编码、项目名称、项目特征、计量单位和工程量与招标文件的清单不一致的；主要材料价格表中的材料品种未包含招标人提供的主要材料价格表中的材料品种的；</w:t>
      </w:r>
    </w:p>
    <w:p>
      <w:r>
        <w:rPr>
          <w:rFonts w:hint="eastAsia"/>
        </w:rPr>
        <w:t>（13）未按照招标文件所列明的暂列金额、暂估价编制投标报价的；</w:t>
      </w:r>
    </w:p>
    <w:p>
      <w:r>
        <w:rPr>
          <w:rFonts w:hint="eastAsia"/>
        </w:rPr>
        <w:t>（14）投标人提供的资格审查资料，评标委员会需要查询时无法查询的（因网站维护无法查询的除外）或查询结果与投标递交人不一致的；</w:t>
      </w:r>
    </w:p>
    <w:p>
      <w:r>
        <w:rPr>
          <w:rFonts w:hint="eastAsia"/>
        </w:rPr>
        <w:t>（15）不同投标人的投标文件中列出的人工费、材料费、机械使用费、管理费及利润的价格构成部分或全部雷同的，不同投标人的投标报价或报价组成出现非常规一致，或呈规律性变化的；</w:t>
      </w:r>
    </w:p>
    <w:p>
      <w:pPr>
        <w:rPr>
          <w:kern w:val="0"/>
        </w:rPr>
      </w:pPr>
      <w:r>
        <w:rPr>
          <w:rFonts w:hint="eastAsia"/>
          <w:kern w:val="0"/>
        </w:rPr>
        <w:t>（16）</w:t>
      </w:r>
      <w:r>
        <w:rPr>
          <w:rFonts w:hint="eastAsia"/>
        </w:rPr>
        <w:t>未对《洛阳市工程建设项目廉洁自律告知书》、《洛阳市工程建设项目廉洁自律承诺书》承诺的</w:t>
      </w:r>
      <w:r>
        <w:rPr>
          <w:rFonts w:hint="eastAsia"/>
          <w:kern w:val="0"/>
        </w:rPr>
        <w:t>；</w:t>
      </w:r>
    </w:p>
    <w:p>
      <w:r>
        <w:rPr>
          <w:rFonts w:hint="eastAsia"/>
        </w:rPr>
        <w:t>（17）不同投标人委托同一单位或者个人办理投标事宜；</w:t>
      </w:r>
    </w:p>
    <w:p>
      <w:r>
        <w:rPr>
          <w:rFonts w:hint="eastAsia"/>
        </w:rPr>
        <w:t>（18）不同投标人的投标文件载明的项目管理成员或者联系人、联系地址、联系电话为同一人，或者联系地址、联系电话为同一单位；</w:t>
      </w:r>
    </w:p>
    <w:p>
      <w:r>
        <w:rPr>
          <w:rFonts w:hint="eastAsia"/>
        </w:rPr>
        <w:t>（19）不同投标人的投标文件异常一致；</w:t>
      </w:r>
    </w:p>
    <w:p>
      <w:r>
        <w:rPr>
          <w:rFonts w:hint="eastAsia"/>
        </w:rPr>
        <w:t>（20）不同投标人的投标保证金从同一单位或者个人的账户转出；</w:t>
      </w:r>
    </w:p>
    <w:p>
      <w:r>
        <w:rPr>
          <w:rFonts w:hint="eastAsia"/>
        </w:rPr>
        <w:t>（21）不同投标人的投标文件错、漏之处非正常一致，且不能合理解释的；</w:t>
      </w:r>
    </w:p>
    <w:p>
      <w:r>
        <w:rPr>
          <w:rFonts w:hint="eastAsia"/>
        </w:rPr>
        <w:t>（22）投标人信用承诺与网站查询的结果不一致的；</w:t>
      </w:r>
    </w:p>
    <w:p>
      <w:r>
        <w:rPr>
          <w:rFonts w:hint="eastAsia"/>
        </w:rPr>
        <w:t>（23）运用计算机硬件特征码识别技术、标书编制系统软证书识别技术、标书编制系统与计价软件特征码关联识别技术，发现投标人的投标文件出自同一台计算机的；通过电子评标系统雷同性分析技术，发现投标人的投标文件相互之间存在非正常雷同现象的；通过电子评标系统不平衡报价分析技术，发现投标人的投标文件相互之间存在过高报价或过低报价雷同的；</w:t>
      </w:r>
    </w:p>
    <w:p>
      <w:r>
        <w:rPr>
          <w:rFonts w:hint="eastAsia"/>
        </w:rPr>
        <w:t>（24）提供虚假材料或不符合法律、法规和本招标文件规定的其他实质性要求的；</w:t>
      </w:r>
    </w:p>
    <w:p>
      <w:r>
        <w:rPr>
          <w:rFonts w:hint="eastAsia"/>
        </w:rPr>
        <w:t>（25）未对招标文件规定的农民工工资保证金、价款结算依据、项目部成员诚信履约、诉讼及仲裁情况提供承诺或承诺的内容不符合招标文件规定的；</w:t>
      </w:r>
    </w:p>
    <w:p>
      <w:r>
        <w:rPr>
          <w:rFonts w:hint="eastAsia"/>
        </w:rPr>
        <w:t xml:space="preserve">（26）投标人的投标报价高于最高投标限价（招标控制价）表中所列各项费用的； </w:t>
      </w:r>
    </w:p>
    <w:p>
      <w:r>
        <w:rPr>
          <w:rFonts w:hint="eastAsia"/>
        </w:rPr>
        <w:t xml:space="preserve">（27）投标人所报设计变更及预算外签证部分优惠率低于投标优惠率【投标优惠率=（预算控制金额- 投标人投标报价）/预算控制金额*100%】的。 </w:t>
      </w:r>
    </w:p>
    <w:p>
      <w:r>
        <w:rPr>
          <w:rFonts w:hint="eastAsia"/>
        </w:rPr>
        <w:t xml:space="preserve">（28）电子开评标系统对不同投标人的电子投标文件作出雷同性提示或预警的，资格评审委员会或评 标委员会集体表决认定属于《中华人民共和国招标投标法实施条例》第四十条“视为投标人相互串通投标”的情形的； </w:t>
      </w:r>
    </w:p>
    <w:p>
      <w:r>
        <w:rPr>
          <w:rFonts w:hint="eastAsia"/>
        </w:rPr>
        <w:t>（29）投标人递交的已标价工程量清单未记录软硬件信息或造价软件锁实名信息的，或者经认定，记录的软硬件信息或造价软件锁实名信息被篡改的。</w:t>
      </w:r>
    </w:p>
    <w:p>
      <w:r>
        <w:rPr>
          <w:rFonts w:hint="eastAsia"/>
        </w:rPr>
        <w:t>（30）投标文件中拟派的项目经理，与投标人在评标过程中拟派的项目经理不符的；</w:t>
      </w:r>
    </w:p>
    <w:p>
      <w:r>
        <w:rPr>
          <w:rFonts w:hint="eastAsia"/>
        </w:rPr>
        <w:t xml:space="preserve">（31）投标人之间事先约定中标者或相互约定抬高或者压低投标报价的； </w:t>
      </w:r>
    </w:p>
    <w:p>
      <w:r>
        <w:rPr>
          <w:rFonts w:hint="eastAsia"/>
        </w:rPr>
        <w:t>（32）属于同一法人组织、集团公司等组织成员的投标人, 在投标中采取协同行动的；</w:t>
      </w:r>
    </w:p>
    <w:p>
      <w:r>
        <w:rPr>
          <w:rFonts w:hint="eastAsia"/>
        </w:rPr>
        <w:t>（33）被限制参与工程建设项目招标投标活动的联合惩戒对象；</w:t>
      </w:r>
    </w:p>
    <w:p>
      <w:r>
        <w:rPr>
          <w:rFonts w:hint="eastAsia"/>
        </w:rPr>
        <w:t>（34）被依法取消投标资格的；</w:t>
      </w:r>
    </w:p>
    <w:p>
      <w:r>
        <w:rPr>
          <w:rFonts w:hint="eastAsia"/>
        </w:rPr>
        <w:t>（35）存在法律、法规、国家规定的不得参加投标的情形的。</w:t>
      </w:r>
    </w:p>
    <w:p>
      <w:r>
        <w:rPr>
          <w:rFonts w:hint="eastAsia"/>
        </w:rPr>
        <w:t>（36）住房和城乡建设部《标准施工招标文件》规定的其他否决投标条件。</w:t>
      </w:r>
    </w:p>
    <w:p>
      <w:r>
        <w:rPr>
          <w:rFonts w:hint="eastAsia"/>
        </w:rPr>
        <w:t>评标委员会否决投标时应审慎。因招标文件或工程量清单表述歧义或逻辑错误等原因，造成投标文件表述不一致的，不作为否决投标的因素。投标人明显打字或排版错误且不影响实质内容的，评标委员会可要求投标人作出书面澄清、说明或补正，不予以否决投标。</w:t>
      </w:r>
    </w:p>
    <w:p>
      <w:pPr>
        <w:pStyle w:val="35"/>
        <w:ind w:firstLine="616"/>
        <w:rPr>
          <w:sz w:val="21"/>
          <w:szCs w:val="21"/>
        </w:rPr>
      </w:pPr>
      <w:r>
        <w:rPr>
          <w:rFonts w:hint="eastAsia"/>
          <w:sz w:val="21"/>
          <w:szCs w:val="21"/>
        </w:rPr>
        <w:t>2.1.4评标委员会在评标过程中，发现有下列行为之一的，属于投标人之间串（围）标的行为：</w:t>
      </w:r>
    </w:p>
    <w:p>
      <w:pPr>
        <w:pStyle w:val="35"/>
        <w:ind w:firstLine="616"/>
        <w:rPr>
          <w:sz w:val="21"/>
          <w:szCs w:val="21"/>
        </w:rPr>
      </w:pPr>
      <w:r>
        <w:rPr>
          <w:rFonts w:hint="eastAsia"/>
          <w:sz w:val="21"/>
          <w:szCs w:val="21"/>
        </w:rPr>
        <w:t>（1）借用他人资质进行多重身份投标，不同的两家（或两家以上）投标人出现相同联系人的；</w:t>
      </w:r>
    </w:p>
    <w:p>
      <w:pPr>
        <w:pStyle w:val="35"/>
        <w:ind w:firstLine="616"/>
        <w:rPr>
          <w:sz w:val="21"/>
          <w:szCs w:val="21"/>
        </w:rPr>
      </w:pPr>
      <w:r>
        <w:rPr>
          <w:rFonts w:hint="eastAsia"/>
          <w:sz w:val="21"/>
          <w:szCs w:val="21"/>
        </w:rPr>
        <w:t>（2）同一投标人携带两家及以上企业资料参与投标的；</w:t>
      </w:r>
    </w:p>
    <w:p>
      <w:pPr>
        <w:pStyle w:val="35"/>
        <w:ind w:firstLine="616"/>
        <w:rPr>
          <w:sz w:val="21"/>
          <w:szCs w:val="21"/>
        </w:rPr>
      </w:pPr>
      <w:r>
        <w:rPr>
          <w:rFonts w:hint="eastAsia"/>
          <w:sz w:val="21"/>
          <w:szCs w:val="21"/>
        </w:rPr>
        <w:t>（3）开标前已有反映，开标后发现各投标人的报价等与反映情况相吻合的；</w:t>
      </w:r>
    </w:p>
    <w:p>
      <w:pPr>
        <w:pStyle w:val="35"/>
        <w:ind w:firstLine="616"/>
        <w:rPr>
          <w:sz w:val="21"/>
          <w:szCs w:val="21"/>
        </w:rPr>
      </w:pPr>
      <w:r>
        <w:rPr>
          <w:rFonts w:hint="eastAsia"/>
          <w:sz w:val="21"/>
          <w:szCs w:val="21"/>
        </w:rPr>
        <w:t>（4）投标人之间为谋取中标或者排斥特定投标人而联合采取行动的；</w:t>
      </w:r>
    </w:p>
    <w:p>
      <w:pPr>
        <w:pStyle w:val="35"/>
        <w:ind w:firstLine="616"/>
        <w:rPr>
          <w:sz w:val="21"/>
          <w:szCs w:val="21"/>
        </w:rPr>
      </w:pPr>
      <w:r>
        <w:rPr>
          <w:rFonts w:hint="eastAsia"/>
          <w:sz w:val="21"/>
          <w:szCs w:val="21"/>
        </w:rPr>
        <w:t>（5）不同投标人的投标文件由同一单位或者个人编制；</w:t>
      </w:r>
    </w:p>
    <w:p>
      <w:pPr>
        <w:pStyle w:val="35"/>
        <w:ind w:firstLine="616"/>
        <w:rPr>
          <w:sz w:val="21"/>
          <w:szCs w:val="21"/>
        </w:rPr>
      </w:pPr>
      <w:r>
        <w:rPr>
          <w:rFonts w:hint="eastAsia"/>
          <w:sz w:val="21"/>
          <w:szCs w:val="21"/>
        </w:rPr>
        <w:t>（7）不同投标人的投标文件的错漏之处非正常一致的；</w:t>
      </w:r>
    </w:p>
    <w:p>
      <w:pPr>
        <w:pStyle w:val="35"/>
        <w:ind w:firstLine="616"/>
        <w:rPr>
          <w:sz w:val="21"/>
          <w:szCs w:val="21"/>
        </w:rPr>
      </w:pPr>
      <w:r>
        <w:rPr>
          <w:rFonts w:hint="eastAsia"/>
          <w:sz w:val="21"/>
          <w:szCs w:val="21"/>
        </w:rPr>
        <w:t>（8）不同投标人的投标保证金来源于同一投标人或同一账户的；</w:t>
      </w:r>
    </w:p>
    <w:p>
      <w:pPr>
        <w:pStyle w:val="35"/>
        <w:ind w:firstLine="616"/>
        <w:rPr>
          <w:sz w:val="21"/>
          <w:szCs w:val="21"/>
        </w:rPr>
      </w:pPr>
      <w:r>
        <w:rPr>
          <w:rFonts w:hint="eastAsia"/>
          <w:sz w:val="21"/>
          <w:szCs w:val="21"/>
        </w:rPr>
        <w:t>（9）不同投标人的投标文件载明的项目管理班子或其他成员存在相同人员的；</w:t>
      </w:r>
    </w:p>
    <w:p>
      <w:pPr>
        <w:pStyle w:val="35"/>
        <w:ind w:firstLine="616"/>
        <w:rPr>
          <w:sz w:val="21"/>
          <w:szCs w:val="21"/>
        </w:rPr>
      </w:pPr>
      <w:r>
        <w:rPr>
          <w:rFonts w:hint="eastAsia"/>
          <w:sz w:val="21"/>
          <w:szCs w:val="21"/>
        </w:rPr>
        <w:t>（10）不同投标人的施工组织设计方案雷同的；</w:t>
      </w:r>
    </w:p>
    <w:p>
      <w:pPr>
        <w:pStyle w:val="35"/>
        <w:ind w:firstLine="616"/>
        <w:rPr>
          <w:sz w:val="21"/>
          <w:szCs w:val="21"/>
        </w:rPr>
      </w:pPr>
      <w:r>
        <w:rPr>
          <w:rFonts w:hint="eastAsia"/>
          <w:sz w:val="21"/>
          <w:szCs w:val="21"/>
        </w:rPr>
        <w:t>（11）不同投标人的投标文件中列出的人工费、材料费、机械使用费、管理费及利润的价格构成部分或全部雷同的，不同投标人的投标报价或报价组成出现非正常一致，或呈现非正常规律性变化的；</w:t>
      </w:r>
    </w:p>
    <w:p>
      <w:pPr>
        <w:pStyle w:val="35"/>
        <w:ind w:firstLine="616"/>
        <w:rPr>
          <w:sz w:val="21"/>
          <w:szCs w:val="21"/>
        </w:rPr>
      </w:pPr>
      <w:r>
        <w:rPr>
          <w:rFonts w:hint="eastAsia"/>
          <w:sz w:val="21"/>
          <w:szCs w:val="21"/>
        </w:rPr>
        <w:t>（12）运用计算机硬件特征码识别技术、标书编制系统软证书识别技术、标书编制系统与计价软件特征码关联识别技术，发现不同投标人的投标文件出自同一台计算机的；通过电子评标系统雷同性分析技术，发现不同投标人的投标文件相互之间存在非正常雷同现象的；通过电子评标系统不平衡报价分析技术，发现不同投标人的投标文件相互之间存在过高报价或过低报价雷同的；</w:t>
      </w:r>
    </w:p>
    <w:p>
      <w:pPr>
        <w:pStyle w:val="35"/>
        <w:ind w:firstLine="616"/>
        <w:rPr>
          <w:sz w:val="21"/>
          <w:szCs w:val="21"/>
        </w:rPr>
      </w:pPr>
      <w:r>
        <w:rPr>
          <w:rFonts w:hint="eastAsia"/>
          <w:sz w:val="21"/>
          <w:szCs w:val="21"/>
        </w:rPr>
        <w:t>（13）投标人之间事先约定中标者或相互约定抬高或者压低投标报价的；</w:t>
      </w:r>
    </w:p>
    <w:p>
      <w:pPr>
        <w:pStyle w:val="35"/>
        <w:ind w:firstLine="616"/>
        <w:rPr>
          <w:sz w:val="21"/>
          <w:szCs w:val="21"/>
        </w:rPr>
      </w:pPr>
      <w:r>
        <w:rPr>
          <w:rFonts w:hint="eastAsia"/>
          <w:sz w:val="21"/>
          <w:szCs w:val="21"/>
        </w:rPr>
        <w:t>（14）属于同一法人组织、集团公司等组织成员的投标人，在投标中采取协同行动的；</w:t>
      </w:r>
    </w:p>
    <w:p>
      <w:pPr>
        <w:pStyle w:val="35"/>
        <w:ind w:firstLine="616"/>
        <w:rPr>
          <w:sz w:val="21"/>
          <w:szCs w:val="21"/>
        </w:rPr>
      </w:pPr>
      <w:r>
        <w:rPr>
          <w:rFonts w:hint="eastAsia"/>
          <w:sz w:val="21"/>
          <w:szCs w:val="21"/>
        </w:rPr>
        <w:t>（15）法律法规规定或行政监管部门、资格评审委员会、评标委员会认定的投标人之间其他串（围）标的行为。</w:t>
      </w:r>
    </w:p>
    <w:p>
      <w:pPr>
        <w:pStyle w:val="35"/>
        <w:ind w:firstLine="616"/>
        <w:rPr>
          <w:sz w:val="21"/>
          <w:szCs w:val="21"/>
        </w:rPr>
      </w:pPr>
      <w:r>
        <w:rPr>
          <w:rFonts w:hint="eastAsia"/>
          <w:sz w:val="21"/>
          <w:szCs w:val="21"/>
        </w:rPr>
        <w:t>在资格评审和评标中发现的疑似串（围）标行为，由资格评审委员会和评标委员会集体表决认定，写出串（围）标行为认定报告并签字。在资格评审、投标、开标、评标中被认定为串（围）标的，取消其投标人的投标资格。</w:t>
      </w:r>
    </w:p>
    <w:p>
      <w:pPr>
        <w:pStyle w:val="35"/>
        <w:ind w:firstLine="616"/>
        <w:rPr>
          <w:sz w:val="21"/>
          <w:szCs w:val="21"/>
        </w:rPr>
      </w:pPr>
      <w:r>
        <w:rPr>
          <w:rFonts w:hint="eastAsia"/>
          <w:sz w:val="21"/>
          <w:szCs w:val="21"/>
        </w:rPr>
        <w:t>评标委员会根据《评标委员会和评标方法暂行规定》第二十七条，否决不合格投标或者界定为废标后，因有效投标不足三个使得投标明显缺乏竞争的，评标委员会可以否决全部投标。</w:t>
      </w:r>
    </w:p>
    <w:p>
      <w:pPr>
        <w:pStyle w:val="35"/>
        <w:ind w:firstLine="616"/>
        <w:rPr>
          <w:sz w:val="21"/>
          <w:szCs w:val="21"/>
        </w:rPr>
      </w:pPr>
      <w:r>
        <w:rPr>
          <w:rFonts w:hint="eastAsia"/>
          <w:sz w:val="21"/>
          <w:szCs w:val="21"/>
        </w:rPr>
        <w:t>2.1.5根据《洛阳市住房和城乡建设局关于进一步做好房屋建筑和市政基础设施工程电子投标文件雷同认定与处理的通知》洛建〔2022〕47号文件的规定，对进一步做好房屋建筑和市政基础设施工程数据电文形式投标文件（以下简称电子投标文件）的雷同认定及处理通知如下：</w:t>
      </w:r>
    </w:p>
    <w:p>
      <w:pPr>
        <w:pStyle w:val="35"/>
        <w:ind w:firstLine="616"/>
        <w:rPr>
          <w:sz w:val="21"/>
          <w:szCs w:val="21"/>
        </w:rPr>
      </w:pPr>
      <w:r>
        <w:rPr>
          <w:rFonts w:hint="eastAsia"/>
          <w:sz w:val="21"/>
          <w:szCs w:val="21"/>
        </w:rPr>
        <w:t>（1）开评标过程中，电子开评标系统提示不同投标人的电子投标文件记录的文件制作机器码、文件创建标识码、文件生成标识码、IP地址、计价软件电子加密锁锁号、计价软件电子加密锁企业实名认证信息等软硬件信息中有一条及以上一致的，评标委员会应当对提示内容集体认定是否属于《中华人民共和国招标投标法实施条例》第四十条“视为投标人相互串通投标”第（一）项“不同投标人的投标文件由同一单位或者个人编制”的情形。</w:t>
      </w:r>
    </w:p>
    <w:p>
      <w:pPr>
        <w:pStyle w:val="35"/>
        <w:ind w:firstLine="616"/>
        <w:rPr>
          <w:sz w:val="21"/>
          <w:szCs w:val="21"/>
        </w:rPr>
      </w:pPr>
      <w:r>
        <w:rPr>
          <w:rFonts w:hint="eastAsia"/>
          <w:sz w:val="21"/>
          <w:szCs w:val="21"/>
        </w:rPr>
        <w:t>（2）开评标过程中，电子开评标系统提示不同投标人的投标技术文件存在高度雷同、投标报价或报价组成出现一致或者呈规律性变化的，评标委员会应当对提示内容进行综合分析研判，集体认定是否属于《中华人民共和国招标投标法实施条例》第四十条“视为投标人相互串通投标”第（四）项“不同投标人的投标文件异常一致或者投标报价呈规律性差异”的情形。</w:t>
      </w:r>
    </w:p>
    <w:p>
      <w:pPr>
        <w:pStyle w:val="35"/>
        <w:ind w:firstLine="616"/>
        <w:rPr>
          <w:sz w:val="21"/>
          <w:szCs w:val="21"/>
        </w:rPr>
      </w:pPr>
      <w:r>
        <w:rPr>
          <w:rFonts w:hint="eastAsia"/>
          <w:sz w:val="21"/>
          <w:szCs w:val="21"/>
        </w:rPr>
        <w:t>（3）评标委员会在认定串通投标行为时，认为有必要的，可以要求投标人对有关情况作出书面澄清。经认定，属于《中华人民共和国招标投标法实施条例》第四十条“视为投标人相互串通投标”情形的，评标委员会应当按照《中华人民共和国招标投标法实施条例》第四十条和第五十一条第（七）项的规定否决相应投标人的投标，并在评标报告中进行记录。评标委员会应当对电子开评标系统作出的雷同性提示内容以及串通投标行为的认定情况，在评标报告中进行详细记录。招标人或其委托的招标代理机构应当对评标委员会关于串通投标行为的认定情况和否决投标情况在招标投标情况书面报告中作出说明。</w:t>
      </w:r>
    </w:p>
    <w:p>
      <w:pPr>
        <w:pStyle w:val="35"/>
        <w:ind w:firstLine="616"/>
        <w:rPr>
          <w:sz w:val="21"/>
          <w:szCs w:val="21"/>
        </w:rPr>
      </w:pPr>
      <w:r>
        <w:rPr>
          <w:rFonts w:hint="eastAsia"/>
          <w:sz w:val="21"/>
          <w:szCs w:val="21"/>
        </w:rPr>
        <w:t>（4）经查实，不同投标人存在串通投标行为的，按照《中华人民共和国招标投标法》第五十三条和《中华人民共和国招标投标法实施条例》第六十七条的规定处罚；涉嫌构成犯罪的，依法移送公安机关追究刑事责任。</w:t>
      </w:r>
    </w:p>
    <w:p>
      <w:pPr>
        <w:pStyle w:val="35"/>
        <w:ind w:firstLine="616"/>
        <w:rPr>
          <w:sz w:val="21"/>
          <w:szCs w:val="21"/>
        </w:rPr>
      </w:pPr>
      <w:r>
        <w:rPr>
          <w:rFonts w:hint="eastAsia"/>
          <w:sz w:val="21"/>
          <w:szCs w:val="21"/>
        </w:rPr>
        <w:t>（5）在计价软件电子加密锁实名信息库内填报虚假信息的，按照《河南省建筑市场信用管理实施办法（暂行）》的规定，对企业的不良行为信息录入全省建筑市场公共信用管理系统并予以公示。</w:t>
      </w:r>
    </w:p>
    <w:p>
      <w:pPr>
        <w:pStyle w:val="35"/>
        <w:ind w:firstLine="616"/>
        <w:rPr>
          <w:sz w:val="21"/>
          <w:szCs w:val="21"/>
        </w:rPr>
      </w:pPr>
      <w:r>
        <w:rPr>
          <w:rFonts w:hint="eastAsia"/>
          <w:sz w:val="21"/>
          <w:szCs w:val="21"/>
        </w:rPr>
        <w:t>（6）经查实，投标人使用存在虚假实名认证信息的计价软件电子加密锁编制已标价工程量清单进行投标、或者篡改电子投标文件和已标价工程量清单记录的软硬件信息等弄虚作假行为的，按照《中华人民共和国招标投标法》第五十四条和《中华人民共和国招标投标法实施条例》第六十八条的规定处罚；涉嫌构成犯罪的，依法移送公安机关追究刑事责任。</w:t>
      </w:r>
    </w:p>
    <w:p>
      <w:pPr>
        <w:pStyle w:val="35"/>
        <w:ind w:firstLine="616"/>
        <w:rPr>
          <w:sz w:val="21"/>
          <w:szCs w:val="21"/>
        </w:rPr>
      </w:pPr>
      <w:r>
        <w:rPr>
          <w:rFonts w:hint="eastAsia"/>
          <w:sz w:val="21"/>
          <w:szCs w:val="21"/>
        </w:rPr>
        <w:t>（7）采用电子招标投标的，招标人及其委托的招标代理机构应当将本通知中所列情形及处理方式在招标文件中予以明确。招标人或其委托的招标代理机构未按要求编制资格预审文件或招标文件的，由住房和城乡建设主管部门责令改正。</w:t>
      </w:r>
    </w:p>
    <w:p>
      <w:pPr>
        <w:pStyle w:val="35"/>
        <w:ind w:firstLine="616"/>
      </w:pPr>
      <w:r>
        <w:rPr>
          <w:rFonts w:hint="eastAsia"/>
          <w:sz w:val="21"/>
          <w:szCs w:val="21"/>
        </w:rPr>
        <w:t>（8）评标委员会未按照招标文件规定对电子开评标系统作出的雷同性提示内容进行认定或做相应处理的，按照《中华人民共和国招标投标法实施条例》第七十一条的规定，由住房和城乡建设主管部门责令改正；情节严重的，禁止在一定期限内参加依法必须进行招标的项目的评标；情节特别严重的，取消担任评标委员会成员的资格。</w:t>
      </w:r>
    </w:p>
    <w:p>
      <w:r>
        <w:rPr>
          <w:rFonts w:hint="eastAsia"/>
        </w:rPr>
        <w:t>2.1.6投标报价有算术错误的，评标委员会按以下原则对投标报价进行修正，修正的价格经投标人书面确认后具有约束力。投标人不接受修正价格的，其投标作废标处理。</w:t>
      </w:r>
    </w:p>
    <w:p>
      <w:r>
        <w:rPr>
          <w:rFonts w:hint="eastAsia"/>
        </w:rPr>
        <w:t>（1）投标文件中的大写金额与小写金额不一致的，以大写金额为准；</w:t>
      </w:r>
    </w:p>
    <w:p>
      <w:r>
        <w:rPr>
          <w:rFonts w:hint="eastAsia"/>
        </w:rPr>
        <w:t>（2）总价金额与依据单价计算出的结果不一致的，以单价金额为准修正总价，但单价金额小数点有明显错误的除外。</w:t>
      </w:r>
    </w:p>
    <w:p>
      <w:pPr>
        <w:spacing w:line="420" w:lineRule="exact"/>
        <w:ind w:firstLine="0" w:firstLineChars="0"/>
        <w:rPr>
          <w:rFonts w:hint="eastAsia" w:ascii="仿宋" w:hAnsi="仿宋" w:eastAsia="仿宋" w:cs="仿宋"/>
          <w:b/>
          <w:kern w:val="0"/>
          <w:szCs w:val="21"/>
        </w:rPr>
      </w:pPr>
      <w:r>
        <w:rPr>
          <w:rFonts w:hint="eastAsia" w:ascii="仿宋" w:hAnsi="仿宋" w:eastAsia="仿宋" w:cs="仿宋"/>
          <w:b/>
          <w:kern w:val="0"/>
          <w:szCs w:val="21"/>
        </w:rPr>
        <w:t>2.2 详细评审</w:t>
      </w:r>
    </w:p>
    <w:p>
      <w:pPr>
        <w:rPr>
          <w:b/>
          <w:bCs/>
          <w:sz w:val="32"/>
          <w:szCs w:val="32"/>
        </w:rPr>
      </w:pPr>
      <w:r>
        <w:rPr>
          <w:rFonts w:hint="eastAsia"/>
        </w:rPr>
        <w:t>评标委员会对通过初步评审合格的有效投标文件，按照招标文件中明确的评标方式进行技术标、商务标、综合标的定量评审。</w:t>
      </w:r>
      <w:bookmarkStart w:id="334" w:name="_Toc2515"/>
    </w:p>
    <w:bookmarkEnd w:id="334"/>
    <w:p>
      <w:r>
        <w:rPr>
          <w:rFonts w:hint="eastAsia"/>
        </w:rPr>
        <w:t>评标委员会应按下列公式计算得分，分值均保留两位小数。</w:t>
      </w:r>
    </w:p>
    <w:p>
      <w:r>
        <w:rPr>
          <w:rFonts w:hint="eastAsia"/>
        </w:rPr>
        <w:t>投标人综合得分＝技术标得分＋商务标得分＋综合标得分+扶持政策得分（如有）。</w:t>
      </w:r>
    </w:p>
    <w:p>
      <w:r>
        <w:rPr>
          <w:rFonts w:hint="eastAsia"/>
        </w:rPr>
        <w:t>评标计分汇总工作由评委会指定不少于2名评委，在评标委员会监督下进行，各投标人每项得分（包括技术标各项得分）之和为总计得分。</w:t>
      </w:r>
    </w:p>
    <w:p>
      <w:pPr>
        <w:spacing w:line="420" w:lineRule="exact"/>
        <w:ind w:firstLine="0" w:firstLineChars="0"/>
        <w:rPr>
          <w:rFonts w:hint="eastAsia" w:ascii="仿宋" w:hAnsi="仿宋" w:eastAsia="仿宋" w:cs="仿宋"/>
          <w:b/>
          <w:kern w:val="0"/>
          <w:szCs w:val="21"/>
        </w:rPr>
      </w:pPr>
      <w:bookmarkStart w:id="335" w:name="_Toc144974563"/>
      <w:bookmarkStart w:id="336" w:name="_Toc152042373"/>
      <w:bookmarkStart w:id="337" w:name="_Toc179632614"/>
      <w:bookmarkStart w:id="338" w:name="_Toc152045596"/>
      <w:r>
        <w:rPr>
          <w:rFonts w:hint="eastAsia" w:ascii="仿宋" w:hAnsi="仿宋" w:eastAsia="仿宋" w:cs="仿宋"/>
          <w:b/>
          <w:kern w:val="0"/>
          <w:szCs w:val="21"/>
        </w:rPr>
        <w:t>2.3 投标文件的澄清</w:t>
      </w:r>
      <w:bookmarkEnd w:id="335"/>
      <w:r>
        <w:rPr>
          <w:rFonts w:hint="eastAsia" w:ascii="仿宋" w:hAnsi="仿宋" w:eastAsia="仿宋" w:cs="仿宋"/>
          <w:b/>
          <w:kern w:val="0"/>
          <w:szCs w:val="21"/>
        </w:rPr>
        <w:t>和补正</w:t>
      </w:r>
      <w:bookmarkEnd w:id="336"/>
      <w:bookmarkEnd w:id="337"/>
      <w:bookmarkEnd w:id="338"/>
    </w:p>
    <w:p>
      <w:r>
        <w:rPr>
          <w:rFonts w:hint="eastAsia"/>
        </w:rPr>
        <w:t>2.3.1在评标过程中，评标委员会可以书面形式要求投标人对所提交的投标文件中不明确的内容进行书面澄清或说明，或者对细微偏差进行补正。评标委员会不接受投标人主动提出的澄清、说明或补正。</w:t>
      </w:r>
    </w:p>
    <w:p>
      <w:r>
        <w:rPr>
          <w:rFonts w:hint="eastAsia"/>
        </w:rPr>
        <w:t>2.3.2 澄清、说明和补正不得改变投标文件的实质性内容（算术性错误修正的除外）。投标人的书面澄清、说明和补正属于投标文件的组成部分。</w:t>
      </w:r>
    </w:p>
    <w:p>
      <w:r>
        <w:rPr>
          <w:rFonts w:hint="eastAsia"/>
        </w:rPr>
        <w:t>2.3.3 评标委员会对投标人提交的澄清、说明或补正有疑问的，可以要求投标人进一步澄清、说明或补正，直至满足评标委员会的要求。</w:t>
      </w:r>
    </w:p>
    <w:p>
      <w:pPr>
        <w:spacing w:line="420" w:lineRule="exact"/>
        <w:ind w:firstLine="0" w:firstLineChars="0"/>
        <w:rPr>
          <w:rFonts w:hint="eastAsia" w:ascii="仿宋" w:hAnsi="仿宋" w:eastAsia="仿宋" w:cs="仿宋"/>
          <w:b/>
          <w:kern w:val="0"/>
          <w:szCs w:val="21"/>
        </w:rPr>
      </w:pPr>
      <w:bookmarkStart w:id="339" w:name="_Toc152042374"/>
      <w:bookmarkStart w:id="340" w:name="_Toc179632615"/>
      <w:bookmarkStart w:id="341" w:name="_Toc152045597"/>
      <w:bookmarkStart w:id="342" w:name="_Toc144974564"/>
      <w:r>
        <w:rPr>
          <w:rFonts w:hint="eastAsia" w:ascii="仿宋" w:hAnsi="仿宋" w:eastAsia="仿宋" w:cs="仿宋"/>
          <w:b/>
          <w:kern w:val="0"/>
          <w:szCs w:val="21"/>
        </w:rPr>
        <w:t>2.4 评标结果</w:t>
      </w:r>
      <w:bookmarkEnd w:id="339"/>
      <w:bookmarkEnd w:id="340"/>
      <w:bookmarkEnd w:id="341"/>
      <w:bookmarkEnd w:id="342"/>
    </w:p>
    <w:p>
      <w:r>
        <w:rPr>
          <w:rFonts w:hint="eastAsia"/>
        </w:rPr>
        <w:t xml:space="preserve">1.评标委员会推荐不标明排序的中标候选人3名，按照其统一社会信用代码后 4 位（除校验码外）由大到小排列。评标委员会应当对每个中标候选人的特点、优势、可能 存在的风险等评审情况和推荐理由进行说明。 </w:t>
      </w:r>
    </w:p>
    <w:p>
      <w:r>
        <w:rPr>
          <w:rFonts w:hint="eastAsia"/>
        </w:rPr>
        <w:t>2.评标委员会完成评标后，应出具由评标委员会全体成员签名的评标报告。对评标结论有异议的评标委员会成员可以书面方式阐述其不同意见和理由。评标委员会成员拒绝在评标报告上签名且不以书面阐述其不同意见和理由的，视为同意评标结论。评标委员会应当对此作出书面说明并记录在案。</w:t>
      </w:r>
    </w:p>
    <w:p>
      <w:r>
        <w:rPr>
          <w:rFonts w:hint="eastAsia"/>
        </w:rPr>
        <w:t>3.评标环节的分数和名次不带入定标环节。</w:t>
      </w:r>
    </w:p>
    <w:p>
      <w:pPr>
        <w:rPr>
          <w:lang w:bidi="ar"/>
        </w:rPr>
      </w:pPr>
      <w:r>
        <w:rPr>
          <w:rFonts w:hint="eastAsia"/>
          <w:lang w:bidi="ar"/>
        </w:rPr>
        <w:t>附件：</w:t>
      </w:r>
    </w:p>
    <w:p>
      <w:pPr>
        <w:rPr>
          <w:lang w:bidi="ar"/>
        </w:rPr>
      </w:pPr>
      <w:r>
        <w:rPr>
          <w:rFonts w:hint="eastAsia"/>
          <w:lang w:bidi="ar"/>
        </w:rPr>
        <w:t>1、</w:t>
      </w:r>
      <w:r>
        <w:rPr>
          <w:rFonts w:hint="eastAsia"/>
          <w:lang w:eastAsia="zh-CN" w:bidi="ar"/>
        </w:rPr>
        <w:t>否决投标的情形</w:t>
      </w:r>
      <w:r>
        <w:rPr>
          <w:rFonts w:hint="eastAsia"/>
          <w:lang w:bidi="ar"/>
        </w:rPr>
        <w:t xml:space="preserve"> </w:t>
      </w:r>
    </w:p>
    <w:p>
      <w:pPr>
        <w:rPr>
          <w:lang w:bidi="ar"/>
        </w:rPr>
      </w:pPr>
      <w:r>
        <w:rPr>
          <w:rFonts w:hint="eastAsia"/>
          <w:lang w:bidi="ar"/>
        </w:rPr>
        <w:t>2、建设工程危险性较大的分部分项工程清单</w:t>
      </w:r>
    </w:p>
    <w:p>
      <w:pPr>
        <w:rPr>
          <w:lang w:eastAsia="zh-TW"/>
        </w:rPr>
      </w:pPr>
      <w:r>
        <w:rPr>
          <w:rFonts w:hint="eastAsia"/>
          <w:lang w:bidi="ar"/>
        </w:rPr>
        <w:t>3、定标细则</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240" w:lineRule="auto"/>
        <w:ind w:firstLine="0" w:firstLineChars="0"/>
        <w:rPr>
          <w:rFonts w:hint="eastAsia" w:ascii="仿宋" w:hAnsi="仿宋" w:eastAsia="仿宋" w:cs="仿宋"/>
          <w:b/>
          <w:bCs/>
          <w:sz w:val="32"/>
          <w:szCs w:val="40"/>
        </w:rPr>
      </w:pPr>
      <w:r>
        <w:rPr>
          <w:rFonts w:hint="eastAsia" w:ascii="仿宋" w:hAnsi="仿宋" w:eastAsia="仿宋" w:cs="仿宋"/>
          <w:b/>
          <w:bCs/>
          <w:sz w:val="32"/>
          <w:szCs w:val="40"/>
        </w:rPr>
        <w:t>附件1</w:t>
      </w:r>
    </w:p>
    <w:p>
      <w:pPr>
        <w:spacing w:line="240" w:lineRule="auto"/>
        <w:ind w:firstLine="0" w:firstLineChars="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否决投标的情形</w:t>
      </w:r>
    </w:p>
    <w:tbl>
      <w:tblPr>
        <w:tblStyle w:val="41"/>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639"/>
        <w:gridCol w:w="2949"/>
        <w:gridCol w:w="5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08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rPr>
              <w:t>序号</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lang w:eastAsia="zh-CN"/>
              </w:rPr>
              <w:t>评审</w:t>
            </w:r>
            <w:r>
              <w:rPr>
                <w:rFonts w:hint="eastAsia" w:ascii="仿宋" w:hAnsi="仿宋" w:eastAsia="仿宋" w:cs="仿宋"/>
                <w:b/>
                <w:bCs/>
                <w:color w:val="auto"/>
                <w:kern w:val="0"/>
                <w:sz w:val="21"/>
                <w:szCs w:val="21"/>
                <w:highlight w:val="none"/>
              </w:rPr>
              <w:t>项目</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b/>
                <w:bCs/>
                <w:color w:val="auto"/>
                <w:kern w:val="0"/>
                <w:sz w:val="21"/>
                <w:szCs w:val="21"/>
                <w:highlight w:val="none"/>
              </w:rPr>
            </w:pPr>
            <w:r>
              <w:rPr>
                <w:rFonts w:hint="eastAsia" w:ascii="仿宋" w:hAnsi="仿宋" w:eastAsia="仿宋" w:cs="仿宋"/>
                <w:b/>
                <w:bCs/>
                <w:color w:val="auto"/>
                <w:kern w:val="0"/>
                <w:sz w:val="21"/>
                <w:szCs w:val="21"/>
                <w:highlight w:val="none"/>
                <w:lang w:eastAsia="zh-CN"/>
              </w:rPr>
              <w:t>否决投标项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63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w:t>
            </w:r>
          </w:p>
        </w:tc>
        <w:tc>
          <w:tcPr>
            <w:tcW w:w="294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投标</w:t>
            </w:r>
            <w:r>
              <w:rPr>
                <w:rFonts w:hint="eastAsia" w:ascii="仿宋" w:hAnsi="仿宋" w:eastAsia="仿宋" w:cs="仿宋"/>
                <w:color w:val="auto"/>
                <w:kern w:val="0"/>
                <w:sz w:val="21"/>
                <w:szCs w:val="21"/>
                <w:highlight w:val="none"/>
              </w:rPr>
              <w:t>总价</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不等于各单项工程报价之和且</w:t>
            </w:r>
            <w:r>
              <w:rPr>
                <w:rStyle w:val="132"/>
                <w:rFonts w:hint="eastAsia" w:ascii="仿宋" w:hAnsi="仿宋" w:eastAsia="仿宋" w:cs="仿宋"/>
                <w:b w:val="0"/>
                <w:bCs w:val="0"/>
                <w:color w:val="auto"/>
                <w:sz w:val="21"/>
                <w:szCs w:val="21"/>
                <w:highlight w:val="none"/>
              </w:rPr>
              <w:t>拒不按照</w:t>
            </w:r>
            <w:r>
              <w:rPr>
                <w:rFonts w:hint="eastAsia" w:ascii="仿宋" w:hAnsi="仿宋" w:eastAsia="仿宋" w:cs="仿宋"/>
                <w:color w:val="auto"/>
                <w:sz w:val="21"/>
                <w:szCs w:val="21"/>
                <w:highlight w:val="none"/>
              </w:rPr>
              <w:t>评标委员会</w:t>
            </w:r>
            <w:r>
              <w:rPr>
                <w:rStyle w:val="132"/>
                <w:rFonts w:hint="eastAsia" w:ascii="仿宋" w:hAnsi="仿宋" w:eastAsia="仿宋" w:cs="仿宋"/>
                <w:b w:val="0"/>
                <w:bCs w:val="0"/>
                <w:color w:val="auto"/>
                <w:sz w:val="21"/>
                <w:szCs w:val="21"/>
                <w:highlight w:val="none"/>
              </w:rPr>
              <w:t>要求进行澄清、说明或者</w:t>
            </w:r>
            <w:r>
              <w:rPr>
                <w:rStyle w:val="132"/>
                <w:rFonts w:hint="eastAsia" w:ascii="仿宋" w:hAnsi="仿宋" w:eastAsia="仿宋" w:cs="仿宋"/>
                <w:b w:val="0"/>
                <w:bCs w:val="0"/>
                <w:color w:val="auto"/>
                <w:sz w:val="21"/>
                <w:szCs w:val="21"/>
                <w:highlight w:val="none"/>
                <w:lang w:eastAsia="zh-CN"/>
              </w:rPr>
              <w:t>修正影响评标的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rPr>
            </w:pPr>
          </w:p>
        </w:tc>
        <w:tc>
          <w:tcPr>
            <w:tcW w:w="63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rPr>
            </w:pP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lang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高于最高投标限价</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1.2</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单项工程费</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不等于各单位工程报价之和且拒不按照评标委员会要求进行澄清、说明或者</w:t>
            </w:r>
            <w:r>
              <w:rPr>
                <w:rStyle w:val="132"/>
                <w:rFonts w:hint="eastAsia" w:ascii="仿宋" w:hAnsi="仿宋" w:eastAsia="仿宋" w:cs="仿宋"/>
                <w:b w:val="0"/>
                <w:bCs w:val="0"/>
                <w:color w:val="auto"/>
                <w:sz w:val="21"/>
                <w:szCs w:val="21"/>
                <w:highlight w:val="none"/>
                <w:lang w:eastAsia="zh-CN"/>
              </w:rPr>
              <w:t>修正</w:t>
            </w:r>
            <w:r>
              <w:rPr>
                <w:rFonts w:hint="eastAsia" w:ascii="仿宋" w:hAnsi="仿宋" w:eastAsia="仿宋" w:cs="仿宋"/>
                <w:color w:val="auto"/>
                <w:kern w:val="0"/>
                <w:sz w:val="21"/>
                <w:szCs w:val="21"/>
                <w:highlight w:val="none"/>
                <w:lang w:eastAsia="zh-CN"/>
              </w:rPr>
              <w:t>影响评标的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单位工程费</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不等于分部分项工程费＋措施项目费＋其他项目费＋规费＋税金之和且拒不按照评标委员会要求进行澄清、说明或者</w:t>
            </w:r>
            <w:r>
              <w:rPr>
                <w:rStyle w:val="132"/>
                <w:rFonts w:hint="eastAsia" w:ascii="仿宋" w:hAnsi="仿宋" w:eastAsia="仿宋" w:cs="仿宋"/>
                <w:b w:val="0"/>
                <w:bCs w:val="0"/>
                <w:color w:val="auto"/>
                <w:sz w:val="21"/>
                <w:szCs w:val="21"/>
                <w:highlight w:val="none"/>
                <w:lang w:eastAsia="zh-CN"/>
              </w:rPr>
              <w:t>修正</w:t>
            </w:r>
            <w:r>
              <w:rPr>
                <w:rFonts w:hint="eastAsia" w:ascii="仿宋" w:hAnsi="仿宋" w:eastAsia="仿宋" w:cs="仿宋"/>
                <w:color w:val="auto"/>
                <w:kern w:val="0"/>
                <w:sz w:val="21"/>
                <w:szCs w:val="21"/>
                <w:highlight w:val="none"/>
                <w:lang w:eastAsia="zh-CN"/>
              </w:rPr>
              <w:t>影响评标的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2.1</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分部分项工程费及单价措施费总价</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eastAsia="zh-CN"/>
              </w:rPr>
              <w:t>不等于各分部分项工程项目清单（含单价措施项目）费之和且拒不按照评标委员会要求进行澄清、说明或者</w:t>
            </w:r>
            <w:r>
              <w:rPr>
                <w:rStyle w:val="132"/>
                <w:rFonts w:hint="eastAsia" w:ascii="仿宋" w:hAnsi="仿宋" w:eastAsia="仿宋" w:cs="仿宋"/>
                <w:b w:val="0"/>
                <w:bCs w:val="0"/>
                <w:color w:val="auto"/>
                <w:sz w:val="21"/>
                <w:szCs w:val="21"/>
                <w:highlight w:val="none"/>
                <w:lang w:eastAsia="zh-CN"/>
              </w:rPr>
              <w:t>修正</w:t>
            </w:r>
            <w:r>
              <w:rPr>
                <w:rFonts w:hint="eastAsia" w:ascii="仿宋" w:hAnsi="仿宋" w:eastAsia="仿宋" w:cs="仿宋"/>
                <w:color w:val="auto"/>
                <w:kern w:val="0"/>
                <w:sz w:val="21"/>
                <w:szCs w:val="21"/>
                <w:highlight w:val="none"/>
                <w:lang w:eastAsia="zh-CN"/>
              </w:rPr>
              <w:t>影响评标的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2.2</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eastAsia="zh-CN"/>
              </w:rPr>
              <w:t>分部分项工程项目</w:t>
            </w:r>
            <w:r>
              <w:rPr>
                <w:rFonts w:hint="eastAsia" w:ascii="仿宋" w:hAnsi="仿宋" w:eastAsia="仿宋" w:cs="仿宋"/>
                <w:color w:val="auto"/>
                <w:kern w:val="0"/>
                <w:sz w:val="21"/>
                <w:szCs w:val="21"/>
                <w:highlight w:val="none"/>
              </w:rPr>
              <w:t>编码</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eastAsia="zh-CN"/>
              </w:rPr>
              <w:t>与</w:t>
            </w:r>
            <w:r>
              <w:rPr>
                <w:rFonts w:hint="eastAsia" w:ascii="仿宋" w:hAnsi="仿宋" w:eastAsia="仿宋" w:cs="仿宋"/>
                <w:strike w:val="0"/>
                <w:dstrike w:val="0"/>
                <w:color w:val="auto"/>
                <w:kern w:val="0"/>
                <w:sz w:val="21"/>
                <w:szCs w:val="21"/>
                <w:highlight w:val="none"/>
                <w:lang w:val="en-US" w:eastAsia="zh-CN"/>
              </w:rPr>
              <w:t>招标文件发布</w:t>
            </w:r>
            <w:r>
              <w:rPr>
                <w:rFonts w:hint="eastAsia" w:ascii="仿宋" w:hAnsi="仿宋" w:eastAsia="仿宋" w:cs="仿宋"/>
                <w:color w:val="auto"/>
                <w:kern w:val="0"/>
                <w:sz w:val="21"/>
                <w:szCs w:val="21"/>
                <w:highlight w:val="none"/>
                <w:lang w:eastAsia="zh-CN"/>
              </w:rPr>
              <w:t>的</w:t>
            </w:r>
            <w:r>
              <w:rPr>
                <w:rFonts w:hint="eastAsia" w:ascii="仿宋" w:hAnsi="仿宋" w:eastAsia="仿宋" w:cs="仿宋"/>
                <w:color w:val="auto"/>
                <w:kern w:val="0"/>
                <w:sz w:val="21"/>
                <w:szCs w:val="21"/>
                <w:highlight w:val="none"/>
              </w:rPr>
              <w:t>清单</w:t>
            </w:r>
            <w:r>
              <w:rPr>
                <w:rFonts w:hint="eastAsia" w:ascii="仿宋" w:hAnsi="仿宋" w:eastAsia="仿宋" w:cs="仿宋"/>
                <w:color w:val="auto"/>
                <w:kern w:val="0"/>
                <w:sz w:val="21"/>
                <w:szCs w:val="21"/>
                <w:highlight w:val="none"/>
                <w:lang w:eastAsia="zh-CN"/>
              </w:rPr>
              <w:t>不一致</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2.3</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eastAsia="zh-CN"/>
              </w:rPr>
              <w:t>分部分项工程项目</w:t>
            </w:r>
            <w:r>
              <w:rPr>
                <w:rFonts w:hint="eastAsia" w:ascii="仿宋" w:hAnsi="仿宋" w:eastAsia="仿宋" w:cs="仿宋"/>
                <w:color w:val="auto"/>
                <w:kern w:val="0"/>
                <w:sz w:val="21"/>
                <w:szCs w:val="21"/>
                <w:highlight w:val="none"/>
              </w:rPr>
              <w:t>名称</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eastAsia="zh-CN"/>
              </w:rPr>
              <w:t>与</w:t>
            </w:r>
            <w:r>
              <w:rPr>
                <w:rFonts w:hint="eastAsia" w:ascii="仿宋" w:hAnsi="仿宋" w:eastAsia="仿宋" w:cs="仿宋"/>
                <w:strike w:val="0"/>
                <w:dstrike w:val="0"/>
                <w:color w:val="auto"/>
                <w:kern w:val="0"/>
                <w:sz w:val="21"/>
                <w:szCs w:val="21"/>
                <w:highlight w:val="none"/>
                <w:lang w:val="en-US" w:eastAsia="zh-CN"/>
              </w:rPr>
              <w:t>招标文件发布</w:t>
            </w:r>
            <w:r>
              <w:rPr>
                <w:rFonts w:hint="eastAsia" w:ascii="仿宋" w:hAnsi="仿宋" w:eastAsia="仿宋" w:cs="仿宋"/>
                <w:color w:val="auto"/>
                <w:kern w:val="0"/>
                <w:sz w:val="21"/>
                <w:szCs w:val="21"/>
                <w:highlight w:val="none"/>
                <w:lang w:eastAsia="zh-CN"/>
              </w:rPr>
              <w:t>的</w:t>
            </w:r>
            <w:r>
              <w:rPr>
                <w:rFonts w:hint="eastAsia" w:ascii="仿宋" w:hAnsi="仿宋" w:eastAsia="仿宋" w:cs="仿宋"/>
                <w:color w:val="auto"/>
                <w:kern w:val="0"/>
                <w:sz w:val="21"/>
                <w:szCs w:val="21"/>
                <w:highlight w:val="none"/>
              </w:rPr>
              <w:t>清单</w:t>
            </w:r>
            <w:r>
              <w:rPr>
                <w:rFonts w:hint="eastAsia" w:ascii="仿宋" w:hAnsi="仿宋" w:eastAsia="仿宋" w:cs="仿宋"/>
                <w:color w:val="auto"/>
                <w:kern w:val="0"/>
                <w:sz w:val="21"/>
                <w:szCs w:val="21"/>
                <w:highlight w:val="none"/>
                <w:lang w:eastAsia="zh-CN"/>
              </w:rPr>
              <w:t>不一致</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2.4</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eastAsia="zh-CN"/>
              </w:rPr>
              <w:t>分部分项工程项目</w:t>
            </w:r>
            <w:r>
              <w:rPr>
                <w:rFonts w:hint="eastAsia" w:ascii="仿宋" w:hAnsi="仿宋" w:eastAsia="仿宋" w:cs="仿宋"/>
                <w:color w:val="auto"/>
                <w:kern w:val="0"/>
                <w:sz w:val="21"/>
                <w:szCs w:val="21"/>
                <w:highlight w:val="none"/>
              </w:rPr>
              <w:t>特征</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b/>
                <w:bCs/>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eastAsia="zh-CN"/>
              </w:rPr>
              <w:t>与</w:t>
            </w:r>
            <w:r>
              <w:rPr>
                <w:rFonts w:hint="eastAsia" w:ascii="仿宋" w:hAnsi="仿宋" w:eastAsia="仿宋" w:cs="仿宋"/>
                <w:strike w:val="0"/>
                <w:dstrike w:val="0"/>
                <w:color w:val="auto"/>
                <w:kern w:val="0"/>
                <w:sz w:val="21"/>
                <w:szCs w:val="21"/>
                <w:highlight w:val="none"/>
                <w:lang w:val="en-US" w:eastAsia="zh-CN"/>
              </w:rPr>
              <w:t>招标文件发布</w:t>
            </w:r>
            <w:r>
              <w:rPr>
                <w:rFonts w:hint="eastAsia" w:ascii="仿宋" w:hAnsi="仿宋" w:eastAsia="仿宋" w:cs="仿宋"/>
                <w:color w:val="auto"/>
                <w:kern w:val="0"/>
                <w:sz w:val="21"/>
                <w:szCs w:val="21"/>
                <w:highlight w:val="none"/>
                <w:lang w:eastAsia="zh-CN"/>
              </w:rPr>
              <w:t>的</w:t>
            </w:r>
            <w:r>
              <w:rPr>
                <w:rFonts w:hint="eastAsia" w:ascii="仿宋" w:hAnsi="仿宋" w:eastAsia="仿宋" w:cs="仿宋"/>
                <w:color w:val="auto"/>
                <w:kern w:val="0"/>
                <w:sz w:val="21"/>
                <w:szCs w:val="21"/>
                <w:highlight w:val="none"/>
              </w:rPr>
              <w:t>清单</w:t>
            </w:r>
            <w:r>
              <w:rPr>
                <w:rFonts w:hint="eastAsia" w:ascii="仿宋" w:hAnsi="仿宋" w:eastAsia="仿宋" w:cs="仿宋"/>
                <w:color w:val="auto"/>
                <w:kern w:val="0"/>
                <w:sz w:val="21"/>
                <w:szCs w:val="21"/>
                <w:highlight w:val="none"/>
                <w:lang w:eastAsia="zh-CN"/>
              </w:rPr>
              <w:t>不一致</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2.5</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eastAsia="zh-CN"/>
              </w:rPr>
              <w:t>分部分项工程项目</w:t>
            </w:r>
            <w:r>
              <w:rPr>
                <w:rFonts w:hint="eastAsia" w:ascii="仿宋" w:hAnsi="仿宋" w:eastAsia="仿宋" w:cs="仿宋"/>
                <w:color w:val="auto"/>
                <w:kern w:val="0"/>
                <w:sz w:val="21"/>
                <w:szCs w:val="21"/>
                <w:highlight w:val="none"/>
              </w:rPr>
              <w:t>计量单位</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eastAsia="zh-CN"/>
              </w:rPr>
              <w:t>与</w:t>
            </w:r>
            <w:r>
              <w:rPr>
                <w:rFonts w:hint="eastAsia" w:ascii="仿宋" w:hAnsi="仿宋" w:eastAsia="仿宋" w:cs="仿宋"/>
                <w:strike w:val="0"/>
                <w:dstrike w:val="0"/>
                <w:color w:val="auto"/>
                <w:kern w:val="0"/>
                <w:sz w:val="21"/>
                <w:szCs w:val="21"/>
                <w:highlight w:val="none"/>
                <w:lang w:val="en-US" w:eastAsia="zh-CN"/>
              </w:rPr>
              <w:t>招标文件发布</w:t>
            </w:r>
            <w:r>
              <w:rPr>
                <w:rFonts w:hint="eastAsia" w:ascii="仿宋" w:hAnsi="仿宋" w:eastAsia="仿宋" w:cs="仿宋"/>
                <w:color w:val="auto"/>
                <w:kern w:val="0"/>
                <w:sz w:val="21"/>
                <w:szCs w:val="21"/>
                <w:highlight w:val="none"/>
                <w:lang w:eastAsia="zh-CN"/>
              </w:rPr>
              <w:t>的</w:t>
            </w:r>
            <w:r>
              <w:rPr>
                <w:rFonts w:hint="eastAsia" w:ascii="仿宋" w:hAnsi="仿宋" w:eastAsia="仿宋" w:cs="仿宋"/>
                <w:color w:val="auto"/>
                <w:kern w:val="0"/>
                <w:sz w:val="21"/>
                <w:szCs w:val="21"/>
                <w:highlight w:val="none"/>
              </w:rPr>
              <w:t>清单</w:t>
            </w:r>
            <w:r>
              <w:rPr>
                <w:rFonts w:hint="eastAsia" w:ascii="仿宋" w:hAnsi="仿宋" w:eastAsia="仿宋" w:cs="仿宋"/>
                <w:color w:val="auto"/>
                <w:kern w:val="0"/>
                <w:sz w:val="21"/>
                <w:szCs w:val="21"/>
                <w:highlight w:val="none"/>
                <w:lang w:eastAsia="zh-CN"/>
              </w:rPr>
              <w:t>不一致</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2.6</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eastAsia="zh-CN"/>
              </w:rPr>
              <w:t>分部分项工程项目</w:t>
            </w:r>
            <w:r>
              <w:rPr>
                <w:rFonts w:hint="eastAsia" w:ascii="仿宋" w:hAnsi="仿宋" w:eastAsia="仿宋" w:cs="仿宋"/>
                <w:color w:val="auto"/>
                <w:kern w:val="0"/>
                <w:sz w:val="21"/>
                <w:szCs w:val="21"/>
                <w:highlight w:val="none"/>
              </w:rPr>
              <w:t>工程量</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eastAsia="zh-CN"/>
              </w:rPr>
              <w:t>与</w:t>
            </w:r>
            <w:r>
              <w:rPr>
                <w:rFonts w:hint="eastAsia" w:ascii="仿宋" w:hAnsi="仿宋" w:eastAsia="仿宋" w:cs="仿宋"/>
                <w:strike w:val="0"/>
                <w:dstrike w:val="0"/>
                <w:color w:val="auto"/>
                <w:kern w:val="0"/>
                <w:sz w:val="21"/>
                <w:szCs w:val="21"/>
                <w:highlight w:val="none"/>
                <w:lang w:val="en-US" w:eastAsia="zh-CN"/>
              </w:rPr>
              <w:t>招标文件发布</w:t>
            </w:r>
            <w:r>
              <w:rPr>
                <w:rFonts w:hint="eastAsia" w:ascii="仿宋" w:hAnsi="仿宋" w:eastAsia="仿宋" w:cs="仿宋"/>
                <w:color w:val="auto"/>
                <w:kern w:val="0"/>
                <w:sz w:val="21"/>
                <w:szCs w:val="21"/>
                <w:highlight w:val="none"/>
                <w:lang w:eastAsia="zh-CN"/>
              </w:rPr>
              <w:t>的</w:t>
            </w:r>
            <w:r>
              <w:rPr>
                <w:rFonts w:hint="eastAsia" w:ascii="仿宋" w:hAnsi="仿宋" w:eastAsia="仿宋" w:cs="仿宋"/>
                <w:color w:val="auto"/>
                <w:kern w:val="0"/>
                <w:sz w:val="21"/>
                <w:szCs w:val="21"/>
                <w:highlight w:val="none"/>
              </w:rPr>
              <w:t>清单</w:t>
            </w:r>
            <w:r>
              <w:rPr>
                <w:rFonts w:hint="eastAsia" w:ascii="仿宋" w:hAnsi="仿宋" w:eastAsia="仿宋" w:cs="仿宋"/>
                <w:color w:val="auto"/>
                <w:kern w:val="0"/>
                <w:sz w:val="21"/>
                <w:szCs w:val="21"/>
                <w:highlight w:val="none"/>
                <w:lang w:eastAsia="zh-CN"/>
              </w:rPr>
              <w:t>不一致</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2.7</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eastAsia="zh-CN"/>
              </w:rPr>
              <w:t>分部分项工程项目</w:t>
            </w:r>
            <w:r>
              <w:rPr>
                <w:rFonts w:hint="eastAsia" w:ascii="仿宋" w:hAnsi="仿宋" w:eastAsia="仿宋" w:cs="仿宋"/>
                <w:color w:val="auto"/>
                <w:spacing w:val="-4"/>
                <w:kern w:val="0"/>
                <w:sz w:val="21"/>
                <w:szCs w:val="21"/>
                <w:highlight w:val="none"/>
              </w:rPr>
              <w:t>清单</w:t>
            </w:r>
            <w:r>
              <w:rPr>
                <w:rFonts w:hint="eastAsia" w:ascii="仿宋" w:hAnsi="仿宋" w:eastAsia="仿宋" w:cs="仿宋"/>
                <w:color w:val="auto"/>
                <w:spacing w:val="-4"/>
                <w:kern w:val="0"/>
                <w:sz w:val="21"/>
                <w:szCs w:val="21"/>
                <w:highlight w:val="none"/>
                <w:lang w:eastAsia="zh-CN"/>
              </w:rPr>
              <w:t>的</w:t>
            </w:r>
            <w:r>
              <w:rPr>
                <w:rFonts w:hint="eastAsia" w:ascii="仿宋" w:hAnsi="仿宋" w:eastAsia="仿宋" w:cs="仿宋"/>
                <w:color w:val="auto"/>
                <w:spacing w:val="-4"/>
                <w:kern w:val="0"/>
                <w:sz w:val="21"/>
                <w:szCs w:val="21"/>
                <w:highlight w:val="none"/>
              </w:rPr>
              <w:t>综合单价</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eastAsia="zh-CN"/>
              </w:rPr>
              <w:t>不等于人工费、材料费、机械费、管理费及利润之和且拒不按照评标委员会要求进行澄清、说明或者</w:t>
            </w:r>
            <w:r>
              <w:rPr>
                <w:rStyle w:val="132"/>
                <w:rFonts w:hint="eastAsia" w:ascii="仿宋" w:hAnsi="仿宋" w:eastAsia="仿宋" w:cs="仿宋"/>
                <w:b w:val="0"/>
                <w:bCs w:val="0"/>
                <w:color w:val="auto"/>
                <w:sz w:val="21"/>
                <w:szCs w:val="21"/>
                <w:highlight w:val="none"/>
                <w:lang w:eastAsia="zh-CN"/>
              </w:rPr>
              <w:t>修正</w:t>
            </w:r>
            <w:r>
              <w:rPr>
                <w:rFonts w:hint="eastAsia" w:ascii="仿宋" w:hAnsi="仿宋" w:eastAsia="仿宋" w:cs="仿宋"/>
                <w:color w:val="auto"/>
                <w:kern w:val="0"/>
                <w:sz w:val="21"/>
                <w:szCs w:val="21"/>
                <w:highlight w:val="none"/>
                <w:lang w:eastAsia="zh-CN"/>
              </w:rPr>
              <w:t>影响评标的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2.8</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rPr>
              <w:t>材料单价</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spacing w:val="-12"/>
                <w:kern w:val="0"/>
                <w:sz w:val="21"/>
                <w:szCs w:val="21"/>
                <w:highlight w:val="none"/>
                <w:lang w:val="en-US" w:eastAsia="zh-CN" w:bidi="ar-SA"/>
              </w:rPr>
            </w:pPr>
            <w:r>
              <w:rPr>
                <w:rFonts w:hint="eastAsia" w:ascii="仿宋" w:hAnsi="仿宋" w:eastAsia="仿宋" w:cs="仿宋"/>
                <w:color w:val="auto"/>
                <w:spacing w:val="0"/>
                <w:kern w:val="0"/>
                <w:sz w:val="21"/>
                <w:szCs w:val="21"/>
                <w:highlight w:val="none"/>
                <w:lang w:eastAsia="zh-CN"/>
              </w:rPr>
              <w:t>综合单价中的材料单价与</w:t>
            </w:r>
            <w:r>
              <w:rPr>
                <w:rFonts w:hint="eastAsia" w:ascii="仿宋" w:hAnsi="仿宋" w:eastAsia="仿宋" w:cs="仿宋"/>
                <w:color w:val="auto"/>
                <w:spacing w:val="0"/>
                <w:kern w:val="0"/>
                <w:sz w:val="21"/>
                <w:szCs w:val="21"/>
                <w:highlight w:val="none"/>
                <w:lang w:val="en-US" w:eastAsia="zh-CN"/>
              </w:rPr>
              <w:t>材料表中材料</w:t>
            </w:r>
            <w:r>
              <w:rPr>
                <w:rFonts w:hint="eastAsia" w:ascii="仿宋" w:hAnsi="仿宋" w:eastAsia="仿宋" w:cs="仿宋"/>
                <w:color w:val="auto"/>
                <w:spacing w:val="0"/>
                <w:kern w:val="0"/>
                <w:sz w:val="21"/>
                <w:szCs w:val="21"/>
                <w:highlight w:val="none"/>
                <w:lang w:eastAsia="zh-CN"/>
              </w:rPr>
              <w:t>单价不一致</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3.1</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安全文明施工措施费</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sz w:val="21"/>
                <w:szCs w:val="21"/>
                <w:highlight w:val="none"/>
              </w:rPr>
              <w:t>与河南省</w:t>
            </w:r>
            <w:r>
              <w:rPr>
                <w:rFonts w:hint="eastAsia" w:ascii="仿宋" w:hAnsi="仿宋" w:eastAsia="仿宋" w:cs="仿宋"/>
                <w:color w:val="auto"/>
                <w:sz w:val="21"/>
                <w:szCs w:val="21"/>
                <w:highlight w:val="none"/>
                <w:lang w:eastAsia="zh-CN"/>
              </w:rPr>
              <w:t>相关</w:t>
            </w:r>
            <w:r>
              <w:rPr>
                <w:rFonts w:hint="eastAsia" w:ascii="仿宋" w:hAnsi="仿宋" w:eastAsia="仿宋" w:cs="仿宋"/>
                <w:color w:val="auto"/>
                <w:sz w:val="21"/>
                <w:szCs w:val="21"/>
                <w:highlight w:val="none"/>
              </w:rPr>
              <w:t>规定要求不符的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3.2</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其他措施费（费率类）项目</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与招标文件要求不符的</w:t>
            </w:r>
            <w:r>
              <w:rPr>
                <w:rFonts w:hint="eastAsia" w:ascii="仿宋" w:hAnsi="仿宋" w:eastAsia="仿宋" w:cs="仿宋"/>
                <w:color w:val="auto"/>
                <w:kern w:val="0"/>
                <w:sz w:val="21"/>
                <w:szCs w:val="21"/>
                <w:highlight w:val="none"/>
                <w:lang w:eastAsia="zh-CN"/>
              </w:rPr>
              <w:tab/>
            </w:r>
            <w:r>
              <w:rPr>
                <w:rFonts w:hint="eastAsia" w:ascii="仿宋" w:hAnsi="仿宋" w:eastAsia="仿宋" w:cs="仿宋"/>
                <w:color w:val="auto"/>
                <w:kern w:val="0"/>
                <w:sz w:val="21"/>
                <w:szCs w:val="21"/>
                <w:highlight w:val="none"/>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w:t>
            </w: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4.1</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其他</w:t>
            </w:r>
            <w:r>
              <w:rPr>
                <w:rFonts w:hint="eastAsia" w:ascii="仿宋" w:hAnsi="仿宋" w:eastAsia="仿宋" w:cs="仿宋"/>
                <w:color w:val="auto"/>
                <w:kern w:val="0"/>
                <w:sz w:val="21"/>
                <w:szCs w:val="21"/>
                <w:highlight w:val="none"/>
              </w:rPr>
              <w:t>项目费</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不等于各组成部分之和（暂列金额＋专业工程暂估价＋计日工费＋总承包服务费）且拒不按照评标委员会要求进行澄清、说明或者</w:t>
            </w:r>
            <w:r>
              <w:rPr>
                <w:rStyle w:val="132"/>
                <w:rFonts w:hint="eastAsia" w:ascii="仿宋" w:hAnsi="仿宋" w:eastAsia="仿宋" w:cs="仿宋"/>
                <w:b w:val="0"/>
                <w:bCs w:val="0"/>
                <w:color w:val="auto"/>
                <w:sz w:val="21"/>
                <w:szCs w:val="21"/>
                <w:highlight w:val="none"/>
                <w:lang w:eastAsia="zh-CN"/>
              </w:rPr>
              <w:t>修正</w:t>
            </w:r>
            <w:r>
              <w:rPr>
                <w:rFonts w:hint="eastAsia" w:ascii="仿宋" w:hAnsi="仿宋" w:eastAsia="仿宋" w:cs="仿宋"/>
                <w:color w:val="auto"/>
                <w:kern w:val="0"/>
                <w:sz w:val="21"/>
                <w:szCs w:val="21"/>
                <w:highlight w:val="none"/>
                <w:lang w:eastAsia="zh-CN"/>
              </w:rPr>
              <w:t>影响评标的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4.2</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暂列金额</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strike w:val="0"/>
                <w:dstrike w:val="0"/>
                <w:color w:val="auto"/>
                <w:kern w:val="0"/>
                <w:sz w:val="21"/>
                <w:szCs w:val="21"/>
                <w:highlight w:val="none"/>
              </w:rPr>
              <w:t>与招标</w:t>
            </w:r>
            <w:r>
              <w:rPr>
                <w:rFonts w:hint="eastAsia" w:ascii="仿宋" w:hAnsi="仿宋" w:eastAsia="仿宋" w:cs="仿宋"/>
                <w:color w:val="auto"/>
                <w:kern w:val="0"/>
                <w:sz w:val="21"/>
                <w:szCs w:val="21"/>
                <w:highlight w:val="none"/>
                <w:lang w:eastAsia="zh-CN"/>
              </w:rPr>
              <w:t>文件发布的</w:t>
            </w:r>
            <w:r>
              <w:rPr>
                <w:rFonts w:hint="eastAsia" w:ascii="仿宋" w:hAnsi="仿宋" w:eastAsia="仿宋" w:cs="仿宋"/>
                <w:strike w:val="0"/>
                <w:dstrike w:val="0"/>
                <w:color w:val="auto"/>
                <w:kern w:val="0"/>
                <w:sz w:val="21"/>
                <w:szCs w:val="21"/>
                <w:highlight w:val="none"/>
              </w:rPr>
              <w:t>金额</w:t>
            </w:r>
            <w:r>
              <w:rPr>
                <w:rFonts w:hint="eastAsia" w:ascii="仿宋" w:hAnsi="仿宋" w:eastAsia="仿宋" w:cs="仿宋"/>
                <w:strike w:val="0"/>
                <w:dstrike w:val="0"/>
                <w:color w:val="auto"/>
                <w:kern w:val="0"/>
                <w:sz w:val="21"/>
                <w:szCs w:val="21"/>
                <w:highlight w:val="none"/>
                <w:lang w:eastAsia="zh-CN"/>
              </w:rPr>
              <w:t>不</w:t>
            </w:r>
            <w:r>
              <w:rPr>
                <w:rFonts w:hint="eastAsia" w:ascii="仿宋" w:hAnsi="仿宋" w:eastAsia="仿宋" w:cs="仿宋"/>
                <w:strike w:val="0"/>
                <w:dstrike w:val="0"/>
                <w:color w:val="auto"/>
                <w:kern w:val="0"/>
                <w:sz w:val="21"/>
                <w:szCs w:val="21"/>
                <w:highlight w:val="none"/>
              </w:rPr>
              <w:t>一致</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4.3</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暂估价</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strike/>
                <w:dstrike w:val="0"/>
                <w:color w:val="auto"/>
                <w:kern w:val="0"/>
                <w:sz w:val="21"/>
                <w:szCs w:val="21"/>
                <w:highlight w:val="none"/>
                <w:lang w:eastAsia="zh-CN"/>
              </w:rPr>
            </w:pPr>
            <w:r>
              <w:rPr>
                <w:rFonts w:hint="eastAsia" w:ascii="仿宋" w:hAnsi="仿宋" w:eastAsia="仿宋" w:cs="仿宋"/>
                <w:strike w:val="0"/>
                <w:dstrike w:val="0"/>
                <w:color w:val="auto"/>
                <w:kern w:val="0"/>
                <w:sz w:val="21"/>
                <w:szCs w:val="21"/>
                <w:highlight w:val="none"/>
              </w:rPr>
              <w:t>与招标</w:t>
            </w:r>
            <w:r>
              <w:rPr>
                <w:rFonts w:hint="eastAsia" w:ascii="仿宋" w:hAnsi="仿宋" w:eastAsia="仿宋" w:cs="仿宋"/>
                <w:color w:val="auto"/>
                <w:kern w:val="0"/>
                <w:sz w:val="21"/>
                <w:szCs w:val="21"/>
                <w:highlight w:val="none"/>
                <w:lang w:eastAsia="zh-CN"/>
              </w:rPr>
              <w:t>文件发布的</w:t>
            </w:r>
            <w:r>
              <w:rPr>
                <w:rFonts w:hint="eastAsia" w:ascii="仿宋" w:hAnsi="仿宋" w:eastAsia="仿宋" w:cs="仿宋"/>
                <w:strike w:val="0"/>
                <w:dstrike w:val="0"/>
                <w:color w:val="auto"/>
                <w:kern w:val="0"/>
                <w:sz w:val="21"/>
                <w:szCs w:val="21"/>
                <w:highlight w:val="none"/>
              </w:rPr>
              <w:t>金额</w:t>
            </w:r>
            <w:r>
              <w:rPr>
                <w:rFonts w:hint="eastAsia" w:ascii="仿宋" w:hAnsi="仿宋" w:eastAsia="仿宋" w:cs="仿宋"/>
                <w:strike w:val="0"/>
                <w:dstrike w:val="0"/>
                <w:color w:val="auto"/>
                <w:kern w:val="0"/>
                <w:sz w:val="21"/>
                <w:szCs w:val="21"/>
                <w:highlight w:val="none"/>
                <w:lang w:eastAsia="zh-CN"/>
              </w:rPr>
              <w:t>不</w:t>
            </w:r>
            <w:r>
              <w:rPr>
                <w:rFonts w:hint="eastAsia" w:ascii="仿宋" w:hAnsi="仿宋" w:eastAsia="仿宋" w:cs="仿宋"/>
                <w:strike w:val="0"/>
                <w:dstrike w:val="0"/>
                <w:color w:val="auto"/>
                <w:kern w:val="0"/>
                <w:sz w:val="21"/>
                <w:szCs w:val="21"/>
                <w:highlight w:val="none"/>
              </w:rPr>
              <w:t>一致</w:t>
            </w:r>
            <w:r>
              <w:rPr>
                <w:rStyle w:val="132"/>
                <w:rFonts w:hint="eastAsia" w:ascii="仿宋" w:hAnsi="仿宋" w:eastAsia="仿宋" w:cs="仿宋"/>
                <w:b w:val="0"/>
                <w:bCs w:val="0"/>
                <w:color w:val="auto"/>
                <w:sz w:val="21"/>
                <w:szCs w:val="21"/>
                <w:highlight w:val="none"/>
                <w:lang w:eastAsia="zh-CN"/>
              </w:rPr>
              <w:t>的</w:t>
            </w:r>
            <w:r>
              <w:rPr>
                <w:rFonts w:hint="eastAsia" w:ascii="仿宋" w:hAnsi="仿宋" w:eastAsia="仿宋" w:cs="仿宋"/>
                <w:strike w:val="0"/>
                <w:dstrike w:val="0"/>
                <w:color w:val="auto"/>
                <w:kern w:val="0"/>
                <w:sz w:val="21"/>
                <w:szCs w:val="21"/>
                <w:highlight w:val="none"/>
                <w:lang w:eastAsia="zh-CN"/>
              </w:rPr>
              <w:t>（包括</w:t>
            </w:r>
            <w:r>
              <w:rPr>
                <w:rFonts w:hint="eastAsia" w:ascii="仿宋" w:hAnsi="仿宋" w:eastAsia="仿宋" w:cs="仿宋"/>
                <w:color w:val="auto"/>
                <w:kern w:val="0"/>
                <w:sz w:val="21"/>
                <w:szCs w:val="21"/>
                <w:highlight w:val="none"/>
                <w:lang w:eastAsia="zh-CN"/>
              </w:rPr>
              <w:t>材料暂估单价、工程设备暂估单价</w:t>
            </w:r>
            <w:r>
              <w:rPr>
                <w:rFonts w:hint="eastAsia" w:ascii="仿宋" w:hAnsi="仿宋" w:eastAsia="仿宋" w:cs="仿宋"/>
                <w:strike w:val="0"/>
                <w:dstrike w:val="0"/>
                <w:color w:val="auto"/>
                <w:kern w:val="0"/>
                <w:sz w:val="21"/>
                <w:szCs w:val="21"/>
                <w:highlight w:val="none"/>
                <w:lang w:eastAsia="zh-CN"/>
              </w:rPr>
              <w:t>和</w:t>
            </w:r>
            <w:r>
              <w:rPr>
                <w:rFonts w:hint="eastAsia" w:ascii="仿宋" w:hAnsi="仿宋" w:eastAsia="仿宋" w:cs="仿宋"/>
                <w:color w:val="auto"/>
                <w:kern w:val="0"/>
                <w:sz w:val="21"/>
                <w:szCs w:val="21"/>
                <w:highlight w:val="none"/>
              </w:rPr>
              <w:t>专业工程暂估价</w:t>
            </w:r>
            <w:r>
              <w:rPr>
                <w:rFonts w:hint="eastAsia" w:ascii="仿宋" w:hAnsi="仿宋" w:eastAsia="仿宋" w:cs="仿宋"/>
                <w:strike w:val="0"/>
                <w:dstrike w:val="0"/>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4.</w:t>
            </w:r>
            <w:r>
              <w:rPr>
                <w:rFonts w:hint="eastAsia" w:ascii="仿宋" w:hAnsi="仿宋" w:eastAsia="仿宋" w:cs="仿宋"/>
                <w:color w:val="auto"/>
                <w:kern w:val="0"/>
                <w:sz w:val="21"/>
                <w:szCs w:val="21"/>
                <w:highlight w:val="none"/>
                <w:lang w:val="en-US" w:eastAsia="zh-CN"/>
              </w:rPr>
              <w:t>4</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计日工</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与招标</w:t>
            </w:r>
            <w:r>
              <w:rPr>
                <w:rFonts w:hint="eastAsia" w:ascii="仿宋" w:hAnsi="仿宋" w:eastAsia="仿宋" w:cs="仿宋"/>
                <w:color w:val="auto"/>
                <w:kern w:val="0"/>
                <w:sz w:val="21"/>
                <w:szCs w:val="21"/>
                <w:highlight w:val="none"/>
                <w:lang w:eastAsia="zh-CN"/>
              </w:rPr>
              <w:t>文件发布的数量不</w:t>
            </w:r>
            <w:r>
              <w:rPr>
                <w:rFonts w:hint="eastAsia" w:ascii="仿宋" w:hAnsi="仿宋" w:eastAsia="仿宋" w:cs="仿宋"/>
                <w:color w:val="auto"/>
                <w:kern w:val="0"/>
                <w:sz w:val="21"/>
                <w:szCs w:val="21"/>
                <w:highlight w:val="none"/>
              </w:rPr>
              <w:t>一致</w:t>
            </w:r>
            <w:r>
              <w:rPr>
                <w:rStyle w:val="132"/>
                <w:rFonts w:hint="eastAsia" w:ascii="仿宋" w:hAnsi="仿宋" w:eastAsia="仿宋" w:cs="仿宋"/>
                <w:b w:val="0"/>
                <w:bCs w:val="0"/>
                <w:color w:val="auto"/>
                <w:sz w:val="21"/>
                <w:szCs w:val="21"/>
                <w:highlight w:val="none"/>
                <w:lang w:eastAsia="zh-CN"/>
              </w:rPr>
              <w:t>的</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lang w:val="en-US" w:eastAsia="zh-CN"/>
              </w:rPr>
              <w:t>计日工按照8小时工作制</w:t>
            </w:r>
            <w:r>
              <w:rPr>
                <w:rFonts w:hint="eastAsia" w:ascii="仿宋" w:hAnsi="仿宋" w:eastAsia="仿宋" w:cs="仿宋"/>
                <w:color w:val="auto"/>
                <w:kern w:val="0"/>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4.</w:t>
            </w:r>
            <w:r>
              <w:rPr>
                <w:rFonts w:hint="eastAsia" w:ascii="仿宋" w:hAnsi="仿宋" w:eastAsia="仿宋" w:cs="仿宋"/>
                <w:color w:val="auto"/>
                <w:kern w:val="0"/>
                <w:sz w:val="21"/>
                <w:szCs w:val="21"/>
                <w:highlight w:val="none"/>
                <w:lang w:val="en-US" w:eastAsia="zh-CN"/>
              </w:rPr>
              <w:t>5</w:t>
            </w: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rPr>
            </w:pPr>
            <w:r>
              <w:rPr>
                <w:rFonts w:hint="eastAsia" w:cs="仿宋"/>
                <w:color w:val="auto"/>
                <w:kern w:val="0"/>
                <w:sz w:val="21"/>
                <w:szCs w:val="21"/>
                <w:highlight w:val="none"/>
                <w:lang w:val="en-US" w:eastAsia="zh-CN"/>
              </w:rPr>
              <w:t>总</w:t>
            </w:r>
            <w:r>
              <w:rPr>
                <w:rFonts w:hint="eastAsia" w:ascii="仿宋" w:hAnsi="仿宋" w:eastAsia="仿宋" w:cs="仿宋"/>
                <w:color w:val="auto"/>
                <w:kern w:val="0"/>
                <w:sz w:val="21"/>
                <w:szCs w:val="21"/>
                <w:highlight w:val="none"/>
              </w:rPr>
              <w:t>承包服务费</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不符合</w:t>
            </w:r>
            <w:r>
              <w:rPr>
                <w:rFonts w:hint="eastAsia" w:ascii="仿宋" w:hAnsi="仿宋" w:eastAsia="仿宋" w:cs="仿宋"/>
                <w:color w:val="auto"/>
                <w:kern w:val="0"/>
                <w:sz w:val="21"/>
                <w:szCs w:val="21"/>
                <w:highlight w:val="none"/>
              </w:rPr>
              <w:t>招标文件</w:t>
            </w:r>
            <w:r>
              <w:rPr>
                <w:rFonts w:hint="eastAsia" w:ascii="仿宋" w:hAnsi="仿宋" w:eastAsia="仿宋" w:cs="仿宋"/>
                <w:color w:val="auto"/>
                <w:kern w:val="0"/>
                <w:sz w:val="21"/>
                <w:szCs w:val="21"/>
                <w:highlight w:val="none"/>
                <w:lang w:eastAsia="zh-CN"/>
              </w:rPr>
              <w:t>规定</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w:t>
            </w: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rPr>
            </w:pP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规费</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与河南省</w:t>
            </w:r>
            <w:r>
              <w:rPr>
                <w:rFonts w:hint="eastAsia" w:ascii="仿宋" w:hAnsi="仿宋" w:eastAsia="仿宋" w:cs="仿宋"/>
                <w:color w:val="auto"/>
                <w:sz w:val="21"/>
                <w:szCs w:val="21"/>
                <w:highlight w:val="none"/>
                <w:lang w:eastAsia="zh-CN"/>
              </w:rPr>
              <w:t>相</w:t>
            </w:r>
            <w:r>
              <w:rPr>
                <w:rFonts w:hint="eastAsia" w:ascii="仿宋" w:hAnsi="仿宋" w:eastAsia="仿宋" w:cs="仿宋"/>
                <w:color w:val="auto"/>
                <w:sz w:val="21"/>
                <w:szCs w:val="21"/>
                <w:highlight w:val="none"/>
              </w:rPr>
              <w:t>关规定要求不符的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4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w:t>
            </w: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rPr>
            </w:pP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税金</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与河南省</w:t>
            </w:r>
            <w:r>
              <w:rPr>
                <w:rFonts w:hint="eastAsia" w:ascii="仿宋" w:hAnsi="仿宋" w:eastAsia="仿宋" w:cs="仿宋"/>
                <w:color w:val="auto"/>
                <w:sz w:val="21"/>
                <w:szCs w:val="21"/>
                <w:highlight w:val="none"/>
                <w:lang w:eastAsia="zh-CN"/>
              </w:rPr>
              <w:t>相</w:t>
            </w:r>
            <w:r>
              <w:rPr>
                <w:rFonts w:hint="eastAsia" w:ascii="仿宋" w:hAnsi="仿宋" w:eastAsia="仿宋" w:cs="仿宋"/>
                <w:color w:val="auto"/>
                <w:sz w:val="21"/>
                <w:szCs w:val="21"/>
                <w:highlight w:val="none"/>
              </w:rPr>
              <w:t>关规定要求不符的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4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7</w:t>
            </w: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lang w:val="en-US" w:eastAsia="zh-CN"/>
              </w:rPr>
            </w:pPr>
          </w:p>
        </w:tc>
        <w:tc>
          <w:tcPr>
            <w:tcW w:w="29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电子投标文件的雷同性分析</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评标系统提示</w:t>
            </w:r>
            <w:r>
              <w:rPr>
                <w:rFonts w:hint="eastAsia" w:ascii="仿宋" w:hAnsi="仿宋" w:eastAsia="仿宋" w:cs="仿宋"/>
                <w:color w:val="auto"/>
                <w:kern w:val="0"/>
                <w:sz w:val="21"/>
                <w:szCs w:val="21"/>
                <w:highlight w:val="none"/>
                <w:lang w:val="en-US" w:eastAsia="zh-CN"/>
              </w:rPr>
              <w:t>不同投标人的电子投标文件的文件制作机器码或者文件创建标识码、已标价工程量清单的文件制作机器码或者文件创建标识码</w:t>
            </w:r>
            <w:r>
              <w:rPr>
                <w:rFonts w:hint="eastAsia" w:ascii="仿宋" w:hAnsi="仿宋" w:eastAsia="仿宋" w:cs="仿宋"/>
                <w:strike w:val="0"/>
                <w:dstrike w:val="0"/>
                <w:color w:val="auto"/>
                <w:kern w:val="0"/>
                <w:sz w:val="21"/>
                <w:szCs w:val="21"/>
                <w:highlight w:val="none"/>
                <w:lang w:val="en-US" w:eastAsia="zh-CN"/>
              </w:rPr>
              <w:t>、造价软件锁号、已标价工程量清单的软件加密锁使用人统一社会信用代码（或身份证号码）</w:t>
            </w:r>
            <w:r>
              <w:rPr>
                <w:rFonts w:hint="eastAsia" w:ascii="仿宋" w:hAnsi="仿宋" w:eastAsia="仿宋" w:cs="仿宋"/>
                <w:color w:val="auto"/>
                <w:kern w:val="0"/>
                <w:sz w:val="21"/>
                <w:szCs w:val="21"/>
                <w:highlight w:val="none"/>
                <w:lang w:val="en-US" w:eastAsia="zh-CN"/>
              </w:rPr>
              <w:t>等信息相同或一致</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w:t>
            </w: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b w:val="0"/>
                <w:bCs w:val="0"/>
                <w:color w:val="auto"/>
                <w:kern w:val="0"/>
                <w:sz w:val="21"/>
                <w:szCs w:val="21"/>
                <w:highlight w:val="none"/>
                <w:lang w:val="en-US" w:eastAsia="zh-CN"/>
              </w:rPr>
            </w:pPr>
            <w:r>
              <w:rPr>
                <w:rFonts w:hint="eastAsia" w:ascii="仿宋" w:hAnsi="仿宋" w:eastAsia="仿宋" w:cs="仿宋"/>
                <w:b w:val="0"/>
                <w:bCs w:val="0"/>
                <w:color w:val="auto"/>
                <w:kern w:val="0"/>
                <w:sz w:val="21"/>
                <w:szCs w:val="21"/>
                <w:highlight w:val="none"/>
                <w:lang w:val="en-US" w:eastAsia="zh-CN"/>
              </w:rPr>
              <w:t>8.1</w:t>
            </w:r>
          </w:p>
        </w:tc>
        <w:tc>
          <w:tcPr>
            <w:tcW w:w="294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对</w:t>
            </w:r>
            <w:r>
              <w:rPr>
                <w:rFonts w:hint="eastAsia" w:ascii="仿宋" w:hAnsi="仿宋" w:eastAsia="仿宋" w:cs="仿宋"/>
                <w:color w:val="auto"/>
                <w:kern w:val="0"/>
                <w:sz w:val="21"/>
                <w:szCs w:val="21"/>
                <w:highlight w:val="none"/>
                <w:lang w:eastAsia="zh-CN"/>
              </w:rPr>
              <w:t>招标</w:t>
            </w:r>
            <w:r>
              <w:rPr>
                <w:rFonts w:hint="eastAsia" w:ascii="仿宋" w:hAnsi="仿宋" w:eastAsia="仿宋" w:cs="仿宋"/>
                <w:color w:val="auto"/>
                <w:kern w:val="0"/>
                <w:sz w:val="21"/>
                <w:szCs w:val="21"/>
                <w:highlight w:val="none"/>
              </w:rPr>
              <w:t>文件的响应</w:t>
            </w:r>
            <w:r>
              <w:rPr>
                <w:rFonts w:hint="eastAsia" w:ascii="仿宋" w:hAnsi="仿宋" w:eastAsia="仿宋" w:cs="仿宋"/>
                <w:color w:val="auto"/>
                <w:kern w:val="0"/>
                <w:sz w:val="21"/>
                <w:szCs w:val="21"/>
                <w:highlight w:val="none"/>
                <w:lang w:eastAsia="zh-CN"/>
              </w:rPr>
              <w:t>、重大</w:t>
            </w:r>
            <w:r>
              <w:rPr>
                <w:rFonts w:hint="eastAsia" w:ascii="仿宋" w:hAnsi="仿宋" w:eastAsia="仿宋" w:cs="仿宋"/>
                <w:color w:val="auto"/>
                <w:kern w:val="0"/>
                <w:sz w:val="21"/>
                <w:szCs w:val="21"/>
                <w:highlight w:val="none"/>
              </w:rPr>
              <w:t>偏差</w:t>
            </w:r>
            <w:r>
              <w:rPr>
                <w:rFonts w:hint="eastAsia" w:ascii="仿宋" w:hAnsi="仿宋" w:eastAsia="仿宋" w:cs="仿宋"/>
                <w:color w:val="auto"/>
                <w:kern w:val="0"/>
                <w:sz w:val="21"/>
                <w:szCs w:val="21"/>
                <w:highlight w:val="none"/>
                <w:lang w:eastAsia="zh-CN"/>
              </w:rPr>
              <w:t>及</w:t>
            </w:r>
            <w:r>
              <w:rPr>
                <w:rFonts w:hint="eastAsia" w:ascii="仿宋" w:hAnsi="仿宋" w:eastAsia="仿宋" w:cs="仿宋"/>
                <w:color w:val="auto"/>
                <w:kern w:val="0"/>
                <w:sz w:val="21"/>
                <w:szCs w:val="21"/>
                <w:highlight w:val="none"/>
              </w:rPr>
              <w:t>违反法律、法规、规章、规范性文件规定的情况</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投标文件</w:t>
            </w:r>
            <w:r>
              <w:rPr>
                <w:rFonts w:hint="eastAsia" w:ascii="仿宋" w:hAnsi="仿宋" w:eastAsia="仿宋" w:cs="仿宋"/>
                <w:color w:val="auto"/>
                <w:kern w:val="0"/>
                <w:sz w:val="21"/>
                <w:szCs w:val="21"/>
                <w:highlight w:val="none"/>
                <w:lang w:val="en-US" w:eastAsia="zh-CN"/>
              </w:rPr>
              <w:t>不符合招标文件格式要求、</w:t>
            </w:r>
            <w:r>
              <w:rPr>
                <w:rFonts w:hint="eastAsia" w:ascii="仿宋" w:hAnsi="仿宋" w:eastAsia="仿宋" w:cs="仿宋"/>
                <w:color w:val="auto"/>
                <w:kern w:val="0"/>
                <w:sz w:val="21"/>
                <w:szCs w:val="21"/>
                <w:highlight w:val="none"/>
                <w:lang w:eastAsia="zh-CN"/>
              </w:rPr>
              <w:t>未加盖投标单位章、法定代表人（或委托代理人）签字</w:t>
            </w:r>
            <w:r>
              <w:rPr>
                <w:rFonts w:hint="eastAsia" w:ascii="仿宋" w:hAnsi="仿宋" w:eastAsia="仿宋" w:cs="仿宋"/>
                <w:color w:val="auto"/>
                <w:kern w:val="0"/>
                <w:sz w:val="21"/>
                <w:szCs w:val="21"/>
                <w:highlight w:val="none"/>
                <w:lang w:val="en-US"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b w:val="0"/>
                <w:bCs w:val="0"/>
                <w:color w:val="auto"/>
                <w:kern w:val="0"/>
                <w:sz w:val="21"/>
                <w:szCs w:val="21"/>
                <w:highlight w:val="none"/>
                <w:lang w:val="en-US" w:eastAsia="zh-CN"/>
              </w:rPr>
            </w:pPr>
            <w:r>
              <w:rPr>
                <w:rFonts w:hint="eastAsia" w:ascii="仿宋" w:hAnsi="仿宋" w:eastAsia="仿宋" w:cs="仿宋"/>
                <w:b w:val="0"/>
                <w:bCs w:val="0"/>
                <w:color w:val="auto"/>
                <w:kern w:val="0"/>
                <w:sz w:val="21"/>
                <w:szCs w:val="21"/>
                <w:highlight w:val="none"/>
                <w:lang w:val="en-US" w:eastAsia="zh-CN"/>
              </w:rPr>
              <w:t>8.2</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投标人不符合国家或者招标文件规定的</w:t>
            </w:r>
            <w:r>
              <w:rPr>
                <w:rFonts w:hint="eastAsia" w:ascii="仿宋" w:hAnsi="仿宋" w:eastAsia="仿宋" w:cs="仿宋"/>
                <w:color w:val="auto"/>
                <w:kern w:val="0"/>
                <w:sz w:val="21"/>
                <w:szCs w:val="21"/>
                <w:highlight w:val="none"/>
                <w:lang w:val="en-US" w:eastAsia="zh-CN"/>
              </w:rPr>
              <w:t>资质、</w:t>
            </w:r>
            <w:r>
              <w:rPr>
                <w:rFonts w:hint="eastAsia" w:ascii="仿宋" w:hAnsi="仿宋" w:eastAsia="仿宋" w:cs="仿宋"/>
                <w:color w:val="auto"/>
                <w:kern w:val="0"/>
                <w:sz w:val="21"/>
                <w:szCs w:val="21"/>
                <w:highlight w:val="none"/>
                <w:lang w:eastAsia="zh-CN"/>
              </w:rPr>
              <w:t>资格条件</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b w:val="0"/>
                <w:bCs w:val="0"/>
                <w:color w:val="auto"/>
                <w:kern w:val="0"/>
                <w:sz w:val="21"/>
                <w:szCs w:val="21"/>
                <w:highlight w:val="none"/>
                <w:lang w:val="en-US" w:eastAsia="zh-CN"/>
              </w:rPr>
            </w:pPr>
            <w:r>
              <w:rPr>
                <w:rFonts w:hint="eastAsia" w:ascii="仿宋" w:hAnsi="仿宋" w:eastAsia="仿宋" w:cs="仿宋"/>
                <w:b w:val="0"/>
                <w:bCs w:val="0"/>
                <w:color w:val="auto"/>
                <w:kern w:val="0"/>
                <w:sz w:val="21"/>
                <w:szCs w:val="21"/>
                <w:highlight w:val="none"/>
                <w:lang w:val="en-US" w:eastAsia="zh-CN"/>
              </w:rPr>
              <w:t>8.3</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投标联合体没有提交共同投标协议，共同投标协议未按招标文件规定的格式签署、提交，未明确联合体牵头人和各方拟承担的工作和责任</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8.4</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同一投标人提交两个以上不同的投标文件或者投标报价</w:t>
            </w:r>
            <w:r>
              <w:rPr>
                <w:rStyle w:val="132"/>
                <w:rFonts w:hint="eastAsia" w:ascii="仿宋" w:hAnsi="仿宋" w:eastAsia="仿宋" w:cs="仿宋"/>
                <w:b w:val="0"/>
                <w:bCs w:val="0"/>
                <w:color w:val="auto"/>
                <w:sz w:val="21"/>
                <w:szCs w:val="21"/>
                <w:highlight w:val="none"/>
                <w:lang w:eastAsia="zh-CN"/>
              </w:rPr>
              <w:t>的</w:t>
            </w:r>
            <w:r>
              <w:rPr>
                <w:rFonts w:hint="eastAsia" w:ascii="仿宋" w:hAnsi="仿宋" w:eastAsia="仿宋" w:cs="仿宋"/>
                <w:color w:val="auto"/>
                <w:kern w:val="0"/>
                <w:sz w:val="21"/>
                <w:szCs w:val="21"/>
                <w:highlight w:val="none"/>
                <w:lang w:eastAsia="zh-CN"/>
              </w:rPr>
              <w:t>，但招标文件要求提交备选投标的除外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8.5</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sz w:val="21"/>
                <w:szCs w:val="21"/>
                <w:highlight w:val="none"/>
              </w:rPr>
              <w:t>投标人名称与营业执照、资质证书、安全生产许可证不一致，或前述证照无效</w:t>
            </w:r>
            <w:r>
              <w:rPr>
                <w:rFonts w:hint="eastAsia" w:ascii="仿宋" w:hAnsi="仿宋" w:eastAsia="仿宋" w:cs="仿宋"/>
                <w:color w:val="auto"/>
                <w:sz w:val="21"/>
                <w:szCs w:val="21"/>
                <w:highlight w:val="none"/>
                <w:lang w:val="en-US"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8.6</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项目</w:t>
            </w:r>
            <w:r>
              <w:rPr>
                <w:rFonts w:hint="eastAsia" w:ascii="仿宋" w:hAnsi="仿宋" w:eastAsia="仿宋" w:cs="仿宋"/>
                <w:color w:val="auto"/>
                <w:sz w:val="21"/>
                <w:szCs w:val="21"/>
                <w:highlight w:val="none"/>
                <w:lang w:val="en-US" w:eastAsia="zh-CN"/>
              </w:rPr>
              <w:t>经理（建造师）</w:t>
            </w:r>
            <w:r>
              <w:rPr>
                <w:rFonts w:hint="eastAsia" w:ascii="仿宋" w:hAnsi="仿宋" w:eastAsia="仿宋" w:cs="仿宋"/>
                <w:color w:val="auto"/>
                <w:sz w:val="21"/>
                <w:szCs w:val="21"/>
                <w:highlight w:val="none"/>
              </w:rPr>
              <w:t>资格不符合招标文件规定的专业等级要求，或投标截止当日在其他项目担任项目</w:t>
            </w:r>
            <w:r>
              <w:rPr>
                <w:rFonts w:hint="eastAsia" w:ascii="仿宋" w:hAnsi="仿宋" w:eastAsia="仿宋" w:cs="仿宋"/>
                <w:color w:val="auto"/>
                <w:sz w:val="21"/>
                <w:szCs w:val="21"/>
                <w:highlight w:val="none"/>
                <w:lang w:val="en-US" w:eastAsia="zh-CN"/>
              </w:rPr>
              <w:t>经理（建造师）</w:t>
            </w:r>
            <w:r>
              <w:rPr>
                <w:rFonts w:hint="eastAsia" w:ascii="仿宋" w:hAnsi="仿宋" w:eastAsia="仿宋" w:cs="仿宋"/>
                <w:color w:val="auto"/>
                <w:sz w:val="21"/>
                <w:szCs w:val="21"/>
                <w:highlight w:val="none"/>
              </w:rPr>
              <w:t>（以合同签订日期为准）</w:t>
            </w:r>
            <w:r>
              <w:rPr>
                <w:rFonts w:hint="eastAsia" w:ascii="仿宋" w:hAnsi="仿宋" w:eastAsia="仿宋" w:cs="仿宋"/>
                <w:color w:val="auto"/>
                <w:sz w:val="21"/>
                <w:szCs w:val="21"/>
                <w:highlight w:val="none"/>
                <w:lang w:val="en-US" w:eastAsia="zh-CN"/>
              </w:rPr>
              <w:t>的</w:t>
            </w:r>
            <w:r>
              <w:rPr>
                <w:rFonts w:hint="eastAsia" w:ascii="仿宋" w:hAnsi="仿宋" w:eastAsia="仿宋" w:cs="仿宋"/>
                <w:color w:val="auto"/>
                <w:sz w:val="21"/>
                <w:szCs w:val="21"/>
                <w:highlight w:val="none"/>
              </w:rPr>
              <w:t>，同一工程相邻分段发包或分期施工的除外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8.7</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项目</w:t>
            </w:r>
            <w:r>
              <w:rPr>
                <w:rFonts w:hint="eastAsia" w:ascii="仿宋" w:hAnsi="仿宋" w:eastAsia="仿宋" w:cs="仿宋"/>
                <w:color w:val="auto"/>
                <w:sz w:val="21"/>
                <w:szCs w:val="21"/>
                <w:highlight w:val="none"/>
                <w:lang w:val="en-US" w:eastAsia="zh-CN"/>
              </w:rPr>
              <w:t>经理（建造师）</w:t>
            </w:r>
            <w:r>
              <w:rPr>
                <w:rFonts w:hint="eastAsia" w:ascii="仿宋" w:hAnsi="仿宋" w:eastAsia="仿宋" w:cs="仿宋"/>
                <w:color w:val="auto"/>
                <w:sz w:val="21"/>
                <w:szCs w:val="21"/>
                <w:highlight w:val="none"/>
              </w:rPr>
              <w:t>、技术负责人、安全负责人的社保非本单位缴纳（已退休的人员除外）</w:t>
            </w:r>
            <w:r>
              <w:rPr>
                <w:rFonts w:hint="eastAsia" w:ascii="仿宋" w:hAnsi="仿宋" w:eastAsia="仿宋" w:cs="仿宋"/>
                <w:color w:val="auto"/>
                <w:sz w:val="21"/>
                <w:szCs w:val="21"/>
                <w:highlight w:val="none"/>
                <w:lang w:val="en-US" w:eastAsia="zh-CN"/>
              </w:rPr>
              <w:t>的</w:t>
            </w:r>
            <w:r>
              <w:rPr>
                <w:rFonts w:hint="eastAsia" w:ascii="仿宋" w:hAnsi="仿宋" w:eastAsia="仿宋" w:cs="仿宋"/>
                <w:color w:val="auto"/>
                <w:sz w:val="21"/>
                <w:szCs w:val="21"/>
                <w:highlight w:val="none"/>
              </w:rPr>
              <w:t>。社保在单位分支机构（非独立法人）缴纳的视同本单位缴纳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8.8</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采用资格预审的项目，投标文件与资格预审申请文件的项目</w:t>
            </w:r>
            <w:r>
              <w:rPr>
                <w:rFonts w:hint="eastAsia" w:ascii="仿宋" w:hAnsi="仿宋" w:eastAsia="仿宋" w:cs="仿宋"/>
                <w:color w:val="auto"/>
                <w:sz w:val="21"/>
                <w:szCs w:val="21"/>
                <w:highlight w:val="none"/>
                <w:lang w:val="en-US" w:eastAsia="zh-CN"/>
              </w:rPr>
              <w:t>经理（建造师）</w:t>
            </w:r>
            <w:r>
              <w:rPr>
                <w:rFonts w:hint="eastAsia" w:ascii="仿宋" w:hAnsi="仿宋" w:eastAsia="仿宋" w:cs="仿宋"/>
                <w:color w:val="auto"/>
                <w:sz w:val="21"/>
                <w:szCs w:val="21"/>
                <w:highlight w:val="none"/>
              </w:rPr>
              <w:t>不一致（离职、死亡的除外）</w:t>
            </w:r>
            <w:r>
              <w:rPr>
                <w:rFonts w:hint="eastAsia" w:ascii="仿宋" w:hAnsi="仿宋" w:eastAsia="仿宋" w:cs="仿宋"/>
                <w:color w:val="auto"/>
                <w:sz w:val="21"/>
                <w:szCs w:val="21"/>
                <w:highlight w:val="none"/>
                <w:lang w:eastAsia="zh-CN"/>
              </w:rPr>
              <w:t>且未在投标截止时间前经招标人同意</w:t>
            </w:r>
            <w:r>
              <w:rPr>
                <w:rFonts w:hint="eastAsia" w:ascii="仿宋" w:hAnsi="仿宋" w:eastAsia="仿宋" w:cs="仿宋"/>
                <w:color w:val="auto"/>
                <w:sz w:val="21"/>
                <w:szCs w:val="21"/>
                <w:highlight w:val="none"/>
                <w:lang w:val="en-US"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8.9</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lang w:val="en-US" w:eastAsia="zh-CN"/>
              </w:rPr>
              <w:t>企业</w:t>
            </w:r>
            <w:r>
              <w:rPr>
                <w:rFonts w:hint="eastAsia" w:ascii="仿宋" w:hAnsi="仿宋" w:eastAsia="仿宋" w:cs="仿宋"/>
                <w:color w:val="auto"/>
                <w:sz w:val="21"/>
                <w:szCs w:val="21"/>
                <w:highlight w:val="none"/>
              </w:rPr>
              <w:t>、项目</w:t>
            </w:r>
            <w:r>
              <w:rPr>
                <w:rFonts w:hint="eastAsia" w:ascii="仿宋" w:hAnsi="仿宋" w:eastAsia="仿宋" w:cs="仿宋"/>
                <w:color w:val="auto"/>
                <w:sz w:val="21"/>
                <w:szCs w:val="21"/>
                <w:highlight w:val="none"/>
                <w:lang w:val="en-US" w:eastAsia="zh-CN"/>
              </w:rPr>
              <w:t>经理（建造师）</w:t>
            </w:r>
            <w:r>
              <w:rPr>
                <w:rFonts w:hint="eastAsia" w:ascii="仿宋" w:hAnsi="仿宋" w:eastAsia="仿宋" w:cs="仿宋"/>
                <w:color w:val="auto"/>
                <w:sz w:val="21"/>
                <w:szCs w:val="21"/>
                <w:highlight w:val="none"/>
              </w:rPr>
              <w:t>类似项目业绩不符合招标文件</w:t>
            </w:r>
            <w:r>
              <w:rPr>
                <w:rFonts w:hint="eastAsia" w:ascii="仿宋" w:hAnsi="仿宋" w:eastAsia="仿宋" w:cs="仿宋"/>
                <w:color w:val="auto"/>
                <w:sz w:val="21"/>
                <w:szCs w:val="21"/>
                <w:highlight w:val="none"/>
                <w:lang w:eastAsia="zh-CN"/>
              </w:rPr>
              <w:t>投标资格</w:t>
            </w:r>
            <w:r>
              <w:rPr>
                <w:rFonts w:hint="eastAsia" w:ascii="仿宋" w:hAnsi="仿宋" w:eastAsia="仿宋" w:cs="仿宋"/>
                <w:color w:val="auto"/>
                <w:sz w:val="21"/>
                <w:szCs w:val="21"/>
                <w:highlight w:val="none"/>
              </w:rPr>
              <w:t>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8.10</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投标人为招标人不具有独立法人资格的附属机构（单位）</w:t>
            </w:r>
            <w:r>
              <w:rPr>
                <w:rFonts w:hint="eastAsia" w:ascii="仿宋" w:hAnsi="仿宋" w:eastAsia="仿宋" w:cs="仿宋"/>
                <w:color w:val="auto"/>
                <w:sz w:val="21"/>
                <w:szCs w:val="21"/>
                <w:highlight w:val="none"/>
                <w:lang w:val="en-US"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8.11</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投标人与招标人存在利害关系且可能影响招标公正性</w:t>
            </w:r>
            <w:r>
              <w:rPr>
                <w:rFonts w:hint="eastAsia" w:ascii="仿宋" w:hAnsi="仿宋" w:eastAsia="仿宋" w:cs="仿宋"/>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8.12</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投标人与本招标项目的其他投标人为同一单位负责人</w:t>
            </w:r>
            <w:r>
              <w:rPr>
                <w:rFonts w:hint="eastAsia" w:ascii="仿宋" w:hAnsi="仿宋" w:eastAsia="仿宋" w:cs="仿宋"/>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8.13</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投标人与本招标项目的其他投标人存在控股、管理关系</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8.14</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投标人为本招标项目的代建单位</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招标代理机构</w:t>
            </w:r>
            <w:r>
              <w:rPr>
                <w:rFonts w:hint="eastAsia" w:ascii="仿宋" w:hAnsi="仿宋" w:eastAsia="仿宋" w:cs="仿宋"/>
                <w:color w:val="auto"/>
                <w:sz w:val="21"/>
                <w:szCs w:val="21"/>
                <w:highlight w:val="none"/>
                <w:lang w:eastAsia="zh-CN"/>
              </w:rPr>
              <w:t>或</w:t>
            </w:r>
            <w:r>
              <w:rPr>
                <w:rFonts w:hint="eastAsia" w:ascii="仿宋" w:hAnsi="仿宋" w:eastAsia="仿宋" w:cs="仿宋"/>
                <w:color w:val="auto"/>
                <w:sz w:val="21"/>
                <w:szCs w:val="21"/>
                <w:highlight w:val="none"/>
              </w:rPr>
              <w:t>承担设计、造价咨询、监理业务的单位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8.15</w:t>
            </w:r>
          </w:p>
        </w:tc>
        <w:tc>
          <w:tcPr>
            <w:tcW w:w="294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对</w:t>
            </w:r>
            <w:r>
              <w:rPr>
                <w:rFonts w:hint="eastAsia" w:ascii="仿宋" w:hAnsi="仿宋" w:eastAsia="仿宋" w:cs="仿宋"/>
                <w:color w:val="auto"/>
                <w:kern w:val="0"/>
                <w:sz w:val="21"/>
                <w:szCs w:val="21"/>
                <w:highlight w:val="none"/>
                <w:lang w:eastAsia="zh-CN"/>
              </w:rPr>
              <w:t>招标</w:t>
            </w:r>
            <w:r>
              <w:rPr>
                <w:rFonts w:hint="eastAsia" w:ascii="仿宋" w:hAnsi="仿宋" w:eastAsia="仿宋" w:cs="仿宋"/>
                <w:color w:val="auto"/>
                <w:kern w:val="0"/>
                <w:sz w:val="21"/>
                <w:szCs w:val="21"/>
                <w:highlight w:val="none"/>
              </w:rPr>
              <w:t>文件的响应</w:t>
            </w:r>
            <w:r>
              <w:rPr>
                <w:rFonts w:hint="eastAsia" w:ascii="仿宋" w:hAnsi="仿宋" w:eastAsia="仿宋" w:cs="仿宋"/>
                <w:color w:val="auto"/>
                <w:kern w:val="0"/>
                <w:sz w:val="21"/>
                <w:szCs w:val="21"/>
                <w:highlight w:val="none"/>
                <w:lang w:eastAsia="zh-CN"/>
              </w:rPr>
              <w:t>、重大</w:t>
            </w:r>
            <w:r>
              <w:rPr>
                <w:rFonts w:hint="eastAsia" w:ascii="仿宋" w:hAnsi="仿宋" w:eastAsia="仿宋" w:cs="仿宋"/>
                <w:color w:val="auto"/>
                <w:kern w:val="0"/>
                <w:sz w:val="21"/>
                <w:szCs w:val="21"/>
                <w:highlight w:val="none"/>
              </w:rPr>
              <w:t>偏差</w:t>
            </w:r>
            <w:r>
              <w:rPr>
                <w:rFonts w:hint="eastAsia" w:ascii="仿宋" w:hAnsi="仿宋" w:eastAsia="仿宋" w:cs="仿宋"/>
                <w:color w:val="auto"/>
                <w:kern w:val="0"/>
                <w:sz w:val="21"/>
                <w:szCs w:val="21"/>
                <w:highlight w:val="none"/>
                <w:lang w:eastAsia="zh-CN"/>
              </w:rPr>
              <w:t>及</w:t>
            </w:r>
            <w:r>
              <w:rPr>
                <w:rFonts w:hint="eastAsia" w:ascii="仿宋" w:hAnsi="仿宋" w:eastAsia="仿宋" w:cs="仿宋"/>
                <w:color w:val="auto"/>
                <w:kern w:val="0"/>
                <w:sz w:val="21"/>
                <w:szCs w:val="21"/>
                <w:highlight w:val="none"/>
              </w:rPr>
              <w:t>违反法律、法规、规章、规范性文件规定的情况</w:t>
            </w: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投标人与本招标项目的代建单位、招标代理机构、设计单位、造价咨询机构、监理单位的法定代表人为同一人</w:t>
            </w:r>
            <w:r>
              <w:rPr>
                <w:rFonts w:hint="eastAsia" w:ascii="仿宋" w:hAnsi="仿宋" w:eastAsia="仿宋" w:cs="仿宋"/>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8.16</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投标人与本招标项目的代建单位、招标代理机构、造价咨询机构、监理单位存在管理关系、相互控股或参股关系</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8.17</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投标人被依法暂停或取消</w:t>
            </w:r>
            <w:r>
              <w:rPr>
                <w:rFonts w:hint="eastAsia" w:ascii="仿宋" w:hAnsi="仿宋" w:eastAsia="仿宋" w:cs="仿宋"/>
                <w:color w:val="auto"/>
                <w:sz w:val="21"/>
                <w:szCs w:val="21"/>
                <w:highlight w:val="none"/>
                <w:lang w:eastAsia="zh-CN"/>
              </w:rPr>
              <w:t>项目所在区域或行业</w:t>
            </w:r>
            <w:r>
              <w:rPr>
                <w:rFonts w:hint="eastAsia" w:ascii="仿宋" w:hAnsi="仿宋" w:eastAsia="仿宋" w:cs="仿宋"/>
                <w:color w:val="auto"/>
                <w:sz w:val="21"/>
                <w:szCs w:val="21"/>
                <w:highlight w:val="none"/>
              </w:rPr>
              <w:t>投标资格</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8.18</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投标人被责令停业，暂扣或吊销执照，或吊销资质证书</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8.19</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投标人进入清算程序，或被宣告破产，或其他丧失履约能力情形的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8.20</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lang w:val="en-US" w:eastAsia="zh-CN"/>
              </w:rPr>
              <w:t>投标人或拟派项目经理被列入建筑市场主体“黑名单”且在管理期限内的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8.21</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both"/>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投标人被市场监管机关在国家企业信用信息公示系统中列入严重违法失信企业名单</w:t>
            </w:r>
            <w:r>
              <w:rPr>
                <w:rFonts w:hint="eastAsia" w:ascii="仿宋" w:hAnsi="仿宋" w:eastAsia="仿宋" w:cs="仿宋"/>
                <w:color w:val="auto"/>
                <w:sz w:val="21"/>
                <w:szCs w:val="21"/>
                <w:highlight w:val="none"/>
                <w:lang w:val="en-US" w:eastAsia="zh-CN"/>
              </w:rPr>
              <w:t>且在管理期限内的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8.22</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投标人或其法定代表人、拟委任的项目</w:t>
            </w:r>
            <w:r>
              <w:rPr>
                <w:rFonts w:hint="eastAsia" w:ascii="仿宋" w:hAnsi="仿宋" w:eastAsia="仿宋" w:cs="仿宋"/>
                <w:color w:val="auto"/>
                <w:sz w:val="21"/>
                <w:szCs w:val="21"/>
                <w:highlight w:val="none"/>
                <w:lang w:eastAsia="zh-CN"/>
              </w:rPr>
              <w:t>经理</w:t>
            </w:r>
            <w:r>
              <w:rPr>
                <w:rFonts w:hint="eastAsia" w:ascii="仿宋" w:hAnsi="仿宋" w:eastAsia="仿宋" w:cs="仿宋"/>
                <w:color w:val="auto"/>
                <w:sz w:val="21"/>
                <w:szCs w:val="21"/>
                <w:highlight w:val="none"/>
              </w:rPr>
              <w:t>在“信用中国”网站重点领域严重失信主体名单中被限制或者禁止参与招标投标活动的“严重失信主体”且在</w:t>
            </w:r>
            <w:r>
              <w:rPr>
                <w:rFonts w:hint="eastAsia" w:ascii="仿宋" w:hAnsi="仿宋" w:eastAsia="仿宋" w:cs="仿宋"/>
                <w:color w:val="auto"/>
                <w:sz w:val="21"/>
                <w:szCs w:val="21"/>
                <w:highlight w:val="none"/>
                <w:lang w:eastAsia="zh-CN"/>
              </w:rPr>
              <w:t>管理期限</w:t>
            </w:r>
            <w:r>
              <w:rPr>
                <w:rFonts w:hint="eastAsia" w:ascii="仿宋" w:hAnsi="仿宋" w:eastAsia="仿宋" w:cs="仿宋"/>
                <w:color w:val="auto"/>
                <w:sz w:val="21"/>
                <w:szCs w:val="21"/>
                <w:highlight w:val="none"/>
              </w:rPr>
              <w:t>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8.23</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投标人拖欠工人工资，情节严重被</w:t>
            </w:r>
            <w:r>
              <w:rPr>
                <w:rFonts w:hint="eastAsia" w:ascii="仿宋" w:hAnsi="仿宋" w:eastAsia="仿宋" w:cs="仿宋"/>
                <w:color w:val="auto"/>
                <w:sz w:val="21"/>
                <w:szCs w:val="21"/>
                <w:highlight w:val="none"/>
                <w:lang w:eastAsia="zh-CN"/>
              </w:rPr>
              <w:t>有关</w:t>
            </w:r>
            <w:r>
              <w:rPr>
                <w:rFonts w:hint="eastAsia" w:ascii="仿宋" w:hAnsi="仿宋" w:eastAsia="仿宋" w:cs="仿宋"/>
                <w:color w:val="auto"/>
                <w:sz w:val="21"/>
                <w:szCs w:val="21"/>
                <w:highlight w:val="none"/>
              </w:rPr>
              <w:t>行政</w:t>
            </w:r>
            <w:r>
              <w:rPr>
                <w:rFonts w:hint="eastAsia" w:ascii="仿宋" w:hAnsi="仿宋" w:eastAsia="仿宋" w:cs="仿宋"/>
                <w:color w:val="auto"/>
                <w:sz w:val="21"/>
                <w:szCs w:val="21"/>
                <w:highlight w:val="none"/>
                <w:lang w:eastAsia="zh-CN"/>
              </w:rPr>
              <w:t>主管</w:t>
            </w:r>
            <w:r>
              <w:rPr>
                <w:rFonts w:hint="eastAsia" w:ascii="仿宋" w:hAnsi="仿宋" w:eastAsia="仿宋" w:cs="仿宋"/>
                <w:color w:val="auto"/>
                <w:sz w:val="21"/>
                <w:szCs w:val="21"/>
                <w:highlight w:val="none"/>
              </w:rPr>
              <w:t>部门向社会公布且在公布的期限内</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8.24</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投标人违反法律、法规、规章或无正当理由放弃中标资格受到行业主管部门处罚且在处罚期内的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8.25</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eastAsia="zh-CN"/>
              </w:rPr>
              <w:t>投标报价低于成本且不能提供相关证明材料，或者提交的相关材料无法证明投标人可以按照其报价以及招标文件规定的质量标准和履行期限完成招标项目的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8.26</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eastAsia="zh-CN"/>
              </w:rPr>
              <w:t>投标文件</w:t>
            </w:r>
            <w:r>
              <w:rPr>
                <w:rFonts w:hint="eastAsia" w:ascii="仿宋" w:hAnsi="仿宋" w:eastAsia="仿宋" w:cs="仿宋"/>
                <w:color w:val="auto"/>
                <w:kern w:val="0"/>
                <w:sz w:val="21"/>
                <w:szCs w:val="21"/>
                <w:highlight w:val="none"/>
              </w:rPr>
              <w:t>没有按照招标文件要求提供投标</w:t>
            </w:r>
            <w:r>
              <w:rPr>
                <w:rFonts w:hint="eastAsia" w:ascii="仿宋" w:hAnsi="仿宋" w:eastAsia="仿宋" w:cs="仿宋"/>
                <w:color w:val="auto"/>
                <w:kern w:val="0"/>
                <w:sz w:val="21"/>
                <w:szCs w:val="21"/>
                <w:highlight w:val="none"/>
                <w:lang w:eastAsia="zh-CN"/>
              </w:rPr>
              <w:t>保证，</w:t>
            </w:r>
            <w:r>
              <w:rPr>
                <w:rFonts w:hint="eastAsia" w:ascii="仿宋" w:hAnsi="仿宋" w:eastAsia="仿宋" w:cs="仿宋"/>
                <w:color w:val="auto"/>
                <w:kern w:val="0"/>
                <w:sz w:val="21"/>
                <w:szCs w:val="21"/>
                <w:highlight w:val="none"/>
              </w:rPr>
              <w:t>或者所提供的投标</w:t>
            </w:r>
            <w:r>
              <w:rPr>
                <w:rFonts w:hint="eastAsia" w:ascii="仿宋" w:hAnsi="仿宋" w:eastAsia="仿宋" w:cs="仿宋"/>
                <w:color w:val="auto"/>
                <w:kern w:val="0"/>
                <w:sz w:val="21"/>
                <w:szCs w:val="21"/>
                <w:highlight w:val="none"/>
                <w:lang w:eastAsia="zh-CN"/>
              </w:rPr>
              <w:t>保证</w:t>
            </w:r>
            <w:r>
              <w:rPr>
                <w:rFonts w:hint="eastAsia" w:ascii="仿宋" w:hAnsi="仿宋" w:eastAsia="仿宋" w:cs="仿宋"/>
                <w:color w:val="auto"/>
                <w:kern w:val="0"/>
                <w:sz w:val="21"/>
                <w:szCs w:val="21"/>
                <w:highlight w:val="none"/>
              </w:rPr>
              <w:t>有瑕疵</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8.27</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lang w:eastAsia="zh-CN"/>
              </w:rPr>
              <w:t>对投</w:t>
            </w:r>
            <w:r>
              <w:rPr>
                <w:rFonts w:hint="eastAsia" w:ascii="仿宋" w:hAnsi="仿宋" w:eastAsia="仿宋" w:cs="仿宋"/>
                <w:color w:val="auto"/>
                <w:kern w:val="0"/>
                <w:sz w:val="21"/>
                <w:szCs w:val="21"/>
                <w:highlight w:val="none"/>
              </w:rPr>
              <w:t>标项目</w:t>
            </w:r>
            <w:r>
              <w:rPr>
                <w:rFonts w:hint="eastAsia" w:ascii="仿宋" w:hAnsi="仿宋" w:eastAsia="仿宋" w:cs="仿宋"/>
                <w:color w:val="auto"/>
                <w:kern w:val="0"/>
                <w:sz w:val="21"/>
                <w:szCs w:val="21"/>
                <w:highlight w:val="none"/>
                <w:lang w:eastAsia="zh-CN"/>
              </w:rPr>
              <w:t>工期承诺</w:t>
            </w:r>
            <w:r>
              <w:rPr>
                <w:rFonts w:hint="eastAsia" w:ascii="仿宋" w:hAnsi="仿宋" w:eastAsia="仿宋" w:cs="仿宋"/>
                <w:color w:val="auto"/>
                <w:kern w:val="0"/>
                <w:sz w:val="21"/>
                <w:szCs w:val="21"/>
                <w:highlight w:val="none"/>
              </w:rPr>
              <w:t>超过招标文件规定的完成期限</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8.28</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eastAsia="zh-CN"/>
              </w:rPr>
              <w:t>对投标项目的</w:t>
            </w:r>
            <w:r>
              <w:rPr>
                <w:rFonts w:hint="eastAsia" w:ascii="仿宋" w:hAnsi="仿宋" w:eastAsia="仿宋" w:cs="仿宋"/>
                <w:color w:val="auto"/>
                <w:sz w:val="21"/>
                <w:szCs w:val="21"/>
                <w:highlight w:val="none"/>
              </w:rPr>
              <w:t>质量</w:t>
            </w:r>
            <w:r>
              <w:rPr>
                <w:rFonts w:hint="eastAsia" w:ascii="仿宋" w:hAnsi="仿宋" w:eastAsia="仿宋" w:cs="仿宋"/>
                <w:color w:val="auto"/>
                <w:sz w:val="21"/>
                <w:szCs w:val="21"/>
                <w:highlight w:val="none"/>
                <w:lang w:eastAsia="zh-CN"/>
              </w:rPr>
              <w:t>承诺</w:t>
            </w:r>
            <w:r>
              <w:rPr>
                <w:rFonts w:hint="eastAsia" w:ascii="仿宋" w:hAnsi="仿宋" w:eastAsia="仿宋" w:cs="仿宋"/>
                <w:color w:val="auto"/>
                <w:sz w:val="21"/>
                <w:szCs w:val="21"/>
                <w:highlight w:val="none"/>
              </w:rPr>
              <w:t>不满足招标文件规定</w:t>
            </w:r>
            <w:r>
              <w:rPr>
                <w:rFonts w:hint="eastAsia" w:ascii="仿宋" w:hAnsi="仿宋" w:eastAsia="仿宋" w:cs="仿宋"/>
                <w:color w:val="auto"/>
                <w:sz w:val="21"/>
                <w:szCs w:val="21"/>
                <w:highlight w:val="none"/>
                <w:lang w:eastAsia="zh-CN"/>
              </w:rPr>
              <w:t>要求</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8.29</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0"/>
                <w:sz w:val="21"/>
                <w:szCs w:val="21"/>
                <w:highlight w:val="none"/>
                <w:lang w:eastAsia="zh-CN"/>
              </w:rPr>
              <w:t>技术标违反国家强制性标准</w:t>
            </w:r>
            <w:r>
              <w:rPr>
                <w:rFonts w:hint="eastAsia" w:ascii="仿宋" w:hAnsi="仿宋" w:eastAsia="仿宋" w:cs="仿宋"/>
                <w:color w:val="auto"/>
                <w:kern w:val="0"/>
                <w:sz w:val="21"/>
                <w:szCs w:val="21"/>
                <w:highlight w:val="none"/>
              </w:rPr>
              <w:t>要求</w:t>
            </w:r>
            <w:r>
              <w:rPr>
                <w:rStyle w:val="132"/>
                <w:rFonts w:hint="eastAsia" w:ascii="仿宋" w:hAnsi="仿宋" w:eastAsia="仿宋" w:cs="仿宋"/>
                <w:b w:val="0"/>
                <w:bCs w:val="0"/>
                <w:color w:val="auto"/>
                <w:sz w:val="21"/>
                <w:szCs w:val="21"/>
                <w:highlight w:val="none"/>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8.30</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lang w:val="en-US" w:eastAsia="zh-CN"/>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投标人</w:t>
            </w:r>
            <w:r>
              <w:rPr>
                <w:rStyle w:val="132"/>
                <w:rFonts w:hint="eastAsia" w:ascii="仿宋" w:hAnsi="仿宋" w:eastAsia="仿宋" w:cs="仿宋"/>
                <w:b w:val="0"/>
                <w:bCs w:val="0"/>
                <w:color w:val="auto"/>
                <w:sz w:val="21"/>
                <w:szCs w:val="21"/>
                <w:highlight w:val="none"/>
              </w:rPr>
              <w:t>拒不按照</w:t>
            </w:r>
            <w:r>
              <w:rPr>
                <w:rFonts w:hint="eastAsia" w:ascii="仿宋" w:hAnsi="仿宋" w:eastAsia="仿宋" w:cs="仿宋"/>
                <w:color w:val="auto"/>
                <w:sz w:val="21"/>
                <w:szCs w:val="21"/>
                <w:highlight w:val="none"/>
              </w:rPr>
              <w:t>评标委员会</w:t>
            </w:r>
            <w:r>
              <w:rPr>
                <w:rStyle w:val="132"/>
                <w:rFonts w:hint="eastAsia" w:ascii="仿宋" w:hAnsi="仿宋" w:eastAsia="仿宋" w:cs="仿宋"/>
                <w:b w:val="0"/>
                <w:bCs w:val="0"/>
                <w:color w:val="auto"/>
                <w:sz w:val="21"/>
                <w:szCs w:val="21"/>
                <w:highlight w:val="none"/>
              </w:rPr>
              <w:t>要求对投标文件进行澄清、说明或者补正</w:t>
            </w:r>
            <w:r>
              <w:rPr>
                <w:rStyle w:val="132"/>
                <w:rFonts w:hint="eastAsia" w:ascii="仿宋" w:hAnsi="仿宋" w:eastAsia="仿宋" w:cs="仿宋"/>
                <w:b w:val="0"/>
                <w:bCs w:val="0"/>
                <w:color w:val="auto"/>
                <w:sz w:val="21"/>
                <w:szCs w:val="21"/>
                <w:highlight w:val="none"/>
                <w:lang w:eastAsia="zh-CN"/>
              </w:rPr>
              <w:t>，影响评标的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kern w:val="0"/>
                <w:sz w:val="21"/>
                <w:szCs w:val="21"/>
                <w:highlight w:val="none"/>
                <w:lang w:val="en-US" w:eastAsia="zh-CN"/>
              </w:rPr>
            </w:pPr>
          </w:p>
        </w:tc>
        <w:tc>
          <w:tcPr>
            <w:tcW w:w="6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8.31</w:t>
            </w:r>
          </w:p>
        </w:tc>
        <w:tc>
          <w:tcPr>
            <w:tcW w:w="294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kern w:val="0"/>
                <w:sz w:val="21"/>
                <w:szCs w:val="21"/>
                <w:highlight w:val="none"/>
              </w:rPr>
            </w:pPr>
          </w:p>
        </w:tc>
        <w:tc>
          <w:tcPr>
            <w:tcW w:w="53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 w:val="21"/>
                <w:szCs w:val="21"/>
                <w:highlight w:val="none"/>
              </w:rPr>
              <w:t>投标人在本</w:t>
            </w:r>
            <w:r>
              <w:rPr>
                <w:rFonts w:hint="eastAsia" w:ascii="仿宋" w:hAnsi="仿宋" w:eastAsia="仿宋" w:cs="仿宋"/>
                <w:color w:val="auto"/>
                <w:sz w:val="21"/>
                <w:szCs w:val="21"/>
                <w:highlight w:val="none"/>
                <w:lang w:eastAsia="zh-CN"/>
              </w:rPr>
              <w:t>次投标活动中</w:t>
            </w:r>
            <w:r>
              <w:rPr>
                <w:rFonts w:hint="eastAsia" w:ascii="仿宋" w:hAnsi="仿宋" w:eastAsia="仿宋" w:cs="仿宋"/>
                <w:color w:val="auto"/>
                <w:sz w:val="21"/>
                <w:szCs w:val="21"/>
                <w:highlight w:val="none"/>
              </w:rPr>
              <w:t>有串通投标、弄虚作假、行贿等违法行为</w:t>
            </w:r>
            <w:r>
              <w:rPr>
                <w:rStyle w:val="132"/>
                <w:rFonts w:hint="eastAsia" w:ascii="仿宋" w:hAnsi="仿宋" w:eastAsia="仿宋" w:cs="仿宋"/>
                <w:b w:val="0"/>
                <w:bCs w:val="0"/>
                <w:color w:val="auto"/>
                <w:sz w:val="21"/>
                <w:szCs w:val="21"/>
                <w:highlight w:val="none"/>
                <w:lang w:eastAsia="zh-CN"/>
              </w:rPr>
              <w:t>的</w:t>
            </w: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注：</w:t>
      </w:r>
    </w:p>
    <w:p>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1.不在上述范围内且不具有实质性影响的内容，一般不作为否决投标的依据或理由。</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2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kern w:val="0"/>
          <w:sz w:val="21"/>
          <w:szCs w:val="21"/>
          <w:highlight w:val="none"/>
          <w:lang w:val="en-US" w:eastAsia="zh-CN"/>
        </w:rPr>
        <w:t>2.为便于评审，招标人应按照8.14、8.15、8.16的规定在招标文件中明确</w:t>
      </w:r>
      <w:r>
        <w:rPr>
          <w:rFonts w:hint="eastAsia" w:ascii="仿宋" w:hAnsi="仿宋" w:eastAsia="仿宋" w:cs="仿宋"/>
          <w:color w:val="auto"/>
          <w:sz w:val="21"/>
          <w:szCs w:val="21"/>
          <w:highlight w:val="none"/>
        </w:rPr>
        <w:t>本招标项目的代建单位</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招标代理机构</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设计单位、造价咨询</w:t>
      </w:r>
      <w:r>
        <w:rPr>
          <w:rFonts w:hint="eastAsia" w:ascii="仿宋" w:hAnsi="仿宋" w:eastAsia="仿宋" w:cs="仿宋"/>
          <w:color w:val="auto"/>
          <w:sz w:val="21"/>
          <w:szCs w:val="21"/>
          <w:highlight w:val="none"/>
          <w:lang w:eastAsia="zh-CN"/>
        </w:rPr>
        <w:t>单位</w:t>
      </w:r>
      <w:r>
        <w:rPr>
          <w:rFonts w:hint="eastAsia" w:ascii="仿宋" w:hAnsi="仿宋" w:eastAsia="仿宋" w:cs="仿宋"/>
          <w:color w:val="auto"/>
          <w:sz w:val="21"/>
          <w:szCs w:val="21"/>
          <w:highlight w:val="none"/>
        </w:rPr>
        <w:t>、监理</w:t>
      </w:r>
      <w:r>
        <w:rPr>
          <w:rFonts w:hint="eastAsia" w:ascii="仿宋" w:hAnsi="仿宋" w:eastAsia="仿宋" w:cs="仿宋"/>
          <w:color w:val="auto"/>
          <w:sz w:val="21"/>
          <w:szCs w:val="21"/>
          <w:highlight w:val="none"/>
          <w:lang w:eastAsia="zh-CN"/>
        </w:rPr>
        <w:t>单位</w:t>
      </w:r>
      <w:r>
        <w:rPr>
          <w:rFonts w:hint="eastAsia" w:ascii="仿宋" w:hAnsi="仿宋" w:eastAsia="仿宋" w:cs="仿宋"/>
          <w:color w:val="auto"/>
          <w:sz w:val="21"/>
          <w:szCs w:val="21"/>
          <w:highlight w:val="none"/>
        </w:rPr>
        <w:t>的</w:t>
      </w:r>
      <w:r>
        <w:rPr>
          <w:rFonts w:hint="eastAsia" w:ascii="仿宋" w:hAnsi="仿宋" w:eastAsia="仿宋" w:cs="仿宋"/>
          <w:color w:val="auto"/>
          <w:sz w:val="21"/>
          <w:szCs w:val="21"/>
          <w:highlight w:val="none"/>
          <w:lang w:eastAsia="zh-CN"/>
        </w:rPr>
        <w:t>信息。</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200"/>
        <w:textAlignment w:val="auto"/>
        <w:rPr>
          <w:rFonts w:hint="eastAsia" w:cs="仿宋"/>
          <w:color w:val="auto"/>
          <w:sz w:val="21"/>
          <w:szCs w:val="21"/>
          <w:highlight w:val="none"/>
          <w:lang w:val="en-US" w:eastAsia="zh-CN"/>
        </w:rPr>
      </w:pPr>
      <w:r>
        <w:rPr>
          <w:rFonts w:hint="eastAsia" w:cs="仿宋"/>
          <w:color w:val="auto"/>
          <w:sz w:val="21"/>
          <w:szCs w:val="21"/>
          <w:highlight w:val="none"/>
          <w:lang w:val="en-US" w:eastAsia="zh-CN"/>
        </w:rPr>
        <w:t>代建单位：无</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200"/>
        <w:textAlignment w:val="auto"/>
        <w:rPr>
          <w:rFonts w:hint="eastAsia" w:cs="仿宋"/>
          <w:color w:val="auto"/>
          <w:sz w:val="21"/>
          <w:szCs w:val="21"/>
          <w:highlight w:val="none"/>
          <w:lang w:val="en-US" w:eastAsia="zh-CN"/>
        </w:rPr>
      </w:pPr>
      <w:r>
        <w:rPr>
          <w:rFonts w:hint="eastAsia" w:ascii="仿宋" w:hAnsi="仿宋" w:eastAsia="仿宋" w:cs="仿宋"/>
          <w:color w:val="auto"/>
          <w:sz w:val="21"/>
          <w:szCs w:val="21"/>
          <w:highlight w:val="none"/>
        </w:rPr>
        <w:t>招标代理机构</w:t>
      </w:r>
      <w:r>
        <w:rPr>
          <w:rFonts w:hint="eastAsia" w:cs="仿宋"/>
          <w:color w:val="auto"/>
          <w:sz w:val="21"/>
          <w:szCs w:val="21"/>
          <w:highlight w:val="none"/>
          <w:lang w:eastAsia="zh-CN"/>
        </w:rPr>
        <w:t>：</w:t>
      </w:r>
      <w:r>
        <w:rPr>
          <w:rFonts w:hint="eastAsia" w:cs="仿宋"/>
          <w:color w:val="auto"/>
          <w:sz w:val="21"/>
          <w:szCs w:val="21"/>
          <w:highlight w:val="none"/>
          <w:lang w:val="en-US" w:eastAsia="zh-CN"/>
        </w:rPr>
        <w:t>河南远桥工程管理咨询有限公司</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200"/>
        <w:textAlignment w:val="auto"/>
        <w:rPr>
          <w:rFonts w:hint="eastAsia" w:cs="仿宋"/>
          <w:color w:val="auto"/>
          <w:sz w:val="21"/>
          <w:szCs w:val="21"/>
          <w:highlight w:val="none"/>
          <w:lang w:val="en-US" w:eastAsia="zh-CN"/>
        </w:rPr>
      </w:pPr>
      <w:r>
        <w:rPr>
          <w:rFonts w:hint="eastAsia" w:cs="仿宋"/>
          <w:color w:val="auto"/>
          <w:sz w:val="21"/>
          <w:szCs w:val="21"/>
          <w:highlight w:val="none"/>
          <w:lang w:val="en-US" w:eastAsia="zh-CN"/>
        </w:rPr>
        <w:t>设计单位：东南大学建筑设计研究院有限公司</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200"/>
        <w:textAlignment w:val="auto"/>
        <w:rPr>
          <w:rFonts w:hint="default" w:cs="仿宋"/>
          <w:color w:val="auto"/>
          <w:sz w:val="21"/>
          <w:szCs w:val="21"/>
          <w:highlight w:val="none"/>
          <w:lang w:val="en-US" w:eastAsia="zh-CN"/>
        </w:rPr>
      </w:pPr>
      <w:r>
        <w:rPr>
          <w:rFonts w:hint="eastAsia" w:ascii="仿宋" w:hAnsi="仿宋" w:eastAsia="仿宋" w:cs="仿宋"/>
          <w:color w:val="auto"/>
          <w:sz w:val="21"/>
          <w:szCs w:val="21"/>
          <w:highlight w:val="none"/>
        </w:rPr>
        <w:t>造价咨询机构</w:t>
      </w:r>
      <w:r>
        <w:rPr>
          <w:rFonts w:hint="eastAsia" w:cs="仿宋"/>
          <w:color w:val="auto"/>
          <w:sz w:val="21"/>
          <w:szCs w:val="21"/>
          <w:highlight w:val="none"/>
          <w:lang w:eastAsia="zh-CN"/>
        </w:rPr>
        <w:t>：</w:t>
      </w:r>
      <w:r>
        <w:rPr>
          <w:rFonts w:hint="eastAsia" w:cs="仿宋"/>
          <w:color w:val="auto"/>
          <w:sz w:val="21"/>
          <w:szCs w:val="21"/>
          <w:highlight w:val="none"/>
          <w:lang w:val="en-US" w:eastAsia="zh-CN"/>
        </w:rPr>
        <w:t>无</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200"/>
        <w:textAlignment w:val="auto"/>
        <w:rPr>
          <w:rFonts w:hint="default" w:cs="仿宋"/>
          <w:color w:val="auto"/>
          <w:sz w:val="21"/>
          <w:szCs w:val="21"/>
          <w:highlight w:val="none"/>
          <w:lang w:val="en-US" w:eastAsia="zh-CN"/>
        </w:rPr>
      </w:pPr>
      <w:r>
        <w:rPr>
          <w:rFonts w:hint="eastAsia" w:cs="仿宋"/>
          <w:color w:val="auto"/>
          <w:sz w:val="21"/>
          <w:szCs w:val="21"/>
          <w:highlight w:val="none"/>
          <w:lang w:val="en-US" w:eastAsia="zh-CN"/>
        </w:rPr>
        <w:t>监理单位：新恒丰咨询集团有限公司</w:t>
      </w:r>
    </w:p>
    <w:p/>
    <w:p/>
    <w:p>
      <w:pPr>
        <w:pStyle w:val="25"/>
      </w:pPr>
    </w:p>
    <w:p>
      <w:pPr>
        <w:pStyle w:val="25"/>
      </w:pPr>
    </w:p>
    <w:p>
      <w:pPr>
        <w:pStyle w:val="25"/>
      </w:pPr>
    </w:p>
    <w:p>
      <w:pPr>
        <w:pStyle w:val="25"/>
      </w:pPr>
    </w:p>
    <w:p>
      <w:pPr>
        <w:pStyle w:val="25"/>
      </w:pPr>
    </w:p>
    <w:p>
      <w:pPr>
        <w:pStyle w:val="25"/>
      </w:pPr>
    </w:p>
    <w:p>
      <w:pPr>
        <w:pStyle w:val="25"/>
      </w:pPr>
    </w:p>
    <w:p>
      <w:pPr>
        <w:pStyle w:val="25"/>
      </w:pPr>
    </w:p>
    <w:p>
      <w:pPr>
        <w:pStyle w:val="25"/>
      </w:pPr>
    </w:p>
    <w:p>
      <w:pPr>
        <w:pStyle w:val="25"/>
      </w:pPr>
    </w:p>
    <w:p>
      <w:pPr>
        <w:pStyle w:val="25"/>
      </w:pPr>
    </w:p>
    <w:p>
      <w:pPr>
        <w:pStyle w:val="25"/>
      </w:pPr>
    </w:p>
    <w:p>
      <w:pPr>
        <w:spacing w:line="240" w:lineRule="auto"/>
        <w:ind w:firstLine="0" w:firstLineChars="0"/>
        <w:rPr>
          <w:rFonts w:hint="eastAsia" w:ascii="仿宋" w:hAnsi="仿宋" w:eastAsia="仿宋" w:cs="仿宋"/>
          <w:b/>
          <w:bCs/>
          <w:sz w:val="32"/>
          <w:szCs w:val="40"/>
        </w:rPr>
      </w:pPr>
      <w:r>
        <w:rPr>
          <w:rFonts w:hint="eastAsia" w:ascii="仿宋" w:hAnsi="仿宋" w:eastAsia="仿宋" w:cs="仿宋"/>
          <w:b/>
          <w:bCs/>
          <w:sz w:val="32"/>
          <w:szCs w:val="40"/>
        </w:rPr>
        <w:t>附件2</w:t>
      </w:r>
    </w:p>
    <w:p>
      <w:pPr>
        <w:spacing w:line="240" w:lineRule="auto"/>
        <w:ind w:firstLine="0" w:firstLineChars="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建设工程危险性较大的分部分项工程清单</w:t>
      </w:r>
    </w:p>
    <w:p>
      <w:pPr>
        <w:ind w:firstLine="464"/>
        <w:rPr>
          <w:rFonts w:hint="eastAsia" w:ascii="仿宋" w:hAnsi="仿宋" w:eastAsia="仿宋" w:cs="仿宋"/>
        </w:rPr>
      </w:pPr>
      <w:r>
        <w:rPr>
          <w:rFonts w:hint="eastAsia" w:ascii="仿宋" w:hAnsi="仿宋" w:eastAsia="仿宋" w:cs="仿宋"/>
          <w:b/>
          <w:lang w:bidi="ar"/>
        </w:rPr>
        <w:t xml:space="preserve"> </w:t>
      </w:r>
      <w:r>
        <w:rPr>
          <w:rFonts w:hint="eastAsia" w:ascii="仿宋" w:hAnsi="仿宋" w:eastAsia="仿宋" w:cs="仿宋"/>
          <w:lang w:bidi="ar"/>
        </w:rPr>
        <w:t>依据《危险性较大的分部分项工程安全管理规定》（住房城乡建设部令第37号）和“建办质〔2018〕31号”文件相关规定，本项目在基坑工程、起重吊装及起重机械安装拆卸工程、拆除工程等环节，涉及危险性较大的分部分项工程。</w:t>
      </w:r>
    </w:p>
    <w:p>
      <w:pPr>
        <w:rPr>
          <w:rFonts w:hint="eastAsia" w:ascii="仿宋" w:hAnsi="仿宋" w:eastAsia="仿宋" w:cs="仿宋"/>
        </w:rPr>
      </w:pPr>
      <w:r>
        <w:rPr>
          <w:rFonts w:hint="eastAsia" w:ascii="仿宋" w:hAnsi="仿宋" w:eastAsia="仿宋" w:cs="仿宋"/>
          <w:lang w:bidi="ar"/>
        </w:rPr>
        <w:t>本项目危大工程重点部位和关键环节清单如下：</w:t>
      </w:r>
    </w:p>
    <w:p>
      <w:pPr>
        <w:pStyle w:val="116"/>
        <w:numPr>
          <w:ilvl w:val="0"/>
          <w:numId w:val="5"/>
        </w:numPr>
        <w:ind w:firstLineChars="0"/>
        <w:rPr>
          <w:rFonts w:hint="eastAsia" w:ascii="仿宋" w:hAnsi="仿宋" w:eastAsia="仿宋" w:cs="仿宋"/>
        </w:rPr>
      </w:pPr>
      <w:r>
        <w:rPr>
          <w:rFonts w:hint="eastAsia" w:ascii="仿宋" w:hAnsi="仿宋" w:eastAsia="仿宋" w:cs="仿宋"/>
        </w:rPr>
        <w:t>模板工程及支撑体系</w:t>
      </w:r>
    </w:p>
    <w:p>
      <w:pPr>
        <w:pStyle w:val="116"/>
        <w:numPr>
          <w:ilvl w:val="1"/>
          <w:numId w:val="5"/>
        </w:numPr>
        <w:ind w:firstLineChars="0"/>
        <w:rPr>
          <w:rFonts w:hint="eastAsia" w:ascii="仿宋" w:hAnsi="仿宋" w:eastAsia="仿宋" w:cs="仿宋"/>
        </w:rPr>
      </w:pPr>
      <w:r>
        <w:rPr>
          <w:rFonts w:hint="eastAsia" w:ascii="仿宋" w:hAnsi="仿宋" w:eastAsia="仿宋" w:cs="仿宋"/>
        </w:rPr>
        <w:t>各类工具式模板工程：包括滑模、爬模、飞模、隧道模等工程。</w:t>
      </w:r>
    </w:p>
    <w:p>
      <w:pPr>
        <w:pStyle w:val="116"/>
        <w:rPr>
          <w:rFonts w:hint="eastAsia" w:ascii="仿宋" w:hAnsi="仿宋" w:eastAsia="仿宋" w:cs="仿宋"/>
        </w:rPr>
      </w:pPr>
      <w:r>
        <w:rPr>
          <w:rFonts w:hint="eastAsia" w:ascii="仿宋" w:hAnsi="仿宋" w:eastAsia="仿宋" w:cs="仿宋"/>
        </w:rPr>
        <w:t>2）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p>
      <w:pPr>
        <w:pStyle w:val="116"/>
        <w:rPr>
          <w:rFonts w:hint="eastAsia" w:ascii="仿宋" w:hAnsi="仿宋" w:eastAsia="仿宋" w:cs="仿宋"/>
        </w:rPr>
      </w:pPr>
      <w:r>
        <w:rPr>
          <w:rFonts w:hint="eastAsia" w:ascii="仿宋" w:hAnsi="仿宋" w:eastAsia="仿宋" w:cs="仿宋"/>
        </w:rPr>
        <w:t>3）承重支撑体系：用于钢结构安装等满堂支撑体系。</w:t>
      </w:r>
    </w:p>
    <w:p>
      <w:pPr>
        <w:rPr>
          <w:rFonts w:hint="eastAsia" w:ascii="仿宋" w:hAnsi="仿宋" w:eastAsia="仿宋" w:cs="仿宋"/>
        </w:rPr>
      </w:pPr>
      <w:r>
        <w:rPr>
          <w:rFonts w:hint="eastAsia" w:ascii="仿宋" w:hAnsi="仿宋" w:eastAsia="仿宋" w:cs="仿宋"/>
          <w:lang w:bidi="ar"/>
        </w:rPr>
        <w:t>2、起重吊装及起重机械安装拆卸工程</w:t>
      </w:r>
    </w:p>
    <w:p>
      <w:pPr>
        <w:pStyle w:val="116"/>
        <w:numPr>
          <w:ilvl w:val="0"/>
          <w:numId w:val="6"/>
        </w:numPr>
        <w:ind w:firstLineChars="0"/>
        <w:rPr>
          <w:rFonts w:hint="eastAsia" w:ascii="仿宋" w:hAnsi="仿宋" w:eastAsia="仿宋" w:cs="仿宋"/>
        </w:rPr>
      </w:pPr>
      <w:r>
        <w:rPr>
          <w:rFonts w:hint="eastAsia" w:ascii="仿宋" w:hAnsi="仿宋" w:eastAsia="仿宋" w:cs="仿宋"/>
        </w:rPr>
        <w:t>采用非常规起重设备、方法，且单件起吊重量在10kN及以上的起重吊装工程。</w:t>
      </w:r>
    </w:p>
    <w:p>
      <w:pPr>
        <w:pStyle w:val="116"/>
        <w:numPr>
          <w:ilvl w:val="0"/>
          <w:numId w:val="6"/>
        </w:numPr>
        <w:ind w:firstLineChars="0"/>
        <w:rPr>
          <w:rFonts w:hint="eastAsia" w:ascii="仿宋" w:hAnsi="仿宋" w:eastAsia="仿宋" w:cs="仿宋"/>
        </w:rPr>
      </w:pPr>
      <w:r>
        <w:rPr>
          <w:rFonts w:hint="eastAsia" w:ascii="仿宋" w:hAnsi="仿宋" w:eastAsia="仿宋" w:cs="仿宋"/>
        </w:rPr>
        <w:t>采用起重机械进行安装的工程。</w:t>
      </w:r>
    </w:p>
    <w:p>
      <w:pPr>
        <w:pStyle w:val="116"/>
        <w:numPr>
          <w:ilvl w:val="0"/>
          <w:numId w:val="6"/>
        </w:numPr>
        <w:ind w:firstLineChars="0"/>
        <w:rPr>
          <w:rFonts w:hint="eastAsia" w:ascii="仿宋" w:hAnsi="仿宋" w:eastAsia="仿宋" w:cs="仿宋"/>
        </w:rPr>
      </w:pPr>
      <w:r>
        <w:rPr>
          <w:rFonts w:hint="eastAsia" w:ascii="仿宋" w:hAnsi="仿宋" w:eastAsia="仿宋" w:cs="仿宋"/>
        </w:rPr>
        <w:t>起重机械安装和拆卸工程。</w:t>
      </w:r>
    </w:p>
    <w:p>
      <w:pPr>
        <w:rPr>
          <w:rFonts w:hint="eastAsia" w:ascii="仿宋" w:hAnsi="仿宋" w:eastAsia="仿宋" w:cs="仿宋"/>
        </w:rPr>
      </w:pPr>
      <w:r>
        <w:rPr>
          <w:rFonts w:hint="eastAsia" w:ascii="仿宋" w:hAnsi="仿宋" w:eastAsia="仿宋" w:cs="仿宋"/>
          <w:lang w:bidi="ar"/>
        </w:rPr>
        <w:t>3、脚手架工程</w:t>
      </w:r>
    </w:p>
    <w:p>
      <w:pPr>
        <w:pStyle w:val="116"/>
        <w:numPr>
          <w:ilvl w:val="0"/>
          <w:numId w:val="7"/>
        </w:numPr>
        <w:ind w:firstLineChars="0"/>
        <w:rPr>
          <w:rFonts w:hint="eastAsia" w:ascii="仿宋" w:hAnsi="仿宋" w:eastAsia="仿宋" w:cs="仿宋"/>
        </w:rPr>
      </w:pPr>
      <w:r>
        <w:rPr>
          <w:rFonts w:hint="eastAsia" w:ascii="仿宋" w:hAnsi="仿宋" w:eastAsia="仿宋" w:cs="仿宋"/>
        </w:rPr>
        <w:t>附着式升降脚手架工程。</w:t>
      </w:r>
    </w:p>
    <w:p>
      <w:pPr>
        <w:pStyle w:val="116"/>
        <w:numPr>
          <w:ilvl w:val="0"/>
          <w:numId w:val="7"/>
        </w:numPr>
        <w:ind w:firstLineChars="0"/>
        <w:rPr>
          <w:rFonts w:hint="eastAsia" w:ascii="仿宋" w:hAnsi="仿宋" w:eastAsia="仿宋" w:cs="仿宋"/>
        </w:rPr>
      </w:pPr>
      <w:r>
        <w:rPr>
          <w:rFonts w:hint="eastAsia" w:ascii="仿宋" w:hAnsi="仿宋" w:eastAsia="仿宋" w:cs="仿宋"/>
        </w:rPr>
        <w:t>悬挑式脚手架工程。</w:t>
      </w:r>
    </w:p>
    <w:p>
      <w:pPr>
        <w:pStyle w:val="116"/>
        <w:numPr>
          <w:ilvl w:val="0"/>
          <w:numId w:val="7"/>
        </w:numPr>
        <w:ind w:firstLineChars="0"/>
        <w:rPr>
          <w:rFonts w:hint="eastAsia" w:ascii="仿宋" w:hAnsi="仿宋" w:eastAsia="仿宋" w:cs="仿宋"/>
        </w:rPr>
      </w:pPr>
      <w:r>
        <w:rPr>
          <w:rFonts w:hint="eastAsia" w:ascii="仿宋" w:hAnsi="仿宋" w:eastAsia="仿宋" w:cs="仿宋"/>
        </w:rPr>
        <w:t>高处作业吊篮。</w:t>
      </w:r>
    </w:p>
    <w:p>
      <w:pPr>
        <w:pStyle w:val="116"/>
        <w:numPr>
          <w:ilvl w:val="0"/>
          <w:numId w:val="7"/>
        </w:numPr>
        <w:ind w:firstLineChars="0"/>
        <w:rPr>
          <w:rFonts w:hint="eastAsia" w:ascii="仿宋" w:hAnsi="仿宋" w:eastAsia="仿宋" w:cs="仿宋"/>
        </w:rPr>
      </w:pPr>
      <w:r>
        <w:rPr>
          <w:rFonts w:hint="eastAsia" w:ascii="仿宋" w:hAnsi="仿宋" w:eastAsia="仿宋" w:cs="仿宋"/>
        </w:rPr>
        <w:t>卸料平台、操作平台工程。</w:t>
      </w:r>
    </w:p>
    <w:p>
      <w:pPr>
        <w:pStyle w:val="116"/>
        <w:numPr>
          <w:ilvl w:val="0"/>
          <w:numId w:val="7"/>
        </w:numPr>
        <w:ind w:firstLineChars="0"/>
        <w:rPr>
          <w:rFonts w:hint="eastAsia" w:ascii="仿宋" w:hAnsi="仿宋" w:eastAsia="仿宋" w:cs="仿宋"/>
        </w:rPr>
      </w:pPr>
      <w:r>
        <w:rPr>
          <w:rFonts w:hint="eastAsia" w:ascii="仿宋" w:hAnsi="仿宋" w:eastAsia="仿宋" w:cs="仿宋"/>
        </w:rPr>
        <w:t>异型脚手架工程。</w:t>
      </w:r>
    </w:p>
    <w:p>
      <w:pPr>
        <w:rPr>
          <w:rFonts w:hint="eastAsia" w:ascii="仿宋" w:hAnsi="仿宋" w:eastAsia="仿宋" w:cs="仿宋"/>
        </w:rPr>
      </w:pPr>
      <w:r>
        <w:rPr>
          <w:rFonts w:hint="eastAsia" w:ascii="仿宋" w:hAnsi="仿宋" w:eastAsia="仿宋" w:cs="仿宋"/>
          <w:lang w:bidi="ar"/>
        </w:rPr>
        <w:t>4、其他类型</w:t>
      </w:r>
    </w:p>
    <w:p>
      <w:pPr>
        <w:pStyle w:val="116"/>
        <w:numPr>
          <w:ilvl w:val="0"/>
          <w:numId w:val="8"/>
        </w:numPr>
        <w:ind w:firstLineChars="0"/>
        <w:rPr>
          <w:rFonts w:hint="eastAsia" w:ascii="仿宋" w:hAnsi="仿宋" w:eastAsia="仿宋" w:cs="仿宋"/>
        </w:rPr>
      </w:pPr>
      <w:r>
        <w:rPr>
          <w:rFonts w:hint="eastAsia" w:ascii="仿宋" w:hAnsi="仿宋" w:eastAsia="仿宋" w:cs="仿宋"/>
        </w:rPr>
        <w:t xml:space="preserve">建筑幕墙安装工程。  </w:t>
      </w:r>
    </w:p>
    <w:p>
      <w:pPr>
        <w:pStyle w:val="116"/>
        <w:numPr>
          <w:ilvl w:val="0"/>
          <w:numId w:val="8"/>
        </w:numPr>
        <w:ind w:firstLineChars="0"/>
        <w:rPr>
          <w:rFonts w:hint="eastAsia" w:ascii="仿宋" w:hAnsi="仿宋" w:eastAsia="仿宋" w:cs="仿宋"/>
        </w:rPr>
      </w:pPr>
      <w:r>
        <w:rPr>
          <w:rFonts w:hint="eastAsia" w:ascii="仿宋" w:hAnsi="仿宋" w:eastAsia="仿宋" w:cs="仿宋"/>
        </w:rPr>
        <w:t>钢结构、网架和索膜结构安装工程。</w:t>
      </w:r>
    </w:p>
    <w:p>
      <w:pPr>
        <w:pStyle w:val="116"/>
        <w:numPr>
          <w:ilvl w:val="0"/>
          <w:numId w:val="8"/>
        </w:numPr>
        <w:ind w:firstLineChars="0"/>
        <w:rPr>
          <w:rFonts w:hint="eastAsia" w:ascii="仿宋" w:hAnsi="仿宋" w:eastAsia="仿宋" w:cs="仿宋"/>
        </w:rPr>
      </w:pPr>
      <w:r>
        <w:rPr>
          <w:rFonts w:hint="eastAsia" w:ascii="仿宋" w:hAnsi="仿宋" w:eastAsia="仿宋" w:cs="仿宋"/>
        </w:rPr>
        <w:t>装配式建筑混凝土预制构件安装工程。</w:t>
      </w:r>
    </w:p>
    <w:p>
      <w:pPr>
        <w:pStyle w:val="116"/>
        <w:numPr>
          <w:ilvl w:val="0"/>
          <w:numId w:val="8"/>
        </w:numPr>
        <w:ind w:firstLineChars="0"/>
        <w:rPr>
          <w:rFonts w:hint="eastAsia" w:ascii="仿宋" w:hAnsi="仿宋" w:eastAsia="仿宋" w:cs="仿宋"/>
        </w:rPr>
      </w:pPr>
      <w:r>
        <w:rPr>
          <w:rFonts w:hint="eastAsia" w:ascii="仿宋" w:hAnsi="仿宋" w:eastAsia="仿宋" w:cs="仿宋"/>
        </w:rPr>
        <w:t>采用新技术、新工艺、新材料、新设备可能影响工程施工安全，尚无国家、行业及地方技术标准的分部分项工程。</w:t>
      </w:r>
    </w:p>
    <w:p>
      <w:pPr>
        <w:rPr>
          <w:rFonts w:hint="eastAsia" w:ascii="仿宋" w:hAnsi="仿宋" w:eastAsia="仿宋" w:cs="仿宋"/>
        </w:rPr>
      </w:pPr>
    </w:p>
    <w:p>
      <w:pPr>
        <w:ind w:left="0" w:leftChars="0" w:firstLine="0" w:firstLineChars="0"/>
        <w:jc w:val="left"/>
        <w:rPr>
          <w:b/>
          <w:bCs/>
          <w:sz w:val="32"/>
          <w:szCs w:val="32"/>
        </w:rPr>
      </w:pPr>
      <w:bookmarkStart w:id="343" w:name="_Toc152045609"/>
      <w:bookmarkStart w:id="344" w:name="_Toc152042387"/>
      <w:bookmarkStart w:id="345" w:name="_Toc144974577"/>
      <w:r>
        <w:rPr>
          <w:rFonts w:hint="eastAsia"/>
          <w:b/>
          <w:bCs/>
          <w:sz w:val="32"/>
          <w:szCs w:val="32"/>
        </w:rPr>
        <w:t>附件3</w:t>
      </w:r>
    </w:p>
    <w:p>
      <w:pPr>
        <w:spacing w:line="240" w:lineRule="auto"/>
        <w:ind w:firstLine="0" w:firstLineChars="0"/>
        <w:jc w:val="center"/>
        <w:outlineLvl w:val="9"/>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定标细则</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b/>
          <w:bCs/>
          <w:sz w:val="21"/>
          <w:szCs w:val="21"/>
          <w:lang w:eastAsia="zh-CN"/>
        </w:rPr>
      </w:pPr>
      <w:r>
        <w:rPr>
          <w:rFonts w:hint="eastAsia"/>
          <w:b/>
          <w:bCs/>
          <w:sz w:val="21"/>
          <w:szCs w:val="21"/>
          <w:lang w:val="en-US" w:eastAsia="zh-CN"/>
        </w:rPr>
        <w:t>一、</w:t>
      </w:r>
      <w:r>
        <w:rPr>
          <w:rFonts w:hint="eastAsia"/>
          <w:b/>
          <w:bCs/>
          <w:sz w:val="21"/>
          <w:szCs w:val="21"/>
        </w:rPr>
        <w:t>定标原则</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sz w:val="21"/>
          <w:szCs w:val="21"/>
        </w:rPr>
      </w:pPr>
      <w:r>
        <w:rPr>
          <w:rFonts w:hint="eastAsia"/>
          <w:sz w:val="21"/>
          <w:szCs w:val="21"/>
        </w:rPr>
        <w:t>采用择优为主原则。遵循公开透明、择优为主、科学规范的原则，坚持质量优先、廉洁诚信、务实高效的理念以及针对本项目的优惠措施。</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b/>
          <w:bCs/>
          <w:sz w:val="21"/>
          <w:szCs w:val="21"/>
        </w:rPr>
      </w:pPr>
      <w:r>
        <w:rPr>
          <w:rFonts w:hint="eastAsia"/>
          <w:b/>
          <w:bCs/>
          <w:sz w:val="21"/>
          <w:szCs w:val="21"/>
          <w:lang w:val="en-US"/>
        </w:rPr>
        <w:t>二、</w:t>
      </w:r>
      <w:r>
        <w:rPr>
          <w:rFonts w:hint="eastAsia"/>
          <w:b/>
          <w:bCs/>
          <w:sz w:val="21"/>
          <w:szCs w:val="21"/>
        </w:rPr>
        <w:t>定标方法</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sz w:val="21"/>
          <w:szCs w:val="21"/>
        </w:rPr>
      </w:pPr>
      <w:r>
        <w:rPr>
          <w:rFonts w:hint="eastAsia"/>
          <w:sz w:val="21"/>
          <w:szCs w:val="21"/>
        </w:rPr>
        <w:t>集体议事法：</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sz w:val="21"/>
          <w:szCs w:val="21"/>
        </w:rPr>
      </w:pPr>
      <w:r>
        <w:rPr>
          <w:rFonts w:hint="eastAsia"/>
          <w:sz w:val="21"/>
          <w:szCs w:val="21"/>
        </w:rPr>
        <w:t>由定标委员会组长组织定标委员会成员各自发表意见,进行集体商议后形成意见,最终形成集体商议意见后确定中标人。定标委员会所有成员的意见应当做书面记录,并由本人签字确认。</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b/>
          <w:bCs/>
          <w:sz w:val="21"/>
          <w:szCs w:val="21"/>
        </w:rPr>
      </w:pPr>
      <w:r>
        <w:rPr>
          <w:rFonts w:hint="eastAsia"/>
          <w:b/>
          <w:bCs/>
          <w:sz w:val="21"/>
          <w:szCs w:val="21"/>
          <w:lang w:val="en-US"/>
        </w:rPr>
        <w:t>三、</w:t>
      </w:r>
      <w:r>
        <w:rPr>
          <w:rFonts w:hint="eastAsia"/>
          <w:b/>
          <w:bCs/>
          <w:sz w:val="21"/>
          <w:szCs w:val="21"/>
        </w:rPr>
        <w:t>定标因素</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sz w:val="21"/>
          <w:szCs w:val="21"/>
        </w:rPr>
      </w:pPr>
      <w:r>
        <w:rPr>
          <w:rFonts w:hint="eastAsia"/>
          <w:sz w:val="21"/>
          <w:szCs w:val="21"/>
        </w:rPr>
        <w:t>择优因素：企业综合实力、针对本项目的优惠措施、项目经理现场述标。</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b/>
          <w:bCs/>
          <w:sz w:val="21"/>
          <w:szCs w:val="21"/>
        </w:rPr>
      </w:pPr>
      <w:r>
        <w:rPr>
          <w:rFonts w:hint="eastAsia"/>
          <w:b/>
          <w:bCs/>
          <w:sz w:val="21"/>
          <w:szCs w:val="21"/>
        </w:rPr>
        <w:t>四、定标委员会</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sz w:val="21"/>
          <w:szCs w:val="21"/>
        </w:rPr>
      </w:pPr>
      <w:r>
        <w:rPr>
          <w:rFonts w:hint="eastAsia"/>
          <w:sz w:val="21"/>
          <w:szCs w:val="21"/>
        </w:rPr>
        <w:t>定标委员会应由5名及以上单数成员组成，在定标当日由招标人组建。</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b/>
          <w:bCs/>
          <w:sz w:val="21"/>
          <w:szCs w:val="21"/>
        </w:rPr>
      </w:pPr>
      <w:r>
        <w:rPr>
          <w:rFonts w:hint="eastAsia"/>
          <w:b/>
          <w:bCs/>
          <w:sz w:val="21"/>
          <w:szCs w:val="21"/>
        </w:rPr>
        <w:t>五、监督小组</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sz w:val="21"/>
          <w:szCs w:val="21"/>
        </w:rPr>
      </w:pPr>
      <w:r>
        <w:rPr>
          <w:rFonts w:hint="eastAsia"/>
          <w:color w:val="auto"/>
          <w:sz w:val="21"/>
          <w:szCs w:val="21"/>
          <w:highlight w:val="none"/>
        </w:rPr>
        <w:t>由市纪检组委派监督人员组成监督小组</w:t>
      </w:r>
      <w:r>
        <w:rPr>
          <w:rFonts w:hint="eastAsia"/>
          <w:sz w:val="21"/>
          <w:szCs w:val="21"/>
        </w:rPr>
        <w:t>，对定标全过程进行监督。定标全过程应录音录像，存档备查。</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b/>
          <w:bCs/>
          <w:sz w:val="21"/>
          <w:szCs w:val="21"/>
        </w:rPr>
      </w:pPr>
      <w:r>
        <w:rPr>
          <w:rFonts w:hint="eastAsia"/>
          <w:b/>
          <w:bCs/>
          <w:sz w:val="21"/>
          <w:szCs w:val="21"/>
          <w:lang w:val="en-US"/>
        </w:rPr>
        <w:t>六、</w:t>
      </w:r>
      <w:r>
        <w:rPr>
          <w:rFonts w:hint="eastAsia"/>
          <w:b/>
          <w:bCs/>
          <w:sz w:val="21"/>
          <w:szCs w:val="21"/>
        </w:rPr>
        <w:t>定标程序</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sz w:val="21"/>
          <w:szCs w:val="21"/>
        </w:rPr>
      </w:pPr>
      <w:r>
        <w:rPr>
          <w:rFonts w:hint="eastAsia"/>
          <w:sz w:val="21"/>
          <w:szCs w:val="21"/>
        </w:rPr>
        <w:t>招标人在收到评标报告后10日内召集定标委员会、监督小组召开定标会议进行定标。</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sz w:val="21"/>
          <w:szCs w:val="21"/>
        </w:rPr>
      </w:pPr>
      <w:r>
        <w:rPr>
          <w:rFonts w:hint="eastAsia"/>
          <w:sz w:val="21"/>
          <w:szCs w:val="21"/>
        </w:rPr>
        <w:t>（1）介绍项目招投标情况</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sz w:val="21"/>
          <w:szCs w:val="21"/>
        </w:rPr>
      </w:pPr>
      <w:r>
        <w:rPr>
          <w:rFonts w:hint="eastAsia"/>
          <w:sz w:val="21"/>
          <w:szCs w:val="21"/>
        </w:rPr>
        <w:t>由招标人代表在定标会议上向定标委员会介绍项目情况、招标情况、评标情况、中标候选人主要情况。</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sz w:val="21"/>
          <w:szCs w:val="21"/>
        </w:rPr>
      </w:pPr>
      <w:r>
        <w:rPr>
          <w:rFonts w:hint="eastAsia"/>
          <w:sz w:val="21"/>
          <w:szCs w:val="21"/>
        </w:rPr>
        <w:t>（2）中标候选人答疑</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sz w:val="21"/>
          <w:szCs w:val="21"/>
        </w:rPr>
      </w:pPr>
      <w:r>
        <w:rPr>
          <w:rFonts w:hint="eastAsia"/>
          <w:sz w:val="21"/>
          <w:szCs w:val="21"/>
        </w:rPr>
        <w:t>定标委员会可以根据实际需要，就本项目疑难问题、施工进度节点、优惠承诺、服务便利度等内容向中标候选人的企业负责人或者拟派项目经理进行询问，企业负责人或项目经理须在规定的时间内就定标委员会提出的问题进行答疑。</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sz w:val="21"/>
          <w:szCs w:val="21"/>
        </w:rPr>
      </w:pPr>
      <w:r>
        <w:rPr>
          <w:rFonts w:hint="eastAsia"/>
          <w:sz w:val="21"/>
          <w:szCs w:val="21"/>
        </w:rPr>
        <w:t>（3）定标委员会定标</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sz w:val="21"/>
          <w:szCs w:val="21"/>
        </w:rPr>
      </w:pPr>
      <w:r>
        <w:rPr>
          <w:rFonts w:hint="eastAsia"/>
          <w:sz w:val="21"/>
          <w:szCs w:val="21"/>
        </w:rPr>
        <w:t>定标委员会按照定标原则、定标方法和定标程序，完成定标工作。</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b/>
          <w:bCs/>
          <w:sz w:val="21"/>
          <w:szCs w:val="21"/>
        </w:rPr>
      </w:pPr>
      <w:r>
        <w:rPr>
          <w:rFonts w:hint="eastAsia"/>
          <w:b/>
          <w:bCs/>
          <w:sz w:val="21"/>
          <w:szCs w:val="21"/>
        </w:rPr>
        <w:t>七、其他</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sz w:val="21"/>
          <w:szCs w:val="21"/>
        </w:rPr>
      </w:pPr>
      <w:r>
        <w:rPr>
          <w:rFonts w:hint="eastAsia"/>
          <w:sz w:val="21"/>
          <w:szCs w:val="21"/>
        </w:rPr>
        <w:t>招标人应当在收到评标报告后10日内组织定标会议进行定标；不能按时定标的，应当通过公共资源交易平台公开发布延期原因和最终定标时间。</w:t>
      </w:r>
    </w:p>
    <w:p>
      <w:pPr>
        <w:pStyle w:val="106"/>
        <w:keepNext w:val="0"/>
        <w:keepLines w:val="0"/>
        <w:pageBreakBefore w:val="0"/>
        <w:widowControl w:val="0"/>
        <w:kinsoku/>
        <w:wordWrap/>
        <w:overflowPunct/>
        <w:topLinePunct w:val="0"/>
        <w:autoSpaceDE/>
        <w:autoSpaceDN/>
        <w:bidi w:val="0"/>
        <w:adjustRightInd/>
        <w:snapToGrid/>
        <w:spacing w:line="400" w:lineRule="exact"/>
        <w:ind w:firstLine="418"/>
        <w:textAlignment w:val="auto"/>
        <w:rPr>
          <w:sz w:val="21"/>
          <w:szCs w:val="21"/>
        </w:rPr>
        <w:sectPr>
          <w:headerReference r:id="rId14" w:type="default"/>
          <w:pgSz w:w="11906" w:h="16838"/>
          <w:pgMar w:top="1440" w:right="1080" w:bottom="1440" w:left="1080" w:header="851" w:footer="992" w:gutter="0"/>
          <w:cols w:space="720" w:num="1"/>
          <w:docGrid w:type="lines" w:linePitch="312" w:charSpace="0"/>
        </w:sectPr>
      </w:pPr>
      <w:r>
        <w:rPr>
          <w:rFonts w:hint="eastAsia"/>
          <w:sz w:val="21"/>
          <w:szCs w:val="21"/>
        </w:rPr>
        <w:t>中标人放弃中标、不能履行合同、不按照招标文件要求提供履约保证金或者被查实存在影响中标结果的违法行为不符合中标条件的，招标人可以组织原定标委员会采用原定标方法，在其他中标候选人中重新确定中标人或重新招标。</w:t>
      </w:r>
    </w:p>
    <w:bookmarkEnd w:id="343"/>
    <w:bookmarkEnd w:id="344"/>
    <w:bookmarkEnd w:id="345"/>
    <w:p>
      <w:pPr>
        <w:pStyle w:val="2"/>
        <w:ind w:firstLine="972"/>
        <w:jc w:val="center"/>
        <w:rPr>
          <w:sz w:val="32"/>
          <w:szCs w:val="32"/>
        </w:rPr>
      </w:pPr>
      <w:bookmarkStart w:id="346" w:name="_Toc27336"/>
      <w:r>
        <w:rPr>
          <w:rFonts w:hint="eastAsia"/>
          <w:sz w:val="32"/>
          <w:szCs w:val="32"/>
        </w:rPr>
        <w:t>第四章 合同条款及格式</w:t>
      </w:r>
      <w:bookmarkEnd w:id="346"/>
    </w:p>
    <w:p>
      <w:pPr>
        <w:pStyle w:val="106"/>
        <w:ind w:firstLine="418"/>
      </w:pPr>
    </w:p>
    <w:p>
      <w:pPr>
        <w:pStyle w:val="106"/>
        <w:ind w:firstLine="418"/>
      </w:pPr>
    </w:p>
    <w:p>
      <w:pPr>
        <w:pStyle w:val="106"/>
        <w:ind w:firstLine="418"/>
      </w:pPr>
    </w:p>
    <w:p>
      <w:pPr>
        <w:pStyle w:val="106"/>
        <w:ind w:firstLine="418"/>
      </w:pPr>
    </w:p>
    <w:p>
      <w:pPr>
        <w:pStyle w:val="106"/>
        <w:ind w:firstLine="418"/>
      </w:pPr>
    </w:p>
    <w:p>
      <w:pPr>
        <w:pStyle w:val="106"/>
        <w:ind w:firstLine="418"/>
      </w:pPr>
    </w:p>
    <w:p>
      <w:pPr>
        <w:pStyle w:val="106"/>
        <w:ind w:firstLine="418"/>
      </w:pPr>
    </w:p>
    <w:p>
      <w:pPr>
        <w:pStyle w:val="106"/>
        <w:ind w:firstLine="418"/>
      </w:pPr>
    </w:p>
    <w:p>
      <w:pPr>
        <w:pStyle w:val="106"/>
        <w:ind w:firstLine="418"/>
      </w:pPr>
    </w:p>
    <w:p>
      <w:pPr>
        <w:pStyle w:val="106"/>
        <w:ind w:firstLine="418"/>
      </w:pPr>
    </w:p>
    <w:p>
      <w:pPr>
        <w:pStyle w:val="106"/>
        <w:ind w:firstLine="418"/>
      </w:pPr>
    </w:p>
    <w:p>
      <w:pPr>
        <w:pStyle w:val="106"/>
        <w:ind w:firstLine="418"/>
      </w:pPr>
    </w:p>
    <w:p>
      <w:pPr>
        <w:pStyle w:val="106"/>
        <w:ind w:firstLine="418"/>
      </w:pPr>
    </w:p>
    <w:p>
      <w:pPr>
        <w:pStyle w:val="106"/>
        <w:ind w:firstLine="418"/>
      </w:pPr>
    </w:p>
    <w:p>
      <w:pPr>
        <w:pStyle w:val="106"/>
        <w:ind w:firstLine="418"/>
      </w:pPr>
    </w:p>
    <w:p>
      <w:pPr>
        <w:pStyle w:val="106"/>
        <w:ind w:firstLine="418"/>
      </w:pPr>
    </w:p>
    <w:p>
      <w:pPr>
        <w:pStyle w:val="106"/>
        <w:ind w:firstLine="418"/>
      </w:pPr>
    </w:p>
    <w:p>
      <w:pPr>
        <w:pStyle w:val="106"/>
        <w:ind w:firstLine="418"/>
      </w:pPr>
    </w:p>
    <w:p>
      <w:pPr>
        <w:pStyle w:val="106"/>
        <w:ind w:firstLine="418"/>
      </w:pPr>
    </w:p>
    <w:p>
      <w:pPr>
        <w:pStyle w:val="106"/>
        <w:ind w:firstLine="418"/>
      </w:pPr>
    </w:p>
    <w:p>
      <w:pPr>
        <w:pStyle w:val="106"/>
        <w:ind w:firstLine="418"/>
      </w:pPr>
    </w:p>
    <w:p>
      <w:pPr>
        <w:keepNext w:val="0"/>
        <w:keepLines w:val="0"/>
        <w:widowControl w:val="0"/>
        <w:suppressLineNumbers w:val="0"/>
        <w:spacing w:before="0" w:beforeAutospacing="0" w:after="0" w:afterAutospacing="0"/>
        <w:ind w:left="0" w:leftChars="0" w:right="0" w:firstLine="0" w:firstLineChars="0"/>
        <w:jc w:val="left"/>
        <w:rPr>
          <w:rFonts w:hint="eastAsia" w:ascii="仿宋" w:hAnsi="仿宋" w:eastAsia="仿宋" w:cs="仿宋"/>
          <w:bCs/>
          <w:color w:val="000000"/>
          <w:sz w:val="32"/>
          <w:szCs w:val="32"/>
          <w:lang w:val="en-US"/>
        </w:rPr>
      </w:pPr>
      <w:bookmarkStart w:id="347" w:name="_Toc144974834"/>
      <w:bookmarkStart w:id="348" w:name="_Toc152045772"/>
      <w:bookmarkStart w:id="349" w:name="_Toc152042554"/>
      <w:r>
        <w:rPr>
          <w:rFonts w:hint="eastAsia" w:ascii="仿宋" w:hAnsi="仿宋" w:eastAsia="仿宋" w:cs="仿宋"/>
          <w:bCs/>
          <w:color w:val="000000"/>
          <w:kern w:val="2"/>
          <w:sz w:val="32"/>
          <w:szCs w:val="32"/>
          <w:lang w:val="en-US" w:eastAsia="zh-CN" w:bidi="ar"/>
        </w:rPr>
        <w:t>（GF—2017—0201）</w:t>
      </w:r>
    </w:p>
    <w:p>
      <w:pPr>
        <w:pStyle w:val="106"/>
        <w:keepNext w:val="0"/>
        <w:keepLines w:val="0"/>
        <w:pageBreakBefore w:val="0"/>
        <w:widowControl w:val="0"/>
        <w:tabs>
          <w:tab w:val="left" w:pos="834"/>
        </w:tabs>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仿宋" w:hAnsi="仿宋" w:eastAsia="仿宋" w:cs="仿宋"/>
          <w:color w:val="0000FF"/>
          <w:sz w:val="21"/>
          <w:szCs w:val="21"/>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400" w:lineRule="exact"/>
        <w:ind w:left="0" w:leftChars="0" w:right="0" w:rightChars="0" w:firstLine="0" w:firstLineChars="0"/>
        <w:jc w:val="left"/>
        <w:textAlignment w:val="auto"/>
        <w:rPr>
          <w:rFonts w:hint="eastAsia" w:ascii="仿宋" w:hAnsi="仿宋" w:eastAsia="仿宋" w:cs="仿宋"/>
          <w:bCs/>
          <w:color w:val="0000FF"/>
          <w:kern w:val="2"/>
          <w:sz w:val="32"/>
          <w:szCs w:val="32"/>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32" w:lineRule="atLeast"/>
        <w:ind w:left="0" w:leftChars="0" w:right="0" w:firstLine="0" w:firstLineChars="0"/>
        <w:jc w:val="center"/>
        <w:outlineLvl w:val="9"/>
        <w:rPr>
          <w:rFonts w:hint="eastAsia" w:ascii="仿宋" w:hAnsi="仿宋" w:eastAsia="仿宋" w:cs="仿宋"/>
          <w:b/>
          <w:bCs/>
          <w:kern w:val="2"/>
          <w:sz w:val="48"/>
          <w:szCs w:val="48"/>
          <w:highlight w:val="none"/>
          <w:lang w:val="en-US" w:eastAsia="zh-CN" w:bidi="ar"/>
        </w:rPr>
      </w:pPr>
      <w:bookmarkStart w:id="350" w:name="_Toc16222"/>
      <w:r>
        <w:rPr>
          <w:rFonts w:hint="eastAsia" w:ascii="仿宋" w:hAnsi="仿宋" w:eastAsia="仿宋" w:cs="仿宋"/>
          <w:b/>
          <w:bCs/>
          <w:kern w:val="2"/>
          <w:sz w:val="48"/>
          <w:szCs w:val="48"/>
          <w:highlight w:val="none"/>
          <w:lang w:val="en-US" w:eastAsia="zh-CN" w:bidi="ar"/>
        </w:rPr>
        <w:t>洛阳市文物局汉魏洛阳城遗址博物馆中央空调工程项目施工合同</w:t>
      </w:r>
      <w:bookmarkEnd w:id="350"/>
    </w:p>
    <w:p>
      <w:pPr>
        <w:ind w:left="0" w:leftChars="0" w:firstLine="0" w:firstLineChars="0"/>
        <w:rPr>
          <w:rFonts w:hint="eastAsia" w:ascii="仿宋" w:hAnsi="仿宋" w:eastAsia="仿宋" w:cs="仿宋"/>
        </w:rPr>
      </w:pPr>
    </w:p>
    <w:p>
      <w:pPr>
        <w:ind w:left="0" w:leftChars="0" w:firstLine="0" w:firstLineChars="0"/>
        <w:jc w:val="center"/>
        <w:rPr>
          <w:rFonts w:hint="eastAsia" w:ascii="仿宋" w:hAnsi="仿宋" w:eastAsia="仿宋" w:cs="仿宋"/>
          <w:b/>
          <w:color w:val="000000" w:themeColor="text1"/>
          <w:sz w:val="52"/>
          <w:szCs w:val="52"/>
          <w:highlight w:val="none"/>
          <w14:textFill>
            <w14:solidFill>
              <w14:schemeClr w14:val="tx1"/>
            </w14:solidFill>
          </w14:textFill>
        </w:rPr>
      </w:pPr>
    </w:p>
    <w:p>
      <w:pPr>
        <w:ind w:left="0" w:leftChars="0" w:firstLine="0" w:firstLineChars="0"/>
        <w:jc w:val="center"/>
        <w:rPr>
          <w:rFonts w:hint="eastAsia" w:ascii="仿宋" w:hAnsi="仿宋" w:eastAsia="仿宋" w:cs="仿宋"/>
          <w:b/>
          <w:color w:val="000000" w:themeColor="text1"/>
          <w:sz w:val="72"/>
          <w:szCs w:val="72"/>
          <w:highlight w:val="none"/>
          <w14:textFill>
            <w14:solidFill>
              <w14:schemeClr w14:val="tx1"/>
            </w14:solidFill>
          </w14:textFill>
        </w:rPr>
      </w:pPr>
    </w:p>
    <w:p>
      <w:pPr>
        <w:ind w:left="0" w:leftChars="0" w:firstLine="0" w:firstLineChars="0"/>
        <w:jc w:val="center"/>
        <w:rPr>
          <w:rFonts w:hint="eastAsia" w:ascii="仿宋" w:hAnsi="仿宋" w:eastAsia="仿宋" w:cs="仿宋"/>
          <w:b/>
          <w:color w:val="000000" w:themeColor="text1"/>
          <w:sz w:val="72"/>
          <w:szCs w:val="72"/>
          <w:highlight w:val="none"/>
          <w14:textFill>
            <w14:solidFill>
              <w14:schemeClr w14:val="tx1"/>
            </w14:solidFill>
          </w14:textFill>
        </w:rPr>
      </w:pPr>
    </w:p>
    <w:p>
      <w:pPr>
        <w:ind w:left="0" w:leftChars="0" w:firstLine="0" w:firstLineChars="0"/>
        <w:jc w:val="center"/>
        <w:rPr>
          <w:rFonts w:hint="eastAsia" w:ascii="仿宋" w:hAnsi="仿宋" w:eastAsia="仿宋" w:cs="仿宋"/>
          <w:b/>
          <w:color w:val="000000" w:themeColor="text1"/>
          <w:sz w:val="52"/>
          <w:szCs w:val="52"/>
          <w:highlight w:val="none"/>
          <w14:textFill>
            <w14:solidFill>
              <w14:schemeClr w14:val="tx1"/>
            </w14:solidFill>
          </w14:textFill>
        </w:rPr>
      </w:pPr>
    </w:p>
    <w:p>
      <w:pPr>
        <w:ind w:left="0" w:leftChars="0" w:firstLine="0" w:firstLineChars="0"/>
        <w:rPr>
          <w:rFonts w:hint="eastAsia" w:ascii="仿宋" w:hAnsi="仿宋" w:eastAsia="仿宋" w:cs="仿宋"/>
          <w:b/>
          <w:color w:val="000000" w:themeColor="text1"/>
          <w:sz w:val="28"/>
          <w:szCs w:val="28"/>
          <w:highlight w:val="none"/>
          <w14:textFill>
            <w14:solidFill>
              <w14:schemeClr w14:val="tx1"/>
            </w14:solidFill>
          </w14:textFill>
        </w:rPr>
      </w:pPr>
    </w:p>
    <w:p>
      <w:pPr>
        <w:ind w:left="0" w:leftChars="0" w:firstLine="0" w:firstLineChars="0"/>
        <w:rPr>
          <w:rFonts w:hint="eastAsia" w:ascii="仿宋" w:hAnsi="仿宋" w:eastAsia="仿宋" w:cs="仿宋"/>
          <w:b/>
          <w:color w:val="000000" w:themeColor="text1"/>
          <w:sz w:val="28"/>
          <w:szCs w:val="28"/>
          <w:highlight w:val="none"/>
          <w14:textFill>
            <w14:solidFill>
              <w14:schemeClr w14:val="tx1"/>
            </w14:solidFill>
          </w14:textFill>
        </w:rPr>
      </w:pPr>
    </w:p>
    <w:p>
      <w:pPr>
        <w:ind w:left="0" w:leftChars="0" w:firstLine="0" w:firstLineChars="0"/>
        <w:rPr>
          <w:rFonts w:hint="eastAsia" w:ascii="仿宋" w:hAnsi="仿宋" w:eastAsia="仿宋" w:cs="仿宋"/>
          <w:b/>
          <w:color w:val="000000" w:themeColor="text1"/>
          <w:sz w:val="28"/>
          <w:szCs w:val="28"/>
          <w:highlight w:val="none"/>
          <w14:textFill>
            <w14:solidFill>
              <w14:schemeClr w14:val="tx1"/>
            </w14:solidFill>
          </w14:textFill>
        </w:rPr>
      </w:pPr>
    </w:p>
    <w:p>
      <w:pPr>
        <w:ind w:left="0" w:leftChars="0" w:firstLine="0" w:firstLineChars="0"/>
        <w:rPr>
          <w:rFonts w:hint="eastAsia" w:ascii="仿宋" w:hAnsi="仿宋" w:eastAsia="仿宋" w:cs="仿宋"/>
          <w:b/>
          <w:color w:val="000000" w:themeColor="text1"/>
          <w:sz w:val="28"/>
          <w:szCs w:val="28"/>
          <w:highlight w:val="none"/>
          <w14:textFill>
            <w14:solidFill>
              <w14:schemeClr w14:val="tx1"/>
            </w14:solidFill>
          </w14:textFill>
        </w:rPr>
      </w:pPr>
    </w:p>
    <w:p>
      <w:pPr>
        <w:ind w:left="0" w:leftChars="0" w:firstLine="0" w:firstLineChars="0"/>
        <w:rPr>
          <w:rFonts w:hint="eastAsia" w:ascii="仿宋" w:hAnsi="仿宋" w:eastAsia="仿宋" w:cs="仿宋"/>
          <w:b/>
          <w:color w:val="000000" w:themeColor="text1"/>
          <w:sz w:val="28"/>
          <w:szCs w:val="28"/>
          <w:highlight w:val="none"/>
          <w14:textFill>
            <w14:solidFill>
              <w14:schemeClr w14:val="tx1"/>
            </w14:solidFill>
          </w14:textFill>
        </w:rPr>
      </w:pPr>
    </w:p>
    <w:p>
      <w:pPr>
        <w:ind w:left="0" w:leftChars="0" w:firstLine="0" w:firstLineChars="0"/>
        <w:rPr>
          <w:rFonts w:hint="eastAsia" w:ascii="仿宋" w:hAnsi="仿宋" w:eastAsia="仿宋" w:cs="仿宋"/>
          <w:b/>
          <w:color w:val="000000" w:themeColor="text1"/>
          <w:highlight w:val="none"/>
          <w14:textFill>
            <w14:solidFill>
              <w14:schemeClr w14:val="tx1"/>
            </w14:solidFill>
          </w14:textFill>
        </w:rPr>
      </w:pPr>
      <w:bookmarkStart w:id="351" w:name="_Toc296890982"/>
      <w:bookmarkStart w:id="352" w:name="_Toc296503025"/>
      <w:bookmarkStart w:id="353" w:name="_Toc351203480"/>
    </w:p>
    <w:p>
      <w:pPr>
        <w:ind w:right="2719" w:rightChars="1295" w:firstLine="2738" w:firstLineChars="1304"/>
        <w:jc w:val="distribute"/>
        <w:rPr>
          <w:rFonts w:hint="eastAsia" w:ascii="仿宋" w:hAnsi="仿宋" w:eastAsia="仿宋" w:cs="仿宋"/>
          <w:b/>
          <w:color w:val="000000" w:themeColor="text1"/>
          <w:sz w:val="32"/>
          <w:szCs w:val="28"/>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1" name="文本框 4"/>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pPr>
                              <w:ind w:left="0" w:leftChars="0" w:firstLine="0" w:firstLineChars="0"/>
                              <w:rPr>
                                <w:rFonts w:hint="eastAsia"/>
                                <w:b/>
                                <w:bCs/>
                                <w:sz w:val="32"/>
                              </w:rPr>
                            </w:pPr>
                            <w:r>
                              <w:rPr>
                                <w:rFonts w:hint="eastAsia"/>
                                <w:b/>
                                <w:bCs/>
                                <w:sz w:val="32"/>
                              </w:rPr>
                              <w:t>制定</w:t>
                            </w:r>
                          </w:p>
                        </w:txbxContent>
                      </wps:txbx>
                      <wps:bodyPr upright="1"/>
                    </wps:wsp>
                  </a:graphicData>
                </a:graphic>
              </wp:anchor>
            </w:drawing>
          </mc:Choice>
          <mc:Fallback>
            <w:pict>
              <v:shape id="文本框 4"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JTHJ8UEAgAADAQAAA4AAAAAAAAAAQAgAAAAJwEA&#10;AGRycy9lMm9Eb2MueG1sUEsFBgAAAAAGAAYAWQEAAJ0FAAAAAA==&#10;">
                <v:fill on="f" focussize="0,0"/>
                <v:stroke color="#FFFFFF" joinstyle="miter"/>
                <v:imagedata o:title=""/>
                <o:lock v:ext="edit" aspectratio="f"/>
                <v:textbox>
                  <w:txbxContent>
                    <w:p>
                      <w:pPr>
                        <w:ind w:left="0" w:leftChars="0" w:firstLine="0" w:firstLineChars="0"/>
                        <w:rPr>
                          <w:rFonts w:hint="eastAsia"/>
                          <w:b/>
                          <w:bCs/>
                          <w:sz w:val="32"/>
                        </w:rPr>
                      </w:pPr>
                      <w:r>
                        <w:rPr>
                          <w:rFonts w:hint="eastAsia"/>
                          <w:b/>
                          <w:bCs/>
                          <w:sz w:val="32"/>
                        </w:rPr>
                        <w:t>制定</w:t>
                      </w:r>
                    </w:p>
                  </w:txbxContent>
                </v:textbox>
              </v:shape>
            </w:pict>
          </mc:Fallback>
        </mc:AlternateContent>
      </w:r>
      <w:r>
        <w:rPr>
          <w:rFonts w:hint="eastAsia" w:ascii="仿宋" w:hAnsi="仿宋" w:eastAsia="仿宋" w:cs="仿宋"/>
          <w:b/>
          <w:color w:val="000000" w:themeColor="text1"/>
          <w:sz w:val="32"/>
          <w:szCs w:val="28"/>
          <w:highlight w:val="none"/>
          <w14:textFill>
            <w14:solidFill>
              <w14:schemeClr w14:val="tx1"/>
            </w14:solidFill>
          </w14:textFill>
        </w:rPr>
        <w:t>住房城乡建设部</w:t>
      </w:r>
    </w:p>
    <w:p>
      <w:pPr>
        <w:ind w:right="2719" w:rightChars="1295" w:firstLine="2750" w:firstLineChars="856"/>
        <w:jc w:val="distribute"/>
        <w:rPr>
          <w:rFonts w:hint="eastAsia" w:ascii="仿宋" w:hAnsi="仿宋" w:eastAsia="仿宋" w:cs="仿宋"/>
          <w:b/>
          <w:color w:val="000000" w:themeColor="text1"/>
          <w:sz w:val="32"/>
          <w:szCs w:val="28"/>
          <w:highlight w:val="none"/>
          <w14:textFill>
            <w14:solidFill>
              <w14:schemeClr w14:val="tx1"/>
            </w14:solidFill>
          </w14:textFill>
        </w:rPr>
      </w:pPr>
      <w:r>
        <w:rPr>
          <w:rFonts w:hint="eastAsia" w:ascii="仿宋" w:hAnsi="仿宋" w:eastAsia="仿宋" w:cs="仿宋"/>
          <w:b/>
          <w:color w:val="000000" w:themeColor="text1"/>
          <w:sz w:val="32"/>
          <w:szCs w:val="28"/>
          <w:highlight w:val="none"/>
          <w14:textFill>
            <w14:solidFill>
              <w14:schemeClr w14:val="tx1"/>
            </w14:solidFill>
          </w14:textFill>
        </w:rPr>
        <w:t>国家工商行政管理总局</w:t>
      </w:r>
    </w:p>
    <w:p>
      <w:pPr>
        <w:pStyle w:val="4"/>
        <w:ind w:left="0" w:leftChars="0" w:firstLine="0" w:firstLineChars="0"/>
        <w:jc w:val="both"/>
        <w:rPr>
          <w:rFonts w:hint="eastAsia" w:ascii="仿宋" w:hAnsi="仿宋" w:eastAsia="仿宋" w:cs="仿宋"/>
          <w:color w:val="000000" w:themeColor="text1"/>
          <w:sz w:val="28"/>
          <w:szCs w:val="28"/>
          <w:highlight w:val="none"/>
          <w14:textFill>
            <w14:solidFill>
              <w14:schemeClr w14:val="tx1"/>
            </w14:solidFill>
          </w14:textFill>
        </w:rPr>
        <w:sectPr>
          <w:footerReference r:id="rId16" w:type="first"/>
          <w:footerReference r:id="rId15" w:type="default"/>
          <w:pgSz w:w="11906" w:h="16838"/>
          <w:pgMar w:top="1418" w:right="1555" w:bottom="1418" w:left="1531" w:header="851" w:footer="992" w:gutter="0"/>
          <w:pgNumType w:fmt="decimal"/>
          <w:cols w:space="720" w:num="1"/>
          <w:titlePg/>
          <w:docGrid w:type="lines" w:linePitch="312" w:charSpace="0"/>
        </w:sectPr>
      </w:pPr>
    </w:p>
    <w:bookmarkEnd w:id="351"/>
    <w:bookmarkEnd w:id="352"/>
    <w:bookmarkEnd w:id="353"/>
    <w:p>
      <w:pPr>
        <w:keepNext w:val="0"/>
        <w:keepLines w:val="0"/>
        <w:widowControl w:val="0"/>
        <w:suppressLineNumbers w:val="0"/>
        <w:spacing w:before="0" w:beforeAutospacing="0" w:after="0" w:afterAutospacing="0"/>
        <w:ind w:left="0" w:leftChars="0" w:right="0" w:firstLine="0" w:firstLineChars="0"/>
        <w:jc w:val="center"/>
        <w:rPr>
          <w:rFonts w:hint="eastAsia" w:ascii="仿宋" w:hAnsi="仿宋" w:eastAsia="仿宋" w:cs="仿宋"/>
          <w:b/>
          <w:sz w:val="28"/>
          <w:szCs w:val="28"/>
          <w:lang w:val="en-US"/>
        </w:rPr>
      </w:pPr>
      <w:bookmarkStart w:id="354" w:name="_Toc2926"/>
      <w:r>
        <w:rPr>
          <w:rFonts w:hint="eastAsia" w:ascii="仿宋" w:hAnsi="仿宋" w:eastAsia="仿宋" w:cs="仿宋"/>
          <w:b/>
          <w:kern w:val="2"/>
          <w:sz w:val="44"/>
          <w:szCs w:val="44"/>
          <w:lang w:val="en-US" w:eastAsia="zh-CN" w:bidi="ar"/>
        </w:rPr>
        <w:t>第一部分  合同协议书</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发包人（全称）：</w:t>
      </w:r>
      <w:r>
        <w:rPr>
          <w:rFonts w:hint="eastAsia" w:ascii="仿宋" w:hAnsi="仿宋" w:eastAsia="仿宋" w:cs="仿宋"/>
          <w:kern w:val="2"/>
          <w:sz w:val="24"/>
          <w:szCs w:val="24"/>
          <w:u w:val="single"/>
          <w:lang w:val="en-US" w:eastAsia="zh-CN" w:bidi="ar"/>
        </w:rPr>
        <w:t xml:space="preserve">洛阳市文物局 </w:t>
      </w:r>
      <w:r>
        <w:rPr>
          <w:rFonts w:hint="eastAsia" w:ascii="仿宋" w:hAnsi="仿宋" w:eastAsia="仿宋" w:cs="仿宋"/>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承包人（全称）：</w:t>
      </w:r>
      <w:r>
        <w:rPr>
          <w:rFonts w:hint="eastAsia" w:ascii="仿宋" w:hAnsi="仿宋" w:eastAsia="仿宋" w:cs="仿宋"/>
          <w:kern w:val="2"/>
          <w:sz w:val="24"/>
          <w:szCs w:val="24"/>
          <w:u w:val="single"/>
          <w:lang w:val="en-US" w:eastAsia="zh-CN" w:bidi="ar"/>
        </w:rPr>
        <w:t xml:space="preserve">             </w:t>
      </w:r>
      <w:r>
        <w:rPr>
          <w:rFonts w:hint="eastAsia" w:ascii="仿宋" w:hAnsi="仿宋" w:eastAsia="仿宋" w:cs="仿宋"/>
          <w:kern w:val="2"/>
          <w:sz w:val="24"/>
          <w:szCs w:val="24"/>
          <w:lang w:val="en-US" w:eastAsia="zh-CN" w:bidi="ar"/>
        </w:rPr>
        <w:t xml:space="preserve">                                        </w:t>
      </w:r>
    </w:p>
    <w:p>
      <w:pPr>
        <w:pStyle w:val="36"/>
        <w:keepNext w:val="0"/>
        <w:keepLines w:val="0"/>
        <w:widowControl w:val="0"/>
        <w:suppressLineNumbers w:val="0"/>
        <w:spacing w:before="0" w:beforeAutospacing="0" w:after="120" w:afterAutospacing="0" w:line="360" w:lineRule="auto"/>
        <w:ind w:left="63" w:right="63" w:firstLine="480" w:firstLineChars="20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根据《中华人民共和</w:t>
      </w:r>
      <w:r>
        <w:rPr>
          <w:rFonts w:hint="eastAsia" w:ascii="仿宋" w:hAnsi="仿宋" w:eastAsia="仿宋" w:cs="仿宋"/>
          <w:kern w:val="2"/>
          <w:sz w:val="24"/>
          <w:szCs w:val="24"/>
          <w:highlight w:val="none"/>
          <w:lang w:val="en-US" w:eastAsia="zh-CN" w:bidi="ar"/>
        </w:rPr>
        <w:t>国民法典》、《</w:t>
      </w:r>
      <w:r>
        <w:rPr>
          <w:rFonts w:hint="eastAsia" w:ascii="仿宋" w:hAnsi="仿宋" w:eastAsia="仿宋" w:cs="仿宋"/>
          <w:kern w:val="2"/>
          <w:sz w:val="24"/>
          <w:szCs w:val="24"/>
          <w:lang w:val="en-US" w:eastAsia="zh-CN" w:bidi="ar"/>
        </w:rPr>
        <w:t>中华人民共和国建筑法》及有关法律规定，遵循平等、自愿、公平和诚实信用的原则，双</w:t>
      </w:r>
      <w:r>
        <w:rPr>
          <w:rFonts w:hint="eastAsia" w:ascii="仿宋" w:hAnsi="仿宋" w:eastAsia="仿宋" w:cs="仿宋"/>
          <w:color w:val="auto"/>
          <w:kern w:val="2"/>
          <w:sz w:val="24"/>
          <w:szCs w:val="24"/>
          <w:lang w:val="en-US" w:eastAsia="zh-CN" w:bidi="ar"/>
        </w:rPr>
        <w:t>方就</w:t>
      </w:r>
      <w:r>
        <w:rPr>
          <w:rFonts w:hint="eastAsia" w:ascii="仿宋" w:hAnsi="仿宋" w:eastAsia="仿宋" w:cs="仿宋"/>
          <w:bCs/>
          <w:color w:val="000000" w:themeColor="text1"/>
          <w:kern w:val="2"/>
          <w:sz w:val="24"/>
          <w:szCs w:val="24"/>
          <w:highlight w:val="none"/>
          <w:u w:val="single"/>
          <w:lang w:val="en-US" w:eastAsia="zh-CN" w:bidi="ar-SA"/>
          <w14:textFill>
            <w14:solidFill>
              <w14:schemeClr w14:val="tx1"/>
            </w14:solidFill>
          </w14:textFill>
        </w:rPr>
        <w:t xml:space="preserve">                        </w:t>
      </w:r>
      <w:r>
        <w:rPr>
          <w:rFonts w:hint="eastAsia" w:ascii="仿宋" w:hAnsi="仿宋" w:eastAsia="仿宋" w:cs="仿宋"/>
          <w:kern w:val="2"/>
          <w:sz w:val="24"/>
          <w:szCs w:val="24"/>
          <w:lang w:val="en-US" w:eastAsia="zh-CN" w:bidi="ar"/>
        </w:rPr>
        <w:t>项目施工及有关事项协商一致，共同达成如下协议：</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一、工程概况</w:t>
      </w:r>
    </w:p>
    <w:p>
      <w:pPr>
        <w:keepNext w:val="0"/>
        <w:keepLines w:val="0"/>
        <w:widowControl w:val="0"/>
        <w:suppressLineNumbers w:val="0"/>
        <w:spacing w:before="0" w:beforeAutospacing="0" w:after="0" w:afterAutospacing="0" w:line="360" w:lineRule="auto"/>
        <w:ind w:left="0" w:leftChars="0" w:right="0" w:firstLine="638" w:firstLineChars="266"/>
        <w:jc w:val="both"/>
        <w:rPr>
          <w:rFonts w:hint="eastAsia" w:ascii="仿宋" w:hAnsi="仿宋" w:eastAsia="仿宋" w:cs="仿宋"/>
          <w:color w:val="FF0000"/>
          <w:sz w:val="24"/>
          <w:szCs w:val="24"/>
          <w:lang w:val="en-US"/>
        </w:rPr>
      </w:pPr>
      <w:r>
        <w:rPr>
          <w:rFonts w:hint="eastAsia" w:ascii="仿宋" w:hAnsi="仿宋" w:eastAsia="仿宋" w:cs="仿宋"/>
          <w:kern w:val="2"/>
          <w:sz w:val="24"/>
          <w:szCs w:val="24"/>
          <w:lang w:val="en-US" w:eastAsia="zh-CN" w:bidi="ar"/>
        </w:rPr>
        <w:t>1.工程名称：</w:t>
      </w:r>
      <w:r>
        <w:rPr>
          <w:rFonts w:hint="eastAsia" w:ascii="仿宋" w:hAnsi="仿宋" w:eastAsia="仿宋" w:cs="仿宋"/>
          <w:color w:val="auto"/>
          <w:kern w:val="2"/>
          <w:sz w:val="24"/>
          <w:szCs w:val="24"/>
          <w:u w:val="single"/>
          <w:lang w:val="en-US" w:eastAsia="zh-CN" w:bidi="ar"/>
        </w:rPr>
        <w:t></w:t>
      </w:r>
      <w:r>
        <w:rPr>
          <w:rFonts w:hint="eastAsia" w:ascii="仿宋" w:hAnsi="仿宋" w:eastAsia="仿宋" w:cs="仿宋"/>
          <w:bCs/>
          <w:color w:val="auto"/>
          <w:kern w:val="2"/>
          <w:sz w:val="24"/>
          <w:szCs w:val="24"/>
          <w:highlight w:val="none"/>
          <w:u w:val="single"/>
          <w:lang w:val="en-US" w:eastAsia="zh-CN" w:bidi="ar-SA"/>
        </w:rPr>
        <w:t xml:space="preserve">           </w:t>
      </w:r>
      <w:r>
        <w:rPr>
          <w:rFonts w:hint="eastAsia" w:ascii="仿宋" w:hAnsi="仿宋" w:eastAsia="仿宋" w:cs="仿宋"/>
          <w:color w:val="auto"/>
          <w:kern w:val="2"/>
          <w:sz w:val="24"/>
          <w:szCs w:val="24"/>
          <w:u w:val="single"/>
          <w:lang w:val="en-US" w:eastAsia="zh-CN" w:bidi="ar"/>
        </w:rPr>
        <w:t xml:space="preserve">   </w:t>
      </w:r>
      <w:r>
        <w:rPr>
          <w:rFonts w:hint="eastAsia" w:ascii="仿宋" w:hAnsi="仿宋" w:eastAsia="仿宋" w:cs="仿宋"/>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leftChars="0" w:right="0" w:firstLine="638" w:firstLineChars="266"/>
        <w:jc w:val="both"/>
        <w:rPr>
          <w:rFonts w:hint="eastAsia" w:ascii="仿宋" w:hAnsi="仿宋" w:eastAsia="仿宋" w:cs="仿宋"/>
          <w:color w:val="FF0000"/>
          <w:sz w:val="24"/>
          <w:szCs w:val="24"/>
          <w:lang w:val="en-US"/>
        </w:rPr>
      </w:pPr>
      <w:r>
        <w:rPr>
          <w:rFonts w:hint="eastAsia" w:ascii="仿宋" w:hAnsi="仿宋" w:eastAsia="仿宋" w:cs="仿宋"/>
          <w:color w:val="auto"/>
          <w:kern w:val="2"/>
          <w:sz w:val="24"/>
          <w:szCs w:val="24"/>
          <w:lang w:val="en-US" w:eastAsia="zh-CN" w:bidi="ar"/>
        </w:rPr>
        <w:t>2.工程地点：</w:t>
      </w:r>
      <w:r>
        <w:rPr>
          <w:rFonts w:hint="eastAsia" w:ascii="仿宋" w:hAnsi="仿宋" w:eastAsia="仿宋" w:cs="仿宋"/>
          <w:color w:val="auto"/>
          <w:kern w:val="2"/>
          <w:sz w:val="24"/>
          <w:szCs w:val="24"/>
          <w:u w:val="single"/>
          <w:lang w:val="en-US" w:eastAsia="zh-CN" w:bidi="ar"/>
        </w:rPr>
        <w:t xml:space="preserve">               </w:t>
      </w:r>
      <w:r>
        <w:rPr>
          <w:rFonts w:hint="eastAsia" w:ascii="仿宋" w:hAnsi="仿宋" w:eastAsia="仿宋" w:cs="仿宋"/>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leftChars="0" w:right="0" w:firstLine="638" w:firstLineChars="266"/>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3.工程立项批准文号：</w:t>
      </w:r>
      <w:r>
        <w:rPr>
          <w:rFonts w:hint="eastAsia" w:ascii="仿宋" w:hAnsi="仿宋" w:eastAsia="仿宋" w:cs="仿宋"/>
          <w:kern w:val="2"/>
          <w:sz w:val="24"/>
          <w:szCs w:val="24"/>
          <w:u w:val="single"/>
          <w:lang w:val="en-US" w:eastAsia="zh-CN" w:bidi="ar"/>
        </w:rPr>
        <w:t xml:space="preserve">                         </w:t>
      </w:r>
      <w:r>
        <w:rPr>
          <w:rFonts w:hint="eastAsia" w:ascii="仿宋" w:hAnsi="仿宋" w:eastAsia="仿宋" w:cs="仿宋"/>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leftChars="0" w:right="0" w:firstLine="638" w:firstLineChars="266"/>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 xml:space="preserve">4.资金来源： </w:t>
      </w:r>
      <w:r>
        <w:rPr>
          <w:rFonts w:hint="eastAsia" w:ascii="仿宋" w:hAnsi="仿宋" w:eastAsia="仿宋" w:cs="仿宋"/>
          <w:kern w:val="2"/>
          <w:sz w:val="24"/>
          <w:szCs w:val="24"/>
          <w:u w:val="single"/>
          <w:lang w:val="en-US" w:eastAsia="zh-CN" w:bidi="ar"/>
        </w:rPr>
        <w:t xml:space="preserve">     </w:t>
      </w:r>
      <w:r>
        <w:rPr>
          <w:rFonts w:hint="eastAsia" w:ascii="仿宋" w:hAnsi="仿宋" w:eastAsia="仿宋" w:cs="仿宋"/>
          <w:kern w:val="2"/>
          <w:sz w:val="24"/>
          <w:szCs w:val="24"/>
          <w:lang w:val="en-US" w:eastAsia="zh-CN" w:bidi="ar"/>
        </w:rPr>
        <w:t>。</w:t>
      </w:r>
    </w:p>
    <w:p>
      <w:pPr>
        <w:spacing w:line="360" w:lineRule="auto"/>
        <w:ind w:left="0" w:leftChars="0" w:firstLine="638" w:firstLineChars="266"/>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kern w:val="2"/>
          <w:sz w:val="24"/>
          <w:szCs w:val="24"/>
          <w:lang w:val="en-US" w:eastAsia="zh-CN" w:bidi="ar"/>
        </w:rPr>
        <w:t xml:space="preserve">5.工程内容： </w:t>
      </w:r>
      <w:r>
        <w:rPr>
          <w:rFonts w:hint="eastAsia" w:ascii="仿宋" w:hAnsi="仿宋" w:eastAsia="仿宋" w:cs="仿宋"/>
          <w:kern w:val="2"/>
          <w:sz w:val="24"/>
          <w:szCs w:val="24"/>
          <w:u w:val="single"/>
          <w:lang w:val="en-US" w:eastAsia="zh-CN" w:bidi="ar"/>
        </w:rPr>
        <w:t xml:space="preserve">     </w:t>
      </w:r>
    </w:p>
    <w:p>
      <w:pPr>
        <w:spacing w:line="360" w:lineRule="auto"/>
        <w:ind w:left="0" w:leftChars="0" w:firstLine="638" w:firstLineChars="266"/>
        <w:rPr>
          <w:rFonts w:hint="eastAsia" w:ascii="仿宋" w:hAnsi="仿宋" w:eastAsia="仿宋" w:cs="仿宋"/>
          <w:kern w:val="2"/>
          <w:sz w:val="24"/>
          <w:szCs w:val="24"/>
          <w:u w:val="single"/>
          <w:lang w:val="en-US" w:eastAsia="zh-CN" w:bidi="ar"/>
        </w:rPr>
      </w:pPr>
      <w:r>
        <w:rPr>
          <w:rFonts w:hint="eastAsia" w:ascii="仿宋" w:hAnsi="仿宋" w:eastAsia="仿宋" w:cs="仿宋"/>
          <w:kern w:val="2"/>
          <w:sz w:val="24"/>
          <w:szCs w:val="24"/>
          <w:lang w:val="en-US" w:eastAsia="zh-CN" w:bidi="ar"/>
        </w:rPr>
        <w:t>6.工程承包范围：</w:t>
      </w:r>
      <w:r>
        <w:rPr>
          <w:rFonts w:hint="eastAsia" w:ascii="仿宋" w:hAnsi="仿宋" w:eastAsia="仿宋" w:cs="仿宋"/>
          <w:kern w:val="2"/>
          <w:sz w:val="24"/>
          <w:szCs w:val="24"/>
          <w:u w:val="singl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lang w:val="en-US" w:eastAsia="zh-CN" w:bidi="ar"/>
        </w:rPr>
        <w:t>二、合同工期</w:t>
      </w:r>
    </w:p>
    <w:p>
      <w:pPr>
        <w:spacing w:line="360" w:lineRule="auto"/>
        <w:ind w:firstLine="45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计划开工日期：</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以实际开工令为准</w:t>
      </w:r>
      <w:r>
        <w:rPr>
          <w:rFonts w:hint="eastAsia" w:ascii="仿宋" w:hAnsi="仿宋" w:eastAsia="仿宋" w:cs="仿宋"/>
          <w:color w:val="auto"/>
          <w:sz w:val="24"/>
          <w:szCs w:val="24"/>
          <w:highlight w:val="none"/>
          <w:lang w:eastAsia="zh-CN"/>
        </w:rPr>
        <w:t>）</w:t>
      </w:r>
    </w:p>
    <w:p>
      <w:pPr>
        <w:spacing w:line="360" w:lineRule="auto"/>
        <w:ind w:firstLine="45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计划竣工日期：</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日。</w:t>
      </w:r>
    </w:p>
    <w:p>
      <w:pPr>
        <w:spacing w:line="360" w:lineRule="auto"/>
        <w:ind w:firstLine="45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auto"/>
          <w:sz w:val="24"/>
          <w:szCs w:val="24"/>
          <w:highlight w:val="none"/>
        </w:rPr>
        <w:t>工期总日历天数：</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天。工期总日历天数</w:t>
      </w:r>
      <w:r>
        <w:rPr>
          <w:rFonts w:hint="eastAsia" w:ascii="仿宋" w:hAnsi="仿宋" w:eastAsia="仿宋" w:cs="仿宋"/>
          <w:color w:val="000000" w:themeColor="text1"/>
          <w:sz w:val="24"/>
          <w:szCs w:val="24"/>
          <w:highlight w:val="none"/>
          <w14:textFill>
            <w14:solidFill>
              <w14:schemeClr w14:val="tx1"/>
            </w14:solidFill>
          </w14:textFill>
        </w:rPr>
        <w:t>与根据前述计划开竣工日期计算的工期天数不一致的，以工期总日历天数为准。</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三、质量标准</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 xml:space="preserve">  工程质量</w:t>
      </w:r>
      <w:r>
        <w:rPr>
          <w:rFonts w:hint="eastAsia" w:ascii="仿宋" w:hAnsi="仿宋" w:eastAsia="仿宋" w:cs="仿宋"/>
          <w:kern w:val="2"/>
          <w:sz w:val="24"/>
          <w:szCs w:val="24"/>
          <w:u w:val="single"/>
          <w:lang w:val="en-US" w:eastAsia="zh-CN" w:bidi="ar"/>
        </w:rPr>
        <w:t xml:space="preserve"> 符合国家相关质量验收备案标准，争创国家优质工程</w:t>
      </w:r>
      <w:r>
        <w:rPr>
          <w:rFonts w:hint="eastAsia" w:ascii="仿宋" w:hAnsi="仿宋" w:eastAsia="仿宋" w:cs="仿宋"/>
          <w:kern w:val="2"/>
          <w:sz w:val="24"/>
          <w:szCs w:val="24"/>
          <w:lang w:val="en-US" w:eastAsia="zh-CN" w:bidi="ar"/>
        </w:rPr>
        <w:t>标准。</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四、签约合同价与合同价格形式</w:t>
      </w:r>
      <w:r>
        <w:rPr>
          <w:rFonts w:hint="eastAsia" w:ascii="仿宋" w:hAnsi="仿宋" w:eastAsia="仿宋" w:cs="仿宋"/>
          <w:kern w:val="2"/>
          <w:sz w:val="24"/>
          <w:szCs w:val="24"/>
          <w:lang w:val="en-US" w:eastAsia="zh-CN" w:bidi="ar"/>
        </w:rPr>
        <w:tab/>
      </w:r>
    </w:p>
    <w:p>
      <w:pPr>
        <w:keepNext w:val="0"/>
        <w:keepLines w:val="0"/>
        <w:widowControl w:val="0"/>
        <w:suppressLineNumbers w:val="0"/>
        <w:spacing w:before="0" w:beforeAutospacing="0" w:after="0" w:afterAutospacing="0" w:line="360" w:lineRule="auto"/>
        <w:ind w:left="0" w:leftChars="0" w:right="0" w:firstLine="638" w:firstLineChars="266"/>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1.签约合同价为中标价：</w:t>
      </w:r>
      <w:r>
        <w:rPr>
          <w:rFonts w:hint="eastAsia" w:ascii="仿宋" w:hAnsi="仿宋" w:eastAsia="仿宋" w:cs="仿宋"/>
          <w:kern w:val="2"/>
          <w:sz w:val="24"/>
          <w:szCs w:val="24"/>
          <w:u w:val="single"/>
          <w:lang w:val="en-US" w:eastAsia="zh-CN" w:bidi="ar"/>
        </w:rPr>
        <w:t xml:space="preserve">                      </w:t>
      </w:r>
      <w:r>
        <w:rPr>
          <w:rFonts w:hint="eastAsia" w:ascii="仿宋" w:hAnsi="仿宋" w:eastAsia="仿宋" w:cs="仿宋"/>
          <w:kern w:val="2"/>
          <w:sz w:val="24"/>
          <w:szCs w:val="24"/>
          <w:lang w:val="en-US" w:eastAsia="zh-CN" w:bidi="ar"/>
        </w:rPr>
        <w:t>。</w:t>
      </w:r>
    </w:p>
    <w:p>
      <w:pPr>
        <w:keepNext w:val="0"/>
        <w:keepLines w:val="0"/>
        <w:widowControl w:val="0"/>
        <w:suppressLineNumbers w:val="0"/>
        <w:spacing w:before="0" w:beforeAutospacing="0" w:after="0" w:afterAutospacing="0" w:line="360" w:lineRule="auto"/>
        <w:ind w:left="0" w:leftChars="0" w:right="0" w:firstLine="638" w:firstLineChars="266"/>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2.该中标价包含：</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 xml:space="preserve">  （1）安全文明施工费：</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u w:val="single"/>
          <w:lang w:val="en-US"/>
        </w:rPr>
      </w:pPr>
      <w:r>
        <w:rPr>
          <w:rFonts w:hint="eastAsia" w:ascii="仿宋" w:hAnsi="仿宋" w:eastAsia="仿宋" w:cs="仿宋"/>
          <w:kern w:val="2"/>
          <w:sz w:val="24"/>
          <w:szCs w:val="24"/>
          <w:lang w:val="en-US" w:eastAsia="zh-CN" w:bidi="ar"/>
        </w:rPr>
        <w:t>人民币（大写）</w:t>
      </w:r>
      <w:r>
        <w:rPr>
          <w:rFonts w:hint="eastAsia" w:ascii="仿宋" w:hAnsi="仿宋" w:eastAsia="仿宋" w:cs="仿宋"/>
          <w:kern w:val="2"/>
          <w:sz w:val="24"/>
          <w:szCs w:val="24"/>
          <w:u w:val="singl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u w:val="single"/>
          <w:lang w:val="en-US"/>
        </w:rPr>
      </w:pPr>
      <w:r>
        <w:rPr>
          <w:rFonts w:hint="eastAsia" w:ascii="仿宋" w:hAnsi="仿宋" w:eastAsia="仿宋" w:cs="仿宋"/>
          <w:kern w:val="2"/>
          <w:sz w:val="24"/>
          <w:szCs w:val="24"/>
          <w:lang w:val="en-US" w:eastAsia="zh-CN" w:bidi="ar"/>
        </w:rPr>
        <w:t xml:space="preserve">  （2）规费为人民币（大写）</w:t>
      </w:r>
      <w:r>
        <w:rPr>
          <w:rFonts w:hint="eastAsia" w:ascii="仿宋" w:hAnsi="仿宋" w:eastAsia="仿宋" w:cs="仿宋"/>
          <w:kern w:val="2"/>
          <w:sz w:val="24"/>
          <w:szCs w:val="24"/>
          <w:u w:val="singl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u w:val="single"/>
          <w:lang w:val="en-US"/>
        </w:rPr>
      </w:pPr>
      <w:r>
        <w:rPr>
          <w:rFonts w:hint="eastAsia" w:ascii="仿宋" w:hAnsi="仿宋" w:eastAsia="仿宋" w:cs="仿宋"/>
          <w:kern w:val="2"/>
          <w:sz w:val="24"/>
          <w:szCs w:val="24"/>
          <w:lang w:val="en-US" w:eastAsia="zh-CN" w:bidi="ar"/>
        </w:rPr>
        <w:t xml:space="preserve">  （3）税金金额：人民币（大写）</w:t>
      </w:r>
      <w:r>
        <w:rPr>
          <w:rFonts w:hint="eastAsia" w:ascii="仿宋" w:hAnsi="仿宋" w:eastAsia="仿宋" w:cs="仿宋"/>
          <w:kern w:val="2"/>
          <w:sz w:val="24"/>
          <w:szCs w:val="24"/>
          <w:u w:val="singl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 xml:space="preserve">  （4）专业工程暂估价金额：</w:t>
      </w:r>
      <w:r>
        <w:rPr>
          <w:rFonts w:hint="eastAsia" w:ascii="仿宋" w:hAnsi="仿宋" w:eastAsia="仿宋" w:cs="仿宋"/>
          <w:kern w:val="2"/>
          <w:sz w:val="24"/>
          <w:szCs w:val="24"/>
          <w:u w:val="single"/>
          <w:lang w:val="en-US" w:eastAsia="zh-CN" w:bidi="ar"/>
        </w:rPr>
        <w:t xml:space="preserve">                          </w:t>
      </w:r>
      <w:r>
        <w:rPr>
          <w:rFonts w:hint="eastAsia" w:ascii="仿宋" w:hAnsi="仿宋" w:eastAsia="仿宋" w:cs="仿宋"/>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leftChars="0" w:right="0" w:firstLine="638" w:firstLineChars="266"/>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3.合同价格形式：</w:t>
      </w:r>
      <w:r>
        <w:rPr>
          <w:rFonts w:hint="eastAsia" w:ascii="仿宋" w:hAnsi="仿宋" w:eastAsia="仿宋" w:cs="仿宋"/>
          <w:kern w:val="2"/>
          <w:sz w:val="24"/>
          <w:szCs w:val="24"/>
          <w:u w:val="single"/>
          <w:lang w:val="en-US" w:eastAsia="zh-CN" w:bidi="ar"/>
        </w:rPr>
        <w:t xml:space="preserve">                   </w:t>
      </w:r>
      <w:r>
        <w:rPr>
          <w:rFonts w:hint="eastAsia" w:ascii="仿宋" w:hAnsi="仿宋" w:eastAsia="仿宋" w:cs="仿宋"/>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五、项目经理</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 xml:space="preserve">  承包人项目经理：</w:t>
      </w:r>
      <w:r>
        <w:rPr>
          <w:rFonts w:hint="eastAsia" w:ascii="仿宋" w:hAnsi="仿宋" w:eastAsia="仿宋" w:cs="仿宋"/>
          <w:kern w:val="2"/>
          <w:sz w:val="24"/>
          <w:szCs w:val="24"/>
          <w:u w:val="single"/>
          <w:lang w:val="en-US" w:eastAsia="zh-CN" w:bidi="ar"/>
        </w:rPr>
        <w:t xml:space="preserve">                       </w:t>
      </w:r>
      <w:r>
        <w:rPr>
          <w:rFonts w:hint="eastAsia" w:ascii="仿宋" w:hAnsi="仿宋" w:eastAsia="仿宋" w:cs="仿宋"/>
          <w:kern w:val="2"/>
          <w:sz w:val="24"/>
          <w:szCs w:val="24"/>
          <w:lang w:val="en-US" w:eastAsia="zh-CN" w:bidi="ar"/>
        </w:rPr>
        <w:t>。</w:t>
      </w:r>
    </w:p>
    <w:p>
      <w:pPr>
        <w:keepNext w:val="0"/>
        <w:keepLines w:val="0"/>
        <w:widowControl w:val="0"/>
        <w:numPr>
          <w:ilvl w:val="0"/>
          <w:numId w:val="0"/>
        </w:numPr>
        <w:suppressLineNumbers w:val="0"/>
        <w:spacing w:before="0" w:beforeAutospacing="0" w:after="0" w:afterAutospacing="0" w:line="360" w:lineRule="auto"/>
        <w:ind w:left="0" w:leftChars="0" w:right="0" w:rightChars="0" w:firstLine="638" w:firstLineChars="266"/>
        <w:jc w:val="both"/>
        <w:rPr>
          <w:rFonts w:hint="eastAsia" w:ascii="仿宋" w:hAnsi="仿宋" w:eastAsia="仿宋" w:cs="仿宋"/>
          <w:kern w:val="2"/>
          <w:sz w:val="24"/>
          <w:szCs w:val="24"/>
          <w:lang w:val="en-US" w:eastAsia="zh-CN" w:bidi="ar"/>
        </w:rPr>
      </w:pPr>
      <w:bookmarkStart w:id="355" w:name="_Toc351203486"/>
      <w:r>
        <w:rPr>
          <w:rFonts w:hint="eastAsia" w:ascii="仿宋" w:hAnsi="仿宋" w:eastAsia="仿宋" w:cs="仿宋"/>
          <w:kern w:val="2"/>
          <w:sz w:val="24"/>
          <w:szCs w:val="24"/>
          <w:lang w:val="en-US" w:eastAsia="zh-CN" w:bidi="ar"/>
        </w:rPr>
        <w:t>六、合同文件构成</w:t>
      </w:r>
      <w:bookmarkEnd w:id="355"/>
    </w:p>
    <w:p>
      <w:pPr>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本协议书与下列文件一起构成合同文件：</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 xml:space="preserve">    （1）招标文件及其附件；</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（1）中标通知书</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（2）投标文件及其附录</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（3）专用合同条款及其附件</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（4）通用合同条款</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（5）技术标准和要求</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（6）图纸</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（7）已标价工程量清单或预算书</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（8）其他合同文件</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在合同订立及履行过程中形成的与合同有关的文件均构成合同文件组成部分。</w:t>
      </w:r>
    </w:p>
    <w:p>
      <w:pPr>
        <w:keepNext w:val="0"/>
        <w:keepLines w:val="0"/>
        <w:widowControl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仿宋" w:hAnsi="仿宋" w:eastAsia="仿宋" w:cs="仿宋"/>
          <w:sz w:val="24"/>
          <w:szCs w:val="24"/>
          <w:lang w:val="en-US"/>
        </w:rPr>
      </w:pPr>
      <w:r>
        <w:rPr>
          <w:rFonts w:hint="eastAsia" w:ascii="仿宋" w:hAnsi="仿宋" w:eastAsia="仿宋" w:cs="仿宋"/>
          <w:sz w:val="24"/>
          <w:szCs w:val="24"/>
          <w:lang w:eastAsia="zh-CN"/>
        </w:rPr>
        <w:t>上述各项合同文件包括合同当事人就该项合同文件所作出的补充和修改，属于同一类内容的文件，应以最新签署的为准。专用合同条款及其附件须经合同当事人签字并盖章。</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七、承    诺</w:t>
      </w:r>
    </w:p>
    <w:p>
      <w:pPr>
        <w:keepNext w:val="0"/>
        <w:keepLines w:val="0"/>
        <w:widowControl w:val="0"/>
        <w:suppressLineNumbers w:val="0"/>
        <w:spacing w:before="0" w:beforeAutospacing="0" w:after="0" w:afterAutospacing="0" w:line="360" w:lineRule="auto"/>
        <w:ind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1.发包人承诺按照法律规定履行项目审批手续、筹集工程建设资金并按照合同约定的期限和方式支付合同价款。</w:t>
      </w:r>
    </w:p>
    <w:p>
      <w:pPr>
        <w:keepNext w:val="0"/>
        <w:keepLines w:val="0"/>
        <w:widowControl w:val="0"/>
        <w:suppressLineNumbers w:val="0"/>
        <w:spacing w:before="0" w:beforeAutospacing="0" w:after="0" w:afterAutospacing="0" w:line="360" w:lineRule="auto"/>
        <w:ind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2.承包人承诺按照法律规定及合同约定组织完成工程施工，确保工程质量和安全，不进行转包及违法分包，并在缺陷责任期（二年）及保修期（质保期）内承担相应的工程维修责任。</w:t>
      </w:r>
    </w:p>
    <w:p>
      <w:pPr>
        <w:keepNext w:val="0"/>
        <w:keepLines w:val="0"/>
        <w:widowControl w:val="0"/>
        <w:suppressLineNumbers w:val="0"/>
        <w:spacing w:before="0" w:beforeAutospacing="0" w:after="0" w:afterAutospacing="0" w:line="360" w:lineRule="auto"/>
        <w:ind w:right="0"/>
        <w:jc w:val="both"/>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3.发包人和承包人通过招投标形式签订合同的，双方理解并承诺不再就同一工程另行签订与合同实质性内容相背离的协议。</w:t>
      </w:r>
    </w:p>
    <w:p>
      <w:pPr>
        <w:keepNext w:val="0"/>
        <w:keepLines w:val="0"/>
        <w:widowControl w:val="0"/>
        <w:suppressLineNumbers w:val="0"/>
        <w:spacing w:before="0" w:beforeAutospacing="0" w:after="0" w:afterAutospacing="0" w:line="360" w:lineRule="auto"/>
        <w:ind w:right="0"/>
        <w:jc w:val="both"/>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4.履约保证金为合同金额的5%，由承包人以转银行保函、保险公司保函的形式在合同签订前向发包人提交。</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八、词语含义</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 xml:space="preserve">   本协议书中词语含义与第二部分通用合同条款中赋予的含义相同。</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九、签订时间</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highlight w:val="yellow"/>
          <w:lang w:val="en-US"/>
        </w:rPr>
      </w:pPr>
      <w:r>
        <w:rPr>
          <w:rFonts w:hint="eastAsia" w:ascii="仿宋" w:hAnsi="仿宋" w:eastAsia="仿宋" w:cs="仿宋"/>
          <w:kern w:val="2"/>
          <w:sz w:val="24"/>
          <w:szCs w:val="24"/>
          <w:lang w:val="en-US" w:eastAsia="zh-CN" w:bidi="ar"/>
        </w:rPr>
        <w:t xml:space="preserve">   本合同于</w:t>
      </w:r>
      <w:r>
        <w:rPr>
          <w:rFonts w:hint="eastAsia" w:ascii="仿宋" w:hAnsi="仿宋" w:eastAsia="仿宋" w:cs="仿宋"/>
          <w:kern w:val="2"/>
          <w:sz w:val="24"/>
          <w:szCs w:val="24"/>
          <w:u w:val="single"/>
          <w:lang w:val="en-US" w:eastAsia="zh-CN" w:bidi="ar"/>
        </w:rPr>
        <w:t xml:space="preserve">             </w:t>
      </w:r>
      <w:r>
        <w:rPr>
          <w:rFonts w:hint="eastAsia" w:ascii="仿宋" w:hAnsi="仿宋" w:eastAsia="仿宋" w:cs="仿宋"/>
          <w:kern w:val="2"/>
          <w:sz w:val="24"/>
          <w:szCs w:val="24"/>
          <w:lang w:val="en-US" w:eastAsia="zh-CN" w:bidi="ar"/>
        </w:rPr>
        <w:t>签订。</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十、签订地点</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 xml:space="preserve">   本合同在</w:t>
      </w:r>
      <w:r>
        <w:rPr>
          <w:rFonts w:hint="eastAsia" w:ascii="仿宋" w:hAnsi="仿宋" w:eastAsia="仿宋" w:cs="仿宋"/>
          <w:kern w:val="2"/>
          <w:sz w:val="24"/>
          <w:szCs w:val="24"/>
          <w:u w:val="single"/>
          <w:lang w:val="en-US" w:eastAsia="zh-CN" w:bidi="ar"/>
        </w:rPr>
        <w:t xml:space="preserve">   洛阳市洛龙区     </w:t>
      </w:r>
      <w:r>
        <w:rPr>
          <w:rFonts w:hint="eastAsia" w:ascii="仿宋" w:hAnsi="仿宋" w:eastAsia="仿宋" w:cs="仿宋"/>
          <w:kern w:val="2"/>
          <w:sz w:val="24"/>
          <w:szCs w:val="24"/>
          <w:lang w:val="en-US" w:eastAsia="zh-CN" w:bidi="ar"/>
        </w:rPr>
        <w:t>签订。</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十一、补充协议</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 xml:space="preserve">   合同未尽事宜，合同当事人另行签订补充协议，补充协议是合同的组成部分。</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十二、合同生效</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 xml:space="preserve">   本合同自</w:t>
      </w:r>
      <w:r>
        <w:rPr>
          <w:rFonts w:hint="eastAsia" w:ascii="仿宋" w:hAnsi="仿宋" w:eastAsia="仿宋" w:cs="仿宋"/>
          <w:kern w:val="2"/>
          <w:sz w:val="24"/>
          <w:szCs w:val="24"/>
          <w:u w:val="single"/>
          <w:lang w:val="en-US" w:eastAsia="zh-CN" w:bidi="ar"/>
        </w:rPr>
        <w:t xml:space="preserve"> 合同双方签字并盖章之日起 </w:t>
      </w:r>
      <w:r>
        <w:rPr>
          <w:rFonts w:hint="eastAsia" w:ascii="仿宋" w:hAnsi="仿宋" w:eastAsia="仿宋" w:cs="仿宋"/>
          <w:kern w:val="2"/>
          <w:sz w:val="24"/>
          <w:szCs w:val="24"/>
          <w:lang w:val="en-US" w:eastAsia="zh-CN" w:bidi="ar"/>
        </w:rPr>
        <w:t>生效。</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十三、合同份数</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sz w:val="24"/>
          <w:szCs w:val="24"/>
          <w:lang w:val="en-US"/>
        </w:rPr>
      </w:pPr>
      <w:r>
        <w:rPr>
          <w:rFonts w:hint="eastAsia" w:ascii="仿宋" w:hAnsi="仿宋" w:eastAsia="仿宋" w:cs="仿宋"/>
          <w:kern w:val="2"/>
          <w:sz w:val="24"/>
          <w:szCs w:val="24"/>
          <w:lang w:val="en-US" w:eastAsia="zh-CN" w:bidi="ar"/>
        </w:rPr>
        <w:t xml:space="preserve">   本合同一式</w:t>
      </w:r>
      <w:r>
        <w:rPr>
          <w:rFonts w:hint="eastAsia" w:ascii="仿宋" w:hAnsi="仿宋" w:eastAsia="仿宋" w:cs="仿宋"/>
          <w:kern w:val="2"/>
          <w:sz w:val="24"/>
          <w:szCs w:val="24"/>
          <w:u w:val="single"/>
          <w:lang w:val="en-US" w:eastAsia="zh-CN" w:bidi="ar"/>
        </w:rPr>
        <w:t xml:space="preserve">  拾肆 </w:t>
      </w:r>
      <w:r>
        <w:rPr>
          <w:rFonts w:hint="eastAsia" w:ascii="仿宋" w:hAnsi="仿宋" w:eastAsia="仿宋" w:cs="仿宋"/>
          <w:kern w:val="2"/>
          <w:sz w:val="24"/>
          <w:szCs w:val="24"/>
          <w:lang w:val="en-US" w:eastAsia="zh-CN" w:bidi="ar"/>
        </w:rPr>
        <w:t>份，均具有同等法律效力，发包人执</w:t>
      </w:r>
      <w:r>
        <w:rPr>
          <w:rFonts w:hint="eastAsia" w:ascii="仿宋" w:hAnsi="仿宋" w:eastAsia="仿宋" w:cs="仿宋"/>
          <w:kern w:val="2"/>
          <w:sz w:val="24"/>
          <w:szCs w:val="24"/>
          <w:u w:val="single"/>
          <w:lang w:val="en-US" w:eastAsia="zh-CN" w:bidi="ar"/>
        </w:rPr>
        <w:t xml:space="preserve"> 捌 </w:t>
      </w:r>
      <w:r>
        <w:rPr>
          <w:rFonts w:hint="eastAsia" w:ascii="仿宋" w:hAnsi="仿宋" w:eastAsia="仿宋" w:cs="仿宋"/>
          <w:kern w:val="2"/>
          <w:sz w:val="24"/>
          <w:szCs w:val="24"/>
          <w:lang w:val="en-US" w:eastAsia="zh-CN" w:bidi="ar"/>
        </w:rPr>
        <w:t>份，承包人执</w:t>
      </w:r>
      <w:r>
        <w:rPr>
          <w:rFonts w:hint="eastAsia" w:ascii="仿宋" w:hAnsi="仿宋" w:eastAsia="仿宋" w:cs="仿宋"/>
          <w:kern w:val="2"/>
          <w:sz w:val="24"/>
          <w:szCs w:val="24"/>
          <w:u w:val="single"/>
          <w:lang w:val="en-US" w:eastAsia="zh-CN" w:bidi="ar"/>
        </w:rPr>
        <w:t xml:space="preserve"> 陆 </w:t>
      </w:r>
      <w:r>
        <w:rPr>
          <w:rFonts w:hint="eastAsia" w:ascii="仿宋" w:hAnsi="仿宋" w:eastAsia="仿宋" w:cs="仿宋"/>
          <w:kern w:val="2"/>
          <w:sz w:val="24"/>
          <w:szCs w:val="24"/>
          <w:lang w:val="en-US" w:eastAsia="zh-CN" w:bidi="ar"/>
        </w:rPr>
        <w:t>份。</w:t>
      </w:r>
    </w:p>
    <w:p>
      <w:pPr>
        <w:keepNext w:val="0"/>
        <w:keepLines w:val="0"/>
        <w:widowControl w:val="0"/>
        <w:suppressLineNumbers w:val="0"/>
        <w:spacing w:before="0" w:beforeAutospacing="0" w:after="0" w:afterAutospacing="0" w:line="360" w:lineRule="auto"/>
        <w:ind w:left="0" w:right="0"/>
        <w:jc w:val="both"/>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（本页无正文）</w:t>
      </w:r>
    </w:p>
    <w:p>
      <w:pPr>
        <w:keepNext w:val="0"/>
        <w:keepLines w:val="0"/>
        <w:widowControl w:val="0"/>
        <w:suppressLineNumbers w:val="0"/>
        <w:spacing w:before="0" w:beforeAutospacing="0" w:after="0" w:afterAutospacing="0" w:line="360" w:lineRule="auto"/>
        <w:ind w:left="0" w:leftChars="0" w:right="0" w:firstLine="840" w:firstLineChars="350"/>
        <w:jc w:val="both"/>
        <w:rPr>
          <w:rFonts w:hint="eastAsia" w:ascii="仿宋" w:hAnsi="仿宋" w:eastAsia="仿宋" w:cs="仿宋"/>
          <w:color w:val="000000"/>
          <w:kern w:val="2"/>
          <w:sz w:val="24"/>
          <w:szCs w:val="24"/>
          <w:lang w:val="en-US" w:eastAsia="zh-CN" w:bidi="ar"/>
        </w:rPr>
      </w:pPr>
    </w:p>
    <w:p>
      <w:pPr>
        <w:keepNext w:val="0"/>
        <w:keepLines w:val="0"/>
        <w:widowControl w:val="0"/>
        <w:suppressLineNumbers w:val="0"/>
        <w:spacing w:before="0" w:beforeAutospacing="0" w:after="0" w:afterAutospacing="0" w:line="360" w:lineRule="auto"/>
        <w:ind w:left="0" w:leftChars="0" w:right="0" w:firstLine="840" w:firstLineChars="350"/>
        <w:jc w:val="both"/>
        <w:rPr>
          <w:rFonts w:hint="eastAsia" w:ascii="仿宋" w:hAnsi="仿宋" w:eastAsia="仿宋" w:cs="仿宋"/>
          <w:color w:val="000000"/>
          <w:kern w:val="2"/>
          <w:sz w:val="24"/>
          <w:szCs w:val="24"/>
          <w:lang w:val="en-US" w:eastAsia="zh-CN" w:bidi="ar"/>
        </w:rPr>
      </w:pPr>
    </w:p>
    <w:p>
      <w:pPr>
        <w:keepNext w:val="0"/>
        <w:keepLines w:val="0"/>
        <w:widowControl w:val="0"/>
        <w:suppressLineNumbers w:val="0"/>
        <w:spacing w:before="0" w:beforeAutospacing="0" w:after="0" w:afterAutospacing="0" w:line="360" w:lineRule="auto"/>
        <w:ind w:left="0" w:leftChars="0" w:right="0" w:firstLine="840" w:firstLineChars="350"/>
        <w:jc w:val="both"/>
        <w:rPr>
          <w:rFonts w:hint="eastAsia" w:ascii="仿宋" w:hAnsi="仿宋" w:eastAsia="仿宋" w:cs="仿宋"/>
          <w:color w:val="000000"/>
          <w:sz w:val="24"/>
          <w:szCs w:val="24"/>
          <w:lang w:val="en-US"/>
        </w:rPr>
      </w:pPr>
      <w:r>
        <w:rPr>
          <w:rFonts w:hint="eastAsia" w:ascii="仿宋" w:hAnsi="仿宋" w:eastAsia="仿宋" w:cs="仿宋"/>
          <w:color w:val="000000"/>
          <w:kern w:val="2"/>
          <w:sz w:val="24"/>
          <w:szCs w:val="24"/>
          <w:lang w:val="en-US" w:eastAsia="zh-CN" w:bidi="ar"/>
        </w:rPr>
        <w:t xml:space="preserve">发包人：  (公章)             </w:t>
      </w:r>
      <w:r>
        <w:rPr>
          <w:rFonts w:hint="eastAsia" w:cs="仿宋"/>
          <w:color w:val="000000"/>
          <w:kern w:val="2"/>
          <w:sz w:val="24"/>
          <w:szCs w:val="24"/>
          <w:lang w:val="en-US" w:eastAsia="zh-CN" w:bidi="ar"/>
        </w:rPr>
        <w:t xml:space="preserve">   </w:t>
      </w:r>
      <w:r>
        <w:rPr>
          <w:rFonts w:hint="eastAsia" w:ascii="仿宋" w:hAnsi="仿宋" w:eastAsia="仿宋" w:cs="仿宋"/>
          <w:color w:val="000000"/>
          <w:kern w:val="2"/>
          <w:sz w:val="24"/>
          <w:szCs w:val="24"/>
          <w:lang w:val="en-US" w:eastAsia="zh-CN" w:bidi="ar"/>
        </w:rPr>
        <w:t>承包人：  (公章)</w:t>
      </w:r>
    </w:p>
    <w:p>
      <w:pPr>
        <w:keepNext w:val="0"/>
        <w:keepLines w:val="0"/>
        <w:widowControl w:val="0"/>
        <w:suppressLineNumbers w:val="0"/>
        <w:spacing w:before="0" w:beforeAutospacing="0" w:after="0" w:afterAutospacing="0" w:line="360" w:lineRule="auto"/>
        <w:ind w:left="0" w:leftChars="0" w:right="0" w:firstLine="840" w:firstLineChars="350"/>
        <w:jc w:val="both"/>
        <w:rPr>
          <w:rFonts w:hint="eastAsia" w:ascii="仿宋" w:hAnsi="仿宋" w:eastAsia="仿宋" w:cs="仿宋"/>
          <w:color w:val="000000"/>
          <w:kern w:val="2"/>
          <w:sz w:val="24"/>
          <w:szCs w:val="24"/>
          <w:lang w:val="en-US" w:eastAsia="zh-CN" w:bidi="ar"/>
        </w:rPr>
      </w:pPr>
      <w:r>
        <w:rPr>
          <w:rFonts w:hint="eastAsia" w:ascii="仿宋" w:hAnsi="仿宋" w:eastAsia="仿宋" w:cs="仿宋"/>
          <w:color w:val="000000"/>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leftChars="0" w:right="0" w:firstLine="840" w:firstLineChars="350"/>
        <w:jc w:val="both"/>
        <w:rPr>
          <w:rFonts w:hint="eastAsia" w:ascii="仿宋" w:hAnsi="仿宋" w:eastAsia="仿宋" w:cs="仿宋"/>
          <w:color w:val="000000"/>
          <w:sz w:val="24"/>
          <w:szCs w:val="24"/>
          <w:lang w:val="en-US"/>
        </w:rPr>
      </w:pPr>
      <w:r>
        <w:rPr>
          <w:rFonts w:hint="eastAsia" w:ascii="仿宋" w:hAnsi="仿宋" w:eastAsia="仿宋" w:cs="仿宋"/>
          <w:color w:val="000000"/>
          <w:kern w:val="2"/>
          <w:sz w:val="24"/>
          <w:szCs w:val="24"/>
          <w:lang w:val="en-US" w:eastAsia="zh-CN" w:bidi="ar"/>
        </w:rPr>
        <w:t>组织机构代码：</w:t>
      </w:r>
      <w:r>
        <w:rPr>
          <w:rFonts w:hint="eastAsia" w:ascii="仿宋" w:hAnsi="仿宋" w:eastAsia="仿宋" w:cs="仿宋"/>
          <w:color w:val="000000"/>
          <w:kern w:val="2"/>
          <w:sz w:val="24"/>
          <w:szCs w:val="24"/>
          <w:u w:val="single"/>
          <w:lang w:val="en-US" w:eastAsia="zh-CN" w:bidi="ar"/>
        </w:rPr>
        <w:t xml:space="preserve"> </w:t>
      </w:r>
      <w:r>
        <w:rPr>
          <w:rFonts w:hint="eastAsia" w:cs="仿宋"/>
          <w:color w:val="000000"/>
          <w:kern w:val="2"/>
          <w:sz w:val="24"/>
          <w:szCs w:val="24"/>
          <w:u w:val="single"/>
          <w:lang w:val="en-US" w:eastAsia="zh-CN" w:bidi="ar"/>
        </w:rPr>
        <w:t xml:space="preserve">         </w:t>
      </w:r>
      <w:r>
        <w:rPr>
          <w:rFonts w:hint="eastAsia" w:ascii="仿宋" w:hAnsi="仿宋" w:eastAsia="仿宋" w:cs="仿宋"/>
          <w:color w:val="000000"/>
          <w:kern w:val="2"/>
          <w:sz w:val="24"/>
          <w:szCs w:val="24"/>
          <w:u w:val="single"/>
          <w:lang w:val="en-US" w:eastAsia="zh-CN" w:bidi="ar"/>
        </w:rPr>
        <w:t xml:space="preserve"> </w:t>
      </w:r>
      <w:r>
        <w:rPr>
          <w:rFonts w:hint="eastAsia" w:cs="仿宋"/>
          <w:color w:val="000000"/>
          <w:kern w:val="2"/>
          <w:sz w:val="24"/>
          <w:szCs w:val="24"/>
          <w:u w:val="single"/>
          <w:lang w:val="en-US" w:eastAsia="zh-CN" w:bidi="ar"/>
        </w:rPr>
        <w:t xml:space="preserve">      </w:t>
      </w:r>
      <w:r>
        <w:rPr>
          <w:rFonts w:hint="eastAsia" w:cs="仿宋"/>
          <w:color w:val="000000"/>
          <w:kern w:val="2"/>
          <w:sz w:val="24"/>
          <w:szCs w:val="24"/>
          <w:u w:val="none"/>
          <w:lang w:val="en-US" w:eastAsia="zh-CN" w:bidi="ar"/>
        </w:rPr>
        <w:t xml:space="preserve"> </w:t>
      </w:r>
      <w:r>
        <w:rPr>
          <w:rFonts w:hint="eastAsia" w:ascii="仿宋" w:hAnsi="仿宋" w:eastAsia="仿宋" w:cs="仿宋"/>
          <w:color w:val="000000"/>
          <w:kern w:val="2"/>
          <w:sz w:val="24"/>
          <w:szCs w:val="24"/>
          <w:lang w:val="en-US" w:eastAsia="zh-CN" w:bidi="ar"/>
        </w:rPr>
        <w:t>组织机构代码：</w:t>
      </w:r>
      <w:r>
        <w:rPr>
          <w:rFonts w:hint="eastAsia" w:ascii="仿宋" w:hAnsi="仿宋" w:eastAsia="仿宋" w:cs="仿宋"/>
          <w:color w:val="000000"/>
          <w:kern w:val="2"/>
          <w:sz w:val="24"/>
          <w:szCs w:val="24"/>
          <w:u w:val="single"/>
          <w:lang w:val="en-US" w:eastAsia="zh-CN" w:bidi="ar"/>
        </w:rPr>
        <w:t xml:space="preserve"> </w:t>
      </w:r>
      <w:r>
        <w:rPr>
          <w:rFonts w:hint="eastAsia" w:cs="仿宋"/>
          <w:color w:val="000000"/>
          <w:kern w:val="2"/>
          <w:sz w:val="24"/>
          <w:szCs w:val="24"/>
          <w:u w:val="single"/>
          <w:lang w:val="en-US" w:eastAsia="zh-CN" w:bidi="ar"/>
        </w:rPr>
        <w:t xml:space="preserve">         </w:t>
      </w:r>
      <w:r>
        <w:rPr>
          <w:rFonts w:hint="eastAsia" w:ascii="仿宋" w:hAnsi="仿宋" w:eastAsia="仿宋" w:cs="仿宋"/>
          <w:color w:val="000000"/>
          <w:kern w:val="2"/>
          <w:sz w:val="24"/>
          <w:szCs w:val="24"/>
          <w:u w:val="single"/>
          <w:lang w:val="en-US" w:eastAsia="zh-CN" w:bidi="ar"/>
        </w:rPr>
        <w:t xml:space="preserve"> </w:t>
      </w:r>
      <w:r>
        <w:rPr>
          <w:rFonts w:hint="eastAsia" w:cs="仿宋"/>
          <w:color w:val="000000"/>
          <w:kern w:val="2"/>
          <w:sz w:val="24"/>
          <w:szCs w:val="24"/>
          <w:u w:val="single"/>
          <w:lang w:val="en-US" w:eastAsia="zh-CN" w:bidi="ar"/>
        </w:rPr>
        <w:t xml:space="preserve">      </w:t>
      </w:r>
    </w:p>
    <w:p>
      <w:pPr>
        <w:keepNext w:val="0"/>
        <w:keepLines w:val="0"/>
        <w:widowControl w:val="0"/>
        <w:suppressLineNumbers w:val="0"/>
        <w:spacing w:before="0" w:beforeAutospacing="0" w:after="0" w:afterAutospacing="0" w:line="360" w:lineRule="auto"/>
        <w:ind w:left="0" w:leftChars="0" w:right="0" w:firstLine="840" w:firstLineChars="350"/>
        <w:jc w:val="both"/>
        <w:rPr>
          <w:rFonts w:hint="eastAsia" w:ascii="仿宋" w:hAnsi="仿宋" w:eastAsia="仿宋" w:cs="仿宋"/>
          <w:color w:val="000000"/>
          <w:sz w:val="24"/>
          <w:szCs w:val="24"/>
          <w:u w:val="single"/>
          <w:lang w:val="en-US"/>
        </w:rPr>
      </w:pPr>
      <w:r>
        <w:rPr>
          <w:rFonts w:hint="eastAsia" w:ascii="仿宋" w:hAnsi="仿宋" w:eastAsia="仿宋" w:cs="仿宋"/>
          <w:color w:val="000000"/>
          <w:kern w:val="2"/>
          <w:sz w:val="24"/>
          <w:szCs w:val="24"/>
          <w:lang w:val="en-US" w:eastAsia="zh-CN" w:bidi="ar"/>
        </w:rPr>
        <w:t>地  址：</w:t>
      </w:r>
      <w:r>
        <w:rPr>
          <w:rFonts w:hint="eastAsia" w:ascii="仿宋" w:hAnsi="仿宋" w:eastAsia="仿宋" w:cs="仿宋"/>
          <w:kern w:val="2"/>
          <w:sz w:val="24"/>
          <w:szCs w:val="24"/>
          <w:u w:val="single"/>
          <w:lang w:val="en-US" w:eastAsia="zh-CN" w:bidi="ar"/>
        </w:rPr>
        <w:t xml:space="preserve">               </w:t>
      </w:r>
      <w:r>
        <w:rPr>
          <w:rFonts w:hint="eastAsia" w:ascii="仿宋" w:hAnsi="仿宋" w:eastAsia="仿宋" w:cs="仿宋"/>
          <w:kern w:val="2"/>
          <w:sz w:val="24"/>
          <w:szCs w:val="24"/>
          <w:lang w:val="en-US" w:eastAsia="zh-CN" w:bidi="ar"/>
        </w:rPr>
        <w:t xml:space="preserve">         </w:t>
      </w:r>
      <w:r>
        <w:rPr>
          <w:rFonts w:hint="eastAsia" w:ascii="仿宋" w:hAnsi="仿宋" w:eastAsia="仿宋" w:cs="仿宋"/>
          <w:color w:val="000000"/>
          <w:kern w:val="2"/>
          <w:sz w:val="24"/>
          <w:szCs w:val="24"/>
          <w:lang w:val="en-US" w:eastAsia="zh-CN" w:bidi="ar"/>
        </w:rPr>
        <w:t>地 址：</w:t>
      </w:r>
      <w:r>
        <w:rPr>
          <w:rFonts w:hint="eastAsia" w:ascii="仿宋" w:hAnsi="仿宋" w:eastAsia="仿宋" w:cs="仿宋"/>
          <w:color w:val="000000"/>
          <w:kern w:val="2"/>
          <w:sz w:val="24"/>
          <w:szCs w:val="24"/>
          <w:u w:val="single"/>
          <w:lang w:val="en-US" w:eastAsia="zh-CN" w:bidi="ar"/>
        </w:rPr>
        <w:t xml:space="preserve">                 </w:t>
      </w:r>
      <w:r>
        <w:rPr>
          <w:rFonts w:hint="eastAsia" w:ascii="仿宋" w:hAnsi="仿宋" w:eastAsia="仿宋" w:cs="仿宋"/>
          <w:color w:val="000000"/>
          <w:kern w:val="2"/>
          <w:sz w:val="24"/>
          <w:szCs w:val="24"/>
          <w:lang w:val="en-US" w:eastAsia="zh-CN" w:bidi="ar"/>
        </w:rPr>
        <w:t xml:space="preserve">    </w:t>
      </w:r>
    </w:p>
    <w:p>
      <w:pPr>
        <w:keepNext w:val="0"/>
        <w:keepLines w:val="0"/>
        <w:widowControl w:val="0"/>
        <w:suppressLineNumbers w:val="0"/>
        <w:spacing w:before="0" w:beforeAutospacing="0" w:after="0" w:afterAutospacing="0" w:line="360" w:lineRule="auto"/>
        <w:ind w:left="0" w:leftChars="0" w:right="0" w:firstLine="840" w:firstLineChars="350"/>
        <w:jc w:val="both"/>
        <w:rPr>
          <w:rFonts w:hint="eastAsia" w:ascii="仿宋" w:hAnsi="仿宋" w:eastAsia="仿宋" w:cs="仿宋"/>
          <w:color w:val="000000"/>
          <w:kern w:val="2"/>
          <w:sz w:val="24"/>
          <w:szCs w:val="24"/>
          <w:u w:val="single"/>
          <w:lang w:val="en-US" w:eastAsia="zh-CN" w:bidi="ar"/>
        </w:rPr>
      </w:pPr>
      <w:r>
        <w:rPr>
          <w:rFonts w:hint="eastAsia" w:ascii="仿宋" w:hAnsi="仿宋" w:eastAsia="仿宋" w:cs="仿宋"/>
          <w:color w:val="000000"/>
          <w:kern w:val="2"/>
          <w:sz w:val="24"/>
          <w:szCs w:val="24"/>
          <w:lang w:val="en-US" w:eastAsia="zh-CN" w:bidi="ar"/>
        </w:rPr>
        <w:t xml:space="preserve">邮政编码： </w:t>
      </w:r>
      <w:r>
        <w:rPr>
          <w:rFonts w:hint="eastAsia" w:ascii="仿宋" w:hAnsi="仿宋" w:eastAsia="仿宋" w:cs="仿宋"/>
          <w:color w:val="000000"/>
          <w:kern w:val="2"/>
          <w:sz w:val="24"/>
          <w:szCs w:val="24"/>
          <w:u w:val="single"/>
          <w:lang w:val="en-US" w:eastAsia="zh-CN" w:bidi="ar"/>
        </w:rPr>
        <w:t xml:space="preserve">       </w:t>
      </w:r>
      <w:r>
        <w:rPr>
          <w:rFonts w:hint="eastAsia" w:ascii="仿宋" w:hAnsi="仿宋" w:eastAsia="仿宋" w:cs="仿宋"/>
          <w:color w:val="000000"/>
          <w:kern w:val="2"/>
          <w:sz w:val="24"/>
          <w:szCs w:val="24"/>
          <w:lang w:val="en-US" w:eastAsia="zh-CN" w:bidi="ar"/>
        </w:rPr>
        <w:t xml:space="preserve">       </w:t>
      </w:r>
      <w:r>
        <w:rPr>
          <w:rFonts w:hint="eastAsia" w:cs="仿宋"/>
          <w:color w:val="000000"/>
          <w:kern w:val="2"/>
          <w:sz w:val="24"/>
          <w:szCs w:val="24"/>
          <w:lang w:val="en-US" w:eastAsia="zh-CN" w:bidi="ar"/>
        </w:rPr>
        <w:t xml:space="preserve"> </w:t>
      </w:r>
      <w:r>
        <w:rPr>
          <w:rFonts w:hint="eastAsia" w:ascii="仿宋" w:hAnsi="仿宋" w:eastAsia="仿宋" w:cs="仿宋"/>
          <w:color w:val="000000"/>
          <w:kern w:val="2"/>
          <w:sz w:val="24"/>
          <w:szCs w:val="24"/>
          <w:lang w:val="en-US" w:eastAsia="zh-CN" w:bidi="ar"/>
        </w:rPr>
        <w:t>邮政编码：</w:t>
      </w:r>
      <w:r>
        <w:rPr>
          <w:rFonts w:hint="eastAsia" w:ascii="仿宋" w:hAnsi="仿宋" w:eastAsia="仿宋" w:cs="仿宋"/>
          <w:kern w:val="2"/>
          <w:sz w:val="24"/>
          <w:szCs w:val="24"/>
          <w:u w:val="single"/>
          <w:lang w:val="en-US" w:eastAsia="zh-CN" w:bidi="ar"/>
        </w:rPr>
        <w:t xml:space="preserve">              </w:t>
      </w:r>
      <w:r>
        <w:rPr>
          <w:rFonts w:hint="eastAsia" w:ascii="仿宋" w:hAnsi="仿宋" w:eastAsia="仿宋" w:cs="仿宋"/>
          <w:color w:val="000000"/>
          <w:kern w:val="2"/>
          <w:sz w:val="24"/>
          <w:szCs w:val="24"/>
          <w:u w:val="single"/>
          <w:lang w:val="en-US" w:eastAsia="zh-CN" w:bidi="ar"/>
        </w:rPr>
        <w:t></w:t>
      </w:r>
    </w:p>
    <w:p>
      <w:pPr>
        <w:keepNext w:val="0"/>
        <w:keepLines w:val="0"/>
        <w:widowControl w:val="0"/>
        <w:suppressLineNumbers w:val="0"/>
        <w:spacing w:before="0" w:beforeAutospacing="0" w:after="0" w:afterAutospacing="0" w:line="360" w:lineRule="auto"/>
        <w:ind w:left="0" w:leftChars="0" w:right="0" w:firstLine="840" w:firstLineChars="350"/>
        <w:jc w:val="both"/>
        <w:rPr>
          <w:rFonts w:hint="eastAsia" w:ascii="仿宋" w:hAnsi="仿宋" w:eastAsia="仿宋" w:cs="仿宋"/>
          <w:color w:val="000000"/>
          <w:sz w:val="24"/>
          <w:szCs w:val="24"/>
          <w:lang w:val="en-US"/>
        </w:rPr>
      </w:pPr>
      <w:r>
        <w:rPr>
          <w:rFonts w:hint="eastAsia" w:ascii="仿宋" w:hAnsi="仿宋" w:eastAsia="仿宋" w:cs="仿宋"/>
          <w:color w:val="000000"/>
          <w:kern w:val="2"/>
          <w:sz w:val="24"/>
          <w:szCs w:val="24"/>
          <w:lang w:val="en-US" w:eastAsia="zh-CN" w:bidi="ar"/>
        </w:rPr>
        <w:t>法定代表人：</w:t>
      </w:r>
      <w:r>
        <w:rPr>
          <w:rFonts w:hint="eastAsia" w:ascii="仿宋" w:hAnsi="仿宋" w:eastAsia="仿宋" w:cs="仿宋"/>
          <w:color w:val="000000"/>
          <w:kern w:val="2"/>
          <w:sz w:val="24"/>
          <w:szCs w:val="24"/>
          <w:u w:val="single"/>
          <w:lang w:val="en-US" w:eastAsia="zh-CN" w:bidi="ar"/>
        </w:rPr>
        <w:t xml:space="preserve">      </w:t>
      </w:r>
      <w:r>
        <w:rPr>
          <w:rFonts w:hint="eastAsia" w:ascii="仿宋" w:hAnsi="仿宋" w:eastAsia="仿宋" w:cs="仿宋"/>
          <w:color w:val="000000"/>
          <w:kern w:val="2"/>
          <w:sz w:val="24"/>
          <w:szCs w:val="24"/>
          <w:lang w:val="en-US" w:eastAsia="zh-CN" w:bidi="ar"/>
        </w:rPr>
        <w:t xml:space="preserve">          法定代表人：</w:t>
      </w:r>
      <w:r>
        <w:rPr>
          <w:rFonts w:hint="eastAsia" w:ascii="仿宋" w:hAnsi="仿宋" w:eastAsia="仿宋" w:cs="仿宋"/>
          <w:color w:val="000000"/>
          <w:kern w:val="2"/>
          <w:sz w:val="24"/>
          <w:szCs w:val="24"/>
          <w:u w:val="single"/>
          <w:lang w:val="en-US" w:eastAsia="zh-CN" w:bidi="ar"/>
        </w:rPr>
        <w:t xml:space="preserve">         </w:t>
      </w:r>
    </w:p>
    <w:p>
      <w:pPr>
        <w:keepNext w:val="0"/>
        <w:keepLines w:val="0"/>
        <w:widowControl w:val="0"/>
        <w:suppressLineNumbers w:val="0"/>
        <w:spacing w:before="0" w:beforeAutospacing="0" w:after="0" w:afterAutospacing="0" w:line="360" w:lineRule="auto"/>
        <w:ind w:left="0" w:leftChars="0" w:right="0" w:firstLine="840" w:firstLineChars="350"/>
        <w:jc w:val="both"/>
        <w:rPr>
          <w:rFonts w:hint="eastAsia" w:ascii="仿宋" w:hAnsi="仿宋" w:eastAsia="仿宋" w:cs="仿宋"/>
          <w:color w:val="000000"/>
          <w:sz w:val="24"/>
          <w:szCs w:val="24"/>
          <w:lang w:val="en-US"/>
        </w:rPr>
      </w:pPr>
      <w:r>
        <w:rPr>
          <w:rFonts w:hint="eastAsia" w:ascii="仿宋" w:hAnsi="仿宋" w:eastAsia="仿宋" w:cs="仿宋"/>
          <w:color w:val="000000"/>
          <w:kern w:val="2"/>
          <w:sz w:val="24"/>
          <w:szCs w:val="24"/>
          <w:lang w:val="en-US" w:eastAsia="zh-CN" w:bidi="ar"/>
        </w:rPr>
        <w:t>委托代理人：</w:t>
      </w:r>
      <w:r>
        <w:rPr>
          <w:rFonts w:hint="eastAsia" w:ascii="仿宋" w:hAnsi="仿宋" w:eastAsia="仿宋" w:cs="仿宋"/>
          <w:color w:val="000000"/>
          <w:kern w:val="2"/>
          <w:sz w:val="24"/>
          <w:szCs w:val="24"/>
          <w:u w:val="single"/>
          <w:lang w:val="en-US" w:eastAsia="zh-CN" w:bidi="ar"/>
        </w:rPr>
        <w:t xml:space="preserve">  </w:t>
      </w:r>
      <w:r>
        <w:rPr>
          <w:rFonts w:hint="eastAsia" w:cs="仿宋"/>
          <w:color w:val="000000"/>
          <w:kern w:val="2"/>
          <w:sz w:val="24"/>
          <w:szCs w:val="24"/>
          <w:u w:val="single"/>
          <w:lang w:val="en-US" w:eastAsia="zh-CN" w:bidi="ar"/>
        </w:rPr>
        <w:t xml:space="preserve"> </w:t>
      </w:r>
      <w:r>
        <w:rPr>
          <w:rFonts w:hint="eastAsia" w:ascii="仿宋" w:hAnsi="仿宋" w:eastAsia="仿宋" w:cs="仿宋"/>
          <w:color w:val="000000"/>
          <w:kern w:val="2"/>
          <w:sz w:val="24"/>
          <w:szCs w:val="24"/>
          <w:u w:val="single"/>
          <w:lang w:val="en-US" w:eastAsia="zh-CN" w:bidi="ar"/>
        </w:rPr>
        <w:t xml:space="preserve">   </w:t>
      </w:r>
      <w:r>
        <w:rPr>
          <w:rFonts w:hint="eastAsia" w:ascii="仿宋" w:hAnsi="仿宋" w:eastAsia="仿宋" w:cs="仿宋"/>
          <w:color w:val="000000"/>
          <w:kern w:val="2"/>
          <w:sz w:val="24"/>
          <w:szCs w:val="24"/>
          <w:lang w:val="en-US" w:eastAsia="zh-CN" w:bidi="ar"/>
        </w:rPr>
        <w:t xml:space="preserve">        </w:t>
      </w:r>
      <w:r>
        <w:rPr>
          <w:rFonts w:hint="eastAsia" w:cs="仿宋"/>
          <w:color w:val="000000"/>
          <w:kern w:val="2"/>
          <w:sz w:val="24"/>
          <w:szCs w:val="24"/>
          <w:lang w:val="en-US" w:eastAsia="zh-CN" w:bidi="ar"/>
        </w:rPr>
        <w:t xml:space="preserve">  </w:t>
      </w:r>
      <w:r>
        <w:rPr>
          <w:rFonts w:hint="eastAsia" w:ascii="仿宋" w:hAnsi="仿宋" w:eastAsia="仿宋" w:cs="仿宋"/>
          <w:color w:val="000000"/>
          <w:kern w:val="2"/>
          <w:sz w:val="24"/>
          <w:szCs w:val="24"/>
          <w:lang w:val="en-US" w:eastAsia="zh-CN" w:bidi="ar"/>
        </w:rPr>
        <w:t>委托代理人：</w:t>
      </w:r>
      <w:r>
        <w:rPr>
          <w:rFonts w:hint="eastAsia" w:ascii="仿宋" w:hAnsi="仿宋" w:eastAsia="仿宋" w:cs="仿宋"/>
          <w:color w:val="000000"/>
          <w:kern w:val="2"/>
          <w:sz w:val="24"/>
          <w:szCs w:val="24"/>
          <w:u w:val="single"/>
          <w:lang w:val="en-US" w:eastAsia="zh-CN" w:bidi="ar"/>
        </w:rPr>
        <w:t xml:space="preserve">          </w:t>
      </w:r>
    </w:p>
    <w:p>
      <w:pPr>
        <w:keepNext w:val="0"/>
        <w:keepLines w:val="0"/>
        <w:widowControl w:val="0"/>
        <w:suppressLineNumbers w:val="0"/>
        <w:spacing w:before="0" w:beforeAutospacing="0" w:after="0" w:afterAutospacing="0" w:line="360" w:lineRule="auto"/>
        <w:ind w:left="0" w:leftChars="0" w:right="0" w:firstLine="840" w:firstLineChars="350"/>
        <w:jc w:val="both"/>
        <w:rPr>
          <w:rFonts w:hint="eastAsia" w:ascii="仿宋" w:hAnsi="仿宋" w:eastAsia="仿宋" w:cs="仿宋"/>
          <w:sz w:val="24"/>
          <w:szCs w:val="24"/>
          <w:lang w:val="en-US"/>
        </w:rPr>
      </w:pPr>
      <w:r>
        <w:rPr>
          <w:rFonts w:hint="eastAsia" w:ascii="仿宋" w:hAnsi="仿宋" w:eastAsia="仿宋" w:cs="仿宋"/>
          <w:color w:val="000000"/>
          <w:kern w:val="2"/>
          <w:sz w:val="24"/>
          <w:szCs w:val="24"/>
          <w:lang w:val="en-US" w:eastAsia="zh-CN" w:bidi="ar"/>
        </w:rPr>
        <w:t>电  话：</w:t>
      </w:r>
      <w:r>
        <w:rPr>
          <w:rFonts w:hint="eastAsia" w:ascii="仿宋" w:hAnsi="仿宋" w:eastAsia="仿宋" w:cs="仿宋"/>
          <w:color w:val="000000"/>
          <w:kern w:val="2"/>
          <w:sz w:val="24"/>
          <w:szCs w:val="24"/>
          <w:u w:val="single"/>
          <w:lang w:val="en-US" w:eastAsia="zh-CN" w:bidi="ar"/>
        </w:rPr>
        <w:t xml:space="preserve">        </w:t>
      </w:r>
      <w:r>
        <w:rPr>
          <w:rFonts w:hint="eastAsia" w:cs="仿宋"/>
          <w:color w:val="000000"/>
          <w:kern w:val="2"/>
          <w:sz w:val="24"/>
          <w:szCs w:val="24"/>
          <w:u w:val="single"/>
          <w:lang w:val="en-US" w:eastAsia="zh-CN" w:bidi="ar"/>
        </w:rPr>
        <w:t xml:space="preserve"> </w:t>
      </w:r>
      <w:r>
        <w:rPr>
          <w:rFonts w:hint="eastAsia" w:ascii="仿宋" w:hAnsi="仿宋" w:eastAsia="仿宋" w:cs="仿宋"/>
          <w:color w:val="000000"/>
          <w:kern w:val="2"/>
          <w:sz w:val="24"/>
          <w:szCs w:val="24"/>
          <w:u w:val="single"/>
          <w:lang w:val="en-US" w:eastAsia="zh-CN" w:bidi="ar"/>
        </w:rPr>
        <w:t xml:space="preserve">     </w:t>
      </w:r>
      <w:r>
        <w:rPr>
          <w:rFonts w:hint="eastAsia" w:ascii="仿宋" w:hAnsi="仿宋" w:eastAsia="仿宋" w:cs="仿宋"/>
          <w:color w:val="000000"/>
          <w:kern w:val="2"/>
          <w:sz w:val="24"/>
          <w:szCs w:val="24"/>
          <w:lang w:val="en-US" w:eastAsia="zh-CN" w:bidi="ar"/>
        </w:rPr>
        <w:t xml:space="preserve">          电  话：</w:t>
      </w:r>
      <w:r>
        <w:rPr>
          <w:rFonts w:hint="eastAsia" w:ascii="仿宋" w:hAnsi="仿宋" w:eastAsia="仿宋" w:cs="仿宋"/>
          <w:color w:val="000000"/>
          <w:kern w:val="2"/>
          <w:sz w:val="24"/>
          <w:szCs w:val="24"/>
          <w:u w:val="single"/>
          <w:lang w:val="en-US" w:eastAsia="zh-CN" w:bidi="ar"/>
        </w:rPr>
        <w:t></w:t>
      </w:r>
      <w:r>
        <w:rPr>
          <w:rFonts w:hint="eastAsia" w:ascii="仿宋" w:hAnsi="仿宋" w:eastAsia="仿宋" w:cs="仿宋"/>
          <w:kern w:val="2"/>
          <w:sz w:val="24"/>
          <w:szCs w:val="24"/>
          <w:u w:val="single"/>
          <w:lang w:val="en-US" w:eastAsia="zh-CN" w:bidi="ar"/>
        </w:rPr>
        <w:t xml:space="preserve">             </w:t>
      </w:r>
    </w:p>
    <w:p>
      <w:pPr>
        <w:keepNext w:val="0"/>
        <w:keepLines w:val="0"/>
        <w:widowControl w:val="0"/>
        <w:suppressLineNumbers w:val="0"/>
        <w:spacing w:before="0" w:beforeAutospacing="0" w:after="0" w:afterAutospacing="0" w:line="360" w:lineRule="auto"/>
        <w:ind w:left="0" w:leftChars="0" w:right="0" w:firstLine="840" w:firstLineChars="350"/>
        <w:jc w:val="both"/>
        <w:rPr>
          <w:rFonts w:hint="eastAsia" w:ascii="仿宋" w:hAnsi="仿宋" w:eastAsia="仿宋" w:cs="仿宋"/>
          <w:color w:val="000000"/>
          <w:sz w:val="24"/>
          <w:szCs w:val="24"/>
          <w:lang w:val="en-US"/>
        </w:rPr>
      </w:pPr>
      <w:r>
        <w:rPr>
          <w:rFonts w:hint="eastAsia" w:ascii="仿宋" w:hAnsi="仿宋" w:eastAsia="仿宋" w:cs="仿宋"/>
          <w:kern w:val="2"/>
          <w:sz w:val="24"/>
          <w:szCs w:val="24"/>
          <w:lang w:val="en-US" w:eastAsia="zh-CN" w:bidi="ar"/>
        </w:rPr>
        <w:t>传  真：</w:t>
      </w:r>
      <w:r>
        <w:rPr>
          <w:rFonts w:hint="eastAsia" w:ascii="仿宋" w:hAnsi="仿宋" w:eastAsia="仿宋" w:cs="仿宋"/>
          <w:kern w:val="2"/>
          <w:sz w:val="24"/>
          <w:szCs w:val="24"/>
          <w:u w:val="single"/>
          <w:lang w:val="en-US" w:eastAsia="zh-CN" w:bidi="ar"/>
        </w:rPr>
        <w:t xml:space="preserve">        </w:t>
      </w:r>
      <w:r>
        <w:rPr>
          <w:rFonts w:hint="eastAsia" w:cs="仿宋"/>
          <w:kern w:val="2"/>
          <w:sz w:val="24"/>
          <w:szCs w:val="24"/>
          <w:u w:val="single"/>
          <w:lang w:val="en-US" w:eastAsia="zh-CN" w:bidi="ar"/>
        </w:rPr>
        <w:t xml:space="preserve"> </w:t>
      </w:r>
      <w:r>
        <w:rPr>
          <w:rFonts w:hint="eastAsia" w:ascii="仿宋" w:hAnsi="仿宋" w:eastAsia="仿宋" w:cs="仿宋"/>
          <w:kern w:val="2"/>
          <w:sz w:val="24"/>
          <w:szCs w:val="24"/>
          <w:u w:val="single"/>
          <w:lang w:val="en-US" w:eastAsia="zh-CN" w:bidi="ar"/>
        </w:rPr>
        <w:t xml:space="preserve">      </w:t>
      </w:r>
      <w:r>
        <w:rPr>
          <w:rFonts w:hint="eastAsia" w:ascii="仿宋" w:hAnsi="仿宋" w:eastAsia="仿宋" w:cs="仿宋"/>
          <w:kern w:val="2"/>
          <w:sz w:val="24"/>
          <w:szCs w:val="24"/>
          <w:lang w:val="en-US" w:eastAsia="zh-CN" w:bidi="ar"/>
        </w:rPr>
        <w:t xml:space="preserve">       </w:t>
      </w:r>
      <w:r>
        <w:rPr>
          <w:rFonts w:hint="eastAsia" w:cs="仿宋"/>
          <w:kern w:val="2"/>
          <w:sz w:val="24"/>
          <w:szCs w:val="24"/>
          <w:lang w:val="en-US" w:eastAsia="zh-CN" w:bidi="ar"/>
        </w:rPr>
        <w:t xml:space="preserve">  </w:t>
      </w:r>
      <w:r>
        <w:rPr>
          <w:rFonts w:hint="eastAsia" w:ascii="仿宋" w:hAnsi="仿宋" w:eastAsia="仿宋" w:cs="仿宋"/>
          <w:kern w:val="2"/>
          <w:sz w:val="24"/>
          <w:szCs w:val="24"/>
          <w:lang w:val="en-US" w:eastAsia="zh-CN" w:bidi="ar"/>
        </w:rPr>
        <w:t>传  真：</w:t>
      </w:r>
      <w:r>
        <w:rPr>
          <w:rFonts w:hint="eastAsia" w:ascii="仿宋" w:hAnsi="仿宋" w:eastAsia="仿宋" w:cs="仿宋"/>
          <w:kern w:val="2"/>
          <w:sz w:val="24"/>
          <w:szCs w:val="24"/>
          <w:u w:val="single"/>
          <w:lang w:val="en-US" w:eastAsia="zh-CN" w:bidi="ar"/>
        </w:rPr>
        <w:t xml:space="preserve">          </w:t>
      </w:r>
      <w:r>
        <w:rPr>
          <w:rFonts w:hint="eastAsia" w:ascii="仿宋" w:hAnsi="仿宋" w:eastAsia="仿宋" w:cs="仿宋"/>
          <w:color w:val="000000"/>
          <w:kern w:val="2"/>
          <w:sz w:val="24"/>
          <w:szCs w:val="24"/>
          <w:u w:val="single"/>
          <w:lang w:val="en-US" w:eastAsia="zh-CN" w:bidi="ar"/>
        </w:rPr>
        <w:t xml:space="preserve">    </w:t>
      </w:r>
    </w:p>
    <w:p>
      <w:pPr>
        <w:keepNext w:val="0"/>
        <w:keepLines w:val="0"/>
        <w:widowControl w:val="0"/>
        <w:suppressLineNumbers w:val="0"/>
        <w:spacing w:before="0" w:beforeAutospacing="0" w:after="0" w:afterAutospacing="0" w:line="360" w:lineRule="auto"/>
        <w:ind w:left="0" w:leftChars="0" w:right="0" w:firstLine="840" w:firstLineChars="350"/>
        <w:jc w:val="both"/>
        <w:rPr>
          <w:rFonts w:hint="eastAsia" w:ascii="仿宋" w:hAnsi="仿宋" w:eastAsia="仿宋" w:cs="仿宋"/>
          <w:color w:val="000000"/>
          <w:sz w:val="24"/>
          <w:szCs w:val="24"/>
          <w:lang w:val="en-US"/>
        </w:rPr>
      </w:pPr>
      <w:r>
        <w:rPr>
          <w:rFonts w:hint="eastAsia" w:ascii="仿宋" w:hAnsi="仿宋" w:eastAsia="仿宋" w:cs="仿宋"/>
          <w:color w:val="000000"/>
          <w:kern w:val="2"/>
          <w:sz w:val="24"/>
          <w:szCs w:val="24"/>
          <w:lang w:val="en-US" w:eastAsia="zh-CN" w:bidi="ar"/>
        </w:rPr>
        <w:t>电子信箱：</w:t>
      </w:r>
      <w:r>
        <w:rPr>
          <w:rFonts w:hint="eastAsia" w:ascii="仿宋" w:hAnsi="仿宋" w:eastAsia="仿宋" w:cs="仿宋"/>
          <w:color w:val="000000"/>
          <w:kern w:val="2"/>
          <w:sz w:val="24"/>
          <w:szCs w:val="24"/>
          <w:u w:val="single"/>
          <w:lang w:val="en-US" w:eastAsia="zh-CN" w:bidi="ar"/>
        </w:rPr>
        <w:t xml:space="preserve">        </w:t>
      </w:r>
      <w:r>
        <w:rPr>
          <w:rFonts w:hint="eastAsia" w:cs="仿宋"/>
          <w:color w:val="000000"/>
          <w:kern w:val="2"/>
          <w:sz w:val="24"/>
          <w:szCs w:val="24"/>
          <w:u w:val="single"/>
          <w:lang w:val="en-US" w:eastAsia="zh-CN" w:bidi="ar"/>
        </w:rPr>
        <w:t xml:space="preserve"> </w:t>
      </w:r>
      <w:r>
        <w:rPr>
          <w:rFonts w:hint="eastAsia" w:ascii="仿宋" w:hAnsi="仿宋" w:eastAsia="仿宋" w:cs="仿宋"/>
          <w:color w:val="000000"/>
          <w:kern w:val="2"/>
          <w:sz w:val="24"/>
          <w:szCs w:val="24"/>
          <w:u w:val="single"/>
          <w:lang w:val="en-US" w:eastAsia="zh-CN" w:bidi="ar"/>
        </w:rPr>
        <w:t xml:space="preserve">     </w:t>
      </w:r>
      <w:r>
        <w:rPr>
          <w:rFonts w:hint="eastAsia" w:ascii="仿宋" w:hAnsi="仿宋" w:eastAsia="仿宋" w:cs="仿宋"/>
          <w:color w:val="000000"/>
          <w:kern w:val="2"/>
          <w:sz w:val="24"/>
          <w:szCs w:val="24"/>
          <w:lang w:val="en-US" w:eastAsia="zh-CN" w:bidi="ar"/>
        </w:rPr>
        <w:t xml:space="preserve">       </w:t>
      </w:r>
      <w:r>
        <w:rPr>
          <w:rFonts w:hint="eastAsia" w:cs="仿宋"/>
          <w:color w:val="000000"/>
          <w:kern w:val="2"/>
          <w:sz w:val="24"/>
          <w:szCs w:val="24"/>
          <w:lang w:val="en-US" w:eastAsia="zh-CN" w:bidi="ar"/>
        </w:rPr>
        <w:t xml:space="preserve"> </w:t>
      </w:r>
      <w:r>
        <w:rPr>
          <w:rFonts w:hint="eastAsia" w:ascii="仿宋" w:hAnsi="仿宋" w:eastAsia="仿宋" w:cs="仿宋"/>
          <w:color w:val="000000"/>
          <w:kern w:val="2"/>
          <w:sz w:val="24"/>
          <w:szCs w:val="24"/>
          <w:lang w:val="en-US" w:eastAsia="zh-CN" w:bidi="ar"/>
        </w:rPr>
        <w:t>电子信箱：</w:t>
      </w:r>
      <w:r>
        <w:rPr>
          <w:rFonts w:hint="eastAsia" w:ascii="仿宋" w:hAnsi="仿宋" w:eastAsia="仿宋" w:cs="仿宋"/>
          <w:color w:val="000000"/>
          <w:kern w:val="2"/>
          <w:sz w:val="24"/>
          <w:szCs w:val="24"/>
          <w:u w:val="single"/>
          <w:lang w:val="en-US" w:eastAsia="zh-CN" w:bidi="ar"/>
        </w:rPr>
        <w:t>      </w:t>
      </w:r>
    </w:p>
    <w:p>
      <w:pPr>
        <w:keepNext w:val="0"/>
        <w:keepLines w:val="0"/>
        <w:widowControl w:val="0"/>
        <w:suppressLineNumbers w:val="0"/>
        <w:spacing w:before="0" w:beforeAutospacing="0" w:after="0" w:afterAutospacing="0" w:line="360" w:lineRule="auto"/>
        <w:ind w:left="0" w:leftChars="0" w:right="0" w:firstLine="840" w:firstLineChars="350"/>
        <w:jc w:val="both"/>
        <w:rPr>
          <w:rFonts w:hint="eastAsia" w:ascii="仿宋" w:hAnsi="仿宋" w:eastAsia="仿宋" w:cs="仿宋"/>
          <w:color w:val="000000"/>
          <w:sz w:val="24"/>
          <w:szCs w:val="24"/>
          <w:lang w:val="en-US"/>
        </w:rPr>
      </w:pPr>
      <w:r>
        <w:rPr>
          <w:rFonts w:hint="eastAsia" w:ascii="仿宋" w:hAnsi="仿宋" w:eastAsia="仿宋" w:cs="仿宋"/>
          <w:color w:val="000000"/>
          <w:kern w:val="2"/>
          <w:sz w:val="24"/>
          <w:szCs w:val="24"/>
          <w:lang w:val="en-US" w:eastAsia="zh-CN" w:bidi="ar"/>
        </w:rPr>
        <w:t xml:space="preserve">开户银行： </w:t>
      </w:r>
      <w:r>
        <w:rPr>
          <w:rFonts w:hint="eastAsia" w:ascii="仿宋" w:hAnsi="仿宋" w:eastAsia="仿宋" w:cs="仿宋"/>
          <w:color w:val="000000"/>
          <w:kern w:val="2"/>
          <w:sz w:val="24"/>
          <w:szCs w:val="24"/>
          <w:u w:val="single"/>
          <w:lang w:val="en-US" w:eastAsia="zh-CN" w:bidi="ar"/>
        </w:rPr>
        <w:t xml:space="preserve">              </w:t>
      </w:r>
      <w:r>
        <w:rPr>
          <w:rFonts w:hint="eastAsia" w:ascii="仿宋" w:hAnsi="仿宋" w:eastAsia="仿宋" w:cs="仿宋"/>
          <w:color w:val="000000"/>
          <w:kern w:val="2"/>
          <w:sz w:val="24"/>
          <w:szCs w:val="24"/>
          <w:lang w:val="en-US" w:eastAsia="zh-CN" w:bidi="ar"/>
        </w:rPr>
        <w:t xml:space="preserve">      </w:t>
      </w:r>
      <w:r>
        <w:rPr>
          <w:rFonts w:hint="eastAsia" w:cs="仿宋"/>
          <w:color w:val="000000"/>
          <w:kern w:val="2"/>
          <w:sz w:val="24"/>
          <w:szCs w:val="24"/>
          <w:lang w:val="en-US" w:eastAsia="zh-CN" w:bidi="ar"/>
        </w:rPr>
        <w:t xml:space="preserve"> </w:t>
      </w:r>
      <w:r>
        <w:rPr>
          <w:rFonts w:hint="eastAsia" w:ascii="仿宋" w:hAnsi="仿宋" w:eastAsia="仿宋" w:cs="仿宋"/>
          <w:color w:val="000000"/>
          <w:kern w:val="2"/>
          <w:sz w:val="24"/>
          <w:szCs w:val="24"/>
          <w:lang w:val="en-US" w:eastAsia="zh-CN" w:bidi="ar"/>
        </w:rPr>
        <w:t>开户银行：</w:t>
      </w:r>
      <w:r>
        <w:rPr>
          <w:rFonts w:hint="eastAsia" w:ascii="仿宋" w:hAnsi="仿宋" w:eastAsia="仿宋" w:cs="仿宋"/>
          <w:color w:val="000000"/>
          <w:kern w:val="2"/>
          <w:sz w:val="24"/>
          <w:szCs w:val="24"/>
          <w:u w:val="single"/>
          <w:lang w:val="en-US" w:eastAsia="zh-CN" w:bidi="ar"/>
        </w:rPr>
        <w:t xml:space="preserve">             </w:t>
      </w:r>
    </w:p>
    <w:p>
      <w:pPr>
        <w:keepNext w:val="0"/>
        <w:keepLines w:val="0"/>
        <w:widowControl w:val="0"/>
        <w:suppressLineNumbers w:val="0"/>
        <w:spacing w:before="0" w:beforeAutospacing="0" w:after="0" w:afterAutospacing="0" w:line="360" w:lineRule="auto"/>
        <w:ind w:left="0" w:leftChars="0" w:right="0" w:firstLine="840" w:firstLineChars="350"/>
        <w:jc w:val="both"/>
        <w:rPr>
          <w:rFonts w:hint="eastAsia" w:ascii="仿宋" w:hAnsi="仿宋" w:eastAsia="仿宋" w:cs="仿宋"/>
          <w:b/>
          <w:sz w:val="44"/>
          <w:szCs w:val="44"/>
          <w:lang w:val="en-US"/>
        </w:rPr>
      </w:pPr>
      <w:r>
        <w:rPr>
          <w:rFonts w:hint="eastAsia" w:ascii="仿宋" w:hAnsi="仿宋" w:eastAsia="仿宋" w:cs="仿宋"/>
          <w:color w:val="000000"/>
          <w:kern w:val="2"/>
          <w:sz w:val="24"/>
          <w:szCs w:val="24"/>
          <w:lang w:val="en-US" w:eastAsia="zh-CN" w:bidi="ar"/>
        </w:rPr>
        <w:t xml:space="preserve">账  号 ： </w:t>
      </w:r>
      <w:r>
        <w:rPr>
          <w:rFonts w:hint="eastAsia" w:ascii="仿宋" w:hAnsi="仿宋" w:eastAsia="仿宋" w:cs="仿宋"/>
          <w:color w:val="000000"/>
          <w:kern w:val="2"/>
          <w:sz w:val="24"/>
          <w:szCs w:val="24"/>
          <w:u w:val="single"/>
          <w:lang w:val="en-US" w:eastAsia="zh-CN" w:bidi="ar"/>
        </w:rPr>
        <w:t xml:space="preserve">              </w:t>
      </w:r>
      <w:r>
        <w:rPr>
          <w:rFonts w:hint="eastAsia" w:ascii="仿宋" w:hAnsi="仿宋" w:eastAsia="仿宋" w:cs="仿宋"/>
          <w:color w:val="000000"/>
          <w:kern w:val="2"/>
          <w:sz w:val="24"/>
          <w:szCs w:val="24"/>
          <w:lang w:val="en-US" w:eastAsia="zh-CN" w:bidi="ar"/>
        </w:rPr>
        <w:t xml:space="preserve">       </w:t>
      </w:r>
      <w:r>
        <w:rPr>
          <w:rFonts w:hint="eastAsia" w:cs="仿宋"/>
          <w:color w:val="000000"/>
          <w:kern w:val="2"/>
          <w:sz w:val="24"/>
          <w:szCs w:val="24"/>
          <w:lang w:val="en-US" w:eastAsia="zh-CN" w:bidi="ar"/>
        </w:rPr>
        <w:t xml:space="preserve"> </w:t>
      </w:r>
      <w:r>
        <w:rPr>
          <w:rFonts w:hint="eastAsia" w:ascii="仿宋" w:hAnsi="仿宋" w:eastAsia="仿宋" w:cs="仿宋"/>
          <w:color w:val="000000"/>
          <w:kern w:val="2"/>
          <w:sz w:val="24"/>
          <w:szCs w:val="24"/>
          <w:lang w:val="en-US" w:eastAsia="zh-CN" w:bidi="ar"/>
        </w:rPr>
        <w:t>账 号：</w:t>
      </w:r>
      <w:r>
        <w:rPr>
          <w:rFonts w:hint="eastAsia" w:ascii="仿宋" w:hAnsi="仿宋" w:eastAsia="仿宋" w:cs="仿宋"/>
          <w:color w:val="000000"/>
          <w:kern w:val="2"/>
          <w:sz w:val="24"/>
          <w:szCs w:val="24"/>
          <w:u w:val="single"/>
          <w:lang w:val="en-US" w:eastAsia="zh-CN" w:bidi="ar"/>
        </w:rPr>
        <w:t xml:space="preserve">                  </w:t>
      </w:r>
      <w:r>
        <w:rPr>
          <w:rFonts w:hint="eastAsia" w:ascii="仿宋" w:hAnsi="仿宋" w:eastAsia="仿宋" w:cs="仿宋"/>
          <w:color w:val="000000"/>
          <w:kern w:val="2"/>
          <w:sz w:val="24"/>
          <w:szCs w:val="24"/>
          <w:lang w:val="en-US" w:eastAsia="zh-CN" w:bidi="ar"/>
        </w:rPr>
        <w:t xml:space="preserve">  </w:t>
      </w:r>
      <w:r>
        <w:rPr>
          <w:rFonts w:hint="eastAsia" w:ascii="仿宋" w:hAnsi="仿宋" w:eastAsia="仿宋" w:cs="仿宋"/>
          <w:kern w:val="2"/>
          <w:sz w:val="21"/>
          <w:szCs w:val="24"/>
          <w:u w:val="single"/>
          <w:lang w:val="en-US" w:eastAsia="zh-CN" w:bidi="ar"/>
        </w:rPr>
        <w:br w:type="page"/>
      </w:r>
    </w:p>
    <w:p>
      <w:pPr>
        <w:keepNext w:val="0"/>
        <w:keepLines w:val="0"/>
        <w:widowControl w:val="0"/>
        <w:suppressLineNumbers w:val="0"/>
        <w:spacing w:before="0" w:beforeAutospacing="0" w:after="0" w:afterAutospacing="0"/>
        <w:ind w:left="0" w:right="0"/>
        <w:jc w:val="center"/>
        <w:rPr>
          <w:rFonts w:hint="eastAsia" w:ascii="仿宋" w:hAnsi="仿宋" w:eastAsia="仿宋" w:cs="仿宋"/>
          <w:sz w:val="30"/>
          <w:szCs w:val="30"/>
          <w:lang w:val="en-US"/>
        </w:rPr>
      </w:pPr>
      <w:r>
        <w:rPr>
          <w:rFonts w:hint="eastAsia" w:ascii="仿宋" w:hAnsi="仿宋" w:eastAsia="仿宋" w:cs="仿宋"/>
          <w:b/>
          <w:kern w:val="2"/>
          <w:sz w:val="30"/>
          <w:szCs w:val="30"/>
          <w:lang w:val="en-US" w:eastAsia="zh-CN" w:bidi="ar"/>
        </w:rPr>
        <w:t>第二部分 通用合同条款</w:t>
      </w:r>
    </w:p>
    <w:p>
      <w:pPr>
        <w:keepNext w:val="0"/>
        <w:keepLines w:val="0"/>
        <w:widowControl w:val="0"/>
        <w:suppressLineNumbers w:val="0"/>
        <w:spacing w:before="0" w:beforeAutospacing="0" w:after="0" w:afterAutospacing="0"/>
        <w:ind w:left="0" w:right="0"/>
        <w:jc w:val="both"/>
        <w:rPr>
          <w:rFonts w:hint="eastAsia" w:ascii="仿宋" w:hAnsi="仿宋" w:eastAsia="仿宋" w:cs="仿宋"/>
          <w:kern w:val="2"/>
          <w:sz w:val="30"/>
          <w:szCs w:val="30"/>
          <w:lang w:val="en-US" w:eastAsia="zh-CN" w:bidi="ar"/>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1"/>
          <w:szCs w:val="21"/>
          <w:lang w:val="en-US"/>
        </w:rPr>
      </w:pPr>
      <w:r>
        <w:rPr>
          <w:rFonts w:hint="eastAsia" w:ascii="仿宋" w:hAnsi="仿宋" w:eastAsia="仿宋" w:cs="仿宋"/>
          <w:kern w:val="2"/>
          <w:sz w:val="21"/>
          <w:szCs w:val="21"/>
          <w:lang w:val="en-US" w:eastAsia="zh-CN" w:bidi="ar"/>
        </w:rPr>
        <w:t>本部分按《建设工程施工合同（示范文本）》（GF--2017--0201）通用合同条款内容执行。</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30"/>
          <w:szCs w:val="30"/>
          <w:lang w:val="en-US"/>
        </w:rPr>
      </w:pPr>
      <w:r>
        <w:rPr>
          <w:rFonts w:hint="eastAsia" w:ascii="仿宋" w:hAnsi="仿宋" w:eastAsia="仿宋" w:cs="仿宋"/>
          <w:kern w:val="2"/>
          <w:sz w:val="30"/>
          <w:szCs w:val="30"/>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keepNext w:val="0"/>
        <w:keepLines w:val="0"/>
        <w:widowControl w:val="0"/>
        <w:suppressLineNumbers w:val="0"/>
        <w:spacing w:before="0" w:beforeAutospacing="0" w:after="0" w:afterAutospacing="0"/>
        <w:ind w:left="0" w:right="0"/>
        <w:jc w:val="both"/>
        <w:rPr>
          <w:rFonts w:hint="eastAsia" w:ascii="仿宋" w:hAnsi="仿宋" w:eastAsia="仿宋" w:cs="仿宋"/>
          <w:sz w:val="28"/>
          <w:szCs w:val="28"/>
          <w:lang w:val="en-US"/>
        </w:rPr>
      </w:pPr>
      <w:r>
        <w:rPr>
          <w:rFonts w:hint="eastAsia" w:ascii="仿宋" w:hAnsi="仿宋" w:eastAsia="仿宋" w:cs="仿宋"/>
          <w:kern w:val="2"/>
          <w:sz w:val="28"/>
          <w:szCs w:val="28"/>
          <w:lang w:val="en-US" w:eastAsia="zh-CN" w:bidi="ar"/>
        </w:rPr>
        <w:t xml:space="preserve"> </w:t>
      </w:r>
    </w:p>
    <w:p>
      <w:pPr>
        <w:pStyle w:val="4"/>
        <w:numPr>
          <w:ilvl w:val="0"/>
          <w:numId w:val="9"/>
        </w:numPr>
        <w:ind w:left="3360" w:leftChars="0" w:firstLineChars="0"/>
        <w:jc w:val="both"/>
        <w:rPr>
          <w:rFonts w:hint="eastAsia" w:ascii="仿宋" w:hAnsi="仿宋" w:eastAsia="仿宋" w:cs="仿宋"/>
          <w:color w:val="000000"/>
          <w:sz w:val="28"/>
          <w:szCs w:val="28"/>
        </w:rPr>
      </w:pPr>
      <w:bookmarkStart w:id="356" w:name="_Toc28069"/>
      <w:bookmarkStart w:id="357" w:name="_Toc3034"/>
      <w:r>
        <w:rPr>
          <w:rFonts w:hint="eastAsia" w:ascii="仿宋" w:hAnsi="仿宋" w:eastAsia="仿宋" w:cs="仿宋"/>
          <w:color w:val="000000"/>
          <w:sz w:val="28"/>
          <w:szCs w:val="28"/>
        </w:rPr>
        <w:t>专用合同条款</w:t>
      </w:r>
      <w:bookmarkEnd w:id="356"/>
      <w:bookmarkEnd w:id="357"/>
    </w:p>
    <w:p>
      <w:pPr>
        <w:spacing w:before="120" w:after="120" w:line="360" w:lineRule="auto"/>
        <w:outlineLvl w:val="9"/>
        <w:rPr>
          <w:rFonts w:hint="eastAsia" w:ascii="仿宋" w:hAnsi="仿宋" w:eastAsia="仿宋" w:cs="仿宋"/>
          <w:b w:val="0"/>
          <w:color w:val="auto"/>
          <w:sz w:val="21"/>
          <w:szCs w:val="21"/>
          <w:highlight w:val="none"/>
        </w:rPr>
      </w:pPr>
      <w:bookmarkStart w:id="358" w:name="_Toc351203633"/>
      <w:r>
        <w:rPr>
          <w:rFonts w:hint="eastAsia" w:ascii="仿宋" w:hAnsi="仿宋" w:eastAsia="仿宋" w:cs="仿宋"/>
          <w:b w:val="0"/>
          <w:color w:val="auto"/>
          <w:sz w:val="21"/>
          <w:szCs w:val="21"/>
          <w:highlight w:val="none"/>
        </w:rPr>
        <w:t>1</w:t>
      </w:r>
      <w:bookmarkStart w:id="359" w:name="_Toc292559361"/>
      <w:bookmarkStart w:id="360" w:name="_Toc296891196"/>
      <w:bookmarkStart w:id="361" w:name="_Toc296503156"/>
      <w:bookmarkStart w:id="362" w:name="_Toc297120456"/>
      <w:bookmarkStart w:id="363" w:name="_Toc296890984"/>
      <w:bookmarkStart w:id="364" w:name="_Toc296347155"/>
      <w:bookmarkStart w:id="365" w:name="_Toc297048342"/>
      <w:bookmarkStart w:id="366" w:name="_Toc296346657"/>
      <w:bookmarkStart w:id="367" w:name="_Toc296944495"/>
      <w:bookmarkStart w:id="368" w:name="_Toc292559866"/>
      <w:r>
        <w:rPr>
          <w:rFonts w:hint="eastAsia" w:ascii="仿宋" w:hAnsi="仿宋" w:eastAsia="仿宋" w:cs="仿宋"/>
          <w:b w:val="0"/>
          <w:color w:val="auto"/>
          <w:sz w:val="21"/>
          <w:szCs w:val="21"/>
          <w:highlight w:val="none"/>
        </w:rPr>
        <w:t>. 一般约定</w:t>
      </w:r>
      <w:bookmarkEnd w:id="358"/>
    </w:p>
    <w:bookmarkEnd w:id="359"/>
    <w:bookmarkEnd w:id="360"/>
    <w:bookmarkEnd w:id="361"/>
    <w:bookmarkEnd w:id="362"/>
    <w:bookmarkEnd w:id="363"/>
    <w:bookmarkEnd w:id="364"/>
    <w:bookmarkEnd w:id="365"/>
    <w:bookmarkEnd w:id="366"/>
    <w:bookmarkEnd w:id="367"/>
    <w:bookmarkEnd w:id="368"/>
    <w:p>
      <w:pPr>
        <w:spacing w:after="120"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 词语定义</w:t>
      </w:r>
    </w:p>
    <w:p>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1.1.1合同</w:t>
      </w:r>
    </w:p>
    <w:p>
      <w:pPr>
        <w:numPr>
          <w:ins w:id="0" w:author="微软用户" w:date="2021-07-07T16:31:00Z"/>
        </w:numPr>
        <w:autoSpaceDE w:val="0"/>
        <w:autoSpaceDN w:val="0"/>
        <w:adjustRightInd w:val="0"/>
        <w:spacing w:line="360" w:lineRule="auto"/>
        <w:ind w:firstLine="420" w:firstLineChars="200"/>
        <w:jc w:val="left"/>
        <w:rPr>
          <w:rFonts w:hint="eastAsia" w:ascii="仿宋" w:hAnsi="仿宋" w:eastAsia="仿宋" w:cs="仿宋"/>
          <w:color w:val="auto"/>
          <w:kern w:val="0"/>
          <w:sz w:val="21"/>
          <w:szCs w:val="21"/>
          <w:highlight w:val="none"/>
          <w:u w:val="single"/>
        </w:rPr>
      </w:pPr>
      <w:r>
        <w:rPr>
          <w:rFonts w:hint="eastAsia" w:ascii="仿宋" w:hAnsi="仿宋" w:eastAsia="仿宋" w:cs="仿宋"/>
          <w:color w:val="auto"/>
          <w:kern w:val="0"/>
          <w:sz w:val="21"/>
          <w:szCs w:val="21"/>
          <w:highlight w:val="none"/>
        </w:rPr>
        <w:t>合同文件包括：</w:t>
      </w:r>
      <w:r>
        <w:rPr>
          <w:rFonts w:hint="eastAsia" w:ascii="仿宋" w:hAnsi="仿宋" w:eastAsia="仿宋" w:cs="仿宋"/>
          <w:color w:val="auto"/>
          <w:kern w:val="0"/>
          <w:sz w:val="21"/>
          <w:szCs w:val="21"/>
          <w:highlight w:val="none"/>
          <w:u w:val="single"/>
        </w:rPr>
        <w:t>（1）招标</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lang w:val="en-US" w:eastAsia="zh-CN"/>
        </w:rPr>
        <w:t>采购</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rPr>
        <w:t>文件、招标</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lang w:val="en-US" w:eastAsia="zh-CN"/>
        </w:rPr>
        <w:t>采购</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rPr>
        <w:t>答疑及投标</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lang w:val="en-US" w:eastAsia="zh-CN"/>
        </w:rPr>
        <w:t>响应</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rPr>
        <w:t>文件；（2）合同协议书；（3）中标通知书；（4）投标函及其附件（5）专用合同条款及其附件；（6）技术标准和要求；（7）设计变更；（8）图纸；</w:t>
      </w:r>
      <w:r>
        <w:rPr>
          <w:rFonts w:hint="eastAsia" w:ascii="仿宋" w:hAnsi="仿宋" w:eastAsia="仿宋" w:cs="仿宋"/>
          <w:color w:val="auto"/>
          <w:sz w:val="21"/>
          <w:szCs w:val="21"/>
          <w:highlight w:val="none"/>
          <w:u w:val="single"/>
        </w:rPr>
        <w:t>施工组织设计；</w:t>
      </w:r>
      <w:r>
        <w:rPr>
          <w:rFonts w:hint="eastAsia" w:ascii="仿宋" w:hAnsi="仿宋" w:eastAsia="仿宋" w:cs="仿宋"/>
          <w:color w:val="auto"/>
          <w:kern w:val="0"/>
          <w:sz w:val="21"/>
          <w:szCs w:val="21"/>
          <w:highlight w:val="none"/>
          <w:u w:val="single"/>
        </w:rPr>
        <w:t>（9）已标价工程量清单或预算书及其附件；（10）其他合同文件；（11）通用合同条款。</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1.3</w:t>
      </w:r>
      <w:r>
        <w:rPr>
          <w:rFonts w:hint="eastAsia" w:ascii="仿宋" w:hAnsi="仿宋" w:eastAsia="仿宋" w:cs="仿宋"/>
          <w:color w:val="auto"/>
          <w:sz w:val="21"/>
          <w:szCs w:val="21"/>
          <w:highlight w:val="none"/>
        </w:rPr>
        <w:t xml:space="preserve"> 工程和设备</w:t>
      </w:r>
    </w:p>
    <w:p>
      <w:pPr>
        <w:spacing w:line="360" w:lineRule="auto"/>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3.7</w:t>
      </w:r>
      <w:r>
        <w:rPr>
          <w:rFonts w:hint="eastAsia" w:ascii="仿宋" w:hAnsi="仿宋" w:eastAsia="仿宋" w:cs="仿宋"/>
          <w:color w:val="auto"/>
          <w:sz w:val="21"/>
          <w:szCs w:val="21"/>
          <w:highlight w:val="none"/>
        </w:rPr>
        <w:t xml:space="preserve"> 作为施工现场组成部分的其他场所包括：</w:t>
      </w:r>
      <w:r>
        <w:rPr>
          <w:rFonts w:hint="eastAsia" w:ascii="仿宋" w:hAnsi="仿宋" w:eastAsia="仿宋" w:cs="仿宋"/>
          <w:color w:val="auto"/>
          <w:sz w:val="21"/>
          <w:szCs w:val="21"/>
          <w:highlight w:val="none"/>
          <w:u w:val="single"/>
        </w:rPr>
        <w:t xml:space="preserve"> 承包人的项目部及其他临时建筑      </w:t>
      </w:r>
      <w:r>
        <w:rPr>
          <w:rFonts w:hint="eastAsia" w:ascii="仿宋" w:hAnsi="仿宋" w:eastAsia="仿宋" w:cs="仿宋"/>
          <w:color w:val="auto"/>
          <w:sz w:val="21"/>
          <w:szCs w:val="21"/>
          <w:highlight w:val="none"/>
        </w:rPr>
        <w:t>。</w:t>
      </w:r>
    </w:p>
    <w:p>
      <w:pPr>
        <w:spacing w:line="360" w:lineRule="auto"/>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lang w:val="en-US" w:eastAsia="zh-CN"/>
        </w:rPr>
        <w:t>1.3.9</w:t>
      </w:r>
      <w:r>
        <w:rPr>
          <w:rFonts w:hint="eastAsia" w:ascii="仿宋" w:hAnsi="仿宋" w:eastAsia="仿宋" w:cs="仿宋"/>
          <w:color w:val="auto"/>
          <w:kern w:val="0"/>
          <w:sz w:val="21"/>
          <w:szCs w:val="21"/>
          <w:highlight w:val="none"/>
        </w:rPr>
        <w:t xml:space="preserve"> 永久占地包括：</w:t>
      </w:r>
      <w:r>
        <w:rPr>
          <w:rFonts w:hint="eastAsia" w:ascii="仿宋" w:hAnsi="仿宋" w:eastAsia="仿宋" w:cs="仿宋"/>
          <w:color w:val="auto"/>
          <w:sz w:val="21"/>
          <w:szCs w:val="21"/>
          <w:highlight w:val="none"/>
          <w:u w:val="single"/>
        </w:rPr>
        <w:t xml:space="preserve"> 建设工程红线范围内占地</w:t>
      </w:r>
      <w:r>
        <w:rPr>
          <w:rFonts w:hint="eastAsia" w:ascii="仿宋" w:hAnsi="仿宋" w:eastAsia="仿宋" w:cs="仿宋"/>
          <w:color w:val="auto"/>
          <w:kern w:val="0"/>
          <w:sz w:val="21"/>
          <w:szCs w:val="21"/>
          <w:highlight w:val="none"/>
        </w:rPr>
        <w:t>。</w:t>
      </w:r>
    </w:p>
    <w:p>
      <w:pP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1.</w:t>
      </w: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.3</w:t>
      </w:r>
      <w:r>
        <w:rPr>
          <w:rFonts w:hint="eastAsia" w:ascii="仿宋" w:hAnsi="仿宋" w:eastAsia="仿宋" w:cs="仿宋"/>
          <w:color w:val="auto"/>
          <w:kern w:val="0"/>
          <w:sz w:val="21"/>
          <w:szCs w:val="21"/>
          <w:highlight w:val="none"/>
          <w:lang w:val="en-US" w:eastAsia="zh-CN"/>
        </w:rPr>
        <w:t>.10</w:t>
      </w:r>
      <w:r>
        <w:rPr>
          <w:rFonts w:hint="eastAsia" w:ascii="仿宋" w:hAnsi="仿宋" w:eastAsia="仿宋" w:cs="仿宋"/>
          <w:color w:val="auto"/>
          <w:kern w:val="0"/>
          <w:sz w:val="21"/>
          <w:szCs w:val="21"/>
          <w:highlight w:val="none"/>
        </w:rPr>
        <w:t xml:space="preserve"> 临时占地包括：</w:t>
      </w:r>
      <w:r>
        <w:rPr>
          <w:rFonts w:hint="eastAsia" w:ascii="仿宋" w:hAnsi="仿宋" w:eastAsia="仿宋" w:cs="仿宋"/>
          <w:color w:val="auto"/>
          <w:sz w:val="21"/>
          <w:szCs w:val="21"/>
          <w:highlight w:val="none"/>
          <w:u w:val="single"/>
        </w:rPr>
        <w:t>临建设施、办公、机械设备停放、材料堆放等场所</w:t>
      </w:r>
      <w:r>
        <w:rPr>
          <w:rFonts w:hint="eastAsia" w:ascii="仿宋" w:hAnsi="仿宋" w:eastAsia="仿宋" w:cs="仿宋"/>
          <w:color w:val="auto"/>
          <w:kern w:val="0"/>
          <w:sz w:val="21"/>
          <w:szCs w:val="21"/>
          <w:highlight w:val="none"/>
        </w:rPr>
        <w:t>。</w:t>
      </w:r>
    </w:p>
    <w:p>
      <w:pPr>
        <w:spacing w:after="120"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1.3法律 </w:t>
      </w:r>
    </w:p>
    <w:p>
      <w:pPr>
        <w:autoSpaceDE w:val="0"/>
        <w:autoSpaceDN w:val="0"/>
        <w:spacing w:line="360" w:lineRule="auto"/>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《中华人民共和国文物保护法》《中华人民共和国建筑法》、《中华人民共和国</w:t>
      </w:r>
      <w:r>
        <w:rPr>
          <w:rFonts w:hint="eastAsia" w:ascii="仿宋" w:hAnsi="仿宋" w:eastAsia="仿宋" w:cs="仿宋"/>
          <w:color w:val="auto"/>
          <w:sz w:val="21"/>
          <w:szCs w:val="21"/>
          <w:highlight w:val="none"/>
          <w:u w:val="single"/>
          <w:lang w:val="en-US" w:eastAsia="zh-CN"/>
        </w:rPr>
        <w:t>民法典</w:t>
      </w:r>
      <w:r>
        <w:rPr>
          <w:rFonts w:hint="eastAsia" w:ascii="仿宋" w:hAnsi="仿宋" w:eastAsia="仿宋" w:cs="仿宋"/>
          <w:color w:val="auto"/>
          <w:sz w:val="21"/>
          <w:szCs w:val="21"/>
          <w:highlight w:val="none"/>
          <w:u w:val="single"/>
        </w:rPr>
        <w:t>》、《中华人民共和国招投标法》、《建筑工程强制性</w:t>
      </w:r>
      <w:r>
        <w:rPr>
          <w:rFonts w:hint="eastAsia" w:ascii="仿宋" w:hAnsi="仿宋" w:eastAsia="仿宋" w:cs="仿宋"/>
          <w:color w:val="auto"/>
          <w:sz w:val="21"/>
          <w:szCs w:val="21"/>
          <w:highlight w:val="none"/>
        </w:rPr>
        <w:t>标准</w:t>
      </w:r>
      <w:r>
        <w:rPr>
          <w:rFonts w:hint="eastAsia" w:ascii="仿宋" w:hAnsi="仿宋" w:eastAsia="仿宋" w:cs="仿宋"/>
          <w:color w:val="auto"/>
          <w:sz w:val="21"/>
          <w:szCs w:val="21"/>
          <w:highlight w:val="none"/>
          <w:u w:val="single"/>
        </w:rPr>
        <w:t>条文》、《建设工程质量管理条例》、《中华人民共和国安全生产法》、《建筑工程质量保修办法》、</w:t>
      </w:r>
      <w:r>
        <w:rPr>
          <w:rFonts w:hint="eastAsia" w:ascii="仿宋" w:hAnsi="仿宋" w:eastAsia="仿宋" w:cs="仿宋"/>
          <w:color w:val="auto"/>
          <w:sz w:val="21"/>
          <w:szCs w:val="21"/>
          <w:highlight w:val="none"/>
          <w:u w:val="single"/>
          <w:lang w:val="en-US" w:eastAsia="zh-CN"/>
        </w:rPr>
        <w:t>洛阳市</w:t>
      </w:r>
      <w:r>
        <w:rPr>
          <w:rFonts w:hint="eastAsia" w:ascii="仿宋" w:hAnsi="仿宋" w:eastAsia="仿宋" w:cs="仿宋"/>
          <w:color w:val="auto"/>
          <w:sz w:val="21"/>
          <w:szCs w:val="21"/>
          <w:highlight w:val="none"/>
          <w:u w:val="single"/>
        </w:rPr>
        <w:t>关于安全文明施工、扬尘降噪等的规定及相关法规、河南省</w:t>
      </w:r>
      <w:r>
        <w:rPr>
          <w:rFonts w:hint="eastAsia" w:ascii="仿宋" w:hAnsi="仿宋" w:eastAsia="仿宋" w:cs="仿宋"/>
          <w:color w:val="auto"/>
          <w:sz w:val="21"/>
          <w:szCs w:val="21"/>
          <w:highlight w:val="none"/>
          <w:u w:val="single"/>
          <w:lang w:eastAsia="zh-CN"/>
        </w:rPr>
        <w:t>、</w:t>
      </w:r>
      <w:r>
        <w:rPr>
          <w:rFonts w:hint="eastAsia" w:ascii="仿宋" w:hAnsi="仿宋" w:eastAsia="仿宋" w:cs="仿宋"/>
          <w:color w:val="auto"/>
          <w:sz w:val="21"/>
          <w:szCs w:val="21"/>
          <w:highlight w:val="none"/>
          <w:u w:val="single"/>
          <w:lang w:val="en-US" w:eastAsia="zh-CN"/>
        </w:rPr>
        <w:t>洛阳市</w:t>
      </w:r>
      <w:r>
        <w:rPr>
          <w:rFonts w:hint="eastAsia" w:ascii="仿宋" w:hAnsi="仿宋" w:eastAsia="仿宋" w:cs="仿宋"/>
          <w:color w:val="auto"/>
          <w:sz w:val="21"/>
          <w:szCs w:val="21"/>
          <w:highlight w:val="none"/>
          <w:u w:val="single"/>
        </w:rPr>
        <w:t>现行的有关法规、条例和文件等</w:t>
      </w:r>
      <w:r>
        <w:rPr>
          <w:rFonts w:hint="eastAsia" w:ascii="仿宋" w:hAnsi="仿宋" w:eastAsia="仿宋" w:cs="仿宋"/>
          <w:color w:val="auto"/>
          <w:sz w:val="21"/>
          <w:szCs w:val="21"/>
          <w:highlight w:val="none"/>
        </w:rPr>
        <w:t>。</w:t>
      </w:r>
    </w:p>
    <w:p>
      <w:pPr>
        <w:spacing w:after="120"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 标准和规范</w:t>
      </w:r>
    </w:p>
    <w:p>
      <w:pPr>
        <w:spacing w:line="360" w:lineRule="auto"/>
        <w:ind w:left="596" w:leftChars="284"/>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1.4.1适用于工程的标准规范包括：</w:t>
      </w:r>
      <w:r>
        <w:rPr>
          <w:rFonts w:hint="eastAsia" w:ascii="仿宋" w:hAnsi="仿宋" w:eastAsia="仿宋" w:cs="仿宋"/>
          <w:color w:val="auto"/>
          <w:sz w:val="21"/>
          <w:szCs w:val="21"/>
          <w:highlight w:val="none"/>
          <w:u w:val="single"/>
          <w:lang w:val="zh-CN"/>
        </w:rPr>
        <w:t>除招标（</w:t>
      </w:r>
      <w:r>
        <w:rPr>
          <w:rFonts w:hint="eastAsia" w:ascii="仿宋" w:hAnsi="仿宋" w:eastAsia="仿宋" w:cs="仿宋"/>
          <w:color w:val="auto"/>
          <w:sz w:val="21"/>
          <w:szCs w:val="21"/>
          <w:highlight w:val="none"/>
          <w:u w:val="single"/>
          <w:lang w:val="en-US" w:eastAsia="zh-CN"/>
        </w:rPr>
        <w:t>采购</w:t>
      </w:r>
      <w:r>
        <w:rPr>
          <w:rFonts w:hint="eastAsia" w:ascii="仿宋" w:hAnsi="仿宋" w:eastAsia="仿宋" w:cs="仿宋"/>
          <w:color w:val="auto"/>
          <w:sz w:val="21"/>
          <w:szCs w:val="21"/>
          <w:highlight w:val="none"/>
          <w:u w:val="single"/>
          <w:lang w:val="zh-CN"/>
        </w:rPr>
        <w:t>）文件、工程设计罗列部分外，</w:t>
      </w:r>
      <w:r>
        <w:rPr>
          <w:rFonts w:hint="eastAsia" w:ascii="仿宋" w:hAnsi="仿宋" w:eastAsia="仿宋" w:cs="仿宋"/>
          <w:color w:val="auto"/>
          <w:sz w:val="21"/>
          <w:szCs w:val="21"/>
          <w:highlight w:val="none"/>
        </w:rPr>
        <w:t>按照批准的施工图纸、</w:t>
      </w:r>
      <w:r>
        <w:rPr>
          <w:rFonts w:hint="eastAsia" w:ascii="仿宋" w:hAnsi="仿宋" w:eastAsia="仿宋" w:cs="仿宋"/>
          <w:color w:val="auto"/>
          <w:sz w:val="21"/>
          <w:szCs w:val="21"/>
          <w:highlight w:val="none"/>
          <w:u w:val="single"/>
          <w:lang w:val="zh-CN"/>
        </w:rPr>
        <w:t>执行国家及河南省、</w:t>
      </w:r>
      <w:r>
        <w:rPr>
          <w:rFonts w:hint="eastAsia" w:ascii="仿宋" w:hAnsi="仿宋" w:eastAsia="仿宋" w:cs="仿宋"/>
          <w:color w:val="auto"/>
          <w:sz w:val="21"/>
          <w:szCs w:val="21"/>
          <w:highlight w:val="none"/>
          <w:u w:val="single"/>
        </w:rPr>
        <w:t>洛阳市</w:t>
      </w:r>
      <w:r>
        <w:rPr>
          <w:rFonts w:hint="eastAsia" w:ascii="仿宋" w:hAnsi="仿宋" w:eastAsia="仿宋" w:cs="仿宋"/>
          <w:color w:val="auto"/>
          <w:sz w:val="21"/>
          <w:szCs w:val="21"/>
          <w:highlight w:val="none"/>
          <w:u w:val="single"/>
          <w:lang w:val="zh-CN"/>
        </w:rPr>
        <w:t>现行的与本工程建设有关的标准和施工及验收规范等。</w:t>
      </w:r>
      <w:r>
        <w:rPr>
          <w:rFonts w:hint="eastAsia" w:ascii="仿宋" w:hAnsi="仿宋" w:eastAsia="仿宋" w:cs="仿宋"/>
          <w:color w:val="auto"/>
          <w:sz w:val="21"/>
          <w:szCs w:val="21"/>
          <w:highlight w:val="none"/>
          <w:u w:val="single"/>
        </w:rPr>
        <w:t>上述标准、规范如有矛盾之处，承包人应书面提请发包人和监理工程师予以澄清</w:t>
      </w:r>
      <w:r>
        <w:rPr>
          <w:rFonts w:hint="eastAsia" w:ascii="仿宋" w:hAnsi="仿宋" w:eastAsia="仿宋" w:cs="仿宋"/>
          <w:color w:val="auto"/>
          <w:sz w:val="21"/>
          <w:szCs w:val="21"/>
          <w:highlight w:val="none"/>
          <w:u w:val="single"/>
          <w:lang w:eastAsia="zh-CN"/>
        </w:rPr>
        <w:t>。</w:t>
      </w:r>
    </w:p>
    <w:p>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1.4.2 发包人提供国外标准、规范的名称：</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rPr>
        <w:t>；</w:t>
      </w:r>
    </w:p>
    <w:p>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发包人提供国外标准、规范的份数：</w:t>
      </w:r>
      <w:r>
        <w:rPr>
          <w:rFonts w:hint="eastAsia" w:ascii="仿宋" w:hAnsi="仿宋" w:eastAsia="仿宋" w:cs="仿宋"/>
          <w:color w:val="auto"/>
          <w:kern w:val="0"/>
          <w:sz w:val="21"/>
          <w:szCs w:val="21"/>
          <w:highlight w:val="none"/>
          <w:u w:val="single"/>
        </w:rPr>
        <w:t xml:space="preserve">    / </w:t>
      </w:r>
      <w:r>
        <w:rPr>
          <w:rFonts w:hint="eastAsia" w:ascii="仿宋" w:hAnsi="仿宋" w:eastAsia="仿宋" w:cs="仿宋"/>
          <w:color w:val="auto"/>
          <w:kern w:val="0"/>
          <w:sz w:val="21"/>
          <w:szCs w:val="21"/>
          <w:highlight w:val="none"/>
        </w:rPr>
        <w:t>；</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发包人提供国外标准、规范的名称：</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rPr>
        <w:t>。</w:t>
      </w:r>
    </w:p>
    <w:p>
      <w:pPr>
        <w:spacing w:line="360" w:lineRule="auto"/>
        <w:ind w:left="596" w:leftChars="284"/>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1.4.3发包人对工程的技术标准和功能要求的特殊要求：</w:t>
      </w:r>
      <w:r>
        <w:rPr>
          <w:rFonts w:hint="eastAsia" w:ascii="仿宋" w:hAnsi="仿宋" w:eastAsia="仿宋" w:cs="仿宋"/>
          <w:color w:val="auto"/>
          <w:sz w:val="21"/>
          <w:szCs w:val="21"/>
          <w:highlight w:val="none"/>
          <w:u w:val="single"/>
        </w:rPr>
        <w:t xml:space="preserve"> /   </w:t>
      </w:r>
      <w:r>
        <w:rPr>
          <w:rFonts w:hint="eastAsia" w:ascii="仿宋" w:hAnsi="仿宋" w:eastAsia="仿宋" w:cs="仿宋"/>
          <w:color w:val="auto"/>
          <w:sz w:val="21"/>
          <w:szCs w:val="21"/>
          <w:highlight w:val="none"/>
        </w:rPr>
        <w:t>。</w:t>
      </w:r>
    </w:p>
    <w:p>
      <w:pPr>
        <w:spacing w:after="120"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 合同文件的优先顺序</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合同文件组成及优先顺序为：</w:t>
      </w:r>
      <w:r>
        <w:rPr>
          <w:rFonts w:hint="eastAsia" w:ascii="仿宋" w:hAnsi="仿宋" w:eastAsia="仿宋" w:cs="仿宋"/>
          <w:color w:val="auto"/>
          <w:kern w:val="0"/>
          <w:sz w:val="21"/>
          <w:szCs w:val="21"/>
          <w:highlight w:val="none"/>
          <w:u w:val="single"/>
        </w:rPr>
        <w:t>（1）招标</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lang w:val="en-US" w:eastAsia="zh-CN"/>
        </w:rPr>
        <w:t>采购</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rPr>
        <w:t>文件、招标</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lang w:val="en-US" w:eastAsia="zh-CN"/>
        </w:rPr>
        <w:t>采购</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rPr>
        <w:t>答疑</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rPr>
        <w:t>投标</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lang w:val="en-US" w:eastAsia="zh-CN"/>
        </w:rPr>
        <w:t>响应</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rPr>
        <w:t>文件；（2）中标</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lang w:val="en-US" w:eastAsia="zh-CN"/>
        </w:rPr>
        <w:t>成交</w:t>
      </w:r>
      <w:r>
        <w:rPr>
          <w:rFonts w:hint="eastAsia" w:ascii="仿宋" w:hAnsi="仿宋" w:eastAsia="仿宋" w:cs="仿宋"/>
          <w:color w:val="auto"/>
          <w:kern w:val="0"/>
          <w:sz w:val="21"/>
          <w:szCs w:val="21"/>
          <w:highlight w:val="none"/>
          <w:u w:val="single"/>
          <w:lang w:eastAsia="zh-CN"/>
        </w:rPr>
        <w:t>）</w:t>
      </w:r>
      <w:r>
        <w:rPr>
          <w:rFonts w:hint="eastAsia" w:ascii="仿宋" w:hAnsi="仿宋" w:eastAsia="仿宋" w:cs="仿宋"/>
          <w:color w:val="auto"/>
          <w:kern w:val="0"/>
          <w:sz w:val="21"/>
          <w:szCs w:val="21"/>
          <w:highlight w:val="none"/>
          <w:u w:val="single"/>
        </w:rPr>
        <w:t xml:space="preserve">通知书；（3）技术标准和要求；（4）设计变更；（5）图纸；（6）已标价工程量清单及其附件或预算书；（7）专用合同条款及其附件；（8）施工组织设计；（9）合同协议书；（12）其他合同文件；（11）通用合同条款 </w:t>
      </w:r>
      <w:r>
        <w:rPr>
          <w:rFonts w:hint="eastAsia" w:ascii="仿宋" w:hAnsi="仿宋" w:eastAsia="仿宋" w:cs="仿宋"/>
          <w:color w:val="auto"/>
          <w:sz w:val="21"/>
          <w:szCs w:val="21"/>
          <w:highlight w:val="none"/>
        </w:rPr>
        <w:t>。</w:t>
      </w:r>
    </w:p>
    <w:p>
      <w:pPr>
        <w:autoSpaceDE w:val="0"/>
        <w:autoSpaceDN w:val="0"/>
        <w:adjustRightInd w:val="0"/>
        <w:spacing w:line="360" w:lineRule="auto"/>
        <w:ind w:firstLine="420" w:firstLineChars="200"/>
        <w:jc w:val="left"/>
        <w:rPr>
          <w:rFonts w:hint="eastAsia" w:ascii="仿宋" w:hAnsi="仿宋" w:eastAsia="仿宋" w:cs="仿宋"/>
          <w:color w:val="auto"/>
          <w:kern w:val="0"/>
          <w:sz w:val="21"/>
          <w:szCs w:val="21"/>
          <w:highlight w:val="none"/>
          <w:u w:val="single"/>
        </w:rPr>
      </w:pPr>
      <w:r>
        <w:rPr>
          <w:rFonts w:hint="eastAsia" w:ascii="仿宋" w:hAnsi="仿宋" w:eastAsia="仿宋" w:cs="仿宋"/>
          <w:color w:val="auto"/>
          <w:kern w:val="0"/>
          <w:sz w:val="21"/>
          <w:szCs w:val="21"/>
          <w:highlight w:val="none"/>
          <w:u w:val="single"/>
        </w:rPr>
        <w:t>在合同订立及履行过程中形成的与合同有关的文件均构成合同文件组成部分，并根据其性质确定优先解释顺序。</w:t>
      </w:r>
    </w:p>
    <w:p>
      <w:pPr>
        <w:spacing w:after="120"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 图纸和承包人文件</w:t>
      </w:r>
      <w:r>
        <w:rPr>
          <w:rFonts w:hint="eastAsia" w:ascii="仿宋" w:hAnsi="仿宋" w:eastAsia="仿宋" w:cs="仿宋"/>
          <w:color w:val="auto"/>
          <w:sz w:val="21"/>
          <w:szCs w:val="21"/>
          <w:highlight w:val="none"/>
        </w:rPr>
        <w:tab/>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1.6.1 图纸的提供</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发包人向承包人提供图纸的期限：</w:t>
      </w:r>
      <w:r>
        <w:rPr>
          <w:rFonts w:hint="eastAsia" w:ascii="仿宋" w:hAnsi="仿宋" w:eastAsia="仿宋" w:cs="仿宋"/>
          <w:color w:val="auto"/>
          <w:sz w:val="21"/>
          <w:szCs w:val="21"/>
          <w:highlight w:val="none"/>
          <w:u w:val="single"/>
        </w:rPr>
        <w:t xml:space="preserve">承包人进场前7日内    </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发包人向承包人提供图纸的数量：</w:t>
      </w:r>
      <w:r>
        <w:rPr>
          <w:rFonts w:hint="eastAsia" w:ascii="仿宋" w:hAnsi="仿宋" w:eastAsia="仿宋" w:cs="仿宋"/>
          <w:color w:val="auto"/>
          <w:sz w:val="21"/>
          <w:szCs w:val="21"/>
          <w:highlight w:val="none"/>
          <w:u w:val="single"/>
        </w:rPr>
        <w:t xml:space="preserve">三套。              </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发包人向承包人提供图纸的内容：</w:t>
      </w:r>
      <w:r>
        <w:rPr>
          <w:rFonts w:hint="eastAsia" w:ascii="仿宋" w:hAnsi="仿宋" w:eastAsia="仿宋" w:cs="仿宋"/>
          <w:color w:val="auto"/>
          <w:sz w:val="21"/>
          <w:szCs w:val="21"/>
          <w:highlight w:val="none"/>
          <w:u w:val="single"/>
        </w:rPr>
        <w:t>与本合同工程相关的全套施工图纸</w:t>
      </w:r>
      <w:r>
        <w:rPr>
          <w:rFonts w:hint="eastAsia" w:ascii="仿宋" w:hAnsi="仿宋" w:eastAsia="仿宋" w:cs="仿宋"/>
          <w:color w:val="auto"/>
          <w:sz w:val="21"/>
          <w:szCs w:val="21"/>
          <w:highlight w:val="none"/>
        </w:rPr>
        <w:t>。</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 xml:space="preserve"> 承包人文件</w:t>
      </w:r>
    </w:p>
    <w:p>
      <w:pPr>
        <w:spacing w:line="360" w:lineRule="auto"/>
        <w:ind w:left="596" w:leftChars="284"/>
        <w:jc w:val="left"/>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需要由承包人提供的文件，包括：</w:t>
      </w:r>
      <w:r>
        <w:rPr>
          <w:rFonts w:hint="eastAsia" w:ascii="仿宋" w:hAnsi="仿宋" w:eastAsia="仿宋" w:cs="仿宋"/>
          <w:color w:val="auto"/>
          <w:sz w:val="21"/>
          <w:szCs w:val="21"/>
          <w:highlight w:val="none"/>
          <w:u w:val="single"/>
        </w:rPr>
        <w:t xml:space="preserve"> 总平面图、企业有关资质、</w:t>
      </w:r>
    </w:p>
    <w:p>
      <w:pPr>
        <w:spacing w:line="360" w:lineRule="auto"/>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rPr>
        <w:t>投标人员证书、施工组织设计、项目部人员组成等应有承包人及各类专项方案，开工前7日提供</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u w:val="single"/>
        </w:rPr>
        <w:t>施工总进度计划；每月25日报当月工程量的完成情况、下月施工计划</w:t>
      </w:r>
      <w:r>
        <w:rPr>
          <w:rFonts w:hint="eastAsia" w:ascii="仿宋" w:hAnsi="仿宋" w:eastAsia="仿宋" w:cs="仿宋"/>
          <w:color w:val="auto"/>
          <w:sz w:val="21"/>
          <w:szCs w:val="21"/>
          <w:highlight w:val="none"/>
        </w:rPr>
        <w:t>；</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承包人提供的文件的期限为：</w:t>
      </w:r>
      <w:r>
        <w:rPr>
          <w:rFonts w:hint="eastAsia" w:ascii="仿宋" w:hAnsi="仿宋" w:eastAsia="仿宋" w:cs="仿宋"/>
          <w:color w:val="auto"/>
          <w:sz w:val="21"/>
          <w:szCs w:val="21"/>
          <w:highlight w:val="none"/>
          <w:u w:val="single"/>
        </w:rPr>
        <w:t xml:space="preserve">  开工前7天  </w:t>
      </w:r>
      <w:r>
        <w:rPr>
          <w:rFonts w:hint="eastAsia" w:ascii="仿宋" w:hAnsi="仿宋" w:eastAsia="仿宋" w:cs="仿宋"/>
          <w:color w:val="auto"/>
          <w:sz w:val="21"/>
          <w:szCs w:val="21"/>
          <w:highlight w:val="none"/>
        </w:rPr>
        <w:t>；</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承包人提供的文件的数量为：</w:t>
      </w:r>
      <w:r>
        <w:rPr>
          <w:rFonts w:hint="eastAsia" w:ascii="仿宋" w:hAnsi="仿宋" w:eastAsia="仿宋" w:cs="仿宋"/>
          <w:color w:val="auto"/>
          <w:sz w:val="21"/>
          <w:szCs w:val="21"/>
          <w:highlight w:val="none"/>
          <w:u w:val="single"/>
        </w:rPr>
        <w:t></w:t>
      </w:r>
      <w:r>
        <w:rPr>
          <w:rFonts w:hint="eastAsia" w:ascii="仿宋" w:hAnsi="仿宋" w:eastAsia="仿宋" w:cs="仿宋"/>
          <w:color w:val="auto"/>
          <w:sz w:val="21"/>
          <w:szCs w:val="21"/>
          <w:highlight w:val="none"/>
          <w:u w:val="single"/>
          <w:lang w:val="en-US" w:eastAsia="zh-CN"/>
        </w:rPr>
        <w:t>六</w:t>
      </w:r>
      <w:r>
        <w:rPr>
          <w:rFonts w:hint="eastAsia" w:ascii="仿宋" w:hAnsi="仿宋" w:eastAsia="仿宋" w:cs="仿宋"/>
          <w:color w:val="auto"/>
          <w:sz w:val="21"/>
          <w:szCs w:val="21"/>
          <w:highlight w:val="none"/>
          <w:u w:val="single"/>
        </w:rPr>
        <w:t>套      </w:t>
      </w:r>
      <w:r>
        <w:rPr>
          <w:rFonts w:hint="eastAsia" w:ascii="仿宋" w:hAnsi="仿宋" w:eastAsia="仿宋" w:cs="仿宋"/>
          <w:color w:val="auto"/>
          <w:sz w:val="21"/>
          <w:szCs w:val="21"/>
          <w:highlight w:val="none"/>
        </w:rPr>
        <w:t>；</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承包人提供的文件的形式为：</w:t>
      </w:r>
      <w:r>
        <w:rPr>
          <w:rFonts w:hint="eastAsia" w:ascii="仿宋" w:hAnsi="仿宋" w:eastAsia="仿宋" w:cs="仿宋"/>
          <w:color w:val="auto"/>
          <w:kern w:val="0"/>
          <w:sz w:val="21"/>
          <w:szCs w:val="21"/>
          <w:u w:val="single"/>
        </w:rPr>
        <w:t>纸质文件五份，电子文件一份</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发包人审批承包人文件的期限：</w:t>
      </w:r>
      <w:r>
        <w:rPr>
          <w:rFonts w:hint="eastAsia" w:ascii="仿宋" w:hAnsi="仿宋" w:eastAsia="仿宋" w:cs="仿宋"/>
          <w:color w:val="auto"/>
          <w:sz w:val="21"/>
          <w:szCs w:val="21"/>
          <w:highlight w:val="none"/>
          <w:u w:val="single"/>
        </w:rPr>
        <w:t>7个工作日</w:t>
      </w:r>
      <w:r>
        <w:rPr>
          <w:rFonts w:hint="eastAsia" w:ascii="仿宋" w:hAnsi="仿宋" w:eastAsia="仿宋" w:cs="仿宋"/>
          <w:color w:val="auto"/>
          <w:sz w:val="21"/>
          <w:szCs w:val="21"/>
          <w:highlight w:val="none"/>
        </w:rPr>
        <w:t>。</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 xml:space="preserve"> 现场图纸准备</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关于现场图纸准备的约定：</w:t>
      </w:r>
      <w:r>
        <w:rPr>
          <w:rFonts w:hint="eastAsia" w:ascii="仿宋" w:hAnsi="仿宋" w:eastAsia="仿宋" w:cs="仿宋"/>
          <w:color w:val="auto"/>
          <w:sz w:val="21"/>
          <w:szCs w:val="21"/>
          <w:highlight w:val="none"/>
          <w:u w:val="single"/>
        </w:rPr>
        <w:t xml:space="preserve">专供发包人、监理人及有关人员进行工程检查的图纸和承包人文件应与承包人自用图纸和文件分别保管，避免混用和共用。任何施工图纸必须经发包人专门确认，未经发包人确认的图纸无效 </w:t>
      </w:r>
      <w:r>
        <w:rPr>
          <w:rFonts w:hint="eastAsia" w:ascii="仿宋" w:hAnsi="仿宋" w:eastAsia="仿宋" w:cs="仿宋"/>
          <w:color w:val="auto"/>
          <w:sz w:val="21"/>
          <w:szCs w:val="21"/>
          <w:highlight w:val="none"/>
        </w:rPr>
        <w:t>。因发包人确认的设计调整造成工程项目或数量变化，承包人必须无条件地接受并实施完成。</w:t>
      </w:r>
    </w:p>
    <w:p>
      <w:pPr>
        <w:spacing w:after="120"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 联络</w:t>
      </w:r>
    </w:p>
    <w:p>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1.7.1发包人和承包人应当在</w:t>
      </w:r>
      <w:r>
        <w:rPr>
          <w:rFonts w:hint="eastAsia" w:ascii="仿宋" w:hAnsi="仿宋" w:eastAsia="仿宋" w:cs="仿宋"/>
          <w:color w:val="auto"/>
          <w:sz w:val="21"/>
          <w:szCs w:val="21"/>
          <w:highlight w:val="none"/>
          <w:u w:val="single"/>
        </w:rPr>
        <w:t xml:space="preserve">七 </w:t>
      </w:r>
      <w:r>
        <w:rPr>
          <w:rFonts w:hint="eastAsia" w:ascii="仿宋" w:hAnsi="仿宋" w:eastAsia="仿宋" w:cs="仿宋"/>
          <w:color w:val="auto"/>
          <w:kern w:val="0"/>
          <w:sz w:val="21"/>
          <w:szCs w:val="21"/>
          <w:highlight w:val="none"/>
        </w:rPr>
        <w:t>天内将与合同有关的通知、批准、证明、证书、指示、指令、要求、请求、同意、意见、确定和决定等书面函件送达对方当事人。</w:t>
      </w:r>
    </w:p>
    <w:p>
      <w:pPr>
        <w:spacing w:line="460" w:lineRule="exact"/>
        <w:ind w:firstLine="420" w:firstLineChars="200"/>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1.7.2 发包人接收文件的地点：</w:t>
      </w:r>
      <w:r>
        <w:rPr>
          <w:rStyle w:val="128"/>
          <w:rFonts w:hint="eastAsia" w:ascii="仿宋" w:hAnsi="仿宋" w:eastAsia="仿宋" w:cs="仿宋"/>
          <w:color w:val="auto"/>
          <w:sz w:val="21"/>
          <w:szCs w:val="21"/>
        </w:rPr>
        <w:t>施工现场发包人办公地点</w:t>
      </w:r>
      <w:r>
        <w:rPr>
          <w:rFonts w:hint="eastAsia" w:ascii="仿宋" w:hAnsi="仿宋" w:eastAsia="仿宋" w:cs="仿宋"/>
          <w:color w:val="auto"/>
          <w:sz w:val="21"/>
          <w:szCs w:val="21"/>
          <w:u w:val="single"/>
        </w:rPr>
        <w:t></w:t>
      </w:r>
      <w:r>
        <w:rPr>
          <w:rFonts w:hint="eastAsia" w:ascii="仿宋" w:hAnsi="仿宋" w:eastAsia="仿宋" w:cs="仿宋"/>
          <w:color w:val="auto"/>
          <w:kern w:val="0"/>
          <w:sz w:val="21"/>
          <w:szCs w:val="21"/>
        </w:rPr>
        <w:t>；</w:t>
      </w:r>
    </w:p>
    <w:p>
      <w:pPr>
        <w:spacing w:line="460" w:lineRule="exact"/>
        <w:ind w:firstLine="420" w:firstLineChars="200"/>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发包人指定的接收人为：</w:t>
      </w:r>
      <w:r>
        <w:rPr>
          <w:rFonts w:hint="eastAsia" w:ascii="仿宋" w:hAnsi="仿宋" w:eastAsia="仿宋" w:cs="仿宋"/>
          <w:color w:val="auto"/>
          <w:sz w:val="21"/>
          <w:szCs w:val="21"/>
          <w:u w:val="single"/>
        </w:rPr>
        <w:t></w:t>
      </w:r>
      <w:r>
        <w:rPr>
          <w:rStyle w:val="128"/>
          <w:rFonts w:hint="eastAsia" w:ascii="仿宋" w:hAnsi="仿宋" w:eastAsia="仿宋" w:cs="仿宋"/>
          <w:color w:val="auto"/>
          <w:sz w:val="21"/>
          <w:szCs w:val="21"/>
        </w:rPr>
        <w:t xml:space="preserve">甲方代表 </w:t>
      </w:r>
      <w:r>
        <w:rPr>
          <w:rFonts w:hint="eastAsia" w:ascii="仿宋" w:hAnsi="仿宋" w:eastAsia="仿宋" w:cs="仿宋"/>
          <w:color w:val="auto"/>
          <w:sz w:val="21"/>
          <w:szCs w:val="21"/>
          <w:u w:val="single"/>
        </w:rPr>
        <w:t xml:space="preserve">       </w:t>
      </w:r>
      <w:r>
        <w:rPr>
          <w:rFonts w:hint="eastAsia" w:ascii="仿宋" w:hAnsi="仿宋" w:eastAsia="仿宋" w:cs="仿宋"/>
          <w:color w:val="auto"/>
          <w:kern w:val="0"/>
          <w:sz w:val="21"/>
          <w:szCs w:val="21"/>
        </w:rPr>
        <w:t>。</w:t>
      </w:r>
    </w:p>
    <w:p>
      <w:pPr>
        <w:spacing w:line="460" w:lineRule="exact"/>
        <w:ind w:firstLine="420" w:firstLineChars="200"/>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承包人接收文件的地点：</w:t>
      </w:r>
      <w:r>
        <w:rPr>
          <w:rFonts w:hint="eastAsia" w:ascii="仿宋" w:hAnsi="仿宋" w:eastAsia="仿宋" w:cs="仿宋"/>
          <w:color w:val="auto"/>
          <w:sz w:val="21"/>
          <w:szCs w:val="21"/>
          <w:u w:val="single"/>
        </w:rPr>
        <w:t></w:t>
      </w:r>
      <w:r>
        <w:rPr>
          <w:rStyle w:val="128"/>
          <w:rFonts w:hint="eastAsia" w:ascii="仿宋" w:hAnsi="仿宋" w:eastAsia="仿宋" w:cs="仿宋"/>
          <w:color w:val="auto"/>
          <w:sz w:val="21"/>
          <w:szCs w:val="21"/>
        </w:rPr>
        <w:t>施工现场承包人办公地点</w:t>
      </w:r>
      <w:r>
        <w:rPr>
          <w:rFonts w:hint="eastAsia" w:ascii="仿宋" w:hAnsi="仿宋" w:eastAsia="仿宋" w:cs="仿宋"/>
          <w:color w:val="auto"/>
          <w:sz w:val="21"/>
          <w:szCs w:val="21"/>
          <w:u w:val="single"/>
        </w:rPr>
        <w:t></w:t>
      </w:r>
      <w:r>
        <w:rPr>
          <w:rFonts w:hint="eastAsia" w:ascii="仿宋" w:hAnsi="仿宋" w:eastAsia="仿宋" w:cs="仿宋"/>
          <w:color w:val="auto"/>
          <w:kern w:val="0"/>
          <w:sz w:val="21"/>
          <w:szCs w:val="21"/>
        </w:rPr>
        <w:t>；</w:t>
      </w:r>
    </w:p>
    <w:p>
      <w:pPr>
        <w:spacing w:line="460" w:lineRule="exact"/>
        <w:ind w:firstLine="420" w:firstLineChars="200"/>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承包人指定的接收人为：</w:t>
      </w:r>
      <w:r>
        <w:rPr>
          <w:rFonts w:hint="eastAsia" w:ascii="仿宋" w:hAnsi="仿宋" w:eastAsia="仿宋" w:cs="仿宋"/>
          <w:color w:val="auto"/>
          <w:sz w:val="21"/>
          <w:szCs w:val="21"/>
          <w:u w:val="single"/>
        </w:rPr>
        <w:t></w:t>
      </w:r>
      <w:r>
        <w:rPr>
          <w:rStyle w:val="128"/>
          <w:rFonts w:hint="eastAsia" w:ascii="仿宋" w:hAnsi="仿宋" w:eastAsia="仿宋" w:cs="仿宋"/>
          <w:color w:val="auto"/>
          <w:sz w:val="21"/>
          <w:szCs w:val="21"/>
        </w:rPr>
        <w:t>承包方项目经理</w:t>
      </w:r>
      <w:r>
        <w:rPr>
          <w:rFonts w:hint="eastAsia" w:ascii="仿宋" w:hAnsi="仿宋" w:eastAsia="仿宋" w:cs="仿宋"/>
          <w:color w:val="auto"/>
          <w:sz w:val="21"/>
          <w:szCs w:val="21"/>
          <w:u w:val="single"/>
        </w:rPr>
        <w:t></w:t>
      </w:r>
      <w:r>
        <w:rPr>
          <w:rFonts w:hint="eastAsia" w:ascii="仿宋" w:hAnsi="仿宋" w:eastAsia="仿宋" w:cs="仿宋"/>
          <w:color w:val="auto"/>
          <w:kern w:val="0"/>
          <w:sz w:val="21"/>
          <w:szCs w:val="21"/>
        </w:rPr>
        <w:t>。</w:t>
      </w:r>
    </w:p>
    <w:p>
      <w:pPr>
        <w:spacing w:line="460" w:lineRule="exact"/>
        <w:ind w:firstLine="420" w:firstLineChars="200"/>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监理人接收文件的地点：</w:t>
      </w:r>
      <w:r>
        <w:rPr>
          <w:rFonts w:hint="eastAsia" w:ascii="仿宋" w:hAnsi="仿宋" w:eastAsia="仿宋" w:cs="仿宋"/>
          <w:color w:val="auto"/>
          <w:sz w:val="21"/>
          <w:szCs w:val="21"/>
          <w:u w:val="single"/>
        </w:rPr>
        <w:t></w:t>
      </w:r>
      <w:r>
        <w:rPr>
          <w:rStyle w:val="128"/>
          <w:rFonts w:hint="eastAsia" w:ascii="仿宋" w:hAnsi="仿宋" w:eastAsia="仿宋" w:cs="仿宋"/>
          <w:color w:val="auto"/>
          <w:sz w:val="21"/>
          <w:szCs w:val="21"/>
        </w:rPr>
        <w:t>施工现场监理人办公地点</w:t>
      </w:r>
      <w:r>
        <w:rPr>
          <w:rFonts w:hint="eastAsia" w:ascii="仿宋" w:hAnsi="仿宋" w:eastAsia="仿宋" w:cs="仿宋"/>
          <w:color w:val="auto"/>
          <w:sz w:val="21"/>
          <w:szCs w:val="21"/>
          <w:u w:val="single"/>
        </w:rPr>
        <w:t></w:t>
      </w:r>
      <w:r>
        <w:rPr>
          <w:rFonts w:hint="eastAsia" w:ascii="仿宋" w:hAnsi="仿宋" w:eastAsia="仿宋" w:cs="仿宋"/>
          <w:color w:val="auto"/>
          <w:kern w:val="0"/>
          <w:sz w:val="21"/>
          <w:szCs w:val="21"/>
        </w:rPr>
        <w:t>；</w:t>
      </w:r>
    </w:p>
    <w:p>
      <w:pPr>
        <w:spacing w:line="460" w:lineRule="exact"/>
        <w:ind w:firstLine="420" w:firstLineChars="200"/>
        <w:rPr>
          <w:rFonts w:hint="eastAsia" w:ascii="仿宋" w:hAnsi="仿宋" w:eastAsia="仿宋" w:cs="仿宋"/>
          <w:color w:val="auto"/>
          <w:kern w:val="0"/>
          <w:sz w:val="21"/>
          <w:szCs w:val="21"/>
        </w:rPr>
      </w:pPr>
      <w:r>
        <w:rPr>
          <w:rFonts w:hint="eastAsia" w:ascii="仿宋" w:hAnsi="仿宋" w:eastAsia="仿宋" w:cs="仿宋"/>
          <w:color w:val="auto"/>
          <w:kern w:val="0"/>
          <w:sz w:val="21"/>
          <w:szCs w:val="21"/>
        </w:rPr>
        <w:t>监理人指定的接收人为：</w:t>
      </w:r>
      <w:r>
        <w:rPr>
          <w:rFonts w:hint="eastAsia" w:ascii="仿宋" w:hAnsi="仿宋" w:eastAsia="仿宋" w:cs="仿宋"/>
          <w:color w:val="auto"/>
          <w:sz w:val="21"/>
          <w:szCs w:val="21"/>
          <w:u w:val="single"/>
        </w:rPr>
        <w:t></w:t>
      </w:r>
      <w:r>
        <w:rPr>
          <w:rStyle w:val="128"/>
          <w:rFonts w:hint="eastAsia" w:ascii="仿宋" w:hAnsi="仿宋" w:eastAsia="仿宋" w:cs="仿宋"/>
          <w:color w:val="auto"/>
          <w:sz w:val="21"/>
          <w:szCs w:val="21"/>
        </w:rPr>
        <w:t>施工现场监理人办公地点</w:t>
      </w:r>
      <w:r>
        <w:rPr>
          <w:rFonts w:hint="eastAsia" w:ascii="仿宋" w:hAnsi="仿宋" w:eastAsia="仿宋" w:cs="仿宋"/>
          <w:color w:val="auto"/>
          <w:sz w:val="21"/>
          <w:szCs w:val="21"/>
          <w:u w:val="single"/>
        </w:rPr>
        <w:t></w:t>
      </w:r>
      <w:r>
        <w:rPr>
          <w:rFonts w:hint="eastAsia" w:ascii="仿宋" w:hAnsi="仿宋" w:eastAsia="仿宋" w:cs="仿宋"/>
          <w:color w:val="auto"/>
          <w:kern w:val="0"/>
          <w:sz w:val="21"/>
          <w:szCs w:val="21"/>
        </w:rPr>
        <w:t>。</w:t>
      </w:r>
    </w:p>
    <w:p>
      <w:pPr>
        <w:spacing w:after="120"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1.10  交通运输</w:t>
      </w:r>
    </w:p>
    <w:p>
      <w:pPr>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bookmarkStart w:id="369" w:name="_Toc303539100"/>
      <w:bookmarkStart w:id="370" w:name="_Toc312677986"/>
      <w:bookmarkStart w:id="371" w:name="_Toc300934943"/>
      <w:bookmarkStart w:id="372" w:name="_Toc304295521"/>
      <w:bookmarkStart w:id="373" w:name="_Toc318581155"/>
      <w:r>
        <w:rPr>
          <w:rFonts w:hint="eastAsia" w:ascii="仿宋" w:hAnsi="仿宋" w:eastAsia="仿宋" w:cs="仿宋"/>
          <w:color w:val="auto"/>
          <w:sz w:val="21"/>
          <w:szCs w:val="21"/>
          <w:highlight w:val="none"/>
        </w:rPr>
        <w:t>.10.1 出入现场的权利</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关于出入现场的权利的约定：</w:t>
      </w:r>
      <w:r>
        <w:rPr>
          <w:rFonts w:hint="eastAsia" w:ascii="仿宋" w:hAnsi="仿宋" w:eastAsia="仿宋" w:cs="仿宋"/>
          <w:color w:val="auto"/>
          <w:sz w:val="21"/>
          <w:szCs w:val="21"/>
          <w:highlight w:val="none"/>
          <w:u w:val="single"/>
        </w:rPr>
        <w:t xml:space="preserve">出入场的批准手续、所需条件相关费用，由承包人负责，承包人有义务保障发包人、监理人及其批准的人员因工作需要而随时进入现场 </w:t>
      </w:r>
      <w:r>
        <w:rPr>
          <w:rFonts w:hint="eastAsia" w:ascii="仿宋" w:hAnsi="仿宋" w:eastAsia="仿宋" w:cs="仿宋"/>
          <w:color w:val="auto"/>
          <w:sz w:val="21"/>
          <w:szCs w:val="21"/>
          <w:highlight w:val="none"/>
        </w:rPr>
        <w:t>。</w:t>
      </w:r>
      <w:bookmarkEnd w:id="369"/>
      <w:bookmarkEnd w:id="370"/>
      <w:bookmarkEnd w:id="371"/>
      <w:bookmarkEnd w:id="372"/>
      <w:bookmarkEnd w:id="373"/>
    </w:p>
    <w:p>
      <w:pPr>
        <w:spacing w:line="360" w:lineRule="auto"/>
        <w:ind w:firstLine="420" w:firstLineChars="200"/>
        <w:rPr>
          <w:rFonts w:hint="eastAsia" w:ascii="仿宋" w:hAnsi="仿宋" w:eastAsia="仿宋" w:cs="仿宋"/>
          <w:color w:val="auto"/>
          <w:sz w:val="21"/>
          <w:szCs w:val="21"/>
          <w:highlight w:val="none"/>
        </w:rPr>
      </w:pPr>
      <w:bookmarkStart w:id="374" w:name="_Toc304295522"/>
      <w:bookmarkStart w:id="375" w:name="_Toc318581156"/>
      <w:bookmarkStart w:id="376" w:name="_Toc312677987"/>
      <w:bookmarkStart w:id="377" w:name="_Toc300934944"/>
      <w:bookmarkStart w:id="378" w:name="_Toc303539101"/>
      <w:r>
        <w:rPr>
          <w:rFonts w:hint="eastAsia" w:ascii="仿宋" w:hAnsi="仿宋" w:eastAsia="仿宋" w:cs="仿宋"/>
          <w:color w:val="auto"/>
          <w:kern w:val="0"/>
          <w:sz w:val="21"/>
          <w:szCs w:val="21"/>
          <w:highlight w:val="none"/>
        </w:rPr>
        <w:t>承包人在订立本合同前已查勘施工现场，并根据工程规模及技术参数合理预见工程施工所需的进出施工现场的方式、手段、路径等，相应费用支出已包含在合同总价款中。因承包人未合理预见所增加的费用和（或）延误的工期由承包人承担。</w:t>
      </w:r>
    </w:p>
    <w:p>
      <w:pP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1.10.</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场内交通</w:t>
      </w:r>
    </w:p>
    <w:p>
      <w:pPr>
        <w:spacing w:line="360" w:lineRule="auto"/>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关于场外交通和场内交通的边界的约定：</w:t>
      </w:r>
      <w:r>
        <w:rPr>
          <w:rFonts w:hint="eastAsia" w:ascii="仿宋" w:hAnsi="仿宋" w:eastAsia="仿宋" w:cs="仿宋"/>
          <w:color w:val="auto"/>
          <w:sz w:val="21"/>
          <w:szCs w:val="21"/>
          <w:highlight w:val="none"/>
          <w:u w:val="single"/>
        </w:rPr>
        <w:t xml:space="preserve">     /       </w:t>
      </w:r>
      <w:r>
        <w:rPr>
          <w:rFonts w:hint="eastAsia" w:ascii="仿宋" w:hAnsi="仿宋" w:eastAsia="仿宋" w:cs="仿宋"/>
          <w:color w:val="auto"/>
          <w:sz w:val="21"/>
          <w:szCs w:val="21"/>
          <w:highlight w:val="none"/>
        </w:rPr>
        <w:t>。</w:t>
      </w:r>
    </w:p>
    <w:p>
      <w:pP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关于发包人向承包人免费提供满足工程施工需要的场内道路和交通设施的约定：</w:t>
      </w:r>
      <w:r>
        <w:rPr>
          <w:rFonts w:hint="eastAsia" w:ascii="仿宋" w:hAnsi="仿宋" w:eastAsia="仿宋" w:cs="仿宋"/>
          <w:color w:val="auto"/>
          <w:sz w:val="21"/>
          <w:szCs w:val="21"/>
          <w:highlight w:val="none"/>
          <w:u w:val="single"/>
        </w:rPr>
        <w:t xml:space="preserve">承包人负责场内外道路和交通设施的修建、日常管理、维护、维修及拆除，并承担由此产生的一切费用    </w:t>
      </w:r>
      <w:r>
        <w:rPr>
          <w:rFonts w:hint="eastAsia" w:ascii="仿宋" w:hAnsi="仿宋" w:eastAsia="仿宋" w:cs="仿宋"/>
          <w:color w:val="auto"/>
          <w:sz w:val="21"/>
          <w:szCs w:val="21"/>
          <w:highlight w:val="none"/>
        </w:rPr>
        <w:t>。</w:t>
      </w:r>
      <w:bookmarkEnd w:id="374"/>
      <w:bookmarkEnd w:id="375"/>
      <w:bookmarkEnd w:id="376"/>
      <w:bookmarkEnd w:id="377"/>
      <w:bookmarkEnd w:id="378"/>
      <w:bookmarkStart w:id="379" w:name="_Toc318581157"/>
    </w:p>
    <w:p>
      <w:pP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1.10.</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超大件和超重件的运输</w:t>
      </w:r>
    </w:p>
    <w:p>
      <w:pP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运输超大件或超重件所需的道路和桥梁临时加固改造费用和其他有关费用由</w:t>
      </w:r>
      <w:r>
        <w:rPr>
          <w:rFonts w:hint="eastAsia" w:ascii="仿宋" w:hAnsi="仿宋" w:eastAsia="仿宋" w:cs="仿宋"/>
          <w:color w:val="auto"/>
          <w:sz w:val="21"/>
          <w:szCs w:val="21"/>
          <w:highlight w:val="none"/>
          <w:u w:val="single"/>
        </w:rPr>
        <w:t xml:space="preserve"> 承包人 </w:t>
      </w:r>
      <w:r>
        <w:rPr>
          <w:rFonts w:hint="eastAsia" w:ascii="仿宋" w:hAnsi="仿宋" w:eastAsia="仿宋" w:cs="仿宋"/>
          <w:color w:val="auto"/>
          <w:sz w:val="21"/>
          <w:szCs w:val="21"/>
          <w:highlight w:val="none"/>
        </w:rPr>
        <w:t>承担。</w:t>
      </w:r>
      <w:bookmarkEnd w:id="379"/>
    </w:p>
    <w:p>
      <w:pPr>
        <w:spacing w:after="120"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 xml:space="preserve"> 知识产权</w:t>
      </w:r>
    </w:p>
    <w:p>
      <w:pPr>
        <w:spacing w:line="360" w:lineRule="auto"/>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 xml:space="preserve">.1关于发包人提供给承包人的图纸、发包人为实施工程自行编制或委托编制的技术规范以及反映发包人关于合同要求或其他类似性质的文件的著作权的归属：  </w:t>
      </w:r>
      <w:r>
        <w:rPr>
          <w:rFonts w:hint="eastAsia" w:ascii="仿宋" w:hAnsi="仿宋" w:eastAsia="仿宋" w:cs="仿宋"/>
          <w:color w:val="auto"/>
          <w:sz w:val="21"/>
          <w:szCs w:val="21"/>
          <w:highlight w:val="none"/>
          <w:u w:val="single"/>
        </w:rPr>
        <w:t>均属发包人所有，未经发包人书面允许不得用于其他项目或透露给第三方。</w:t>
      </w:r>
    </w:p>
    <w:p>
      <w:pPr>
        <w:spacing w:line="360" w:lineRule="auto"/>
        <w:ind w:firstLine="6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关于发包人提供的上述文件的使用限制的要求：</w:t>
      </w:r>
      <w:r>
        <w:rPr>
          <w:rFonts w:hint="eastAsia" w:ascii="仿宋" w:hAnsi="仿宋" w:eastAsia="仿宋" w:cs="仿宋"/>
          <w:color w:val="auto"/>
          <w:sz w:val="21"/>
          <w:szCs w:val="21"/>
          <w:highlight w:val="none"/>
          <w:u w:val="single"/>
        </w:rPr>
        <w:t>未经发包人书面同意，承包人不得为了合同以外的目的（包括申报奖项或者公开推广宣传）而复制、使用上述文件或将之提供给任何第三方。承包人不得翻印外传，严格控制非本工程参与人员接触图纸及相关资料。</w:t>
      </w:r>
    </w:p>
    <w:p>
      <w:pPr>
        <w:spacing w:line="360" w:lineRule="auto"/>
        <w:ind w:firstLine="6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.2 关于承包人为实施工程所编制文件的著作权的归属：</w:t>
      </w:r>
      <w:r>
        <w:rPr>
          <w:rFonts w:hint="eastAsia" w:ascii="仿宋" w:hAnsi="仿宋" w:eastAsia="仿宋" w:cs="仿宋"/>
          <w:color w:val="auto"/>
          <w:sz w:val="21"/>
          <w:szCs w:val="21"/>
          <w:highlight w:val="none"/>
          <w:u w:val="single"/>
        </w:rPr>
        <w:t>著作权归发包人所有，未经发包人书面允许不得用于其他项目或透露给第三方。</w:t>
      </w:r>
    </w:p>
    <w:p>
      <w:pPr>
        <w:spacing w:line="360" w:lineRule="auto"/>
        <w:ind w:firstLine="6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.3关于承包人提供的有关本工程文件的使用限制的要求：</w:t>
      </w:r>
      <w:r>
        <w:rPr>
          <w:rFonts w:hint="eastAsia" w:ascii="仿宋" w:hAnsi="仿宋" w:eastAsia="仿宋" w:cs="仿宋"/>
          <w:color w:val="auto"/>
          <w:sz w:val="21"/>
          <w:szCs w:val="21"/>
          <w:highlight w:val="none"/>
          <w:u w:val="single"/>
        </w:rPr>
        <w:t>著作权归发包人所有，未经发包人书面允许不得用于其他项目或透露给第三方。 仅限本工程使用。</w:t>
      </w:r>
    </w:p>
    <w:p>
      <w:pPr>
        <w:spacing w:line="360" w:lineRule="auto"/>
        <w:ind w:firstLine="420" w:firstLineChars="200"/>
        <w:rPr>
          <w:rFonts w:hint="eastAsia" w:ascii="仿宋" w:hAnsi="仿宋" w:eastAsia="仿宋" w:cs="仿宋"/>
          <w:color w:val="auto"/>
          <w:kern w:val="0"/>
          <w:sz w:val="21"/>
          <w:szCs w:val="21"/>
          <w:highlight w:val="none"/>
          <w:u w:val="single"/>
        </w:rPr>
      </w:pP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 xml:space="preserve">.4承包人在施工过程中所采用的专利、专有技术、技术秘密的使用费的承担方式：  </w:t>
      </w:r>
      <w:r>
        <w:rPr>
          <w:rFonts w:hint="eastAsia" w:ascii="仿宋" w:hAnsi="仿宋" w:eastAsia="仿宋" w:cs="仿宋"/>
          <w:color w:val="auto"/>
          <w:sz w:val="21"/>
          <w:szCs w:val="21"/>
          <w:highlight w:val="none"/>
          <w:u w:val="single"/>
        </w:rPr>
        <w:t>均视为已包含在签约合同价中，由承包人承担，发包人不另行支付</w:t>
      </w:r>
      <w:r>
        <w:rPr>
          <w:rFonts w:hint="eastAsia" w:ascii="仿宋" w:hAnsi="仿宋" w:eastAsia="仿宋" w:cs="仿宋"/>
          <w:color w:val="auto"/>
          <w:kern w:val="0"/>
          <w:sz w:val="21"/>
          <w:szCs w:val="21"/>
          <w:highlight w:val="none"/>
          <w:u w:val="single"/>
        </w:rPr>
        <w:t>。</w:t>
      </w:r>
    </w:p>
    <w:p>
      <w:pPr>
        <w:spacing w:after="120"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工程量清单错误的修正</w:t>
      </w:r>
    </w:p>
    <w:p>
      <w:pPr>
        <w:spacing w:before="120" w:after="120" w:line="360" w:lineRule="auto"/>
        <w:ind w:firstLine="420" w:firstLineChars="200"/>
        <w:outlineLvl w:val="9"/>
        <w:rPr>
          <w:rFonts w:hint="eastAsia" w:ascii="仿宋" w:hAnsi="仿宋" w:eastAsia="仿宋" w:cs="仿宋"/>
          <w:b w:val="0"/>
          <w:bCs w:val="0"/>
          <w:color w:val="auto"/>
          <w:sz w:val="21"/>
          <w:szCs w:val="21"/>
          <w:highlight w:val="none"/>
        </w:rPr>
      </w:pPr>
      <w:bookmarkStart w:id="380" w:name="_Toc296890985"/>
      <w:bookmarkStart w:id="381" w:name="_Toc297120457"/>
      <w:bookmarkStart w:id="382" w:name="_Toc297048343"/>
      <w:bookmarkStart w:id="383" w:name="_Toc351203634"/>
      <w:bookmarkStart w:id="384" w:name="_Toc296503157"/>
      <w:bookmarkStart w:id="385" w:name="_Toc296944496"/>
      <w:bookmarkStart w:id="386" w:name="_Toc296891197"/>
      <w:bookmarkStart w:id="387" w:name="_Toc292559867"/>
      <w:bookmarkStart w:id="388" w:name="_Toc296347156"/>
      <w:bookmarkStart w:id="389" w:name="_Toc296346658"/>
      <w:bookmarkStart w:id="390" w:name="_Toc292559362"/>
      <w:r>
        <w:rPr>
          <w:rFonts w:hint="eastAsia" w:ascii="仿宋" w:hAnsi="仿宋" w:eastAsia="仿宋" w:cs="仿宋"/>
          <w:b w:val="0"/>
          <w:bCs w:val="0"/>
          <w:color w:val="auto"/>
          <w:sz w:val="21"/>
          <w:szCs w:val="21"/>
          <w:highlight w:val="none"/>
          <w:lang w:val="en-US" w:eastAsia="zh-CN"/>
        </w:rPr>
        <w:t>承包人承诺在投标（响应）时已核对工程量并对工程量清单漏项、偏差负责。在工程量清单漏项、偏差时不调整价款。</w:t>
      </w:r>
      <w:bookmarkEnd w:id="380"/>
      <w:bookmarkEnd w:id="381"/>
      <w:bookmarkEnd w:id="382"/>
      <w:bookmarkEnd w:id="383"/>
      <w:bookmarkEnd w:id="384"/>
      <w:bookmarkEnd w:id="385"/>
      <w:bookmarkEnd w:id="386"/>
      <w:bookmarkEnd w:id="387"/>
      <w:bookmarkEnd w:id="388"/>
      <w:bookmarkEnd w:id="389"/>
      <w:bookmarkEnd w:id="390"/>
    </w:p>
    <w:p>
      <w:pPr>
        <w:spacing w:after="120"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 发包人代表</w:t>
      </w:r>
    </w:p>
    <w:p>
      <w:pPr>
        <w:spacing w:line="360" w:lineRule="auto"/>
        <w:ind w:firstLine="420" w:firstLineChars="200"/>
        <w:rPr>
          <w:rFonts w:hint="eastAsia" w:ascii="仿宋" w:hAnsi="仿宋" w:eastAsia="仿宋" w:cs="仿宋"/>
          <w:color w:val="auto"/>
          <w:sz w:val="21"/>
          <w:szCs w:val="21"/>
          <w:u w:val="single"/>
        </w:rPr>
      </w:pPr>
      <w:r>
        <w:rPr>
          <w:rFonts w:hint="eastAsia" w:ascii="仿宋" w:hAnsi="仿宋" w:eastAsia="仿宋" w:cs="仿宋"/>
          <w:color w:val="auto"/>
          <w:sz w:val="21"/>
          <w:szCs w:val="21"/>
        </w:rPr>
        <w:t>发包人代表：</w:t>
      </w:r>
      <w:r>
        <w:rPr>
          <w:rFonts w:hint="eastAsia" w:ascii="仿宋" w:hAnsi="仿宋" w:eastAsia="仿宋" w:cs="仿宋"/>
          <w:color w:val="auto"/>
          <w:sz w:val="21"/>
          <w:szCs w:val="21"/>
          <w:u w:val="single"/>
        </w:rPr>
        <w:t xml:space="preserve">                               </w:t>
      </w:r>
    </w:p>
    <w:p>
      <w:pPr>
        <w:spacing w:line="360" w:lineRule="auto"/>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rPr>
        <w:t xml:space="preserve">姓  名：  </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rPr>
        <w:t xml:space="preserve">                                                        </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rPr>
        <w:t xml:space="preserve">联系电话：  </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rPr>
        <w:t xml:space="preserve">                              </w:t>
      </w:r>
      <w:r>
        <w:rPr>
          <w:rFonts w:hint="eastAsia" w:ascii="仿宋" w:hAnsi="仿宋" w:eastAsia="仿宋" w:cs="仿宋"/>
          <w:color w:val="auto"/>
          <w:sz w:val="21"/>
          <w:szCs w:val="21"/>
          <w:highlight w:val="none"/>
        </w:rPr>
        <w:t xml:space="preserve">        </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2.1.1发包人对发包人代表的授权范围如下：</w:t>
      </w:r>
      <w:r>
        <w:rPr>
          <w:rFonts w:hint="eastAsia" w:ascii="仿宋" w:hAnsi="仿宋" w:eastAsia="仿宋" w:cs="仿宋"/>
          <w:color w:val="auto"/>
          <w:sz w:val="21"/>
          <w:szCs w:val="21"/>
          <w:highlight w:val="none"/>
          <w:u w:val="single"/>
        </w:rPr>
        <w:t>处理施工现场正常业务，负责设计、施工及各专业工程之间的协调和管理</w:t>
      </w:r>
      <w:r>
        <w:rPr>
          <w:rFonts w:hint="eastAsia" w:ascii="仿宋" w:hAnsi="仿宋" w:eastAsia="仿宋" w:cs="仿宋"/>
          <w:color w:val="auto"/>
          <w:sz w:val="21"/>
          <w:szCs w:val="21"/>
          <w:highlight w:val="none"/>
        </w:rPr>
        <w:t xml:space="preserve"> 。</w:t>
      </w:r>
    </w:p>
    <w:p>
      <w:pPr>
        <w:spacing w:line="360" w:lineRule="auto"/>
        <w:ind w:firstLine="420" w:firstLineChars="200"/>
        <w:rPr>
          <w:rFonts w:hint="eastAsia" w:ascii="仿宋" w:hAnsi="仿宋" w:eastAsia="仿宋" w:cs="仿宋"/>
          <w:color w:val="auto"/>
          <w:sz w:val="21"/>
          <w:szCs w:val="21"/>
          <w:highlight w:val="none"/>
          <w:u w:val="single"/>
          <w:shd w:val="clear" w:color="auto" w:fill="FFFFFF"/>
        </w:rPr>
      </w:pPr>
      <w:r>
        <w:rPr>
          <w:rFonts w:hint="eastAsia" w:ascii="仿宋" w:hAnsi="仿宋" w:eastAsia="仿宋" w:cs="仿宋"/>
          <w:color w:val="auto"/>
          <w:sz w:val="21"/>
          <w:szCs w:val="21"/>
          <w:highlight w:val="none"/>
        </w:rPr>
        <w:t>2.1.2但非经发包人书面授权加盖公章确认</w:t>
      </w:r>
      <w:r>
        <w:rPr>
          <w:rFonts w:hint="eastAsia" w:ascii="仿宋" w:hAnsi="仿宋" w:eastAsia="仿宋" w:cs="仿宋"/>
          <w:color w:val="auto"/>
          <w:sz w:val="21"/>
          <w:szCs w:val="21"/>
          <w:highlight w:val="none"/>
          <w:shd w:val="clear" w:color="auto" w:fill="FFFFFF"/>
        </w:rPr>
        <w:t>发包人代表不行使如下权利：</w:t>
      </w:r>
      <w:r>
        <w:rPr>
          <w:rFonts w:hint="eastAsia" w:ascii="仿宋" w:hAnsi="仿宋" w:eastAsia="仿宋" w:cs="仿宋"/>
          <w:color w:val="auto"/>
          <w:sz w:val="21"/>
          <w:szCs w:val="21"/>
          <w:highlight w:val="none"/>
          <w:u w:val="single"/>
          <w:shd w:val="clear" w:color="auto" w:fill="FFFFFF"/>
        </w:rPr>
        <w:t>1.签认竣工付款证书，2.签发工程接收证书，3.签发缺陷责任终止证书，4.签发最终结清证书，5.对工期顺延的审批及涉及工期、价格调整的文件。</w:t>
      </w:r>
    </w:p>
    <w:p>
      <w:pPr>
        <w:spacing w:after="120" w:line="360" w:lineRule="auto"/>
        <w:ind w:firstLine="420" w:firstLineChars="200"/>
        <w:outlineLvl w:val="9"/>
        <w:rPr>
          <w:rFonts w:hint="eastAsia" w:ascii="仿宋" w:hAnsi="仿宋" w:eastAsia="仿宋" w:cs="仿宋"/>
          <w:color w:val="auto"/>
          <w:sz w:val="21"/>
          <w:szCs w:val="21"/>
          <w:highlight w:val="none"/>
        </w:rPr>
      </w:pPr>
      <w:bookmarkStart w:id="391" w:name="_Toc514079905"/>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施工现场、施工条件和基础资料的提供</w:t>
      </w:r>
      <w:bookmarkEnd w:id="391"/>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.1 提供施工现场</w:t>
      </w:r>
    </w:p>
    <w:p>
      <w:pP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关于发包人移交施工现场的期限要求：</w:t>
      </w:r>
      <w:r>
        <w:rPr>
          <w:rFonts w:hint="eastAsia" w:ascii="仿宋" w:hAnsi="仿宋" w:eastAsia="仿宋" w:cs="仿宋"/>
          <w:color w:val="auto"/>
          <w:sz w:val="21"/>
          <w:szCs w:val="21"/>
          <w:highlight w:val="none"/>
          <w:lang w:val="en-US" w:eastAsia="zh-CN"/>
        </w:rPr>
        <w:t>现状移交</w:t>
      </w:r>
      <w:r>
        <w:rPr>
          <w:rFonts w:hint="eastAsia" w:ascii="仿宋" w:hAnsi="仿宋" w:eastAsia="仿宋" w:cs="仿宋"/>
          <w:color w:val="auto"/>
          <w:sz w:val="21"/>
          <w:szCs w:val="21"/>
          <w:highlight w:val="none"/>
          <w:u w:val="single"/>
        </w:rPr>
        <w:t>。施工所用水电由承包人自行解决，费用均包含在报价内，以招标文件为准。</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.2 提供施工条件</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关于发包人应负责提供施工所需要的条件，包括：</w:t>
      </w:r>
      <w:r>
        <w:rPr>
          <w:rFonts w:hint="eastAsia" w:ascii="仿宋" w:hAnsi="仿宋" w:eastAsia="仿宋" w:cs="仿宋"/>
          <w:color w:val="auto"/>
          <w:sz w:val="21"/>
          <w:szCs w:val="21"/>
          <w:highlight w:val="none"/>
          <w:u w:val="single"/>
        </w:rPr>
        <w:t xml:space="preserve">开工前备案、施工许可及与施工项目相关单位的协调、图纸变更等    </w:t>
      </w:r>
      <w:r>
        <w:rPr>
          <w:rFonts w:hint="eastAsia" w:ascii="仿宋" w:hAnsi="仿宋" w:eastAsia="仿宋" w:cs="仿宋"/>
          <w:color w:val="auto"/>
          <w:sz w:val="21"/>
          <w:szCs w:val="21"/>
          <w:highlight w:val="none"/>
        </w:rPr>
        <w:t>。以上工作承包方予以配合</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.3除</w:t>
      </w:r>
      <w:r>
        <w:rPr>
          <w:rFonts w:hint="eastAsia" w:ascii="仿宋" w:hAnsi="仿宋" w:eastAsia="仿宋" w:cs="仿宋"/>
          <w:b w:val="0"/>
          <w:bCs w:val="0"/>
          <w:color w:val="auto"/>
          <w:sz w:val="21"/>
          <w:szCs w:val="21"/>
          <w:highlight w:val="none"/>
          <w:u w:val="none"/>
          <w:lang w:val="en-US" w:eastAsia="zh-CN"/>
        </w:rPr>
        <w:t>本合同约定发包人承担的</w:t>
      </w:r>
      <w:r>
        <w:rPr>
          <w:rFonts w:hint="eastAsia" w:ascii="仿宋" w:hAnsi="仿宋" w:eastAsia="仿宋" w:cs="仿宋"/>
          <w:color w:val="auto"/>
          <w:sz w:val="21"/>
          <w:szCs w:val="21"/>
          <w:highlight w:val="none"/>
        </w:rPr>
        <w:t>费用外其他费用均由承包人承担。</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.4有关施工的相应证件</w:t>
      </w:r>
      <w:r>
        <w:rPr>
          <w:rFonts w:hint="eastAsia" w:ascii="仿宋" w:hAnsi="仿宋" w:eastAsia="仿宋" w:cs="仿宋"/>
          <w:color w:val="auto"/>
          <w:sz w:val="21"/>
          <w:szCs w:val="21"/>
          <w:highlight w:val="none"/>
          <w:lang w:val="en-US" w:eastAsia="zh-CN"/>
        </w:rPr>
        <w:t>由</w:t>
      </w:r>
      <w:r>
        <w:rPr>
          <w:rFonts w:hint="eastAsia" w:ascii="仿宋" w:hAnsi="仿宋" w:eastAsia="仿宋" w:cs="仿宋"/>
          <w:color w:val="auto"/>
          <w:sz w:val="21"/>
          <w:szCs w:val="21"/>
          <w:highlight w:val="none"/>
        </w:rPr>
        <w:t>承包人负责办理，相应费用由承包人承担。</w:t>
      </w:r>
    </w:p>
    <w:p>
      <w:pPr>
        <w:spacing w:after="120"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 xml:space="preserve"> 资金来源证明及支付担保</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发包人提供资金来源证明的期限要求：</w:t>
      </w:r>
      <w:r>
        <w:rPr>
          <w:rFonts w:hint="eastAsia" w:ascii="仿宋" w:hAnsi="仿宋" w:eastAsia="仿宋" w:cs="仿宋"/>
          <w:color w:val="auto"/>
          <w:sz w:val="21"/>
          <w:szCs w:val="21"/>
          <w:highlight w:val="none"/>
          <w:u w:val="single"/>
        </w:rPr>
        <w:t>发包人无需提供</w:t>
      </w:r>
      <w:r>
        <w:rPr>
          <w:rFonts w:hint="eastAsia" w:ascii="仿宋" w:hAnsi="仿宋" w:eastAsia="仿宋" w:cs="仿宋"/>
          <w:color w:val="auto"/>
          <w:sz w:val="21"/>
          <w:szCs w:val="21"/>
          <w:highlight w:val="none"/>
        </w:rPr>
        <w:t>。</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发包人是否提供支付担保：</w:t>
      </w:r>
      <w:r>
        <w:rPr>
          <w:rFonts w:hint="eastAsia" w:ascii="仿宋" w:hAnsi="仿宋" w:eastAsia="仿宋" w:cs="仿宋"/>
          <w:color w:val="auto"/>
          <w:sz w:val="21"/>
          <w:szCs w:val="21"/>
          <w:highlight w:val="none"/>
          <w:u w:val="single"/>
        </w:rPr>
        <w:t xml:space="preserve">        </w:t>
      </w:r>
      <w:r>
        <w:rPr>
          <w:rFonts w:hint="eastAsia" w:ascii="仿宋" w:hAnsi="仿宋" w:eastAsia="仿宋" w:cs="仿宋"/>
          <w:b/>
          <w:color w:val="auto"/>
          <w:sz w:val="21"/>
          <w:szCs w:val="21"/>
          <w:highlight w:val="none"/>
          <w:u w:val="single"/>
        </w:rPr>
        <w:t xml:space="preserve"> </w:t>
      </w:r>
      <w:r>
        <w:rPr>
          <w:rFonts w:hint="eastAsia" w:ascii="仿宋" w:hAnsi="仿宋" w:eastAsia="仿宋" w:cs="仿宋"/>
          <w:color w:val="auto"/>
          <w:sz w:val="21"/>
          <w:szCs w:val="21"/>
          <w:highlight w:val="none"/>
          <w:u w:val="single"/>
        </w:rPr>
        <w:t xml:space="preserve">否        </w:t>
      </w:r>
      <w:r>
        <w:rPr>
          <w:rFonts w:hint="eastAsia" w:ascii="仿宋" w:hAnsi="仿宋" w:eastAsia="仿宋" w:cs="仿宋"/>
          <w:color w:val="auto"/>
          <w:sz w:val="21"/>
          <w:szCs w:val="21"/>
          <w:highlight w:val="none"/>
        </w:rPr>
        <w:t>。</w:t>
      </w:r>
    </w:p>
    <w:p>
      <w:pPr>
        <w:spacing w:line="360" w:lineRule="auto"/>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发包人提供支付担保的形式：</w:t>
      </w:r>
      <w:r>
        <w:rPr>
          <w:rFonts w:hint="eastAsia" w:ascii="仿宋" w:hAnsi="仿宋" w:eastAsia="仿宋" w:cs="仿宋"/>
          <w:color w:val="auto"/>
          <w:sz w:val="21"/>
          <w:szCs w:val="21"/>
          <w:highlight w:val="none"/>
          <w:u w:val="single"/>
        </w:rPr>
        <w:t>       /           </w:t>
      </w:r>
      <w:r>
        <w:rPr>
          <w:rFonts w:hint="eastAsia" w:ascii="仿宋" w:hAnsi="仿宋" w:eastAsia="仿宋" w:cs="仿宋"/>
          <w:color w:val="auto"/>
          <w:sz w:val="21"/>
          <w:szCs w:val="21"/>
          <w:highlight w:val="none"/>
        </w:rPr>
        <w:t>。</w:t>
      </w:r>
    </w:p>
    <w:p>
      <w:pPr>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3. 承包人</w:t>
      </w:r>
    </w:p>
    <w:p>
      <w:pPr>
        <w:spacing w:after="120"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 承包人的一般义务</w:t>
      </w:r>
    </w:p>
    <w:p>
      <w:pP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（1）承包人提交的竣工资料的内容：</w:t>
      </w:r>
      <w:r>
        <w:rPr>
          <w:rFonts w:hint="eastAsia" w:ascii="仿宋" w:hAnsi="仿宋" w:eastAsia="仿宋" w:cs="仿宋"/>
          <w:b w:val="0"/>
          <w:bCs w:val="0"/>
          <w:color w:val="auto"/>
          <w:sz w:val="21"/>
          <w:szCs w:val="21"/>
          <w:highlight w:val="none"/>
          <w:u w:val="none"/>
        </w:rPr>
        <w:t>竣工验收</w:t>
      </w:r>
      <w:r>
        <w:rPr>
          <w:rFonts w:hint="eastAsia" w:ascii="仿宋" w:hAnsi="仿宋" w:eastAsia="仿宋" w:cs="仿宋"/>
          <w:b w:val="0"/>
          <w:bCs w:val="0"/>
          <w:color w:val="auto"/>
          <w:sz w:val="21"/>
          <w:szCs w:val="21"/>
          <w:highlight w:val="none"/>
          <w:u w:val="none"/>
          <w:lang w:val="en-US" w:eastAsia="zh-CN"/>
        </w:rPr>
        <w:t>合格</w:t>
      </w:r>
      <w:r>
        <w:rPr>
          <w:rFonts w:hint="eastAsia" w:ascii="仿宋" w:hAnsi="仿宋" w:eastAsia="仿宋" w:cs="仿宋"/>
          <w:b w:val="0"/>
          <w:bCs w:val="0"/>
          <w:color w:val="auto"/>
          <w:sz w:val="21"/>
          <w:szCs w:val="21"/>
          <w:highlight w:val="none"/>
          <w:u w:val="none"/>
        </w:rPr>
        <w:t>后十日内</w:t>
      </w:r>
      <w:r>
        <w:rPr>
          <w:rFonts w:hint="eastAsia" w:ascii="仿宋" w:hAnsi="仿宋" w:eastAsia="仿宋" w:cs="仿宋"/>
          <w:color w:val="auto"/>
          <w:sz w:val="21"/>
          <w:szCs w:val="21"/>
          <w:highlight w:val="none"/>
          <w:u w:val="single"/>
        </w:rPr>
        <w:t>提供符合业主要求完整的竣工资料、档案资料、结算资料等 。</w:t>
      </w:r>
    </w:p>
    <w:p>
      <w:pP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（2）承包人需要提交的竣工资料套数：</w:t>
      </w:r>
      <w:r>
        <w:rPr>
          <w:rFonts w:hint="eastAsia" w:ascii="仿宋" w:hAnsi="仿宋" w:eastAsia="仿宋" w:cs="仿宋"/>
          <w:color w:val="auto"/>
          <w:sz w:val="21"/>
          <w:szCs w:val="21"/>
          <w:highlight w:val="none"/>
          <w:u w:val="single"/>
        </w:rPr>
        <w:t xml:space="preserve"> 竣工资料</w:t>
      </w:r>
      <w:r>
        <w:rPr>
          <w:rFonts w:hint="eastAsia" w:ascii="仿宋" w:hAnsi="仿宋" w:eastAsia="仿宋" w:cs="仿宋"/>
          <w:color w:val="auto"/>
          <w:sz w:val="21"/>
          <w:szCs w:val="21"/>
          <w:highlight w:val="none"/>
          <w:u w:val="single"/>
          <w:lang w:val="en-US" w:eastAsia="zh-CN"/>
        </w:rPr>
        <w:t>五</w:t>
      </w:r>
      <w:r>
        <w:rPr>
          <w:rFonts w:hint="eastAsia" w:ascii="仿宋" w:hAnsi="仿宋" w:eastAsia="仿宋" w:cs="仿宋"/>
          <w:color w:val="auto"/>
          <w:sz w:val="21"/>
          <w:szCs w:val="21"/>
          <w:highlight w:val="none"/>
          <w:u w:val="single"/>
        </w:rPr>
        <w:t xml:space="preserve">套（含交工资料、施工日志、竣工图）、决算书及附件一式两份         </w:t>
      </w:r>
      <w:r>
        <w:rPr>
          <w:rFonts w:hint="eastAsia" w:ascii="仿宋" w:hAnsi="仿宋" w:eastAsia="仿宋" w:cs="仿宋"/>
          <w:color w:val="auto"/>
          <w:sz w:val="21"/>
          <w:szCs w:val="21"/>
          <w:highlight w:val="none"/>
        </w:rPr>
        <w:t>。</w:t>
      </w:r>
    </w:p>
    <w:p>
      <w:pP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（3）承包人提交的竣工资料的费用承担：</w:t>
      </w:r>
      <w:r>
        <w:rPr>
          <w:rFonts w:hint="eastAsia" w:ascii="仿宋" w:hAnsi="仿宋" w:eastAsia="仿宋" w:cs="仿宋"/>
          <w:color w:val="auto"/>
          <w:sz w:val="21"/>
          <w:szCs w:val="21"/>
          <w:highlight w:val="none"/>
          <w:u w:val="single"/>
        </w:rPr>
        <w:t>由承包人承担。</w:t>
      </w:r>
    </w:p>
    <w:p>
      <w:pP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（4）承包人提交的竣工资料移交时间：</w:t>
      </w:r>
      <w:r>
        <w:rPr>
          <w:rFonts w:hint="eastAsia" w:ascii="仿宋" w:hAnsi="仿宋" w:eastAsia="仿宋" w:cs="仿宋"/>
          <w:color w:val="auto"/>
          <w:sz w:val="21"/>
          <w:szCs w:val="21"/>
          <w:highlight w:val="none"/>
          <w:u w:val="single"/>
        </w:rPr>
        <w:t>工程竣工验收决算完成后一个月内 ，承包人按规范整理完整的竣工资料交发包人。</w:t>
      </w:r>
    </w:p>
    <w:p>
      <w:pP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（5）承包人提交的竣工资料形式要求：</w:t>
      </w:r>
      <w:r>
        <w:rPr>
          <w:rFonts w:hint="eastAsia" w:ascii="仿宋" w:hAnsi="仿宋" w:eastAsia="仿宋" w:cs="仿宋"/>
          <w:color w:val="auto"/>
          <w:sz w:val="21"/>
          <w:szCs w:val="21"/>
          <w:highlight w:val="none"/>
          <w:u w:val="single"/>
        </w:rPr>
        <w:t>按照国家相关文件规定:电子和纸质书面形式分类组卷装订成册</w:t>
      </w:r>
      <w:r>
        <w:rPr>
          <w:rFonts w:hint="eastAsia" w:ascii="仿宋" w:hAnsi="仿宋" w:eastAsia="仿宋" w:cs="仿宋"/>
          <w:color w:val="auto"/>
          <w:sz w:val="21"/>
          <w:szCs w:val="21"/>
          <w:highlight w:val="none"/>
        </w:rPr>
        <w:t>。</w:t>
      </w:r>
    </w:p>
    <w:p>
      <w:pP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u w:val="single"/>
          <w:shd w:val="clear" w:color="auto" w:fill="FFFFFF"/>
        </w:rPr>
        <w:t>（6）承包人未按约定期限移交符合要求的竣工资料的应当承担违约责任，每逾期一天需承担违约金</w:t>
      </w:r>
      <w:r>
        <w:rPr>
          <w:rFonts w:hint="eastAsia" w:ascii="仿宋" w:hAnsi="仿宋" w:eastAsia="仿宋" w:cs="仿宋"/>
          <w:color w:val="auto"/>
          <w:sz w:val="21"/>
          <w:szCs w:val="21"/>
          <w:highlight w:val="none"/>
          <w:u w:val="single"/>
          <w:shd w:val="clear" w:color="auto" w:fill="FFFFFF"/>
          <w:lang w:val="en-US" w:eastAsia="zh-CN"/>
        </w:rPr>
        <w:t>5</w:t>
      </w:r>
      <w:r>
        <w:rPr>
          <w:rFonts w:hint="eastAsia" w:ascii="仿宋" w:hAnsi="仿宋" w:eastAsia="仿宋" w:cs="仿宋"/>
          <w:color w:val="auto"/>
          <w:sz w:val="21"/>
          <w:szCs w:val="21"/>
          <w:highlight w:val="none"/>
          <w:u w:val="single"/>
          <w:shd w:val="clear" w:color="auto" w:fill="FFFFFF"/>
        </w:rPr>
        <w:t>0000元（非承包人原因除外），该违约金发包人有权从承包人履约保证金或应付给承包人的款项中直接扣除</w:t>
      </w:r>
      <w:r>
        <w:rPr>
          <w:rFonts w:hint="eastAsia" w:ascii="仿宋" w:hAnsi="仿宋" w:eastAsia="仿宋" w:cs="仿宋"/>
          <w:color w:val="auto"/>
          <w:sz w:val="21"/>
          <w:szCs w:val="21"/>
          <w:highlight w:val="none"/>
        </w:rPr>
        <w:t>。</w:t>
      </w:r>
    </w:p>
    <w:p>
      <w:pPr>
        <w:spacing w:line="360" w:lineRule="auto"/>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kern w:val="0"/>
          <w:sz w:val="21"/>
          <w:szCs w:val="21"/>
          <w:highlight w:val="none"/>
        </w:rPr>
        <w:t>（7）承包人应履行的其他义务：</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sz w:val="21"/>
          <w:szCs w:val="21"/>
          <w:highlight w:val="none"/>
          <w:u w:val="single"/>
        </w:rPr>
        <w:t>服从发包人及监理人对现场施工的统一管理、安排和要求，同意并履行发包人及监理人的相关管理规定，由此发生的费用被认为已经包含在承包人的签约合同价中 。</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(8)承包人应当对在施工现场或者附近实施与合同工程有关的其他工作的独立承包人履行管理、协调、配合、照管和服务义务。</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(9)按照规定、约定或者发包人、监理人的要求提供相关的计划、规划、方案、报表和其他资料。</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(10)承包人应负责避免因自身施工行为对施工现场周围地下管线和附近建筑物、构筑物、树木引起的各类损害并承担相应的费用。</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(11)按国家省市有关规定负责施工场地交通、环卫、现场的安保工作和施工照明，费用已包含在合同价中。</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承包人在交工前做好对已完工程的成品保护并承担费用，如有损坏承包方负责恢复并承担由此增加的费用和延误工期，如损坏其他施工单位的成品按价赔偿，当损失或破坏是由第三方原因造成时由承包人自行向有关责任人追偿，但追偿的过程及结果不应影响承包人对这类损失或破坏进行整改的进度和质量。</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(13）承包人按发包人的指令筹备迎接各类检查，因此发生的物料人工机械等费用已包含合同价中，且承包人不得提出误工索赔。</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(14)承包人同意并履行发包人的相关管理办法与规定、考核办法等。</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承包人应按国家规定为包括民工在内所有工人提供劳动保护，严格按照国家省市有关规定及时支付民工劳动报酬，不得拖欠和克扣，承包人不得以任何发包人的责任（未按时支付工程款除外）为理由延期支付民工报酬，若因承包人未按时支付劳动报酬导致民工出现停工、闹事、投诉、曝光</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信访</w:t>
      </w:r>
      <w:r>
        <w:rPr>
          <w:rFonts w:hint="eastAsia" w:ascii="仿宋" w:hAnsi="仿宋" w:eastAsia="仿宋" w:cs="仿宋"/>
          <w:color w:val="auto"/>
          <w:sz w:val="21"/>
          <w:szCs w:val="21"/>
          <w:highlight w:val="none"/>
        </w:rPr>
        <w:t>及发生其他与此相关的情形</w:t>
      </w:r>
      <w:r>
        <w:rPr>
          <w:rFonts w:hint="eastAsia" w:ascii="仿宋" w:hAnsi="仿宋" w:eastAsia="仿宋" w:cs="仿宋"/>
          <w:color w:val="auto"/>
          <w:sz w:val="21"/>
          <w:szCs w:val="21"/>
          <w:highlight w:val="none"/>
          <w:lang w:val="en-US" w:eastAsia="zh-CN"/>
        </w:rPr>
        <w:t>或不良影响</w:t>
      </w:r>
      <w:r>
        <w:rPr>
          <w:rFonts w:hint="eastAsia" w:ascii="仿宋" w:hAnsi="仿宋" w:eastAsia="仿宋" w:cs="仿宋"/>
          <w:color w:val="auto"/>
          <w:sz w:val="21"/>
          <w:szCs w:val="21"/>
          <w:highlight w:val="none"/>
        </w:rPr>
        <w:t>的，</w:t>
      </w:r>
      <w:r>
        <w:rPr>
          <w:rFonts w:hint="eastAsia" w:ascii="仿宋" w:hAnsi="仿宋" w:eastAsia="仿宋" w:cs="仿宋"/>
          <w:color w:val="auto"/>
          <w:sz w:val="21"/>
          <w:szCs w:val="21"/>
          <w:highlight w:val="none"/>
          <w:lang w:val="en-US" w:eastAsia="zh-CN"/>
        </w:rPr>
        <w:t>承包人</w:t>
      </w:r>
      <w:r>
        <w:rPr>
          <w:rFonts w:hint="eastAsia" w:ascii="仿宋" w:hAnsi="仿宋" w:eastAsia="仿宋" w:cs="仿宋"/>
          <w:color w:val="auto"/>
          <w:sz w:val="21"/>
          <w:szCs w:val="21"/>
          <w:highlight w:val="none"/>
        </w:rPr>
        <w:t>除需继续履行足额支付农民工工资外，还需向</w:t>
      </w:r>
      <w:r>
        <w:rPr>
          <w:rFonts w:hint="eastAsia" w:ascii="仿宋" w:hAnsi="仿宋" w:eastAsia="仿宋" w:cs="仿宋"/>
          <w:color w:val="auto"/>
          <w:sz w:val="21"/>
          <w:szCs w:val="21"/>
          <w:highlight w:val="none"/>
          <w:lang w:val="en-US" w:eastAsia="zh-CN"/>
        </w:rPr>
        <w:t>发包人</w:t>
      </w:r>
      <w:r>
        <w:rPr>
          <w:rFonts w:hint="eastAsia" w:ascii="仿宋" w:hAnsi="仿宋" w:eastAsia="仿宋" w:cs="仿宋"/>
          <w:color w:val="auto"/>
          <w:sz w:val="21"/>
          <w:szCs w:val="21"/>
          <w:highlight w:val="none"/>
        </w:rPr>
        <w:t>支付合同总金额20%的违约金，给</w:t>
      </w:r>
      <w:r>
        <w:rPr>
          <w:rFonts w:hint="eastAsia" w:ascii="仿宋" w:hAnsi="仿宋" w:eastAsia="仿宋" w:cs="仿宋"/>
          <w:color w:val="auto"/>
          <w:sz w:val="21"/>
          <w:szCs w:val="21"/>
          <w:highlight w:val="none"/>
          <w:lang w:val="en-US" w:eastAsia="zh-CN"/>
        </w:rPr>
        <w:t>发包人</w:t>
      </w:r>
      <w:r>
        <w:rPr>
          <w:rFonts w:hint="eastAsia" w:ascii="仿宋" w:hAnsi="仿宋" w:eastAsia="仿宋" w:cs="仿宋"/>
          <w:color w:val="auto"/>
          <w:sz w:val="21"/>
          <w:szCs w:val="21"/>
          <w:highlight w:val="none"/>
        </w:rPr>
        <w:t>造成其他损失的，</w:t>
      </w:r>
      <w:r>
        <w:rPr>
          <w:rFonts w:hint="eastAsia" w:ascii="仿宋" w:hAnsi="仿宋" w:eastAsia="仿宋" w:cs="仿宋"/>
          <w:color w:val="auto"/>
          <w:sz w:val="21"/>
          <w:szCs w:val="21"/>
          <w:highlight w:val="none"/>
          <w:lang w:val="en-US" w:eastAsia="zh-CN"/>
        </w:rPr>
        <w:t>承包人</w:t>
      </w:r>
      <w:r>
        <w:rPr>
          <w:rFonts w:hint="eastAsia" w:ascii="仿宋" w:hAnsi="仿宋" w:eastAsia="仿宋" w:cs="仿宋"/>
          <w:color w:val="auto"/>
          <w:sz w:val="21"/>
          <w:szCs w:val="21"/>
          <w:highlight w:val="none"/>
        </w:rPr>
        <w:t>还需承担赔偿责任，</w:t>
      </w:r>
      <w:r>
        <w:rPr>
          <w:rFonts w:hint="eastAsia" w:ascii="仿宋" w:hAnsi="仿宋" w:eastAsia="仿宋" w:cs="仿宋"/>
          <w:color w:val="auto"/>
          <w:sz w:val="21"/>
          <w:szCs w:val="21"/>
          <w:highlight w:val="none"/>
          <w:lang w:val="en-US" w:eastAsia="zh-CN"/>
        </w:rPr>
        <w:t>但因</w:t>
      </w:r>
      <w:r>
        <w:rPr>
          <w:rFonts w:hint="eastAsia" w:ascii="仿宋" w:hAnsi="仿宋" w:eastAsia="仿宋" w:cs="仿宋"/>
          <w:color w:val="auto"/>
          <w:sz w:val="21"/>
          <w:szCs w:val="21"/>
          <w:highlight w:val="none"/>
        </w:rPr>
        <w:t>非</w:t>
      </w:r>
      <w:r>
        <w:rPr>
          <w:rFonts w:hint="eastAsia" w:ascii="仿宋" w:hAnsi="仿宋" w:eastAsia="仿宋" w:cs="仿宋"/>
          <w:color w:val="auto"/>
          <w:sz w:val="21"/>
          <w:szCs w:val="21"/>
          <w:highlight w:val="none"/>
          <w:lang w:val="en-US" w:eastAsia="zh-CN"/>
        </w:rPr>
        <w:t>承包人</w:t>
      </w:r>
      <w:r>
        <w:rPr>
          <w:rFonts w:hint="eastAsia" w:ascii="仿宋" w:hAnsi="仿宋" w:eastAsia="仿宋" w:cs="仿宋"/>
          <w:color w:val="auto"/>
          <w:sz w:val="21"/>
          <w:szCs w:val="21"/>
          <w:highlight w:val="none"/>
        </w:rPr>
        <w:t>原因造成的除外。</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（16）</w:t>
      </w:r>
      <w:r>
        <w:rPr>
          <w:rFonts w:hint="eastAsia" w:ascii="仿宋" w:hAnsi="仿宋" w:eastAsia="仿宋" w:cs="仿宋"/>
          <w:color w:val="auto"/>
          <w:sz w:val="21"/>
          <w:szCs w:val="21"/>
          <w:highlight w:val="none"/>
        </w:rPr>
        <w:t>承包人应自本协议签订之日起3日内按规定将农民工工资保障金足额交纳到相关主管部门，并把缴纳票据复印件提供给发包方。逾期未缴纳的应当承担违约责任，并赔偿发包人因此而遭受的损失。</w:t>
      </w:r>
    </w:p>
    <w:p>
      <w:pPr>
        <w:pStyle w:val="22"/>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17）承包人应当建立用工实名名册（期间人员发生流动的，应自发生之日起3日内将相应情况告知发包人），并将相应名册复印件加盖公章后于进场之日起7日内提交给发包人，未能按时提交或告知的，每逾期一日需支付违约金10000</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元。</w:t>
      </w:r>
    </w:p>
    <w:p>
      <w:pP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(18)承包人应在开工前7日内向发包人提交符合招标文件要求的履约担保，承包人提交的履约担保的额度应为中标价的5%。履约保证金的退还时间：待</w:t>
      </w:r>
      <w:r>
        <w:rPr>
          <w:rFonts w:hint="eastAsia" w:ascii="仿宋" w:hAnsi="仿宋" w:eastAsia="仿宋" w:cs="仿宋"/>
          <w:color w:val="auto"/>
          <w:sz w:val="21"/>
          <w:szCs w:val="21"/>
          <w:highlight w:val="none"/>
          <w:u w:val="single"/>
        </w:rPr>
        <w:t>承包人合同范围内的全部</w:t>
      </w:r>
      <w:r>
        <w:rPr>
          <w:rFonts w:hint="eastAsia" w:ascii="仿宋" w:hAnsi="仿宋" w:eastAsia="仿宋" w:cs="仿宋"/>
          <w:color w:val="auto"/>
          <w:sz w:val="21"/>
          <w:szCs w:val="21"/>
          <w:highlight w:val="none"/>
        </w:rPr>
        <w:t>工程</w:t>
      </w:r>
      <w:r>
        <w:rPr>
          <w:rFonts w:hint="eastAsia" w:ascii="仿宋" w:hAnsi="仿宋" w:eastAsia="仿宋" w:cs="仿宋"/>
          <w:color w:val="auto"/>
          <w:sz w:val="21"/>
          <w:szCs w:val="21"/>
          <w:highlight w:val="none"/>
          <w:u w:val="single"/>
        </w:rPr>
        <w:t>内容</w:t>
      </w:r>
      <w:r>
        <w:rPr>
          <w:rFonts w:hint="eastAsia" w:ascii="仿宋" w:hAnsi="仿宋" w:eastAsia="仿宋" w:cs="仿宋"/>
          <w:color w:val="auto"/>
          <w:sz w:val="21"/>
          <w:szCs w:val="21"/>
          <w:highlight w:val="none"/>
        </w:rPr>
        <w:t>验收合格</w:t>
      </w:r>
      <w:r>
        <w:rPr>
          <w:rFonts w:hint="eastAsia" w:ascii="仿宋" w:hAnsi="仿宋" w:eastAsia="仿宋" w:cs="仿宋"/>
          <w:b w:val="0"/>
          <w:bCs w:val="0"/>
          <w:color w:val="auto"/>
          <w:sz w:val="21"/>
          <w:szCs w:val="21"/>
          <w:highlight w:val="none"/>
          <w:u w:val="none"/>
          <w:lang w:val="en-US" w:eastAsia="zh-CN"/>
        </w:rPr>
        <w:t>并移交</w:t>
      </w:r>
      <w:r>
        <w:rPr>
          <w:rFonts w:hint="eastAsia" w:ascii="仿宋" w:hAnsi="仿宋" w:eastAsia="仿宋" w:cs="仿宋"/>
          <w:color w:val="auto"/>
          <w:sz w:val="21"/>
          <w:szCs w:val="21"/>
          <w:highlight w:val="none"/>
          <w:u w:val="single"/>
        </w:rPr>
        <w:t>后无息</w:t>
      </w:r>
      <w:r>
        <w:rPr>
          <w:rFonts w:hint="eastAsia" w:ascii="仿宋" w:hAnsi="仿宋" w:eastAsia="仿宋" w:cs="仿宋"/>
          <w:color w:val="auto"/>
          <w:sz w:val="21"/>
          <w:szCs w:val="21"/>
          <w:highlight w:val="none"/>
        </w:rPr>
        <w:t>退还。</w:t>
      </w:r>
    </w:p>
    <w:p>
      <w:pPr>
        <w:spacing w:after="120"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 项目经理</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 xml:space="preserve">3.2.1 </w:t>
      </w:r>
      <w:r>
        <w:rPr>
          <w:rFonts w:hint="eastAsia" w:ascii="仿宋" w:hAnsi="仿宋" w:eastAsia="仿宋" w:cs="仿宋"/>
          <w:color w:val="auto"/>
          <w:sz w:val="21"/>
          <w:szCs w:val="21"/>
          <w:highlight w:val="none"/>
        </w:rPr>
        <w:t>项目经理：</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姓    名：</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身份证号：</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rPr>
        <w:t xml:space="preserve">          </w:t>
      </w:r>
    </w:p>
    <w:p>
      <w:pPr>
        <w:spacing w:line="360" w:lineRule="auto"/>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建造师执业资格等级：</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建造师注册证书号：</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u w:val="single"/>
        </w:rPr>
        <w:t></w:t>
      </w:r>
      <w:r>
        <w:rPr>
          <w:rFonts w:hint="eastAsia" w:ascii="仿宋" w:hAnsi="仿宋" w:eastAsia="仿宋" w:cs="仿宋"/>
          <w:color w:val="auto"/>
          <w:sz w:val="21"/>
          <w:szCs w:val="21"/>
          <w:highlight w:val="none"/>
          <w:u w:val="single"/>
          <w:lang w:val="en-US" w:eastAsia="zh-CN"/>
        </w:rPr>
        <w:t xml:space="preserve">    </w:t>
      </w:r>
      <w:r>
        <w:rPr>
          <w:rFonts w:hint="eastAsia"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rPr>
        <w:t xml:space="preserve"> </w:t>
      </w:r>
    </w:p>
    <w:p>
      <w:pPr>
        <w:spacing w:line="360" w:lineRule="auto"/>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建造师执业印章号：</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rPr>
        <w:t>安全生产考核合格证书号：</w:t>
      </w:r>
      <w:r>
        <w:rPr>
          <w:rFonts w:hint="eastAsia" w:ascii="仿宋" w:hAnsi="仿宋" w:eastAsia="仿宋" w:cs="仿宋"/>
          <w:color w:val="auto"/>
          <w:sz w:val="21"/>
          <w:szCs w:val="21"/>
          <w:highlight w:val="none"/>
          <w:u w:val="single"/>
          <w:lang w:val="en-US" w:eastAsia="zh-CN"/>
        </w:rPr>
        <w:t xml:space="preserve">    </w:t>
      </w:r>
      <w:r>
        <w:rPr>
          <w:rFonts w:hint="eastAsia"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lang w:val="en-US" w:eastAsia="zh-CN"/>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联系电话： </w:t>
      </w:r>
      <w:r>
        <w:rPr>
          <w:rFonts w:hint="eastAsia" w:ascii="仿宋" w:hAnsi="仿宋" w:eastAsia="仿宋" w:cs="仿宋"/>
          <w:color w:val="auto"/>
          <w:sz w:val="21"/>
          <w:szCs w:val="21"/>
          <w:highlight w:val="none"/>
          <w:u w:val="single"/>
        </w:rPr>
        <w:t xml:space="preserve">                  /                 </w:t>
      </w:r>
      <w:r>
        <w:rPr>
          <w:rFonts w:hint="eastAsia" w:ascii="仿宋" w:hAnsi="仿宋" w:eastAsia="仿宋" w:cs="仿宋"/>
          <w:color w:val="auto"/>
          <w:sz w:val="21"/>
          <w:szCs w:val="21"/>
          <w:highlight w:val="none"/>
        </w:rPr>
        <w:t xml:space="preserve">   </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电子信箱： </w:t>
      </w:r>
      <w:r>
        <w:rPr>
          <w:rFonts w:hint="eastAsia" w:ascii="仿宋" w:hAnsi="仿宋" w:eastAsia="仿宋" w:cs="仿宋"/>
          <w:color w:val="auto"/>
          <w:sz w:val="21"/>
          <w:szCs w:val="21"/>
          <w:highlight w:val="none"/>
          <w:u w:val="single"/>
        </w:rPr>
        <w:t xml:space="preserve">                   /                </w:t>
      </w:r>
      <w:r>
        <w:rPr>
          <w:rFonts w:hint="eastAsia" w:ascii="仿宋" w:hAnsi="仿宋" w:eastAsia="仿宋" w:cs="仿宋"/>
          <w:color w:val="auto"/>
          <w:sz w:val="21"/>
          <w:szCs w:val="21"/>
          <w:highlight w:val="none"/>
        </w:rPr>
        <w:t xml:space="preserve">     </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通信地址：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 xml:space="preserve">              </w:t>
      </w:r>
    </w:p>
    <w:p>
      <w:pPr>
        <w:spacing w:line="360" w:lineRule="auto"/>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 xml:space="preserve">承包人对项目经理的授权范围如下： </w:t>
      </w:r>
      <w:r>
        <w:rPr>
          <w:rFonts w:hint="eastAsia" w:ascii="仿宋" w:hAnsi="仿宋" w:eastAsia="仿宋" w:cs="仿宋"/>
          <w:color w:val="auto"/>
          <w:sz w:val="21"/>
          <w:szCs w:val="21"/>
          <w:highlight w:val="none"/>
          <w:u w:val="single"/>
        </w:rPr>
        <w:t>与本项目有关的一切所有事宜，包括但不限</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u w:val="single"/>
        </w:rPr>
        <w:t>对质量、进度、安全、文明、资金、进度等方面的全面管理等以及通用条款的对项目经理的要求  。</w:t>
      </w:r>
    </w:p>
    <w:p>
      <w:pPr>
        <w:spacing w:line="360" w:lineRule="auto"/>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关于项目经理每月在施工现场的时间要求：</w:t>
      </w:r>
      <w:r>
        <w:rPr>
          <w:rFonts w:hint="eastAsia" w:ascii="仿宋" w:hAnsi="仿宋" w:eastAsia="仿宋" w:cs="仿宋"/>
          <w:color w:val="auto"/>
          <w:sz w:val="21"/>
          <w:szCs w:val="21"/>
          <w:highlight w:val="none"/>
          <w:u w:val="single"/>
        </w:rPr>
        <w:t>同投标文件承诺时间。</w:t>
      </w:r>
    </w:p>
    <w:p>
      <w:pPr>
        <w:spacing w:line="360" w:lineRule="auto"/>
        <w:ind w:firstLine="420" w:firstLineChars="200"/>
        <w:rPr>
          <w:rFonts w:hint="eastAsia" w:ascii="仿宋" w:hAnsi="仿宋" w:eastAsia="仿宋" w:cs="仿宋"/>
          <w:color w:val="auto"/>
          <w:sz w:val="21"/>
          <w:szCs w:val="21"/>
          <w:highlight w:val="none"/>
          <w:u w:val="single"/>
          <w:shd w:val="clear" w:color="auto" w:fill="FFFFFF"/>
        </w:rPr>
      </w:pPr>
      <w:r>
        <w:rPr>
          <w:rFonts w:hint="eastAsia" w:ascii="仿宋" w:hAnsi="仿宋" w:eastAsia="仿宋" w:cs="仿宋"/>
          <w:color w:val="auto"/>
          <w:kern w:val="0"/>
          <w:sz w:val="21"/>
          <w:szCs w:val="21"/>
          <w:highlight w:val="none"/>
        </w:rPr>
        <w:t>承包人未提交劳动合同，以及</w:t>
      </w:r>
      <w:r>
        <w:rPr>
          <w:rFonts w:hint="eastAsia" w:ascii="仿宋" w:hAnsi="仿宋" w:eastAsia="仿宋" w:cs="仿宋"/>
          <w:color w:val="auto"/>
          <w:kern w:val="0"/>
          <w:sz w:val="21"/>
          <w:szCs w:val="21"/>
          <w:highlight w:val="none"/>
          <w:lang w:val="en-US" w:eastAsia="zh-CN"/>
        </w:rPr>
        <w:t>未提交</w:t>
      </w:r>
      <w:r>
        <w:rPr>
          <w:rFonts w:hint="eastAsia" w:ascii="仿宋" w:hAnsi="仿宋" w:eastAsia="仿宋" w:cs="仿宋"/>
          <w:color w:val="auto"/>
          <w:kern w:val="0"/>
          <w:sz w:val="21"/>
          <w:szCs w:val="21"/>
          <w:highlight w:val="none"/>
        </w:rPr>
        <w:t>项目经理缴纳社会保险证明的违约责任：</w:t>
      </w:r>
      <w:r>
        <w:rPr>
          <w:rFonts w:hint="eastAsia" w:ascii="仿宋" w:hAnsi="仿宋" w:eastAsia="仿宋" w:cs="仿宋"/>
          <w:color w:val="auto"/>
          <w:sz w:val="21"/>
          <w:szCs w:val="21"/>
          <w:highlight w:val="none"/>
          <w:u w:val="single"/>
          <w:shd w:val="clear" w:color="auto" w:fill="FFFFFF"/>
        </w:rPr>
        <w:t>承包人应在本合同签订之日起3天内提交劳动合同及社保缴纳证明，承包人在限期内不能提交的，承包人的全部履约保证金不再退还。项目经理履职不符合承诺、要求约定的，发包人有权要求更换项目经理，由此增加的费用和（或）延误的工期由承包人承担，同时发包人有权扣除承包人的全部履约保证金。</w:t>
      </w:r>
    </w:p>
    <w:p>
      <w:pPr>
        <w:pStyle w:val="36"/>
        <w:numPr>
          <w:ins w:id="1" w:author="微软用户" w:date="2020-08-13T16:47:00Z"/>
        </w:numPr>
        <w:shd w:val="clear" w:color="auto" w:fill="FFFFFF"/>
        <w:spacing w:beforeAutospacing="0" w:afterAutospacing="0" w:line="360" w:lineRule="auto"/>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single"/>
          <w:shd w:val="clear" w:color="auto" w:fill="FFFFFF"/>
        </w:rPr>
        <w:t>承包人承诺非经发包人书面同意，不会更换投标时的项目经理、注册建造师及施工现场的技术人员等专业人员和其他主要管理人员，并承诺上述人员法定工作日均在施工现场，否则发包人有权单方解除本合同并扣除承包人的全部履约保证金，要求承包支付本合同总金额</w:t>
      </w:r>
      <w:r>
        <w:rPr>
          <w:rFonts w:hint="eastAsia" w:ascii="仿宋" w:hAnsi="仿宋" w:eastAsia="仿宋" w:cs="仿宋"/>
          <w:color w:val="auto"/>
          <w:sz w:val="21"/>
          <w:szCs w:val="21"/>
          <w:highlight w:val="none"/>
          <w:u w:val="single"/>
          <w:shd w:val="clear" w:color="auto" w:fill="FFFFFF"/>
          <w:lang w:val="en-US" w:eastAsia="zh-CN"/>
        </w:rPr>
        <w:t>20</w:t>
      </w:r>
      <w:r>
        <w:rPr>
          <w:rFonts w:hint="eastAsia" w:ascii="仿宋" w:hAnsi="仿宋" w:eastAsia="仿宋" w:cs="仿宋"/>
          <w:color w:val="auto"/>
          <w:sz w:val="21"/>
          <w:szCs w:val="21"/>
          <w:highlight w:val="none"/>
          <w:u w:val="single"/>
          <w:shd w:val="clear" w:color="auto" w:fill="FFFFFF"/>
        </w:rPr>
        <w:t>%的违约金，给发包人造成损失的，承包人还应当予以赔偿。</w:t>
      </w:r>
    </w:p>
    <w:p>
      <w:pPr>
        <w:pStyle w:val="36"/>
        <w:shd w:val="clear" w:color="auto" w:fill="FFFFFF"/>
        <w:spacing w:beforeAutospacing="0" w:afterAutospacing="0" w:line="360" w:lineRule="auto"/>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single"/>
          <w:shd w:val="clear" w:color="auto" w:fill="FFFFFF"/>
        </w:rPr>
        <w:t>项目经理、注册建造师及施工现场的技术人员等专业人员和其他主要管理人员</w:t>
      </w:r>
      <w:r>
        <w:rPr>
          <w:rStyle w:val="44"/>
          <w:rFonts w:hint="eastAsia" w:ascii="仿宋" w:hAnsi="仿宋" w:eastAsia="仿宋" w:cs="仿宋"/>
          <w:b w:val="0"/>
          <w:bCs w:val="0"/>
          <w:color w:val="auto"/>
          <w:sz w:val="21"/>
          <w:szCs w:val="21"/>
          <w:highlight w:val="none"/>
          <w:u w:val="single"/>
          <w:shd w:val="clear" w:color="auto" w:fill="FFFFFF"/>
        </w:rPr>
        <w:t>未经批准，擅自离开施工现场或</w:t>
      </w:r>
      <w:r>
        <w:rPr>
          <w:rFonts w:hint="eastAsia" w:ascii="仿宋" w:hAnsi="仿宋" w:eastAsia="仿宋" w:cs="仿宋"/>
          <w:color w:val="auto"/>
          <w:sz w:val="21"/>
          <w:szCs w:val="21"/>
          <w:highlight w:val="none"/>
          <w:u w:val="single"/>
          <w:shd w:val="clear" w:color="auto" w:fill="FFFFFF"/>
        </w:rPr>
        <w:t>每月在施工现场的时间未达到要求和承诺的，每次擅离或每日应承担违约金10000</w:t>
      </w:r>
      <w:r>
        <w:rPr>
          <w:rFonts w:hint="eastAsia" w:ascii="仿宋" w:hAnsi="仿宋" w:eastAsia="仿宋" w:cs="仿宋"/>
          <w:color w:val="auto"/>
          <w:sz w:val="21"/>
          <w:szCs w:val="21"/>
          <w:highlight w:val="none"/>
          <w:u w:val="single"/>
          <w:shd w:val="clear" w:color="auto" w:fill="FFFFFF"/>
          <w:lang w:val="en-US" w:eastAsia="zh-CN"/>
        </w:rPr>
        <w:t>0</w:t>
      </w:r>
      <w:r>
        <w:rPr>
          <w:rFonts w:hint="eastAsia" w:ascii="仿宋" w:hAnsi="仿宋" w:eastAsia="仿宋" w:cs="仿宋"/>
          <w:color w:val="auto"/>
          <w:sz w:val="21"/>
          <w:szCs w:val="21"/>
          <w:highlight w:val="none"/>
          <w:u w:val="single"/>
          <w:shd w:val="clear" w:color="auto" w:fill="FFFFFF"/>
        </w:rPr>
        <w:t>元，</w:t>
      </w:r>
      <w:r>
        <w:rPr>
          <w:rFonts w:hint="eastAsia" w:ascii="仿宋" w:hAnsi="仿宋" w:eastAsia="仿宋" w:cs="仿宋"/>
          <w:color w:val="auto"/>
          <w:sz w:val="21"/>
          <w:szCs w:val="21"/>
        </w:rPr>
        <w:t>且</w:t>
      </w:r>
      <w:r>
        <w:rPr>
          <w:rFonts w:hint="eastAsia" w:ascii="仿宋" w:hAnsi="仿宋" w:eastAsia="仿宋" w:cs="仿宋"/>
          <w:color w:val="auto"/>
          <w:sz w:val="21"/>
          <w:szCs w:val="21"/>
          <w:lang w:val="en-US" w:eastAsia="zh-CN"/>
        </w:rPr>
        <w:t>发包人</w:t>
      </w:r>
      <w:r>
        <w:rPr>
          <w:rFonts w:hint="eastAsia" w:ascii="仿宋" w:hAnsi="仿宋" w:eastAsia="仿宋" w:cs="仿宋"/>
          <w:color w:val="auto"/>
          <w:sz w:val="21"/>
          <w:szCs w:val="21"/>
        </w:rPr>
        <w:t>还有权单方面解除合同，并要求</w:t>
      </w:r>
      <w:r>
        <w:rPr>
          <w:rFonts w:hint="eastAsia" w:ascii="仿宋" w:hAnsi="仿宋" w:eastAsia="仿宋" w:cs="仿宋"/>
          <w:color w:val="auto"/>
          <w:sz w:val="21"/>
          <w:szCs w:val="21"/>
          <w:lang w:val="en-US" w:eastAsia="zh-CN"/>
        </w:rPr>
        <w:t>承包人</w:t>
      </w:r>
      <w:r>
        <w:rPr>
          <w:rFonts w:hint="eastAsia" w:ascii="仿宋" w:hAnsi="仿宋" w:eastAsia="仿宋" w:cs="仿宋"/>
          <w:color w:val="auto"/>
          <w:sz w:val="21"/>
          <w:szCs w:val="21"/>
        </w:rPr>
        <w:t>承担违约责任（违约金不低于合同总价的10%），扣除</w:t>
      </w:r>
      <w:r>
        <w:rPr>
          <w:rFonts w:hint="eastAsia" w:ascii="仿宋" w:hAnsi="仿宋" w:eastAsia="仿宋" w:cs="仿宋"/>
          <w:color w:val="auto"/>
          <w:sz w:val="21"/>
          <w:szCs w:val="21"/>
          <w:lang w:val="en-US" w:eastAsia="zh-CN"/>
        </w:rPr>
        <w:t>承包人</w:t>
      </w:r>
      <w:r>
        <w:rPr>
          <w:rFonts w:hint="eastAsia" w:ascii="仿宋" w:hAnsi="仿宋" w:eastAsia="仿宋" w:cs="仿宋"/>
          <w:color w:val="auto"/>
          <w:sz w:val="21"/>
          <w:szCs w:val="21"/>
        </w:rPr>
        <w:t>的全部履约保证金</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highlight w:val="none"/>
          <w:u w:val="single"/>
          <w:shd w:val="clear" w:color="auto" w:fill="FFFFFF"/>
        </w:rPr>
        <w:t>由此增加的费用和（或）延误的工期损失</w:t>
      </w:r>
      <w:r>
        <w:rPr>
          <w:rFonts w:hint="eastAsia" w:ascii="仿宋" w:hAnsi="仿宋" w:eastAsia="仿宋" w:cs="仿宋"/>
          <w:color w:val="auto"/>
          <w:sz w:val="21"/>
          <w:szCs w:val="21"/>
          <w:highlight w:val="none"/>
          <w:u w:val="single"/>
          <w:shd w:val="clear" w:color="auto" w:fill="FFFFFF"/>
          <w:lang w:val="en-US" w:eastAsia="zh-CN"/>
        </w:rPr>
        <w:t>均由承包人承担</w:t>
      </w:r>
      <w:r>
        <w:rPr>
          <w:rFonts w:hint="eastAsia" w:ascii="仿宋" w:hAnsi="仿宋" w:eastAsia="仿宋" w:cs="仿宋"/>
          <w:color w:val="auto"/>
          <w:sz w:val="21"/>
          <w:szCs w:val="21"/>
          <w:highlight w:val="none"/>
          <w:u w:val="single"/>
          <w:shd w:val="clear" w:color="auto" w:fill="FFFFFF"/>
        </w:rPr>
        <w:t xml:space="preserve"> </w:t>
      </w:r>
      <w:r>
        <w:rPr>
          <w:rFonts w:hint="eastAsia" w:ascii="仿宋" w:hAnsi="仿宋" w:eastAsia="仿宋" w:cs="仿宋"/>
          <w:color w:val="auto"/>
          <w:sz w:val="21"/>
          <w:szCs w:val="21"/>
          <w:highlight w:val="none"/>
          <w:u w:val="single"/>
          <w:shd w:val="clear" w:color="auto" w:fill="FFFFFF"/>
          <w:lang w:eastAsia="zh-CN"/>
        </w:rPr>
        <w:t>。</w:t>
      </w:r>
      <w:r>
        <w:rPr>
          <w:rFonts w:hint="eastAsia" w:ascii="仿宋" w:hAnsi="仿宋" w:eastAsia="仿宋" w:cs="仿宋"/>
          <w:color w:val="auto"/>
          <w:sz w:val="21"/>
          <w:szCs w:val="21"/>
          <w:highlight w:val="none"/>
          <w:u w:val="single"/>
          <w:shd w:val="clear" w:color="auto" w:fill="FFFFFF"/>
          <w:lang w:val="en-US" w:eastAsia="zh-CN"/>
        </w:rPr>
        <w:t>但</w:t>
      </w:r>
      <w:r>
        <w:rPr>
          <w:rFonts w:hint="eastAsia" w:ascii="仿宋" w:hAnsi="仿宋" w:eastAsia="仿宋" w:cs="仿宋"/>
          <w:color w:val="auto"/>
          <w:sz w:val="21"/>
          <w:szCs w:val="21"/>
          <w:highlight w:val="none"/>
          <w:u w:val="single"/>
          <w:shd w:val="clear" w:color="auto" w:fill="FFFFFF"/>
        </w:rPr>
        <w:t>如遇紧急情况可向发包方请假，经发包方批准后方可离开工地。</w:t>
      </w:r>
    </w:p>
    <w:p>
      <w:pPr>
        <w:pStyle w:val="36"/>
        <w:shd w:val="clear" w:color="auto" w:fill="FFFFFF"/>
        <w:spacing w:beforeAutospacing="0" w:afterAutospacing="0" w:line="360" w:lineRule="auto"/>
        <w:ind w:firstLine="420" w:firstLineChars="200"/>
        <w:rPr>
          <w:rFonts w:hint="eastAsia" w:ascii="仿宋" w:hAnsi="仿宋" w:eastAsia="仿宋" w:cs="仿宋"/>
          <w:color w:val="auto"/>
          <w:sz w:val="21"/>
          <w:szCs w:val="21"/>
          <w:highlight w:val="none"/>
          <w:u w:val="single"/>
          <w:shd w:val="clear" w:color="auto" w:fill="FFFFFF"/>
        </w:rPr>
      </w:pPr>
      <w:r>
        <w:rPr>
          <w:rStyle w:val="44"/>
          <w:rFonts w:hint="eastAsia" w:ascii="仿宋" w:hAnsi="仿宋" w:eastAsia="仿宋" w:cs="仿宋"/>
          <w:b w:val="0"/>
          <w:bCs w:val="0"/>
          <w:color w:val="auto"/>
          <w:sz w:val="21"/>
          <w:szCs w:val="21"/>
          <w:highlight w:val="none"/>
          <w:shd w:val="clear" w:color="auto" w:fill="FFFFFF"/>
        </w:rPr>
        <w:t>3.2.2</w:t>
      </w:r>
      <w:r>
        <w:rPr>
          <w:rStyle w:val="44"/>
          <w:rFonts w:hint="eastAsia" w:ascii="仿宋" w:hAnsi="仿宋" w:eastAsia="仿宋" w:cs="仿宋"/>
          <w:b w:val="0"/>
          <w:bCs w:val="0"/>
          <w:color w:val="auto"/>
          <w:sz w:val="21"/>
          <w:szCs w:val="21"/>
          <w:highlight w:val="none"/>
          <w:u w:val="single"/>
          <w:shd w:val="clear" w:color="auto" w:fill="FFFFFF"/>
        </w:rPr>
        <w:t>承包人无正当理由拒绝更换项目经理、</w:t>
      </w:r>
      <w:r>
        <w:rPr>
          <w:rFonts w:hint="eastAsia" w:ascii="仿宋" w:hAnsi="仿宋" w:eastAsia="仿宋" w:cs="仿宋"/>
          <w:color w:val="auto"/>
          <w:sz w:val="21"/>
          <w:szCs w:val="21"/>
          <w:highlight w:val="none"/>
          <w:u w:val="single"/>
          <w:shd w:val="clear" w:color="auto" w:fill="FFFFFF"/>
        </w:rPr>
        <w:t>注册建造师及施工现场的技术人员等专业人员和其他主要管理人员的</w:t>
      </w:r>
      <w:r>
        <w:rPr>
          <w:rStyle w:val="44"/>
          <w:rFonts w:hint="eastAsia" w:ascii="仿宋" w:hAnsi="仿宋" w:eastAsia="仿宋" w:cs="仿宋"/>
          <w:b w:val="0"/>
          <w:bCs w:val="0"/>
          <w:color w:val="auto"/>
          <w:sz w:val="21"/>
          <w:szCs w:val="21"/>
          <w:highlight w:val="none"/>
          <w:u w:val="single"/>
          <w:shd w:val="clear" w:color="auto" w:fill="FFFFFF"/>
        </w:rPr>
        <w:t>违约责任：</w:t>
      </w:r>
      <w:r>
        <w:rPr>
          <w:rFonts w:hint="eastAsia" w:ascii="仿宋" w:hAnsi="仿宋" w:eastAsia="仿宋" w:cs="仿宋"/>
          <w:color w:val="auto"/>
          <w:sz w:val="21"/>
          <w:szCs w:val="21"/>
          <w:highlight w:val="none"/>
          <w:u w:val="single"/>
          <w:shd w:val="clear" w:color="auto" w:fill="FFFFFF"/>
        </w:rPr>
        <w:t>承包人在接到发包人更换相应人员的通知后7天内无正当理由未更换的，发包人有权指示承包人暂停施工，由此增加的费用和（或）延误的工期由承包人承担，并扣除全部履约保证金；在暂停施工后的7天内仍未更换相应人员的，发包人有权扣除全部履约保证金</w:t>
      </w:r>
      <w:r>
        <w:rPr>
          <w:rFonts w:hint="eastAsia" w:ascii="仿宋" w:hAnsi="仿宋" w:eastAsia="仿宋" w:cs="仿宋"/>
          <w:color w:val="auto"/>
          <w:sz w:val="21"/>
          <w:szCs w:val="21"/>
          <w:highlight w:val="none"/>
          <w:u w:val="single"/>
          <w:shd w:val="clear" w:color="auto" w:fill="FFFFFF"/>
          <w:lang w:val="en-US" w:eastAsia="zh-CN"/>
        </w:rPr>
        <w:t>并</w:t>
      </w:r>
      <w:r>
        <w:rPr>
          <w:rFonts w:hint="eastAsia" w:ascii="仿宋" w:hAnsi="仿宋" w:eastAsia="仿宋" w:cs="仿宋"/>
          <w:color w:val="auto"/>
          <w:sz w:val="21"/>
          <w:szCs w:val="21"/>
          <w:highlight w:val="none"/>
          <w:u w:val="single"/>
          <w:shd w:val="clear" w:color="auto" w:fill="FFFFFF"/>
        </w:rPr>
        <w:t>解除合同</w:t>
      </w:r>
      <w:r>
        <w:rPr>
          <w:rFonts w:hint="eastAsia" w:ascii="仿宋" w:hAnsi="仿宋" w:eastAsia="仿宋" w:cs="仿宋"/>
          <w:color w:val="auto"/>
          <w:sz w:val="21"/>
          <w:szCs w:val="21"/>
          <w:highlight w:val="none"/>
          <w:u w:val="single"/>
          <w:shd w:val="clear" w:color="auto" w:fill="FFFFFF"/>
          <w:lang w:val="en-US" w:eastAsia="zh-CN"/>
        </w:rPr>
        <w:t>和</w:t>
      </w:r>
      <w:r>
        <w:rPr>
          <w:rFonts w:hint="eastAsia" w:ascii="仿宋" w:hAnsi="仿宋" w:eastAsia="仿宋" w:cs="仿宋"/>
          <w:color w:val="auto"/>
          <w:sz w:val="21"/>
          <w:szCs w:val="21"/>
          <w:highlight w:val="none"/>
          <w:u w:val="single"/>
          <w:shd w:val="clear" w:color="auto" w:fill="FFFFFF"/>
        </w:rPr>
        <w:t>并要求承包人赔偿损失和承担违约金</w:t>
      </w:r>
      <w:r>
        <w:rPr>
          <w:rFonts w:hint="eastAsia" w:ascii="仿宋" w:hAnsi="仿宋" w:eastAsia="仿宋" w:cs="仿宋"/>
          <w:color w:val="auto"/>
          <w:sz w:val="21"/>
          <w:szCs w:val="21"/>
          <w:highlight w:val="none"/>
          <w:u w:val="single"/>
          <w:shd w:val="clear" w:color="auto" w:fill="FFFFFF"/>
          <w:lang w:val="en-US" w:eastAsia="zh-CN"/>
        </w:rPr>
        <w:t>2</w:t>
      </w:r>
      <w:r>
        <w:rPr>
          <w:rFonts w:hint="eastAsia" w:ascii="仿宋" w:hAnsi="仿宋" w:eastAsia="仿宋" w:cs="仿宋"/>
          <w:color w:val="auto"/>
          <w:sz w:val="21"/>
          <w:szCs w:val="21"/>
          <w:highlight w:val="none"/>
          <w:u w:val="single"/>
          <w:shd w:val="clear" w:color="auto" w:fill="FFFFFF"/>
        </w:rPr>
        <w:t>000000元。</w:t>
      </w:r>
    </w:p>
    <w:p>
      <w:pPr>
        <w:spacing w:line="400" w:lineRule="exact"/>
        <w:ind w:firstLine="441" w:firstLineChars="21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 承包人人员</w:t>
      </w:r>
    </w:p>
    <w:p>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3.3.1 承包人提交项目管理机构及施工现场管理人员安排报告的期限：</w:t>
      </w:r>
      <w:r>
        <w:rPr>
          <w:rFonts w:hint="eastAsia" w:ascii="仿宋" w:hAnsi="仿宋" w:eastAsia="仿宋" w:cs="仿宋"/>
          <w:color w:val="auto"/>
          <w:sz w:val="21"/>
          <w:szCs w:val="21"/>
          <w:highlight w:val="none"/>
          <w:u w:val="single"/>
        </w:rPr>
        <w:t>开工</w:t>
      </w:r>
      <w:r>
        <w:rPr>
          <w:rFonts w:hint="eastAsia" w:ascii="仿宋" w:hAnsi="仿宋" w:eastAsia="仿宋" w:cs="仿宋"/>
          <w:color w:val="auto"/>
          <w:sz w:val="21"/>
          <w:szCs w:val="21"/>
          <w:highlight w:val="none"/>
          <w:u w:val="single"/>
          <w:lang w:val="zh-CN"/>
        </w:rPr>
        <w:t>前七日内</w:t>
      </w:r>
      <w:r>
        <w:rPr>
          <w:rFonts w:hint="eastAsia" w:ascii="仿宋" w:hAnsi="仿宋" w:eastAsia="仿宋" w:cs="仿宋"/>
          <w:color w:val="auto"/>
          <w:sz w:val="21"/>
          <w:szCs w:val="21"/>
          <w:highlight w:val="none"/>
        </w:rPr>
        <w:t>。</w:t>
      </w:r>
    </w:p>
    <w:p>
      <w:pPr>
        <w:pStyle w:val="36"/>
        <w:shd w:val="clear" w:color="auto" w:fill="FFFFFF"/>
        <w:spacing w:beforeAutospacing="0" w:afterAutospacing="0" w:line="400" w:lineRule="exact"/>
        <w:ind w:firstLine="420" w:firstLineChars="200"/>
        <w:rPr>
          <w:rFonts w:hint="eastAsia" w:ascii="仿宋" w:hAnsi="仿宋" w:eastAsia="仿宋" w:cs="仿宋"/>
          <w:color w:val="auto"/>
          <w:sz w:val="21"/>
          <w:szCs w:val="21"/>
          <w:highlight w:val="none"/>
          <w:u w:val="single"/>
        </w:rPr>
      </w:pPr>
      <w:r>
        <w:rPr>
          <w:rStyle w:val="44"/>
          <w:rFonts w:hint="eastAsia" w:ascii="仿宋" w:hAnsi="仿宋" w:eastAsia="仿宋" w:cs="仿宋"/>
          <w:b w:val="0"/>
          <w:bCs w:val="0"/>
          <w:color w:val="auto"/>
          <w:sz w:val="21"/>
          <w:szCs w:val="21"/>
          <w:highlight w:val="none"/>
        </w:rPr>
        <w:t>承包人无正当理由拒绝撤换主要施工管理人员的违约责任：</w:t>
      </w:r>
      <w:r>
        <w:rPr>
          <w:rFonts w:hint="eastAsia" w:ascii="仿宋" w:hAnsi="仿宋" w:eastAsia="仿宋" w:cs="仿宋"/>
          <w:color w:val="auto"/>
          <w:sz w:val="21"/>
          <w:szCs w:val="21"/>
          <w:highlight w:val="none"/>
          <w:shd w:val="clear" w:color="auto" w:fill="FFFFFF"/>
        </w:rPr>
        <w:t xml:space="preserve"> </w:t>
      </w:r>
      <w:r>
        <w:rPr>
          <w:rFonts w:hint="eastAsia" w:ascii="仿宋" w:hAnsi="仿宋" w:eastAsia="仿宋" w:cs="仿宋"/>
          <w:color w:val="auto"/>
          <w:sz w:val="21"/>
          <w:szCs w:val="21"/>
          <w:highlight w:val="none"/>
          <w:u w:val="single"/>
        </w:rPr>
        <w:t>承包人在接到发包人要求更换主要管理人员的通知后7天内未更换的，发包人有权指示承包人暂停施工，由此增加的费用和（或）延误的工期由承包人承担，每逾期一天承包人需承担违约金</w:t>
      </w:r>
      <w:r>
        <w:rPr>
          <w:rFonts w:hint="eastAsia" w:ascii="仿宋" w:hAnsi="仿宋" w:eastAsia="仿宋" w:cs="仿宋"/>
          <w:color w:val="auto"/>
          <w:sz w:val="21"/>
          <w:szCs w:val="21"/>
          <w:highlight w:val="none"/>
          <w:u w:val="single"/>
          <w:lang w:val="en-US" w:eastAsia="zh-CN"/>
        </w:rPr>
        <w:t>20</w:t>
      </w:r>
      <w:r>
        <w:rPr>
          <w:rFonts w:hint="eastAsia" w:ascii="仿宋" w:hAnsi="仿宋" w:eastAsia="仿宋" w:cs="仿宋"/>
          <w:color w:val="auto"/>
          <w:sz w:val="21"/>
          <w:szCs w:val="21"/>
          <w:highlight w:val="none"/>
          <w:u w:val="single"/>
        </w:rPr>
        <w:t>000元，从</w:t>
      </w:r>
      <w:r>
        <w:rPr>
          <w:rFonts w:hint="eastAsia" w:ascii="仿宋" w:hAnsi="仿宋" w:eastAsia="仿宋" w:cs="仿宋"/>
          <w:color w:val="auto"/>
          <w:sz w:val="21"/>
          <w:szCs w:val="21"/>
          <w:highlight w:val="none"/>
          <w:u w:val="single"/>
          <w:lang w:val="en-US" w:eastAsia="zh-CN"/>
        </w:rPr>
        <w:t>应付款项</w:t>
      </w:r>
      <w:r>
        <w:rPr>
          <w:rFonts w:hint="eastAsia" w:ascii="仿宋" w:hAnsi="仿宋" w:eastAsia="仿宋" w:cs="仿宋"/>
          <w:color w:val="auto"/>
          <w:sz w:val="21"/>
          <w:szCs w:val="21"/>
          <w:highlight w:val="none"/>
          <w:u w:val="single"/>
        </w:rPr>
        <w:t>中直接扣除；在暂停施工后的7天内仍未更换主要管理人员的，</w:t>
      </w:r>
      <w:r>
        <w:rPr>
          <w:rFonts w:hint="eastAsia" w:ascii="仿宋" w:hAnsi="仿宋" w:eastAsia="仿宋" w:cs="仿宋"/>
          <w:color w:val="auto"/>
          <w:sz w:val="21"/>
          <w:szCs w:val="21"/>
          <w:highlight w:val="none"/>
          <w:u w:val="single"/>
          <w:shd w:val="clear" w:color="auto" w:fill="FFFFFF"/>
        </w:rPr>
        <w:t>发包人有权扣除全部履约保证金解除合同并要求承包人承担违约金</w:t>
      </w:r>
      <w:r>
        <w:rPr>
          <w:rFonts w:hint="eastAsia" w:ascii="仿宋" w:hAnsi="仿宋" w:eastAsia="仿宋" w:cs="仿宋"/>
          <w:color w:val="auto"/>
          <w:sz w:val="21"/>
          <w:szCs w:val="21"/>
          <w:highlight w:val="none"/>
          <w:u w:val="single"/>
          <w:shd w:val="clear" w:color="auto" w:fill="FFFFFF"/>
          <w:lang w:val="en-US" w:eastAsia="zh-CN"/>
        </w:rPr>
        <w:t>10</w:t>
      </w:r>
      <w:r>
        <w:rPr>
          <w:rFonts w:hint="eastAsia" w:ascii="仿宋" w:hAnsi="仿宋" w:eastAsia="仿宋" w:cs="仿宋"/>
          <w:color w:val="auto"/>
          <w:sz w:val="21"/>
          <w:szCs w:val="21"/>
          <w:highlight w:val="none"/>
          <w:u w:val="single"/>
          <w:shd w:val="clear" w:color="auto" w:fill="FFFFFF"/>
        </w:rPr>
        <w:t>00000元</w:t>
      </w:r>
      <w:r>
        <w:rPr>
          <w:rFonts w:hint="eastAsia" w:ascii="仿宋" w:hAnsi="仿宋" w:eastAsia="仿宋" w:cs="仿宋"/>
          <w:color w:val="auto"/>
          <w:sz w:val="21"/>
          <w:szCs w:val="21"/>
          <w:highlight w:val="none"/>
          <w:u w:val="single"/>
          <w:shd w:val="clear" w:color="auto" w:fill="FFFFFF"/>
          <w:lang w:val="en-US" w:eastAsia="zh-CN"/>
        </w:rPr>
        <w:t>和赔偿损失</w:t>
      </w:r>
      <w:r>
        <w:rPr>
          <w:rFonts w:hint="eastAsia" w:ascii="仿宋" w:hAnsi="仿宋" w:eastAsia="仿宋" w:cs="仿宋"/>
          <w:color w:val="auto"/>
          <w:sz w:val="21"/>
          <w:szCs w:val="21"/>
          <w:highlight w:val="none"/>
          <w:u w:val="single"/>
          <w:shd w:val="clear" w:color="auto" w:fill="FFFFFF"/>
        </w:rPr>
        <w:t>。</w:t>
      </w:r>
    </w:p>
    <w:p>
      <w:pPr>
        <w:spacing w:after="120" w:line="400" w:lineRule="exact"/>
        <w:ind w:firstLine="420" w:firstLineChars="200"/>
        <w:rPr>
          <w:rFonts w:hint="eastAsia" w:ascii="仿宋" w:hAnsi="仿宋" w:eastAsia="仿宋" w:cs="仿宋"/>
          <w:color w:val="auto"/>
          <w:sz w:val="21"/>
          <w:szCs w:val="21"/>
          <w:highlight w:val="none"/>
        </w:rPr>
      </w:pPr>
      <w:bookmarkStart w:id="392" w:name="_Toc318581159"/>
      <w:bookmarkStart w:id="393" w:name="_Toc312677990"/>
      <w:r>
        <w:rPr>
          <w:rFonts w:hint="eastAsia" w:ascii="仿宋" w:hAnsi="仿宋" w:eastAsia="仿宋" w:cs="仿宋"/>
          <w:color w:val="auto"/>
          <w:sz w:val="21"/>
          <w:szCs w:val="21"/>
          <w:highlight w:val="none"/>
        </w:rPr>
        <w:t>3</w:t>
      </w:r>
      <w:bookmarkStart w:id="394" w:name="_Toc312677988"/>
      <w:bookmarkStart w:id="395" w:name="_Toc300934945"/>
      <w:bookmarkStart w:id="396" w:name="_Toc303539102"/>
      <w:bookmarkStart w:id="397" w:name="_Toc292559869"/>
      <w:bookmarkStart w:id="398" w:name="_Toc297216151"/>
      <w:bookmarkStart w:id="399" w:name="_Toc304295523"/>
      <w:bookmarkStart w:id="400" w:name="_Toc296347158"/>
      <w:bookmarkStart w:id="401" w:name="_Toc297123492"/>
      <w:bookmarkStart w:id="402" w:name="_Toc292559364"/>
      <w:bookmarkStart w:id="403" w:name="_Toc296346660"/>
      <w:bookmarkStart w:id="404" w:name="_Toc296944498"/>
      <w:bookmarkStart w:id="405" w:name="_Toc296891199"/>
      <w:bookmarkStart w:id="406" w:name="_Toc297120459"/>
      <w:bookmarkStart w:id="407" w:name="_Toc296503159"/>
      <w:bookmarkStart w:id="408" w:name="_Toc297048345"/>
      <w:bookmarkStart w:id="409" w:name="_Toc296890987"/>
      <w:r>
        <w:rPr>
          <w:rFonts w:hint="eastAsia" w:ascii="仿宋" w:hAnsi="仿宋" w:eastAsia="仿宋" w:cs="仿宋"/>
          <w:color w:val="auto"/>
          <w:sz w:val="21"/>
          <w:szCs w:val="21"/>
          <w:highlight w:val="none"/>
        </w:rPr>
        <w:t>.5 分包</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bookmarkStart w:id="410" w:name="_Toc296347159"/>
      <w:bookmarkStart w:id="411" w:name="_Toc300934946"/>
      <w:bookmarkStart w:id="412" w:name="_Toc292559870"/>
      <w:bookmarkStart w:id="413" w:name="_Toc304295524"/>
      <w:bookmarkStart w:id="414" w:name="_Toc297048346"/>
      <w:bookmarkStart w:id="415" w:name="_Toc296346661"/>
      <w:bookmarkStart w:id="416" w:name="_Toc296891200"/>
      <w:bookmarkStart w:id="417" w:name="_Toc296944499"/>
      <w:bookmarkStart w:id="418" w:name="_Toc296503160"/>
      <w:bookmarkStart w:id="419" w:name="_Toc292559365"/>
      <w:bookmarkStart w:id="420" w:name="_Toc318581158"/>
      <w:bookmarkStart w:id="421" w:name="_Toc297123493"/>
      <w:bookmarkStart w:id="422" w:name="_Toc297216152"/>
      <w:bookmarkStart w:id="423" w:name="_Toc312677989"/>
      <w:bookmarkStart w:id="424" w:name="_Toc297120460"/>
      <w:bookmarkStart w:id="425" w:name="_Toc303539103"/>
      <w:bookmarkStart w:id="426" w:name="_Toc296890988"/>
      <w:r>
        <w:rPr>
          <w:rFonts w:hint="eastAsia" w:ascii="仿宋" w:hAnsi="仿宋" w:eastAsia="仿宋" w:cs="仿宋"/>
          <w:color w:val="auto"/>
          <w:sz w:val="21"/>
          <w:szCs w:val="21"/>
          <w:highlight w:val="none"/>
        </w:rPr>
        <w:t>.5.1 分包的一般约定</w:t>
      </w:r>
    </w:p>
    <w:p>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本合同项下</w:t>
      </w:r>
      <w:r>
        <w:rPr>
          <w:rFonts w:hint="eastAsia" w:ascii="仿宋" w:hAnsi="仿宋" w:eastAsia="仿宋" w:cs="仿宋"/>
          <w:color w:val="auto"/>
          <w:sz w:val="21"/>
          <w:szCs w:val="21"/>
          <w:highlight w:val="none"/>
          <w:u w:val="single"/>
        </w:rPr>
        <w:t>工程不允许分包</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Pr>
          <w:rFonts w:hint="eastAsia" w:ascii="仿宋" w:hAnsi="仿宋" w:eastAsia="仿宋" w:cs="仿宋"/>
          <w:color w:val="auto"/>
          <w:sz w:val="21"/>
          <w:szCs w:val="21"/>
          <w:highlight w:val="none"/>
          <w:u w:val="single"/>
        </w:rPr>
        <w:t>或转包</w:t>
      </w:r>
      <w:r>
        <w:rPr>
          <w:rFonts w:hint="eastAsia" w:ascii="仿宋" w:hAnsi="仿宋" w:eastAsia="仿宋" w:cs="仿宋"/>
          <w:color w:val="auto"/>
          <w:sz w:val="21"/>
          <w:szCs w:val="21"/>
          <w:highlight w:val="none"/>
        </w:rPr>
        <w:t>，承包人私自分包或转包的，发包人除有权单方</w:t>
      </w:r>
      <w:r>
        <w:rPr>
          <w:rFonts w:hint="eastAsia" w:ascii="仿宋" w:hAnsi="仿宋" w:eastAsia="仿宋" w:cs="仿宋"/>
          <w:color w:val="auto"/>
          <w:sz w:val="21"/>
          <w:szCs w:val="21"/>
          <w:highlight w:val="none"/>
          <w:lang w:val="en-US" w:eastAsia="zh-CN"/>
        </w:rPr>
        <w:t>解除</w:t>
      </w:r>
      <w:r>
        <w:rPr>
          <w:rFonts w:hint="eastAsia" w:ascii="仿宋" w:hAnsi="仿宋" w:eastAsia="仿宋" w:cs="仿宋"/>
          <w:color w:val="auto"/>
          <w:sz w:val="21"/>
          <w:szCs w:val="21"/>
          <w:highlight w:val="none"/>
        </w:rPr>
        <w:t>本合同</w:t>
      </w:r>
      <w:r>
        <w:rPr>
          <w:rFonts w:hint="eastAsia" w:ascii="仿宋" w:hAnsi="仿宋" w:eastAsia="仿宋" w:cs="仿宋"/>
          <w:color w:val="auto"/>
          <w:sz w:val="21"/>
          <w:szCs w:val="21"/>
          <w:highlight w:val="none"/>
          <w:lang w:val="en-US" w:eastAsia="zh-CN"/>
        </w:rPr>
        <w:t>和扣除承包人</w:t>
      </w:r>
      <w:r>
        <w:rPr>
          <w:rFonts w:hint="eastAsia" w:ascii="仿宋" w:hAnsi="仿宋" w:eastAsia="仿宋" w:cs="仿宋"/>
          <w:color w:val="auto"/>
          <w:kern w:val="0"/>
          <w:sz w:val="21"/>
          <w:szCs w:val="21"/>
          <w:highlight w:val="none"/>
        </w:rPr>
        <w:t>全部履约保证（担保）金</w:t>
      </w:r>
      <w:r>
        <w:rPr>
          <w:rFonts w:hint="eastAsia" w:ascii="仿宋" w:hAnsi="仿宋" w:eastAsia="仿宋" w:cs="仿宋"/>
          <w:color w:val="auto"/>
          <w:sz w:val="21"/>
          <w:szCs w:val="21"/>
          <w:highlight w:val="none"/>
        </w:rPr>
        <w:t>外，还有权要求承包人支付本合同总价款</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0%的违约金，给发包人造成损失的，承包人还需承担赔偿责任。</w:t>
      </w:r>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3.6 工程照管与成品、半成品保护</w:t>
      </w:r>
    </w:p>
    <w:p>
      <w:pPr>
        <w:spacing w:before="120" w:after="120" w:line="400" w:lineRule="exact"/>
        <w:ind w:firstLine="420" w:firstLineChars="200"/>
        <w:jc w:val="left"/>
        <w:rPr>
          <w:rFonts w:hint="eastAsia" w:ascii="仿宋" w:hAnsi="仿宋" w:eastAsia="仿宋" w:cs="仿宋"/>
          <w:color w:val="auto"/>
          <w:kern w:val="0"/>
          <w:sz w:val="21"/>
          <w:szCs w:val="21"/>
          <w:highlight w:val="none"/>
          <w:u w:val="single"/>
        </w:rPr>
      </w:pPr>
      <w:r>
        <w:rPr>
          <w:rFonts w:hint="eastAsia" w:ascii="仿宋" w:hAnsi="仿宋" w:eastAsia="仿宋" w:cs="仿宋"/>
          <w:color w:val="auto"/>
          <w:kern w:val="0"/>
          <w:sz w:val="21"/>
          <w:szCs w:val="21"/>
          <w:highlight w:val="none"/>
        </w:rPr>
        <w:t>承包人负责照管与保护工程及工程相关的材料、工程设备等施工场地范围内的物品材料的起始时间：</w:t>
      </w:r>
      <w:r>
        <w:rPr>
          <w:rFonts w:hint="eastAsia" w:ascii="仿宋" w:hAnsi="仿宋" w:eastAsia="仿宋" w:cs="仿宋"/>
          <w:color w:val="auto"/>
          <w:kern w:val="0"/>
          <w:sz w:val="21"/>
          <w:szCs w:val="21"/>
          <w:highlight w:val="none"/>
          <w:u w:val="single"/>
        </w:rPr>
        <w:t xml:space="preserve">  开工之日起至竣工验收并交付之日止     </w:t>
      </w:r>
      <w:r>
        <w:rPr>
          <w:rFonts w:hint="eastAsia" w:ascii="仿宋" w:hAnsi="仿宋" w:eastAsia="仿宋" w:cs="仿宋"/>
          <w:color w:val="auto"/>
          <w:kern w:val="0"/>
          <w:sz w:val="21"/>
          <w:szCs w:val="21"/>
          <w:highlight w:val="none"/>
        </w:rPr>
        <w:t>。</w:t>
      </w:r>
      <w:bookmarkEnd w:id="392"/>
      <w:bookmarkEnd w:id="393"/>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3.7 履约担保</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承包人是否提供履约担保：</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按招标文件规定</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pPr>
        <w:spacing w:line="400" w:lineRule="exact"/>
        <w:ind w:firstLine="420" w:firstLineChars="200"/>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承包人提供履约担保的形式、金额及期限的：</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en-US" w:eastAsia="zh-CN"/>
        </w:rPr>
        <w:t>履约保证金以银行保函形式提供，该保函</w:t>
      </w:r>
      <w:r>
        <w:rPr>
          <w:rFonts w:hint="eastAsia" w:ascii="仿宋" w:hAnsi="仿宋" w:eastAsia="仿宋" w:cs="仿宋"/>
          <w:color w:val="auto"/>
          <w:sz w:val="21"/>
          <w:szCs w:val="21"/>
          <w:highlight w:val="none"/>
          <w:u w:val="single"/>
          <w:lang w:eastAsia="zh-CN"/>
        </w:rPr>
        <w:t>有效</w:t>
      </w:r>
      <w:r>
        <w:rPr>
          <w:rFonts w:hint="eastAsia" w:ascii="仿宋" w:hAnsi="仿宋" w:eastAsia="仿宋" w:cs="仿宋"/>
          <w:color w:val="auto"/>
          <w:sz w:val="21"/>
          <w:szCs w:val="21"/>
          <w:highlight w:val="none"/>
          <w:u w:val="single"/>
          <w:lang w:val="en-US" w:eastAsia="zh-CN"/>
        </w:rPr>
        <w:t>期不少于保函出具之日起12个月。</w:t>
      </w:r>
      <w:r>
        <w:rPr>
          <w:rFonts w:hint="eastAsia" w:ascii="仿宋" w:hAnsi="仿宋" w:eastAsia="仿宋" w:cs="仿宋"/>
          <w:color w:val="auto"/>
          <w:sz w:val="21"/>
          <w:szCs w:val="21"/>
          <w:highlight w:val="none"/>
          <w:u w:val="single"/>
        </w:rPr>
        <w:t xml:space="preserve"> 履约保证金为</w:t>
      </w:r>
      <w:r>
        <w:rPr>
          <w:rFonts w:hint="eastAsia" w:ascii="仿宋" w:hAnsi="仿宋" w:eastAsia="仿宋" w:cs="仿宋"/>
          <w:color w:val="auto"/>
          <w:sz w:val="21"/>
          <w:szCs w:val="21"/>
          <w:highlight w:val="none"/>
          <w:u w:val="single"/>
          <w:lang w:val="en-US" w:eastAsia="zh-CN"/>
        </w:rPr>
        <w:t>中标</w:t>
      </w:r>
      <w:r>
        <w:rPr>
          <w:rFonts w:hint="eastAsia" w:ascii="仿宋" w:hAnsi="仿宋" w:eastAsia="仿宋" w:cs="仿宋"/>
          <w:color w:val="auto"/>
          <w:sz w:val="21"/>
          <w:szCs w:val="21"/>
          <w:highlight w:val="none"/>
          <w:u w:val="single"/>
        </w:rPr>
        <w:t>金额的</w:t>
      </w:r>
      <w:r>
        <w:rPr>
          <w:rFonts w:hint="eastAsia" w:ascii="仿宋" w:hAnsi="仿宋" w:eastAsia="仿宋" w:cs="仿宋"/>
          <w:color w:val="auto"/>
          <w:sz w:val="21"/>
          <w:szCs w:val="21"/>
          <w:highlight w:val="none"/>
          <w:u w:val="single"/>
          <w:lang w:val="en-US" w:eastAsia="zh-CN"/>
        </w:rPr>
        <w:t xml:space="preserve"> 5 </w:t>
      </w:r>
      <w:r>
        <w:rPr>
          <w:rFonts w:hint="eastAsia" w:ascii="仿宋" w:hAnsi="仿宋" w:eastAsia="仿宋" w:cs="仿宋"/>
          <w:color w:val="auto"/>
          <w:sz w:val="21"/>
          <w:szCs w:val="21"/>
          <w:highlight w:val="none"/>
          <w:u w:val="single"/>
        </w:rPr>
        <w:t>%,如</w:t>
      </w:r>
      <w:r>
        <w:rPr>
          <w:rFonts w:hint="eastAsia" w:ascii="仿宋" w:hAnsi="仿宋" w:eastAsia="仿宋" w:cs="仿宋"/>
          <w:color w:val="auto"/>
          <w:sz w:val="21"/>
          <w:szCs w:val="21"/>
          <w:highlight w:val="none"/>
          <w:u w:val="single"/>
          <w:lang w:val="en-US" w:eastAsia="zh-CN"/>
        </w:rPr>
        <w:t>承包人</w:t>
      </w:r>
      <w:r>
        <w:rPr>
          <w:rFonts w:hint="eastAsia" w:ascii="仿宋" w:hAnsi="仿宋" w:eastAsia="仿宋" w:cs="仿宋"/>
          <w:color w:val="auto"/>
          <w:sz w:val="21"/>
          <w:szCs w:val="21"/>
          <w:highlight w:val="none"/>
          <w:u w:val="single"/>
        </w:rPr>
        <w:t>不能履行自身承诺和履行合同义务，此项保证金不予退还。</w:t>
      </w:r>
      <w:r>
        <w:rPr>
          <w:rFonts w:hint="eastAsia" w:ascii="仿宋" w:hAnsi="仿宋" w:eastAsia="仿宋" w:cs="仿宋"/>
          <w:color w:val="auto"/>
          <w:sz w:val="21"/>
          <w:szCs w:val="21"/>
          <w:highlight w:val="none"/>
          <w:u w:val="single"/>
          <w:lang w:val="en-US" w:eastAsia="zh-CN"/>
        </w:rPr>
        <w:t>特别约定：</w:t>
      </w:r>
      <w:r>
        <w:rPr>
          <w:rFonts w:hint="eastAsia" w:ascii="仿宋" w:hAnsi="仿宋" w:eastAsia="仿宋" w:cs="仿宋"/>
          <w:color w:val="auto"/>
          <w:sz w:val="21"/>
          <w:szCs w:val="21"/>
          <w:highlight w:val="none"/>
          <w:u w:val="single"/>
        </w:rPr>
        <w:t>承包人合同范围内的全部</w:t>
      </w:r>
      <w:r>
        <w:rPr>
          <w:rFonts w:hint="eastAsia" w:ascii="仿宋" w:hAnsi="仿宋" w:eastAsia="仿宋" w:cs="仿宋"/>
          <w:color w:val="auto"/>
          <w:sz w:val="21"/>
          <w:szCs w:val="21"/>
          <w:highlight w:val="none"/>
          <w:u w:val="single"/>
          <w:lang w:val="en-US" w:eastAsia="zh-CN"/>
        </w:rPr>
        <w:t>工作未完成或施工</w:t>
      </w:r>
      <w:r>
        <w:rPr>
          <w:rFonts w:hint="eastAsia" w:ascii="仿宋" w:hAnsi="仿宋" w:eastAsia="仿宋" w:cs="仿宋"/>
          <w:color w:val="auto"/>
          <w:sz w:val="21"/>
          <w:szCs w:val="21"/>
          <w:highlight w:val="none"/>
          <w:u w:val="single"/>
        </w:rPr>
        <w:t>工程内容</w:t>
      </w:r>
      <w:r>
        <w:rPr>
          <w:rFonts w:hint="eastAsia" w:ascii="仿宋" w:hAnsi="仿宋" w:eastAsia="仿宋" w:cs="仿宋"/>
          <w:color w:val="auto"/>
          <w:sz w:val="21"/>
          <w:szCs w:val="21"/>
          <w:highlight w:val="none"/>
          <w:u w:val="single"/>
          <w:lang w:val="en-US" w:eastAsia="zh-CN"/>
        </w:rPr>
        <w:t>未</w:t>
      </w:r>
      <w:r>
        <w:rPr>
          <w:rFonts w:hint="eastAsia" w:ascii="仿宋" w:hAnsi="仿宋" w:eastAsia="仿宋" w:cs="仿宋"/>
          <w:color w:val="auto"/>
          <w:sz w:val="21"/>
          <w:szCs w:val="21"/>
          <w:highlight w:val="none"/>
          <w:u w:val="single"/>
        </w:rPr>
        <w:t>竣工验收合格</w:t>
      </w:r>
      <w:r>
        <w:rPr>
          <w:rFonts w:hint="eastAsia" w:ascii="仿宋" w:hAnsi="仿宋" w:eastAsia="仿宋" w:cs="仿宋"/>
          <w:color w:val="auto"/>
          <w:sz w:val="21"/>
          <w:szCs w:val="21"/>
          <w:highlight w:val="none"/>
          <w:u w:val="single"/>
          <w:lang w:val="en-US" w:eastAsia="zh-CN"/>
        </w:rPr>
        <w:t>或未</w:t>
      </w:r>
      <w:r>
        <w:rPr>
          <w:rFonts w:hint="eastAsia" w:ascii="仿宋" w:hAnsi="仿宋" w:eastAsia="仿宋" w:cs="仿宋"/>
          <w:color w:val="auto"/>
          <w:sz w:val="21"/>
          <w:szCs w:val="21"/>
          <w:highlight w:val="none"/>
          <w:u w:val="single"/>
        </w:rPr>
        <w:t>完成移交</w:t>
      </w:r>
      <w:r>
        <w:rPr>
          <w:rFonts w:hint="eastAsia" w:ascii="仿宋" w:hAnsi="仿宋" w:eastAsia="仿宋" w:cs="仿宋"/>
          <w:color w:val="auto"/>
          <w:sz w:val="21"/>
          <w:szCs w:val="21"/>
          <w:highlight w:val="none"/>
          <w:u w:val="single"/>
          <w:lang w:val="en-US" w:eastAsia="zh-CN"/>
        </w:rPr>
        <w:t>而保函有效期临尽届满期的，承包人需在保函有效期届满15日前提交新的履约保函或由银行保函出具方承诺延长保函有限期；</w:t>
      </w:r>
      <w:r>
        <w:rPr>
          <w:rFonts w:hint="eastAsia" w:ascii="仿宋" w:hAnsi="仿宋" w:eastAsia="仿宋" w:cs="仿宋"/>
          <w:color w:val="auto"/>
          <w:sz w:val="21"/>
          <w:szCs w:val="21"/>
          <w:highlight w:val="none"/>
          <w:u w:val="single"/>
        </w:rPr>
        <w:t>承包人合同范围内的全部</w:t>
      </w:r>
      <w:r>
        <w:rPr>
          <w:rFonts w:hint="eastAsia" w:ascii="仿宋" w:hAnsi="仿宋" w:eastAsia="仿宋" w:cs="仿宋"/>
          <w:color w:val="auto"/>
          <w:sz w:val="21"/>
          <w:szCs w:val="21"/>
          <w:highlight w:val="none"/>
          <w:u w:val="single"/>
          <w:lang w:val="en-US" w:eastAsia="zh-CN"/>
        </w:rPr>
        <w:t>工作完成且施工</w:t>
      </w:r>
      <w:r>
        <w:rPr>
          <w:rFonts w:hint="eastAsia" w:ascii="仿宋" w:hAnsi="仿宋" w:eastAsia="仿宋" w:cs="仿宋"/>
          <w:color w:val="auto"/>
          <w:sz w:val="21"/>
          <w:szCs w:val="21"/>
          <w:highlight w:val="none"/>
          <w:u w:val="single"/>
        </w:rPr>
        <w:t>工程内容竣工验收合格</w:t>
      </w:r>
      <w:r>
        <w:rPr>
          <w:rFonts w:hint="eastAsia" w:ascii="仿宋" w:hAnsi="仿宋" w:eastAsia="仿宋" w:cs="仿宋"/>
          <w:color w:val="auto"/>
          <w:sz w:val="21"/>
          <w:szCs w:val="21"/>
          <w:highlight w:val="none"/>
          <w:u w:val="single"/>
          <w:lang w:val="en-US" w:eastAsia="zh-CN"/>
        </w:rPr>
        <w:t>并</w:t>
      </w:r>
      <w:r>
        <w:rPr>
          <w:rFonts w:hint="eastAsia" w:ascii="仿宋" w:hAnsi="仿宋" w:eastAsia="仿宋" w:cs="仿宋"/>
          <w:color w:val="auto"/>
          <w:sz w:val="21"/>
          <w:szCs w:val="21"/>
          <w:highlight w:val="none"/>
          <w:u w:val="single"/>
        </w:rPr>
        <w:t>完成移交后</w:t>
      </w:r>
      <w:r>
        <w:rPr>
          <w:rFonts w:hint="eastAsia" w:ascii="仿宋" w:hAnsi="仿宋" w:eastAsia="仿宋" w:cs="仿宋"/>
          <w:color w:val="auto"/>
          <w:sz w:val="21"/>
          <w:szCs w:val="21"/>
          <w:highlight w:val="none"/>
          <w:u w:val="single"/>
          <w:lang w:val="en-US" w:eastAsia="zh-CN"/>
        </w:rPr>
        <w:t>保函有效期届满自动失效，保函不再退还</w:t>
      </w:r>
      <w:r>
        <w:rPr>
          <w:rFonts w:hint="eastAsia" w:ascii="仿宋" w:hAnsi="仿宋" w:eastAsia="仿宋" w:cs="仿宋"/>
          <w:color w:val="auto"/>
          <w:sz w:val="21"/>
          <w:szCs w:val="21"/>
          <w:highlight w:val="none"/>
          <w:u w:val="single"/>
        </w:rPr>
        <w:t>。提供期限：承包人需于本合同签订</w:t>
      </w:r>
      <w:r>
        <w:rPr>
          <w:rFonts w:hint="eastAsia" w:ascii="仿宋" w:hAnsi="仿宋" w:eastAsia="仿宋" w:cs="仿宋"/>
          <w:color w:val="auto"/>
          <w:sz w:val="21"/>
          <w:szCs w:val="21"/>
          <w:highlight w:val="none"/>
          <w:u w:val="single"/>
          <w:lang w:val="en-US" w:eastAsia="zh-CN"/>
        </w:rPr>
        <w:t>前</w:t>
      </w:r>
      <w:r>
        <w:rPr>
          <w:rFonts w:hint="eastAsia" w:ascii="仿宋" w:hAnsi="仿宋" w:eastAsia="仿宋" w:cs="仿宋"/>
          <w:color w:val="auto"/>
          <w:sz w:val="21"/>
          <w:szCs w:val="21"/>
          <w:highlight w:val="none"/>
          <w:u w:val="single"/>
        </w:rPr>
        <w:t>向发包人提供。</w:t>
      </w:r>
    </w:p>
    <w:p>
      <w:pPr>
        <w:spacing w:before="120" w:after="120" w:line="400" w:lineRule="exact"/>
        <w:ind w:firstLine="411" w:firstLineChars="196"/>
        <w:outlineLvl w:val="9"/>
        <w:rPr>
          <w:rFonts w:hint="eastAsia" w:ascii="仿宋" w:hAnsi="仿宋" w:eastAsia="仿宋" w:cs="仿宋"/>
          <w:b w:val="0"/>
          <w:bCs w:val="0"/>
          <w:color w:val="auto"/>
          <w:sz w:val="21"/>
          <w:szCs w:val="21"/>
          <w:highlight w:val="none"/>
        </w:rPr>
      </w:pPr>
      <w:bookmarkStart w:id="427" w:name="_Toc351203636"/>
      <w:r>
        <w:rPr>
          <w:rFonts w:hint="eastAsia" w:ascii="仿宋" w:hAnsi="仿宋" w:eastAsia="仿宋" w:cs="仿宋"/>
          <w:b w:val="0"/>
          <w:bCs w:val="0"/>
          <w:color w:val="auto"/>
          <w:sz w:val="21"/>
          <w:szCs w:val="21"/>
          <w:highlight w:val="none"/>
        </w:rPr>
        <w:t>4</w:t>
      </w:r>
      <w:bookmarkStart w:id="428" w:name="_Toc296347161"/>
      <w:bookmarkStart w:id="429" w:name="_Toc296503162"/>
      <w:bookmarkStart w:id="430" w:name="_Toc296891202"/>
      <w:bookmarkStart w:id="431" w:name="_Toc296346663"/>
      <w:bookmarkStart w:id="432" w:name="_Toc296890990"/>
      <w:bookmarkStart w:id="433" w:name="_Toc267251413"/>
      <w:bookmarkStart w:id="434" w:name="_Toc296944501"/>
      <w:bookmarkStart w:id="435" w:name="_Toc297048348"/>
      <w:bookmarkStart w:id="436" w:name="_Toc297120462"/>
      <w:bookmarkStart w:id="437" w:name="_Toc292559366"/>
      <w:bookmarkStart w:id="438" w:name="_Toc292559871"/>
      <w:r>
        <w:rPr>
          <w:rFonts w:hint="eastAsia" w:ascii="仿宋" w:hAnsi="仿宋" w:eastAsia="仿宋" w:cs="仿宋"/>
          <w:b w:val="0"/>
          <w:bCs w:val="0"/>
          <w:color w:val="auto"/>
          <w:sz w:val="21"/>
          <w:szCs w:val="21"/>
          <w:highlight w:val="none"/>
        </w:rPr>
        <w:t>. 监</w:t>
      </w:r>
      <w:bookmarkEnd w:id="428"/>
      <w:bookmarkEnd w:id="429"/>
      <w:bookmarkEnd w:id="430"/>
      <w:bookmarkEnd w:id="431"/>
      <w:bookmarkEnd w:id="432"/>
      <w:bookmarkEnd w:id="433"/>
      <w:bookmarkEnd w:id="434"/>
      <w:bookmarkEnd w:id="435"/>
      <w:bookmarkEnd w:id="436"/>
      <w:bookmarkEnd w:id="437"/>
      <w:bookmarkEnd w:id="438"/>
      <w:r>
        <w:rPr>
          <w:rFonts w:hint="eastAsia" w:ascii="仿宋" w:hAnsi="仿宋" w:eastAsia="仿宋" w:cs="仿宋"/>
          <w:b w:val="0"/>
          <w:bCs w:val="0"/>
          <w:color w:val="auto"/>
          <w:sz w:val="21"/>
          <w:szCs w:val="21"/>
          <w:highlight w:val="none"/>
        </w:rPr>
        <w:t>理人</w:t>
      </w:r>
      <w:bookmarkEnd w:id="427"/>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4.1监理人的一般规定</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关于监理人的监理内容：</w:t>
      </w:r>
      <w:r>
        <w:rPr>
          <w:rFonts w:hint="eastAsia" w:ascii="仿宋" w:hAnsi="仿宋" w:eastAsia="仿宋" w:cs="仿宋"/>
          <w:color w:val="auto"/>
          <w:sz w:val="21"/>
          <w:szCs w:val="21"/>
          <w:highlight w:val="none"/>
          <w:u w:val="single"/>
        </w:rPr>
        <w:t xml:space="preserve">  详见监理合同       </w:t>
      </w:r>
      <w:r>
        <w:rPr>
          <w:rFonts w:hint="eastAsia" w:ascii="仿宋" w:hAnsi="仿宋" w:eastAsia="仿宋" w:cs="仿宋"/>
          <w:color w:val="auto"/>
          <w:sz w:val="21"/>
          <w:szCs w:val="21"/>
          <w:highlight w:val="none"/>
        </w:rPr>
        <w:t>。</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关于监理人的监理权限：</w:t>
      </w:r>
      <w:r>
        <w:rPr>
          <w:rFonts w:hint="eastAsia" w:ascii="仿宋" w:hAnsi="仿宋" w:eastAsia="仿宋" w:cs="仿宋"/>
          <w:color w:val="auto"/>
          <w:sz w:val="21"/>
          <w:szCs w:val="21"/>
          <w:highlight w:val="none"/>
          <w:u w:val="single"/>
        </w:rPr>
        <w:t xml:space="preserve">  详见监理合同       </w:t>
      </w:r>
      <w:r>
        <w:rPr>
          <w:rFonts w:hint="eastAsia" w:ascii="仿宋" w:hAnsi="仿宋" w:eastAsia="仿宋" w:cs="仿宋"/>
          <w:color w:val="auto"/>
          <w:sz w:val="21"/>
          <w:szCs w:val="21"/>
          <w:highlight w:val="none"/>
        </w:rPr>
        <w:t xml:space="preserve">。 </w:t>
      </w:r>
    </w:p>
    <w:p>
      <w:pPr>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关于监理人在施工现场的办公场所、生活场所的提供和费用承担的约定：</w:t>
      </w:r>
      <w:r>
        <w:rPr>
          <w:rFonts w:hint="eastAsia" w:ascii="仿宋" w:hAnsi="仿宋" w:eastAsia="仿宋" w:cs="仿宋"/>
          <w:color w:val="auto"/>
          <w:sz w:val="21"/>
          <w:szCs w:val="21"/>
          <w:highlight w:val="none"/>
          <w:u w:val="single"/>
        </w:rPr>
        <w:t xml:space="preserve">      由承包人承担     </w:t>
      </w:r>
      <w:r>
        <w:rPr>
          <w:rFonts w:hint="eastAsia" w:ascii="仿宋" w:hAnsi="仿宋" w:eastAsia="仿宋" w:cs="仿宋"/>
          <w:color w:val="auto"/>
          <w:sz w:val="21"/>
          <w:szCs w:val="21"/>
          <w:highlight w:val="none"/>
        </w:rPr>
        <w:t>。</w:t>
      </w:r>
    </w:p>
    <w:p>
      <w:pPr>
        <w:spacing w:after="120"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4.2 监理人员</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总监理工程师：</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姓    名：</w:t>
      </w:r>
      <w:r>
        <w:rPr>
          <w:rFonts w:hint="eastAsia" w:ascii="仿宋" w:hAnsi="仿宋" w:eastAsia="仿宋" w:cs="仿宋"/>
          <w:color w:val="auto"/>
          <w:sz w:val="21"/>
          <w:szCs w:val="21"/>
          <w:highlight w:val="none"/>
          <w:u w:val="single"/>
        </w:rPr>
        <w:t>   </w:t>
      </w:r>
      <w:r>
        <w:rPr>
          <w:rFonts w:hint="eastAsia" w:ascii="仿宋" w:hAnsi="仿宋" w:eastAsia="仿宋" w:cs="仿宋"/>
          <w:color w:val="auto"/>
          <w:sz w:val="21"/>
          <w:szCs w:val="21"/>
          <w:highlight w:val="none"/>
        </w:rPr>
        <w:t>；</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职    务：</w:t>
      </w:r>
      <w:r>
        <w:rPr>
          <w:rFonts w:hint="eastAsia" w:ascii="仿宋" w:hAnsi="仿宋" w:eastAsia="仿宋" w:cs="仿宋"/>
          <w:color w:val="auto"/>
          <w:sz w:val="21"/>
          <w:szCs w:val="21"/>
          <w:highlight w:val="none"/>
          <w:u w:val="single"/>
        </w:rPr>
        <w:t>   </w:t>
      </w:r>
      <w:r>
        <w:rPr>
          <w:rFonts w:hint="eastAsia" w:ascii="仿宋" w:hAnsi="仿宋" w:eastAsia="仿宋" w:cs="仿宋"/>
          <w:color w:val="auto"/>
          <w:sz w:val="21"/>
          <w:szCs w:val="21"/>
          <w:highlight w:val="none"/>
        </w:rPr>
        <w:t>；</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监理工程师执业资格证书号：</w:t>
      </w:r>
      <w:r>
        <w:rPr>
          <w:rFonts w:hint="eastAsia" w:ascii="仿宋" w:hAnsi="仿宋" w:eastAsia="仿宋" w:cs="仿宋"/>
          <w:color w:val="auto"/>
          <w:sz w:val="21"/>
          <w:szCs w:val="21"/>
          <w:highlight w:val="none"/>
          <w:u w:val="single"/>
        </w:rPr>
        <w:t> </w:t>
      </w:r>
      <w:r>
        <w:rPr>
          <w:rFonts w:hint="eastAsia" w:ascii="仿宋" w:hAnsi="仿宋" w:eastAsia="仿宋" w:cs="仿宋"/>
          <w:color w:val="auto"/>
          <w:sz w:val="21"/>
          <w:szCs w:val="21"/>
          <w:highlight w:val="none"/>
        </w:rPr>
        <w:t>；</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联系电话：</w:t>
      </w:r>
      <w:r>
        <w:rPr>
          <w:rFonts w:hint="eastAsia" w:ascii="仿宋" w:hAnsi="仿宋" w:eastAsia="仿宋" w:cs="仿宋"/>
          <w:color w:val="auto"/>
          <w:sz w:val="21"/>
          <w:szCs w:val="21"/>
          <w:highlight w:val="none"/>
          <w:u w:val="single"/>
        </w:rPr>
        <w:t>   </w:t>
      </w:r>
      <w:r>
        <w:rPr>
          <w:rFonts w:hint="eastAsia" w:ascii="仿宋" w:hAnsi="仿宋" w:eastAsia="仿宋" w:cs="仿宋"/>
          <w:color w:val="auto"/>
          <w:sz w:val="21"/>
          <w:szCs w:val="21"/>
          <w:highlight w:val="none"/>
        </w:rPr>
        <w:t>；</w:t>
      </w:r>
    </w:p>
    <w:p>
      <w:pP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关于监理人的其他约定：</w:t>
      </w:r>
      <w:r>
        <w:rPr>
          <w:rFonts w:hint="eastAsia" w:ascii="仿宋" w:hAnsi="仿宋" w:eastAsia="仿宋" w:cs="仿宋"/>
          <w:color w:val="auto"/>
          <w:sz w:val="21"/>
          <w:szCs w:val="21"/>
          <w:highlight w:val="none"/>
          <w:u w:val="single"/>
        </w:rPr>
        <w:t>   </w:t>
      </w:r>
      <w:r>
        <w:rPr>
          <w:rFonts w:hint="eastAsia" w:ascii="仿宋" w:hAnsi="仿宋" w:eastAsia="仿宋" w:cs="仿宋"/>
          <w:color w:val="auto"/>
          <w:sz w:val="21"/>
          <w:szCs w:val="21"/>
          <w:highlight w:val="none"/>
        </w:rPr>
        <w:t>。</w:t>
      </w:r>
    </w:p>
    <w:p>
      <w:pPr>
        <w:spacing w:after="120"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4.4 商定或确定</w:t>
      </w:r>
    </w:p>
    <w:p>
      <w:pPr>
        <w:spacing w:line="360" w:lineRule="auto"/>
        <w:ind w:firstLine="420" w:firstLineChars="200"/>
        <w:rPr>
          <w:rFonts w:hint="eastAsia" w:ascii="仿宋" w:hAnsi="仿宋" w:eastAsia="仿宋" w:cs="仿宋"/>
          <w:color w:val="auto"/>
          <w:sz w:val="21"/>
          <w:szCs w:val="21"/>
          <w:highlight w:val="none"/>
        </w:rPr>
      </w:pPr>
      <w:bookmarkStart w:id="439" w:name="_Toc267251418"/>
      <w:r>
        <w:rPr>
          <w:rFonts w:hint="eastAsia" w:ascii="仿宋" w:hAnsi="仿宋" w:eastAsia="仿宋" w:cs="仿宋"/>
          <w:color w:val="auto"/>
          <w:sz w:val="21"/>
          <w:szCs w:val="21"/>
          <w:highlight w:val="none"/>
        </w:rPr>
        <w:t>在发包人和承包人不能通过协商达成一致意见时，发包人授权监理人对以下事项进行确定：</w:t>
      </w:r>
    </w:p>
    <w:p>
      <w:pPr>
        <w:autoSpaceDE w:val="0"/>
        <w:autoSpaceDN w:val="0"/>
        <w:adjustRightInd w:val="0"/>
        <w:spacing w:line="400" w:lineRule="exact"/>
        <w:ind w:firstLine="420" w:firstLineChars="200"/>
        <w:jc w:val="left"/>
        <w:rPr>
          <w:rFonts w:hint="eastAsia" w:ascii="仿宋" w:hAnsi="仿宋" w:eastAsia="仿宋" w:cs="仿宋"/>
          <w:color w:val="auto"/>
          <w:kern w:val="0"/>
          <w:sz w:val="21"/>
          <w:szCs w:val="21"/>
          <w:highlight w:val="none"/>
        </w:rPr>
      </w:pPr>
      <w:bookmarkStart w:id="440" w:name="_Toc351203637"/>
      <w:r>
        <w:rPr>
          <w:rFonts w:hint="eastAsia" w:ascii="仿宋" w:hAnsi="仿宋" w:eastAsia="仿宋" w:cs="仿宋"/>
          <w:color w:val="auto"/>
          <w:kern w:val="0"/>
          <w:sz w:val="21"/>
          <w:szCs w:val="21"/>
          <w:highlight w:val="none"/>
        </w:rPr>
        <w:t>（1）</w:t>
      </w:r>
      <w:r>
        <w:rPr>
          <w:rFonts w:hint="eastAsia" w:ascii="仿宋" w:hAnsi="仿宋" w:eastAsia="仿宋" w:cs="仿宋"/>
          <w:color w:val="auto"/>
          <w:sz w:val="21"/>
          <w:szCs w:val="21"/>
          <w:highlight w:val="none"/>
          <w:u w:val="single"/>
        </w:rPr>
        <w:t xml:space="preserve">              /                  </w:t>
      </w:r>
      <w:r>
        <w:rPr>
          <w:rFonts w:hint="eastAsia" w:ascii="仿宋" w:hAnsi="仿宋" w:eastAsia="仿宋" w:cs="仿宋"/>
          <w:color w:val="auto"/>
          <w:sz w:val="21"/>
          <w:szCs w:val="21"/>
          <w:highlight w:val="none"/>
        </w:rPr>
        <w:t>；</w:t>
      </w:r>
    </w:p>
    <w:p>
      <w:pPr>
        <w:autoSpaceDE w:val="0"/>
        <w:autoSpaceDN w:val="0"/>
        <w:adjustRightInd w:val="0"/>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w:t>
      </w:r>
      <w:r>
        <w:rPr>
          <w:rFonts w:hint="eastAsia" w:ascii="仿宋" w:hAnsi="仿宋" w:eastAsia="仿宋" w:cs="仿宋"/>
          <w:color w:val="auto"/>
          <w:sz w:val="21"/>
          <w:szCs w:val="21"/>
          <w:highlight w:val="none"/>
          <w:u w:val="single"/>
        </w:rPr>
        <w:t xml:space="preserve">              /                   </w:t>
      </w:r>
      <w:r>
        <w:rPr>
          <w:rFonts w:hint="eastAsia" w:ascii="仿宋" w:hAnsi="仿宋" w:eastAsia="仿宋" w:cs="仿宋"/>
          <w:color w:val="auto"/>
          <w:sz w:val="21"/>
          <w:szCs w:val="21"/>
          <w:highlight w:val="none"/>
        </w:rPr>
        <w:t>；</w:t>
      </w:r>
    </w:p>
    <w:p>
      <w:pPr>
        <w:autoSpaceDE w:val="0"/>
        <w:autoSpaceDN w:val="0"/>
        <w:adjustRightInd w:val="0"/>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r>
        <w:rPr>
          <w:rFonts w:hint="eastAsia" w:ascii="仿宋" w:hAnsi="仿宋" w:eastAsia="仿宋" w:cs="仿宋"/>
          <w:color w:val="auto"/>
          <w:sz w:val="21"/>
          <w:szCs w:val="21"/>
          <w:highlight w:val="none"/>
          <w:u w:val="single"/>
        </w:rPr>
        <w:t xml:space="preserve">              /                   </w:t>
      </w:r>
      <w:r>
        <w:rPr>
          <w:rFonts w:hint="eastAsia" w:ascii="仿宋" w:hAnsi="仿宋" w:eastAsia="仿宋" w:cs="仿宋"/>
          <w:color w:val="auto"/>
          <w:sz w:val="21"/>
          <w:szCs w:val="21"/>
          <w:highlight w:val="none"/>
        </w:rPr>
        <w:t>。</w:t>
      </w:r>
    </w:p>
    <w:p>
      <w:pPr>
        <w:spacing w:before="120" w:after="120" w:line="360" w:lineRule="auto"/>
        <w:outlineLvl w:val="9"/>
        <w:rPr>
          <w:rFonts w:hint="eastAsia" w:ascii="仿宋" w:hAnsi="仿宋" w:eastAsia="仿宋" w:cs="仿宋"/>
          <w:b w:val="0"/>
          <w:color w:val="auto"/>
          <w:sz w:val="21"/>
          <w:szCs w:val="21"/>
          <w:highlight w:val="none"/>
        </w:rPr>
      </w:pPr>
      <w:r>
        <w:rPr>
          <w:rFonts w:hint="eastAsia" w:ascii="仿宋" w:hAnsi="仿宋" w:eastAsia="仿宋" w:cs="仿宋"/>
          <w:b w:val="0"/>
          <w:color w:val="auto"/>
          <w:sz w:val="21"/>
          <w:szCs w:val="21"/>
          <w:highlight w:val="none"/>
        </w:rPr>
        <w:t>5</w:t>
      </w:r>
      <w:bookmarkEnd w:id="439"/>
      <w:r>
        <w:rPr>
          <w:rFonts w:hint="eastAsia" w:ascii="仿宋" w:hAnsi="仿宋" w:eastAsia="仿宋" w:cs="仿宋"/>
          <w:b w:val="0"/>
          <w:color w:val="auto"/>
          <w:sz w:val="21"/>
          <w:szCs w:val="21"/>
          <w:highlight w:val="none"/>
        </w:rPr>
        <w:t>. 工程质量</w:t>
      </w:r>
      <w:bookmarkEnd w:id="440"/>
    </w:p>
    <w:p>
      <w:pPr>
        <w:spacing w:after="120"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 质量要求</w:t>
      </w:r>
    </w:p>
    <w:p>
      <w:pPr>
        <w:spacing w:line="400" w:lineRule="exact"/>
        <w:ind w:firstLine="420" w:firstLineChars="200"/>
        <w:jc w:val="left"/>
        <w:outlineLvl w:val="9"/>
        <w:rPr>
          <w:rFonts w:hint="eastAsia" w:ascii="仿宋" w:hAnsi="仿宋" w:eastAsia="仿宋" w:cs="仿宋"/>
          <w:color w:val="auto"/>
          <w:sz w:val="21"/>
          <w:szCs w:val="21"/>
          <w:highlight w:val="none"/>
        </w:rPr>
      </w:pPr>
      <w:bookmarkStart w:id="441" w:name="_Toc297123496"/>
      <w:bookmarkStart w:id="442" w:name="_Toc300934949"/>
      <w:bookmarkStart w:id="443" w:name="_Toc312677997"/>
      <w:bookmarkStart w:id="444" w:name="_Toc303539106"/>
      <w:bookmarkStart w:id="445" w:name="_Toc304295527"/>
      <w:bookmarkStart w:id="446" w:name="_Toc318581164"/>
      <w:bookmarkStart w:id="447" w:name="_Toc297216155"/>
      <w:r>
        <w:rPr>
          <w:rFonts w:hint="eastAsia" w:ascii="仿宋" w:hAnsi="仿宋" w:eastAsia="仿宋" w:cs="仿宋"/>
          <w:color w:val="auto"/>
          <w:sz w:val="21"/>
          <w:szCs w:val="21"/>
          <w:highlight w:val="none"/>
        </w:rPr>
        <w:t>5.1.1 特殊质量标准和要求：</w:t>
      </w:r>
      <w:r>
        <w:rPr>
          <w:rFonts w:hint="eastAsia" w:ascii="仿宋" w:hAnsi="仿宋" w:eastAsia="仿宋" w:cs="仿宋"/>
          <w:color w:val="auto"/>
          <w:sz w:val="21"/>
          <w:szCs w:val="21"/>
          <w:highlight w:val="none"/>
          <w:u w:val="single"/>
        </w:rPr>
        <w:t xml:space="preserve">满足规范要求           </w:t>
      </w:r>
      <w:r>
        <w:rPr>
          <w:rFonts w:hint="eastAsia" w:ascii="仿宋" w:hAnsi="仿宋" w:eastAsia="仿宋" w:cs="仿宋"/>
          <w:color w:val="auto"/>
          <w:sz w:val="21"/>
          <w:szCs w:val="21"/>
          <w:highlight w:val="none"/>
        </w:rPr>
        <w:t>。</w:t>
      </w:r>
    </w:p>
    <w:p>
      <w:pPr>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关于工程奖项的约定：</w:t>
      </w:r>
      <w:r>
        <w:rPr>
          <w:rFonts w:hint="eastAsia" w:ascii="仿宋" w:hAnsi="仿宋" w:eastAsia="仿宋" w:cs="仿宋"/>
          <w:color w:val="auto"/>
          <w:sz w:val="21"/>
          <w:szCs w:val="21"/>
          <w:highlight w:val="none"/>
          <w:u w:val="single"/>
        </w:rPr>
        <w:t xml:space="preserve">         无      </w:t>
      </w:r>
      <w:r>
        <w:rPr>
          <w:rFonts w:hint="eastAsia" w:cs="仿宋"/>
          <w:color w:val="auto"/>
          <w:sz w:val="21"/>
          <w:szCs w:val="21"/>
          <w:highlight w:val="none"/>
          <w:u w:val="single"/>
          <w:lang w:val="en-US" w:eastAsia="zh-CN"/>
        </w:rPr>
        <w:t xml:space="preserve"> </w:t>
      </w:r>
      <w:r>
        <w:rPr>
          <w:rFonts w:hint="eastAsia" w:ascii="仿宋" w:hAnsi="仿宋" w:eastAsia="仿宋" w:cs="仿宋"/>
          <w:color w:val="auto"/>
          <w:sz w:val="21"/>
          <w:szCs w:val="21"/>
          <w:highlight w:val="none"/>
          <w:u w:val="single"/>
        </w:rPr>
        <w:t xml:space="preserve">           </w:t>
      </w:r>
    </w:p>
    <w:p>
      <w:pPr>
        <w:spacing w:after="120" w:line="360" w:lineRule="auto"/>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5.3 隐蔽工程检查</w:t>
      </w:r>
    </w:p>
    <w:p>
      <w:pPr>
        <w:spacing w:line="360" w:lineRule="auto"/>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5.3.2承包人提前通知监理人隐蔽工程检查的期限的约定：</w:t>
      </w:r>
      <w:r>
        <w:rPr>
          <w:rFonts w:hint="eastAsia" w:ascii="仿宋" w:hAnsi="仿宋" w:eastAsia="仿宋" w:cs="仿宋"/>
          <w:color w:val="auto"/>
          <w:sz w:val="21"/>
          <w:szCs w:val="21"/>
          <w:highlight w:val="none"/>
          <w:u w:val="single"/>
        </w:rPr>
        <w:t>承包人提前</w:t>
      </w:r>
      <w:r>
        <w:rPr>
          <w:rFonts w:hint="eastAsia" w:ascii="仿宋" w:hAnsi="仿宋" w:eastAsia="仿宋" w:cs="仿宋"/>
          <w:color w:val="auto"/>
          <w:sz w:val="21"/>
          <w:szCs w:val="21"/>
          <w:highlight w:val="none"/>
          <w:u w:val="single"/>
          <w:lang w:val="en-US" w:eastAsia="zh-CN"/>
        </w:rPr>
        <w:t>24小时</w:t>
      </w:r>
      <w:r>
        <w:rPr>
          <w:rFonts w:hint="eastAsia" w:ascii="仿宋" w:hAnsi="仿宋" w:eastAsia="仿宋" w:cs="仿宋"/>
          <w:color w:val="auto"/>
          <w:sz w:val="21"/>
          <w:szCs w:val="21"/>
          <w:highlight w:val="none"/>
          <w:u w:val="single"/>
        </w:rPr>
        <w:t>通知监理人隐蔽工程检查</w:t>
      </w:r>
      <w:r>
        <w:rPr>
          <w:rFonts w:hint="eastAsia" w:ascii="仿宋" w:hAnsi="仿宋" w:eastAsia="仿宋" w:cs="仿宋"/>
          <w:color w:val="auto"/>
          <w:sz w:val="21"/>
          <w:szCs w:val="21"/>
          <w:highlight w:val="none"/>
        </w:rPr>
        <w:t>。</w:t>
      </w:r>
    </w:p>
    <w:p>
      <w:pP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监理人不能按时进行检查时，应提前</w:t>
      </w:r>
      <w:r>
        <w:rPr>
          <w:rFonts w:hint="eastAsia" w:ascii="仿宋" w:hAnsi="仿宋" w:eastAsia="仿宋" w:cs="仿宋"/>
          <w:color w:val="auto"/>
          <w:sz w:val="21"/>
          <w:szCs w:val="21"/>
          <w:highlight w:val="none"/>
          <w:u w:val="single"/>
          <w:lang w:val="en-US" w:eastAsia="zh-CN"/>
        </w:rPr>
        <w:t>24</w:t>
      </w:r>
      <w:r>
        <w:rPr>
          <w:rFonts w:hint="eastAsia" w:ascii="仿宋" w:hAnsi="仿宋" w:eastAsia="仿宋" w:cs="仿宋"/>
          <w:color w:val="auto"/>
          <w:sz w:val="21"/>
          <w:szCs w:val="21"/>
          <w:highlight w:val="none"/>
        </w:rPr>
        <w:t>小时提交书面延期要求。</w:t>
      </w:r>
    </w:p>
    <w:p>
      <w:pP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关于延期最长不得超过：</w:t>
      </w:r>
      <w:r>
        <w:rPr>
          <w:rFonts w:hint="eastAsia" w:ascii="仿宋" w:hAnsi="仿宋" w:eastAsia="仿宋" w:cs="仿宋"/>
          <w:color w:val="auto"/>
          <w:sz w:val="21"/>
          <w:szCs w:val="21"/>
          <w:highlight w:val="none"/>
          <w:u w:val="single"/>
          <w:lang w:val="en-US" w:eastAsia="zh-CN"/>
        </w:rPr>
        <w:t>8</w:t>
      </w:r>
      <w:r>
        <w:rPr>
          <w:rFonts w:hint="eastAsia" w:ascii="仿宋" w:hAnsi="仿宋" w:eastAsia="仿宋" w:cs="仿宋"/>
          <w:color w:val="auto"/>
          <w:sz w:val="21"/>
          <w:szCs w:val="21"/>
          <w:highlight w:val="none"/>
        </w:rPr>
        <w:t>小时。</w:t>
      </w:r>
    </w:p>
    <w:p>
      <w:pPr>
        <w:spacing w:before="120" w:after="120" w:line="360" w:lineRule="auto"/>
        <w:outlineLvl w:val="9"/>
        <w:rPr>
          <w:rFonts w:hint="eastAsia" w:ascii="仿宋" w:hAnsi="仿宋" w:eastAsia="仿宋" w:cs="仿宋"/>
          <w:b w:val="0"/>
          <w:color w:val="auto"/>
          <w:sz w:val="21"/>
          <w:szCs w:val="21"/>
          <w:highlight w:val="none"/>
        </w:rPr>
      </w:pPr>
      <w:bookmarkStart w:id="448" w:name="_Toc351203638"/>
      <w:r>
        <w:rPr>
          <w:rFonts w:hint="eastAsia" w:ascii="仿宋" w:hAnsi="仿宋" w:eastAsia="仿宋" w:cs="仿宋"/>
          <w:b w:val="0"/>
          <w:color w:val="auto"/>
          <w:sz w:val="21"/>
          <w:szCs w:val="21"/>
          <w:highlight w:val="none"/>
        </w:rPr>
        <w:t>6. 安全文明施工与环境保护</w:t>
      </w:r>
      <w:bookmarkEnd w:id="448"/>
    </w:p>
    <w:p>
      <w:pPr>
        <w:spacing w:after="120"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6.1安全文明施工</w:t>
      </w:r>
    </w:p>
    <w:p>
      <w:pPr>
        <w:spacing w:line="400" w:lineRule="exact"/>
        <w:ind w:left="0" w:leftChars="0" w:firstLine="420" w:firstLineChars="200"/>
        <w:jc w:val="left"/>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6.1.1 项目安全生产的达标目标及相应事项的约定：</w:t>
      </w:r>
      <w:r>
        <w:rPr>
          <w:rFonts w:hint="eastAsia" w:ascii="仿宋" w:hAnsi="仿宋" w:eastAsia="仿宋" w:cs="仿宋"/>
          <w:color w:val="auto"/>
          <w:sz w:val="21"/>
          <w:szCs w:val="21"/>
          <w:highlight w:val="none"/>
          <w:u w:val="single"/>
          <w:lang w:val="en-US" w:eastAsia="zh-CN"/>
        </w:rPr>
        <w:t>国优工程</w:t>
      </w:r>
      <w:r>
        <w:rPr>
          <w:rFonts w:hint="eastAsia" w:ascii="仿宋" w:hAnsi="仿宋" w:eastAsia="仿宋" w:cs="仿宋"/>
          <w:color w:val="auto"/>
          <w:sz w:val="21"/>
          <w:szCs w:val="21"/>
          <w:highlight w:val="none"/>
        </w:rPr>
        <w:t>。</w:t>
      </w:r>
    </w:p>
    <w:p>
      <w:pPr>
        <w:spacing w:line="400" w:lineRule="exact"/>
        <w:ind w:left="0" w:leftChars="0"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6.1.4 关于治安保卫的特别约定：</w:t>
      </w:r>
      <w:r>
        <w:rPr>
          <w:rFonts w:hint="eastAsia" w:ascii="仿宋" w:hAnsi="仿宋" w:eastAsia="仿宋" w:cs="仿宋"/>
          <w:color w:val="auto"/>
          <w:sz w:val="21"/>
          <w:szCs w:val="21"/>
          <w:highlight w:val="none"/>
          <w:u w:val="single"/>
        </w:rPr>
        <w:t xml:space="preserve">由承包人负责施工现场内的治安保卫与文物古建的消防安全工作  </w:t>
      </w:r>
      <w:r>
        <w:rPr>
          <w:rFonts w:hint="eastAsia" w:ascii="仿宋" w:hAnsi="仿宋" w:eastAsia="仿宋" w:cs="仿宋"/>
          <w:color w:val="auto"/>
          <w:sz w:val="21"/>
          <w:szCs w:val="21"/>
          <w:highlight w:val="none"/>
        </w:rPr>
        <w:t>。</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关于编制施工场地治安管理计划的约定：</w:t>
      </w:r>
      <w:r>
        <w:rPr>
          <w:rFonts w:hint="eastAsia" w:ascii="仿宋" w:hAnsi="仿宋" w:eastAsia="仿宋" w:cs="仿宋"/>
          <w:color w:val="auto"/>
          <w:sz w:val="21"/>
          <w:szCs w:val="21"/>
          <w:highlight w:val="none"/>
          <w:u w:val="single"/>
        </w:rPr>
        <w:t xml:space="preserve">开工前7日内向发包人报送。  并按要求编制  </w:t>
      </w:r>
      <w:r>
        <w:rPr>
          <w:rFonts w:hint="eastAsia" w:ascii="仿宋" w:hAnsi="仿宋" w:eastAsia="仿宋" w:cs="仿宋"/>
          <w:color w:val="auto"/>
          <w:sz w:val="21"/>
          <w:szCs w:val="21"/>
          <w:highlight w:val="none"/>
        </w:rPr>
        <w:t>。</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6.1.5 文明施工</w:t>
      </w:r>
    </w:p>
    <w:p>
      <w:pPr>
        <w:spacing w:line="400" w:lineRule="exact"/>
        <w:ind w:firstLine="420" w:firstLineChars="200"/>
        <w:jc w:val="left"/>
        <w:rPr>
          <w:rFonts w:hint="eastAsia" w:ascii="仿宋" w:hAnsi="仿宋" w:eastAsia="仿宋" w:cs="仿宋"/>
          <w:color w:val="auto"/>
          <w:sz w:val="21"/>
          <w:szCs w:val="21"/>
          <w:highlight w:val="none"/>
        </w:rPr>
      </w:pPr>
    </w:p>
    <w:p>
      <w:pP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合同当事人对文明施工的要求：</w:t>
      </w:r>
      <w:r>
        <w:rPr>
          <w:rFonts w:hint="eastAsia" w:ascii="仿宋" w:hAnsi="仿宋" w:eastAsia="仿宋" w:cs="仿宋"/>
          <w:color w:val="auto"/>
          <w:sz w:val="21"/>
          <w:szCs w:val="21"/>
          <w:highlight w:val="none"/>
          <w:lang w:val="en-US" w:eastAsia="zh-CN"/>
        </w:rPr>
        <w:t>符合</w:t>
      </w:r>
      <w:r>
        <w:rPr>
          <w:rFonts w:hint="eastAsia" w:ascii="仿宋" w:hAnsi="仿宋" w:eastAsia="仿宋" w:cs="仿宋"/>
          <w:color w:val="auto"/>
          <w:sz w:val="21"/>
          <w:szCs w:val="21"/>
          <w:highlight w:val="none"/>
          <w:lang w:eastAsia="zh-CN"/>
        </w:rPr>
        <w:t>招标</w:t>
      </w:r>
      <w:r>
        <w:rPr>
          <w:rFonts w:hint="eastAsia" w:ascii="仿宋" w:hAnsi="仿宋" w:eastAsia="仿宋" w:cs="仿宋"/>
          <w:color w:val="auto"/>
          <w:sz w:val="21"/>
          <w:szCs w:val="21"/>
          <w:highlight w:val="none"/>
          <w:lang w:val="en-US" w:eastAsia="zh-CN"/>
        </w:rPr>
        <w:t>文件规定</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6.1.6 </w:t>
      </w:r>
      <w:r>
        <w:rPr>
          <w:rFonts w:hint="eastAsia" w:ascii="仿宋" w:hAnsi="仿宋" w:eastAsia="仿宋" w:cs="仿宋"/>
          <w:color w:val="auto"/>
          <w:sz w:val="21"/>
          <w:szCs w:val="21"/>
          <w:highlight w:val="none"/>
          <w:u w:val="single"/>
        </w:rPr>
        <w:t>实名制用工资专用款的支付按洛阳市相关规定执行。</w:t>
      </w:r>
      <w:bookmarkEnd w:id="441"/>
      <w:bookmarkEnd w:id="442"/>
      <w:bookmarkEnd w:id="443"/>
      <w:bookmarkEnd w:id="444"/>
      <w:bookmarkEnd w:id="445"/>
      <w:bookmarkEnd w:id="446"/>
      <w:bookmarkEnd w:id="447"/>
    </w:p>
    <w:p>
      <w:pPr>
        <w:spacing w:before="120" w:after="120" w:line="400" w:lineRule="exact"/>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7. 工期和进度</w:t>
      </w:r>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7.1 施工组织设计</w:t>
      </w:r>
    </w:p>
    <w:p>
      <w:pPr>
        <w:autoSpaceDE w:val="0"/>
        <w:autoSpaceDN w:val="0"/>
        <w:adjustRightInd w:val="0"/>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7.1.1 合</w:t>
      </w:r>
      <w:r>
        <w:rPr>
          <w:rFonts w:hint="eastAsia" w:ascii="仿宋" w:hAnsi="仿宋" w:eastAsia="仿宋" w:cs="仿宋"/>
          <w:color w:val="auto"/>
          <w:kern w:val="0"/>
          <w:sz w:val="21"/>
          <w:szCs w:val="21"/>
          <w:highlight w:val="none"/>
        </w:rPr>
        <w:t>同当事人约定的施工组织设计应包括的其他内容：</w:t>
      </w:r>
      <w:r>
        <w:rPr>
          <w:rFonts w:hint="eastAsia" w:ascii="仿宋" w:hAnsi="仿宋" w:eastAsia="仿宋" w:cs="仿宋"/>
          <w:color w:val="auto"/>
          <w:sz w:val="21"/>
          <w:szCs w:val="21"/>
          <w:highlight w:val="none"/>
          <w:u w:val="single"/>
        </w:rPr>
        <w:t xml:space="preserve"> 按</w:t>
      </w:r>
      <w:r>
        <w:rPr>
          <w:rFonts w:hint="eastAsia" w:ascii="仿宋" w:hAnsi="仿宋" w:eastAsia="仿宋" w:cs="仿宋"/>
          <w:color w:val="auto"/>
          <w:sz w:val="21"/>
          <w:szCs w:val="21"/>
          <w:highlight w:val="none"/>
          <w:u w:val="single"/>
          <w:lang w:eastAsia="zh-CN"/>
        </w:rPr>
        <w:t>招标文件</w:t>
      </w:r>
      <w:r>
        <w:rPr>
          <w:rFonts w:hint="eastAsia" w:ascii="仿宋" w:hAnsi="仿宋" w:eastAsia="仿宋" w:cs="仿宋"/>
          <w:color w:val="auto"/>
          <w:sz w:val="21"/>
          <w:szCs w:val="21"/>
          <w:highlight w:val="none"/>
          <w:u w:val="single"/>
        </w:rPr>
        <w:t xml:space="preserve">、无约定的双方另行约定 </w:t>
      </w:r>
      <w:r>
        <w:rPr>
          <w:rFonts w:hint="eastAsia" w:ascii="仿宋" w:hAnsi="仿宋" w:eastAsia="仿宋" w:cs="仿宋"/>
          <w:color w:val="auto"/>
          <w:sz w:val="21"/>
          <w:szCs w:val="21"/>
          <w:highlight w:val="none"/>
        </w:rPr>
        <w:t>。</w:t>
      </w:r>
    </w:p>
    <w:p>
      <w:pPr>
        <w:autoSpaceDE w:val="0"/>
        <w:autoSpaceDN w:val="0"/>
        <w:adjustRightInd w:val="0"/>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 xml:space="preserve">7.1.2 </w:t>
      </w:r>
      <w:r>
        <w:rPr>
          <w:rFonts w:hint="eastAsia" w:ascii="仿宋" w:hAnsi="仿宋" w:eastAsia="仿宋" w:cs="仿宋"/>
          <w:color w:val="auto"/>
          <w:kern w:val="0"/>
          <w:sz w:val="21"/>
          <w:szCs w:val="21"/>
          <w:highlight w:val="none"/>
        </w:rPr>
        <w:t>施工组织设计的提交和修改</w:t>
      </w:r>
    </w:p>
    <w:p>
      <w:pPr>
        <w:autoSpaceDE w:val="0"/>
        <w:autoSpaceDN w:val="0"/>
        <w:adjustRightInd w:val="0"/>
        <w:spacing w:line="400" w:lineRule="exact"/>
        <w:ind w:firstLine="420" w:firstLineChars="200"/>
        <w:jc w:val="left"/>
        <w:rPr>
          <w:rFonts w:hint="eastAsia" w:ascii="仿宋" w:hAnsi="仿宋" w:eastAsia="仿宋" w:cs="仿宋"/>
          <w:color w:val="auto"/>
          <w:sz w:val="21"/>
          <w:szCs w:val="21"/>
          <w:highlight w:val="none"/>
          <w:u w:val="single"/>
          <w:lang w:val="zh-CN"/>
        </w:rPr>
      </w:pPr>
      <w:r>
        <w:rPr>
          <w:rFonts w:hint="eastAsia" w:ascii="仿宋" w:hAnsi="仿宋" w:eastAsia="仿宋" w:cs="仿宋"/>
          <w:color w:val="auto"/>
          <w:kern w:val="0"/>
          <w:sz w:val="21"/>
          <w:szCs w:val="21"/>
          <w:highlight w:val="none"/>
        </w:rPr>
        <w:t>承包人提交详细施工组织设计的期限的约定：</w:t>
      </w:r>
      <w:r>
        <w:rPr>
          <w:rFonts w:hint="eastAsia" w:ascii="仿宋" w:hAnsi="仿宋" w:eastAsia="仿宋" w:cs="仿宋"/>
          <w:color w:val="auto"/>
          <w:sz w:val="21"/>
          <w:szCs w:val="21"/>
          <w:highlight w:val="none"/>
          <w:u w:val="single"/>
        </w:rPr>
        <w:t>图纸会审后7</w:t>
      </w:r>
      <w:r>
        <w:rPr>
          <w:rFonts w:hint="eastAsia" w:ascii="仿宋" w:hAnsi="仿宋" w:eastAsia="仿宋" w:cs="仿宋"/>
          <w:color w:val="auto"/>
          <w:sz w:val="21"/>
          <w:szCs w:val="21"/>
          <w:highlight w:val="none"/>
          <w:u w:val="single"/>
          <w:lang w:val="zh-CN"/>
        </w:rPr>
        <w:t>内提供。</w:t>
      </w:r>
    </w:p>
    <w:p>
      <w:pPr>
        <w:autoSpaceDE w:val="0"/>
        <w:autoSpaceDN w:val="0"/>
        <w:adjustRightInd w:val="0"/>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发包人和监理人在收到详细的施工组织设计后确认或提出修改意见的期限：</w:t>
      </w:r>
      <w:r>
        <w:rPr>
          <w:rFonts w:hint="eastAsia" w:ascii="仿宋" w:hAnsi="仿宋" w:eastAsia="仿宋" w:cs="仿宋"/>
          <w:color w:val="auto"/>
          <w:sz w:val="21"/>
          <w:szCs w:val="21"/>
          <w:highlight w:val="none"/>
          <w:u w:val="single"/>
        </w:rPr>
        <w:t xml:space="preserve">   收到后7天内      </w:t>
      </w:r>
      <w:r>
        <w:rPr>
          <w:rFonts w:hint="eastAsia" w:ascii="仿宋" w:hAnsi="仿宋" w:eastAsia="仿宋" w:cs="仿宋"/>
          <w:color w:val="auto"/>
          <w:sz w:val="21"/>
          <w:szCs w:val="21"/>
          <w:highlight w:val="none"/>
        </w:rPr>
        <w:t>。</w:t>
      </w:r>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bookmarkStart w:id="449" w:name="_Toc300934966"/>
      <w:bookmarkStart w:id="450" w:name="_Toc304295541"/>
      <w:bookmarkStart w:id="451" w:name="_Toc312677479"/>
      <w:bookmarkStart w:id="452" w:name="_Toc297123514"/>
      <w:bookmarkStart w:id="453" w:name="_Toc297216173"/>
      <w:bookmarkStart w:id="454" w:name="_Toc303539123"/>
      <w:bookmarkStart w:id="455" w:name="_Toc312678005"/>
      <w:r>
        <w:rPr>
          <w:rFonts w:hint="eastAsia" w:ascii="仿宋" w:hAnsi="仿宋" w:eastAsia="仿宋" w:cs="仿宋"/>
          <w:color w:val="auto"/>
          <w:sz w:val="21"/>
          <w:szCs w:val="21"/>
          <w:highlight w:val="none"/>
        </w:rPr>
        <w:t>.2 施工进度计划</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7.2.2 施工进度计划的修订</w:t>
      </w:r>
    </w:p>
    <w:p>
      <w:pPr>
        <w:spacing w:line="400" w:lineRule="exact"/>
        <w:ind w:firstLine="420" w:firstLineChars="200"/>
        <w:jc w:val="left"/>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发包人和监理人在收到修订的施工进度计划后确认或提出修改意见的期限：</w:t>
      </w:r>
      <w:r>
        <w:rPr>
          <w:rFonts w:hint="eastAsia" w:ascii="仿宋" w:hAnsi="仿宋" w:eastAsia="仿宋" w:cs="仿宋"/>
          <w:color w:val="auto"/>
          <w:sz w:val="21"/>
          <w:szCs w:val="21"/>
          <w:highlight w:val="none"/>
          <w:u w:val="single"/>
        </w:rPr>
        <w:t xml:space="preserve">   7个工作日      。</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7.3 开工</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7.3.1 开工准备</w:t>
      </w:r>
    </w:p>
    <w:p>
      <w:pPr>
        <w:spacing w:line="400" w:lineRule="exact"/>
        <w:ind w:firstLine="645"/>
        <w:jc w:val="left"/>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关于承包人提交</w:t>
      </w:r>
      <w:r>
        <w:rPr>
          <w:rFonts w:hint="eastAsia" w:ascii="仿宋" w:hAnsi="仿宋" w:eastAsia="仿宋" w:cs="仿宋"/>
          <w:color w:val="auto"/>
          <w:kern w:val="0"/>
          <w:sz w:val="21"/>
          <w:szCs w:val="21"/>
          <w:highlight w:val="none"/>
        </w:rPr>
        <w:t>工程开工报审表的期限：</w:t>
      </w:r>
      <w:r>
        <w:rPr>
          <w:rFonts w:hint="eastAsia" w:ascii="仿宋" w:hAnsi="仿宋" w:eastAsia="仿宋" w:cs="仿宋"/>
          <w:color w:val="auto"/>
          <w:sz w:val="21"/>
          <w:szCs w:val="21"/>
          <w:highlight w:val="none"/>
          <w:u w:val="single"/>
        </w:rPr>
        <w:t>接到开工令七日内。</w:t>
      </w:r>
    </w:p>
    <w:p>
      <w:pPr>
        <w:spacing w:line="400" w:lineRule="exact"/>
        <w:ind w:firstLine="645"/>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关于发包人应完成的其他开工准备工作及期限：</w:t>
      </w:r>
      <w:r>
        <w:rPr>
          <w:rFonts w:hint="eastAsia" w:ascii="仿宋" w:hAnsi="仿宋" w:eastAsia="仿宋" w:cs="仿宋"/>
          <w:color w:val="auto"/>
          <w:sz w:val="21"/>
          <w:szCs w:val="21"/>
          <w:highlight w:val="none"/>
          <w:u w:val="single"/>
        </w:rPr>
        <w:t xml:space="preserve">   / </w:t>
      </w:r>
      <w:r>
        <w:rPr>
          <w:rFonts w:hint="eastAsia" w:ascii="仿宋" w:hAnsi="仿宋" w:eastAsia="仿宋" w:cs="仿宋"/>
          <w:color w:val="auto"/>
          <w:sz w:val="21"/>
          <w:szCs w:val="21"/>
          <w:highlight w:val="none"/>
        </w:rPr>
        <w:t>。</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关于承包人应完成的其他开工准备工作及期限：</w:t>
      </w:r>
      <w:r>
        <w:rPr>
          <w:rFonts w:hint="eastAsia" w:ascii="仿宋" w:hAnsi="仿宋" w:eastAsia="仿宋" w:cs="仿宋"/>
          <w:b/>
          <w:bCs/>
          <w:color w:val="auto"/>
          <w:sz w:val="21"/>
          <w:szCs w:val="21"/>
          <w:highlight w:val="none"/>
          <w:u w:val="single"/>
        </w:rPr>
        <w:t xml:space="preserve">   </w:t>
      </w:r>
      <w:r>
        <w:rPr>
          <w:rFonts w:hint="eastAsia" w:ascii="仿宋" w:hAnsi="仿宋" w:eastAsia="仿宋" w:cs="仿宋"/>
          <w:color w:val="auto"/>
          <w:sz w:val="21"/>
          <w:szCs w:val="21"/>
          <w:highlight w:val="none"/>
          <w:u w:val="single"/>
        </w:rPr>
        <w:t>开工进场前7日内</w:t>
      </w:r>
      <w:r>
        <w:rPr>
          <w:rFonts w:hint="eastAsia" w:ascii="仿宋" w:hAnsi="仿宋" w:eastAsia="仿宋" w:cs="仿宋"/>
          <w:color w:val="auto"/>
          <w:sz w:val="21"/>
          <w:szCs w:val="21"/>
          <w:highlight w:val="none"/>
        </w:rPr>
        <w:t>。</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7.3.2开工通知</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因发包人原因造成监理人未能在计划开工日期之日起</w:t>
      </w:r>
      <w:r>
        <w:rPr>
          <w:rFonts w:hint="eastAsia" w:ascii="仿宋" w:hAnsi="仿宋" w:eastAsia="仿宋" w:cs="仿宋"/>
          <w:color w:val="auto"/>
          <w:sz w:val="21"/>
          <w:szCs w:val="21"/>
          <w:highlight w:val="none"/>
          <w:u w:val="single"/>
          <w:lang w:val="en-US" w:eastAsia="zh-CN"/>
        </w:rPr>
        <w:t>120</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天内发出开工通知的，承包人有权提出价格调整要求，或者解除合同，但最终以双方协商一致为准。</w:t>
      </w:r>
      <w:bookmarkEnd w:id="449"/>
      <w:bookmarkEnd w:id="450"/>
      <w:bookmarkEnd w:id="451"/>
      <w:bookmarkEnd w:id="452"/>
      <w:bookmarkEnd w:id="453"/>
      <w:bookmarkEnd w:id="454"/>
      <w:bookmarkEnd w:id="455"/>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7.4 测量放线</w:t>
      </w:r>
    </w:p>
    <w:p>
      <w:pPr>
        <w:spacing w:line="400" w:lineRule="exact"/>
        <w:ind w:firstLine="420" w:firstLineChars="200"/>
        <w:jc w:val="left"/>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7.4.1发包人通过监理人向承包人提供测量基准点、基准线和水准点及其书面资料的期限：</w:t>
      </w:r>
      <w:r>
        <w:rPr>
          <w:rFonts w:hint="eastAsia" w:ascii="仿宋" w:hAnsi="仿宋" w:eastAsia="仿宋" w:cs="仿宋"/>
          <w:color w:val="auto"/>
          <w:sz w:val="21"/>
          <w:szCs w:val="21"/>
          <w:highlight w:val="none"/>
          <w:u w:val="single"/>
        </w:rPr>
        <w:t xml:space="preserve">  合同签订后、开工前     </w:t>
      </w:r>
      <w:r>
        <w:rPr>
          <w:rFonts w:hint="eastAsia" w:ascii="仿宋" w:hAnsi="仿宋" w:eastAsia="仿宋" w:cs="仿宋"/>
          <w:color w:val="auto"/>
          <w:sz w:val="21"/>
          <w:szCs w:val="21"/>
          <w:highlight w:val="none"/>
        </w:rPr>
        <w:t>。</w:t>
      </w:r>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bookmarkStart w:id="456" w:name="_Toc297216175"/>
      <w:bookmarkStart w:id="457" w:name="_Toc300934968"/>
      <w:bookmarkStart w:id="458" w:name="_Toc297123516"/>
      <w:bookmarkStart w:id="459" w:name="_Toc312678010"/>
      <w:bookmarkStart w:id="460" w:name="_Toc303539125"/>
      <w:bookmarkStart w:id="461" w:name="_Toc312677484"/>
      <w:bookmarkStart w:id="462" w:name="_Toc304295546"/>
      <w:r>
        <w:rPr>
          <w:rFonts w:hint="eastAsia" w:ascii="仿宋" w:hAnsi="仿宋" w:eastAsia="仿宋" w:cs="仿宋"/>
          <w:color w:val="auto"/>
          <w:sz w:val="21"/>
          <w:szCs w:val="21"/>
          <w:highlight w:val="none"/>
        </w:rPr>
        <w:t>.5 工期延误</w:t>
      </w:r>
      <w:bookmarkEnd w:id="456"/>
      <w:bookmarkEnd w:id="457"/>
      <w:bookmarkEnd w:id="458"/>
      <w:bookmarkEnd w:id="459"/>
      <w:bookmarkEnd w:id="460"/>
      <w:bookmarkEnd w:id="461"/>
      <w:bookmarkEnd w:id="462"/>
    </w:p>
    <w:p>
      <w:pPr>
        <w:autoSpaceDE w:val="0"/>
        <w:autoSpaceDN w:val="0"/>
        <w:spacing w:line="400" w:lineRule="exact"/>
        <w:ind w:firstLine="420" w:firstLineChars="200"/>
        <w:rPr>
          <w:rFonts w:hint="eastAsia" w:ascii="仿宋" w:hAnsi="仿宋" w:eastAsia="仿宋" w:cs="仿宋"/>
          <w:color w:val="auto"/>
          <w:sz w:val="21"/>
          <w:szCs w:val="21"/>
          <w:highlight w:val="none"/>
          <w:u w:val="single"/>
          <w:lang w:val="zh-CN"/>
        </w:rPr>
      </w:pPr>
      <w:r>
        <w:rPr>
          <w:rFonts w:hint="eastAsia" w:ascii="仿宋" w:hAnsi="仿宋" w:eastAsia="仿宋" w:cs="仿宋"/>
          <w:color w:val="auto"/>
          <w:sz w:val="21"/>
          <w:szCs w:val="21"/>
          <w:highlight w:val="none"/>
        </w:rPr>
        <w:t>7.5.1</w:t>
      </w:r>
      <w:bookmarkStart w:id="463" w:name="_Toc303539127"/>
      <w:bookmarkStart w:id="464" w:name="_Toc300934970"/>
      <w:bookmarkStart w:id="465" w:name="_Toc304295548"/>
      <w:bookmarkStart w:id="466" w:name="_Toc312678012"/>
      <w:bookmarkStart w:id="467" w:name="_Toc297123518"/>
      <w:bookmarkStart w:id="468" w:name="_Toc318581169"/>
      <w:bookmarkStart w:id="469" w:name="_Toc312677486"/>
      <w:bookmarkStart w:id="470" w:name="_Toc297216177"/>
      <w:r>
        <w:rPr>
          <w:rFonts w:hint="eastAsia" w:ascii="仿宋" w:hAnsi="仿宋" w:eastAsia="仿宋" w:cs="仿宋"/>
          <w:color w:val="auto"/>
          <w:sz w:val="21"/>
          <w:szCs w:val="21"/>
          <w:highlight w:val="none"/>
          <w:lang w:val="zh-CN"/>
        </w:rPr>
        <w:t>双方约定工期顺延的其他情况</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u w:val="single"/>
          <w:lang w:val="zh-CN"/>
        </w:rPr>
        <w:t>承包人响应文件所承诺的投标工期为合同工期；</w:t>
      </w:r>
      <w:r>
        <w:rPr>
          <w:rFonts w:hint="eastAsia" w:ascii="仿宋" w:hAnsi="仿宋" w:eastAsia="仿宋" w:cs="仿宋"/>
          <w:color w:val="auto"/>
          <w:sz w:val="21"/>
          <w:szCs w:val="21"/>
          <w:highlight w:val="none"/>
          <w:u w:val="single"/>
        </w:rPr>
        <w:t>承包人</w:t>
      </w:r>
      <w:r>
        <w:rPr>
          <w:rFonts w:hint="eastAsia" w:ascii="仿宋" w:hAnsi="仿宋" w:eastAsia="仿宋" w:cs="仿宋"/>
          <w:color w:val="auto"/>
          <w:sz w:val="21"/>
          <w:szCs w:val="21"/>
          <w:highlight w:val="none"/>
          <w:u w:val="single"/>
          <w:lang w:val="zh-CN"/>
        </w:rPr>
        <w:t>必须按合同工期或发包人和监理工程师同意顺延的工期竣工。因以下原因造成工期延误，经发包人及监理工程师确认，工期相应顺延，以下情况除（3）、（6）、（7）款外其他均不增加费用：</w:t>
      </w:r>
    </w:p>
    <w:p>
      <w:pPr>
        <w:tabs>
          <w:tab w:val="left" w:pos="1080"/>
        </w:tabs>
        <w:adjustRightInd w:val="0"/>
        <w:snapToGrid w:val="0"/>
        <w:spacing w:line="400" w:lineRule="exact"/>
        <w:ind w:firstLine="420" w:firstLineChars="200"/>
        <w:rPr>
          <w:rFonts w:hint="eastAsia" w:ascii="仿宋" w:hAnsi="仿宋" w:eastAsia="仿宋" w:cs="仿宋"/>
          <w:color w:val="auto"/>
          <w:sz w:val="21"/>
          <w:szCs w:val="21"/>
          <w:highlight w:val="none"/>
          <w:u w:val="single"/>
          <w:lang w:val="zh-CN"/>
        </w:rPr>
      </w:pPr>
      <w:r>
        <w:rPr>
          <w:rFonts w:hint="eastAsia" w:ascii="仿宋" w:hAnsi="仿宋" w:eastAsia="仿宋" w:cs="仿宋"/>
          <w:color w:val="auto"/>
          <w:sz w:val="21"/>
          <w:szCs w:val="21"/>
          <w:highlight w:val="none"/>
          <w:lang w:val="zh-CN"/>
        </w:rPr>
        <w:t>（1）</w:t>
      </w:r>
      <w:r>
        <w:rPr>
          <w:rFonts w:hint="eastAsia" w:ascii="仿宋" w:hAnsi="仿宋" w:eastAsia="仿宋" w:cs="仿宋"/>
          <w:color w:val="auto"/>
          <w:sz w:val="21"/>
          <w:szCs w:val="21"/>
          <w:highlight w:val="none"/>
          <w:u w:val="single"/>
          <w:lang w:val="zh-CN"/>
        </w:rPr>
        <w:t>发包人未能按约定提供图纸及开工条件；</w:t>
      </w:r>
    </w:p>
    <w:p>
      <w:pPr>
        <w:tabs>
          <w:tab w:val="left" w:pos="1080"/>
        </w:tabs>
        <w:adjustRightInd w:val="0"/>
        <w:snapToGrid w:val="0"/>
        <w:spacing w:line="400" w:lineRule="exact"/>
        <w:ind w:firstLine="420" w:firstLineChars="200"/>
        <w:rPr>
          <w:rFonts w:hint="eastAsia" w:ascii="仿宋" w:hAnsi="仿宋" w:eastAsia="仿宋" w:cs="仿宋"/>
          <w:color w:val="auto"/>
          <w:sz w:val="21"/>
          <w:szCs w:val="21"/>
          <w:highlight w:val="none"/>
          <w:u w:val="single"/>
          <w:lang w:val="zh-CN"/>
        </w:rPr>
      </w:pPr>
      <w:r>
        <w:rPr>
          <w:rFonts w:hint="eastAsia" w:ascii="仿宋" w:hAnsi="仿宋" w:eastAsia="仿宋" w:cs="仿宋"/>
          <w:color w:val="auto"/>
          <w:sz w:val="21"/>
          <w:szCs w:val="21"/>
          <w:highlight w:val="none"/>
          <w:lang w:val="zh-CN"/>
        </w:rPr>
        <w:t>（2）</w:t>
      </w:r>
      <w:r>
        <w:rPr>
          <w:rFonts w:hint="eastAsia" w:ascii="仿宋" w:hAnsi="仿宋" w:eastAsia="仿宋" w:cs="仿宋"/>
          <w:color w:val="auto"/>
          <w:sz w:val="21"/>
          <w:szCs w:val="21"/>
          <w:highlight w:val="none"/>
          <w:u w:val="single"/>
          <w:lang w:val="zh-CN"/>
        </w:rPr>
        <w:t>监理工程师未按合同约定提供所需指令、批准等，致使施工不能正常进行；</w:t>
      </w:r>
    </w:p>
    <w:p>
      <w:pPr>
        <w:tabs>
          <w:tab w:val="left" w:pos="1080"/>
        </w:tabs>
        <w:adjustRightInd w:val="0"/>
        <w:snapToGrid w:val="0"/>
        <w:spacing w:line="400" w:lineRule="exact"/>
        <w:ind w:firstLine="420" w:firstLineChars="200"/>
        <w:rPr>
          <w:rFonts w:hint="eastAsia" w:ascii="仿宋" w:hAnsi="仿宋" w:eastAsia="仿宋" w:cs="仿宋"/>
          <w:color w:val="auto"/>
          <w:sz w:val="21"/>
          <w:szCs w:val="21"/>
          <w:highlight w:val="none"/>
          <w:u w:val="single"/>
          <w:lang w:val="zh-CN"/>
        </w:rPr>
      </w:pPr>
      <w:r>
        <w:rPr>
          <w:rFonts w:hint="eastAsia" w:ascii="仿宋" w:hAnsi="仿宋" w:eastAsia="仿宋" w:cs="仿宋"/>
          <w:color w:val="auto"/>
          <w:sz w:val="21"/>
          <w:szCs w:val="21"/>
          <w:highlight w:val="none"/>
          <w:lang w:val="zh-CN"/>
        </w:rPr>
        <w:t>（3）</w:t>
      </w:r>
      <w:r>
        <w:rPr>
          <w:rFonts w:hint="eastAsia" w:ascii="仿宋" w:hAnsi="仿宋" w:eastAsia="仿宋" w:cs="仿宋"/>
          <w:color w:val="auto"/>
          <w:sz w:val="21"/>
          <w:szCs w:val="21"/>
          <w:highlight w:val="none"/>
          <w:u w:val="single"/>
          <w:lang w:val="zh-CN"/>
        </w:rPr>
        <w:t>重大设计变更和工程量增加</w:t>
      </w:r>
      <w:r>
        <w:rPr>
          <w:rFonts w:hint="eastAsia" w:ascii="仿宋" w:hAnsi="仿宋" w:eastAsia="仿宋" w:cs="仿宋"/>
          <w:color w:val="auto"/>
          <w:sz w:val="21"/>
          <w:szCs w:val="21"/>
          <w:highlight w:val="none"/>
          <w:lang w:val="zh-CN"/>
        </w:rPr>
        <w:t>；</w:t>
      </w:r>
    </w:p>
    <w:p>
      <w:pPr>
        <w:tabs>
          <w:tab w:val="left" w:pos="1080"/>
        </w:tabs>
        <w:adjustRightInd w:val="0"/>
        <w:snapToGrid w:val="0"/>
        <w:spacing w:line="400" w:lineRule="exact"/>
        <w:ind w:firstLine="420" w:firstLineChars="200"/>
        <w:rPr>
          <w:rFonts w:hint="eastAsia" w:ascii="仿宋" w:hAnsi="仿宋" w:eastAsia="仿宋" w:cs="仿宋"/>
          <w:color w:val="auto"/>
          <w:sz w:val="21"/>
          <w:szCs w:val="21"/>
          <w:highlight w:val="none"/>
          <w:u w:val="single"/>
          <w:lang w:val="zh-CN"/>
        </w:rPr>
      </w:pPr>
      <w:r>
        <w:rPr>
          <w:rFonts w:hint="eastAsia" w:ascii="仿宋" w:hAnsi="仿宋" w:eastAsia="仿宋" w:cs="仿宋"/>
          <w:color w:val="auto"/>
          <w:sz w:val="21"/>
          <w:szCs w:val="21"/>
          <w:highlight w:val="none"/>
          <w:lang w:val="zh-CN"/>
        </w:rPr>
        <w:t>（4）</w:t>
      </w:r>
      <w:r>
        <w:rPr>
          <w:rFonts w:hint="eastAsia" w:ascii="仿宋" w:hAnsi="仿宋" w:eastAsia="仿宋" w:cs="仿宋"/>
          <w:color w:val="auto"/>
          <w:sz w:val="21"/>
          <w:szCs w:val="21"/>
          <w:highlight w:val="none"/>
          <w:u w:val="single"/>
          <w:lang w:val="zh-CN"/>
        </w:rPr>
        <w:t>不可抗力</w:t>
      </w:r>
      <w:r>
        <w:rPr>
          <w:rFonts w:hint="eastAsia" w:ascii="仿宋" w:hAnsi="仿宋" w:eastAsia="仿宋" w:cs="仿宋"/>
          <w:color w:val="auto"/>
          <w:sz w:val="21"/>
          <w:szCs w:val="21"/>
          <w:highlight w:val="none"/>
          <w:lang w:val="zh-CN"/>
        </w:rPr>
        <w:t>；</w:t>
      </w:r>
    </w:p>
    <w:p>
      <w:pPr>
        <w:tabs>
          <w:tab w:val="left" w:pos="1080"/>
        </w:tabs>
        <w:adjustRightInd w:val="0"/>
        <w:snapToGrid w:val="0"/>
        <w:spacing w:line="400" w:lineRule="exact"/>
        <w:ind w:firstLine="420" w:firstLineChars="20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（5）</w:t>
      </w:r>
      <w:r>
        <w:rPr>
          <w:rFonts w:hint="eastAsia" w:ascii="仿宋" w:hAnsi="仿宋" w:eastAsia="仿宋" w:cs="仿宋"/>
          <w:color w:val="auto"/>
          <w:sz w:val="21"/>
          <w:szCs w:val="21"/>
          <w:highlight w:val="none"/>
          <w:u w:val="single"/>
          <w:lang w:val="zh-CN"/>
        </w:rPr>
        <w:t>经发包人、监理工程师同意工期顺延的其他情况</w:t>
      </w:r>
      <w:r>
        <w:rPr>
          <w:rFonts w:hint="eastAsia" w:ascii="仿宋" w:hAnsi="仿宋" w:eastAsia="仿宋" w:cs="仿宋"/>
          <w:color w:val="auto"/>
          <w:sz w:val="21"/>
          <w:szCs w:val="21"/>
          <w:highlight w:val="none"/>
          <w:lang w:val="zh-CN"/>
        </w:rPr>
        <w:t>；</w:t>
      </w:r>
    </w:p>
    <w:p>
      <w:pPr>
        <w:tabs>
          <w:tab w:val="left" w:pos="900"/>
          <w:tab w:val="left" w:pos="1080"/>
        </w:tabs>
        <w:adjustRightInd w:val="0"/>
        <w:snapToGrid w:val="0"/>
        <w:spacing w:line="400" w:lineRule="exact"/>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（6）</w:t>
      </w:r>
      <w:r>
        <w:rPr>
          <w:rFonts w:hint="eastAsia" w:ascii="仿宋" w:hAnsi="仿宋" w:eastAsia="仿宋" w:cs="仿宋"/>
          <w:color w:val="auto"/>
          <w:sz w:val="21"/>
          <w:szCs w:val="21"/>
          <w:highlight w:val="none"/>
          <w:u w:val="single"/>
        </w:rPr>
        <w:t>发包人的工程量增</w:t>
      </w:r>
      <w:r>
        <w:rPr>
          <w:rFonts w:hint="eastAsia" w:ascii="仿宋" w:hAnsi="仿宋" w:eastAsia="仿宋" w:cs="仿宋"/>
          <w:color w:val="auto"/>
          <w:sz w:val="21"/>
          <w:szCs w:val="21"/>
          <w:highlight w:val="none"/>
          <w:u w:val="single"/>
          <w:lang w:val="en-US" w:eastAsia="zh-CN"/>
        </w:rPr>
        <w:t>加</w:t>
      </w:r>
      <w:r>
        <w:rPr>
          <w:rFonts w:hint="eastAsia" w:ascii="仿宋" w:hAnsi="仿宋" w:eastAsia="仿宋" w:cs="仿宋"/>
          <w:color w:val="auto"/>
          <w:sz w:val="21"/>
          <w:szCs w:val="21"/>
          <w:highlight w:val="none"/>
          <w:u w:val="single"/>
        </w:rPr>
        <w:t>；</w:t>
      </w:r>
    </w:p>
    <w:p>
      <w:pPr>
        <w:tabs>
          <w:tab w:val="left" w:pos="900"/>
          <w:tab w:val="left" w:pos="1080"/>
        </w:tabs>
        <w:adjustRightInd w:val="0"/>
        <w:snapToGrid w:val="0"/>
        <w:spacing w:line="400" w:lineRule="exact"/>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（7）</w:t>
      </w:r>
      <w:r>
        <w:rPr>
          <w:rFonts w:hint="eastAsia" w:ascii="仿宋" w:hAnsi="仿宋" w:eastAsia="仿宋" w:cs="仿宋"/>
          <w:color w:val="auto"/>
          <w:sz w:val="21"/>
          <w:szCs w:val="21"/>
          <w:highlight w:val="none"/>
          <w:u w:val="single"/>
        </w:rPr>
        <w:t>发包人的工程变更及工程洽商；</w:t>
      </w:r>
    </w:p>
    <w:p>
      <w:pPr>
        <w:tabs>
          <w:tab w:val="left" w:pos="900"/>
          <w:tab w:val="left" w:pos="1080"/>
        </w:tabs>
        <w:adjustRightInd w:val="0"/>
        <w:snapToGrid w:val="0"/>
        <w:spacing w:line="400" w:lineRule="exact"/>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（8）</w:t>
      </w:r>
      <w:r>
        <w:rPr>
          <w:rFonts w:hint="eastAsia" w:ascii="仿宋" w:hAnsi="仿宋" w:eastAsia="仿宋" w:cs="仿宋"/>
          <w:color w:val="auto"/>
          <w:sz w:val="21"/>
          <w:szCs w:val="21"/>
          <w:highlight w:val="none"/>
          <w:u w:val="single"/>
        </w:rPr>
        <w:t>一周内非承包人原因停水、停电、停气造成停工累计超过8小时；（该情形下重大特殊情况双方另行协商一致确定。）</w:t>
      </w:r>
    </w:p>
    <w:p>
      <w:pPr>
        <w:tabs>
          <w:tab w:val="left" w:pos="900"/>
          <w:tab w:val="left" w:pos="1080"/>
        </w:tabs>
        <w:adjustRightInd w:val="0"/>
        <w:snapToGrid w:val="0"/>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（9）合同7.7条异常恶劣的气候条件产生的工期延误；</w:t>
      </w:r>
    </w:p>
    <w:p>
      <w:pPr>
        <w:tabs>
          <w:tab w:val="left" w:pos="900"/>
          <w:tab w:val="left" w:pos="1080"/>
        </w:tabs>
        <w:adjustRightInd w:val="0"/>
        <w:snapToGrid w:val="0"/>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（10）因政府政策条件导致的停工；</w:t>
      </w:r>
    </w:p>
    <w:p>
      <w:pPr>
        <w:tabs>
          <w:tab w:val="left" w:pos="900"/>
          <w:tab w:val="left" w:pos="1080"/>
        </w:tabs>
        <w:adjustRightInd w:val="0"/>
        <w:snapToGrid w:val="0"/>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（11）双方约定的其他因素。</w:t>
      </w:r>
    </w:p>
    <w:p>
      <w:pPr>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lang w:val="zh-CN"/>
        </w:rPr>
        <w:t>承包人在上述情况发生后14天内，就延误的工期天数、原因、详细计算过程向发包人和监理工程师以书面形式提出报告，否则承包人无权事后再就此提出工期索赔。</w:t>
      </w:r>
      <w:r>
        <w:rPr>
          <w:rFonts w:hint="eastAsia" w:ascii="仿宋" w:hAnsi="仿宋" w:eastAsia="仿宋" w:cs="仿宋"/>
          <w:color w:val="auto"/>
          <w:kern w:val="0"/>
          <w:sz w:val="21"/>
          <w:szCs w:val="21"/>
          <w:highlight w:val="none"/>
        </w:rPr>
        <w:t>发生通用条款第7.5.1项约定情形时，只有发生该情形处于经发包人批准的施工进度计划的关键工程节点上时，且对承包人施工产生实际影响的，造成延误的工期方可顺延。除本条约定外，其他原因导致的工期延期均不增加费用。</w:t>
      </w:r>
    </w:p>
    <w:p>
      <w:pPr>
        <w:tabs>
          <w:tab w:val="left" w:pos="1080"/>
        </w:tabs>
        <w:adjustRightInd w:val="0"/>
        <w:snapToGrid w:val="0"/>
        <w:spacing w:line="400" w:lineRule="exact"/>
        <w:ind w:firstLine="420" w:firstLineChars="200"/>
        <w:rPr>
          <w:rFonts w:hint="eastAsia" w:ascii="仿宋" w:hAnsi="仿宋" w:eastAsia="仿宋" w:cs="仿宋"/>
          <w:color w:val="auto"/>
          <w:sz w:val="21"/>
          <w:szCs w:val="21"/>
          <w:highlight w:val="none"/>
          <w:u w:val="single"/>
          <w:lang w:val="zh-CN"/>
        </w:rPr>
      </w:pPr>
      <w:r>
        <w:rPr>
          <w:rFonts w:hint="eastAsia" w:ascii="仿宋" w:hAnsi="仿宋" w:eastAsia="仿宋" w:cs="仿宋"/>
          <w:color w:val="auto"/>
          <w:sz w:val="21"/>
          <w:szCs w:val="21"/>
          <w:highlight w:val="none"/>
          <w:lang w:val="zh-CN"/>
        </w:rPr>
        <w:t xml:space="preserve">(1) </w:t>
      </w:r>
      <w:r>
        <w:rPr>
          <w:rFonts w:hint="eastAsia" w:ascii="仿宋" w:hAnsi="仿宋" w:eastAsia="仿宋" w:cs="仿宋"/>
          <w:color w:val="auto"/>
          <w:sz w:val="21"/>
          <w:szCs w:val="21"/>
          <w:highlight w:val="none"/>
          <w:u w:val="single"/>
          <w:lang w:val="zh-CN"/>
        </w:rPr>
        <w:t>因不可抗力的因素造成工程停工，经合同双方确认，可以顺延工期，但不调整合同价款</w:t>
      </w:r>
      <w:r>
        <w:rPr>
          <w:rFonts w:hint="eastAsia" w:ascii="仿宋" w:hAnsi="仿宋" w:eastAsia="仿宋" w:cs="仿宋"/>
          <w:color w:val="auto"/>
          <w:sz w:val="21"/>
          <w:szCs w:val="21"/>
          <w:highlight w:val="none"/>
          <w:lang w:val="zh-CN"/>
        </w:rPr>
        <w:t>。</w:t>
      </w:r>
    </w:p>
    <w:p>
      <w:pPr>
        <w:tabs>
          <w:tab w:val="left" w:pos="1080"/>
        </w:tabs>
        <w:adjustRightInd w:val="0"/>
        <w:snapToGrid w:val="0"/>
        <w:spacing w:line="400" w:lineRule="exact"/>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lang w:val="zh-CN"/>
        </w:rPr>
        <w:t xml:space="preserve">(2) </w:t>
      </w:r>
      <w:r>
        <w:rPr>
          <w:rFonts w:hint="eastAsia" w:ascii="仿宋" w:hAnsi="仿宋" w:eastAsia="仿宋" w:cs="仿宋"/>
          <w:color w:val="auto"/>
          <w:sz w:val="21"/>
          <w:szCs w:val="21"/>
          <w:highlight w:val="none"/>
          <w:u w:val="single"/>
          <w:lang w:val="zh-CN"/>
        </w:rPr>
        <w:t>因承包人原因造成工程停工或工期延误，不得顺延工期，</w:t>
      </w:r>
      <w:r>
        <w:rPr>
          <w:rFonts w:hint="eastAsia" w:ascii="仿宋" w:hAnsi="仿宋" w:eastAsia="仿宋" w:cs="仿宋"/>
          <w:color w:val="auto"/>
          <w:sz w:val="21"/>
          <w:szCs w:val="21"/>
          <w:highlight w:val="none"/>
          <w:u w:val="single"/>
        </w:rPr>
        <w:t>每逾期一日承包人需承担本合同总金额千分之三的违约金，并赔偿损失。</w:t>
      </w:r>
    </w:p>
    <w:p>
      <w:pPr>
        <w:tabs>
          <w:tab w:val="left" w:pos="1080"/>
        </w:tabs>
        <w:adjustRightInd w:val="0"/>
        <w:snapToGrid w:val="0"/>
        <w:spacing w:line="400" w:lineRule="exact"/>
        <w:ind w:firstLine="420" w:firstLineChars="20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（3）非</w:t>
      </w:r>
      <w:r>
        <w:rPr>
          <w:rFonts w:hint="eastAsia" w:ascii="仿宋" w:hAnsi="仿宋" w:eastAsia="仿宋" w:cs="仿宋"/>
          <w:color w:val="auto"/>
          <w:sz w:val="21"/>
          <w:szCs w:val="21"/>
          <w:highlight w:val="none"/>
          <w:u w:val="single"/>
          <w:lang w:val="zh-CN"/>
        </w:rPr>
        <w:t>承包人原因造成工程停工或工期延误，经合同双方确认，可以顺延工期，但不调整合同价款</w:t>
      </w:r>
      <w:r>
        <w:rPr>
          <w:rFonts w:hint="eastAsia" w:ascii="仿宋" w:hAnsi="仿宋" w:eastAsia="仿宋" w:cs="仿宋"/>
          <w:color w:val="auto"/>
          <w:sz w:val="21"/>
          <w:szCs w:val="21"/>
          <w:highlight w:val="none"/>
          <w:lang w:val="zh-CN"/>
        </w:rPr>
        <w:t>。</w:t>
      </w:r>
      <w:bookmarkEnd w:id="463"/>
      <w:bookmarkEnd w:id="464"/>
      <w:bookmarkEnd w:id="465"/>
      <w:bookmarkEnd w:id="466"/>
      <w:bookmarkEnd w:id="467"/>
      <w:bookmarkEnd w:id="468"/>
      <w:bookmarkEnd w:id="469"/>
      <w:bookmarkEnd w:id="470"/>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bookmarkStart w:id="471" w:name="_Toc300934971"/>
      <w:bookmarkStart w:id="472" w:name="_Toc297123519"/>
      <w:bookmarkStart w:id="473" w:name="_Toc304295549"/>
      <w:bookmarkStart w:id="474" w:name="_Toc303539128"/>
      <w:bookmarkStart w:id="475" w:name="_Toc297216178"/>
      <w:bookmarkStart w:id="476" w:name="_Toc312678015"/>
      <w:r>
        <w:rPr>
          <w:rFonts w:hint="eastAsia" w:ascii="仿宋" w:hAnsi="仿宋" w:eastAsia="仿宋" w:cs="仿宋"/>
          <w:color w:val="auto"/>
          <w:sz w:val="21"/>
          <w:szCs w:val="21"/>
          <w:highlight w:val="none"/>
        </w:rPr>
        <w:t>.6 不</w:t>
      </w:r>
      <w:bookmarkEnd w:id="471"/>
      <w:bookmarkEnd w:id="472"/>
      <w:bookmarkEnd w:id="473"/>
      <w:bookmarkEnd w:id="474"/>
      <w:bookmarkEnd w:id="475"/>
      <w:bookmarkEnd w:id="476"/>
      <w:r>
        <w:rPr>
          <w:rFonts w:hint="eastAsia" w:ascii="仿宋" w:hAnsi="仿宋" w:eastAsia="仿宋" w:cs="仿宋"/>
          <w:color w:val="auto"/>
          <w:sz w:val="21"/>
          <w:szCs w:val="21"/>
          <w:highlight w:val="none"/>
        </w:rPr>
        <w:t>利物质条件</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不利物质条件的其他情形和有关约定：</w:t>
      </w:r>
      <w:r>
        <w:rPr>
          <w:rFonts w:hint="eastAsia" w:ascii="仿宋" w:hAnsi="仿宋" w:eastAsia="仿宋" w:cs="仿宋"/>
          <w:color w:val="auto"/>
          <w:sz w:val="21"/>
          <w:szCs w:val="21"/>
          <w:highlight w:val="none"/>
          <w:u w:val="single"/>
        </w:rPr>
        <w:t xml:space="preserve">     /          </w:t>
      </w:r>
      <w:r>
        <w:rPr>
          <w:rFonts w:hint="eastAsia" w:ascii="仿宋" w:hAnsi="仿宋" w:eastAsia="仿宋" w:cs="仿宋"/>
          <w:color w:val="auto"/>
          <w:sz w:val="21"/>
          <w:szCs w:val="21"/>
          <w:highlight w:val="none"/>
        </w:rPr>
        <w:t>。</w:t>
      </w:r>
    </w:p>
    <w:p>
      <w:pPr>
        <w:spacing w:after="120"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7.9 提前竣工的奖励</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7.9.2提前竣工的奖励：</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u w:val="single"/>
          <w:lang w:val="zh-CN"/>
        </w:rPr>
        <w:t>无</w:t>
      </w:r>
      <w:r>
        <w:rPr>
          <w:rFonts w:hint="eastAsia" w:ascii="仿宋" w:hAnsi="仿宋" w:eastAsia="仿宋" w:cs="仿宋"/>
          <w:color w:val="auto"/>
          <w:sz w:val="21"/>
          <w:szCs w:val="21"/>
          <w:highlight w:val="none"/>
          <w:u w:val="single"/>
        </w:rPr>
        <w:t xml:space="preserve">  。</w:t>
      </w:r>
    </w:p>
    <w:p>
      <w:pPr>
        <w:spacing w:before="120" w:after="120" w:line="400" w:lineRule="exact"/>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8. 材料与设备</w:t>
      </w:r>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bookmarkStart w:id="477" w:name="_Toc280868656"/>
      <w:bookmarkStart w:id="478" w:name="_Toc280868655"/>
      <w:bookmarkStart w:id="479" w:name="_Toc267251424"/>
      <w:r>
        <w:rPr>
          <w:rFonts w:hint="eastAsia" w:ascii="仿宋" w:hAnsi="仿宋" w:eastAsia="仿宋" w:cs="仿宋"/>
          <w:color w:val="auto"/>
          <w:sz w:val="21"/>
          <w:szCs w:val="21"/>
          <w:highlight w:val="none"/>
        </w:rPr>
        <w:t>.4材料与工程设备的保管与使用</w:t>
      </w:r>
    </w:p>
    <w:p>
      <w:pPr>
        <w:spacing w:line="400" w:lineRule="exact"/>
        <w:ind w:firstLine="420" w:firstLineChars="200"/>
        <w:jc w:val="left"/>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8</w:t>
      </w:r>
      <w:bookmarkStart w:id="480" w:name="_Toc300934980"/>
      <w:bookmarkStart w:id="481" w:name="_Toc297123528"/>
      <w:bookmarkStart w:id="482" w:name="_Toc296944507"/>
      <w:bookmarkStart w:id="483" w:name="_Toc318581173"/>
      <w:bookmarkStart w:id="484" w:name="_Toc296890996"/>
      <w:bookmarkStart w:id="485" w:name="_Toc303539137"/>
      <w:bookmarkStart w:id="486" w:name="_Toc312677494"/>
      <w:bookmarkStart w:id="487" w:name="_Toc296347167"/>
      <w:bookmarkStart w:id="488" w:name="_Toc296503168"/>
      <w:bookmarkStart w:id="489" w:name="_Toc304295557"/>
      <w:bookmarkStart w:id="490" w:name="_Toc297216187"/>
      <w:bookmarkStart w:id="491" w:name="_Toc296346669"/>
      <w:bookmarkStart w:id="492" w:name="_Toc297120468"/>
      <w:bookmarkStart w:id="493" w:name="_Toc312678020"/>
      <w:bookmarkStart w:id="494" w:name="_Toc297048354"/>
      <w:bookmarkStart w:id="495" w:name="_Toc296891208"/>
      <w:r>
        <w:rPr>
          <w:rFonts w:hint="eastAsia" w:ascii="仿宋" w:hAnsi="仿宋" w:eastAsia="仿宋" w:cs="仿宋"/>
          <w:color w:val="auto"/>
          <w:sz w:val="21"/>
          <w:szCs w:val="21"/>
          <w:highlight w:val="none"/>
        </w:rPr>
        <w:t>.4.1发包人供应的材料设备的保管费用的承担：</w:t>
      </w:r>
      <w:r>
        <w:rPr>
          <w:rFonts w:hint="eastAsia" w:ascii="仿宋" w:hAnsi="仿宋" w:eastAsia="仿宋" w:cs="仿宋"/>
          <w:color w:val="auto"/>
          <w:sz w:val="21"/>
          <w:szCs w:val="21"/>
          <w:highlight w:val="none"/>
          <w:u w:val="single"/>
        </w:rPr>
        <w:t>凡属发包人招标供应的材料需由承包人现场保管时，承包人不得收取保管费及二次搬运费。</w:t>
      </w:r>
    </w:p>
    <w:p>
      <w:pPr>
        <w:spacing w:after="120"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8.6 样品</w:t>
      </w:r>
    </w:p>
    <w:p>
      <w:pPr>
        <w:autoSpaceDE w:val="0"/>
        <w:autoSpaceDN w:val="0"/>
        <w:spacing w:line="400" w:lineRule="exact"/>
        <w:ind w:left="0" w:leftChars="0" w:firstLine="420" w:firstLineChars="200"/>
        <w:rPr>
          <w:rFonts w:hint="eastAsia" w:ascii="仿宋" w:hAnsi="仿宋" w:eastAsia="仿宋" w:cs="仿宋"/>
          <w:color w:val="auto"/>
          <w:sz w:val="21"/>
          <w:szCs w:val="21"/>
          <w:highlight w:val="none"/>
          <w:u w:val="single"/>
          <w:lang w:val="zh-CN"/>
        </w:rPr>
      </w:pPr>
      <w:r>
        <w:rPr>
          <w:rFonts w:hint="eastAsia" w:ascii="仿宋" w:hAnsi="仿宋" w:eastAsia="仿宋" w:cs="仿宋"/>
          <w:color w:val="auto"/>
          <w:kern w:val="0"/>
          <w:sz w:val="21"/>
          <w:szCs w:val="21"/>
          <w:highlight w:val="none"/>
        </w:rPr>
        <w:t>8.6.1</w:t>
      </w:r>
      <w:r>
        <w:rPr>
          <w:rFonts w:hint="eastAsia" w:ascii="仿宋" w:hAnsi="仿宋" w:eastAsia="仿宋" w:cs="仿宋"/>
          <w:color w:val="auto"/>
          <w:kern w:val="0"/>
          <w:sz w:val="21"/>
          <w:szCs w:val="21"/>
          <w:highlight w:val="none"/>
        </w:rPr>
        <w:tab/>
      </w:r>
      <w:r>
        <w:rPr>
          <w:rFonts w:hint="eastAsia" w:ascii="仿宋" w:hAnsi="仿宋" w:eastAsia="仿宋" w:cs="仿宋"/>
          <w:color w:val="auto"/>
          <w:sz w:val="21"/>
          <w:szCs w:val="21"/>
          <w:highlight w:val="none"/>
          <w:u w:val="single"/>
          <w:lang w:val="zh-CN"/>
        </w:rPr>
        <w:t>承包人</w:t>
      </w:r>
      <w:r>
        <w:rPr>
          <w:rFonts w:hint="eastAsia" w:ascii="仿宋" w:hAnsi="仿宋" w:eastAsia="仿宋" w:cs="仿宋"/>
          <w:color w:val="auto"/>
          <w:sz w:val="21"/>
          <w:szCs w:val="21"/>
          <w:highlight w:val="none"/>
          <w:u w:val="single"/>
        </w:rPr>
        <w:t>招标</w:t>
      </w:r>
      <w:r>
        <w:rPr>
          <w:rFonts w:hint="eastAsia" w:ascii="仿宋" w:hAnsi="仿宋" w:eastAsia="仿宋" w:cs="仿宋"/>
          <w:color w:val="auto"/>
          <w:sz w:val="21"/>
          <w:szCs w:val="21"/>
          <w:highlight w:val="none"/>
          <w:u w:val="single"/>
          <w:lang w:val="zh-CN"/>
        </w:rPr>
        <w:t>的材料设备必须是正规名牌厂商生产的合格产品并有</w:t>
      </w:r>
      <w:r>
        <w:rPr>
          <w:rFonts w:hint="eastAsia" w:ascii="仿宋" w:hAnsi="仿宋" w:eastAsia="仿宋" w:cs="仿宋"/>
          <w:color w:val="auto"/>
          <w:sz w:val="21"/>
          <w:szCs w:val="21"/>
          <w:highlight w:val="none"/>
          <w:u w:val="single"/>
        </w:rPr>
        <w:t>质量合格证明和</w:t>
      </w:r>
      <w:r>
        <w:rPr>
          <w:rFonts w:hint="eastAsia" w:ascii="仿宋" w:hAnsi="仿宋" w:eastAsia="仿宋" w:cs="仿宋"/>
          <w:color w:val="auto"/>
          <w:sz w:val="21"/>
          <w:szCs w:val="21"/>
          <w:highlight w:val="none"/>
          <w:u w:val="single"/>
          <w:lang w:val="zh-CN"/>
        </w:rPr>
        <w:t>质量保证证明。</w:t>
      </w:r>
    </w:p>
    <w:p>
      <w:pPr>
        <w:autoSpaceDE w:val="0"/>
        <w:autoSpaceDN w:val="0"/>
        <w:spacing w:line="400" w:lineRule="exact"/>
        <w:ind w:firstLine="569" w:firstLineChars="271"/>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承包人所</w:t>
      </w:r>
      <w:r>
        <w:rPr>
          <w:rFonts w:hint="eastAsia" w:ascii="仿宋" w:hAnsi="仿宋" w:eastAsia="仿宋" w:cs="仿宋"/>
          <w:color w:val="auto"/>
          <w:sz w:val="21"/>
          <w:szCs w:val="21"/>
          <w:highlight w:val="none"/>
        </w:rPr>
        <w:t>招标</w:t>
      </w:r>
      <w:r>
        <w:rPr>
          <w:rFonts w:hint="eastAsia" w:ascii="仿宋" w:hAnsi="仿宋" w:eastAsia="仿宋" w:cs="仿宋"/>
          <w:color w:val="auto"/>
          <w:sz w:val="21"/>
          <w:szCs w:val="21"/>
          <w:highlight w:val="none"/>
          <w:lang w:val="zh-CN"/>
        </w:rPr>
        <w:t>的材料必须达到国家标准或行业标准、施工验收规范及设计技术要求；承包人应对其质量负完全责任。如有不合格，承包人必须负责更换并承担费用，</w:t>
      </w:r>
      <w:r>
        <w:rPr>
          <w:rFonts w:hint="eastAsia" w:ascii="仿宋" w:hAnsi="仿宋" w:eastAsia="仿宋" w:cs="仿宋"/>
          <w:color w:val="auto"/>
          <w:sz w:val="21"/>
          <w:szCs w:val="21"/>
          <w:highlight w:val="none"/>
        </w:rPr>
        <w:t>造成工期延误的承包人需承担违约责任，并赔偿损失</w:t>
      </w:r>
      <w:r>
        <w:rPr>
          <w:rFonts w:hint="eastAsia" w:ascii="仿宋" w:hAnsi="仿宋" w:eastAsia="仿宋" w:cs="仿宋"/>
          <w:color w:val="auto"/>
          <w:sz w:val="21"/>
          <w:szCs w:val="21"/>
          <w:highlight w:val="none"/>
          <w:lang w:val="zh-CN"/>
        </w:rPr>
        <w:t>。</w:t>
      </w:r>
    </w:p>
    <w:p>
      <w:pPr>
        <w:autoSpaceDE w:val="0"/>
        <w:autoSpaceDN w:val="0"/>
        <w:spacing w:line="400" w:lineRule="exact"/>
        <w:ind w:firstLine="464" w:firstLineChars="221"/>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承包人</w:t>
      </w:r>
      <w:r>
        <w:rPr>
          <w:rFonts w:hint="eastAsia" w:ascii="仿宋" w:hAnsi="仿宋" w:eastAsia="仿宋" w:cs="仿宋"/>
          <w:color w:val="auto"/>
          <w:sz w:val="21"/>
          <w:szCs w:val="21"/>
          <w:highlight w:val="none"/>
        </w:rPr>
        <w:t>招标</w:t>
      </w:r>
      <w:r>
        <w:rPr>
          <w:rFonts w:hint="eastAsia" w:ascii="仿宋" w:hAnsi="仿宋" w:eastAsia="仿宋" w:cs="仿宋"/>
          <w:color w:val="auto"/>
          <w:sz w:val="21"/>
          <w:szCs w:val="21"/>
          <w:highlight w:val="none"/>
          <w:lang w:val="zh-CN"/>
        </w:rPr>
        <w:t>的材料设备必须有完备的产品合格证、材质证明书并向监理提供复印件，如不符合规定，发包人及监理有权拒绝在工程中使用，</w:t>
      </w:r>
      <w:r>
        <w:rPr>
          <w:rFonts w:hint="eastAsia" w:ascii="仿宋" w:hAnsi="仿宋" w:eastAsia="仿宋" w:cs="仿宋"/>
          <w:color w:val="auto"/>
          <w:sz w:val="21"/>
          <w:szCs w:val="21"/>
          <w:highlight w:val="none"/>
        </w:rPr>
        <w:t>造成工期延误的承包人需承担违约责任，并赔偿损失</w:t>
      </w:r>
      <w:r>
        <w:rPr>
          <w:rFonts w:hint="eastAsia" w:ascii="仿宋" w:hAnsi="仿宋" w:eastAsia="仿宋" w:cs="仿宋"/>
          <w:color w:val="auto"/>
          <w:sz w:val="21"/>
          <w:szCs w:val="21"/>
          <w:highlight w:val="none"/>
          <w:lang w:val="zh-CN"/>
        </w:rPr>
        <w:t>。</w:t>
      </w:r>
    </w:p>
    <w:p>
      <w:pPr>
        <w:autoSpaceDE w:val="0"/>
        <w:autoSpaceDN w:val="0"/>
        <w:adjustRightInd w:val="0"/>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承包人</w:t>
      </w:r>
      <w:r>
        <w:rPr>
          <w:rFonts w:hint="eastAsia" w:ascii="仿宋" w:hAnsi="仿宋" w:eastAsia="仿宋" w:cs="仿宋"/>
          <w:color w:val="auto"/>
          <w:sz w:val="21"/>
          <w:szCs w:val="21"/>
          <w:highlight w:val="none"/>
        </w:rPr>
        <w:t>招标</w:t>
      </w:r>
      <w:r>
        <w:rPr>
          <w:rFonts w:hint="eastAsia" w:ascii="仿宋" w:hAnsi="仿宋" w:eastAsia="仿宋" w:cs="仿宋"/>
          <w:color w:val="auto"/>
          <w:sz w:val="21"/>
          <w:szCs w:val="21"/>
          <w:highlight w:val="none"/>
          <w:lang w:val="zh-CN"/>
        </w:rPr>
        <w:t>材料设备，必须符合</w:t>
      </w:r>
      <w:r>
        <w:rPr>
          <w:rFonts w:hint="eastAsia" w:ascii="仿宋" w:hAnsi="仿宋" w:eastAsia="仿宋" w:cs="仿宋"/>
          <w:color w:val="auto"/>
          <w:sz w:val="21"/>
          <w:szCs w:val="21"/>
          <w:highlight w:val="none"/>
        </w:rPr>
        <w:t>招标</w:t>
      </w:r>
      <w:r>
        <w:rPr>
          <w:rFonts w:hint="eastAsia" w:ascii="仿宋" w:hAnsi="仿宋" w:eastAsia="仿宋" w:cs="仿宋"/>
          <w:color w:val="auto"/>
          <w:sz w:val="21"/>
          <w:szCs w:val="21"/>
          <w:highlight w:val="none"/>
          <w:lang w:val="zh-CN"/>
        </w:rPr>
        <w:t>文件约定或发包人及监理批准的样板或设计图纸规定品牌、规格、型号、质量、等级要求，若发包人或监理发现承包人</w:t>
      </w:r>
      <w:r>
        <w:rPr>
          <w:rFonts w:hint="eastAsia" w:ascii="仿宋" w:hAnsi="仿宋" w:eastAsia="仿宋" w:cs="仿宋"/>
          <w:color w:val="auto"/>
          <w:sz w:val="21"/>
          <w:szCs w:val="21"/>
          <w:highlight w:val="none"/>
        </w:rPr>
        <w:t>招标</w:t>
      </w:r>
      <w:r>
        <w:rPr>
          <w:rFonts w:hint="eastAsia" w:ascii="仿宋" w:hAnsi="仿宋" w:eastAsia="仿宋" w:cs="仿宋"/>
          <w:color w:val="auto"/>
          <w:sz w:val="21"/>
          <w:szCs w:val="21"/>
          <w:highlight w:val="none"/>
          <w:lang w:val="zh-CN"/>
        </w:rPr>
        <w:t>材料设备，未达到上述标准，承包人除必须重新</w:t>
      </w:r>
      <w:r>
        <w:rPr>
          <w:rFonts w:hint="eastAsia" w:ascii="仿宋" w:hAnsi="仿宋" w:eastAsia="仿宋" w:cs="仿宋"/>
          <w:color w:val="auto"/>
          <w:sz w:val="21"/>
          <w:szCs w:val="21"/>
          <w:highlight w:val="none"/>
        </w:rPr>
        <w:t>招标</w:t>
      </w:r>
      <w:r>
        <w:rPr>
          <w:rFonts w:hint="eastAsia" w:ascii="仿宋" w:hAnsi="仿宋" w:eastAsia="仿宋" w:cs="仿宋"/>
          <w:color w:val="auto"/>
          <w:sz w:val="21"/>
          <w:szCs w:val="21"/>
          <w:highlight w:val="none"/>
          <w:lang w:val="zh-CN"/>
        </w:rPr>
        <w:t>并将已经使用的不合格材料拆除重做且将不合格材料按发包人要求清除出场外，</w:t>
      </w:r>
      <w:r>
        <w:rPr>
          <w:rFonts w:hint="eastAsia" w:ascii="仿宋" w:hAnsi="仿宋" w:eastAsia="仿宋" w:cs="仿宋"/>
          <w:color w:val="auto"/>
          <w:sz w:val="21"/>
          <w:szCs w:val="21"/>
          <w:highlight w:val="none"/>
        </w:rPr>
        <w:t>造成工期延误的承包人需承担违约责任，并赔偿损失</w:t>
      </w:r>
      <w:r>
        <w:rPr>
          <w:rFonts w:hint="eastAsia" w:ascii="仿宋" w:hAnsi="仿宋" w:eastAsia="仿宋" w:cs="仿宋"/>
          <w:color w:val="auto"/>
          <w:sz w:val="21"/>
          <w:szCs w:val="21"/>
          <w:highlight w:val="none"/>
          <w:lang w:val="zh-CN"/>
        </w:rPr>
        <w:t>。</w:t>
      </w:r>
    </w:p>
    <w:p>
      <w:pPr>
        <w:spacing w:after="120"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8.8 施工设备和临时设施</w:t>
      </w:r>
    </w:p>
    <w:p>
      <w:pPr>
        <w:autoSpaceDE w:val="0"/>
        <w:autoSpaceDN w:val="0"/>
        <w:adjustRightInd w:val="0"/>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8.8.1 承包人提供的施工设备和临时设施</w:t>
      </w:r>
    </w:p>
    <w:p>
      <w:pPr>
        <w:autoSpaceDE w:val="0"/>
        <w:autoSpaceDN w:val="0"/>
        <w:adjustRightInd w:val="0"/>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关于修建临时设施费用承担的约定：</w:t>
      </w:r>
      <w:r>
        <w:rPr>
          <w:rFonts w:hint="eastAsia" w:ascii="仿宋" w:hAnsi="仿宋" w:eastAsia="仿宋" w:cs="仿宋"/>
          <w:color w:val="auto"/>
          <w:sz w:val="21"/>
          <w:szCs w:val="21"/>
          <w:highlight w:val="none"/>
          <w:u w:val="single"/>
        </w:rPr>
        <w:t>按工作要求配齐相应用具，费用由承包人承担</w:t>
      </w:r>
      <w:r>
        <w:rPr>
          <w:rFonts w:hint="eastAsia" w:ascii="仿宋" w:hAnsi="仿宋" w:eastAsia="仿宋" w:cs="仿宋"/>
          <w:color w:val="auto"/>
          <w:sz w:val="21"/>
          <w:szCs w:val="21"/>
          <w:highlight w:val="none"/>
        </w:rPr>
        <w:t>。</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pPr>
        <w:spacing w:before="120" w:after="120" w:line="400" w:lineRule="exact"/>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9</w:t>
      </w:r>
      <w:bookmarkEnd w:id="477"/>
      <w:bookmarkEnd w:id="478"/>
      <w:bookmarkEnd w:id="479"/>
      <w:r>
        <w:rPr>
          <w:rFonts w:hint="eastAsia" w:ascii="仿宋" w:hAnsi="仿宋" w:eastAsia="仿宋" w:cs="仿宋"/>
          <w:b w:val="0"/>
          <w:bCs w:val="0"/>
          <w:color w:val="auto"/>
          <w:sz w:val="21"/>
          <w:szCs w:val="21"/>
          <w:highlight w:val="none"/>
        </w:rPr>
        <w:t>. 试验与检验</w:t>
      </w:r>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9.1试验设备与试验人员</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w:t>
      </w:r>
      <w:bookmarkStart w:id="496" w:name="_Toc318581174"/>
      <w:r>
        <w:rPr>
          <w:rFonts w:hint="eastAsia" w:ascii="仿宋" w:hAnsi="仿宋" w:eastAsia="仿宋" w:cs="仿宋"/>
          <w:color w:val="auto"/>
          <w:sz w:val="21"/>
          <w:szCs w:val="21"/>
          <w:highlight w:val="none"/>
        </w:rPr>
        <w:t>.1.2 试验设备</w:t>
      </w:r>
    </w:p>
    <w:p>
      <w:pPr>
        <w:spacing w:line="400" w:lineRule="exact"/>
        <w:ind w:firstLine="420" w:firstLineChars="200"/>
        <w:jc w:val="left"/>
        <w:rPr>
          <w:rFonts w:hint="eastAsia" w:ascii="仿宋" w:hAnsi="仿宋" w:eastAsia="仿宋" w:cs="仿宋"/>
          <w:color w:val="auto"/>
          <w:sz w:val="21"/>
          <w:szCs w:val="21"/>
          <w:highlight w:val="none"/>
        </w:rPr>
      </w:pPr>
      <w:bookmarkStart w:id="497" w:name="_Toc300934985"/>
      <w:bookmarkStart w:id="498" w:name="_Toc297216195"/>
      <w:bookmarkStart w:id="499" w:name="_Toc303539142"/>
      <w:bookmarkStart w:id="500" w:name="_Toc304295562"/>
      <w:bookmarkStart w:id="501" w:name="_Toc297123536"/>
      <w:bookmarkStart w:id="502" w:name="_Toc312678024"/>
      <w:bookmarkStart w:id="503" w:name="_Toc312677498"/>
      <w:r>
        <w:rPr>
          <w:rFonts w:hint="eastAsia" w:ascii="仿宋" w:hAnsi="仿宋" w:eastAsia="仿宋" w:cs="仿宋"/>
          <w:color w:val="auto"/>
          <w:sz w:val="21"/>
          <w:szCs w:val="21"/>
          <w:highlight w:val="none"/>
        </w:rPr>
        <w:t>施工现场需要配置的试验场所：</w:t>
      </w:r>
      <w:r>
        <w:rPr>
          <w:rFonts w:hint="eastAsia" w:ascii="仿宋" w:hAnsi="仿宋" w:eastAsia="仿宋" w:cs="仿宋"/>
          <w:color w:val="auto"/>
          <w:sz w:val="21"/>
          <w:szCs w:val="21"/>
          <w:highlight w:val="none"/>
          <w:u w:val="single"/>
        </w:rPr>
        <w:t>根据工程需要承包人自行配置 。</w:t>
      </w:r>
      <w:r>
        <w:rPr>
          <w:rFonts w:hint="eastAsia" w:ascii="仿宋" w:hAnsi="仿宋" w:eastAsia="仿宋" w:cs="仿宋"/>
          <w:color w:val="auto"/>
          <w:sz w:val="21"/>
          <w:szCs w:val="21"/>
          <w:highlight w:val="none"/>
        </w:rPr>
        <w:t xml:space="preserve"> </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施工现场需要配备的试验设备：</w:t>
      </w:r>
      <w:r>
        <w:rPr>
          <w:rFonts w:hint="eastAsia" w:ascii="仿宋" w:hAnsi="仿宋" w:eastAsia="仿宋" w:cs="仿宋"/>
          <w:color w:val="auto"/>
          <w:sz w:val="21"/>
          <w:szCs w:val="21"/>
          <w:highlight w:val="none"/>
          <w:u w:val="single"/>
        </w:rPr>
        <w:t>根据工程需要承包人自行配置 。</w:t>
      </w:r>
    </w:p>
    <w:p>
      <w:pPr>
        <w:spacing w:line="400" w:lineRule="exact"/>
        <w:ind w:firstLine="420" w:firstLineChars="200"/>
        <w:jc w:val="left"/>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施工现场需要具备的其他试验条件：</w:t>
      </w:r>
      <w:r>
        <w:rPr>
          <w:rFonts w:hint="eastAsia" w:ascii="仿宋" w:hAnsi="仿宋" w:eastAsia="仿宋" w:cs="仿宋"/>
          <w:color w:val="auto"/>
          <w:sz w:val="21"/>
          <w:szCs w:val="21"/>
          <w:highlight w:val="none"/>
          <w:u w:val="single"/>
        </w:rPr>
        <w:t>承包人自理。</w:t>
      </w:r>
    </w:p>
    <w:p>
      <w:pPr>
        <w:spacing w:line="400" w:lineRule="exact"/>
        <w:ind w:firstLine="420" w:firstLineChars="200"/>
        <w:jc w:val="left"/>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single"/>
        </w:rPr>
        <w:t>上述产生的费用均由承包人承担。</w:t>
      </w:r>
    </w:p>
    <w:p>
      <w:pPr>
        <w:spacing w:after="120"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9.4 现场工艺试验 </w:t>
      </w:r>
    </w:p>
    <w:p>
      <w:pPr>
        <w:spacing w:line="400" w:lineRule="exact"/>
        <w:ind w:firstLine="210" w:firstLineChars="1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现场工艺试验的有关约定：</w:t>
      </w:r>
      <w:r>
        <w:rPr>
          <w:rFonts w:hint="eastAsia" w:ascii="仿宋" w:hAnsi="仿宋" w:eastAsia="仿宋" w:cs="仿宋"/>
          <w:color w:val="auto"/>
          <w:sz w:val="21"/>
          <w:szCs w:val="21"/>
          <w:highlight w:val="none"/>
          <w:u w:val="single"/>
        </w:rPr>
        <w:t xml:space="preserve">  满足相关规定要求，严格按照</w:t>
      </w:r>
      <w:r>
        <w:rPr>
          <w:rFonts w:hint="eastAsia" w:ascii="仿宋" w:hAnsi="仿宋" w:eastAsia="仿宋" w:cs="仿宋"/>
          <w:color w:val="auto"/>
          <w:sz w:val="21"/>
          <w:szCs w:val="21"/>
          <w:highlight w:val="none"/>
          <w:u w:val="single"/>
          <w:lang w:val="en-US" w:eastAsia="zh-CN"/>
        </w:rPr>
        <w:t>国家、行业标准、</w:t>
      </w:r>
      <w:r>
        <w:rPr>
          <w:rFonts w:hint="eastAsia" w:ascii="仿宋" w:hAnsi="仿宋" w:eastAsia="仿宋" w:cs="仿宋"/>
          <w:color w:val="auto"/>
          <w:sz w:val="21"/>
          <w:szCs w:val="21"/>
          <w:highlight w:val="none"/>
          <w:u w:val="single"/>
        </w:rPr>
        <w:t>要求进行施工</w:t>
      </w:r>
      <w:r>
        <w:rPr>
          <w:rFonts w:hint="eastAsia" w:ascii="仿宋" w:hAnsi="仿宋" w:eastAsia="仿宋" w:cs="仿宋"/>
          <w:color w:val="auto"/>
          <w:sz w:val="21"/>
          <w:szCs w:val="21"/>
          <w:highlight w:val="none"/>
          <w:u w:val="single"/>
          <w:lang w:eastAsia="zh-CN"/>
        </w:rPr>
        <w:t>、</w:t>
      </w:r>
      <w:r>
        <w:rPr>
          <w:rFonts w:hint="eastAsia" w:ascii="仿宋" w:hAnsi="仿宋" w:eastAsia="仿宋" w:cs="仿宋"/>
          <w:color w:val="auto"/>
          <w:sz w:val="21"/>
          <w:szCs w:val="21"/>
          <w:highlight w:val="none"/>
          <w:u w:val="single"/>
          <w:lang w:val="en-US" w:eastAsia="zh-CN"/>
        </w:rPr>
        <w:t>安装</w:t>
      </w:r>
      <w:r>
        <w:rPr>
          <w:rFonts w:hint="eastAsia" w:ascii="仿宋" w:hAnsi="仿宋" w:eastAsia="仿宋" w:cs="仿宋"/>
          <w:color w:val="auto"/>
          <w:sz w:val="21"/>
          <w:szCs w:val="21"/>
          <w:highlight w:val="none"/>
          <w:u w:val="single"/>
        </w:rPr>
        <w:t>。</w:t>
      </w:r>
      <w:bookmarkEnd w:id="496"/>
      <w:bookmarkEnd w:id="497"/>
      <w:bookmarkEnd w:id="498"/>
      <w:bookmarkEnd w:id="499"/>
      <w:bookmarkEnd w:id="500"/>
      <w:bookmarkEnd w:id="501"/>
      <w:bookmarkEnd w:id="502"/>
      <w:bookmarkEnd w:id="503"/>
    </w:p>
    <w:p>
      <w:pPr>
        <w:spacing w:before="120" w:after="120" w:line="400" w:lineRule="exact"/>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10. 变更</w:t>
      </w:r>
    </w:p>
    <w:p>
      <w:pPr>
        <w:spacing w:after="120"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bookmarkStart w:id="504" w:name="_Toc304295567"/>
      <w:bookmarkStart w:id="505" w:name="_Toc296944533"/>
      <w:bookmarkStart w:id="506" w:name="_Toc300934990"/>
      <w:bookmarkStart w:id="507" w:name="_Toc296347193"/>
      <w:bookmarkStart w:id="508" w:name="_Toc312678026"/>
      <w:bookmarkStart w:id="509" w:name="_Toc296891022"/>
      <w:bookmarkStart w:id="510" w:name="_Toc303539147"/>
      <w:bookmarkStart w:id="511" w:name="_Toc292559399"/>
      <w:bookmarkStart w:id="512" w:name="_Toc297216200"/>
      <w:bookmarkStart w:id="513" w:name="_Toc297123541"/>
      <w:bookmarkStart w:id="514" w:name="_Toc297120494"/>
      <w:bookmarkStart w:id="515" w:name="_Toc296503194"/>
      <w:bookmarkStart w:id="516" w:name="_Toc312677500"/>
      <w:bookmarkStart w:id="517" w:name="_Toc297048380"/>
      <w:bookmarkStart w:id="518" w:name="_Toc292559904"/>
      <w:bookmarkStart w:id="519" w:name="_Toc296891234"/>
      <w:bookmarkStart w:id="520" w:name="_Toc296346695"/>
      <w:r>
        <w:rPr>
          <w:rFonts w:hint="eastAsia" w:ascii="仿宋" w:hAnsi="仿宋" w:eastAsia="仿宋" w:cs="仿宋"/>
          <w:color w:val="auto"/>
          <w:sz w:val="21"/>
          <w:szCs w:val="21"/>
          <w:highlight w:val="none"/>
        </w:rPr>
        <w:t>0.1变更的范围</w:t>
      </w:r>
    </w:p>
    <w:p>
      <w:pPr>
        <w:autoSpaceDE w:val="0"/>
        <w:autoSpaceDN w:val="0"/>
        <w:adjustRightInd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关于变更的范围的约定： 1、</w:t>
      </w:r>
      <w:r>
        <w:rPr>
          <w:rFonts w:hint="eastAsia" w:ascii="仿宋" w:hAnsi="仿宋" w:eastAsia="仿宋" w:cs="仿宋"/>
          <w:color w:val="auto"/>
          <w:kern w:val="0"/>
          <w:sz w:val="21"/>
          <w:szCs w:val="21"/>
          <w:highlight w:val="none"/>
          <w:u w:val="single"/>
        </w:rPr>
        <w:t>增加或减少</w:t>
      </w:r>
      <w:r>
        <w:rPr>
          <w:rFonts w:hint="eastAsia" w:ascii="仿宋" w:hAnsi="仿宋" w:eastAsia="仿宋" w:cs="仿宋"/>
          <w:color w:val="auto"/>
          <w:sz w:val="21"/>
          <w:szCs w:val="21"/>
          <w:highlight w:val="none"/>
          <w:u w:val="single"/>
        </w:rPr>
        <w:t>及</w:t>
      </w:r>
      <w:r>
        <w:rPr>
          <w:rFonts w:hint="eastAsia" w:ascii="仿宋" w:hAnsi="仿宋" w:eastAsia="仿宋" w:cs="仿宋"/>
          <w:color w:val="auto"/>
          <w:kern w:val="0"/>
          <w:sz w:val="21"/>
          <w:szCs w:val="21"/>
          <w:highlight w:val="none"/>
          <w:u w:val="single"/>
        </w:rPr>
        <w:t>合同中任何工作</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u w:val="single"/>
        </w:rPr>
        <w:t>合同外</w:t>
      </w:r>
      <w:r>
        <w:rPr>
          <w:rFonts w:hint="eastAsia" w:ascii="仿宋" w:hAnsi="仿宋" w:eastAsia="仿宋" w:cs="仿宋"/>
          <w:color w:val="auto"/>
          <w:kern w:val="0"/>
          <w:sz w:val="21"/>
          <w:szCs w:val="21"/>
          <w:highlight w:val="none"/>
          <w:u w:val="single"/>
        </w:rPr>
        <w:t>追加额外工作；</w:t>
      </w:r>
      <w:r>
        <w:rPr>
          <w:rFonts w:hint="eastAsia" w:ascii="仿宋" w:hAnsi="仿宋" w:eastAsia="仿宋" w:cs="仿宋"/>
          <w:color w:val="auto"/>
          <w:sz w:val="21"/>
          <w:szCs w:val="21"/>
          <w:highlight w:val="none"/>
        </w:rPr>
        <w:t>2、</w:t>
      </w:r>
      <w:r>
        <w:rPr>
          <w:rFonts w:hint="eastAsia" w:ascii="仿宋" w:hAnsi="仿宋" w:eastAsia="仿宋" w:cs="仿宋"/>
          <w:color w:val="auto"/>
          <w:kern w:val="0"/>
          <w:sz w:val="21"/>
          <w:szCs w:val="21"/>
          <w:highlight w:val="none"/>
          <w:u w:val="single"/>
        </w:rPr>
        <w:t>取消合同中任何工作，但转由他人实施的工作除外；</w:t>
      </w:r>
      <w:r>
        <w:rPr>
          <w:rFonts w:hint="eastAsia" w:ascii="仿宋" w:hAnsi="仿宋" w:eastAsia="仿宋" w:cs="仿宋"/>
          <w:color w:val="auto"/>
          <w:sz w:val="21"/>
          <w:szCs w:val="21"/>
          <w:highlight w:val="none"/>
        </w:rPr>
        <w:t>3、</w:t>
      </w:r>
      <w:r>
        <w:rPr>
          <w:rFonts w:hint="eastAsia" w:ascii="仿宋" w:hAnsi="仿宋" w:eastAsia="仿宋" w:cs="仿宋"/>
          <w:color w:val="auto"/>
          <w:kern w:val="0"/>
          <w:sz w:val="21"/>
          <w:szCs w:val="21"/>
          <w:highlight w:val="none"/>
          <w:u w:val="single"/>
        </w:rPr>
        <w:t>工程</w:t>
      </w:r>
      <w:r>
        <w:rPr>
          <w:rFonts w:hint="eastAsia" w:ascii="仿宋" w:hAnsi="仿宋" w:eastAsia="仿宋" w:cs="仿宋"/>
          <w:color w:val="auto"/>
          <w:sz w:val="21"/>
          <w:szCs w:val="21"/>
          <w:highlight w:val="none"/>
          <w:u w:val="single"/>
        </w:rPr>
        <w:t>任何部分</w:t>
      </w:r>
      <w:r>
        <w:rPr>
          <w:rFonts w:hint="eastAsia" w:ascii="仿宋" w:hAnsi="仿宋" w:eastAsia="仿宋" w:cs="仿宋"/>
          <w:color w:val="auto"/>
          <w:kern w:val="0"/>
          <w:sz w:val="21"/>
          <w:szCs w:val="21"/>
          <w:highlight w:val="none"/>
          <w:u w:val="single"/>
        </w:rPr>
        <w:t>的基线、标高、位置和尺寸</w:t>
      </w:r>
      <w:r>
        <w:rPr>
          <w:rFonts w:hint="eastAsia" w:ascii="仿宋" w:hAnsi="仿宋" w:eastAsia="仿宋" w:cs="仿宋"/>
          <w:color w:val="auto"/>
          <w:sz w:val="21"/>
          <w:szCs w:val="21"/>
          <w:highlight w:val="none"/>
          <w:u w:val="single"/>
        </w:rPr>
        <w:t>的改变</w:t>
      </w:r>
      <w:r>
        <w:rPr>
          <w:rFonts w:hint="eastAsia" w:ascii="仿宋" w:hAnsi="仿宋" w:eastAsia="仿宋" w:cs="仿宋"/>
          <w:color w:val="auto"/>
          <w:sz w:val="21"/>
          <w:szCs w:val="21"/>
          <w:highlight w:val="none"/>
        </w:rPr>
        <w:t xml:space="preserve"> ；4、</w:t>
      </w:r>
      <w:r>
        <w:rPr>
          <w:rFonts w:hint="eastAsia" w:ascii="仿宋" w:hAnsi="仿宋" w:eastAsia="仿宋" w:cs="仿宋"/>
          <w:color w:val="auto"/>
          <w:sz w:val="21"/>
          <w:szCs w:val="21"/>
          <w:highlight w:val="none"/>
          <w:u w:val="single"/>
        </w:rPr>
        <w:t>删减任何合同约定的工作内容。5、其他双方约定的事项。</w:t>
      </w:r>
    </w:p>
    <w:p>
      <w:pPr>
        <w:autoSpaceDE w:val="0"/>
        <w:autoSpaceDN w:val="0"/>
        <w:adjustRightInd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10.2变更权</w:t>
      </w:r>
    </w:p>
    <w:p>
      <w:pPr>
        <w:autoSpaceDE w:val="0"/>
        <w:autoSpaceDN w:val="0"/>
        <w:adjustRightInd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10.2.1 发包人和监理人均可以提出变更。但是监理人的变更必须征得发包人的书面签认同意后方可实施。未经许可，承包人不得对工程的任何部分进行变更。</w:t>
      </w:r>
    </w:p>
    <w:p>
      <w:pPr>
        <w:autoSpaceDE w:val="0"/>
        <w:autoSpaceDN w:val="0"/>
        <w:adjustRightInd w:val="0"/>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10.2.2 涉及设计变更的，应由设计人提供变更后的图纸和说明。报发包人备案后方可实施变更。</w:t>
      </w:r>
    </w:p>
    <w:p>
      <w:pPr>
        <w:spacing w:after="120"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10.4 变更估价</w:t>
      </w:r>
    </w:p>
    <w:p>
      <w:pPr>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10.4.1 变更估价原则</w:t>
      </w:r>
    </w:p>
    <w:p>
      <w:pPr>
        <w:autoSpaceDE w:val="0"/>
        <w:autoSpaceDN w:val="0"/>
        <w:adjustRightInd w:val="0"/>
        <w:spacing w:line="400" w:lineRule="exact"/>
        <w:ind w:firstLine="420" w:firstLineChars="200"/>
        <w:jc w:val="left"/>
        <w:outlineLvl w:val="9"/>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single"/>
        </w:rPr>
        <w:t>按</w:t>
      </w:r>
      <w:r>
        <w:rPr>
          <w:rFonts w:hint="eastAsia" w:ascii="仿宋" w:hAnsi="仿宋" w:eastAsia="仿宋" w:cs="仿宋"/>
          <w:color w:val="auto"/>
          <w:sz w:val="21"/>
          <w:szCs w:val="21"/>
          <w:highlight w:val="none"/>
          <w:u w:val="single"/>
          <w:lang w:eastAsia="zh-CN"/>
        </w:rPr>
        <w:t>招标文件</w:t>
      </w:r>
      <w:r>
        <w:rPr>
          <w:rFonts w:hint="eastAsia" w:ascii="仿宋" w:hAnsi="仿宋" w:eastAsia="仿宋" w:cs="仿宋"/>
          <w:color w:val="auto"/>
          <w:sz w:val="21"/>
          <w:szCs w:val="21"/>
          <w:highlight w:val="none"/>
          <w:u w:val="single"/>
          <w:lang w:val="en-US" w:eastAsia="zh-CN"/>
        </w:rPr>
        <w:t>相关规定</w:t>
      </w:r>
      <w:r>
        <w:rPr>
          <w:rFonts w:hint="eastAsia" w:ascii="仿宋" w:hAnsi="仿宋" w:eastAsia="仿宋" w:cs="仿宋"/>
          <w:color w:val="auto"/>
          <w:sz w:val="21"/>
          <w:szCs w:val="21"/>
          <w:highlight w:val="none"/>
          <w:u w:val="single"/>
        </w:rPr>
        <w:t>。承包人逾期未提交变更估价申请的，视为变更不涉及价格调整。未经发包人书面确认的，均为无效变更，其他以此约定类推。</w:t>
      </w:r>
    </w:p>
    <w:p>
      <w:pPr>
        <w:autoSpaceDE w:val="0"/>
        <w:autoSpaceDN w:val="0"/>
        <w:adjustRightInd w:val="0"/>
        <w:spacing w:line="400" w:lineRule="exact"/>
        <w:ind w:firstLine="420" w:firstLineChars="200"/>
        <w:outlineLvl w:val="9"/>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single"/>
        </w:rPr>
        <w:t>若最终发生变更估价</w:t>
      </w:r>
      <w:r>
        <w:rPr>
          <w:rFonts w:hint="eastAsia" w:ascii="仿宋" w:hAnsi="仿宋" w:eastAsia="仿宋" w:cs="仿宋"/>
          <w:color w:val="auto"/>
          <w:sz w:val="21"/>
          <w:szCs w:val="21"/>
          <w:highlight w:val="none"/>
          <w:u w:val="single"/>
          <w:lang w:val="en-US" w:eastAsia="zh-CN"/>
        </w:rPr>
        <w:t>及其他变更</w:t>
      </w:r>
      <w:r>
        <w:rPr>
          <w:rFonts w:hint="eastAsia" w:ascii="仿宋" w:hAnsi="仿宋" w:eastAsia="仿宋" w:cs="仿宋"/>
          <w:color w:val="auto"/>
          <w:sz w:val="21"/>
          <w:szCs w:val="21"/>
          <w:highlight w:val="none"/>
          <w:u w:val="single"/>
        </w:rPr>
        <w:t>事宜的，承包人认可最终结果以财政审核结果为准。</w:t>
      </w:r>
    </w:p>
    <w:p>
      <w:pPr>
        <w:spacing w:after="120"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Start w:id="521" w:name="_Toc297216203"/>
      <w:bookmarkStart w:id="522" w:name="_Toc296346698"/>
      <w:bookmarkStart w:id="523" w:name="_Toc296891025"/>
      <w:bookmarkStart w:id="524" w:name="_Toc297048383"/>
      <w:bookmarkStart w:id="525" w:name="_Toc297123544"/>
      <w:bookmarkStart w:id="526" w:name="_Toc297120497"/>
      <w:bookmarkStart w:id="527" w:name="_Toc292559402"/>
      <w:bookmarkStart w:id="528" w:name="_Toc292559907"/>
      <w:bookmarkStart w:id="529" w:name="_Toc296503197"/>
      <w:bookmarkStart w:id="530" w:name="_Toc300934993"/>
      <w:bookmarkStart w:id="531" w:name="_Toc296944536"/>
      <w:bookmarkStart w:id="532" w:name="_Toc303539150"/>
      <w:bookmarkStart w:id="533" w:name="_Toc296891237"/>
      <w:bookmarkStart w:id="534" w:name="_Toc296347196"/>
      <w:bookmarkStart w:id="535" w:name="_Toc304295570"/>
      <w:bookmarkStart w:id="536" w:name="_Toc312677503"/>
      <w:bookmarkStart w:id="537" w:name="_Toc312678029"/>
      <w:r>
        <w:rPr>
          <w:rFonts w:hint="eastAsia" w:ascii="仿宋" w:hAnsi="仿宋" w:eastAsia="仿宋" w:cs="仿宋"/>
          <w:color w:val="auto"/>
          <w:sz w:val="21"/>
          <w:szCs w:val="21"/>
          <w:highlight w:val="none"/>
        </w:rPr>
        <w:t>0.5承</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Start w:id="538" w:name="_Toc296503203"/>
      <w:bookmarkStart w:id="539" w:name="_Toc296891243"/>
      <w:bookmarkStart w:id="540" w:name="_Toc297123545"/>
      <w:bookmarkStart w:id="541" w:name="_Toc297120503"/>
      <w:bookmarkStart w:id="542" w:name="_Toc292559913"/>
      <w:bookmarkStart w:id="543" w:name="_Toc300934994"/>
      <w:bookmarkStart w:id="544" w:name="_Toc296346704"/>
      <w:bookmarkStart w:id="545" w:name="_Toc297216204"/>
      <w:bookmarkStart w:id="546" w:name="_Toc296944542"/>
      <w:bookmarkStart w:id="547" w:name="_Toc296347202"/>
      <w:bookmarkStart w:id="548" w:name="_Toc292559408"/>
      <w:bookmarkStart w:id="549" w:name="_Toc303539151"/>
      <w:bookmarkStart w:id="550" w:name="_Toc296891031"/>
      <w:bookmarkStart w:id="551" w:name="_Toc297048389"/>
      <w:r>
        <w:rPr>
          <w:rFonts w:hint="eastAsia" w:ascii="仿宋" w:hAnsi="仿宋" w:eastAsia="仿宋" w:cs="仿宋"/>
          <w:color w:val="auto"/>
          <w:sz w:val="21"/>
          <w:szCs w:val="21"/>
          <w:highlight w:val="none"/>
        </w:rPr>
        <w:t>包人的合理化建议</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pPr>
        <w:spacing w:line="400" w:lineRule="exact"/>
        <w:ind w:firstLine="420" w:firstLineChars="200"/>
        <w:jc w:val="left"/>
        <w:outlineLvl w:val="9"/>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监理人审查承包人合理化建议的期限：</w:t>
      </w:r>
      <w:r>
        <w:rPr>
          <w:rFonts w:hint="eastAsia" w:ascii="仿宋" w:hAnsi="仿宋" w:eastAsia="仿宋" w:cs="仿宋"/>
          <w:color w:val="auto"/>
          <w:sz w:val="21"/>
          <w:szCs w:val="21"/>
          <w:highlight w:val="none"/>
          <w:u w:val="single"/>
        </w:rPr>
        <w:t>执行通用条款</w:t>
      </w:r>
      <w:r>
        <w:rPr>
          <w:rFonts w:hint="eastAsia" w:ascii="仿宋" w:hAnsi="仿宋" w:eastAsia="仿宋" w:cs="仿宋"/>
          <w:color w:val="auto"/>
          <w:sz w:val="21"/>
          <w:szCs w:val="21"/>
          <w:highlight w:val="none"/>
          <w:u w:val="single"/>
          <w:lang w:eastAsia="zh-CN"/>
        </w:rPr>
        <w:t>。</w:t>
      </w:r>
    </w:p>
    <w:p>
      <w:pPr>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发包人审批承包人合理化建议的期限:</w:t>
      </w:r>
      <w:r>
        <w:rPr>
          <w:rFonts w:hint="eastAsia" w:ascii="仿宋" w:hAnsi="仿宋" w:eastAsia="仿宋" w:cs="仿宋"/>
          <w:color w:val="auto"/>
          <w:sz w:val="21"/>
          <w:szCs w:val="21"/>
          <w:highlight w:val="none"/>
          <w:u w:val="single"/>
        </w:rPr>
        <w:t xml:space="preserve"> 执行通用条款，因此引起的价格调整参照专用条款中变更估价的约定执行 </w:t>
      </w:r>
      <w:r>
        <w:rPr>
          <w:rFonts w:hint="eastAsia" w:ascii="仿宋" w:hAnsi="仿宋" w:eastAsia="仿宋" w:cs="仿宋"/>
          <w:color w:val="auto"/>
          <w:sz w:val="21"/>
          <w:szCs w:val="21"/>
          <w:highlight w:val="none"/>
        </w:rPr>
        <w:t>。</w:t>
      </w:r>
    </w:p>
    <w:p>
      <w:pPr>
        <w:spacing w:after="120" w:line="400" w:lineRule="exact"/>
        <w:ind w:firstLine="420" w:firstLineChars="200"/>
        <w:outlineLvl w:val="9"/>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承包人提出的合理化建议降低了合同价格或者提高了工程经济效益的奖励的方法和金额为：</w:t>
      </w:r>
      <w:r>
        <w:rPr>
          <w:rFonts w:hint="eastAsia" w:ascii="仿宋" w:hAnsi="仿宋" w:eastAsia="仿宋" w:cs="仿宋"/>
          <w:color w:val="auto"/>
          <w:sz w:val="21"/>
          <w:szCs w:val="21"/>
          <w:highlight w:val="none"/>
          <w:u w:val="single"/>
        </w:rPr>
        <w:t>不奖励 。</w:t>
      </w:r>
    </w:p>
    <w:p>
      <w:pPr>
        <w:spacing w:before="120" w:after="120" w:line="400" w:lineRule="exact"/>
        <w:ind w:firstLine="315" w:firstLineChars="150"/>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未经发包人书面认可或回复的承包人发送的招标材料数量和单价的资料视为发包人不认可，该资料不作为调整合同价格的依据</w:t>
      </w:r>
    </w:p>
    <w:p>
      <w:pPr>
        <w:spacing w:line="400" w:lineRule="exact"/>
        <w:ind w:firstLine="645"/>
        <w:jc w:val="left"/>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除上述约定程序外，</w:t>
      </w:r>
      <w:r>
        <w:rPr>
          <w:rFonts w:hint="eastAsia" w:ascii="仿宋" w:hAnsi="仿宋" w:eastAsia="仿宋" w:cs="仿宋"/>
          <w:color w:val="auto"/>
          <w:sz w:val="21"/>
          <w:szCs w:val="21"/>
          <w:highlight w:val="none"/>
          <w:lang w:val="en-US" w:eastAsia="zh-CN"/>
        </w:rPr>
        <w:t>涉及变更签证事宜的</w:t>
      </w:r>
      <w:r>
        <w:rPr>
          <w:rFonts w:hint="eastAsia" w:ascii="仿宋" w:hAnsi="仿宋" w:eastAsia="仿宋" w:cs="仿宋"/>
          <w:color w:val="auto"/>
          <w:sz w:val="21"/>
          <w:szCs w:val="21"/>
          <w:highlight w:val="none"/>
        </w:rPr>
        <w:t>还需发包人代表签字并加盖发包人公章后</w:t>
      </w:r>
      <w:r>
        <w:rPr>
          <w:rFonts w:hint="eastAsia" w:ascii="仿宋" w:hAnsi="仿宋" w:eastAsia="仿宋" w:cs="仿宋"/>
          <w:color w:val="auto"/>
          <w:sz w:val="21"/>
          <w:szCs w:val="21"/>
          <w:highlight w:val="none"/>
          <w:lang w:val="en-US" w:eastAsia="zh-CN"/>
        </w:rPr>
        <w:t>方能</w:t>
      </w:r>
      <w:r>
        <w:rPr>
          <w:rFonts w:hint="eastAsia" w:ascii="仿宋" w:hAnsi="仿宋" w:eastAsia="仿宋" w:cs="仿宋"/>
          <w:color w:val="auto"/>
          <w:sz w:val="21"/>
          <w:szCs w:val="21"/>
          <w:highlight w:val="none"/>
        </w:rPr>
        <w:t>生效</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未经发包人代表签字且发包人加盖公章的变更签证及其他变更事宜均属无效。</w:t>
      </w:r>
    </w:p>
    <w:p>
      <w:pPr>
        <w:spacing w:before="120" w:after="120" w:line="360" w:lineRule="auto"/>
        <w:ind w:firstLine="420" w:firstLineChars="200"/>
        <w:outlineLvl w:val="9"/>
        <w:rPr>
          <w:rFonts w:hint="eastAsia" w:ascii="仿宋" w:hAnsi="仿宋" w:eastAsia="仿宋" w:cs="仿宋"/>
          <w:b w:val="0"/>
          <w:color w:val="auto"/>
          <w:sz w:val="21"/>
          <w:szCs w:val="21"/>
        </w:rPr>
      </w:pPr>
      <w:bookmarkStart w:id="552" w:name="_Toc351203643"/>
      <w:r>
        <w:rPr>
          <w:rFonts w:hint="eastAsia" w:ascii="仿宋" w:hAnsi="仿宋" w:eastAsia="仿宋" w:cs="仿宋"/>
          <w:b w:val="0"/>
          <w:color w:val="auto"/>
          <w:sz w:val="21"/>
          <w:szCs w:val="21"/>
        </w:rPr>
        <w:t>11. 价格调整</w:t>
      </w:r>
      <w:bookmarkEnd w:id="552"/>
    </w:p>
    <w:p>
      <w:pPr>
        <w:spacing w:after="120" w:line="360" w:lineRule="auto"/>
        <w:ind w:firstLine="420" w:firstLineChars="200"/>
        <w:outlineLvl w:val="9"/>
        <w:rPr>
          <w:rFonts w:hint="eastAsia" w:ascii="仿宋" w:hAnsi="仿宋" w:eastAsia="仿宋" w:cs="仿宋"/>
          <w:color w:val="auto"/>
          <w:sz w:val="21"/>
          <w:szCs w:val="21"/>
        </w:rPr>
      </w:pPr>
      <w:bookmarkStart w:id="553" w:name="_Toc300935000"/>
      <w:bookmarkStart w:id="554" w:name="_Toc296346702"/>
      <w:bookmarkStart w:id="555" w:name="_Toc312678039"/>
      <w:bookmarkStart w:id="556" w:name="_Toc297216209"/>
      <w:bookmarkStart w:id="557" w:name="_Toc303539157"/>
      <w:bookmarkStart w:id="558" w:name="_Toc297048387"/>
      <w:bookmarkStart w:id="559" w:name="_Toc296891241"/>
      <w:bookmarkStart w:id="560" w:name="_Toc296503201"/>
      <w:bookmarkStart w:id="561" w:name="_Toc297123550"/>
      <w:bookmarkStart w:id="562" w:name="_Toc296891029"/>
      <w:bookmarkStart w:id="563" w:name="_Toc292559406"/>
      <w:bookmarkStart w:id="564" w:name="_Toc296944540"/>
      <w:bookmarkStart w:id="565" w:name="_Toc304295577"/>
      <w:bookmarkStart w:id="566" w:name="_Toc296347200"/>
      <w:bookmarkStart w:id="567" w:name="_Toc292559911"/>
      <w:bookmarkStart w:id="568" w:name="_Toc297120501"/>
      <w:r>
        <w:rPr>
          <w:rFonts w:hint="eastAsia" w:ascii="仿宋" w:hAnsi="仿宋" w:eastAsia="仿宋" w:cs="仿宋"/>
          <w:color w:val="auto"/>
          <w:sz w:val="21"/>
          <w:szCs w:val="21"/>
        </w:rPr>
        <w:t>11.1 市场价格波动引起的调整</w:t>
      </w:r>
    </w:p>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Pr>
        <w:pStyle w:val="22"/>
        <w:outlineLvl w:val="9"/>
        <w:rPr>
          <w:rFonts w:hint="eastAsia" w:ascii="仿宋" w:hAnsi="仿宋" w:eastAsia="仿宋" w:cs="仿宋"/>
          <w:color w:val="auto"/>
          <w:sz w:val="21"/>
          <w:szCs w:val="21"/>
          <w:lang w:val="en-US" w:eastAsia="zh-CN"/>
        </w:rPr>
      </w:pPr>
      <w:r>
        <w:rPr>
          <w:rFonts w:hint="eastAsia" w:ascii="仿宋" w:hAnsi="仿宋" w:eastAsia="仿宋" w:cs="仿宋"/>
          <w:b/>
          <w:bCs/>
          <w:color w:val="auto"/>
          <w:kern w:val="0"/>
          <w:sz w:val="21"/>
          <w:szCs w:val="21"/>
        </w:rPr>
        <w:t>市场价格波动是否调整合同价格的约定：</w:t>
      </w:r>
      <w:r>
        <w:rPr>
          <w:rFonts w:hint="eastAsia" w:ascii="仿宋" w:hAnsi="仿宋" w:eastAsia="仿宋" w:cs="仿宋"/>
          <w:b/>
          <w:bCs/>
          <w:color w:val="auto"/>
          <w:sz w:val="21"/>
          <w:szCs w:val="21"/>
          <w:u w:val="single"/>
        </w:rPr>
        <w:t xml:space="preserve">  不调整  </w:t>
      </w:r>
      <w:r>
        <w:rPr>
          <w:rFonts w:hint="eastAsia" w:ascii="仿宋" w:hAnsi="仿宋" w:eastAsia="仿宋" w:cs="仿宋"/>
          <w:b/>
          <w:bCs/>
          <w:color w:val="auto"/>
          <w:sz w:val="21"/>
          <w:szCs w:val="21"/>
        </w:rPr>
        <w:t>。</w:t>
      </w:r>
    </w:p>
    <w:p>
      <w:pPr>
        <w:spacing w:before="120" w:after="120" w:line="400" w:lineRule="exact"/>
        <w:ind w:firstLine="420" w:firstLineChars="200"/>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lang w:val="en-US" w:eastAsia="zh-CN"/>
        </w:rPr>
        <w:t>12</w:t>
      </w:r>
      <w:r>
        <w:rPr>
          <w:rFonts w:hint="eastAsia" w:ascii="仿宋" w:hAnsi="仿宋" w:eastAsia="仿宋" w:cs="仿宋"/>
          <w:b w:val="0"/>
          <w:bCs w:val="0"/>
          <w:color w:val="auto"/>
          <w:sz w:val="21"/>
          <w:szCs w:val="21"/>
          <w:highlight w:val="none"/>
        </w:rPr>
        <w:t>. 合同价格、计量与支付</w:t>
      </w:r>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12</w:t>
      </w:r>
      <w:r>
        <w:rPr>
          <w:rFonts w:hint="eastAsia" w:ascii="仿宋" w:hAnsi="仿宋" w:eastAsia="仿宋" w:cs="仿宋"/>
          <w:color w:val="auto"/>
          <w:sz w:val="21"/>
          <w:szCs w:val="21"/>
          <w:highlight w:val="none"/>
        </w:rPr>
        <w:t>.1 合同价格形式</w:t>
      </w:r>
    </w:p>
    <w:p>
      <w:pPr>
        <w:autoSpaceDE w:val="0"/>
        <w:autoSpaceDN w:val="0"/>
        <w:spacing w:line="400" w:lineRule="exact"/>
        <w:ind w:firstLine="359" w:firstLineChars="171"/>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本合同价款采用</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u w:val="single"/>
          <w:lang w:val="en-US" w:eastAsia="zh-CN"/>
        </w:rPr>
        <w:t>中标</w:t>
      </w:r>
      <w:r>
        <w:rPr>
          <w:rFonts w:hint="eastAsia" w:ascii="仿宋" w:hAnsi="仿宋" w:eastAsia="仿宋" w:cs="仿宋"/>
          <w:color w:val="auto"/>
          <w:sz w:val="21"/>
          <w:szCs w:val="21"/>
          <w:highlight w:val="none"/>
          <w:u w:val="single"/>
          <w:lang w:val="zh-CN"/>
        </w:rPr>
        <w:t xml:space="preserve">价+变更签证  </w:t>
      </w:r>
      <w:r>
        <w:rPr>
          <w:rFonts w:hint="eastAsia" w:ascii="仿宋" w:hAnsi="仿宋" w:eastAsia="仿宋" w:cs="仿宋"/>
          <w:color w:val="auto"/>
          <w:sz w:val="21"/>
          <w:szCs w:val="21"/>
          <w:highlight w:val="none"/>
        </w:rPr>
        <w:t>方式确定。</w:t>
      </w:r>
    </w:p>
    <w:p>
      <w:pPr>
        <w:autoSpaceDE w:val="0"/>
        <w:autoSpaceDN w:val="0"/>
        <w:spacing w:line="400" w:lineRule="exact"/>
        <w:ind w:firstLine="359" w:firstLineChars="171"/>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关于总价合同计量的约定：</w:t>
      </w:r>
      <w:r>
        <w:rPr>
          <w:rFonts w:hint="eastAsia" w:ascii="仿宋" w:hAnsi="仿宋" w:eastAsia="仿宋" w:cs="仿宋"/>
          <w:color w:val="auto"/>
          <w:sz w:val="21"/>
          <w:szCs w:val="21"/>
          <w:highlight w:val="none"/>
          <w:lang w:val="en-US" w:eastAsia="zh-CN"/>
        </w:rPr>
        <w:t>承包人</w:t>
      </w:r>
      <w:r>
        <w:rPr>
          <w:rFonts w:hint="eastAsia" w:ascii="仿宋" w:hAnsi="仿宋" w:eastAsia="仿宋" w:cs="仿宋"/>
          <w:color w:val="auto"/>
          <w:kern w:val="0"/>
          <w:sz w:val="21"/>
          <w:szCs w:val="21"/>
          <w:highlight w:val="none"/>
          <w:u w:val="single"/>
        </w:rPr>
        <w:t>每月25日向监理人报送上月20日至当月19日已完成的工程量报告</w:t>
      </w:r>
      <w:r>
        <w:rPr>
          <w:rFonts w:hint="eastAsia" w:ascii="仿宋" w:hAnsi="仿宋" w:eastAsia="仿宋" w:cs="仿宋"/>
          <w:color w:val="auto"/>
          <w:sz w:val="21"/>
          <w:szCs w:val="21"/>
          <w:highlight w:val="none"/>
          <w:u w:val="single"/>
          <w:lang w:val="zh-CN"/>
        </w:rPr>
        <w:t>，已完成工程量报表和</w:t>
      </w:r>
      <w:r>
        <w:rPr>
          <w:rFonts w:hint="eastAsia" w:ascii="仿宋" w:hAnsi="仿宋" w:eastAsia="仿宋" w:cs="仿宋"/>
          <w:color w:val="auto"/>
          <w:sz w:val="21"/>
          <w:szCs w:val="21"/>
          <w:highlight w:val="none"/>
          <w:u w:val="single"/>
        </w:rPr>
        <w:t>有关</w:t>
      </w:r>
      <w:r>
        <w:rPr>
          <w:rFonts w:hint="eastAsia" w:ascii="仿宋" w:hAnsi="仿宋" w:eastAsia="仿宋" w:cs="仿宋"/>
          <w:color w:val="auto"/>
          <w:sz w:val="21"/>
          <w:szCs w:val="21"/>
          <w:highlight w:val="none"/>
          <w:u w:val="single"/>
          <w:lang w:val="zh-CN"/>
        </w:rPr>
        <w:t>资料。</w:t>
      </w:r>
    </w:p>
    <w:p>
      <w:pPr>
        <w:spacing w:line="400" w:lineRule="exact"/>
        <w:ind w:firstLine="645"/>
        <w:jc w:val="left"/>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single"/>
        </w:rPr>
        <w:t>未经</w:t>
      </w:r>
      <w:r>
        <w:rPr>
          <w:rFonts w:hint="eastAsia" w:ascii="仿宋" w:hAnsi="仿宋" w:eastAsia="仿宋" w:cs="仿宋"/>
          <w:color w:val="auto"/>
          <w:sz w:val="21"/>
          <w:szCs w:val="21"/>
          <w:highlight w:val="none"/>
          <w:u w:val="single"/>
          <w:lang w:val="en-US" w:eastAsia="zh-CN"/>
        </w:rPr>
        <w:t>发包人代表签字且</w:t>
      </w:r>
      <w:r>
        <w:rPr>
          <w:rFonts w:hint="eastAsia" w:ascii="仿宋" w:hAnsi="仿宋" w:eastAsia="仿宋" w:cs="仿宋"/>
          <w:color w:val="auto"/>
          <w:sz w:val="21"/>
          <w:szCs w:val="21"/>
          <w:highlight w:val="none"/>
          <w:u w:val="single"/>
        </w:rPr>
        <w:t>发包人书面确认的工程量清单或报表不作为双方结算的依据。</w:t>
      </w:r>
    </w:p>
    <w:p>
      <w:pPr>
        <w:spacing w:line="360" w:lineRule="auto"/>
        <w:ind w:firstLine="420" w:firstLineChars="200"/>
        <w:rPr>
          <w:rFonts w:hint="eastAsia" w:ascii="仿宋" w:hAnsi="仿宋" w:eastAsia="仿宋" w:cs="仿宋"/>
          <w:color w:val="auto"/>
          <w:sz w:val="21"/>
          <w:szCs w:val="21"/>
          <w:highlight w:val="none"/>
          <w:u w:val="single"/>
          <w:lang w:val="en-US" w:eastAsia="zh-CN"/>
        </w:rPr>
      </w:pPr>
      <w:r>
        <w:rPr>
          <w:rFonts w:hint="eastAsia" w:ascii="仿宋" w:hAnsi="仿宋" w:eastAsia="仿宋" w:cs="仿宋"/>
          <w:color w:val="auto"/>
          <w:sz w:val="21"/>
          <w:szCs w:val="21"/>
          <w:highlight w:val="none"/>
          <w:u w:val="single"/>
          <w:lang w:val="en-US" w:eastAsia="zh-CN"/>
        </w:rPr>
        <w:t>发生变更签证的除需符合法律法规规定和</w:t>
      </w:r>
      <w:r>
        <w:rPr>
          <w:rFonts w:hint="eastAsia" w:ascii="仿宋" w:hAnsi="仿宋" w:eastAsia="仿宋" w:cs="仿宋"/>
          <w:color w:val="auto"/>
          <w:sz w:val="21"/>
          <w:szCs w:val="21"/>
          <w:highlight w:val="none"/>
          <w:u w:val="single"/>
          <w:lang w:eastAsia="zh-CN"/>
        </w:rPr>
        <w:t>招标</w:t>
      </w:r>
      <w:r>
        <w:rPr>
          <w:rFonts w:hint="eastAsia" w:ascii="仿宋" w:hAnsi="仿宋" w:eastAsia="仿宋" w:cs="仿宋"/>
          <w:color w:val="auto"/>
          <w:sz w:val="21"/>
          <w:szCs w:val="21"/>
          <w:highlight w:val="none"/>
          <w:u w:val="single"/>
          <w:lang w:val="en-US" w:eastAsia="zh-CN"/>
        </w:rPr>
        <w:t>文件规定及本合同约定外，还需本合同书面确定的发包人代表签字且发包人加盖公章后方能有效。</w:t>
      </w:r>
    </w:p>
    <w:p>
      <w:pPr>
        <w:spacing w:after="120" w:line="400" w:lineRule="exact"/>
        <w:ind w:left="0"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工程进度款支付</w:t>
      </w:r>
    </w:p>
    <w:p>
      <w:pPr>
        <w:spacing w:line="400" w:lineRule="exact"/>
        <w:ind w:firstLine="420" w:firstLineChars="200"/>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按工程形象进度付款：其中工程量完成50%，支付合同价的30%。工程量完成80%，支付至合同价的60%。工程竣工验收合格、竣工决算资料真实、完整地送达财政部门评审后，工程款支付到合同内的80% ；待财政部门对竣工</w:t>
      </w:r>
      <w:r>
        <w:rPr>
          <w:rFonts w:hint="eastAsia" w:ascii="仿宋" w:hAnsi="仿宋" w:eastAsia="仿宋" w:cs="仿宋"/>
          <w:color w:val="auto"/>
          <w:sz w:val="21"/>
          <w:szCs w:val="21"/>
          <w:highlight w:val="none"/>
          <w:lang w:val="en-US" w:eastAsia="zh-CN"/>
        </w:rPr>
        <w:t>决</w:t>
      </w:r>
      <w:r>
        <w:rPr>
          <w:rFonts w:hint="eastAsia" w:ascii="仿宋" w:hAnsi="仿宋" w:eastAsia="仿宋" w:cs="仿宋"/>
          <w:color w:val="auto"/>
          <w:sz w:val="21"/>
          <w:szCs w:val="21"/>
          <w:highlight w:val="none"/>
        </w:rPr>
        <w:t>算审核批复、且有关单位办理固定资产移交手续后，工程款支付到财政审定金额的97% ；剩余3%作为质保金，在质保期届满且质保期内正常使用、期满验收合格、无质量问题后，无息支付给</w:t>
      </w:r>
      <w:r>
        <w:rPr>
          <w:rFonts w:hint="eastAsia" w:ascii="仿宋" w:hAnsi="仿宋" w:eastAsia="仿宋" w:cs="仿宋"/>
          <w:color w:val="auto"/>
          <w:sz w:val="21"/>
          <w:szCs w:val="21"/>
          <w:highlight w:val="none"/>
          <w:lang w:val="en-US" w:eastAsia="zh-CN"/>
        </w:rPr>
        <w:t>承包人</w:t>
      </w:r>
      <w:r>
        <w:rPr>
          <w:rFonts w:hint="eastAsia" w:ascii="仿宋" w:hAnsi="仿宋" w:eastAsia="仿宋" w:cs="仿宋"/>
          <w:color w:val="auto"/>
          <w:sz w:val="21"/>
          <w:szCs w:val="21"/>
          <w:highlight w:val="none"/>
          <w:lang w:eastAsia="zh-CN"/>
        </w:rPr>
        <w:t>。</w:t>
      </w:r>
    </w:p>
    <w:p>
      <w:pPr>
        <w:spacing w:line="400" w:lineRule="exact"/>
        <w:ind w:firstLine="420" w:firstLineChars="200"/>
        <w:jc w:val="left"/>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single"/>
        </w:rPr>
        <w:t>承包人应在发包人支付相应款项前向发包人开具相应金额的符合使用标准的</w:t>
      </w:r>
      <w:r>
        <w:rPr>
          <w:rFonts w:hint="eastAsia" w:ascii="仿宋" w:hAnsi="仿宋" w:eastAsia="仿宋" w:cs="仿宋"/>
          <w:color w:val="auto"/>
          <w:sz w:val="21"/>
          <w:szCs w:val="21"/>
          <w:highlight w:val="none"/>
          <w:u w:val="single"/>
          <w:lang w:val="en-US" w:eastAsia="zh-CN"/>
        </w:rPr>
        <w:t>增值税专用</w:t>
      </w:r>
      <w:r>
        <w:rPr>
          <w:rFonts w:hint="eastAsia" w:ascii="仿宋" w:hAnsi="仿宋" w:eastAsia="仿宋" w:cs="仿宋"/>
          <w:color w:val="auto"/>
          <w:sz w:val="21"/>
          <w:szCs w:val="21"/>
          <w:highlight w:val="none"/>
          <w:u w:val="single"/>
        </w:rPr>
        <w:t>发票。承包人同意因财政审核原因造成发包人延迟付款的，发包人无需承担任何法律责任。</w:t>
      </w:r>
    </w:p>
    <w:p>
      <w:pP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u w:val="single"/>
          <w:lang w:val="en-US" w:eastAsia="zh-CN"/>
        </w:rPr>
        <w:t>除发生</w:t>
      </w:r>
      <w:r>
        <w:rPr>
          <w:rFonts w:hint="eastAsia" w:ascii="仿宋" w:hAnsi="仿宋" w:eastAsia="仿宋" w:cs="仿宋"/>
          <w:color w:val="auto"/>
          <w:sz w:val="21"/>
          <w:szCs w:val="21"/>
          <w:highlight w:val="none"/>
          <w:u w:val="single"/>
          <w:lang w:eastAsia="zh-CN"/>
        </w:rPr>
        <w:t>招标</w:t>
      </w:r>
      <w:r>
        <w:rPr>
          <w:rFonts w:hint="eastAsia" w:ascii="仿宋" w:hAnsi="仿宋" w:eastAsia="仿宋" w:cs="仿宋"/>
          <w:color w:val="auto"/>
          <w:sz w:val="21"/>
          <w:szCs w:val="21"/>
          <w:highlight w:val="none"/>
          <w:u w:val="single"/>
          <w:lang w:val="en-US" w:eastAsia="zh-CN"/>
        </w:rPr>
        <w:t>文件规定情形外，本合同总价和各单项价格在本合同履行期间均不调整，承包人不得以任何理由再向发包人主张任何其他费用。</w:t>
      </w:r>
    </w:p>
    <w:p>
      <w:pPr>
        <w:spacing w:line="400" w:lineRule="exact"/>
        <w:ind w:firstLine="420" w:firstLineChars="200"/>
        <w:rPr>
          <w:rFonts w:hint="eastAsia" w:ascii="仿宋" w:hAnsi="仿宋" w:eastAsia="仿宋" w:cs="仿宋"/>
          <w:b w:val="0"/>
          <w:bCs w:val="0"/>
          <w:color w:val="auto"/>
          <w:sz w:val="21"/>
          <w:szCs w:val="21"/>
          <w:lang w:val="en-US" w:eastAsia="zh-CN"/>
        </w:rPr>
      </w:pPr>
      <w:r>
        <w:rPr>
          <w:rFonts w:hint="eastAsia" w:ascii="仿宋" w:hAnsi="仿宋" w:eastAsia="仿宋" w:cs="仿宋"/>
          <w:color w:val="auto"/>
          <w:sz w:val="21"/>
          <w:szCs w:val="21"/>
          <w:highlight w:val="none"/>
        </w:rPr>
        <w:t>工程竣工验收</w:t>
      </w:r>
      <w:r>
        <w:rPr>
          <w:rFonts w:hint="eastAsia" w:ascii="仿宋" w:hAnsi="仿宋" w:eastAsia="仿宋" w:cs="仿宋"/>
          <w:color w:val="auto"/>
          <w:sz w:val="21"/>
          <w:szCs w:val="21"/>
          <w:highlight w:val="none"/>
          <w:lang w:val="en-US" w:eastAsia="zh-CN"/>
        </w:rPr>
        <w:t>合格</w:t>
      </w:r>
      <w:r>
        <w:rPr>
          <w:rFonts w:hint="eastAsia" w:ascii="仿宋" w:hAnsi="仿宋" w:eastAsia="仿宋" w:cs="仿宋"/>
          <w:color w:val="auto"/>
          <w:sz w:val="21"/>
          <w:szCs w:val="21"/>
          <w:highlight w:val="none"/>
        </w:rPr>
        <w:t>后，由承包方编制工程结算书</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结算文件</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，报业主、监理、财政部门审查确认后作为决算付款依据</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本项目最终金额以财政部门的审核结果为准。</w:t>
      </w:r>
    </w:p>
    <w:p>
      <w:pPr>
        <w:spacing w:line="400" w:lineRule="exact"/>
        <w:ind w:firstLine="420" w:firstLineChars="200"/>
        <w:jc w:val="left"/>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rPr>
        <w:t>（5）监理人审查进度款支付证书并报送发包人的期限：</w:t>
      </w:r>
      <w:r>
        <w:rPr>
          <w:rFonts w:hint="eastAsia" w:ascii="仿宋" w:hAnsi="仿宋" w:eastAsia="仿宋" w:cs="仿宋"/>
          <w:color w:val="auto"/>
          <w:sz w:val="21"/>
          <w:szCs w:val="21"/>
          <w:highlight w:val="none"/>
          <w:u w:val="single"/>
        </w:rPr>
        <w:t>收到</w:t>
      </w:r>
      <w:r>
        <w:rPr>
          <w:rFonts w:hint="eastAsia" w:ascii="仿宋" w:hAnsi="仿宋" w:eastAsia="仿宋" w:cs="仿宋"/>
          <w:color w:val="auto"/>
          <w:sz w:val="21"/>
          <w:szCs w:val="21"/>
          <w:highlight w:val="none"/>
          <w:u w:val="single"/>
          <w:lang w:val="en-US" w:eastAsia="zh-CN"/>
        </w:rPr>
        <w:t>承包人</w:t>
      </w:r>
      <w:r>
        <w:rPr>
          <w:rFonts w:hint="eastAsia" w:ascii="仿宋" w:hAnsi="仿宋" w:eastAsia="仿宋" w:cs="仿宋"/>
          <w:color w:val="auto"/>
          <w:sz w:val="21"/>
          <w:szCs w:val="21"/>
          <w:highlight w:val="none"/>
          <w:u w:val="single"/>
        </w:rPr>
        <w:t>申请7天内</w:t>
      </w:r>
      <w:r>
        <w:rPr>
          <w:rFonts w:hint="eastAsia" w:ascii="仿宋" w:hAnsi="仿宋" w:eastAsia="仿宋" w:cs="仿宋"/>
          <w:color w:val="auto"/>
          <w:sz w:val="21"/>
          <w:szCs w:val="21"/>
          <w:highlight w:val="none"/>
        </w:rPr>
        <w:t>。</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发包人完成审批并签发进度款支付证书的期限：</w:t>
      </w:r>
      <w:r>
        <w:rPr>
          <w:rFonts w:hint="eastAsia" w:ascii="仿宋" w:hAnsi="仿宋" w:eastAsia="仿宋" w:cs="仿宋"/>
          <w:color w:val="auto"/>
          <w:sz w:val="21"/>
          <w:szCs w:val="21"/>
          <w:highlight w:val="none"/>
          <w:u w:val="single"/>
        </w:rPr>
        <w:t>7天内</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u w:val="single"/>
        </w:rPr>
        <w:t>发包人逾期未完成审批或未签发进度款支付证书的，视为发包人不认可承包人的进度款申请单内容。承包人应与发包人沟通协商并重新提交修改后的进度款申请单。</w:t>
      </w:r>
    </w:p>
    <w:p>
      <w:pPr>
        <w:autoSpaceDE w:val="0"/>
        <w:autoSpaceDN w:val="0"/>
        <w:spacing w:line="400" w:lineRule="exact"/>
        <w:ind w:firstLine="315" w:firstLineChars="150"/>
        <w:rPr>
          <w:rFonts w:hint="eastAsia" w:ascii="仿宋" w:hAnsi="仿宋" w:eastAsia="仿宋" w:cs="仿宋"/>
          <w:color w:val="auto"/>
          <w:sz w:val="21"/>
          <w:szCs w:val="21"/>
          <w:highlight w:val="none"/>
          <w:u w:val="single"/>
          <w:lang w:val="zh-CN"/>
        </w:rPr>
      </w:pPr>
      <w:r>
        <w:rPr>
          <w:rFonts w:hint="eastAsia" w:ascii="仿宋" w:hAnsi="仿宋" w:eastAsia="仿宋" w:cs="仿宋"/>
          <w:color w:val="auto"/>
          <w:sz w:val="21"/>
          <w:szCs w:val="21"/>
          <w:highlight w:val="none"/>
        </w:rPr>
        <w:t>（6）发包人支付进度款的期限：</w:t>
      </w:r>
      <w:r>
        <w:rPr>
          <w:rFonts w:hint="eastAsia" w:ascii="仿宋" w:hAnsi="仿宋" w:eastAsia="仿宋" w:cs="仿宋"/>
          <w:color w:val="auto"/>
          <w:sz w:val="21"/>
          <w:szCs w:val="21"/>
          <w:highlight w:val="none"/>
          <w:u w:val="single"/>
          <w:lang w:val="en-US" w:eastAsia="zh-CN"/>
        </w:rPr>
        <w:t>6</w:t>
      </w:r>
      <w:r>
        <w:rPr>
          <w:rFonts w:hint="eastAsia" w:ascii="仿宋" w:hAnsi="仿宋" w:eastAsia="仿宋" w:cs="仿宋"/>
          <w:color w:val="auto"/>
          <w:sz w:val="21"/>
          <w:szCs w:val="21"/>
          <w:highlight w:val="none"/>
          <w:u w:val="single"/>
        </w:rPr>
        <w:t>0日内 。</w:t>
      </w:r>
    </w:p>
    <w:p>
      <w:pPr>
        <w:spacing w:line="400" w:lineRule="exact"/>
        <w:ind w:firstLine="525" w:firstLineChars="250"/>
        <w:jc w:val="left"/>
        <w:rPr>
          <w:rFonts w:hint="eastAsia" w:ascii="仿宋" w:hAnsi="仿宋" w:eastAsia="仿宋" w:cs="仿宋"/>
          <w:color w:val="auto"/>
          <w:sz w:val="21"/>
          <w:szCs w:val="21"/>
          <w:highlight w:val="none"/>
          <w:u w:val="single"/>
          <w:lang w:val="en-US"/>
        </w:rPr>
      </w:pPr>
      <w:r>
        <w:rPr>
          <w:rFonts w:hint="eastAsia" w:ascii="仿宋" w:hAnsi="仿宋" w:eastAsia="仿宋" w:cs="仿宋"/>
          <w:color w:val="auto"/>
          <w:sz w:val="21"/>
          <w:szCs w:val="21"/>
          <w:highlight w:val="none"/>
        </w:rPr>
        <w:t>发包人逾期支付进度款的违约金的计算方式：</w:t>
      </w:r>
      <w:r>
        <w:rPr>
          <w:rFonts w:hint="eastAsia" w:ascii="仿宋" w:hAnsi="仿宋" w:eastAsia="仿宋" w:cs="仿宋"/>
          <w:color w:val="auto"/>
          <w:sz w:val="21"/>
          <w:szCs w:val="21"/>
          <w:highlight w:val="none"/>
          <w:lang w:val="en-US" w:eastAsia="zh-CN"/>
        </w:rPr>
        <w:t>因发包人原因造成付款逾期超过60日的，承包人有权要求发包人按同期银行存款利率支付应付款项的违约金。但非因发包人原因或履行财政支付审批手续造成的付款延误发包人不承担任何责任。</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.5 支付分解表的编制</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1、总价合同支付分解表的编制与审批：</w:t>
      </w:r>
      <w:r>
        <w:rPr>
          <w:rFonts w:hint="eastAsia" w:ascii="仿宋" w:hAnsi="仿宋" w:eastAsia="仿宋" w:cs="仿宋"/>
          <w:color w:val="auto"/>
          <w:sz w:val="21"/>
          <w:szCs w:val="21"/>
          <w:highlight w:val="none"/>
          <w:u w:val="single"/>
        </w:rPr>
        <w:t xml:space="preserve">  执行通用条款 ，</w:t>
      </w:r>
      <w:r>
        <w:rPr>
          <w:rFonts w:hint="eastAsia" w:ascii="仿宋" w:hAnsi="仿宋" w:eastAsia="仿宋" w:cs="仿宋"/>
          <w:color w:val="auto"/>
          <w:sz w:val="21"/>
          <w:szCs w:val="21"/>
          <w:highlight w:val="none"/>
        </w:rPr>
        <w:t>但发包人逾期未完成总价合同支付分解表审批的，视为发包人不认可承包人的分解表内容，承包人应与发包人沟通协商进行相应修改或按要求提供补充资料。</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2、单价合同的总价项目支付分解表的编制与审批：</w:t>
      </w:r>
      <w:r>
        <w:rPr>
          <w:rFonts w:hint="eastAsia" w:ascii="仿宋" w:hAnsi="仿宋" w:eastAsia="仿宋" w:cs="仿宋"/>
          <w:color w:val="auto"/>
          <w:sz w:val="21"/>
          <w:szCs w:val="21"/>
          <w:highlight w:val="none"/>
          <w:u w:val="single"/>
        </w:rPr>
        <w:t xml:space="preserve"> 无 。</w:t>
      </w:r>
    </w:p>
    <w:p>
      <w:pPr>
        <w:spacing w:before="120" w:after="120" w:line="400" w:lineRule="exact"/>
        <w:ind w:left="0" w:leftChars="0" w:firstLine="420" w:firstLineChars="200"/>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13. 验收和工程试车</w:t>
      </w:r>
    </w:p>
    <w:p>
      <w:pPr>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13.1 分部分项工程验收</w:t>
      </w:r>
    </w:p>
    <w:p>
      <w:pPr>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13.1.2监理人不能按时进行验收时，应提前</w:t>
      </w:r>
      <w:r>
        <w:rPr>
          <w:rFonts w:hint="eastAsia" w:ascii="仿宋" w:hAnsi="仿宋" w:eastAsia="仿宋" w:cs="仿宋"/>
          <w:color w:val="auto"/>
          <w:sz w:val="21"/>
          <w:szCs w:val="21"/>
          <w:highlight w:val="none"/>
          <w:u w:val="single"/>
        </w:rPr>
        <w:t>24</w:t>
      </w:r>
      <w:r>
        <w:rPr>
          <w:rFonts w:hint="eastAsia" w:ascii="仿宋" w:hAnsi="仿宋" w:eastAsia="仿宋" w:cs="仿宋"/>
          <w:color w:val="auto"/>
          <w:sz w:val="21"/>
          <w:szCs w:val="21"/>
          <w:highlight w:val="none"/>
        </w:rPr>
        <w:t>小时提交书面延期要求。</w:t>
      </w:r>
    </w:p>
    <w:p>
      <w:pPr>
        <w:spacing w:line="40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关于延期最长不得超过</w:t>
      </w:r>
      <w:r>
        <w:rPr>
          <w:rFonts w:hint="eastAsia" w:ascii="仿宋" w:hAnsi="仿宋" w:eastAsia="仿宋" w:cs="仿宋"/>
          <w:color w:val="auto"/>
          <w:sz w:val="21"/>
          <w:szCs w:val="21"/>
          <w:highlight w:val="none"/>
          <w:u w:val="single"/>
        </w:rPr>
        <w:t xml:space="preserve">  48</w:t>
      </w:r>
      <w:r>
        <w:rPr>
          <w:rFonts w:hint="eastAsia" w:ascii="仿宋" w:hAnsi="仿宋" w:eastAsia="仿宋" w:cs="仿宋"/>
          <w:color w:val="auto"/>
          <w:sz w:val="21"/>
          <w:szCs w:val="21"/>
          <w:highlight w:val="none"/>
        </w:rPr>
        <w:t>小时 。</w:t>
      </w:r>
    </w:p>
    <w:p>
      <w:pPr>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13.2 竣工验收</w:t>
      </w:r>
    </w:p>
    <w:p>
      <w:pPr>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13.2.2竣工验收程序</w:t>
      </w:r>
    </w:p>
    <w:p>
      <w:pPr>
        <w:tabs>
          <w:tab w:val="left" w:pos="1080"/>
        </w:tabs>
        <w:adjustRightInd w:val="0"/>
        <w:snapToGrid w:val="0"/>
        <w:spacing w:line="400" w:lineRule="exact"/>
        <w:ind w:firstLine="420" w:firstLineChars="200"/>
        <w:outlineLvl w:val="9"/>
        <w:rPr>
          <w:rFonts w:hint="eastAsia" w:ascii="仿宋" w:hAnsi="仿宋" w:eastAsia="仿宋" w:cs="仿宋"/>
          <w:color w:val="auto"/>
          <w:sz w:val="21"/>
          <w:szCs w:val="21"/>
          <w:highlight w:val="none"/>
          <w:lang w:val="zh-CN"/>
        </w:rPr>
      </w:pPr>
      <w:r>
        <w:rPr>
          <w:rFonts w:hint="eastAsia" w:ascii="仿宋" w:hAnsi="仿宋" w:eastAsia="仿宋" w:cs="仿宋"/>
          <w:color w:val="auto"/>
          <w:kern w:val="0"/>
          <w:sz w:val="21"/>
          <w:szCs w:val="21"/>
          <w:highlight w:val="none"/>
          <w:u w:val="single"/>
        </w:rPr>
        <w:t>关于竣工验收程序的约定：</w:t>
      </w: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zh-CN"/>
        </w:rPr>
        <w:t>（1）工程具备验收条件，承包人按工程竣工验收有关规定向发包人提供完整竣工资料及竣工验收报告。（2）发包人收到竣工验收报告后28天内组织有关单位验收，并在验收后14天内给予认可或提出修改意见。承包人按要求修改，并承担由自身原因造成修改的费用。（3）工程未经竣工验收或竣工验收未通过的，发包人不得使用。（4）工程在正式向发包人移交前，由承包人对工程负责照管，在此期间所发生的质量等问题，由承包人负责。（5）工程验收合格取得相应竣工报告后，进行竣工结算。结算完成承包人配合发包人向有关部门办理备案手续。</w:t>
      </w:r>
    </w:p>
    <w:p>
      <w:pPr>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13.2.5 移交、接收全部与部分工程</w:t>
      </w:r>
    </w:p>
    <w:p>
      <w:pPr>
        <w:spacing w:line="400" w:lineRule="exact"/>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承包人向发包人移交工程的期限：</w:t>
      </w:r>
      <w:r>
        <w:rPr>
          <w:rFonts w:hint="eastAsia" w:ascii="仿宋" w:hAnsi="仿宋" w:eastAsia="仿宋" w:cs="仿宋"/>
          <w:color w:val="auto"/>
          <w:sz w:val="21"/>
          <w:szCs w:val="21"/>
          <w:highlight w:val="none"/>
        </w:rPr>
        <w:t xml:space="preserve">承包人应在竣工验收合格后 </w:t>
      </w:r>
      <w:r>
        <w:rPr>
          <w:rFonts w:hint="eastAsia" w:ascii="仿宋" w:hAnsi="仿宋" w:eastAsia="仿宋" w:cs="仿宋"/>
          <w:color w:val="auto"/>
          <w:sz w:val="21"/>
          <w:szCs w:val="21"/>
          <w:highlight w:val="none"/>
          <w:u w:val="single"/>
        </w:rPr>
        <w:t>7天</w:t>
      </w:r>
      <w:r>
        <w:rPr>
          <w:rFonts w:hint="eastAsia" w:ascii="仿宋" w:hAnsi="仿宋" w:eastAsia="仿宋" w:cs="仿宋"/>
          <w:color w:val="auto"/>
          <w:sz w:val="21"/>
          <w:szCs w:val="21"/>
          <w:highlight w:val="none"/>
        </w:rPr>
        <w:t xml:space="preserve">内提交工程移交申请书，并附上工程已具备移交条件的证明文件（包括场地清理已完成、承包人的机具和人员已退场等）。发包人应在收到工程移交申请书及相关证明文件后 </w:t>
      </w:r>
      <w:r>
        <w:rPr>
          <w:rFonts w:hint="eastAsia" w:ascii="仿宋" w:hAnsi="仿宋" w:eastAsia="仿宋" w:cs="仿宋"/>
          <w:color w:val="auto"/>
          <w:sz w:val="21"/>
          <w:szCs w:val="21"/>
          <w:highlight w:val="none"/>
          <w:u w:val="single"/>
        </w:rPr>
        <w:t>14天</w:t>
      </w:r>
      <w:r>
        <w:rPr>
          <w:rFonts w:hint="eastAsia" w:ascii="仿宋" w:hAnsi="仿宋" w:eastAsia="仿宋" w:cs="仿宋"/>
          <w:color w:val="auto"/>
          <w:sz w:val="21"/>
          <w:szCs w:val="21"/>
          <w:highlight w:val="none"/>
        </w:rPr>
        <w:t>内签发工程接收证书或者提出书面异议，发包人逾期不颁发工程接收证书且未提出书面异议的，自第</w:t>
      </w:r>
      <w:r>
        <w:rPr>
          <w:rFonts w:hint="eastAsia" w:ascii="仿宋" w:hAnsi="仿宋" w:eastAsia="仿宋" w:cs="仿宋"/>
          <w:color w:val="auto"/>
          <w:sz w:val="21"/>
          <w:szCs w:val="21"/>
          <w:highlight w:val="none"/>
          <w:u w:val="single"/>
        </w:rPr>
        <w:t xml:space="preserve"> 15天</w:t>
      </w:r>
      <w:r>
        <w:rPr>
          <w:rFonts w:hint="eastAsia" w:ascii="仿宋" w:hAnsi="仿宋" w:eastAsia="仿宋" w:cs="仿宋"/>
          <w:color w:val="auto"/>
          <w:sz w:val="21"/>
          <w:szCs w:val="21"/>
          <w:highlight w:val="none"/>
        </w:rPr>
        <w:t>起视为已颁发工程接收证书。</w:t>
      </w:r>
    </w:p>
    <w:p>
      <w:pPr>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发包人未按本合同约定接收全部或部分工程的，违约金的计算方法为：</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sz w:val="21"/>
          <w:szCs w:val="21"/>
          <w:highlight w:val="none"/>
          <w:u w:val="single"/>
        </w:rPr>
        <w:t>执行通用条款</w:t>
      </w:r>
      <w:r>
        <w:rPr>
          <w:rFonts w:hint="eastAsia" w:ascii="仿宋" w:hAnsi="仿宋" w:eastAsia="仿宋" w:cs="仿宋"/>
          <w:color w:val="auto"/>
          <w:kern w:val="0"/>
          <w:sz w:val="21"/>
          <w:szCs w:val="21"/>
          <w:highlight w:val="none"/>
          <w:u w:val="single"/>
        </w:rPr>
        <w:t>。</w:t>
      </w:r>
    </w:p>
    <w:p>
      <w:pPr>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承包人未按时移交工程的，违约金的计算方法为：</w:t>
      </w:r>
      <w:r>
        <w:rPr>
          <w:rFonts w:hint="eastAsia" w:ascii="仿宋" w:hAnsi="仿宋" w:eastAsia="仿宋" w:cs="仿宋"/>
          <w:color w:val="auto"/>
          <w:sz w:val="21"/>
          <w:szCs w:val="21"/>
          <w:highlight w:val="none"/>
          <w:u w:val="single"/>
        </w:rPr>
        <w:t>每逾期一日承包人需承担本合同总金额千分之三的违约金，并赔偿损失，但非承包人</w:t>
      </w:r>
      <w:r>
        <w:rPr>
          <w:rFonts w:hint="eastAsia" w:ascii="仿宋" w:hAnsi="仿宋" w:eastAsia="仿宋" w:cs="仿宋"/>
          <w:color w:val="auto"/>
          <w:sz w:val="21"/>
          <w:szCs w:val="21"/>
          <w:highlight w:val="none"/>
          <w:u w:val="single"/>
          <w:lang w:val="zh-CN"/>
        </w:rPr>
        <w:t>原因造成</w:t>
      </w:r>
      <w:r>
        <w:rPr>
          <w:rFonts w:hint="eastAsia" w:ascii="仿宋" w:hAnsi="仿宋" w:eastAsia="仿宋" w:cs="仿宋"/>
          <w:color w:val="auto"/>
          <w:sz w:val="21"/>
          <w:szCs w:val="21"/>
          <w:highlight w:val="none"/>
          <w:u w:val="single"/>
        </w:rPr>
        <w:t>的除外。</w:t>
      </w:r>
    </w:p>
    <w:p>
      <w:pPr>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13.3.1 试车程序</w:t>
      </w:r>
    </w:p>
    <w:p>
      <w:pPr>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 xml:space="preserve"> 工程试车内容：</w:t>
      </w:r>
      <w:r>
        <w:rPr>
          <w:rFonts w:hint="eastAsia" w:ascii="仿宋" w:hAnsi="仿宋" w:eastAsia="仿宋" w:cs="仿宋"/>
          <w:color w:val="auto"/>
          <w:sz w:val="21"/>
          <w:szCs w:val="21"/>
          <w:highlight w:val="none"/>
        </w:rPr>
        <w:t>执行通用条款</w:t>
      </w:r>
    </w:p>
    <w:p>
      <w:pPr>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（1）单机无负荷试车费用由</w:t>
      </w:r>
      <w:r>
        <w:rPr>
          <w:rFonts w:hint="eastAsia" w:ascii="仿宋" w:hAnsi="仿宋" w:eastAsia="仿宋" w:cs="仿宋"/>
          <w:color w:val="auto"/>
          <w:sz w:val="21"/>
          <w:szCs w:val="21"/>
          <w:highlight w:val="none"/>
        </w:rPr>
        <w:t xml:space="preserve"> 承包人承担</w:t>
      </w:r>
      <w:r>
        <w:rPr>
          <w:rFonts w:hint="eastAsia" w:ascii="仿宋" w:hAnsi="仿宋" w:eastAsia="仿宋" w:cs="仿宋"/>
          <w:color w:val="auto"/>
          <w:kern w:val="0"/>
          <w:sz w:val="21"/>
          <w:szCs w:val="21"/>
          <w:highlight w:val="none"/>
        </w:rPr>
        <w:t>；</w:t>
      </w:r>
    </w:p>
    <w:p>
      <w:pPr>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（2）无负荷联动试车费用由 </w:t>
      </w:r>
      <w:r>
        <w:rPr>
          <w:rFonts w:hint="eastAsia" w:ascii="仿宋" w:hAnsi="仿宋" w:eastAsia="仿宋" w:cs="仿宋"/>
          <w:color w:val="auto"/>
          <w:sz w:val="21"/>
          <w:szCs w:val="21"/>
          <w:highlight w:val="none"/>
        </w:rPr>
        <w:t>承包人承担。</w:t>
      </w:r>
    </w:p>
    <w:p>
      <w:pPr>
        <w:spacing w:line="400" w:lineRule="exact"/>
        <w:ind w:firstLine="420" w:firstLineChars="200"/>
        <w:jc w:val="left"/>
        <w:outlineLvl w:val="9"/>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13.3.3 投料试车</w:t>
      </w:r>
    </w:p>
    <w:p>
      <w:pPr>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关于投料试车相关</w:t>
      </w:r>
      <w:r>
        <w:rPr>
          <w:rFonts w:hint="eastAsia" w:ascii="仿宋" w:hAnsi="仿宋" w:eastAsia="仿宋" w:cs="仿宋"/>
          <w:color w:val="auto"/>
          <w:sz w:val="21"/>
          <w:szCs w:val="21"/>
          <w:highlight w:val="none"/>
        </w:rPr>
        <w:t>事项</w:t>
      </w:r>
      <w:r>
        <w:rPr>
          <w:rFonts w:hint="eastAsia" w:ascii="仿宋" w:hAnsi="仿宋" w:eastAsia="仿宋" w:cs="仿宋"/>
          <w:color w:val="auto"/>
          <w:kern w:val="0"/>
          <w:sz w:val="21"/>
          <w:szCs w:val="21"/>
          <w:highlight w:val="none"/>
        </w:rPr>
        <w:t>的约定：承</w:t>
      </w:r>
      <w:r>
        <w:rPr>
          <w:rFonts w:hint="eastAsia" w:ascii="仿宋" w:hAnsi="仿宋" w:eastAsia="仿宋" w:cs="仿宋"/>
          <w:color w:val="auto"/>
          <w:sz w:val="21"/>
          <w:szCs w:val="21"/>
          <w:highlight w:val="none"/>
        </w:rPr>
        <w:t>包人承担 。</w:t>
      </w:r>
    </w:p>
    <w:p>
      <w:pPr>
        <w:spacing w:before="120" w:after="120" w:line="400" w:lineRule="exact"/>
        <w:ind w:firstLine="420" w:firstLineChars="200"/>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13.6 竣工退场</w:t>
      </w:r>
    </w:p>
    <w:p>
      <w:pPr>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13.6.1 竣工退场</w:t>
      </w:r>
    </w:p>
    <w:p>
      <w:pPr>
        <w:spacing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承包人完成竣工退场的期限：</w:t>
      </w:r>
      <w:r>
        <w:rPr>
          <w:rFonts w:hint="eastAsia" w:ascii="仿宋" w:hAnsi="仿宋" w:eastAsia="仿宋" w:cs="仿宋"/>
          <w:color w:val="auto"/>
          <w:sz w:val="21"/>
          <w:szCs w:val="21"/>
          <w:highlight w:val="none"/>
          <w:u w:val="single"/>
        </w:rPr>
        <w:t xml:space="preserve"> 提交工程移交申请书并被批准后</w:t>
      </w:r>
      <w:r>
        <w:rPr>
          <w:rFonts w:hint="eastAsia" w:ascii="仿宋" w:hAnsi="仿宋" w:eastAsia="仿宋" w:cs="仿宋"/>
          <w:color w:val="auto"/>
          <w:sz w:val="21"/>
          <w:szCs w:val="21"/>
          <w:highlight w:val="none"/>
          <w:u w:val="single"/>
          <w:lang w:val="en-US" w:eastAsia="zh-CN"/>
        </w:rPr>
        <w:t>3</w:t>
      </w:r>
      <w:r>
        <w:rPr>
          <w:rFonts w:hint="eastAsia" w:ascii="仿宋" w:hAnsi="仿宋" w:eastAsia="仿宋" w:cs="仿宋"/>
          <w:color w:val="auto"/>
          <w:sz w:val="21"/>
          <w:szCs w:val="21"/>
          <w:highlight w:val="none"/>
          <w:u w:val="single"/>
        </w:rPr>
        <w:t>日之内。</w:t>
      </w:r>
    </w:p>
    <w:p>
      <w:pPr>
        <w:spacing w:line="400" w:lineRule="exac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 竣工结算</w:t>
      </w:r>
    </w:p>
    <w:p>
      <w:pPr>
        <w:spacing w:after="120" w:line="400" w:lineRule="exact"/>
        <w:ind w:firstLine="420" w:firstLineChars="200"/>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14.1 竣工结算申请</w:t>
      </w:r>
    </w:p>
    <w:p>
      <w:pPr>
        <w:spacing w:line="400" w:lineRule="exact"/>
        <w:ind w:firstLine="420" w:firstLineChars="200"/>
        <w:jc w:val="left"/>
        <w:outlineLvl w:val="9"/>
        <w:rPr>
          <w:rFonts w:hint="eastAsia" w:ascii="仿宋" w:hAnsi="仿宋" w:eastAsia="仿宋" w:cs="仿宋"/>
          <w:color w:val="auto"/>
          <w:sz w:val="21"/>
          <w:szCs w:val="21"/>
          <w:highlight w:val="none"/>
          <w:u w:val="single"/>
          <w:lang w:val="zh-CN"/>
        </w:rPr>
      </w:pPr>
      <w:r>
        <w:rPr>
          <w:rFonts w:hint="eastAsia" w:ascii="仿宋" w:hAnsi="仿宋" w:eastAsia="仿宋" w:cs="仿宋"/>
          <w:color w:val="auto"/>
          <w:sz w:val="21"/>
          <w:szCs w:val="21"/>
          <w:highlight w:val="none"/>
        </w:rPr>
        <w:t>承包人提交竣工结算申请单的期限：</w:t>
      </w:r>
      <w:r>
        <w:rPr>
          <w:rFonts w:hint="eastAsia" w:ascii="仿宋" w:hAnsi="仿宋" w:eastAsia="仿宋" w:cs="仿宋"/>
          <w:color w:val="auto"/>
          <w:sz w:val="21"/>
          <w:szCs w:val="21"/>
          <w:highlight w:val="none"/>
          <w:u w:val="single"/>
          <w:lang w:val="zh-CN"/>
        </w:rPr>
        <w:t>工程竣工验收报告经发包人认可后28天内，承包人向发包人递交竣工结算</w:t>
      </w:r>
      <w:r>
        <w:rPr>
          <w:rFonts w:hint="eastAsia" w:ascii="仿宋" w:hAnsi="仿宋" w:eastAsia="仿宋" w:cs="仿宋"/>
          <w:color w:val="auto"/>
          <w:sz w:val="21"/>
          <w:szCs w:val="21"/>
          <w:highlight w:val="none"/>
          <w:u w:val="single"/>
          <w:lang w:val="en-US" w:eastAsia="zh-CN"/>
        </w:rPr>
        <w:t>申请单</w:t>
      </w:r>
      <w:r>
        <w:rPr>
          <w:rFonts w:hint="eastAsia" w:ascii="仿宋" w:hAnsi="仿宋" w:eastAsia="仿宋" w:cs="仿宋"/>
          <w:color w:val="auto"/>
          <w:sz w:val="21"/>
          <w:szCs w:val="21"/>
          <w:highlight w:val="none"/>
          <w:u w:val="single"/>
          <w:lang w:val="zh-CN"/>
        </w:rPr>
        <w:t>及完整的结算资料，双方按照协议书约定的合同价款及专用条款约定的合同价款调整内容，进行工程竣工结算。</w:t>
      </w:r>
    </w:p>
    <w:p>
      <w:pPr>
        <w:spacing w:line="400" w:lineRule="exact"/>
        <w:ind w:firstLine="420" w:firstLineChars="200"/>
        <w:jc w:val="left"/>
        <w:outlineLvl w:val="9"/>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竣工付款申请单应包括的内容：</w:t>
      </w:r>
      <w:r>
        <w:rPr>
          <w:rFonts w:hint="eastAsia" w:ascii="仿宋" w:hAnsi="仿宋" w:eastAsia="仿宋" w:cs="仿宋"/>
          <w:color w:val="auto"/>
          <w:sz w:val="21"/>
          <w:szCs w:val="21"/>
          <w:highlight w:val="none"/>
          <w:u w:val="single"/>
        </w:rPr>
        <w:t xml:space="preserve"> 见合同通用条款内容 </w:t>
      </w:r>
      <w:r>
        <w:rPr>
          <w:rFonts w:hint="eastAsia" w:ascii="仿宋" w:hAnsi="仿宋" w:eastAsia="仿宋" w:cs="仿宋"/>
          <w:color w:val="auto"/>
          <w:sz w:val="21"/>
          <w:szCs w:val="21"/>
          <w:highlight w:val="none"/>
        </w:rPr>
        <w:t xml:space="preserve">。 </w:t>
      </w:r>
    </w:p>
    <w:p>
      <w:pPr>
        <w:spacing w:line="400" w:lineRule="exact"/>
        <w:ind w:firstLine="420" w:firstLineChars="200"/>
        <w:jc w:val="left"/>
        <w:outlineLvl w:val="9"/>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single"/>
        </w:rPr>
        <w:t>若发包人逾期未对承包人的竣工结算申请</w:t>
      </w:r>
      <w:r>
        <w:rPr>
          <w:rFonts w:hint="eastAsia" w:ascii="仿宋" w:hAnsi="仿宋" w:eastAsia="仿宋" w:cs="仿宋"/>
          <w:color w:val="auto"/>
          <w:sz w:val="21"/>
          <w:szCs w:val="21"/>
          <w:highlight w:val="none"/>
          <w:u w:val="single"/>
          <w:lang w:eastAsia="zh-CN"/>
        </w:rPr>
        <w:t>（</w:t>
      </w:r>
      <w:r>
        <w:rPr>
          <w:rFonts w:hint="eastAsia" w:ascii="仿宋" w:hAnsi="仿宋" w:eastAsia="仿宋" w:cs="仿宋"/>
          <w:color w:val="auto"/>
          <w:sz w:val="21"/>
          <w:szCs w:val="21"/>
          <w:highlight w:val="none"/>
          <w:u w:val="single"/>
          <w:lang w:val="en-US" w:eastAsia="zh-CN"/>
        </w:rPr>
        <w:t>包括竣</w:t>
      </w:r>
      <w:r>
        <w:rPr>
          <w:rFonts w:hint="eastAsia" w:ascii="仿宋" w:hAnsi="仿宋" w:eastAsia="仿宋" w:cs="仿宋"/>
          <w:color w:val="auto"/>
          <w:sz w:val="21"/>
          <w:szCs w:val="21"/>
          <w:highlight w:val="none"/>
          <w:u w:val="single"/>
          <w:lang w:val="zh-CN"/>
        </w:rPr>
        <w:t>工结算</w:t>
      </w:r>
      <w:r>
        <w:rPr>
          <w:rFonts w:hint="eastAsia" w:ascii="仿宋" w:hAnsi="仿宋" w:eastAsia="仿宋" w:cs="仿宋"/>
          <w:color w:val="auto"/>
          <w:sz w:val="21"/>
          <w:szCs w:val="21"/>
          <w:highlight w:val="none"/>
          <w:u w:val="single"/>
          <w:lang w:val="en-US" w:eastAsia="zh-CN"/>
        </w:rPr>
        <w:t>申请单</w:t>
      </w:r>
      <w:r>
        <w:rPr>
          <w:rFonts w:hint="eastAsia" w:ascii="仿宋" w:hAnsi="仿宋" w:eastAsia="仿宋" w:cs="仿宋"/>
          <w:color w:val="auto"/>
          <w:sz w:val="21"/>
          <w:szCs w:val="21"/>
          <w:highlight w:val="none"/>
          <w:u w:val="single"/>
          <w:lang w:val="zh-CN"/>
        </w:rPr>
        <w:t>及完整的结算资料）</w:t>
      </w:r>
      <w:r>
        <w:rPr>
          <w:rFonts w:hint="eastAsia" w:ascii="仿宋" w:hAnsi="仿宋" w:eastAsia="仿宋" w:cs="仿宋"/>
          <w:color w:val="auto"/>
          <w:sz w:val="21"/>
          <w:szCs w:val="21"/>
          <w:highlight w:val="none"/>
          <w:u w:val="single"/>
        </w:rPr>
        <w:t>完成审批或提出异议的，视为发包人不认可承包人的竣工结算申请，承包人应与发包人沟通协商进行相应修改或按要求提供补充资料。</w:t>
      </w:r>
    </w:p>
    <w:p>
      <w:pPr>
        <w:spacing w:after="120" w:line="400" w:lineRule="exact"/>
        <w:ind w:left="0" w:leftChars="0"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14.2 竣工结算审核</w:t>
      </w:r>
    </w:p>
    <w:p>
      <w:pPr>
        <w:spacing w:line="400" w:lineRule="exact"/>
        <w:ind w:firstLine="420" w:firstLineChars="200"/>
        <w:jc w:val="left"/>
        <w:rPr>
          <w:rFonts w:hint="eastAsia" w:ascii="仿宋" w:hAnsi="仿宋" w:eastAsia="仿宋" w:cs="仿宋"/>
          <w:color w:val="auto"/>
          <w:sz w:val="21"/>
          <w:szCs w:val="21"/>
          <w:highlight w:val="none"/>
          <w:u w:val="single"/>
          <w:lang w:val="zh-CN"/>
        </w:rPr>
      </w:pPr>
      <w:r>
        <w:rPr>
          <w:rFonts w:hint="eastAsia" w:ascii="仿宋" w:hAnsi="仿宋" w:eastAsia="仿宋" w:cs="仿宋"/>
          <w:color w:val="auto"/>
          <w:sz w:val="21"/>
          <w:szCs w:val="21"/>
          <w:highlight w:val="none"/>
        </w:rPr>
        <w:t>发包人审批竣工付款申请单的期限：</w:t>
      </w:r>
      <w:r>
        <w:rPr>
          <w:rFonts w:hint="eastAsia" w:ascii="仿宋" w:hAnsi="仿宋" w:eastAsia="仿宋" w:cs="仿宋"/>
          <w:color w:val="auto"/>
          <w:sz w:val="21"/>
          <w:szCs w:val="21"/>
          <w:highlight w:val="none"/>
          <w:u w:val="single"/>
          <w:lang w:val="zh-CN"/>
        </w:rPr>
        <w:t>发包人收到承包人递交的竣工结算</w:t>
      </w:r>
      <w:r>
        <w:rPr>
          <w:rFonts w:hint="eastAsia" w:ascii="仿宋" w:hAnsi="仿宋" w:eastAsia="仿宋" w:cs="仿宋"/>
          <w:color w:val="auto"/>
          <w:sz w:val="21"/>
          <w:szCs w:val="21"/>
          <w:highlight w:val="none"/>
          <w:u w:val="single"/>
          <w:lang w:val="en-US" w:eastAsia="zh-CN"/>
        </w:rPr>
        <w:t>申请单</w:t>
      </w:r>
      <w:r>
        <w:rPr>
          <w:rFonts w:hint="eastAsia" w:ascii="仿宋" w:hAnsi="仿宋" w:eastAsia="仿宋" w:cs="仿宋"/>
          <w:color w:val="auto"/>
          <w:sz w:val="21"/>
          <w:szCs w:val="21"/>
          <w:highlight w:val="none"/>
          <w:u w:val="single"/>
          <w:lang w:val="zh-CN"/>
        </w:rPr>
        <w:t>及</w:t>
      </w:r>
      <w:r>
        <w:rPr>
          <w:rFonts w:hint="eastAsia" w:ascii="仿宋" w:hAnsi="仿宋" w:eastAsia="仿宋" w:cs="仿宋"/>
          <w:color w:val="auto"/>
          <w:sz w:val="21"/>
          <w:szCs w:val="21"/>
          <w:highlight w:val="none"/>
          <w:u w:val="single"/>
          <w:lang w:val="en-US" w:eastAsia="zh-CN"/>
        </w:rPr>
        <w:t>完整的</w:t>
      </w:r>
      <w:r>
        <w:rPr>
          <w:rFonts w:hint="eastAsia" w:ascii="仿宋" w:hAnsi="仿宋" w:eastAsia="仿宋" w:cs="仿宋"/>
          <w:color w:val="auto"/>
          <w:sz w:val="21"/>
          <w:szCs w:val="21"/>
          <w:highlight w:val="none"/>
          <w:u w:val="single"/>
          <w:lang w:val="zh-CN"/>
        </w:rPr>
        <w:t>结算资料后60天内进行</w:t>
      </w:r>
      <w:r>
        <w:rPr>
          <w:rFonts w:hint="eastAsia" w:ascii="仿宋" w:hAnsi="仿宋" w:eastAsia="仿宋" w:cs="仿宋"/>
          <w:color w:val="auto"/>
          <w:sz w:val="21"/>
          <w:szCs w:val="21"/>
          <w:highlight w:val="none"/>
          <w:u w:val="single"/>
          <w:lang w:val="en-US" w:eastAsia="zh-CN"/>
        </w:rPr>
        <w:t>审批</w:t>
      </w:r>
      <w:r>
        <w:rPr>
          <w:rFonts w:hint="eastAsia" w:ascii="仿宋" w:hAnsi="仿宋" w:eastAsia="仿宋" w:cs="仿宋"/>
          <w:color w:val="auto"/>
          <w:sz w:val="21"/>
          <w:szCs w:val="21"/>
          <w:highlight w:val="none"/>
          <w:u w:val="single"/>
          <w:lang w:val="zh-CN"/>
        </w:rPr>
        <w:t>，给予确认或者提出修改意见，</w:t>
      </w:r>
      <w:r>
        <w:rPr>
          <w:rFonts w:hint="eastAsia" w:ascii="仿宋" w:hAnsi="仿宋" w:eastAsia="仿宋" w:cs="仿宋"/>
          <w:color w:val="auto"/>
          <w:sz w:val="21"/>
          <w:szCs w:val="21"/>
          <w:highlight w:val="none"/>
          <w:u w:val="single"/>
          <w:lang w:val="en-US" w:eastAsia="zh-CN"/>
        </w:rPr>
        <w:t>发包人逾期审批的，视为发包人对</w:t>
      </w:r>
      <w:r>
        <w:rPr>
          <w:rFonts w:hint="eastAsia" w:ascii="仿宋" w:hAnsi="仿宋" w:eastAsia="仿宋" w:cs="仿宋"/>
          <w:color w:val="auto"/>
          <w:sz w:val="21"/>
          <w:szCs w:val="21"/>
          <w:highlight w:val="none"/>
          <w:u w:val="single"/>
          <w:lang w:val="zh-CN"/>
        </w:rPr>
        <w:t>竣工结算</w:t>
      </w:r>
      <w:r>
        <w:rPr>
          <w:rFonts w:hint="eastAsia" w:ascii="仿宋" w:hAnsi="仿宋" w:eastAsia="仿宋" w:cs="仿宋"/>
          <w:color w:val="auto"/>
          <w:sz w:val="21"/>
          <w:szCs w:val="21"/>
          <w:highlight w:val="none"/>
          <w:u w:val="single"/>
          <w:lang w:val="en-US" w:eastAsia="zh-CN"/>
        </w:rPr>
        <w:t>申请单</w:t>
      </w:r>
      <w:r>
        <w:rPr>
          <w:rFonts w:hint="eastAsia" w:ascii="仿宋" w:hAnsi="仿宋" w:eastAsia="仿宋" w:cs="仿宋"/>
          <w:color w:val="auto"/>
          <w:sz w:val="21"/>
          <w:szCs w:val="21"/>
          <w:highlight w:val="none"/>
          <w:u w:val="single"/>
          <w:lang w:val="zh-CN"/>
        </w:rPr>
        <w:t>及结算资料</w:t>
      </w:r>
      <w:r>
        <w:rPr>
          <w:rFonts w:hint="eastAsia" w:ascii="仿宋" w:hAnsi="仿宋" w:eastAsia="仿宋" w:cs="仿宋"/>
          <w:color w:val="auto"/>
          <w:sz w:val="21"/>
          <w:szCs w:val="21"/>
          <w:highlight w:val="none"/>
          <w:u w:val="single"/>
          <w:lang w:val="en-US" w:eastAsia="zh-CN"/>
        </w:rPr>
        <w:t>等事项不认可，</w:t>
      </w:r>
      <w:r>
        <w:rPr>
          <w:rFonts w:hint="eastAsia" w:ascii="仿宋" w:hAnsi="仿宋" w:eastAsia="仿宋" w:cs="仿宋"/>
          <w:color w:val="auto"/>
          <w:sz w:val="21"/>
          <w:szCs w:val="21"/>
          <w:highlight w:val="none"/>
          <w:u w:val="single"/>
          <w:lang w:val="zh-CN"/>
        </w:rPr>
        <w:t>承包人应与发包人沟通协商进行相应修改或按要求提供补充资料。</w:t>
      </w:r>
    </w:p>
    <w:p>
      <w:pPr>
        <w:spacing w:line="400" w:lineRule="exact"/>
        <w:ind w:firstLine="420" w:firstLineChars="20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u w:val="single"/>
          <w:lang w:val="zh-CN"/>
        </w:rPr>
        <w:t>非经发包人书面确认的竣工结算</w:t>
      </w:r>
      <w:r>
        <w:rPr>
          <w:rFonts w:hint="eastAsia" w:ascii="仿宋" w:hAnsi="仿宋" w:eastAsia="仿宋" w:cs="仿宋"/>
          <w:color w:val="auto"/>
          <w:sz w:val="21"/>
          <w:szCs w:val="21"/>
          <w:highlight w:val="none"/>
          <w:u w:val="single"/>
          <w:lang w:val="en-US" w:eastAsia="zh-CN"/>
        </w:rPr>
        <w:t>申请单及结算资料</w:t>
      </w:r>
      <w:r>
        <w:rPr>
          <w:rFonts w:hint="eastAsia" w:ascii="仿宋" w:hAnsi="仿宋" w:eastAsia="仿宋" w:cs="仿宋"/>
          <w:color w:val="auto"/>
          <w:sz w:val="21"/>
          <w:szCs w:val="21"/>
          <w:highlight w:val="none"/>
          <w:u w:val="single"/>
          <w:lang w:val="zh-CN"/>
        </w:rPr>
        <w:t>不得作为双方结算的依据</w:t>
      </w:r>
      <w:r>
        <w:rPr>
          <w:rFonts w:hint="eastAsia" w:ascii="仿宋" w:hAnsi="仿宋" w:eastAsia="仿宋" w:cs="仿宋"/>
          <w:color w:val="auto"/>
          <w:sz w:val="21"/>
          <w:szCs w:val="21"/>
          <w:highlight w:val="none"/>
          <w:u w:val="single"/>
          <w:lang w:val="zh-CN" w:eastAsia="zh-CN"/>
        </w:rPr>
        <w:t>，</w:t>
      </w:r>
      <w:r>
        <w:rPr>
          <w:rFonts w:hint="eastAsia" w:ascii="仿宋" w:hAnsi="仿宋" w:eastAsia="仿宋" w:cs="仿宋"/>
          <w:color w:val="auto"/>
          <w:sz w:val="21"/>
          <w:szCs w:val="21"/>
          <w:highlight w:val="none"/>
          <w:u w:val="single"/>
          <w:lang w:val="en-US" w:eastAsia="zh-CN"/>
        </w:rPr>
        <w:t>但发包人的确认只是形式上对资料是来自于承包人的确认，不代表对前述资料内容的认可，本项目最终结算金额以财政部门的评审结果为准。</w:t>
      </w:r>
      <w:r>
        <w:rPr>
          <w:rFonts w:hint="eastAsia" w:ascii="仿宋" w:hAnsi="仿宋" w:eastAsia="仿宋" w:cs="仿宋"/>
          <w:color w:val="auto"/>
          <w:sz w:val="21"/>
          <w:szCs w:val="21"/>
          <w:highlight w:val="none"/>
          <w:u w:val="single"/>
          <w:lang w:val="zh-CN"/>
        </w:rPr>
        <w:t>发包人确认</w:t>
      </w:r>
      <w:r>
        <w:rPr>
          <w:rFonts w:hint="eastAsia" w:ascii="仿宋" w:hAnsi="仿宋" w:eastAsia="仿宋" w:cs="仿宋"/>
          <w:color w:val="auto"/>
          <w:sz w:val="21"/>
          <w:szCs w:val="21"/>
          <w:highlight w:val="none"/>
          <w:u w:val="single"/>
          <w:lang w:val="en-US" w:eastAsia="zh-CN"/>
        </w:rPr>
        <w:t>前述资料</w:t>
      </w:r>
      <w:r>
        <w:rPr>
          <w:rFonts w:hint="eastAsia" w:ascii="仿宋" w:hAnsi="仿宋" w:eastAsia="仿宋" w:cs="仿宋"/>
          <w:color w:val="auto"/>
          <w:sz w:val="21"/>
          <w:szCs w:val="21"/>
          <w:highlight w:val="none"/>
          <w:u w:val="single"/>
          <w:lang w:val="zh-CN"/>
        </w:rPr>
        <w:t>后</w:t>
      </w:r>
      <w:r>
        <w:rPr>
          <w:rFonts w:hint="eastAsia" w:ascii="仿宋" w:hAnsi="仿宋" w:eastAsia="仿宋" w:cs="仿宋"/>
          <w:color w:val="auto"/>
          <w:sz w:val="21"/>
          <w:szCs w:val="21"/>
          <w:highlight w:val="none"/>
          <w:u w:val="single"/>
          <w:lang w:val="en-US" w:eastAsia="zh-CN"/>
        </w:rPr>
        <w:t>60日内将承包人报送的结算资料（文件）、竣工资料（文件）等资料</w:t>
      </w:r>
      <w:r>
        <w:rPr>
          <w:rFonts w:hint="eastAsia" w:ascii="仿宋" w:hAnsi="仿宋" w:eastAsia="仿宋" w:cs="仿宋"/>
          <w:color w:val="auto"/>
          <w:sz w:val="21"/>
          <w:szCs w:val="21"/>
          <w:highlight w:val="none"/>
          <w:u w:val="single"/>
          <w:lang w:val="zh-CN"/>
        </w:rPr>
        <w:t>送财政</w:t>
      </w:r>
      <w:r>
        <w:rPr>
          <w:rFonts w:hint="eastAsia" w:ascii="仿宋" w:hAnsi="仿宋" w:eastAsia="仿宋" w:cs="仿宋"/>
          <w:color w:val="auto"/>
          <w:sz w:val="21"/>
          <w:szCs w:val="21"/>
          <w:highlight w:val="none"/>
          <w:u w:val="single"/>
          <w:lang w:val="en-US" w:eastAsia="zh-CN"/>
        </w:rPr>
        <w:t>部门</w:t>
      </w:r>
      <w:r>
        <w:rPr>
          <w:rFonts w:hint="eastAsia" w:ascii="仿宋" w:hAnsi="仿宋" w:eastAsia="仿宋" w:cs="仿宋"/>
          <w:color w:val="auto"/>
          <w:sz w:val="21"/>
          <w:szCs w:val="21"/>
          <w:highlight w:val="none"/>
          <w:u w:val="single"/>
          <w:lang w:val="zh-CN"/>
        </w:rPr>
        <w:t>进行评审，以财政</w:t>
      </w:r>
      <w:r>
        <w:rPr>
          <w:rFonts w:hint="eastAsia" w:ascii="仿宋" w:hAnsi="仿宋" w:eastAsia="仿宋" w:cs="仿宋"/>
          <w:color w:val="auto"/>
          <w:sz w:val="21"/>
          <w:szCs w:val="21"/>
          <w:highlight w:val="none"/>
          <w:u w:val="single"/>
          <w:lang w:val="en-US" w:eastAsia="zh-CN"/>
        </w:rPr>
        <w:t>部门</w:t>
      </w:r>
      <w:r>
        <w:rPr>
          <w:rFonts w:hint="eastAsia" w:ascii="仿宋" w:hAnsi="仿宋" w:eastAsia="仿宋" w:cs="仿宋"/>
          <w:color w:val="auto"/>
          <w:sz w:val="21"/>
          <w:szCs w:val="21"/>
          <w:highlight w:val="none"/>
          <w:u w:val="single"/>
          <w:lang w:val="zh-CN"/>
        </w:rPr>
        <w:t>评审结果为准向承包人支付工程剩余价款，并按要求留足质保金。</w:t>
      </w:r>
      <w:r>
        <w:rPr>
          <w:rFonts w:hint="eastAsia" w:ascii="仿宋" w:hAnsi="仿宋" w:eastAsia="仿宋" w:cs="仿宋"/>
          <w:color w:val="auto"/>
          <w:sz w:val="21"/>
          <w:szCs w:val="21"/>
          <w:highlight w:val="none"/>
          <w:u w:val="single"/>
          <w:lang w:val="en-US" w:eastAsia="zh-CN"/>
        </w:rPr>
        <w:t>承包人承诺并认可本项目最终金额以财政部门的评审结果为准。</w:t>
      </w:r>
      <w:r>
        <w:rPr>
          <w:rFonts w:hint="eastAsia" w:ascii="仿宋" w:hAnsi="仿宋" w:eastAsia="仿宋" w:cs="仿宋"/>
          <w:color w:val="auto"/>
          <w:sz w:val="21"/>
          <w:szCs w:val="21"/>
          <w:highlight w:val="none"/>
          <w:lang w:val="en-US" w:eastAsia="zh-CN"/>
        </w:rPr>
        <w:t>双方按照财政部门审核（评审）结果进行结算。</w:t>
      </w:r>
    </w:p>
    <w:p>
      <w:pPr>
        <w:tabs>
          <w:tab w:val="left" w:pos="1080"/>
        </w:tabs>
        <w:adjustRightInd w:val="0"/>
        <w:snapToGrid w:val="0"/>
        <w:spacing w:line="400" w:lineRule="exact"/>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双方确认无论因何种原因导致财政审核工作延迟或延期或中止或终止的，发包人不承担任何责任。</w:t>
      </w:r>
    </w:p>
    <w:p>
      <w:pPr>
        <w:tabs>
          <w:tab w:val="left" w:pos="1080"/>
        </w:tabs>
        <w:adjustRightInd w:val="0"/>
        <w:snapToGrid w:val="0"/>
        <w:spacing w:line="400" w:lineRule="exact"/>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双方约定，若因国家法律法规、规范性文件或财政审核工作发生变化，本项目无法或无需进行财政审核的，承包人认可并同意以发包人委托的第三方审计或造价咨询机构出具的审核结论作为双方结算的依据。</w:t>
      </w:r>
    </w:p>
    <w:p>
      <w:pPr>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14.4.1 最终结清申请单</w:t>
      </w:r>
    </w:p>
    <w:p>
      <w:pPr>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承包人提交最终结清申请单的份数：</w:t>
      </w:r>
      <w:r>
        <w:rPr>
          <w:rFonts w:hint="eastAsia" w:ascii="仿宋" w:hAnsi="仿宋" w:eastAsia="仿宋" w:cs="仿宋"/>
          <w:color w:val="auto"/>
          <w:sz w:val="21"/>
          <w:szCs w:val="21"/>
          <w:highlight w:val="none"/>
          <w:u w:val="single"/>
        </w:rPr>
        <w:t xml:space="preserve"> 按发包人要求 。</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承包人提交最终结算申请单的期限：</w:t>
      </w:r>
      <w:r>
        <w:rPr>
          <w:rFonts w:hint="eastAsia" w:ascii="仿宋" w:hAnsi="仿宋" w:eastAsia="仿宋" w:cs="仿宋"/>
          <w:color w:val="auto"/>
          <w:sz w:val="21"/>
          <w:szCs w:val="21"/>
          <w:highlight w:val="none"/>
          <w:u w:val="single"/>
        </w:rPr>
        <w:t>质保期满后（按照质量保修协议）30天内 。</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发包人逾期未对承包人的</w:t>
      </w:r>
      <w:r>
        <w:rPr>
          <w:rFonts w:hint="eastAsia" w:ascii="仿宋" w:hAnsi="仿宋" w:eastAsia="仿宋" w:cs="仿宋"/>
          <w:color w:val="auto"/>
          <w:kern w:val="0"/>
          <w:sz w:val="21"/>
          <w:szCs w:val="21"/>
          <w:highlight w:val="none"/>
        </w:rPr>
        <w:t>最终结清申请单</w:t>
      </w:r>
      <w:r>
        <w:rPr>
          <w:rFonts w:hint="eastAsia" w:ascii="仿宋" w:hAnsi="仿宋" w:eastAsia="仿宋" w:cs="仿宋"/>
          <w:color w:val="auto"/>
          <w:sz w:val="21"/>
          <w:szCs w:val="21"/>
          <w:highlight w:val="none"/>
        </w:rPr>
        <w:t>完成审批或提出异议的，视为发包人不认可承包人的</w:t>
      </w:r>
      <w:r>
        <w:rPr>
          <w:rFonts w:hint="eastAsia" w:ascii="仿宋" w:hAnsi="仿宋" w:eastAsia="仿宋" w:cs="仿宋"/>
          <w:color w:val="auto"/>
          <w:kern w:val="0"/>
          <w:sz w:val="21"/>
          <w:szCs w:val="21"/>
          <w:highlight w:val="none"/>
        </w:rPr>
        <w:t>最终结清申请单</w:t>
      </w:r>
      <w:r>
        <w:rPr>
          <w:rFonts w:hint="eastAsia" w:ascii="仿宋" w:hAnsi="仿宋" w:eastAsia="仿宋" w:cs="仿宋"/>
          <w:color w:val="auto"/>
          <w:sz w:val="21"/>
          <w:szCs w:val="21"/>
          <w:highlight w:val="none"/>
        </w:rPr>
        <w:t>，承包人应与发包人沟通协商进行相应修改或按要求提供补充资料。</w:t>
      </w:r>
    </w:p>
    <w:p>
      <w:pPr>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14.4.2 最终结清证书和支付</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（1）发包人完成最终结清申请单的审批并颁发最终结清证书的期限：</w:t>
      </w:r>
      <w:r>
        <w:rPr>
          <w:rFonts w:hint="eastAsia" w:ascii="仿宋" w:hAnsi="仿宋" w:eastAsia="仿宋" w:cs="仿宋"/>
          <w:color w:val="auto"/>
          <w:sz w:val="21"/>
          <w:szCs w:val="21"/>
          <w:highlight w:val="none"/>
          <w:u w:val="single"/>
        </w:rPr>
        <w:t xml:space="preserve"> 收到相应材料之日起30天内 。</w:t>
      </w:r>
      <w:r>
        <w:rPr>
          <w:rFonts w:hint="eastAsia" w:ascii="仿宋" w:hAnsi="仿宋" w:eastAsia="仿宋" w:cs="仿宋"/>
          <w:color w:val="auto"/>
          <w:sz w:val="21"/>
          <w:szCs w:val="21"/>
          <w:highlight w:val="none"/>
        </w:rPr>
        <w:t xml:space="preserve"> </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（2）发包人完成支付的期限：</w:t>
      </w:r>
      <w:r>
        <w:rPr>
          <w:rFonts w:hint="eastAsia" w:ascii="仿宋" w:hAnsi="仿宋" w:eastAsia="仿宋" w:cs="仿宋"/>
          <w:color w:val="auto"/>
          <w:sz w:val="21"/>
          <w:szCs w:val="21"/>
          <w:highlight w:val="none"/>
          <w:u w:val="single"/>
        </w:rPr>
        <w:t>完成相应材料审批之日起30天内 。</w:t>
      </w:r>
      <w:r>
        <w:rPr>
          <w:rFonts w:hint="eastAsia" w:ascii="仿宋" w:hAnsi="仿宋" w:eastAsia="仿宋" w:cs="仿宋"/>
          <w:color w:val="auto"/>
          <w:sz w:val="21"/>
          <w:szCs w:val="21"/>
          <w:highlight w:val="none"/>
        </w:rPr>
        <w:t xml:space="preserve"> </w:t>
      </w:r>
    </w:p>
    <w:p>
      <w:pPr>
        <w:spacing w:before="120" w:after="120" w:line="400" w:lineRule="exact"/>
        <w:outlineLvl w:val="9"/>
        <w:rPr>
          <w:rFonts w:hint="eastAsia" w:ascii="仿宋" w:hAnsi="仿宋" w:eastAsia="仿宋" w:cs="仿宋"/>
          <w:b w:val="0"/>
          <w:bCs w:val="0"/>
          <w:color w:val="auto"/>
          <w:sz w:val="21"/>
          <w:szCs w:val="21"/>
          <w:highlight w:val="none"/>
        </w:rPr>
      </w:pPr>
      <w:r>
        <w:rPr>
          <w:rFonts w:hint="eastAsia" w:ascii="仿宋" w:hAnsi="仿宋" w:eastAsia="仿宋" w:cs="仿宋"/>
          <w:b w:val="0"/>
          <w:bCs w:val="0"/>
          <w:color w:val="auto"/>
          <w:sz w:val="21"/>
          <w:szCs w:val="21"/>
          <w:highlight w:val="none"/>
        </w:rPr>
        <w:t>15. 缺陷责任期与保修</w:t>
      </w:r>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15.2缺陷责任期</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缺陷责任期的具体期限：</w:t>
      </w:r>
      <w:r>
        <w:rPr>
          <w:rFonts w:hint="eastAsia" w:ascii="仿宋" w:hAnsi="仿宋" w:eastAsia="仿宋" w:cs="仿宋"/>
          <w:color w:val="auto"/>
          <w:kern w:val="0"/>
          <w:sz w:val="21"/>
          <w:szCs w:val="21"/>
          <w:highlight w:val="none"/>
          <w:u w:val="single"/>
        </w:rPr>
        <w:t>自竣工验收合格</w:t>
      </w:r>
      <w:r>
        <w:rPr>
          <w:rFonts w:hint="eastAsia" w:ascii="仿宋" w:hAnsi="仿宋" w:eastAsia="仿宋" w:cs="仿宋"/>
          <w:b w:val="0"/>
          <w:bCs w:val="0"/>
          <w:color w:val="auto"/>
          <w:kern w:val="0"/>
          <w:sz w:val="21"/>
          <w:szCs w:val="21"/>
          <w:highlight w:val="none"/>
          <w:u w:val="none"/>
          <w:lang w:val="en-US" w:eastAsia="zh-CN"/>
        </w:rPr>
        <w:t>并移交</w:t>
      </w:r>
      <w:r>
        <w:rPr>
          <w:rFonts w:hint="eastAsia" w:ascii="仿宋" w:hAnsi="仿宋" w:eastAsia="仿宋" w:cs="仿宋"/>
          <w:color w:val="auto"/>
          <w:kern w:val="0"/>
          <w:sz w:val="21"/>
          <w:szCs w:val="21"/>
          <w:highlight w:val="none"/>
          <w:u w:val="single"/>
        </w:rPr>
        <w:t>之日起24个月</w:t>
      </w:r>
      <w:r>
        <w:rPr>
          <w:rFonts w:hint="eastAsia" w:ascii="仿宋" w:hAnsi="仿宋" w:eastAsia="仿宋" w:cs="仿宋"/>
          <w:color w:val="auto"/>
          <w:sz w:val="21"/>
          <w:szCs w:val="21"/>
          <w:highlight w:val="none"/>
          <w:u w:val="single"/>
        </w:rPr>
        <w:t>。</w:t>
      </w:r>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15.3 质量保证金</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关于是否扣留质量保证金的约定：</w:t>
      </w:r>
      <w:r>
        <w:rPr>
          <w:rFonts w:hint="eastAsia" w:ascii="仿宋" w:hAnsi="仿宋" w:eastAsia="仿宋" w:cs="仿宋"/>
          <w:color w:val="auto"/>
          <w:sz w:val="21"/>
          <w:szCs w:val="21"/>
          <w:highlight w:val="none"/>
          <w:u w:val="single"/>
        </w:rPr>
        <w:t xml:space="preserve"> 是 </w:t>
      </w:r>
      <w:r>
        <w:rPr>
          <w:rFonts w:hint="eastAsia" w:ascii="仿宋" w:hAnsi="仿宋" w:eastAsia="仿宋" w:cs="仿宋"/>
          <w:color w:val="auto"/>
          <w:sz w:val="21"/>
          <w:szCs w:val="21"/>
          <w:highlight w:val="none"/>
        </w:rPr>
        <w:t>。</w:t>
      </w:r>
    </w:p>
    <w:p>
      <w:pPr>
        <w:spacing w:line="400" w:lineRule="exact"/>
        <w:ind w:firstLine="415" w:firstLineChars="198"/>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15.3.1 承包人提供质量保证金的方式</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质量保证金采用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kern w:val="0"/>
          <w:sz w:val="21"/>
          <w:szCs w:val="21"/>
          <w:highlight w:val="none"/>
          <w:u w:val="single"/>
        </w:rPr>
        <w:t>（3）</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种方式：</w:t>
      </w:r>
    </w:p>
    <w:p>
      <w:pPr>
        <w:numPr>
          <w:ilvl w:val="0"/>
          <w:numId w:val="10"/>
        </w:numPr>
        <w:autoSpaceDE w:val="0"/>
        <w:autoSpaceDN w:val="0"/>
        <w:adjustRightInd w:val="0"/>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质量保证金保函，保证金额为：</w:t>
      </w:r>
      <w:r>
        <w:rPr>
          <w:rFonts w:hint="eastAsia" w:ascii="仿宋" w:hAnsi="仿宋" w:eastAsia="仿宋" w:cs="仿宋"/>
          <w:color w:val="auto"/>
          <w:kern w:val="0"/>
          <w:sz w:val="21"/>
          <w:szCs w:val="21"/>
          <w:highlight w:val="none"/>
          <w:u w:val="single"/>
        </w:rPr>
        <w:t xml:space="preserve">   /     </w:t>
      </w:r>
      <w:r>
        <w:rPr>
          <w:rFonts w:hint="eastAsia" w:ascii="仿宋" w:hAnsi="仿宋" w:eastAsia="仿宋" w:cs="仿宋"/>
          <w:color w:val="auto"/>
          <w:kern w:val="0"/>
          <w:sz w:val="21"/>
          <w:szCs w:val="21"/>
          <w:highlight w:val="none"/>
        </w:rPr>
        <w:t xml:space="preserve"> ；</w:t>
      </w:r>
    </w:p>
    <w:p>
      <w:pPr>
        <w:numPr>
          <w:ilvl w:val="0"/>
          <w:numId w:val="10"/>
        </w:numPr>
        <w:autoSpaceDE w:val="0"/>
        <w:autoSpaceDN w:val="0"/>
        <w:adjustRightInd w:val="0"/>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u w:val="single"/>
        </w:rPr>
        <w:t xml:space="preserve"> /  </w:t>
      </w:r>
      <w:r>
        <w:rPr>
          <w:rFonts w:hint="eastAsia" w:ascii="仿宋" w:hAnsi="仿宋" w:eastAsia="仿宋" w:cs="仿宋"/>
          <w:color w:val="auto"/>
          <w:kern w:val="0"/>
          <w:sz w:val="21"/>
          <w:szCs w:val="21"/>
          <w:highlight w:val="none"/>
        </w:rPr>
        <w:t xml:space="preserve"> 的工程款；</w:t>
      </w:r>
    </w:p>
    <w:p>
      <w:pPr>
        <w:autoSpaceDE w:val="0"/>
        <w:autoSpaceDN w:val="0"/>
        <w:adjustRightInd w:val="0"/>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w:t>
      </w:r>
      <w:r>
        <w:rPr>
          <w:rFonts w:hint="eastAsia" w:ascii="仿宋" w:hAnsi="仿宋" w:eastAsia="仿宋" w:cs="仿宋"/>
          <w:color w:val="auto"/>
          <w:sz w:val="21"/>
          <w:szCs w:val="21"/>
          <w:highlight w:val="none"/>
        </w:rPr>
        <w:t>其他方式：</w:t>
      </w:r>
      <w:r>
        <w:rPr>
          <w:rFonts w:hint="eastAsia" w:ascii="仿宋" w:hAnsi="仿宋" w:eastAsia="仿宋" w:cs="仿宋"/>
          <w:color w:val="auto"/>
          <w:kern w:val="0"/>
          <w:sz w:val="21"/>
          <w:szCs w:val="21"/>
          <w:highlight w:val="none"/>
          <w:u w:val="single"/>
        </w:rPr>
        <w:t>工程结算价款的</w:t>
      </w:r>
      <w:r>
        <w:rPr>
          <w:rFonts w:hint="eastAsia" w:ascii="仿宋" w:hAnsi="仿宋" w:eastAsia="仿宋" w:cs="仿宋"/>
          <w:color w:val="auto"/>
          <w:kern w:val="0"/>
          <w:sz w:val="21"/>
          <w:szCs w:val="21"/>
          <w:highlight w:val="none"/>
          <w:u w:val="single"/>
          <w:lang w:val="en-US" w:eastAsia="zh-CN"/>
        </w:rPr>
        <w:t>3</w:t>
      </w:r>
      <w:r>
        <w:rPr>
          <w:rFonts w:hint="eastAsia" w:ascii="仿宋" w:hAnsi="仿宋" w:eastAsia="仿宋" w:cs="仿宋"/>
          <w:color w:val="auto"/>
          <w:kern w:val="0"/>
          <w:sz w:val="21"/>
          <w:szCs w:val="21"/>
          <w:highlight w:val="none"/>
          <w:u w:val="single"/>
        </w:rPr>
        <w:t>%作为质保金，</w:t>
      </w:r>
      <w:r>
        <w:rPr>
          <w:rFonts w:hint="eastAsia" w:ascii="仿宋" w:hAnsi="仿宋" w:eastAsia="仿宋" w:cs="仿宋"/>
          <w:color w:val="auto"/>
          <w:sz w:val="21"/>
          <w:szCs w:val="21"/>
          <w:highlight w:val="none"/>
          <w:u w:val="single"/>
          <w:lang w:val="zh-CN"/>
        </w:rPr>
        <w:t>待工程相应</w:t>
      </w:r>
      <w:r>
        <w:rPr>
          <w:rFonts w:hint="eastAsia" w:ascii="仿宋" w:hAnsi="仿宋" w:eastAsia="仿宋" w:cs="仿宋"/>
          <w:color w:val="auto"/>
          <w:sz w:val="21"/>
          <w:szCs w:val="21"/>
          <w:highlight w:val="none"/>
          <w:u w:val="single"/>
          <w:lang w:val="en-US" w:eastAsia="zh-CN"/>
        </w:rPr>
        <w:t>质保期</w:t>
      </w:r>
      <w:r>
        <w:rPr>
          <w:rFonts w:hint="eastAsia" w:ascii="仿宋" w:hAnsi="仿宋" w:eastAsia="仿宋" w:cs="仿宋"/>
          <w:color w:val="auto"/>
          <w:sz w:val="21"/>
          <w:szCs w:val="21"/>
          <w:highlight w:val="none"/>
          <w:u w:val="single"/>
          <w:lang w:val="zh-CN"/>
        </w:rPr>
        <w:t>满后</w:t>
      </w:r>
      <w:r>
        <w:rPr>
          <w:rFonts w:hint="eastAsia" w:ascii="仿宋" w:hAnsi="仿宋" w:eastAsia="仿宋" w:cs="仿宋"/>
          <w:color w:val="auto"/>
          <w:sz w:val="21"/>
          <w:szCs w:val="21"/>
          <w:highlight w:val="none"/>
          <w:u w:val="single"/>
          <w:lang w:val="en-US" w:eastAsia="zh-CN"/>
        </w:rPr>
        <w:t>无息</w:t>
      </w:r>
      <w:r>
        <w:rPr>
          <w:rFonts w:hint="eastAsia" w:ascii="仿宋" w:hAnsi="仿宋" w:eastAsia="仿宋" w:cs="仿宋"/>
          <w:color w:val="auto"/>
          <w:sz w:val="21"/>
          <w:szCs w:val="21"/>
          <w:highlight w:val="none"/>
          <w:u w:val="single"/>
          <w:lang w:val="zh-CN"/>
        </w:rPr>
        <w:t>支付</w:t>
      </w:r>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15.3.2 质量保证金的扣留</w:t>
      </w:r>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质量保证金的扣留采取以下第</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kern w:val="0"/>
          <w:sz w:val="21"/>
          <w:szCs w:val="21"/>
          <w:highlight w:val="none"/>
          <w:u w:val="single"/>
        </w:rPr>
        <w:t>（2）</w:t>
      </w:r>
      <w:r>
        <w:rPr>
          <w:rFonts w:hint="eastAsia" w:ascii="仿宋" w:hAnsi="仿宋" w:eastAsia="仿宋" w:cs="仿宋"/>
          <w:color w:val="auto"/>
          <w:sz w:val="21"/>
          <w:szCs w:val="21"/>
          <w:highlight w:val="none"/>
        </w:rPr>
        <w:t>种方式：</w:t>
      </w:r>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（1）在支付工程进度款时逐次扣留，在此情形下，质量保证金的计算基数不包括预付款的支付、扣回以及价格调整的金额；</w:t>
      </w:r>
    </w:p>
    <w:p>
      <w:pPr>
        <w:numPr>
          <w:ilvl w:val="0"/>
          <w:numId w:val="11"/>
        </w:num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工程竣工结算时一次性扣留质量保证金；</w:t>
      </w:r>
    </w:p>
    <w:p>
      <w:pPr>
        <w:numPr>
          <w:ilvl w:val="0"/>
          <w:numId w:val="11"/>
        </w:num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其他扣留方式：</w:t>
      </w:r>
      <w:r>
        <w:rPr>
          <w:rFonts w:hint="eastAsia" w:ascii="仿宋" w:hAnsi="仿宋" w:eastAsia="仿宋" w:cs="仿宋"/>
          <w:color w:val="auto"/>
          <w:sz w:val="21"/>
          <w:szCs w:val="21"/>
          <w:highlight w:val="none"/>
          <w:u w:val="single"/>
        </w:rPr>
        <w:t xml:space="preserve">  /  </w:t>
      </w:r>
      <w:r>
        <w:rPr>
          <w:rFonts w:hint="eastAsia" w:ascii="仿宋" w:hAnsi="仿宋" w:eastAsia="仿宋" w:cs="仿宋"/>
          <w:color w:val="auto"/>
          <w:sz w:val="21"/>
          <w:szCs w:val="21"/>
          <w:highlight w:val="none"/>
        </w:rPr>
        <w:t>。</w:t>
      </w:r>
    </w:p>
    <w:p>
      <w:pPr>
        <w:spacing w:after="120"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关于质量保证金的补充约定：</w:t>
      </w:r>
      <w:r>
        <w:rPr>
          <w:rFonts w:hint="eastAsia" w:ascii="仿宋" w:hAnsi="仿宋" w:eastAsia="仿宋" w:cs="仿宋"/>
          <w:color w:val="auto"/>
          <w:sz w:val="21"/>
          <w:szCs w:val="21"/>
          <w:highlight w:val="none"/>
          <w:u w:val="single"/>
        </w:rPr>
        <w:t xml:space="preserve"> / </w:t>
      </w:r>
      <w:r>
        <w:rPr>
          <w:rFonts w:hint="eastAsia" w:ascii="仿宋" w:hAnsi="仿宋" w:eastAsia="仿宋" w:cs="仿宋"/>
          <w:color w:val="auto"/>
          <w:sz w:val="21"/>
          <w:szCs w:val="21"/>
          <w:highlight w:val="none"/>
        </w:rPr>
        <w:t xml:space="preserve">。 </w:t>
      </w:r>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15.4保修</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15.4.1 保修责任</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工程保修期为：</w:t>
      </w:r>
      <w:r>
        <w:rPr>
          <w:rFonts w:hint="eastAsia" w:ascii="仿宋" w:hAnsi="仿宋" w:eastAsia="仿宋" w:cs="仿宋"/>
          <w:color w:val="auto"/>
          <w:kern w:val="0"/>
          <w:sz w:val="21"/>
          <w:szCs w:val="21"/>
          <w:highlight w:val="none"/>
        </w:rPr>
        <w:t xml:space="preserve"> </w:t>
      </w:r>
      <w:r>
        <w:rPr>
          <w:rFonts w:hint="eastAsia" w:ascii="仿宋" w:hAnsi="仿宋" w:eastAsia="仿宋" w:cs="仿宋"/>
          <w:color w:val="auto"/>
          <w:sz w:val="21"/>
          <w:szCs w:val="21"/>
          <w:highlight w:val="none"/>
        </w:rPr>
        <w:t>执行我国《房屋质量管理条例》及其他相关类别工程的相关规定 。</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15.4.3 修复通知</w:t>
      </w:r>
    </w:p>
    <w:p>
      <w:pPr>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承包人收到保修通知并到达工程现场的合理时间：</w:t>
      </w:r>
      <w:r>
        <w:rPr>
          <w:rFonts w:hint="eastAsia" w:ascii="仿宋" w:hAnsi="仿宋" w:eastAsia="仿宋" w:cs="仿宋"/>
          <w:color w:val="auto"/>
          <w:kern w:val="0"/>
          <w:sz w:val="21"/>
          <w:szCs w:val="21"/>
          <w:highlight w:val="none"/>
          <w:u w:val="single"/>
        </w:rPr>
        <w:t xml:space="preserve">  24小时</w:t>
      </w:r>
      <w:r>
        <w:rPr>
          <w:rFonts w:hint="eastAsia" w:ascii="仿宋" w:hAnsi="仿宋" w:eastAsia="仿宋" w:cs="仿宋"/>
          <w:color w:val="auto"/>
          <w:kern w:val="0"/>
          <w:sz w:val="21"/>
          <w:szCs w:val="21"/>
          <w:highlight w:val="none"/>
        </w:rPr>
        <w:t>。</w:t>
      </w:r>
    </w:p>
    <w:p>
      <w:pPr>
        <w:spacing w:line="360" w:lineRule="auto"/>
        <w:ind w:left="105" w:leftChars="50" w:firstLine="430" w:firstLineChars="20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属于保修范围、内容的项目，承包人应当在接到保修通知之日起</w:t>
      </w:r>
      <w:r>
        <w:rPr>
          <w:rFonts w:hint="eastAsia" w:ascii="仿宋" w:hAnsi="仿宋" w:eastAsia="仿宋" w:cs="仿宋"/>
          <w:color w:val="auto"/>
          <w:sz w:val="21"/>
          <w:szCs w:val="21"/>
          <w:highlight w:val="none"/>
          <w:u w:val="single"/>
        </w:rPr>
        <w:t>24</w:t>
      </w:r>
      <w:r>
        <w:rPr>
          <w:rFonts w:hint="eastAsia" w:ascii="仿宋" w:hAnsi="仿宋" w:eastAsia="仿宋" w:cs="仿宋"/>
          <w:color w:val="auto"/>
          <w:sz w:val="21"/>
          <w:szCs w:val="21"/>
          <w:highlight w:val="none"/>
        </w:rPr>
        <w:t>小时内派人保修。承包人不在约定期限内派人保修的，发包人可以委托他人修理，但费用由承包人承担，发包人有权从质保金中直接扣除。</w:t>
      </w:r>
    </w:p>
    <w:p>
      <w:pPr>
        <w:spacing w:line="360" w:lineRule="auto"/>
        <w:ind w:left="105" w:leftChars="50" w:firstLine="430" w:firstLineChars="20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发生紧急事故需抢修的，承包人在接到事故通知后，应当立即到达事故现场抢修。</w:t>
      </w:r>
    </w:p>
    <w:p>
      <w:pPr>
        <w:spacing w:line="360" w:lineRule="auto"/>
        <w:ind w:left="105" w:leftChars="50" w:firstLine="430" w:firstLineChars="20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left="420" w:leftChars="200" w:firstLine="105" w:firstLineChars="5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质量保修完成后，由发包人组织验收。</w:t>
      </w:r>
    </w:p>
    <w:p>
      <w:pPr>
        <w:spacing w:line="4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16. 违约</w:t>
      </w:r>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16.1 发包人违约</w:t>
      </w:r>
    </w:p>
    <w:p>
      <w:pPr>
        <w:spacing w:line="400" w:lineRule="exact"/>
        <w:ind w:left="1500" w:hanging="1050" w:hangingChars="5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16.1.2 发包人违约的责任</w:t>
      </w:r>
    </w:p>
    <w:p>
      <w:pPr>
        <w:spacing w:line="400" w:lineRule="exact"/>
        <w:ind w:firstLine="525" w:firstLineChars="25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发包人违约责任的承担方式和计算方法：</w:t>
      </w:r>
    </w:p>
    <w:p>
      <w:pPr>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（1）因发包人原因未能在计划开工日期前7天内下达开工通知的违约责任：</w:t>
      </w:r>
      <w:r>
        <w:rPr>
          <w:rFonts w:hint="eastAsia" w:ascii="仿宋" w:hAnsi="仿宋" w:eastAsia="仿宋" w:cs="仿宋"/>
          <w:color w:val="auto"/>
          <w:kern w:val="0"/>
          <w:sz w:val="21"/>
          <w:szCs w:val="21"/>
          <w:highlight w:val="none"/>
          <w:u w:val="single"/>
        </w:rPr>
        <w:t xml:space="preserve">  不承担  </w:t>
      </w:r>
      <w:r>
        <w:rPr>
          <w:rFonts w:hint="eastAsia" w:ascii="仿宋" w:hAnsi="仿宋" w:eastAsia="仿宋" w:cs="仿宋"/>
          <w:color w:val="auto"/>
          <w:kern w:val="0"/>
          <w:sz w:val="21"/>
          <w:szCs w:val="21"/>
          <w:highlight w:val="none"/>
        </w:rPr>
        <w:t>。</w:t>
      </w:r>
    </w:p>
    <w:p>
      <w:pPr>
        <w:spacing w:line="400" w:lineRule="exact"/>
        <w:ind w:firstLine="420" w:firstLineChars="200"/>
        <w:jc w:val="left"/>
        <w:rPr>
          <w:rFonts w:hint="eastAsia" w:ascii="仿宋" w:hAnsi="仿宋" w:eastAsia="仿宋" w:cs="仿宋"/>
          <w:color w:val="auto"/>
          <w:kern w:val="0"/>
          <w:sz w:val="21"/>
          <w:szCs w:val="21"/>
          <w:highlight w:val="none"/>
          <w:u w:val="single"/>
        </w:rPr>
      </w:pPr>
      <w:r>
        <w:rPr>
          <w:rFonts w:hint="eastAsia" w:ascii="仿宋" w:hAnsi="仿宋" w:eastAsia="仿宋" w:cs="仿宋"/>
          <w:color w:val="auto"/>
          <w:kern w:val="0"/>
          <w:sz w:val="21"/>
          <w:szCs w:val="21"/>
          <w:highlight w:val="none"/>
        </w:rPr>
        <w:t>（2）因发包人原因未能按合同约定支付合同价款的违约责任：</w:t>
      </w:r>
      <w:r>
        <w:rPr>
          <w:rFonts w:hint="eastAsia" w:ascii="仿宋" w:hAnsi="仿宋" w:eastAsia="仿宋" w:cs="仿宋"/>
          <w:color w:val="auto"/>
          <w:kern w:val="0"/>
          <w:sz w:val="21"/>
          <w:szCs w:val="21"/>
          <w:highlight w:val="none"/>
          <w:u w:val="single"/>
        </w:rPr>
        <w:t xml:space="preserve"> 不承担 </w:t>
      </w:r>
      <w:r>
        <w:rPr>
          <w:rFonts w:hint="eastAsia" w:ascii="仿宋" w:hAnsi="仿宋" w:eastAsia="仿宋" w:cs="仿宋"/>
          <w:color w:val="auto"/>
          <w:kern w:val="0"/>
          <w:sz w:val="21"/>
          <w:szCs w:val="21"/>
          <w:highlight w:val="none"/>
        </w:rPr>
        <w:t>。</w:t>
      </w:r>
    </w:p>
    <w:p>
      <w:pPr>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（3）发包人违反第10.1款〔变更的范围〕第（2）项约定，自行实施被取消的工作或转由他人实施的违约责任：</w:t>
      </w:r>
      <w:r>
        <w:rPr>
          <w:rFonts w:hint="eastAsia" w:ascii="仿宋" w:hAnsi="仿宋" w:eastAsia="仿宋" w:cs="仿宋"/>
          <w:color w:val="auto"/>
          <w:kern w:val="0"/>
          <w:sz w:val="21"/>
          <w:szCs w:val="21"/>
          <w:highlight w:val="none"/>
          <w:u w:val="single"/>
        </w:rPr>
        <w:t xml:space="preserve"> 不承担 。</w:t>
      </w:r>
    </w:p>
    <w:p>
      <w:pPr>
        <w:spacing w:line="400" w:lineRule="exact"/>
        <w:ind w:firstLine="420" w:firstLineChars="200"/>
        <w:jc w:val="left"/>
        <w:rPr>
          <w:rFonts w:hint="eastAsia" w:ascii="仿宋" w:hAnsi="仿宋" w:eastAsia="仿宋" w:cs="仿宋"/>
          <w:b w:val="0"/>
          <w:bCs w:val="0"/>
          <w:color w:val="auto"/>
          <w:kern w:val="0"/>
          <w:sz w:val="21"/>
          <w:szCs w:val="21"/>
          <w:highlight w:val="none"/>
          <w:u w:val="none"/>
        </w:rPr>
      </w:pPr>
      <w:r>
        <w:rPr>
          <w:rFonts w:hint="eastAsia" w:ascii="仿宋" w:hAnsi="仿宋" w:eastAsia="仿宋" w:cs="仿宋"/>
          <w:color w:val="auto"/>
          <w:kern w:val="0"/>
          <w:sz w:val="21"/>
          <w:szCs w:val="21"/>
          <w:highlight w:val="none"/>
        </w:rPr>
        <w:t>（4）发包人提供的材料、工程设备的规格、数量或质量不符合合同约定，或因发包人原因导致交货日期延误或交货地点变更等情况的违约责任</w:t>
      </w:r>
      <w:r>
        <w:rPr>
          <w:rFonts w:hint="eastAsia" w:ascii="仿宋" w:hAnsi="仿宋" w:eastAsia="仿宋" w:cs="仿宋"/>
          <w:b w:val="0"/>
          <w:bCs w:val="0"/>
          <w:color w:val="auto"/>
          <w:kern w:val="0"/>
          <w:sz w:val="21"/>
          <w:szCs w:val="21"/>
          <w:highlight w:val="none"/>
          <w:u w:val="none"/>
        </w:rPr>
        <w:t xml:space="preserve">： </w:t>
      </w:r>
      <w:r>
        <w:rPr>
          <w:rFonts w:hint="eastAsia" w:ascii="仿宋" w:hAnsi="仿宋" w:eastAsia="仿宋" w:cs="仿宋"/>
          <w:b w:val="0"/>
          <w:bCs w:val="0"/>
          <w:color w:val="auto"/>
          <w:kern w:val="0"/>
          <w:sz w:val="21"/>
          <w:szCs w:val="21"/>
          <w:highlight w:val="none"/>
          <w:u w:val="none"/>
          <w:lang w:val="en-US" w:eastAsia="zh-CN"/>
        </w:rPr>
        <w:t>顺延承包人工期</w:t>
      </w:r>
      <w:r>
        <w:rPr>
          <w:rFonts w:hint="eastAsia" w:ascii="仿宋" w:hAnsi="仿宋" w:eastAsia="仿宋" w:cs="仿宋"/>
          <w:b w:val="0"/>
          <w:bCs w:val="0"/>
          <w:color w:val="auto"/>
          <w:kern w:val="0"/>
          <w:sz w:val="21"/>
          <w:szCs w:val="21"/>
          <w:highlight w:val="none"/>
          <w:u w:val="none"/>
        </w:rPr>
        <w:t xml:space="preserve"> 。</w:t>
      </w:r>
    </w:p>
    <w:p>
      <w:pPr>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b w:val="0"/>
          <w:bCs w:val="0"/>
          <w:color w:val="auto"/>
          <w:kern w:val="0"/>
          <w:sz w:val="21"/>
          <w:szCs w:val="21"/>
          <w:highlight w:val="none"/>
          <w:u w:val="none"/>
        </w:rPr>
        <w:t>（5）因发包人违反合同约定造成暂停施工的违约责任：</w:t>
      </w:r>
      <w:r>
        <w:rPr>
          <w:rFonts w:hint="eastAsia" w:ascii="仿宋" w:hAnsi="仿宋" w:eastAsia="仿宋" w:cs="仿宋"/>
          <w:b w:val="0"/>
          <w:bCs w:val="0"/>
          <w:color w:val="auto"/>
          <w:kern w:val="0"/>
          <w:sz w:val="21"/>
          <w:szCs w:val="21"/>
          <w:highlight w:val="none"/>
          <w:u w:val="none"/>
          <w:lang w:val="en-US" w:eastAsia="zh-CN"/>
        </w:rPr>
        <w:t>不承担</w:t>
      </w:r>
      <w:r>
        <w:rPr>
          <w:rFonts w:hint="eastAsia" w:ascii="仿宋" w:hAnsi="仿宋" w:eastAsia="仿宋" w:cs="仿宋"/>
          <w:b w:val="0"/>
          <w:bCs w:val="0"/>
          <w:color w:val="auto"/>
          <w:kern w:val="0"/>
          <w:sz w:val="21"/>
          <w:szCs w:val="21"/>
          <w:highlight w:val="none"/>
          <w:u w:val="none"/>
        </w:rPr>
        <w:t xml:space="preserve"> </w:t>
      </w:r>
      <w:r>
        <w:rPr>
          <w:rFonts w:hint="eastAsia" w:ascii="仿宋" w:hAnsi="仿宋" w:eastAsia="仿宋" w:cs="仿宋"/>
          <w:b w:val="0"/>
          <w:bCs w:val="0"/>
          <w:color w:val="auto"/>
          <w:kern w:val="0"/>
          <w:sz w:val="21"/>
          <w:szCs w:val="21"/>
          <w:highlight w:val="none"/>
          <w:u w:val="none"/>
          <w:lang w:eastAsia="zh-CN"/>
        </w:rPr>
        <w:t>，</w:t>
      </w:r>
      <w:r>
        <w:rPr>
          <w:rFonts w:hint="eastAsia" w:ascii="仿宋" w:hAnsi="仿宋" w:eastAsia="仿宋" w:cs="仿宋"/>
          <w:b w:val="0"/>
          <w:bCs w:val="0"/>
          <w:color w:val="auto"/>
          <w:kern w:val="0"/>
          <w:sz w:val="21"/>
          <w:szCs w:val="21"/>
          <w:highlight w:val="none"/>
          <w:u w:val="none"/>
          <w:lang w:val="en-US" w:eastAsia="zh-CN"/>
        </w:rPr>
        <w:t>但</w:t>
      </w:r>
      <w:r>
        <w:rPr>
          <w:rFonts w:hint="eastAsia" w:ascii="仿宋" w:hAnsi="仿宋" w:eastAsia="仿宋" w:cs="仿宋"/>
          <w:color w:val="auto"/>
          <w:kern w:val="0"/>
          <w:sz w:val="21"/>
          <w:szCs w:val="21"/>
          <w:highlight w:val="none"/>
          <w:u w:val="single"/>
        </w:rPr>
        <w:t>顺延承包人工期。</w:t>
      </w:r>
    </w:p>
    <w:p>
      <w:pPr>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（6）发包人无正当理由没有在约定期限内发出复工指示，导致承包人无法复工的违约责任：</w:t>
      </w:r>
      <w:r>
        <w:rPr>
          <w:rFonts w:hint="eastAsia" w:ascii="仿宋" w:hAnsi="仿宋" w:eastAsia="仿宋" w:cs="仿宋"/>
          <w:color w:val="auto"/>
          <w:kern w:val="0"/>
          <w:sz w:val="21"/>
          <w:szCs w:val="21"/>
          <w:highlight w:val="none"/>
          <w:u w:val="single"/>
        </w:rPr>
        <w:t xml:space="preserve">不承担  </w:t>
      </w:r>
      <w:r>
        <w:rPr>
          <w:rFonts w:hint="eastAsia" w:ascii="仿宋" w:hAnsi="仿宋" w:eastAsia="仿宋" w:cs="仿宋"/>
          <w:b w:val="0"/>
          <w:bCs w:val="0"/>
          <w:color w:val="auto"/>
          <w:kern w:val="0"/>
          <w:sz w:val="21"/>
          <w:szCs w:val="21"/>
          <w:highlight w:val="none"/>
          <w:u w:val="none"/>
          <w:lang w:val="en-US" w:eastAsia="zh-CN"/>
        </w:rPr>
        <w:t>但</w:t>
      </w:r>
      <w:r>
        <w:rPr>
          <w:rFonts w:hint="eastAsia" w:ascii="仿宋" w:hAnsi="仿宋" w:eastAsia="仿宋" w:cs="仿宋"/>
          <w:color w:val="auto"/>
          <w:kern w:val="0"/>
          <w:sz w:val="21"/>
          <w:szCs w:val="21"/>
          <w:highlight w:val="none"/>
          <w:u w:val="single"/>
        </w:rPr>
        <w:t>顺延承包人工期。</w:t>
      </w:r>
      <w:r>
        <w:rPr>
          <w:rFonts w:hint="eastAsia" w:ascii="仿宋" w:hAnsi="仿宋" w:eastAsia="仿宋" w:cs="仿宋"/>
          <w:color w:val="auto"/>
          <w:kern w:val="0"/>
          <w:sz w:val="21"/>
          <w:szCs w:val="21"/>
          <w:highlight w:val="none"/>
        </w:rPr>
        <w:t>。</w:t>
      </w:r>
    </w:p>
    <w:p>
      <w:pPr>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（7）其他：</w:t>
      </w:r>
      <w:r>
        <w:rPr>
          <w:rFonts w:hint="eastAsia" w:ascii="仿宋" w:hAnsi="仿宋" w:eastAsia="仿宋" w:cs="仿宋"/>
          <w:color w:val="auto"/>
          <w:kern w:val="0"/>
          <w:sz w:val="21"/>
          <w:szCs w:val="21"/>
          <w:highlight w:val="none"/>
          <w:u w:val="single"/>
        </w:rPr>
        <w:t xml:space="preserve"> 无  。</w:t>
      </w:r>
    </w:p>
    <w:p>
      <w:pPr>
        <w:spacing w:line="400" w:lineRule="exact"/>
        <w:ind w:firstLine="413" w:firstLineChars="197"/>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16.1.3 因发包人违约解除合同</w:t>
      </w:r>
    </w:p>
    <w:p>
      <w:pPr>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承包人按16.1.1项〔发包人违约的情形〕约定暂停施工满 </w:t>
      </w:r>
      <w:r>
        <w:rPr>
          <w:rFonts w:hint="eastAsia" w:ascii="仿宋" w:hAnsi="仿宋" w:eastAsia="仿宋" w:cs="仿宋"/>
          <w:color w:val="auto"/>
          <w:kern w:val="0"/>
          <w:sz w:val="21"/>
          <w:szCs w:val="21"/>
          <w:highlight w:val="none"/>
          <w:u w:val="single"/>
        </w:rPr>
        <w:t>60天</w:t>
      </w:r>
      <w:r>
        <w:rPr>
          <w:rFonts w:hint="eastAsia" w:ascii="仿宋" w:hAnsi="仿宋" w:eastAsia="仿宋" w:cs="仿宋"/>
          <w:color w:val="auto"/>
          <w:kern w:val="0"/>
          <w:sz w:val="21"/>
          <w:szCs w:val="21"/>
          <w:highlight w:val="none"/>
        </w:rPr>
        <w:t>后发包人仍不纠正其违约行为并致使合同目的不能实现的，承包人有权解除合同。</w:t>
      </w:r>
    </w:p>
    <w:p>
      <w:pPr>
        <w:spacing w:after="120"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16.2 承包人违约</w:t>
      </w:r>
    </w:p>
    <w:p>
      <w:pPr>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16.2.1 承包人违约的情形</w:t>
      </w:r>
    </w:p>
    <w:p>
      <w:pPr>
        <w:spacing w:after="120" w:line="400" w:lineRule="exact"/>
        <w:ind w:firstLine="420" w:firstLineChars="200"/>
        <w:rPr>
          <w:rFonts w:hint="eastAsia" w:ascii="仿宋" w:hAnsi="仿宋" w:eastAsia="仿宋" w:cs="仿宋"/>
          <w:color w:val="auto"/>
          <w:sz w:val="21"/>
          <w:szCs w:val="21"/>
          <w:highlight w:val="none"/>
          <w:u w:val="single"/>
        </w:rPr>
      </w:pPr>
      <w:r>
        <w:rPr>
          <w:rFonts w:hint="eastAsia" w:ascii="仿宋" w:hAnsi="仿宋" w:eastAsia="仿宋" w:cs="仿宋"/>
          <w:color w:val="auto"/>
          <w:kern w:val="0"/>
          <w:sz w:val="21"/>
          <w:szCs w:val="21"/>
          <w:highlight w:val="none"/>
        </w:rPr>
        <w:t>承包人违约的其他情形</w:t>
      </w:r>
      <w:r>
        <w:rPr>
          <w:rFonts w:hint="eastAsia" w:ascii="仿宋" w:hAnsi="仿宋" w:eastAsia="仿宋" w:cs="仿宋"/>
          <w:color w:val="auto"/>
          <w:kern w:val="0"/>
          <w:sz w:val="21"/>
          <w:szCs w:val="21"/>
          <w:highlight w:val="none"/>
          <w:u w:val="single"/>
        </w:rPr>
        <w:t>：/ 。</w:t>
      </w:r>
    </w:p>
    <w:p>
      <w:pPr>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16.2.2承包人违约的责任</w:t>
      </w:r>
    </w:p>
    <w:p>
      <w:pPr>
        <w:spacing w:line="400" w:lineRule="exact"/>
        <w:ind w:firstLine="420" w:firstLineChars="200"/>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承包人违约责任的承担方式和计算方法： </w:t>
      </w:r>
      <w:r>
        <w:rPr>
          <w:rFonts w:hint="eastAsia" w:ascii="仿宋" w:hAnsi="仿宋" w:eastAsia="仿宋" w:cs="仿宋"/>
          <w:color w:val="auto"/>
          <w:kern w:val="0"/>
          <w:sz w:val="21"/>
          <w:szCs w:val="21"/>
          <w:highlight w:val="none"/>
          <w:u w:val="single"/>
        </w:rPr>
        <w:t>执行本合同相关条款 ；</w:t>
      </w:r>
      <w:r>
        <w:rPr>
          <w:rFonts w:hint="eastAsia" w:ascii="仿宋" w:hAnsi="仿宋" w:eastAsia="仿宋" w:cs="仿宋"/>
          <w:color w:val="auto"/>
          <w:sz w:val="21"/>
          <w:szCs w:val="21"/>
          <w:highlight w:val="none"/>
        </w:rPr>
        <w:t>承包人违反自身承诺和合同约定的，</w:t>
      </w:r>
      <w:r>
        <w:rPr>
          <w:rFonts w:hint="eastAsia" w:ascii="仿宋" w:hAnsi="仿宋" w:eastAsia="仿宋" w:cs="仿宋"/>
          <w:color w:val="auto"/>
          <w:sz w:val="21"/>
          <w:szCs w:val="21"/>
          <w:highlight w:val="none"/>
          <w:lang w:val="en-US" w:eastAsia="zh-CN"/>
        </w:rPr>
        <w:t>发包人有权不予支付任何款项且承包人还需承担违约责任</w:t>
      </w:r>
      <w:r>
        <w:rPr>
          <w:rFonts w:hint="eastAsia" w:ascii="仿宋" w:hAnsi="仿宋" w:eastAsia="仿宋" w:cs="仿宋"/>
          <w:color w:val="auto"/>
          <w:sz w:val="21"/>
          <w:szCs w:val="21"/>
          <w:highlight w:val="none"/>
        </w:rPr>
        <w:t>，给发包人造成损失的需承担赔偿责任</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rPr>
        <w:t xml:space="preserve">    </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16.2.3 因承包人违约解除、中止、终止合同</w:t>
      </w:r>
    </w:p>
    <w:p>
      <w:pPr>
        <w:spacing w:before="120" w:after="120" w:line="400" w:lineRule="exact"/>
        <w:ind w:firstLine="420" w:firstLineChars="200"/>
        <w:rPr>
          <w:rFonts w:hint="eastAsia" w:ascii="仿宋" w:hAnsi="仿宋" w:eastAsia="仿宋" w:cs="仿宋"/>
          <w:color w:val="auto"/>
          <w:kern w:val="0"/>
          <w:sz w:val="21"/>
          <w:szCs w:val="21"/>
          <w:highlight w:val="none"/>
          <w:u w:val="single"/>
        </w:rPr>
      </w:pPr>
      <w:r>
        <w:rPr>
          <w:rFonts w:hint="eastAsia" w:ascii="仿宋" w:hAnsi="仿宋" w:eastAsia="仿宋" w:cs="仿宋"/>
          <w:color w:val="auto"/>
          <w:kern w:val="0"/>
          <w:sz w:val="21"/>
          <w:szCs w:val="21"/>
          <w:highlight w:val="none"/>
        </w:rPr>
        <w:t>关于承包人违约解除、中止、终止合同的特别约定：</w:t>
      </w:r>
      <w:r>
        <w:rPr>
          <w:rFonts w:hint="eastAsia" w:ascii="仿宋" w:hAnsi="仿宋" w:eastAsia="仿宋" w:cs="仿宋"/>
          <w:color w:val="auto"/>
          <w:kern w:val="0"/>
          <w:sz w:val="21"/>
          <w:szCs w:val="21"/>
          <w:highlight w:val="none"/>
          <w:lang w:val="en-US" w:eastAsia="zh-CN"/>
        </w:rPr>
        <w:t>发包人有权不予支付任何款项</w:t>
      </w:r>
      <w:r>
        <w:rPr>
          <w:rFonts w:hint="eastAsia" w:ascii="仿宋" w:hAnsi="仿宋" w:eastAsia="仿宋" w:cs="仿宋"/>
          <w:color w:val="auto"/>
          <w:kern w:val="0"/>
          <w:sz w:val="21"/>
          <w:szCs w:val="21"/>
          <w:highlight w:val="none"/>
          <w:u w:val="single"/>
        </w:rPr>
        <w:t>，承包人还需承担本合同总金额</w:t>
      </w:r>
      <w:r>
        <w:rPr>
          <w:rFonts w:hint="eastAsia" w:ascii="仿宋" w:hAnsi="仿宋" w:eastAsia="仿宋" w:cs="仿宋"/>
          <w:color w:val="auto"/>
          <w:kern w:val="0"/>
          <w:sz w:val="21"/>
          <w:szCs w:val="21"/>
          <w:highlight w:val="none"/>
          <w:u w:val="single"/>
          <w:lang w:val="en-US" w:eastAsia="zh-CN"/>
        </w:rPr>
        <w:t>2</w:t>
      </w:r>
      <w:r>
        <w:rPr>
          <w:rFonts w:hint="eastAsia" w:ascii="仿宋" w:hAnsi="仿宋" w:eastAsia="仿宋" w:cs="仿宋"/>
          <w:color w:val="auto"/>
          <w:kern w:val="0"/>
          <w:sz w:val="21"/>
          <w:szCs w:val="21"/>
          <w:highlight w:val="none"/>
          <w:u w:val="single"/>
        </w:rPr>
        <w:t xml:space="preserve">0%的违约金，并赔偿发包人损失。 </w:t>
      </w:r>
    </w:p>
    <w:p>
      <w:pPr>
        <w:spacing w:before="120" w:after="120" w:line="400" w:lineRule="exact"/>
        <w:ind w:firstLine="420" w:firstLineChars="200"/>
        <w:rPr>
          <w:rFonts w:hint="eastAsia" w:ascii="仿宋" w:hAnsi="仿宋" w:eastAsia="仿宋" w:cs="仿宋"/>
          <w:color w:val="auto"/>
          <w:kern w:val="0"/>
          <w:sz w:val="21"/>
          <w:szCs w:val="21"/>
          <w:highlight w:val="none"/>
          <w:u w:val="single"/>
        </w:rPr>
      </w:pPr>
      <w:r>
        <w:rPr>
          <w:rFonts w:hint="eastAsia" w:ascii="仿宋" w:hAnsi="仿宋" w:eastAsia="仿宋" w:cs="仿宋"/>
          <w:color w:val="auto"/>
          <w:kern w:val="0"/>
          <w:sz w:val="21"/>
          <w:szCs w:val="21"/>
          <w:highlight w:val="none"/>
        </w:rPr>
        <w:t>发包人继续使用承包人在施工现场的材料、设备、临时工程、承包人文件和由承包人或以其名义编制的其他文件的费用的承担方式：</w:t>
      </w:r>
      <w:r>
        <w:rPr>
          <w:rFonts w:hint="eastAsia" w:ascii="仿宋" w:hAnsi="仿宋" w:eastAsia="仿宋" w:cs="仿宋"/>
          <w:color w:val="auto"/>
          <w:kern w:val="0"/>
          <w:sz w:val="21"/>
          <w:szCs w:val="21"/>
          <w:highlight w:val="none"/>
          <w:u w:val="single"/>
        </w:rPr>
        <w:t>其费用由双方协商。</w:t>
      </w:r>
    </w:p>
    <w:p>
      <w:pPr>
        <w:widowControl/>
        <w:tabs>
          <w:tab w:val="left" w:pos="1440"/>
        </w:tabs>
        <w:jc w:val="left"/>
        <w:outlineLvl w:val="9"/>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rPr>
        <w:t>18.</w:t>
      </w:r>
      <w:r>
        <w:rPr>
          <w:rFonts w:hint="eastAsia" w:ascii="仿宋" w:hAnsi="仿宋" w:eastAsia="仿宋" w:cs="仿宋"/>
          <w:color w:val="auto"/>
          <w:sz w:val="21"/>
          <w:szCs w:val="21"/>
          <w:highlight w:val="none"/>
          <w:lang w:eastAsia="zh-CN"/>
        </w:rPr>
        <w:t xml:space="preserve">保险 </w:t>
      </w:r>
    </w:p>
    <w:p>
      <w:pPr>
        <w:pStyle w:val="36"/>
        <w:keepNext w:val="0"/>
        <w:keepLines w:val="0"/>
        <w:widowControl/>
        <w:suppressLineNumbers w:val="0"/>
        <w:tabs>
          <w:tab w:val="left" w:pos="1617"/>
        </w:tabs>
        <w:spacing w:before="0" w:beforeAutospacing="0" w:after="0" w:afterAutospacing="0" w:line="360" w:lineRule="auto"/>
        <w:ind w:left="0" w:right="0" w:firstLine="0"/>
        <w:jc w:val="left"/>
        <w:rPr>
          <w:rFonts w:hint="eastAsia" w:ascii="仿宋" w:hAnsi="仿宋" w:eastAsia="仿宋" w:cs="仿宋"/>
          <w:color w:val="auto"/>
          <w:spacing w:val="-3"/>
          <w:sz w:val="21"/>
          <w:szCs w:val="21"/>
          <w:lang w:val="en-US"/>
        </w:rPr>
      </w:pPr>
      <w:r>
        <w:rPr>
          <w:rFonts w:hint="eastAsia" w:ascii="仿宋" w:hAnsi="仿宋" w:eastAsia="仿宋" w:cs="仿宋"/>
          <w:color w:val="auto"/>
          <w:spacing w:val="-3"/>
          <w:kern w:val="0"/>
          <w:sz w:val="21"/>
          <w:szCs w:val="21"/>
          <w:lang w:val="en-US" w:eastAsia="zh-CN" w:bidi="ar"/>
        </w:rPr>
        <w:t>18.1工程保险</w:t>
      </w:r>
    </w:p>
    <w:p>
      <w:pPr>
        <w:pStyle w:val="36"/>
        <w:keepNext w:val="0"/>
        <w:keepLines w:val="0"/>
        <w:widowControl/>
        <w:suppressLineNumbers w:val="0"/>
        <w:tabs>
          <w:tab w:val="left" w:pos="1617"/>
        </w:tabs>
        <w:spacing w:before="0" w:beforeAutospacing="0" w:after="0" w:afterAutospacing="0" w:line="360" w:lineRule="auto"/>
        <w:ind w:left="0" w:right="0" w:firstLine="420" w:firstLineChars="200"/>
        <w:jc w:val="left"/>
        <w:rPr>
          <w:rFonts w:hint="eastAsia" w:ascii="仿宋" w:hAnsi="仿宋" w:eastAsia="仿宋" w:cs="仿宋"/>
          <w:color w:val="auto"/>
          <w:sz w:val="21"/>
          <w:szCs w:val="21"/>
          <w:lang w:val="en-US"/>
        </w:rPr>
      </w:pPr>
      <w:r>
        <w:rPr>
          <w:rFonts w:hint="eastAsia" w:ascii="仿宋" w:hAnsi="仿宋" w:eastAsia="仿宋" w:cs="仿宋"/>
          <w:color w:val="auto"/>
          <w:kern w:val="0"/>
          <w:sz w:val="21"/>
          <w:szCs w:val="21"/>
          <w:lang w:val="en-US" w:eastAsia="zh-CN" w:bidi="ar"/>
        </w:rPr>
        <w:t>关于工程保险的特别约定：</w:t>
      </w:r>
      <w:r>
        <w:rPr>
          <w:rFonts w:hint="eastAsia" w:ascii="仿宋" w:hAnsi="仿宋" w:eastAsia="仿宋" w:cs="仿宋"/>
          <w:color w:val="auto"/>
          <w:kern w:val="0"/>
          <w:sz w:val="21"/>
          <w:szCs w:val="21"/>
          <w:u w:val="single"/>
          <w:lang w:val="en-US" w:eastAsia="zh-CN" w:bidi="ar"/>
        </w:rPr>
        <w:t xml:space="preserve">         /          </w:t>
      </w:r>
      <w:r>
        <w:rPr>
          <w:rFonts w:hint="eastAsia" w:ascii="仿宋" w:hAnsi="仿宋" w:eastAsia="仿宋" w:cs="仿宋"/>
          <w:color w:val="auto"/>
          <w:kern w:val="0"/>
          <w:sz w:val="21"/>
          <w:szCs w:val="21"/>
          <w:lang w:val="en-US" w:eastAsia="zh-CN" w:bidi="ar"/>
        </w:rPr>
        <w:t xml:space="preserve">。 </w:t>
      </w:r>
    </w:p>
    <w:p>
      <w:pPr>
        <w:pStyle w:val="36"/>
        <w:keepNext w:val="0"/>
        <w:keepLines w:val="0"/>
        <w:widowControl/>
        <w:suppressLineNumbers w:val="0"/>
        <w:spacing w:before="72" w:beforeAutospacing="0" w:after="120" w:afterAutospacing="0" w:line="360" w:lineRule="auto"/>
        <w:ind w:left="0" w:right="0"/>
        <w:jc w:val="left"/>
        <w:rPr>
          <w:rFonts w:hint="eastAsia" w:ascii="仿宋" w:hAnsi="仿宋" w:eastAsia="仿宋" w:cs="仿宋"/>
          <w:color w:val="auto"/>
          <w:sz w:val="21"/>
          <w:szCs w:val="21"/>
          <w:lang w:val="en-US"/>
        </w:rPr>
      </w:pPr>
      <w:bookmarkStart w:id="569" w:name="18.3_其他保险"/>
      <w:bookmarkEnd w:id="569"/>
      <w:r>
        <w:rPr>
          <w:rFonts w:hint="eastAsia" w:ascii="仿宋" w:hAnsi="仿宋" w:eastAsia="仿宋" w:cs="仿宋"/>
          <w:color w:val="auto"/>
          <w:kern w:val="0"/>
          <w:sz w:val="21"/>
          <w:szCs w:val="21"/>
          <w:lang w:val="en-US" w:eastAsia="zh-CN" w:bidi="ar"/>
        </w:rPr>
        <w:t xml:space="preserve">18.3 其他保险 </w:t>
      </w:r>
    </w:p>
    <w:p>
      <w:pPr>
        <w:pStyle w:val="36"/>
        <w:keepNext w:val="0"/>
        <w:keepLines w:val="0"/>
        <w:widowControl/>
        <w:suppressLineNumbers w:val="0"/>
        <w:spacing w:before="0" w:beforeAutospacing="0" w:after="120" w:afterAutospacing="0" w:line="360" w:lineRule="auto"/>
        <w:ind w:left="0" w:right="0" w:firstLine="420" w:firstLineChars="200"/>
        <w:jc w:val="left"/>
        <w:rPr>
          <w:rFonts w:hint="eastAsia" w:ascii="仿宋" w:hAnsi="仿宋" w:eastAsia="仿宋" w:cs="仿宋"/>
          <w:color w:val="auto"/>
          <w:sz w:val="21"/>
          <w:szCs w:val="21"/>
          <w:lang w:val="en-US"/>
        </w:rPr>
      </w:pPr>
      <w:r>
        <w:rPr>
          <w:rFonts w:hint="eastAsia" w:ascii="仿宋" w:hAnsi="仿宋" w:eastAsia="仿宋" w:cs="仿宋"/>
          <w:color w:val="auto"/>
          <w:kern w:val="0"/>
          <w:sz w:val="21"/>
          <w:szCs w:val="21"/>
          <w:lang w:val="en-US" w:eastAsia="zh-CN" w:bidi="ar"/>
        </w:rPr>
        <w:t>关于其他保险的约定：</w:t>
      </w:r>
      <w:r>
        <w:rPr>
          <w:rFonts w:hint="eastAsia" w:ascii="仿宋" w:hAnsi="仿宋" w:eastAsia="仿宋" w:cs="仿宋"/>
          <w:color w:val="auto"/>
          <w:kern w:val="0"/>
          <w:sz w:val="21"/>
          <w:szCs w:val="21"/>
          <w:u w:val="single"/>
          <w:lang w:val="en-US" w:eastAsia="zh-CN" w:bidi="ar"/>
        </w:rPr>
        <w:t xml:space="preserve">           /              </w:t>
      </w:r>
      <w:r>
        <w:rPr>
          <w:rFonts w:hint="eastAsia" w:ascii="仿宋" w:hAnsi="仿宋" w:eastAsia="仿宋" w:cs="仿宋"/>
          <w:color w:val="auto"/>
          <w:kern w:val="0"/>
          <w:sz w:val="21"/>
          <w:szCs w:val="21"/>
          <w:lang w:val="en-US" w:eastAsia="zh-CN" w:bidi="ar"/>
        </w:rPr>
        <w:t xml:space="preserve">。 </w:t>
      </w:r>
    </w:p>
    <w:p>
      <w:pPr>
        <w:spacing w:line="360" w:lineRule="auto"/>
        <w:ind w:firstLine="420" w:firstLineChars="200"/>
        <w:jc w:val="left"/>
        <w:rPr>
          <w:rFonts w:hint="eastAsia" w:ascii="仿宋" w:hAnsi="仿宋" w:eastAsia="仿宋" w:cs="仿宋"/>
          <w:color w:val="auto"/>
          <w:sz w:val="21"/>
          <w:szCs w:val="21"/>
        </w:rPr>
      </w:pPr>
      <w:r>
        <w:rPr>
          <w:rFonts w:hint="eastAsia" w:ascii="仿宋" w:hAnsi="仿宋" w:eastAsia="仿宋" w:cs="仿宋"/>
          <w:color w:val="auto"/>
          <w:kern w:val="0"/>
          <w:sz w:val="21"/>
          <w:szCs w:val="21"/>
          <w:lang w:val="en-US" w:eastAsia="zh-CN" w:bidi="ar"/>
        </w:rPr>
        <w:t>承包人是否应为其施工设备等办理财产保险：</w:t>
      </w:r>
      <w:r>
        <w:rPr>
          <w:rFonts w:hint="eastAsia" w:ascii="仿宋" w:hAnsi="仿宋" w:eastAsia="仿宋" w:cs="仿宋"/>
          <w:color w:val="auto"/>
          <w:sz w:val="21"/>
          <w:szCs w:val="21"/>
          <w:highlight w:val="none"/>
          <w:u w:val="single"/>
        </w:rPr>
        <w:t>为其施工设备等办理财产保险。</w:t>
      </w:r>
      <w:r>
        <w:rPr>
          <w:rFonts w:hint="eastAsia" w:ascii="仿宋" w:hAnsi="仿宋" w:eastAsia="仿宋" w:cs="仿宋"/>
          <w:color w:val="auto"/>
          <w:kern w:val="0"/>
          <w:sz w:val="21"/>
          <w:szCs w:val="21"/>
          <w:lang w:val="en-US" w:eastAsia="zh-CN" w:bidi="ar"/>
        </w:rPr>
        <w:t xml:space="preserve">                                         </w:t>
      </w:r>
    </w:p>
    <w:p>
      <w:pPr>
        <w:numPr>
          <w:ilvl w:val="0"/>
          <w:numId w:val="0"/>
        </w:numPr>
        <w:spacing w:before="120" w:after="120" w:line="400" w:lineRule="exact"/>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19.1除合同约定外，若承包人违反自身职责、承诺、合同义务的，承包人除需承担本合同总金额10%的违约金，并赔偿发包人或第三人因此而遭受的损失外，还需承担其他相应法律责任。</w:t>
      </w:r>
    </w:p>
    <w:p>
      <w:pPr>
        <w:pStyle w:val="58"/>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highlight w:val="none"/>
          <w:lang w:val="en-US" w:eastAsia="zh-CN"/>
        </w:rPr>
        <w:t xml:space="preserve">    19.2 特别约定：承包人承诺遵守法律法规的规定，若承包人在本项目招投标活动中存在出借资质、挂靠、以及其他违法情形的，</w:t>
      </w:r>
      <w:r>
        <w:rPr>
          <w:rFonts w:hint="eastAsia" w:ascii="仿宋" w:hAnsi="仿宋" w:eastAsia="仿宋" w:cs="仿宋"/>
          <w:color w:val="auto"/>
          <w:sz w:val="21"/>
          <w:szCs w:val="21"/>
          <w:lang w:val="en-US" w:eastAsia="zh-CN"/>
        </w:rPr>
        <w:t>发包人有权终止合同履行，且承包人还须向发包人支付合同总额的30%金额作为违约金和退还已支付的全部款项，此外：若工程验收合格的发包人有权不再支付其任何款项；若工程验收不合格的发包人不仅有权不予支付其任何款项还有权要求其退还已支付款项的1倍金额和赔偿损失。除前述责任外，与此相关的民事、行政、刑事责任也均由承包人承担。</w:t>
      </w:r>
    </w:p>
    <w:p>
      <w:pPr>
        <w:spacing w:before="120" w:after="120" w:line="400" w:lineRule="exact"/>
        <w:ind w:firstLine="420" w:firstLineChars="200"/>
        <w:rPr>
          <w:rFonts w:hint="eastAsia" w:ascii="仿宋" w:hAnsi="仿宋" w:eastAsia="仿宋" w:cs="仿宋"/>
          <w:color w:val="auto"/>
          <w:sz w:val="21"/>
          <w:szCs w:val="21"/>
        </w:rPr>
      </w:pPr>
      <w:r>
        <w:rPr>
          <w:rFonts w:hint="eastAsia" w:ascii="仿宋" w:hAnsi="仿宋" w:eastAsia="仿宋" w:cs="仿宋"/>
          <w:color w:val="auto"/>
          <w:sz w:val="21"/>
          <w:szCs w:val="21"/>
          <w:highlight w:val="none"/>
          <w:lang w:val="en-US" w:eastAsia="zh-CN"/>
        </w:rPr>
        <w:t>19.3本合同约定的承包人违约金和发包人损失</w:t>
      </w:r>
      <w:r>
        <w:rPr>
          <w:rFonts w:hint="eastAsia" w:ascii="仿宋" w:hAnsi="仿宋" w:eastAsia="仿宋" w:cs="仿宋"/>
          <w:color w:val="auto"/>
          <w:sz w:val="21"/>
          <w:szCs w:val="21"/>
          <w:highlight w:val="none"/>
          <w:lang w:eastAsia="zh-CN"/>
        </w:rPr>
        <w:t>、承包人应承担的赔偿金等费用</w:t>
      </w:r>
      <w:r>
        <w:rPr>
          <w:rFonts w:hint="eastAsia" w:ascii="仿宋" w:hAnsi="仿宋" w:eastAsia="仿宋" w:cs="仿宋"/>
          <w:color w:val="auto"/>
          <w:sz w:val="21"/>
          <w:szCs w:val="21"/>
          <w:highlight w:val="none"/>
          <w:lang w:val="en-US" w:eastAsia="zh-CN"/>
        </w:rPr>
        <w:t>，发包人均有权从承包人的费用中直接扣除。</w:t>
      </w:r>
    </w:p>
    <w:p>
      <w:pPr>
        <w:autoSpaceDE w:val="0"/>
        <w:autoSpaceDN w:val="0"/>
        <w:spacing w:line="400" w:lineRule="exact"/>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20.4仲裁或诉讼</w:t>
      </w:r>
    </w:p>
    <w:p>
      <w:pP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20.4.1本合同在履行过程中发生的争议，由双方当事人协商解决，协商不成的</w:t>
      </w:r>
      <w:r>
        <w:rPr>
          <w:rFonts w:hint="eastAsia" w:ascii="仿宋" w:hAnsi="仿宋" w:eastAsia="仿宋" w:cs="仿宋"/>
          <w:color w:val="auto"/>
          <w:sz w:val="21"/>
          <w:szCs w:val="21"/>
          <w:highlight w:val="none"/>
        </w:rPr>
        <w:t>，向</w:t>
      </w:r>
      <w:r>
        <w:rPr>
          <w:rFonts w:hint="eastAsia" w:ascii="仿宋" w:hAnsi="仿宋" w:eastAsia="仿宋" w:cs="仿宋"/>
          <w:color w:val="auto"/>
          <w:sz w:val="21"/>
          <w:szCs w:val="21"/>
          <w:highlight w:val="none"/>
          <w:lang w:val="en-US" w:eastAsia="zh-CN"/>
        </w:rPr>
        <w:t>项目</w:t>
      </w:r>
      <w:r>
        <w:rPr>
          <w:rFonts w:hint="eastAsia" w:ascii="仿宋" w:hAnsi="仿宋" w:eastAsia="仿宋" w:cs="仿宋"/>
          <w:color w:val="auto"/>
          <w:sz w:val="21"/>
          <w:szCs w:val="21"/>
          <w:highlight w:val="none"/>
          <w:u w:val="single"/>
        </w:rPr>
        <w:t>所在地</w:t>
      </w:r>
      <w:r>
        <w:rPr>
          <w:rFonts w:hint="eastAsia" w:ascii="仿宋" w:hAnsi="仿宋" w:eastAsia="仿宋" w:cs="仿宋"/>
          <w:color w:val="auto"/>
          <w:sz w:val="21"/>
          <w:szCs w:val="21"/>
          <w:highlight w:val="none"/>
        </w:rPr>
        <w:t>人民法院起诉。</w:t>
      </w:r>
    </w:p>
    <w:p>
      <w:pPr>
        <w:tabs>
          <w:tab w:val="left" w:pos="1260"/>
        </w:tabs>
        <w:adjustRightInd w:val="0"/>
        <w:snapToGrid w:val="0"/>
        <w:spacing w:line="400" w:lineRule="exact"/>
        <w:ind w:firstLine="420" w:firstLineChars="20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20.4.2发生争议后，除非出现下列情况的，双方都应继续履行合同，保持施工连续，</w:t>
      </w:r>
      <w:r>
        <w:rPr>
          <w:rFonts w:hint="eastAsia" w:ascii="仿宋" w:hAnsi="仿宋" w:eastAsia="仿宋" w:cs="仿宋"/>
          <w:color w:val="auto"/>
          <w:sz w:val="21"/>
          <w:szCs w:val="21"/>
          <w:highlight w:val="none"/>
        </w:rPr>
        <w:t>承包人应</w:t>
      </w:r>
      <w:r>
        <w:rPr>
          <w:rFonts w:hint="eastAsia" w:ascii="仿宋" w:hAnsi="仿宋" w:eastAsia="仿宋" w:cs="仿宋"/>
          <w:color w:val="auto"/>
          <w:sz w:val="21"/>
          <w:szCs w:val="21"/>
          <w:highlight w:val="none"/>
          <w:lang w:val="zh-CN"/>
        </w:rPr>
        <w:t>保护好已完工程</w:t>
      </w:r>
      <w:r>
        <w:rPr>
          <w:rFonts w:hint="eastAsia" w:ascii="仿宋" w:hAnsi="仿宋" w:eastAsia="仿宋" w:cs="仿宋"/>
          <w:color w:val="auto"/>
          <w:sz w:val="21"/>
          <w:szCs w:val="21"/>
          <w:highlight w:val="none"/>
        </w:rPr>
        <w:t>和正在建设中的工程及做好安全保卫工作</w:t>
      </w:r>
      <w:r>
        <w:rPr>
          <w:rFonts w:hint="eastAsia" w:ascii="仿宋" w:hAnsi="仿宋" w:eastAsia="仿宋" w:cs="仿宋"/>
          <w:color w:val="auto"/>
          <w:sz w:val="21"/>
          <w:szCs w:val="21"/>
          <w:highlight w:val="none"/>
          <w:lang w:val="zh-CN"/>
        </w:rPr>
        <w:t>：</w:t>
      </w:r>
    </w:p>
    <w:p>
      <w:pPr>
        <w:tabs>
          <w:tab w:val="left" w:pos="1620"/>
        </w:tabs>
        <w:adjustRightInd w:val="0"/>
        <w:snapToGrid w:val="0"/>
        <w:spacing w:line="400" w:lineRule="exact"/>
        <w:ind w:left="0" w:leftChars="0" w:firstLine="420" w:firstLineChars="20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（1）单方违约导致合同确已无法履行，双方协议停止施工；</w:t>
      </w:r>
    </w:p>
    <w:p>
      <w:pPr>
        <w:tabs>
          <w:tab w:val="left" w:pos="1620"/>
        </w:tabs>
        <w:adjustRightInd w:val="0"/>
        <w:snapToGrid w:val="0"/>
        <w:spacing w:line="400" w:lineRule="exact"/>
        <w:ind w:left="0" w:leftChars="0" w:firstLine="420" w:firstLineChars="20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（2）调解要求停止施工，且为双方接受；</w:t>
      </w:r>
    </w:p>
    <w:p>
      <w:pPr>
        <w:tabs>
          <w:tab w:val="left" w:pos="1620"/>
        </w:tabs>
        <w:adjustRightInd w:val="0"/>
        <w:snapToGrid w:val="0"/>
        <w:spacing w:line="400" w:lineRule="exact"/>
        <w:ind w:left="0" w:leftChars="0" w:firstLine="420" w:firstLineChars="20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（3）</w:t>
      </w:r>
      <w:r>
        <w:rPr>
          <w:rFonts w:hint="eastAsia" w:ascii="仿宋" w:hAnsi="仿宋" w:eastAsia="仿宋" w:cs="仿宋"/>
          <w:color w:val="auto"/>
          <w:sz w:val="21"/>
          <w:szCs w:val="21"/>
          <w:highlight w:val="none"/>
          <w:lang w:val="en-US" w:eastAsia="zh-CN"/>
        </w:rPr>
        <w:t>政府或</w:t>
      </w:r>
      <w:r>
        <w:rPr>
          <w:rFonts w:hint="eastAsia" w:ascii="仿宋" w:hAnsi="仿宋" w:eastAsia="仿宋" w:cs="仿宋"/>
          <w:color w:val="auto"/>
          <w:sz w:val="21"/>
          <w:szCs w:val="21"/>
          <w:highlight w:val="none"/>
          <w:lang w:val="zh-CN"/>
        </w:rPr>
        <w:t>法院要求停止施工。</w:t>
      </w:r>
    </w:p>
    <w:p>
      <w:pPr>
        <w:spacing w:line="400" w:lineRule="exact"/>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22. 补充条款</w:t>
      </w:r>
    </w:p>
    <w:p>
      <w:pPr>
        <w:spacing w:line="400" w:lineRule="exact"/>
        <w:ind w:left="0" w:leftChars="0" w:firstLine="420" w:firstLineChars="200"/>
        <w:jc w:val="left"/>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zh-CN"/>
        </w:rPr>
        <w:t>）承包人应按有关规定向相关部门交纳农民工工资保障金。</w:t>
      </w:r>
    </w:p>
    <w:p>
      <w:pPr>
        <w:spacing w:line="400" w:lineRule="exact"/>
        <w:ind w:left="0" w:leftChars="0" w:firstLine="420" w:firstLineChars="200"/>
        <w:jc w:val="left"/>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val="zh-CN"/>
        </w:rPr>
        <w:t>）承包人不允许克扣民工工资，如有发生民工上访等事件，由承包人承担全部责任</w:t>
      </w:r>
      <w:r>
        <w:rPr>
          <w:rFonts w:hint="eastAsia" w:ascii="仿宋" w:hAnsi="仿宋" w:eastAsia="仿宋" w:cs="仿宋"/>
          <w:color w:val="auto"/>
          <w:sz w:val="21"/>
          <w:szCs w:val="21"/>
          <w:highlight w:val="none"/>
        </w:rPr>
        <w:t>（若民工施工质量不合格又不服从管理，不按相关规定返工的情况不在此列）</w:t>
      </w:r>
      <w:r>
        <w:rPr>
          <w:rFonts w:hint="eastAsia" w:ascii="仿宋" w:hAnsi="仿宋" w:eastAsia="仿宋" w:cs="仿宋"/>
          <w:color w:val="auto"/>
          <w:sz w:val="21"/>
          <w:szCs w:val="21"/>
          <w:highlight w:val="none"/>
          <w:lang w:val="en-US" w:eastAsia="zh-CN"/>
        </w:rPr>
        <w:t>和违约责任</w:t>
      </w:r>
      <w:r>
        <w:rPr>
          <w:rFonts w:hint="eastAsia" w:ascii="仿宋" w:hAnsi="仿宋" w:eastAsia="仿宋" w:cs="仿宋"/>
          <w:color w:val="auto"/>
          <w:sz w:val="21"/>
          <w:szCs w:val="21"/>
          <w:highlight w:val="none"/>
        </w:rPr>
        <w:t>，给发包人造成损失的还需承担赔偿责任</w:t>
      </w:r>
      <w:r>
        <w:rPr>
          <w:rFonts w:hint="eastAsia" w:ascii="仿宋" w:hAnsi="仿宋" w:eastAsia="仿宋" w:cs="仿宋"/>
          <w:color w:val="auto"/>
          <w:sz w:val="21"/>
          <w:szCs w:val="21"/>
          <w:highlight w:val="none"/>
          <w:lang w:val="zh-CN"/>
        </w:rPr>
        <w:t>。</w:t>
      </w:r>
    </w:p>
    <w:p>
      <w:pPr>
        <w:spacing w:line="400" w:lineRule="exact"/>
        <w:ind w:left="0" w:leftChars="0" w:firstLine="420" w:firstLineChars="200"/>
        <w:jc w:val="left"/>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val="zh-CN"/>
        </w:rPr>
        <w:t>）承包人未经发包人</w:t>
      </w:r>
      <w:r>
        <w:rPr>
          <w:rFonts w:hint="eastAsia" w:ascii="仿宋" w:hAnsi="仿宋" w:eastAsia="仿宋" w:cs="仿宋"/>
          <w:color w:val="auto"/>
          <w:sz w:val="21"/>
          <w:szCs w:val="21"/>
          <w:highlight w:val="none"/>
        </w:rPr>
        <w:t>书面</w:t>
      </w:r>
      <w:r>
        <w:rPr>
          <w:rFonts w:hint="eastAsia" w:ascii="仿宋" w:hAnsi="仿宋" w:eastAsia="仿宋" w:cs="仿宋"/>
          <w:color w:val="auto"/>
          <w:sz w:val="21"/>
          <w:szCs w:val="21"/>
          <w:highlight w:val="none"/>
          <w:lang w:val="zh-CN"/>
        </w:rPr>
        <w:t>同意，不得将所承包工程的任何部分分包，也不允许转包给他人，更不得将其承包的全部工程肢解以后以分包的名义分别转包给他人。如发现转包</w:t>
      </w:r>
      <w:r>
        <w:rPr>
          <w:rFonts w:hint="eastAsia" w:ascii="仿宋" w:hAnsi="仿宋" w:eastAsia="仿宋" w:cs="仿宋"/>
          <w:b w:val="0"/>
          <w:bCs w:val="0"/>
          <w:color w:val="auto"/>
          <w:sz w:val="21"/>
          <w:szCs w:val="21"/>
          <w:highlight w:val="none"/>
          <w:u w:val="none"/>
          <w:lang w:val="zh-CN"/>
        </w:rPr>
        <w:t>、</w:t>
      </w:r>
      <w:r>
        <w:rPr>
          <w:rFonts w:hint="eastAsia" w:ascii="仿宋" w:hAnsi="仿宋" w:eastAsia="仿宋" w:cs="仿宋"/>
          <w:color w:val="auto"/>
          <w:sz w:val="21"/>
          <w:szCs w:val="21"/>
          <w:highlight w:val="none"/>
        </w:rPr>
        <w:t>分包</w:t>
      </w:r>
      <w:r>
        <w:rPr>
          <w:rFonts w:hint="eastAsia" w:ascii="仿宋" w:hAnsi="仿宋" w:eastAsia="仿宋" w:cs="仿宋"/>
          <w:color w:val="auto"/>
          <w:sz w:val="21"/>
          <w:szCs w:val="21"/>
          <w:highlight w:val="none"/>
          <w:lang w:val="zh-CN"/>
        </w:rPr>
        <w:t>，发包人有权终止合同，</w:t>
      </w:r>
      <w:r>
        <w:rPr>
          <w:rFonts w:hint="eastAsia" w:ascii="仿宋" w:hAnsi="仿宋" w:eastAsia="仿宋" w:cs="仿宋"/>
          <w:color w:val="auto"/>
          <w:sz w:val="21"/>
          <w:szCs w:val="21"/>
          <w:highlight w:val="none"/>
          <w:lang w:val="en-US" w:eastAsia="zh-CN"/>
        </w:rPr>
        <w:t>要求承包人承担法律责任</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zh-CN"/>
        </w:rPr>
        <w:t>由此而造成的经济损失，由承包人负责赔偿，</w:t>
      </w:r>
      <w:r>
        <w:rPr>
          <w:rFonts w:hint="eastAsia" w:ascii="仿宋" w:hAnsi="仿宋" w:eastAsia="仿宋" w:cs="仿宋"/>
          <w:color w:val="auto"/>
          <w:sz w:val="21"/>
          <w:szCs w:val="21"/>
          <w:highlight w:val="none"/>
        </w:rPr>
        <w:t>此外，承包人还应按合同约定向发包人支付违约金</w:t>
      </w:r>
      <w:r>
        <w:rPr>
          <w:rFonts w:hint="eastAsia" w:ascii="仿宋" w:hAnsi="仿宋" w:eastAsia="仿宋" w:cs="仿宋"/>
          <w:color w:val="auto"/>
          <w:sz w:val="21"/>
          <w:szCs w:val="21"/>
          <w:highlight w:val="none"/>
          <w:lang w:val="zh-CN"/>
        </w:rPr>
        <w:t>。</w:t>
      </w:r>
    </w:p>
    <w:p>
      <w:pPr>
        <w:pStyle w:val="22"/>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highlight w:val="none"/>
          <w:lang w:val="en-US" w:eastAsia="zh-CN"/>
        </w:rPr>
        <w:t>（4）承包人承诺在投标时已核对工程量并对工程量清单漏项、偏差负责。在工程量清单漏项、偏差时不调整价款。</w:t>
      </w:r>
    </w:p>
    <w:p>
      <w:pPr>
        <w:spacing w:line="400" w:lineRule="exact"/>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lang w:val="zh-CN"/>
        </w:rPr>
        <w:t>）承包人必须文明施工，安全第一。施工期间发生的人身安全事故由承包人承担责任及费用，由此给发包人造成损失的，发包人有权向承包人追偿</w:t>
      </w:r>
      <w:r>
        <w:rPr>
          <w:rFonts w:hint="eastAsia" w:ascii="仿宋" w:hAnsi="仿宋" w:eastAsia="仿宋" w:cs="仿宋"/>
          <w:color w:val="auto"/>
          <w:sz w:val="21"/>
          <w:szCs w:val="21"/>
          <w:highlight w:val="none"/>
          <w:lang w:val="en-US" w:eastAsia="zh-CN"/>
        </w:rPr>
        <w:t>并要求承包人承担违约责任</w:t>
      </w:r>
      <w:r>
        <w:rPr>
          <w:rFonts w:hint="eastAsia" w:ascii="仿宋" w:hAnsi="仿宋" w:eastAsia="仿宋" w:cs="仿宋"/>
          <w:color w:val="auto"/>
          <w:sz w:val="21"/>
          <w:szCs w:val="21"/>
          <w:highlight w:val="none"/>
        </w:rPr>
        <w:t>。</w:t>
      </w:r>
    </w:p>
    <w:p>
      <w:pPr>
        <w:spacing w:line="400" w:lineRule="exact"/>
        <w:ind w:firstLine="420" w:firstLineChars="200"/>
        <w:jc w:val="left"/>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zh-CN"/>
        </w:rPr>
        <w:t>承包人应加强施工质量管理：发生质量责任事故时，除承包人应承担的自身责任外，发包人</w:t>
      </w:r>
      <w:r>
        <w:rPr>
          <w:rFonts w:hint="eastAsia" w:ascii="仿宋" w:hAnsi="仿宋" w:eastAsia="仿宋" w:cs="仿宋"/>
          <w:color w:val="auto"/>
          <w:sz w:val="21"/>
          <w:szCs w:val="21"/>
          <w:highlight w:val="none"/>
          <w:lang w:val="en-US" w:eastAsia="zh-CN"/>
        </w:rPr>
        <w:t>还</w:t>
      </w:r>
      <w:r>
        <w:rPr>
          <w:rFonts w:hint="eastAsia" w:ascii="仿宋" w:hAnsi="仿宋" w:eastAsia="仿宋" w:cs="仿宋"/>
          <w:color w:val="auto"/>
          <w:sz w:val="21"/>
          <w:szCs w:val="21"/>
          <w:highlight w:val="none"/>
          <w:lang w:val="zh-CN"/>
        </w:rPr>
        <w:t>有权选择因此与承包人终止本施工合同关系。</w:t>
      </w:r>
    </w:p>
    <w:p>
      <w:pPr>
        <w:spacing w:line="400" w:lineRule="exact"/>
        <w:ind w:firstLine="420" w:firstLineChars="200"/>
        <w:jc w:val="left"/>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lang w:val="zh-CN"/>
        </w:rPr>
        <w:t>）水电使用由承包人单独安装计量表，费用自理（</w:t>
      </w:r>
      <w:r>
        <w:rPr>
          <w:rFonts w:hint="eastAsia" w:ascii="仿宋" w:hAnsi="仿宋" w:eastAsia="仿宋" w:cs="仿宋"/>
          <w:color w:val="auto"/>
          <w:sz w:val="21"/>
          <w:szCs w:val="21"/>
          <w:highlight w:val="none"/>
          <w:lang w:val="en-US" w:eastAsia="zh-CN"/>
        </w:rPr>
        <w:t>支付给接驳点提供方</w:t>
      </w:r>
      <w:r>
        <w:rPr>
          <w:rFonts w:hint="eastAsia" w:ascii="仿宋" w:hAnsi="仿宋" w:eastAsia="仿宋" w:cs="仿宋"/>
          <w:color w:val="auto"/>
          <w:sz w:val="21"/>
          <w:szCs w:val="21"/>
          <w:highlight w:val="none"/>
          <w:lang w:val="zh-CN"/>
        </w:rPr>
        <w:t>）。</w:t>
      </w:r>
    </w:p>
    <w:p>
      <w:pPr>
        <w:spacing w:line="400" w:lineRule="exact"/>
        <w:ind w:firstLine="420" w:firstLineChars="20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val="zh-CN"/>
        </w:rPr>
        <w:t>）检验试验费</w:t>
      </w:r>
      <w:r>
        <w:rPr>
          <w:rFonts w:hint="eastAsia" w:ascii="仿宋" w:hAnsi="仿宋" w:eastAsia="仿宋" w:cs="仿宋"/>
          <w:color w:val="auto"/>
          <w:sz w:val="21"/>
          <w:szCs w:val="21"/>
          <w:highlight w:val="none"/>
        </w:rPr>
        <w:t>均由承包人承担</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lang w:val="en-US" w:eastAsia="zh-CN"/>
        </w:rPr>
        <w:t>施工配合费包含在合同价款中，由承包人承担。</w:t>
      </w:r>
    </w:p>
    <w:p>
      <w:pPr>
        <w:spacing w:line="400" w:lineRule="exact"/>
        <w:ind w:firstLine="420" w:firstLineChars="200"/>
        <w:jc w:val="left"/>
        <w:rPr>
          <w:rFonts w:hint="eastAsia" w:ascii="仿宋" w:hAnsi="仿宋" w:eastAsia="仿宋" w:cs="仿宋"/>
          <w:color w:val="auto"/>
          <w:kern w:val="0"/>
          <w:sz w:val="21"/>
          <w:szCs w:val="21"/>
        </w:rPr>
      </w:pP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lang w:val="en-US" w:eastAsia="zh-CN"/>
        </w:rPr>
        <w:t>9</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lang w:val="en-US" w:eastAsia="zh-CN"/>
        </w:rPr>
        <w:t>本合同通用条款内容不得修改，若修改的属于无效条款。</w:t>
      </w:r>
    </w:p>
    <w:p>
      <w:pPr>
        <w:spacing w:line="360" w:lineRule="auto"/>
        <w:ind w:firstLine="447" w:firstLineChars="213"/>
        <w:rPr>
          <w:rFonts w:hint="eastAsia" w:ascii="仿宋" w:hAnsi="仿宋" w:eastAsia="仿宋" w:cs="仿宋"/>
          <w:color w:val="auto"/>
          <w:sz w:val="21"/>
          <w:szCs w:val="21"/>
          <w:highlight w:val="none"/>
        </w:rPr>
      </w:pPr>
    </w:p>
    <w:p>
      <w:pPr>
        <w:spacing w:line="360" w:lineRule="auto"/>
        <w:ind w:left="0" w:leftChars="0"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发包人(公章)： </w:t>
      </w:r>
      <w:r>
        <w:rPr>
          <w:rFonts w:hint="eastAsia" w:ascii="仿宋" w:hAnsi="仿宋" w:eastAsia="仿宋" w:cs="仿宋"/>
          <w:strike w:val="0"/>
          <w:dstrike w:val="0"/>
          <w:color w:val="auto"/>
          <w:sz w:val="21"/>
          <w:szCs w:val="21"/>
          <w:highlight w:val="none"/>
          <w:u w:val="single"/>
        </w:rPr>
        <w:t xml:space="preserve"> </w:t>
      </w:r>
      <w:r>
        <w:rPr>
          <w:rFonts w:hint="eastAsia" w:ascii="仿宋" w:hAnsi="仿宋" w:eastAsia="仿宋" w:cs="仿宋"/>
          <w:strike w:val="0"/>
          <w:dstrike w:val="0"/>
          <w:color w:val="auto"/>
          <w:sz w:val="21"/>
          <w:szCs w:val="21"/>
          <w:highlight w:val="none"/>
        </w:rPr>
        <w:t xml:space="preserve"> </w:t>
      </w:r>
      <w:r>
        <w:rPr>
          <w:rFonts w:hint="eastAsia" w:ascii="仿宋" w:hAnsi="仿宋" w:eastAsia="仿宋" w:cs="仿宋"/>
          <w:color w:val="auto"/>
          <w:sz w:val="21"/>
          <w:szCs w:val="21"/>
          <w:highlight w:val="none"/>
        </w:rPr>
        <w:t xml:space="preserve">      </w:t>
      </w:r>
      <w:r>
        <w:rPr>
          <w:rFonts w:hint="eastAsia"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承包人(公章)：           </w:t>
      </w:r>
    </w:p>
    <w:p>
      <w:pPr>
        <w:spacing w:line="360" w:lineRule="auto"/>
        <w:ind w:left="0" w:leftChars="0"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地  址： </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 xml:space="preserve">    </w:t>
      </w:r>
      <w:r>
        <w:rPr>
          <w:rFonts w:hint="eastAsia"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地  址：       </w:t>
      </w:r>
    </w:p>
    <w:p>
      <w:pPr>
        <w:spacing w:line="360" w:lineRule="auto"/>
        <w:ind w:left="0" w:leftChars="0"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法定代表人(签字)：       </w:t>
      </w:r>
      <w:r>
        <w:rPr>
          <w:rFonts w:hint="eastAsia"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法定代表人(签字)：       </w:t>
      </w:r>
    </w:p>
    <w:p>
      <w:pPr>
        <w:spacing w:line="360" w:lineRule="auto"/>
        <w:ind w:left="0" w:leftChars="0"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委托代理人(签字)：       </w:t>
      </w:r>
      <w:r>
        <w:rPr>
          <w:rFonts w:hint="eastAsia"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委托代理人(签字)：       </w:t>
      </w:r>
    </w:p>
    <w:p>
      <w:pPr>
        <w:spacing w:line="360" w:lineRule="auto"/>
        <w:ind w:left="0" w:leftChars="0"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电  话：    </w:t>
      </w:r>
      <w:r>
        <w:rPr>
          <w:rFonts w:hint="eastAsia"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电  话：     </w:t>
      </w:r>
    </w:p>
    <w:p>
      <w:pPr>
        <w:spacing w:line="360" w:lineRule="auto"/>
        <w:ind w:left="0" w:leftChars="0"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传  真：    </w:t>
      </w:r>
      <w:r>
        <w:rPr>
          <w:rFonts w:hint="eastAsia"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传  真：     </w:t>
      </w:r>
    </w:p>
    <w:p>
      <w:pPr>
        <w:spacing w:line="360" w:lineRule="auto"/>
        <w:ind w:left="0" w:leftChars="0"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开户银行：    </w:t>
      </w:r>
      <w:r>
        <w:rPr>
          <w:rFonts w:hint="eastAsia"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开户银行：   </w:t>
      </w:r>
    </w:p>
    <w:p>
      <w:pPr>
        <w:spacing w:line="360" w:lineRule="auto"/>
        <w:ind w:left="0" w:leftChars="0"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账  号：         </w:t>
      </w:r>
      <w:r>
        <w:rPr>
          <w:rFonts w:hint="eastAsia"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账  号：     </w:t>
      </w:r>
    </w:p>
    <w:p>
      <w:pPr>
        <w:spacing w:line="360" w:lineRule="auto"/>
        <w:ind w:left="0" w:leftChars="0" w:firstLine="840" w:firstLineChars="4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邮政编码：      </w:t>
      </w:r>
      <w:r>
        <w:rPr>
          <w:rFonts w:hint="eastAsia"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邮政编码：  </w:t>
      </w:r>
      <w:r>
        <w:rPr>
          <w:rFonts w:hint="eastAsia" w:ascii="仿宋" w:hAnsi="仿宋" w:eastAsia="仿宋" w:cs="仿宋"/>
          <w:color w:val="auto"/>
          <w:sz w:val="21"/>
          <w:szCs w:val="21"/>
          <w:highlight w:val="none"/>
        </w:rPr>
        <w:br w:type="page"/>
      </w:r>
    </w:p>
    <w:p>
      <w:pPr>
        <w:spacing w:before="156" w:beforeLines="50" w:after="156" w:afterLines="50" w:line="44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工程质量保修书</w:t>
      </w:r>
    </w:p>
    <w:p>
      <w:pPr>
        <w:spacing w:line="360" w:lineRule="auto"/>
        <w:rPr>
          <w:rFonts w:hint="eastAsia" w:ascii="仿宋" w:hAnsi="仿宋" w:eastAsia="仿宋" w:cs="仿宋"/>
          <w:b w:val="0"/>
          <w:bCs/>
          <w:color w:val="auto"/>
          <w:sz w:val="24"/>
          <w:szCs w:val="24"/>
          <w:highlight w:val="none"/>
          <w:u w:val="single"/>
          <w:lang w:val="en-US" w:eastAsia="zh-CN"/>
        </w:rPr>
      </w:pPr>
      <w:r>
        <w:rPr>
          <w:rFonts w:hint="eastAsia" w:ascii="仿宋" w:hAnsi="仿宋" w:eastAsia="仿宋" w:cs="仿宋"/>
          <w:b w:val="0"/>
          <w:bCs/>
          <w:color w:val="auto"/>
          <w:sz w:val="24"/>
          <w:szCs w:val="24"/>
          <w:highlight w:val="none"/>
          <w:u w:val="none"/>
          <w:lang w:val="en-US" w:eastAsia="zh-CN"/>
        </w:rPr>
        <w:t>发包人（全称）</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u w:val="single"/>
          <w:lang w:val="en-US" w:eastAsia="zh-CN"/>
        </w:rPr>
        <w:t>洛阳市文物局</w:t>
      </w:r>
    </w:p>
    <w:p>
      <w:pPr>
        <w:spacing w:line="360" w:lineRule="auto"/>
        <w:rPr>
          <w:rFonts w:hint="eastAsia" w:ascii="仿宋" w:hAnsi="仿宋" w:eastAsia="仿宋" w:cs="仿宋"/>
          <w:b w:val="0"/>
          <w:bCs/>
          <w:color w:val="auto"/>
          <w:sz w:val="24"/>
          <w:szCs w:val="24"/>
          <w:highlight w:val="none"/>
          <w:u w:val="single"/>
        </w:rPr>
      </w:pPr>
      <w:r>
        <w:rPr>
          <w:rFonts w:hint="eastAsia" w:ascii="仿宋" w:hAnsi="仿宋" w:eastAsia="仿宋" w:cs="仿宋"/>
          <w:b w:val="0"/>
          <w:bCs/>
          <w:color w:val="auto"/>
          <w:sz w:val="24"/>
          <w:szCs w:val="24"/>
          <w:highlight w:val="none"/>
        </w:rPr>
        <w:t>承包人（全称）：</w:t>
      </w:r>
      <w:r>
        <w:rPr>
          <w:rFonts w:hint="eastAsia" w:ascii="仿宋" w:hAnsi="仿宋" w:eastAsia="仿宋" w:cs="仿宋"/>
          <w:b/>
          <w:color w:val="auto"/>
          <w:sz w:val="24"/>
          <w:szCs w:val="24"/>
          <w:u w:val="single"/>
        </w:rPr>
        <w:t xml:space="preserve">  </w:t>
      </w:r>
      <w:r>
        <w:rPr>
          <w:rFonts w:hint="eastAsia" w:ascii="仿宋" w:hAnsi="仿宋" w:eastAsia="仿宋" w:cs="仿宋"/>
          <w:b/>
          <w:color w:val="auto"/>
          <w:sz w:val="24"/>
          <w:szCs w:val="24"/>
          <w:u w:val="single"/>
          <w:lang w:val="en-US" w:eastAsia="zh-CN"/>
        </w:rPr>
        <w:t xml:space="preserve">              </w:t>
      </w:r>
      <w:r>
        <w:rPr>
          <w:rFonts w:hint="eastAsia" w:ascii="仿宋" w:hAnsi="仿宋" w:eastAsia="仿宋" w:cs="仿宋"/>
          <w:b w:val="0"/>
          <w:bCs/>
          <w:color w:val="auto"/>
          <w:sz w:val="24"/>
          <w:szCs w:val="24"/>
          <w:highlight w:val="none"/>
          <w:u w:val="single"/>
        </w:rPr>
        <w:t xml:space="preserve"> </w:t>
      </w:r>
    </w:p>
    <w:p>
      <w:pPr>
        <w:spacing w:line="360" w:lineRule="auto"/>
        <w:ind w:firstLine="480" w:firstLineChars="20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发包人和承包人根据《中华人民共和国建筑法》和《建设工程质量管理条例》，经协商一致就</w:t>
      </w:r>
      <w:r>
        <w:rPr>
          <w:rFonts w:hint="eastAsia" w:ascii="仿宋" w:hAnsi="仿宋" w:eastAsia="仿宋" w:cs="仿宋"/>
          <w:b w:val="0"/>
          <w:bCs/>
          <w:color w:val="auto"/>
          <w:sz w:val="24"/>
          <w:szCs w:val="24"/>
          <w:highlight w:val="none"/>
          <w:lang w:val="en-US" w:eastAsia="zh-CN"/>
        </w:rPr>
        <w:t xml:space="preserve">                       </w:t>
      </w:r>
      <w:r>
        <w:rPr>
          <w:rFonts w:hint="eastAsia" w:ascii="仿宋" w:hAnsi="仿宋" w:eastAsia="仿宋" w:cs="仿宋"/>
          <w:b w:val="0"/>
          <w:bCs/>
          <w:color w:val="auto"/>
          <w:sz w:val="24"/>
          <w:szCs w:val="24"/>
          <w:highlight w:val="none"/>
        </w:rPr>
        <w:t>签订工程质量保修书。</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一、工程质量保修范围和内容</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具体质量保修内容双方约定如下：合同范围内的工程质量</w:t>
      </w:r>
    </w:p>
    <w:p>
      <w:pPr>
        <w:spacing w:line="360" w:lineRule="auto"/>
        <w:ind w:firstLine="480" w:firstLineChars="200"/>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二、质量保修期</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根据《建设工程质量管理条例》及有关规定，工程的质量保修期如下：</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质保期不少于国家规定及招标文件和本协议约定的</w:t>
      </w:r>
      <w:r>
        <w:rPr>
          <w:rFonts w:hint="eastAsia" w:ascii="仿宋" w:hAnsi="仿宋" w:eastAsia="仿宋" w:cs="仿宋"/>
          <w:color w:val="auto"/>
          <w:sz w:val="24"/>
          <w:szCs w:val="24"/>
          <w:highlight w:val="none"/>
          <w:lang w:val="en-US" w:eastAsia="zh-CN"/>
        </w:rPr>
        <w:t>质保期（两年）</w:t>
      </w:r>
      <w:r>
        <w:rPr>
          <w:rFonts w:hint="eastAsia" w:ascii="仿宋" w:hAnsi="仿宋" w:eastAsia="仿宋" w:cs="仿宋"/>
          <w:color w:val="auto"/>
          <w:sz w:val="24"/>
          <w:szCs w:val="24"/>
          <w:highlight w:val="none"/>
        </w:rPr>
        <w:t>，质保期从全部工程竣工并通过</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、设计、监理和政府相关部门验收合格完成工程书面移交手续且拿到政府备案回执之日起计算。</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三、保修范围</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所承包的工程, 包括合同约定的所有工程项目、设计变更、按</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程序签订的有效的现场签证、</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书面通知的内容(包括工程联系函)及双方会议纪要约定的全部内容。质保期内,由于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原因出现任何故障、损坏, 均由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包工包料保修。</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所承包的工程，因为质量等原因造成</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或第三方损失的，由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承担全部的赔偿责任，</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先行对外承担的质量等赔偿责任，</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须全部赔偿给</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可直接从质保金中予以扣除，质保金不足以赔偿</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已承担的责任的，</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应在接到</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书面通知之日起3日内全数补付给</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四、维修通知的送达及维修的时间性   </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.1．属于保修范围和内容的项目，</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须在收到</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发出通知（可以邮递、传真、电话等形式发出）后12小时内或</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将维修函件发出后24小时内修复并经</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确认（如因特殊情况难以在该时间内修复的，则以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另行书面确定时间为准）。</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.2．每个维修项目完成后，经</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验收并签字后，方视为该维修项目本次维修完毕。</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.3．对于</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发出的所有维修通知以及其他通信往来等函件，</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寄送给本保修书第7.1款约定或者本合同签章栏内约定的地址以及</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提供的其他地址其中之一的，均为有效送达。如为当面交付，在接收一方签收时视为有效送达；如用传真，在发出之日视为有效送达；如通过国内或国际快递方式以及邮局EMS邮寄等方式寄送，在寄出日（以邮戳或快递单记载发出日为准）之次日即视为有效送达（无论该信件是否被退回）。</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4.4．如果发生以下情形之一，</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有权委托第三方修复，维修费用按实际发生费用的2倍直接从工程款中扣除但不解除</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应负的任何责任，包括不限于刚维修的同一部位工程和往后另发生的其他部位工程的保修责任，所发生维修费用由</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签字认可后生效不须再经</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确认（</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将维修结果知会</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可直接在</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质保金中扣除，并且质保期及应付</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保修款的支付时间按所耽误的时间顺延，并按本保修书第8.3款承担违约责任；质保期内发现的质量等问题在按本保修书的约定解决之前，</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有权拒绝支付质保金给</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对于</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的维修通知函件无人签收、拒收或</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更改地址或/和联系人没有及时通知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应于更改地址或/和联系人之日起3日内通知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，逾期视为没有及时通知，下同）或其他原因导致</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无法联系情况下，从</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发送邮件之日起第2日视同函件已送达</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且</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已知悉维修内容。</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收到</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维修通知后有推诿、维修到场不及时、或维修两次以上（含两次）仍无效果的。</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不能维修或未能在</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指定的合理期限内维修完好或维修质量无法达到</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要求的。</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将维修函件发出后24小时内或</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收到维修函件后12小时内</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未组织维修的。</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cs="仿宋"/>
          <w:color w:val="auto"/>
          <w:sz w:val="24"/>
          <w:szCs w:val="24"/>
          <w:highlight w:val="none"/>
          <w:lang w:val="en-US" w:eastAsia="zh-CN"/>
        </w:rPr>
        <w:t>5</w:t>
      </w:r>
      <w:r>
        <w:rPr>
          <w:rFonts w:hint="eastAsia" w:ascii="仿宋" w:hAnsi="仿宋" w:eastAsia="仿宋" w:cs="仿宋"/>
          <w:color w:val="auto"/>
          <w:sz w:val="24"/>
          <w:szCs w:val="24"/>
          <w:highlight w:val="none"/>
        </w:rPr>
        <w:t>）维修过程中因</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原因而引起业主投诉并拒绝</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维修的。</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五、维修的质量</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负责维修的质量等要求要符合上述合同有关规定及国家地方等现行规范要求，经</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验收合格方可。所维修项目应保证在六个月内(自</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对维修项目验收合格之日起算)不再出现类似问题，否则，不管质保期满是否届满，</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仍须继续保修，并且质保金延后六个月支付。</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.2．质保期间，</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应派出足够的维修和管理人员负责维修工作，认真履行保修，做到服务周到，保证保修的质量及效果。由于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责任，造成</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或第三方人身或经济损失的，</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承担全部赔偿责任。</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.3．因质量等问题</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维修二次后，同一部位再出现类似问题，</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除须再次进行维修外，</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每次每项还需向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支付工作成本及信誉损失金人民币</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000元。如经历三次以上(含三次)维修，仍然不能解决问题，</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有权另行聘请施工单位进行维修，由此引起的一切费用和责任由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负责。</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.4．工作完成后，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负责将施工现场清理干净，否则</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有权自行或委托第三方清理打扫，所产生的费用(包括卫生清理运输费等)由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承担。维修过程中给</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、第三方造成损失的，由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赔偿。</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六、质保金</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.1．双方同意质保金为</w:t>
      </w:r>
      <w:r>
        <w:rPr>
          <w:rFonts w:hint="eastAsia" w:ascii="仿宋" w:hAnsi="仿宋" w:eastAsia="仿宋" w:cs="仿宋"/>
          <w:color w:val="auto"/>
          <w:sz w:val="24"/>
          <w:szCs w:val="24"/>
          <w:highlight w:val="none"/>
          <w:lang w:val="en-US" w:eastAsia="zh-CN"/>
        </w:rPr>
        <w:t>工程</w:t>
      </w:r>
      <w:r>
        <w:rPr>
          <w:rFonts w:hint="eastAsia" w:ascii="仿宋" w:hAnsi="仿宋" w:eastAsia="仿宋" w:cs="仿宋"/>
          <w:color w:val="auto"/>
          <w:sz w:val="24"/>
          <w:szCs w:val="24"/>
          <w:highlight w:val="none"/>
        </w:rPr>
        <w:t xml:space="preserve">结算款的 </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应自本保修书第二条约定的质保期（不含顺延的质保期）届满前30日内书面要求</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进行工程保修质量验收，同时提出质保金结算和支付申请，</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在收到</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书面申请后30日内完成</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承建工程的保修质量评审工作，如果届时工程没有质量问题的，</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对质保金进行结算并签订《质保金结算协议书》，</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根据《质保金结算协议书》扣除</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应付的维修维护费及质量损失赔偿金等款项(如有)后将余额无息支付给</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。如果届时工程仍有质量问题的，</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需负责完全修复且经</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验收合格后30日内</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对质保金进行结算并签订《质保金结算协议书》，</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根据《质保金结算协议书》扣除</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应付的维修维护费及质量损失赔偿金等款项(如有)后将余额无息支付给</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.2．如果涉及防水工程的，本保修书上述第6.1款中的质保金则分两次支付，其中质保金的</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0%由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应自本保修书第</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条约定的质保期（不含顺延的质保期）两年届满前30日内书面要求</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进行工程保修质量验收，同时提出质保金结算和支付申请，</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在收到</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书面申请后30日内完成</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承建工程的保修质量评审工作，如果届时工程没有质量问题的，</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对质保金进行结算并签订《质保金结算协议书》，</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根据《质保金结算协议书》扣除</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应付的维修维护费及质量损失赔偿金等款项(如有)后将余额无息支付给</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。如果届时工程仍有质量问题的，</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需负责完全修复且经</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验收合格后30日内</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对质保金进行结算并签订《质保金结算协议书》，</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根据《质保金结算协议书》扣除</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应付的维修维护费及质量损失赔偿金等款项(如有)后将余额无息支付给</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。其中质保金的</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0%作为防水工程质保金由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自本保修书第一条约定的质保期（不含顺延的质保期）五年届满前30日内书面要求</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进行工程保修质量验收，同时提出质保金结算和支付申请，甲、乙双方按本款约定进行工程保修质量验收和结算后根据《质保金结算协议书》由</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将结算的质保金支付给</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.3本保修书上述第</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.1款和</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.2款约定的</w:t>
      </w:r>
      <w:r>
        <w:rPr>
          <w:rFonts w:hint="eastAsia" w:ascii="仿宋" w:hAnsi="仿宋" w:eastAsia="仿宋" w:cs="仿宋"/>
          <w:color w:val="auto"/>
          <w:sz w:val="24"/>
          <w:szCs w:val="24"/>
          <w:highlight w:val="none"/>
          <w:lang w:eastAsia="zh-CN"/>
        </w:rPr>
        <w:t>质保期</w:t>
      </w:r>
      <w:r>
        <w:rPr>
          <w:rFonts w:hint="eastAsia" w:ascii="仿宋" w:hAnsi="仿宋" w:eastAsia="仿宋" w:cs="仿宋"/>
          <w:color w:val="auto"/>
          <w:sz w:val="24"/>
          <w:szCs w:val="24"/>
          <w:highlight w:val="none"/>
        </w:rPr>
        <w:t>届满前30日内，若</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未书面向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提出工程保修质量验收和质保金结算的书面申请，视为</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同意自动延长</w:t>
      </w:r>
      <w:r>
        <w:rPr>
          <w:rFonts w:hint="eastAsia" w:ascii="仿宋" w:hAnsi="仿宋" w:eastAsia="仿宋" w:cs="仿宋"/>
          <w:color w:val="auto"/>
          <w:sz w:val="24"/>
          <w:szCs w:val="24"/>
          <w:highlight w:val="none"/>
          <w:lang w:eastAsia="zh-CN"/>
        </w:rPr>
        <w:t>质保期</w:t>
      </w:r>
      <w:r>
        <w:rPr>
          <w:rFonts w:hint="eastAsia" w:ascii="仿宋" w:hAnsi="仿宋" w:eastAsia="仿宋" w:cs="仿宋"/>
          <w:color w:val="auto"/>
          <w:sz w:val="24"/>
          <w:szCs w:val="24"/>
          <w:highlight w:val="none"/>
        </w:rPr>
        <w:t>至</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提出相关书面申请之日，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收到</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书面申请后30日内根据本保修书上述第6.1款和6.2款约定与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进行工程保修质量的验收和质保金的结算与支付。</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自行维修及委派他人维修所发生的费用、损失超出保修款的，超出部分由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接到</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书面通知之日起3 日内全数支付给</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.5．所有质保金在结算时均不计利息。</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七、保修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质保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人员安排及管理</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可通过下列联系方式通知</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履行</w:t>
      </w:r>
      <w:r>
        <w:rPr>
          <w:rFonts w:hint="eastAsia" w:ascii="仿宋" w:hAnsi="仿宋" w:eastAsia="仿宋" w:cs="仿宋"/>
          <w:color w:val="auto"/>
          <w:sz w:val="24"/>
          <w:szCs w:val="24"/>
          <w:highlight w:val="none"/>
          <w:lang w:val="en-US" w:eastAsia="zh-CN"/>
        </w:rPr>
        <w:t>质保、</w:t>
      </w:r>
      <w:r>
        <w:rPr>
          <w:rFonts w:hint="eastAsia" w:ascii="仿宋" w:hAnsi="仿宋" w:eastAsia="仿宋" w:cs="仿宋"/>
          <w:color w:val="auto"/>
          <w:sz w:val="24"/>
          <w:szCs w:val="24"/>
          <w:highlight w:val="none"/>
        </w:rPr>
        <w:t>保修义务,以下信息变更但</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没有及时通知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,以下联系方式仍视为有效，由此发生的后果由</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承担全部责任：</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保修负责人 ：</w:t>
      </w:r>
      <w:r>
        <w:rPr>
          <w:rFonts w:hint="eastAsia" w:ascii="仿宋" w:hAnsi="仿宋" w:eastAsia="仿宋" w:cs="仿宋"/>
          <w:color w:val="auto"/>
          <w:sz w:val="24"/>
          <w:szCs w:val="24"/>
          <w:highlight w:val="none"/>
          <w:u w:val="single"/>
        </w:rPr>
        <w:t xml:space="preserve">              </w:t>
      </w:r>
    </w:p>
    <w:p>
      <w:pPr>
        <w:spacing w:line="360" w:lineRule="auto"/>
        <w:ind w:firstLine="456" w:firstLineChars="19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通讯地址：</w:t>
      </w:r>
      <w:r>
        <w:rPr>
          <w:rFonts w:hint="eastAsia" w:ascii="仿宋" w:hAnsi="仿宋" w:eastAsia="仿宋" w:cs="仿宋"/>
          <w:color w:val="auto"/>
          <w:sz w:val="24"/>
          <w:szCs w:val="24"/>
          <w:highlight w:val="none"/>
          <w:u w:val="single"/>
        </w:rPr>
        <w:t xml:space="preserve">            </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电话（手机）：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电话（座机）：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pPr>
        <w:spacing w:line="360" w:lineRule="auto"/>
        <w:ind w:firstLine="456" w:firstLineChars="19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传真：</w:t>
      </w:r>
      <w:r>
        <w:rPr>
          <w:rFonts w:hint="eastAsia" w:ascii="仿宋" w:hAnsi="仿宋" w:eastAsia="仿宋" w:cs="仿宋"/>
          <w:color w:val="auto"/>
          <w:sz w:val="24"/>
          <w:szCs w:val="24"/>
          <w:highlight w:val="none"/>
          <w:u w:val="single"/>
        </w:rPr>
        <w:t xml:space="preserve">                 。</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.2．上述保修责任人应24小时保持通信，</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更换</w:t>
      </w:r>
      <w:r>
        <w:rPr>
          <w:rFonts w:hint="eastAsia" w:ascii="仿宋" w:hAnsi="仿宋" w:eastAsia="仿宋" w:cs="仿宋"/>
          <w:color w:val="auto"/>
          <w:sz w:val="24"/>
          <w:szCs w:val="24"/>
          <w:highlight w:val="none"/>
          <w:lang w:val="en-US" w:eastAsia="zh-CN"/>
        </w:rPr>
        <w:t>保修负责</w:t>
      </w:r>
      <w:r>
        <w:rPr>
          <w:rFonts w:hint="eastAsia" w:ascii="仿宋" w:hAnsi="仿宋" w:eastAsia="仿宋" w:cs="仿宋"/>
          <w:color w:val="auto"/>
          <w:sz w:val="24"/>
          <w:szCs w:val="24"/>
          <w:highlight w:val="none"/>
        </w:rPr>
        <w:t>人的，</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应提前3日书面告知</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，并提供新任</w:t>
      </w:r>
      <w:r>
        <w:rPr>
          <w:rFonts w:hint="eastAsia" w:ascii="仿宋" w:hAnsi="仿宋" w:eastAsia="仿宋" w:cs="仿宋"/>
          <w:color w:val="auto"/>
          <w:sz w:val="24"/>
          <w:szCs w:val="24"/>
          <w:highlight w:val="none"/>
          <w:lang w:val="en-US" w:eastAsia="zh-CN"/>
        </w:rPr>
        <w:t>负责人</w:t>
      </w:r>
      <w:r>
        <w:rPr>
          <w:rFonts w:hint="eastAsia" w:ascii="仿宋" w:hAnsi="仿宋" w:eastAsia="仿宋" w:cs="仿宋"/>
          <w:color w:val="auto"/>
          <w:sz w:val="24"/>
          <w:szCs w:val="24"/>
          <w:highlight w:val="none"/>
        </w:rPr>
        <w:t>的联系方式，做好交接工作，否则，从</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发出维修通知之日起第2日视为</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已收到</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传达之信息。</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所指派的维修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质保</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人员应当服从</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的管理，不得与</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发生任何争执，否则，</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应向</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支付每人每次</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00 元的违约金。</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所指派的维修人员必须配戴有效的工作证明，衣着整洁，否则，</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有权拒绝其入内，维修时间不作延长。</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八、保修质量的保障措施</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每次维修应安排在不影响</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该项目正常运行的前提下进行，大规模的维修及保养工作应由甲乙双方确定时间进行，</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不可将</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所确定的维修时间作为延长维修时间或拒绝维修的理由。因质量问题需进行局部配件更换或更新的，所选用的材料或代替品不得低于原厂、原装的品质。</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.2．维修工作完成后，</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负责将施工现场清理干净，否则</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有权向</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收取每人每次 1000元的违约金；如维修过程中给第三方造成其他损失，则</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应承担相应责任。</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.3．如有下列情况之一发生，</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有权向</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收取每次</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0000元的违约金：</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①接到</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返修通知（口头或书面）后拒不到现场处理问题；</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②超过规定的到场时间后3小时仍未赶到现场；</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③对同一位置经过二次返修仍未彻底解决问题；</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有权将维修管理职责与权利全部委托给第三方主体，</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同意接受第三方主体在维修方面的管理，按合同约定完成售后服务和维修任务，</w:t>
      </w:r>
      <w:r>
        <w:rPr>
          <w:rFonts w:hint="eastAsia" w:ascii="仿宋" w:hAnsi="仿宋" w:eastAsia="仿宋" w:cs="仿宋"/>
          <w:color w:val="auto"/>
          <w:sz w:val="24"/>
          <w:szCs w:val="24"/>
          <w:highlight w:val="none"/>
          <w:lang w:eastAsia="zh-CN"/>
        </w:rPr>
        <w:t>承包人</w:t>
      </w:r>
      <w:r>
        <w:rPr>
          <w:rFonts w:hint="eastAsia" w:ascii="仿宋" w:hAnsi="仿宋" w:eastAsia="仿宋" w:cs="仿宋"/>
          <w:color w:val="auto"/>
          <w:sz w:val="24"/>
          <w:szCs w:val="24"/>
          <w:highlight w:val="none"/>
        </w:rPr>
        <w:t>无条件接受</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或</w:t>
      </w:r>
      <w:r>
        <w:rPr>
          <w:rFonts w:hint="eastAsia" w:ascii="仿宋" w:hAnsi="仿宋" w:eastAsia="仿宋" w:cs="仿宋"/>
          <w:color w:val="auto"/>
          <w:sz w:val="24"/>
          <w:szCs w:val="24"/>
          <w:highlight w:val="none"/>
          <w:lang w:eastAsia="zh-CN"/>
        </w:rPr>
        <w:t>发包人</w:t>
      </w:r>
      <w:r>
        <w:rPr>
          <w:rFonts w:hint="eastAsia" w:ascii="仿宋" w:hAnsi="仿宋" w:eastAsia="仿宋" w:cs="仿宋"/>
          <w:color w:val="auto"/>
          <w:sz w:val="24"/>
          <w:szCs w:val="24"/>
          <w:highlight w:val="none"/>
        </w:rPr>
        <w:t>委托第三方主体的监督和管理。</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九、其他</w:t>
      </w:r>
    </w:p>
    <w:p>
      <w:pPr>
        <w:pStyle w:val="58"/>
        <w:ind w:left="0" w:leftChars="0"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9.1.双方特别约定若工程结算时未留质保金的，承包人违反质保义务的，承包人自愿加倍承担本协议约定的违约责任。</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．本保修书由甲、乙双方签字盖章后即行生效。</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．本工程质量保修书作为施工合同附件，与施工合同具有同等法律效力。</w:t>
      </w:r>
    </w:p>
    <w:p>
      <w:pPr>
        <w:spacing w:line="360" w:lineRule="auto"/>
        <w:ind w:firstLine="456" w:firstLineChars="19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（以下无正文）</w:t>
      </w:r>
    </w:p>
    <w:p>
      <w:pPr>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发包人：  (公章)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承包人：  (公章)</w:t>
      </w:r>
    </w:p>
    <w:p>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                                 </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法定代表人或其委托代理人：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法定代表人或其委托代理人：</w:t>
      </w:r>
    </w:p>
    <w:p>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（签字）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（签字）</w:t>
      </w:r>
    </w:p>
    <w:p>
      <w:pPr>
        <w:spacing w:line="360"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组织机构代码：</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统一社会信用代码：</w:t>
      </w:r>
      <w:r>
        <w:rPr>
          <w:rFonts w:hint="eastAsia" w:ascii="仿宋" w:hAnsi="仿宋" w:eastAsia="仿宋" w:cs="仿宋"/>
          <w:color w:val="auto"/>
          <w:sz w:val="24"/>
          <w:szCs w:val="24"/>
          <w:highlight w:val="none"/>
          <w:u w:val="single"/>
        </w:rPr>
        <w:t xml:space="preserve">       </w:t>
      </w:r>
    </w:p>
    <w:p>
      <w:pPr>
        <w:spacing w:line="360" w:lineRule="auto"/>
        <w:rPr>
          <w:rFonts w:hint="eastAsia" w:ascii="仿宋" w:hAnsi="仿宋" w:eastAsia="仿宋" w:cs="仿宋"/>
          <w:strike w:val="0"/>
          <w:color w:val="auto"/>
          <w:sz w:val="24"/>
          <w:szCs w:val="24"/>
          <w:highlight w:val="none"/>
          <w:u w:val="single"/>
        </w:rPr>
      </w:pPr>
      <w:r>
        <w:rPr>
          <w:rFonts w:hint="eastAsia" w:ascii="仿宋" w:hAnsi="仿宋" w:eastAsia="仿宋" w:cs="仿宋"/>
          <w:color w:val="auto"/>
          <w:sz w:val="24"/>
          <w:szCs w:val="24"/>
          <w:highlight w:val="none"/>
        </w:rPr>
        <w:t xml:space="preserve">地  址： </w:t>
      </w:r>
      <w:r>
        <w:rPr>
          <w:rFonts w:hint="eastAsia" w:ascii="仿宋" w:hAnsi="仿宋" w:eastAsia="仿宋" w:cs="仿宋"/>
          <w:strike w:val="0"/>
          <w:dstrike w:val="0"/>
          <w:color w:val="auto"/>
          <w:sz w:val="24"/>
          <w:szCs w:val="24"/>
          <w:highlight w:val="none"/>
          <w:u w:val="single"/>
        </w:rPr>
        <w:t></w:t>
      </w:r>
      <w:r>
        <w:rPr>
          <w:rFonts w:hint="eastAsia" w:ascii="仿宋" w:hAnsi="仿宋" w:eastAsia="仿宋" w:cs="仿宋"/>
          <w:strike w:val="0"/>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地 址： </w:t>
      </w:r>
      <w:r>
        <w:rPr>
          <w:rFonts w:hint="eastAsia" w:ascii="仿宋" w:hAnsi="仿宋" w:eastAsia="仿宋" w:cs="仿宋"/>
          <w:strike w:val="0"/>
          <w:dstrike w:val="0"/>
          <w:color w:val="auto"/>
          <w:sz w:val="24"/>
          <w:szCs w:val="24"/>
          <w:highlight w:val="none"/>
          <w:u w:val="single"/>
        </w:rPr>
        <w:t></w:t>
      </w:r>
      <w:r>
        <w:rPr>
          <w:rFonts w:hint="eastAsia" w:ascii="仿宋" w:hAnsi="仿宋" w:eastAsia="仿宋" w:cs="仿宋"/>
          <w:strike w:val="0"/>
          <w:color w:val="auto"/>
          <w:sz w:val="24"/>
          <w:szCs w:val="24"/>
          <w:highlight w:val="none"/>
          <w:u w:val="single"/>
        </w:rPr>
        <w:t xml:space="preserve">  </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r>
        <w:rPr>
          <w:rFonts w:hint="eastAsia" w:ascii="仿宋" w:hAnsi="仿宋" w:eastAsia="仿宋" w:cs="仿宋"/>
          <w:color w:val="auto"/>
          <w:sz w:val="24"/>
          <w:szCs w:val="24"/>
          <w:highlight w:val="none"/>
          <w:u w:val="single"/>
        </w:rPr>
        <w:t xml:space="preserve">  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邮政编码：</w:t>
      </w:r>
      <w:r>
        <w:rPr>
          <w:rFonts w:hint="eastAsia" w:ascii="仿宋" w:hAnsi="仿宋" w:eastAsia="仿宋" w:cs="仿宋"/>
          <w:color w:val="auto"/>
          <w:sz w:val="24"/>
          <w:szCs w:val="24"/>
          <w:highlight w:val="none"/>
          <w:u w:val="single"/>
        </w:rPr>
        <w:t xml:space="preserve">   </w:t>
      </w:r>
      <w:r>
        <w:rPr>
          <w:rFonts w:hint="eastAsia" w:ascii="仿宋" w:hAnsi="仿宋" w:eastAsia="仿宋" w:cs="仿宋"/>
          <w:color w:val="auto"/>
          <w:sz w:val="24"/>
          <w:szCs w:val="24"/>
          <w:highlight w:val="none"/>
        </w:rPr>
        <w:t xml:space="preserve"> </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法定代表人：     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法定代表人：             </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委托代理人：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委托代理人：             </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  话：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电  话：</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传  真：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传  真：</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电子信箱：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电子信箱：   </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开户银行：</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账  号：</w:t>
      </w:r>
    </w:p>
    <w:p>
      <w:pPr>
        <w:pStyle w:val="25"/>
        <w:rPr>
          <w:rFonts w:hint="eastAsia"/>
        </w:rPr>
      </w:pPr>
    </w:p>
    <w:p>
      <w:pPr>
        <w:pStyle w:val="25"/>
        <w:rPr>
          <w:rFonts w:hint="eastAsia"/>
        </w:rPr>
      </w:pPr>
    </w:p>
    <w:p>
      <w:pPr>
        <w:pStyle w:val="2"/>
        <w:spacing w:before="120" w:after="120" w:line="400" w:lineRule="exact"/>
        <w:ind w:firstLine="0" w:firstLineChars="0"/>
        <w:jc w:val="center"/>
        <w:rPr>
          <w:rFonts w:hint="eastAsia" w:ascii="仿宋" w:hAnsi="仿宋" w:eastAsia="仿宋" w:cs="仿宋"/>
          <w:b/>
          <w:bCs/>
          <w:sz w:val="32"/>
        </w:rPr>
      </w:pPr>
      <w:r>
        <w:rPr>
          <w:rFonts w:hint="eastAsia" w:ascii="仿宋" w:hAnsi="仿宋" w:eastAsia="仿宋" w:cs="仿宋"/>
          <w:b/>
          <w:bCs/>
          <w:sz w:val="32"/>
        </w:rPr>
        <w:t>第五章  工程量清单</w:t>
      </w:r>
      <w:bookmarkEnd w:id="347"/>
      <w:bookmarkEnd w:id="348"/>
      <w:bookmarkEnd w:id="349"/>
      <w:bookmarkEnd w:id="354"/>
    </w:p>
    <w:p/>
    <w:p>
      <w:r>
        <w:rPr>
          <w:rFonts w:hint="eastAsia"/>
        </w:rPr>
        <w:t>本项目清单为电子版，请投标单位登录洛阳市公共资源交易网-洛阳市电子招投标交易平台入口在线下载。</w:t>
      </w:r>
    </w:p>
    <w:p/>
    <w:p>
      <w:r>
        <w:rPr>
          <w:rFonts w:hint="eastAsia"/>
        </w:rPr>
        <w:br w:type="page"/>
      </w:r>
    </w:p>
    <w:p>
      <w:pPr>
        <w:pStyle w:val="2"/>
        <w:spacing w:before="120" w:after="120" w:line="400" w:lineRule="exact"/>
        <w:ind w:firstLine="0" w:firstLineChars="0"/>
        <w:jc w:val="center"/>
        <w:rPr>
          <w:rFonts w:hint="eastAsia" w:ascii="仿宋" w:hAnsi="仿宋" w:eastAsia="仿宋" w:cs="仿宋"/>
          <w:b/>
          <w:bCs/>
          <w:sz w:val="32"/>
        </w:rPr>
      </w:pPr>
      <w:bookmarkStart w:id="570" w:name="_Toc152042571"/>
      <w:bookmarkStart w:id="571" w:name="_Toc16347"/>
      <w:bookmarkStart w:id="572" w:name="_Toc144974851"/>
      <w:bookmarkStart w:id="573" w:name="_Toc152045782"/>
      <w:r>
        <w:rPr>
          <w:rFonts w:hint="eastAsia" w:ascii="仿宋" w:hAnsi="仿宋" w:eastAsia="仿宋" w:cs="仿宋"/>
          <w:b/>
          <w:bCs/>
          <w:sz w:val="32"/>
        </w:rPr>
        <w:t>第六章  图  纸</w:t>
      </w:r>
      <w:bookmarkEnd w:id="570"/>
      <w:bookmarkEnd w:id="571"/>
      <w:bookmarkEnd w:id="572"/>
      <w:bookmarkEnd w:id="573"/>
    </w:p>
    <w:p/>
    <w:p>
      <w:r>
        <w:rPr>
          <w:rFonts w:hint="eastAsia"/>
        </w:rPr>
        <w:t>本项目图纸为电子版，投标单位登录洛阳市公共资源交易网-洛阳市电子招投标交易平台入口在线下载电子版图纸。</w:t>
      </w:r>
    </w:p>
    <w:p/>
    <w:p>
      <w:r>
        <w:rPr>
          <w:rFonts w:hint="eastAsia"/>
        </w:rPr>
        <w:br w:type="page"/>
      </w:r>
    </w:p>
    <w:p>
      <w:pPr>
        <w:pStyle w:val="2"/>
        <w:spacing w:before="120" w:after="120" w:line="400" w:lineRule="exact"/>
        <w:ind w:firstLine="0" w:firstLineChars="0"/>
        <w:jc w:val="center"/>
        <w:rPr>
          <w:rFonts w:hint="eastAsia" w:ascii="仿宋" w:hAnsi="仿宋" w:eastAsia="仿宋" w:cs="仿宋"/>
          <w:b/>
          <w:bCs/>
          <w:sz w:val="32"/>
        </w:rPr>
      </w:pPr>
      <w:bookmarkStart w:id="574" w:name="_Toc152042574"/>
      <w:bookmarkStart w:id="575" w:name="_Toc13956"/>
      <w:bookmarkStart w:id="576" w:name="_Toc144974854"/>
      <w:bookmarkStart w:id="577" w:name="_Toc152045785"/>
      <w:r>
        <w:rPr>
          <w:rFonts w:hint="eastAsia" w:ascii="仿宋" w:hAnsi="仿宋" w:eastAsia="仿宋" w:cs="仿宋"/>
          <w:b/>
          <w:bCs/>
          <w:sz w:val="32"/>
        </w:rPr>
        <w:t>第七章  技术标准和要求</w:t>
      </w:r>
      <w:bookmarkEnd w:id="574"/>
      <w:bookmarkEnd w:id="575"/>
      <w:bookmarkEnd w:id="576"/>
      <w:bookmarkEnd w:id="577"/>
    </w:p>
    <w:p>
      <w:pPr>
        <w:jc w:val="center"/>
      </w:pPr>
      <w:r>
        <w:rPr>
          <w:rFonts w:hint="eastAsia"/>
        </w:rPr>
        <w:t>（详见图纸）</w:t>
      </w:r>
    </w:p>
    <w:p>
      <w:r>
        <w:rPr>
          <w:rFonts w:hint="eastAsia"/>
        </w:rPr>
        <w:br w:type="page"/>
      </w:r>
    </w:p>
    <w:p>
      <w:bookmarkStart w:id="578" w:name="_Toc144974855"/>
      <w:bookmarkStart w:id="579" w:name="_Toc152042575"/>
      <w:bookmarkStart w:id="580" w:name="_Toc152045786"/>
    </w:p>
    <w:bookmarkEnd w:id="578"/>
    <w:bookmarkEnd w:id="579"/>
    <w:bookmarkEnd w:id="580"/>
    <w:p>
      <w:pPr>
        <w:pStyle w:val="2"/>
        <w:spacing w:before="120" w:after="120" w:line="400" w:lineRule="exact"/>
        <w:ind w:firstLine="0" w:firstLineChars="0"/>
        <w:jc w:val="center"/>
        <w:rPr>
          <w:rFonts w:hint="eastAsia" w:ascii="仿宋" w:hAnsi="仿宋" w:eastAsia="仿宋" w:cs="仿宋"/>
          <w:b/>
          <w:bCs/>
          <w:sz w:val="32"/>
        </w:rPr>
      </w:pPr>
      <w:bookmarkStart w:id="581" w:name="_Toc2795"/>
      <w:r>
        <w:rPr>
          <w:rFonts w:hint="eastAsia" w:ascii="仿宋" w:hAnsi="仿宋" w:eastAsia="仿宋" w:cs="仿宋"/>
          <w:b/>
          <w:bCs/>
          <w:sz w:val="32"/>
        </w:rPr>
        <w:t>第八章  投标文件格式</w:t>
      </w:r>
      <w:bookmarkEnd w:id="581"/>
    </w:p>
    <w:p>
      <w:pPr>
        <w:rPr>
          <w:rFonts w:hint="default"/>
          <w:lang w:val="en-US" w:eastAsia="zh-CN"/>
        </w:rPr>
      </w:pPr>
    </w:p>
    <w:p>
      <w:pPr>
        <w:pStyle w:val="25"/>
        <w:rPr>
          <w:rFonts w:hint="default"/>
          <w:lang w:val="en-US" w:eastAsia="zh-CN"/>
        </w:rPr>
      </w:pPr>
    </w:p>
    <w:p>
      <w:pPr>
        <w:pStyle w:val="25"/>
        <w:rPr>
          <w:rFonts w:hint="default"/>
          <w:lang w:val="en-US" w:eastAsia="zh-CN"/>
        </w:rPr>
      </w:pPr>
    </w:p>
    <w:p>
      <w:pPr>
        <w:pStyle w:val="25"/>
        <w:rPr>
          <w:rFonts w:hint="default"/>
          <w:lang w:val="en-US" w:eastAsia="zh-CN"/>
        </w:rPr>
      </w:pPr>
    </w:p>
    <w:p>
      <w:pPr>
        <w:pStyle w:val="25"/>
        <w:rPr>
          <w:rFonts w:hint="default"/>
          <w:lang w:val="en-US" w:eastAsia="zh-CN"/>
        </w:rPr>
      </w:pPr>
    </w:p>
    <w:p>
      <w:pPr>
        <w:pStyle w:val="25"/>
        <w:rPr>
          <w:rFonts w:hint="default"/>
          <w:lang w:val="en-US" w:eastAsia="zh-CN"/>
        </w:rPr>
      </w:pPr>
    </w:p>
    <w:p>
      <w:pPr>
        <w:pStyle w:val="25"/>
        <w:rPr>
          <w:rFonts w:hint="default"/>
          <w:lang w:val="en-US" w:eastAsia="zh-CN"/>
        </w:rPr>
      </w:pPr>
    </w:p>
    <w:p>
      <w:pPr>
        <w:pStyle w:val="25"/>
        <w:rPr>
          <w:rFonts w:hint="default"/>
          <w:lang w:val="en-US" w:eastAsia="zh-CN"/>
        </w:rPr>
      </w:pPr>
    </w:p>
    <w:p>
      <w:pPr>
        <w:pStyle w:val="25"/>
        <w:rPr>
          <w:rFonts w:hint="default"/>
          <w:lang w:val="en-US" w:eastAsia="zh-CN"/>
        </w:rPr>
      </w:pPr>
    </w:p>
    <w:p>
      <w:pPr>
        <w:pStyle w:val="25"/>
        <w:rPr>
          <w:rFonts w:hint="default"/>
          <w:lang w:val="en-US" w:eastAsia="zh-CN"/>
        </w:rPr>
      </w:pPr>
    </w:p>
    <w:p>
      <w:pPr>
        <w:pStyle w:val="25"/>
        <w:rPr>
          <w:rFonts w:hint="default"/>
          <w:lang w:val="en-US" w:eastAsia="zh-CN"/>
        </w:rPr>
      </w:pPr>
    </w:p>
    <w:p>
      <w:pPr>
        <w:pStyle w:val="25"/>
        <w:rPr>
          <w:rFonts w:hint="default"/>
          <w:lang w:val="en-US" w:eastAsia="zh-CN"/>
        </w:rPr>
      </w:pPr>
    </w:p>
    <w:p>
      <w:pPr>
        <w:pStyle w:val="25"/>
        <w:rPr>
          <w:rFonts w:hint="default"/>
          <w:lang w:val="en-US" w:eastAsia="zh-CN"/>
        </w:rPr>
      </w:pPr>
    </w:p>
    <w:p>
      <w:pPr>
        <w:pStyle w:val="25"/>
        <w:rPr>
          <w:rFonts w:hint="default"/>
          <w:lang w:val="en-US" w:eastAsia="zh-CN"/>
        </w:rPr>
      </w:pPr>
    </w:p>
    <w:p>
      <w:pPr>
        <w:pStyle w:val="25"/>
        <w:rPr>
          <w:rFonts w:hint="default"/>
          <w:lang w:val="en-US" w:eastAsia="zh-CN"/>
        </w:rPr>
      </w:pPr>
    </w:p>
    <w:p>
      <w:pPr>
        <w:pStyle w:val="25"/>
        <w:rPr>
          <w:rFonts w:hint="default"/>
          <w:lang w:val="en-US" w:eastAsia="zh-CN"/>
        </w:rPr>
      </w:pPr>
    </w:p>
    <w:p>
      <w:pPr>
        <w:pStyle w:val="25"/>
        <w:rPr>
          <w:rFonts w:hint="default"/>
          <w:lang w:val="en-US" w:eastAsia="zh-CN"/>
        </w:rPr>
      </w:pPr>
    </w:p>
    <w:p>
      <w:pPr>
        <w:pStyle w:val="25"/>
        <w:rPr>
          <w:rFonts w:hint="default"/>
          <w:lang w:val="en-US" w:eastAsia="zh-CN"/>
        </w:rPr>
      </w:pPr>
    </w:p>
    <w:p>
      <w:pPr>
        <w:pStyle w:val="25"/>
        <w:rPr>
          <w:rFonts w:hint="default"/>
          <w:lang w:val="en-US" w:eastAsia="zh-CN"/>
        </w:rPr>
      </w:pPr>
    </w:p>
    <w:p>
      <w:pPr>
        <w:ind w:left="0" w:leftChars="0" w:firstLine="0" w:firstLineChars="0"/>
      </w:pPr>
    </w:p>
    <w:p>
      <w:pPr>
        <w:ind w:left="0" w:leftChars="0" w:firstLine="0" w:firstLineChars="0"/>
        <w:jc w:val="center"/>
        <w:rPr>
          <w:rFonts w:hint="eastAsia" w:ascii="仿宋" w:hAnsi="仿宋" w:eastAsia="仿宋" w:cs="仿宋"/>
          <w:sz w:val="28"/>
          <w:szCs w:val="28"/>
          <w:u w:val="single"/>
        </w:rPr>
      </w:pPr>
      <w:r>
        <w:rPr>
          <w:rFonts w:hint="eastAsia" w:ascii="仿宋" w:hAnsi="仿宋" w:eastAsia="仿宋" w:cs="仿宋"/>
          <w:sz w:val="28"/>
          <w:szCs w:val="28"/>
          <w:u w:val="single"/>
        </w:rPr>
        <w:t xml:space="preserve">                            （项目名称）</w:t>
      </w:r>
    </w:p>
    <w:p>
      <w:pPr>
        <w:ind w:left="0" w:leftChars="0" w:firstLine="0" w:firstLineChars="0"/>
        <w:jc w:val="left"/>
        <w:rPr>
          <w:rFonts w:hint="eastAsia" w:ascii="仿宋" w:hAnsi="仿宋" w:eastAsia="仿宋" w:cs="仿宋"/>
          <w:sz w:val="28"/>
          <w:szCs w:val="28"/>
        </w:rPr>
      </w:pPr>
      <w:r>
        <w:rPr>
          <w:rFonts w:hint="eastAsia" w:ascii="仿宋" w:hAnsi="仿宋" w:eastAsia="仿宋" w:cs="仿宋"/>
          <w:sz w:val="28"/>
          <w:szCs w:val="28"/>
        </w:rPr>
        <w:t xml:space="preserve">      </w:t>
      </w:r>
    </w:p>
    <w:p>
      <w:pPr>
        <w:ind w:left="0" w:leftChars="0" w:firstLine="0" w:firstLineChars="0"/>
        <w:rPr>
          <w:rFonts w:hint="eastAsia" w:ascii="仿宋" w:hAnsi="仿宋" w:eastAsia="仿宋" w:cs="仿宋"/>
          <w:sz w:val="28"/>
          <w:szCs w:val="28"/>
        </w:rPr>
      </w:pPr>
    </w:p>
    <w:p>
      <w:pPr>
        <w:ind w:left="0" w:leftChars="0" w:firstLine="0" w:firstLineChars="0"/>
        <w:rPr>
          <w:rFonts w:hint="eastAsia" w:ascii="仿宋" w:hAnsi="仿宋" w:eastAsia="仿宋" w:cs="仿宋"/>
          <w:sz w:val="20"/>
          <w:szCs w:val="20"/>
        </w:rPr>
      </w:pPr>
    </w:p>
    <w:p>
      <w:pPr>
        <w:ind w:left="0" w:leftChars="0" w:firstLine="0" w:firstLineChars="0"/>
        <w:rPr>
          <w:rFonts w:hint="eastAsia" w:ascii="仿宋" w:hAnsi="仿宋" w:eastAsia="仿宋" w:cs="仿宋"/>
          <w:sz w:val="20"/>
          <w:szCs w:val="20"/>
        </w:rPr>
      </w:pPr>
    </w:p>
    <w:p>
      <w:pPr>
        <w:ind w:left="0" w:leftChars="0" w:firstLine="0" w:firstLineChars="0"/>
        <w:rPr>
          <w:rFonts w:hint="eastAsia" w:ascii="仿宋" w:hAnsi="仿宋" w:eastAsia="仿宋" w:cs="仿宋"/>
          <w:sz w:val="20"/>
          <w:szCs w:val="20"/>
        </w:rPr>
      </w:pPr>
    </w:p>
    <w:p>
      <w:pPr>
        <w:ind w:left="0" w:leftChars="0" w:firstLine="0" w:firstLineChars="0"/>
        <w:rPr>
          <w:rFonts w:hint="eastAsia" w:ascii="仿宋" w:hAnsi="仿宋" w:eastAsia="仿宋" w:cs="仿宋"/>
          <w:sz w:val="20"/>
          <w:szCs w:val="20"/>
        </w:rPr>
      </w:pPr>
    </w:p>
    <w:p>
      <w:pPr>
        <w:ind w:left="0" w:leftChars="0" w:firstLine="0" w:firstLineChars="0"/>
        <w:jc w:val="center"/>
        <w:rPr>
          <w:rFonts w:hint="eastAsia" w:ascii="仿宋" w:hAnsi="仿宋" w:eastAsia="仿宋" w:cs="仿宋"/>
          <w:sz w:val="72"/>
          <w:szCs w:val="44"/>
        </w:rPr>
      </w:pPr>
      <w:r>
        <w:rPr>
          <w:rFonts w:hint="eastAsia" w:ascii="仿宋" w:hAnsi="仿宋" w:eastAsia="仿宋" w:cs="仿宋"/>
          <w:sz w:val="72"/>
          <w:szCs w:val="44"/>
        </w:rPr>
        <w:t>投  标  文  件</w:t>
      </w:r>
    </w:p>
    <w:p>
      <w:pPr>
        <w:ind w:left="0" w:leftChars="0" w:firstLine="0" w:firstLineChars="0"/>
        <w:rPr>
          <w:rFonts w:hint="eastAsia" w:ascii="仿宋" w:hAnsi="仿宋" w:eastAsia="仿宋" w:cs="仿宋"/>
          <w:sz w:val="28"/>
          <w:szCs w:val="28"/>
        </w:rPr>
      </w:pPr>
    </w:p>
    <w:p>
      <w:pPr>
        <w:ind w:left="0" w:leftChars="0" w:firstLine="0" w:firstLineChars="0"/>
        <w:rPr>
          <w:rFonts w:hint="eastAsia" w:ascii="仿宋" w:hAnsi="仿宋" w:eastAsia="仿宋" w:cs="仿宋"/>
          <w:sz w:val="28"/>
          <w:szCs w:val="28"/>
        </w:rPr>
      </w:pPr>
    </w:p>
    <w:p>
      <w:pPr>
        <w:ind w:left="0" w:leftChars="0" w:firstLine="0" w:firstLineChars="0"/>
        <w:rPr>
          <w:rFonts w:hint="eastAsia" w:ascii="仿宋" w:hAnsi="仿宋" w:eastAsia="仿宋" w:cs="仿宋"/>
          <w:sz w:val="28"/>
          <w:szCs w:val="28"/>
        </w:rPr>
      </w:pPr>
    </w:p>
    <w:p>
      <w:pPr>
        <w:ind w:left="0" w:leftChars="0" w:firstLine="0" w:firstLineChars="0"/>
        <w:rPr>
          <w:rFonts w:hint="eastAsia" w:ascii="仿宋" w:hAnsi="仿宋" w:eastAsia="仿宋" w:cs="仿宋"/>
          <w:sz w:val="28"/>
          <w:szCs w:val="28"/>
        </w:rPr>
      </w:pPr>
    </w:p>
    <w:p>
      <w:pPr>
        <w:ind w:left="0" w:leftChars="0" w:firstLine="0" w:firstLineChars="0"/>
        <w:rPr>
          <w:rFonts w:hint="eastAsia" w:ascii="仿宋" w:hAnsi="仿宋" w:eastAsia="仿宋" w:cs="仿宋"/>
          <w:sz w:val="28"/>
          <w:szCs w:val="28"/>
        </w:rPr>
      </w:pPr>
    </w:p>
    <w:p>
      <w:pPr>
        <w:ind w:left="0" w:leftChars="0" w:firstLine="0" w:firstLineChars="0"/>
        <w:rPr>
          <w:rFonts w:hint="eastAsia" w:ascii="仿宋" w:hAnsi="仿宋" w:eastAsia="仿宋" w:cs="仿宋"/>
          <w:sz w:val="28"/>
          <w:szCs w:val="28"/>
        </w:rPr>
      </w:pPr>
    </w:p>
    <w:p>
      <w:pPr>
        <w:ind w:left="0" w:leftChars="0" w:firstLine="0" w:firstLineChars="0"/>
        <w:rPr>
          <w:rFonts w:hint="eastAsia" w:ascii="仿宋" w:hAnsi="仿宋" w:eastAsia="仿宋" w:cs="仿宋"/>
          <w:sz w:val="28"/>
          <w:szCs w:val="28"/>
        </w:rPr>
      </w:pPr>
    </w:p>
    <w:p>
      <w:pPr>
        <w:ind w:left="0" w:leftChars="0" w:firstLine="0" w:firstLineChars="0"/>
        <w:rPr>
          <w:rFonts w:hint="eastAsia" w:ascii="仿宋" w:hAnsi="仿宋" w:eastAsia="仿宋" w:cs="仿宋"/>
          <w:sz w:val="28"/>
          <w:szCs w:val="28"/>
        </w:rPr>
      </w:pPr>
    </w:p>
    <w:p>
      <w:pPr>
        <w:ind w:left="0" w:leftChars="0" w:firstLine="0" w:firstLineChars="0"/>
        <w:jc w:val="center"/>
        <w:rPr>
          <w:rFonts w:hint="eastAsia" w:ascii="仿宋" w:hAnsi="仿宋" w:eastAsia="仿宋" w:cs="仿宋"/>
          <w:sz w:val="28"/>
          <w:szCs w:val="28"/>
          <w:u w:val="single"/>
        </w:rPr>
      </w:pPr>
      <w:r>
        <w:rPr>
          <w:rFonts w:hint="eastAsia" w:ascii="仿宋" w:hAnsi="仿宋" w:eastAsia="仿宋" w:cs="仿宋"/>
          <w:sz w:val="28"/>
          <w:szCs w:val="28"/>
        </w:rPr>
        <w:t>投 标 人：</w:t>
      </w:r>
      <w:r>
        <w:rPr>
          <w:rFonts w:hint="eastAsia" w:ascii="仿宋" w:hAnsi="仿宋" w:eastAsia="仿宋" w:cs="仿宋"/>
          <w:sz w:val="28"/>
          <w:szCs w:val="28"/>
          <w:u w:val="single"/>
        </w:rPr>
        <w:t xml:space="preserve">                             </w:t>
      </w:r>
      <w:r>
        <w:rPr>
          <w:rFonts w:hint="eastAsia" w:ascii="仿宋" w:hAnsi="仿宋" w:eastAsia="仿宋" w:cs="仿宋"/>
          <w:sz w:val="28"/>
          <w:szCs w:val="28"/>
        </w:rPr>
        <w:t>（盖单位章）</w:t>
      </w:r>
    </w:p>
    <w:p>
      <w:pPr>
        <w:ind w:left="0" w:leftChars="0" w:firstLine="0" w:firstLineChars="0"/>
        <w:jc w:val="center"/>
        <w:rPr>
          <w:rFonts w:hint="eastAsia" w:ascii="仿宋" w:hAnsi="仿宋" w:eastAsia="仿宋" w:cs="仿宋"/>
          <w:sz w:val="28"/>
          <w:szCs w:val="28"/>
        </w:rPr>
      </w:pPr>
      <w:r>
        <w:rPr>
          <w:rFonts w:hint="eastAsia" w:ascii="仿宋" w:hAnsi="仿宋" w:eastAsia="仿宋" w:cs="仿宋"/>
          <w:sz w:val="28"/>
          <w:szCs w:val="28"/>
        </w:rPr>
        <w:t>法定代表人或其委托代理人：</w:t>
      </w:r>
      <w:r>
        <w:rPr>
          <w:rFonts w:hint="eastAsia" w:ascii="仿宋" w:hAnsi="仿宋" w:eastAsia="仿宋" w:cs="仿宋"/>
          <w:sz w:val="28"/>
          <w:szCs w:val="28"/>
          <w:u w:val="single"/>
        </w:rPr>
        <w:t xml:space="preserve">       </w:t>
      </w:r>
      <w:r>
        <w:rPr>
          <w:rFonts w:hint="eastAsia" w:ascii="仿宋" w:hAnsi="仿宋" w:eastAsia="仿宋" w:cs="仿宋"/>
          <w:sz w:val="28"/>
          <w:szCs w:val="28"/>
        </w:rPr>
        <w:t>（签字或盖电子章）</w:t>
      </w:r>
    </w:p>
    <w:p>
      <w:pPr>
        <w:ind w:left="0" w:leftChars="0" w:firstLine="0" w:firstLineChars="0"/>
        <w:jc w:val="center"/>
        <w:rPr>
          <w:rFonts w:hint="eastAsia"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ind w:left="0" w:leftChars="0" w:firstLine="0" w:firstLineChars="0"/>
      </w:pPr>
      <w:r>
        <w:rPr>
          <w:rFonts w:hint="eastAsia"/>
        </w:rPr>
        <w:br w:type="page"/>
      </w:r>
    </w:p>
    <w:p>
      <w:pPr>
        <w:jc w:val="center"/>
        <w:rPr>
          <w:b/>
          <w:bCs/>
          <w:sz w:val="28"/>
          <w:szCs w:val="28"/>
        </w:rPr>
      </w:pPr>
      <w:r>
        <w:rPr>
          <w:rFonts w:hint="eastAsia"/>
          <w:b/>
          <w:bCs/>
          <w:sz w:val="28"/>
          <w:szCs w:val="28"/>
        </w:rPr>
        <w:t>洛阳市建设工程廉洁自律承诺书</w:t>
      </w:r>
    </w:p>
    <w:p>
      <w:pPr>
        <w:ind w:left="0" w:leftChars="0" w:firstLine="420" w:firstLineChars="200"/>
      </w:pPr>
      <w:r>
        <w:rPr>
          <w:rFonts w:hint="eastAsia"/>
        </w:rPr>
        <w:t>为切实加强工程建设领域的党风廉政建设，严格遵守廉洁从业的有关规定，有效预防和制止各种违</w:t>
      </w:r>
    </w:p>
    <w:p>
      <w:pPr>
        <w:ind w:left="0" w:leftChars="0" w:firstLine="0" w:firstLineChars="0"/>
      </w:pPr>
      <w:r>
        <w:rPr>
          <w:rFonts w:hint="eastAsia"/>
        </w:rPr>
        <w:t>法违纪行为和腐败问题的发生，确保把工程项目建设成为廉洁工程，促进经济社会又好又快地发展，作</w:t>
      </w:r>
    </w:p>
    <w:p>
      <w:pPr>
        <w:ind w:left="0" w:leftChars="0" w:firstLine="0" w:firstLineChars="0"/>
      </w:pPr>
      <w:r>
        <w:rPr>
          <w:rFonts w:hint="eastAsia"/>
        </w:rPr>
        <w:t>为</w:t>
      </w:r>
      <w:r>
        <w:rPr>
          <w:rFonts w:hint="eastAsia"/>
          <w:u w:val="single"/>
        </w:rPr>
        <w:t xml:space="preserve">                   </w:t>
      </w:r>
      <w:r>
        <w:rPr>
          <w:rFonts w:hint="eastAsia"/>
        </w:rPr>
        <w:t>工程建设的相关单位，特向市委、市政府做出如下庄严承诺：</w:t>
      </w:r>
    </w:p>
    <w:p>
      <w:r>
        <w:rPr>
          <w:rFonts w:hint="eastAsia"/>
        </w:rPr>
        <w:t>一、严格遵守党纪国法和各项政策规定，将廉政建设和廉洁从业的各项要求贯彻始终，廉洁自律，加强监督，保证将工程建设成廉洁工程。</w:t>
      </w:r>
    </w:p>
    <w:p>
      <w:r>
        <w:rPr>
          <w:rFonts w:hint="eastAsia"/>
        </w:rPr>
        <w:t>二、严格遵守职业道德，坚持公开、公正、公平的原则，依法合规参与竞争，努力推进诚信建设，决不从事任何不正当竞争和任何违法违纪行为。</w:t>
      </w:r>
    </w:p>
    <w:p>
      <w:r>
        <w:rPr>
          <w:rFonts w:hint="eastAsia"/>
        </w:rPr>
        <w:t>三、建立并落实党风廉政建设和廉洁从业责任制，健全行之有效的规章制度，在工程报批立项、招标投标、资金运用、物资采购、设计变更、预算决算、质量认证、工程验收和设计、施工、监理过程中不以任何形式以权谋私、以工程谋私、索贿受贿，直接或变相行贿搞商业贿赂。</w:t>
      </w:r>
    </w:p>
    <w:p>
      <w:r>
        <w:rPr>
          <w:rFonts w:hint="eastAsia"/>
        </w:rPr>
        <w:t>四、建立工程质量监管保证体系。严格按照国家各项相关法规和技术规范从事设计、施工、监理，确保工程设计、施工组织、质量监理全部依法合规，争创优质工程。</w:t>
      </w:r>
    </w:p>
    <w:p>
      <w:r>
        <w:rPr>
          <w:rFonts w:hint="eastAsia"/>
        </w:rPr>
        <w:t>五、建立安全生产监管保证体系。按照国家各项相关法律和技术规范，在工程建设中落实安全生产“三同时”要求，确保施工人员和其他相关人员生命及人身安全，严防各类安全事故的发生。</w:t>
      </w:r>
    </w:p>
    <w:p>
      <w:r>
        <w:rPr>
          <w:rFonts w:hint="eastAsia"/>
        </w:rPr>
        <w:t>六、遵守财经法规，厉行勤俭节约，杜绝铺张浪费，严格控制开支，最大限度地压缩工程费用，节约资金。</w:t>
      </w:r>
    </w:p>
    <w:p>
      <w:r>
        <w:rPr>
          <w:rFonts w:hint="eastAsia"/>
        </w:rPr>
        <w:t>七、定期不定期地对工程建设中的廉政建设和廉洁从业情况进行内部监督检查，同时主动接受外部有关部门依法依纪的监督检查，及时发现和整改存在的各种问题。</w:t>
      </w:r>
    </w:p>
    <w:p>
      <w:r>
        <w:rPr>
          <w:rFonts w:hint="eastAsia"/>
        </w:rPr>
        <w:t>八、如在工程建设中发生违法违纪行为和腐败问题，自愿接受党纪、政纪处理直至追究法律责任。</w:t>
      </w:r>
    </w:p>
    <w:p>
      <w:r>
        <w:rPr>
          <w:rFonts w:hint="eastAsia"/>
        </w:rPr>
        <w:t xml:space="preserve"> </w:t>
      </w:r>
    </w:p>
    <w:p>
      <w:r>
        <w:rPr>
          <w:rFonts w:hint="eastAsia"/>
        </w:rPr>
        <w:t>承诺单位（单位电子章）：</w:t>
      </w:r>
    </w:p>
    <w:p/>
    <w:p>
      <w:r>
        <w:rPr>
          <w:rFonts w:hint="eastAsia"/>
        </w:rPr>
        <w:t>法定代表人（签字或盖电子章）：</w:t>
      </w:r>
    </w:p>
    <w:p/>
    <w:p>
      <w:r>
        <w:rPr>
          <w:rFonts w:hint="eastAsia"/>
        </w:rPr>
        <w:t>日期：         年     月     日</w:t>
      </w:r>
    </w:p>
    <w:p>
      <w:pPr>
        <w:ind w:left="0" w:leftChars="0" w:firstLine="0" w:firstLineChars="0"/>
        <w:jc w:val="center"/>
        <w:rPr>
          <w:rFonts w:hint="eastAsia" w:ascii="仿宋" w:hAnsi="仿宋" w:eastAsia="仿宋" w:cs="仿宋"/>
          <w:b/>
          <w:sz w:val="28"/>
          <w:szCs w:val="28"/>
        </w:rPr>
      </w:pPr>
      <w:r>
        <w:rPr>
          <w:rFonts w:hint="eastAsia"/>
        </w:rPr>
        <w:br w:type="page"/>
      </w:r>
      <w:r>
        <w:rPr>
          <w:rFonts w:hint="eastAsia" w:ascii="仿宋" w:hAnsi="仿宋" w:eastAsia="仿宋" w:cs="仿宋"/>
          <w:b/>
          <w:sz w:val="28"/>
          <w:szCs w:val="28"/>
        </w:rPr>
        <w:t>洛阳市建设工程廉洁自律告知书</w:t>
      </w:r>
    </w:p>
    <w:p>
      <w:r>
        <w:rPr>
          <w:rFonts w:hint="eastAsia"/>
        </w:rPr>
        <w:t>为维护公平竞争的市场秩序,从源头上有效预防和制止违法违纪行为和腐败问题的发生,促进工程项目建设廉洁优质高效，现就有关事项告知如下：</w:t>
      </w:r>
    </w:p>
    <w:p>
      <w:r>
        <w:rPr>
          <w:rFonts w:hint="eastAsia"/>
        </w:rPr>
        <w:t>1、严格遵守工程建设项目的法律、法规及规章制度。</w:t>
      </w:r>
    </w:p>
    <w:p>
      <w:r>
        <w:rPr>
          <w:rFonts w:hint="eastAsia"/>
        </w:rPr>
        <w:t>2、严格遵守职业道德，坚持公开、公正、公平、诚信的原则；</w:t>
      </w:r>
    </w:p>
    <w:p>
      <w:r>
        <w:rPr>
          <w:rFonts w:hint="eastAsia"/>
        </w:rPr>
        <w:t>3、严格执行工程建设项目合同文件，自觉按合同办事；</w:t>
      </w:r>
    </w:p>
    <w:p>
      <w:r>
        <w:rPr>
          <w:rFonts w:hint="eastAsia"/>
        </w:rPr>
        <w:t>4、严格执行工程建设项目招标投标、物资采购、设计变更、质量认证、安全生产等各项规定；</w:t>
      </w:r>
    </w:p>
    <w:p>
      <w:r>
        <w:rPr>
          <w:rFonts w:hint="eastAsia"/>
        </w:rPr>
        <w:t>5、严禁为了获取不正当的利益而损害国家利益、社会公共利益或者他人合法权益；</w:t>
      </w:r>
    </w:p>
    <w:p>
      <w:r>
        <w:rPr>
          <w:rFonts w:hint="eastAsia"/>
        </w:rPr>
        <w:t>6、严禁向项目建设单位和相关职能部门及有关人员赠送礼金、有价证券、贵重物品或回扣、好处费、感谢费等，不直接或变相行贿搞商业贿赂；</w:t>
      </w:r>
    </w:p>
    <w:p>
      <w:r>
        <w:rPr>
          <w:rFonts w:hint="eastAsia"/>
        </w:rPr>
        <w:t>7、加强内部监督，并自觉接受有关职能部门对工程建设情况的监督检查；</w:t>
      </w:r>
    </w:p>
    <w:p>
      <w:r>
        <w:rPr>
          <w:rFonts w:hint="eastAsia"/>
        </w:rPr>
        <w:t>8、严格执行廉洁从业各项规定，并向市委、市政府作出廉洁自律承诺。</w:t>
      </w:r>
    </w:p>
    <w:p>
      <w:r>
        <w:rPr>
          <w:rFonts w:hint="eastAsia"/>
        </w:rPr>
        <w:t>违反上述告知事项造成不良影响或严重后果的，按照国家有关法律法规予以处理；涉嫌犯罪的，移送司法机关依法追究刑事责任。</w:t>
      </w:r>
    </w:p>
    <w:p>
      <w:r>
        <w:rPr>
          <w:rFonts w:hint="eastAsia"/>
        </w:rPr>
        <w:t>本人已认真阅读并充分理解以上条款，并代表所属单位严格遵守。</w:t>
      </w:r>
    </w:p>
    <w:p/>
    <w:p>
      <w:r>
        <w:rPr>
          <w:rFonts w:hint="eastAsia"/>
        </w:rPr>
        <w:t>投标单位（单位电子章）：</w:t>
      </w:r>
    </w:p>
    <w:p/>
    <w:p>
      <w:r>
        <w:rPr>
          <w:rFonts w:hint="eastAsia"/>
        </w:rPr>
        <w:t>法定代表人（签字或盖电子章）：</w:t>
      </w:r>
    </w:p>
    <w:p/>
    <w:p>
      <w:r>
        <w:rPr>
          <w:rFonts w:hint="eastAsia"/>
        </w:rPr>
        <w:t>日期：         年     月     日</w:t>
      </w:r>
    </w:p>
    <w:p/>
    <w:p/>
    <w:p/>
    <w:p/>
    <w:p/>
    <w:p/>
    <w:p/>
    <w:p/>
    <w:p>
      <w:bookmarkStart w:id="582" w:name="_Toc152042576"/>
      <w:bookmarkStart w:id="583" w:name="_Toc8423599"/>
      <w:bookmarkStart w:id="584" w:name="_Toc144974856"/>
      <w:bookmarkStart w:id="585" w:name="_Toc152045787"/>
    </w:p>
    <w:p>
      <w:pPr>
        <w:pStyle w:val="93"/>
        <w:ind w:left="0" w:leftChars="0" w:firstLine="0" w:firstLineChars="0"/>
        <w:jc w:val="center"/>
        <w:rPr>
          <w:b w:val="0"/>
          <w:bCs w:val="0"/>
        </w:rPr>
      </w:pPr>
      <w:bookmarkStart w:id="586" w:name="_Toc19272"/>
      <w:bookmarkStart w:id="587" w:name="_Toc18432"/>
      <w:r>
        <w:rPr>
          <w:rFonts w:hint="eastAsia" w:ascii="仿宋" w:hAnsi="仿宋" w:eastAsia="仿宋" w:cs="仿宋"/>
          <w:b w:val="0"/>
          <w:bCs w:val="0"/>
        </w:rPr>
        <w:t>目    录</w:t>
      </w:r>
      <w:bookmarkEnd w:id="582"/>
      <w:bookmarkEnd w:id="583"/>
      <w:bookmarkEnd w:id="584"/>
      <w:bookmarkEnd w:id="585"/>
      <w:bookmarkEnd w:id="586"/>
      <w:bookmarkEnd w:id="587"/>
    </w:p>
    <w:p/>
    <w:p>
      <w:r>
        <w:rPr>
          <w:rFonts w:hint="eastAsia"/>
        </w:rPr>
        <w:t>一、投标函及投标函附录</w:t>
      </w:r>
    </w:p>
    <w:p>
      <w:r>
        <w:rPr>
          <w:rFonts w:hint="eastAsia"/>
        </w:rPr>
        <w:t>二、法定代表人身份证明及授权委托书</w:t>
      </w:r>
    </w:p>
    <w:p>
      <w:r>
        <w:rPr>
          <w:rFonts w:hint="eastAsia"/>
        </w:rPr>
        <w:t xml:space="preserve">三、投标保证金 </w:t>
      </w:r>
    </w:p>
    <w:p>
      <w:r>
        <w:rPr>
          <w:rFonts w:hint="eastAsia"/>
        </w:rPr>
        <w:t>四、已标价工程量清单</w:t>
      </w:r>
    </w:p>
    <w:p>
      <w:r>
        <w:rPr>
          <w:rFonts w:hint="eastAsia"/>
        </w:rPr>
        <w:t>五、施工组织设计</w:t>
      </w:r>
    </w:p>
    <w:p>
      <w:r>
        <w:rPr>
          <w:rFonts w:hint="eastAsia"/>
        </w:rPr>
        <w:t>六、项目管理机构</w:t>
      </w:r>
    </w:p>
    <w:p>
      <w:r>
        <w:rPr>
          <w:rFonts w:hint="eastAsia"/>
        </w:rPr>
        <w:t>七、资格审查资料</w:t>
      </w:r>
    </w:p>
    <w:p>
      <w:r>
        <w:rPr>
          <w:rFonts w:hint="eastAsia"/>
        </w:rPr>
        <w:t>八、其他资料</w:t>
      </w:r>
    </w:p>
    <w:p/>
    <w:p>
      <w:r>
        <w:rPr>
          <w:rFonts w:hint="eastAsia"/>
        </w:rPr>
        <w:t xml:space="preserve">    注：为便于评标委员会评审，投标人在编制电子投标文件时，尽量将投标文件目录细化，并在电子投标文件中编制详细的跳转目录。否则，投标人自行承担因投标文件编制混乱导致评标委员会做出不利于投标人的评审结果。</w:t>
      </w:r>
    </w:p>
    <w:p/>
    <w:p/>
    <w:p/>
    <w:p/>
    <w:p/>
    <w:p>
      <w:pPr>
        <w:pStyle w:val="25"/>
      </w:pPr>
    </w:p>
    <w:p>
      <w:pPr>
        <w:pStyle w:val="25"/>
      </w:pPr>
    </w:p>
    <w:p>
      <w:pPr>
        <w:pStyle w:val="25"/>
      </w:pPr>
    </w:p>
    <w:p>
      <w:pPr>
        <w:pStyle w:val="25"/>
      </w:pPr>
    </w:p>
    <w:p/>
    <w:p/>
    <w:p/>
    <w:p>
      <w:pPr>
        <w:pStyle w:val="93"/>
        <w:ind w:left="0" w:leftChars="0" w:firstLine="0" w:firstLineChars="0"/>
        <w:jc w:val="center"/>
        <w:rPr>
          <w:rFonts w:hint="eastAsia" w:ascii="仿宋" w:hAnsi="仿宋" w:eastAsia="仿宋" w:cs="仿宋"/>
          <w:b/>
          <w:bCs/>
        </w:rPr>
      </w:pPr>
      <w:bookmarkStart w:id="588" w:name="_Toc152045788"/>
      <w:bookmarkStart w:id="589" w:name="_Toc152042577"/>
      <w:bookmarkStart w:id="590" w:name="_Toc8423600"/>
      <w:bookmarkStart w:id="591" w:name="_Toc20193"/>
      <w:bookmarkStart w:id="592" w:name="_Toc144974857"/>
      <w:bookmarkStart w:id="593" w:name="_Toc30611"/>
      <w:r>
        <w:rPr>
          <w:rFonts w:hint="eastAsia" w:ascii="仿宋" w:hAnsi="仿宋" w:eastAsia="仿宋" w:cs="仿宋"/>
          <w:b/>
          <w:bCs/>
        </w:rPr>
        <w:t>一、投标函及投标函附录</w:t>
      </w:r>
      <w:bookmarkEnd w:id="588"/>
      <w:bookmarkEnd w:id="589"/>
      <w:bookmarkEnd w:id="590"/>
      <w:bookmarkEnd w:id="591"/>
      <w:bookmarkEnd w:id="592"/>
      <w:bookmarkEnd w:id="593"/>
    </w:p>
    <w:p>
      <w:pPr>
        <w:pStyle w:val="102"/>
        <w:ind w:left="0" w:leftChars="0" w:firstLine="0" w:firstLineChars="0"/>
        <w:jc w:val="center"/>
        <w:rPr>
          <w:rFonts w:hint="eastAsia" w:ascii="仿宋" w:hAnsi="仿宋" w:eastAsia="仿宋" w:cs="仿宋"/>
          <w:b/>
          <w:bCs/>
        </w:rPr>
      </w:pPr>
      <w:bookmarkStart w:id="594" w:name="_Toc8423601"/>
      <w:bookmarkStart w:id="595" w:name="_Toc152045789"/>
      <w:bookmarkStart w:id="596" w:name="_Toc152042578"/>
      <w:bookmarkStart w:id="597" w:name="_Toc144974858"/>
      <w:bookmarkStart w:id="598" w:name="_Toc1979"/>
      <w:bookmarkStart w:id="599" w:name="_Toc13137"/>
      <w:r>
        <w:rPr>
          <w:rFonts w:hint="eastAsia" w:ascii="仿宋" w:hAnsi="仿宋" w:eastAsia="仿宋" w:cs="仿宋"/>
          <w:b/>
          <w:bCs/>
        </w:rPr>
        <w:t>（一）投标函</w:t>
      </w:r>
      <w:bookmarkEnd w:id="594"/>
      <w:bookmarkEnd w:id="595"/>
      <w:bookmarkEnd w:id="596"/>
      <w:bookmarkEnd w:id="597"/>
      <w:bookmarkEnd w:id="598"/>
      <w:bookmarkEnd w:id="599"/>
    </w:p>
    <w:p>
      <w:r>
        <w:rPr>
          <w:rFonts w:hint="eastAsia"/>
          <w:u w:val="single"/>
        </w:rPr>
        <w:t xml:space="preserve">                       </w:t>
      </w:r>
      <w:r>
        <w:rPr>
          <w:rFonts w:hint="eastAsia"/>
        </w:rPr>
        <w:t xml:space="preserve"> （招标人名称）：</w:t>
      </w:r>
    </w:p>
    <w:p/>
    <w:p>
      <w:r>
        <w:rPr>
          <w:rFonts w:hint="eastAsia"/>
        </w:rPr>
        <w:t>1、我方已仔细研究了</w:t>
      </w:r>
      <w:r>
        <w:rPr>
          <w:rFonts w:hint="eastAsia"/>
          <w:u w:val="single"/>
        </w:rPr>
        <w:t xml:space="preserve">                  </w:t>
      </w:r>
      <w:r>
        <w:rPr>
          <w:rFonts w:hint="eastAsia"/>
        </w:rPr>
        <w:t>（项目名称）施工招标文件的全部内容，愿意以人民币（大写）</w:t>
      </w:r>
      <w:r>
        <w:rPr>
          <w:rFonts w:hint="eastAsia"/>
          <w:u w:val="single"/>
        </w:rPr>
        <w:t xml:space="preserve">         </w:t>
      </w:r>
      <w:r>
        <w:rPr>
          <w:rFonts w:hint="eastAsia"/>
        </w:rPr>
        <w:t>（</w:t>
      </w:r>
      <w:r>
        <w:rPr>
          <w:rFonts w:ascii="Calibri" w:hAnsi="Calibri" w:cs="Calibri"/>
        </w:rPr>
        <w:t>¥</w:t>
      </w:r>
      <w:r>
        <w:rPr>
          <w:rFonts w:hint="eastAsia"/>
          <w:u w:val="single"/>
        </w:rPr>
        <w:t xml:space="preserve">           </w:t>
      </w:r>
      <w:r>
        <w:rPr>
          <w:rFonts w:hint="eastAsia"/>
        </w:rPr>
        <w:t>）的投标总报价，变更签证优惠率</w:t>
      </w:r>
      <w:r>
        <w:rPr>
          <w:rFonts w:hint="eastAsia"/>
          <w:u w:val="single"/>
        </w:rPr>
        <w:t xml:space="preserve">     </w:t>
      </w:r>
      <w:r>
        <w:rPr>
          <w:rFonts w:hint="eastAsia"/>
        </w:rPr>
        <w:t>%，工期</w:t>
      </w:r>
      <w:r>
        <w:rPr>
          <w:rFonts w:hint="eastAsia"/>
          <w:u w:val="single"/>
        </w:rPr>
        <w:t xml:space="preserve">          </w:t>
      </w:r>
      <w:r>
        <w:rPr>
          <w:rFonts w:hint="eastAsia"/>
        </w:rPr>
        <w:t>日历天，按合同约定实施和完成承包工程，修补工程中的任何缺陷，缺陷责任期</w:t>
      </w:r>
      <w:r>
        <w:rPr>
          <w:rFonts w:hint="eastAsia"/>
          <w:u w:val="single"/>
        </w:rPr>
        <w:t xml:space="preserve">           </w:t>
      </w:r>
      <w:r>
        <w:rPr>
          <w:rFonts w:hint="eastAsia"/>
        </w:rPr>
        <w:t>。工程质量达到</w:t>
      </w:r>
      <w:r>
        <w:rPr>
          <w:rFonts w:hint="eastAsia"/>
          <w:u w:val="single"/>
        </w:rPr>
        <w:t xml:space="preserve">           </w:t>
      </w:r>
      <w:r>
        <w:rPr>
          <w:rFonts w:hint="eastAsia"/>
        </w:rPr>
        <w:t>。</w:t>
      </w:r>
    </w:p>
    <w:p>
      <w:r>
        <w:rPr>
          <w:rFonts w:hint="eastAsia"/>
        </w:rPr>
        <w:t>2、我方承诺在投标有效期内不修改、撤销投标文件。</w:t>
      </w:r>
    </w:p>
    <w:p>
      <w:r>
        <w:rPr>
          <w:rFonts w:hint="eastAsia"/>
        </w:rPr>
        <w:t>3、如我方中标：</w:t>
      </w:r>
    </w:p>
    <w:p>
      <w:r>
        <w:rPr>
          <w:rFonts w:hint="eastAsia"/>
        </w:rPr>
        <w:t>（1）我方承诺在收到中标通知书后，在中标通知书规定的期限内与你方签订合同。</w:t>
      </w:r>
    </w:p>
    <w:p>
      <w:r>
        <w:rPr>
          <w:rFonts w:hint="eastAsia"/>
        </w:rPr>
        <w:t>（2）随同本投标函递交的投标函附录属于合同文件的组成部分。</w:t>
      </w:r>
    </w:p>
    <w:p>
      <w:r>
        <w:rPr>
          <w:rFonts w:hint="eastAsia"/>
        </w:rPr>
        <w:t>（3）我方承诺按照招标文件规定向你方递交履约担保。</w:t>
      </w:r>
    </w:p>
    <w:p>
      <w:r>
        <w:rPr>
          <w:rFonts w:hint="eastAsia"/>
        </w:rPr>
        <w:t>（4）我方承诺在合同约定的期限内完成并移交全部合同工程。</w:t>
      </w:r>
    </w:p>
    <w:p>
      <w:r>
        <w:rPr>
          <w:rFonts w:hint="eastAsia"/>
        </w:rPr>
        <w:t>4、我方在此声明，所递交的投标文件及有关资料内容完整、真实和准确，且不存在第二章“投标人须知”第1.4.3项规定的任何一种情形。</w:t>
      </w:r>
    </w:p>
    <w:p>
      <w:r>
        <w:rPr>
          <w:rFonts w:hint="eastAsia"/>
        </w:rPr>
        <w:t>5、</w:t>
      </w:r>
      <w:r>
        <w:rPr>
          <w:rFonts w:hint="eastAsia"/>
          <w:u w:val="single"/>
        </w:rPr>
        <w:t xml:space="preserve">                                       </w:t>
      </w:r>
      <w:r>
        <w:rPr>
          <w:rFonts w:hint="eastAsia"/>
        </w:rPr>
        <w:t>（其他补充说明）。</w:t>
      </w:r>
    </w:p>
    <w:p/>
    <w:p>
      <w:pPr>
        <w:spacing w:line="440" w:lineRule="exact"/>
        <w:ind w:firstLine="3675" w:firstLineChars="1750"/>
        <w:rPr>
          <w:rFonts w:hint="eastAsia" w:ascii="仿宋" w:hAnsi="仿宋" w:eastAsia="仿宋" w:cs="仿宋"/>
          <w:szCs w:val="21"/>
        </w:rPr>
      </w:pPr>
      <w:bookmarkStart w:id="600" w:name="_Toc152045790"/>
      <w:bookmarkStart w:id="601" w:name="_Toc152042579"/>
      <w:bookmarkStart w:id="602" w:name="_Toc144974859"/>
      <w:bookmarkStart w:id="603" w:name="_Toc8423602"/>
      <w:r>
        <w:rPr>
          <w:rFonts w:hint="eastAsia" w:ascii="仿宋" w:hAnsi="仿宋" w:eastAsia="仿宋" w:cs="仿宋"/>
          <w:szCs w:val="21"/>
        </w:rPr>
        <w:t>投 标 人：</w:t>
      </w:r>
      <w:r>
        <w:rPr>
          <w:rFonts w:hint="eastAsia" w:ascii="仿宋" w:hAnsi="仿宋" w:eastAsia="仿宋" w:cs="仿宋"/>
          <w:szCs w:val="21"/>
          <w:u w:val="single"/>
        </w:rPr>
        <w:t xml:space="preserve">                      </w:t>
      </w:r>
      <w:r>
        <w:rPr>
          <w:rFonts w:hint="eastAsia" w:ascii="仿宋" w:hAnsi="仿宋" w:eastAsia="仿宋" w:cs="仿宋"/>
          <w:szCs w:val="21"/>
        </w:rPr>
        <w:t>（盖单位章）</w:t>
      </w:r>
    </w:p>
    <w:p>
      <w:pPr>
        <w:spacing w:line="440" w:lineRule="exact"/>
        <w:ind w:firstLine="3675" w:firstLineChars="1750"/>
        <w:rPr>
          <w:rFonts w:hint="eastAsia" w:ascii="仿宋" w:hAnsi="仿宋" w:eastAsia="仿宋" w:cs="仿宋"/>
          <w:szCs w:val="21"/>
        </w:rPr>
      </w:pPr>
      <w:r>
        <w:rPr>
          <w:rFonts w:hint="eastAsia" w:ascii="仿宋" w:hAnsi="仿宋" w:eastAsia="仿宋" w:cs="仿宋"/>
          <w:szCs w:val="21"/>
        </w:rPr>
        <w:t>法定代表人或其委托代理人：</w:t>
      </w:r>
      <w:r>
        <w:rPr>
          <w:rFonts w:hint="eastAsia" w:ascii="仿宋" w:hAnsi="仿宋" w:eastAsia="仿宋" w:cs="仿宋"/>
          <w:szCs w:val="21"/>
          <w:u w:val="single"/>
        </w:rPr>
        <w:t xml:space="preserve">          </w:t>
      </w:r>
      <w:r>
        <w:rPr>
          <w:rFonts w:hint="eastAsia" w:ascii="仿宋" w:hAnsi="仿宋" w:eastAsia="仿宋" w:cs="仿宋"/>
          <w:szCs w:val="21"/>
        </w:rPr>
        <w:t>（签字或盖电子章）</w:t>
      </w:r>
    </w:p>
    <w:p>
      <w:pPr>
        <w:spacing w:line="440" w:lineRule="exact"/>
        <w:ind w:firstLine="3675" w:firstLineChars="1750"/>
        <w:rPr>
          <w:rFonts w:hint="eastAsia" w:ascii="仿宋" w:hAnsi="仿宋" w:eastAsia="仿宋" w:cs="仿宋"/>
          <w:szCs w:val="21"/>
        </w:rPr>
      </w:pPr>
      <w:r>
        <w:rPr>
          <w:rFonts w:hint="eastAsia" w:ascii="仿宋" w:hAnsi="仿宋" w:eastAsia="仿宋" w:cs="仿宋"/>
          <w:szCs w:val="21"/>
        </w:rPr>
        <w:t>地址：</w:t>
      </w:r>
      <w:r>
        <w:rPr>
          <w:rFonts w:hint="eastAsia" w:ascii="仿宋" w:hAnsi="仿宋" w:eastAsia="仿宋" w:cs="仿宋"/>
          <w:szCs w:val="21"/>
          <w:u w:val="single"/>
        </w:rPr>
        <w:t xml:space="preserve">                                     </w:t>
      </w:r>
    </w:p>
    <w:p>
      <w:pPr>
        <w:spacing w:line="440" w:lineRule="exact"/>
        <w:ind w:firstLine="3675" w:firstLineChars="1750"/>
        <w:rPr>
          <w:rFonts w:hint="eastAsia" w:ascii="仿宋" w:hAnsi="仿宋" w:eastAsia="仿宋" w:cs="仿宋"/>
          <w:szCs w:val="21"/>
        </w:rPr>
      </w:pPr>
      <w:r>
        <w:rPr>
          <w:rFonts w:hint="eastAsia" w:ascii="仿宋" w:hAnsi="仿宋" w:eastAsia="仿宋" w:cs="仿宋"/>
          <w:szCs w:val="21"/>
        </w:rPr>
        <w:t>网址：</w:t>
      </w:r>
      <w:r>
        <w:rPr>
          <w:rFonts w:hint="eastAsia" w:ascii="仿宋" w:hAnsi="仿宋" w:eastAsia="仿宋" w:cs="仿宋"/>
          <w:szCs w:val="21"/>
          <w:u w:val="single"/>
        </w:rPr>
        <w:t xml:space="preserve">                                     </w:t>
      </w:r>
    </w:p>
    <w:p>
      <w:pPr>
        <w:spacing w:line="440" w:lineRule="exact"/>
        <w:ind w:firstLine="3675" w:firstLineChars="1750"/>
        <w:rPr>
          <w:rFonts w:hint="eastAsia" w:ascii="仿宋" w:hAnsi="仿宋" w:eastAsia="仿宋" w:cs="仿宋"/>
          <w:szCs w:val="21"/>
        </w:rPr>
      </w:pPr>
      <w:r>
        <w:rPr>
          <w:rFonts w:hint="eastAsia" w:ascii="仿宋" w:hAnsi="仿宋" w:eastAsia="仿宋" w:cs="仿宋"/>
          <w:szCs w:val="21"/>
        </w:rPr>
        <w:t>电话：</w:t>
      </w:r>
      <w:r>
        <w:rPr>
          <w:rFonts w:hint="eastAsia" w:ascii="仿宋" w:hAnsi="仿宋" w:eastAsia="仿宋" w:cs="仿宋"/>
          <w:szCs w:val="21"/>
          <w:u w:val="single"/>
        </w:rPr>
        <w:t xml:space="preserve">                                     </w:t>
      </w:r>
    </w:p>
    <w:p>
      <w:pPr>
        <w:spacing w:line="440" w:lineRule="exact"/>
        <w:ind w:firstLine="3675" w:firstLineChars="1750"/>
        <w:rPr>
          <w:rFonts w:hint="eastAsia" w:ascii="仿宋" w:hAnsi="仿宋" w:eastAsia="仿宋" w:cs="仿宋"/>
          <w:szCs w:val="21"/>
        </w:rPr>
      </w:pPr>
      <w:r>
        <w:rPr>
          <w:rFonts w:hint="eastAsia" w:ascii="仿宋" w:hAnsi="仿宋" w:eastAsia="仿宋" w:cs="仿宋"/>
          <w:szCs w:val="21"/>
        </w:rPr>
        <w:t>传真：</w:t>
      </w:r>
      <w:r>
        <w:rPr>
          <w:rFonts w:hint="eastAsia" w:ascii="仿宋" w:hAnsi="仿宋" w:eastAsia="仿宋" w:cs="仿宋"/>
          <w:szCs w:val="21"/>
          <w:u w:val="single"/>
        </w:rPr>
        <w:t xml:space="preserve">                                     </w:t>
      </w:r>
    </w:p>
    <w:p>
      <w:pPr>
        <w:spacing w:line="440" w:lineRule="exact"/>
        <w:ind w:firstLine="3675" w:firstLineChars="1750"/>
        <w:rPr>
          <w:rFonts w:hint="eastAsia" w:ascii="仿宋" w:hAnsi="仿宋" w:eastAsia="仿宋" w:cs="仿宋"/>
          <w:szCs w:val="21"/>
        </w:rPr>
      </w:pPr>
      <w:r>
        <w:rPr>
          <w:rFonts w:hint="eastAsia" w:ascii="仿宋" w:hAnsi="仿宋" w:eastAsia="仿宋" w:cs="仿宋"/>
          <w:szCs w:val="21"/>
        </w:rPr>
        <w:t>邮政编码：</w:t>
      </w:r>
      <w:r>
        <w:rPr>
          <w:rFonts w:hint="eastAsia" w:ascii="仿宋" w:hAnsi="仿宋" w:eastAsia="仿宋" w:cs="仿宋"/>
          <w:szCs w:val="21"/>
          <w:u w:val="single"/>
        </w:rPr>
        <w:t xml:space="preserve">                                 </w:t>
      </w:r>
    </w:p>
    <w:p>
      <w:pPr>
        <w:spacing w:line="440" w:lineRule="exact"/>
        <w:ind w:firstLine="3675" w:firstLineChars="1750"/>
        <w:rPr>
          <w:rFonts w:hint="eastAsia" w:ascii="仿宋" w:hAnsi="仿宋" w:eastAsia="仿宋" w:cs="仿宋"/>
          <w:szCs w:val="21"/>
        </w:rPr>
      </w:pPr>
    </w:p>
    <w:p>
      <w:pPr>
        <w:spacing w:line="440" w:lineRule="exact"/>
        <w:ind w:firstLine="5040" w:firstLineChars="2400"/>
        <w:rPr>
          <w:rFonts w:hint="eastAsia" w:ascii="仿宋" w:hAnsi="仿宋" w:eastAsia="仿宋" w:cs="仿宋"/>
          <w:szCs w:val="21"/>
        </w:rPr>
      </w:pP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pStyle w:val="102"/>
        <w:ind w:left="0" w:leftChars="0" w:firstLine="0" w:firstLineChars="0"/>
        <w:jc w:val="center"/>
        <w:rPr>
          <w:rFonts w:hint="eastAsia" w:ascii="仿宋" w:hAnsi="仿宋" w:eastAsia="仿宋" w:cs="仿宋"/>
          <w:b/>
          <w:bCs/>
        </w:rPr>
      </w:pPr>
      <w:r>
        <w:rPr>
          <w:rFonts w:hint="eastAsia"/>
        </w:rPr>
        <w:br w:type="page"/>
      </w:r>
      <w:bookmarkStart w:id="604" w:name="_Toc24174"/>
      <w:bookmarkStart w:id="605" w:name="_Toc25572"/>
      <w:r>
        <w:rPr>
          <w:rFonts w:hint="eastAsia" w:ascii="仿宋" w:hAnsi="仿宋" w:eastAsia="仿宋" w:cs="仿宋"/>
          <w:b/>
          <w:bCs/>
        </w:rPr>
        <w:t>（二）投标函附录</w:t>
      </w:r>
      <w:bookmarkEnd w:id="600"/>
      <w:bookmarkEnd w:id="601"/>
      <w:bookmarkEnd w:id="602"/>
      <w:r>
        <w:rPr>
          <w:rFonts w:hint="eastAsia" w:ascii="仿宋" w:hAnsi="仿宋" w:eastAsia="仿宋" w:cs="仿宋"/>
          <w:b/>
          <w:bCs/>
        </w:rPr>
        <w:t>一</w:t>
      </w:r>
      <w:bookmarkEnd w:id="603"/>
      <w:bookmarkEnd w:id="604"/>
      <w:bookmarkEnd w:id="605"/>
    </w:p>
    <w:p>
      <w:pPr>
        <w:jc w:val="center"/>
      </w:pPr>
    </w:p>
    <w:tbl>
      <w:tblPr>
        <w:tblStyle w:val="41"/>
        <w:tblW w:w="9888" w:type="dxa"/>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294"/>
        <w:gridCol w:w="5846"/>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760" w:type="dxa"/>
            <w:vAlign w:val="center"/>
          </w:tcPr>
          <w:p>
            <w:pPr>
              <w:ind w:left="0" w:leftChars="0" w:firstLine="0" w:firstLineChars="0"/>
              <w:jc w:val="center"/>
            </w:pPr>
            <w:r>
              <w:rPr>
                <w:rFonts w:hint="eastAsia"/>
              </w:rPr>
              <w:t>序号</w:t>
            </w:r>
          </w:p>
        </w:tc>
        <w:tc>
          <w:tcPr>
            <w:tcW w:w="2294" w:type="dxa"/>
            <w:vAlign w:val="center"/>
          </w:tcPr>
          <w:p>
            <w:pPr>
              <w:ind w:left="0" w:leftChars="0" w:firstLine="0" w:firstLineChars="0"/>
              <w:jc w:val="center"/>
            </w:pPr>
            <w:r>
              <w:rPr>
                <w:rFonts w:hint="eastAsia"/>
              </w:rPr>
              <w:t>条款名称</w:t>
            </w:r>
          </w:p>
        </w:tc>
        <w:tc>
          <w:tcPr>
            <w:tcW w:w="5846" w:type="dxa"/>
            <w:vAlign w:val="center"/>
          </w:tcPr>
          <w:p>
            <w:pPr>
              <w:ind w:left="0" w:leftChars="0" w:firstLine="0" w:firstLineChars="0"/>
              <w:jc w:val="center"/>
            </w:pPr>
            <w:r>
              <w:rPr>
                <w:rFonts w:hint="eastAsia"/>
              </w:rPr>
              <w:t>约定内容</w:t>
            </w:r>
          </w:p>
        </w:tc>
        <w:tc>
          <w:tcPr>
            <w:tcW w:w="988" w:type="dxa"/>
            <w:vAlign w:val="center"/>
          </w:tcPr>
          <w:p>
            <w:pPr>
              <w:ind w:left="0" w:leftChars="0" w:firstLine="0" w:firstLineChars="0"/>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760" w:type="dxa"/>
            <w:vAlign w:val="center"/>
          </w:tcPr>
          <w:p>
            <w:pPr>
              <w:ind w:left="0" w:leftChars="0" w:firstLine="0" w:firstLineChars="0"/>
              <w:jc w:val="center"/>
            </w:pPr>
            <w:r>
              <w:rPr>
                <w:rFonts w:hint="eastAsia"/>
              </w:rPr>
              <w:t>1</w:t>
            </w:r>
          </w:p>
        </w:tc>
        <w:tc>
          <w:tcPr>
            <w:tcW w:w="2294" w:type="dxa"/>
            <w:vAlign w:val="center"/>
          </w:tcPr>
          <w:p>
            <w:r>
              <w:rPr>
                <w:rFonts w:hint="eastAsia"/>
              </w:rPr>
              <w:t>投标内容</w:t>
            </w:r>
          </w:p>
        </w:tc>
        <w:tc>
          <w:tcPr>
            <w:tcW w:w="5846" w:type="dxa"/>
            <w:vAlign w:val="center"/>
          </w:tcPr>
          <w:p/>
        </w:tc>
        <w:tc>
          <w:tcPr>
            <w:tcW w:w="988"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760" w:type="dxa"/>
            <w:vAlign w:val="center"/>
          </w:tcPr>
          <w:p>
            <w:pPr>
              <w:ind w:left="0" w:leftChars="0" w:firstLine="0" w:firstLineChars="0"/>
              <w:jc w:val="center"/>
            </w:pPr>
            <w:r>
              <w:rPr>
                <w:rFonts w:hint="eastAsia"/>
              </w:rPr>
              <w:t>2</w:t>
            </w:r>
          </w:p>
        </w:tc>
        <w:tc>
          <w:tcPr>
            <w:tcW w:w="2294" w:type="dxa"/>
            <w:vAlign w:val="center"/>
          </w:tcPr>
          <w:p>
            <w:r>
              <w:rPr>
                <w:rFonts w:hint="eastAsia"/>
              </w:rPr>
              <w:t>项目经理</w:t>
            </w:r>
          </w:p>
        </w:tc>
        <w:tc>
          <w:tcPr>
            <w:tcW w:w="5846" w:type="dxa"/>
            <w:vAlign w:val="center"/>
          </w:tcPr>
          <w:p>
            <w:r>
              <w:rPr>
                <w:rFonts w:hint="eastAsia"/>
              </w:rPr>
              <w:t xml:space="preserve">姓名：               </w:t>
            </w:r>
          </w:p>
          <w:p>
            <w:r>
              <w:rPr>
                <w:rFonts w:hint="eastAsia"/>
              </w:rPr>
              <w:t xml:space="preserve">注册编号：           </w:t>
            </w:r>
          </w:p>
        </w:tc>
        <w:tc>
          <w:tcPr>
            <w:tcW w:w="988"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760" w:type="dxa"/>
            <w:vAlign w:val="center"/>
          </w:tcPr>
          <w:p>
            <w:pPr>
              <w:ind w:left="0" w:leftChars="0" w:firstLine="0" w:firstLineChars="0"/>
              <w:jc w:val="center"/>
            </w:pPr>
            <w:r>
              <w:rPr>
                <w:rFonts w:hint="eastAsia"/>
              </w:rPr>
              <w:t>3</w:t>
            </w:r>
          </w:p>
        </w:tc>
        <w:tc>
          <w:tcPr>
            <w:tcW w:w="2294" w:type="dxa"/>
            <w:vAlign w:val="center"/>
          </w:tcPr>
          <w:p>
            <w:r>
              <w:rPr>
                <w:rFonts w:hint="eastAsia"/>
              </w:rPr>
              <w:t>技术负责人</w:t>
            </w:r>
          </w:p>
        </w:tc>
        <w:tc>
          <w:tcPr>
            <w:tcW w:w="5846" w:type="dxa"/>
            <w:vAlign w:val="center"/>
          </w:tcPr>
          <w:p>
            <w:r>
              <w:rPr>
                <w:rFonts w:hint="eastAsia"/>
              </w:rPr>
              <w:t xml:space="preserve">姓名：               </w:t>
            </w:r>
          </w:p>
          <w:p>
            <w:r>
              <w:rPr>
                <w:rFonts w:hint="eastAsia"/>
              </w:rPr>
              <w:t xml:space="preserve">注册编号：           </w:t>
            </w:r>
          </w:p>
        </w:tc>
        <w:tc>
          <w:tcPr>
            <w:tcW w:w="988"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760" w:type="dxa"/>
            <w:vAlign w:val="center"/>
          </w:tcPr>
          <w:p>
            <w:pPr>
              <w:ind w:left="0" w:leftChars="0" w:firstLine="0" w:firstLineChars="0"/>
              <w:jc w:val="center"/>
            </w:pPr>
            <w:r>
              <w:rPr>
                <w:rFonts w:hint="eastAsia"/>
              </w:rPr>
              <w:t>4</w:t>
            </w:r>
          </w:p>
        </w:tc>
        <w:tc>
          <w:tcPr>
            <w:tcW w:w="2294" w:type="dxa"/>
            <w:vAlign w:val="center"/>
          </w:tcPr>
          <w:p>
            <w:r>
              <w:rPr>
                <w:rFonts w:hint="eastAsia"/>
              </w:rPr>
              <w:t>工期</w:t>
            </w:r>
          </w:p>
        </w:tc>
        <w:tc>
          <w:tcPr>
            <w:tcW w:w="5846" w:type="dxa"/>
            <w:vAlign w:val="center"/>
          </w:tcPr>
          <w:p>
            <w:r>
              <w:rPr>
                <w:rFonts w:hint="eastAsia"/>
              </w:rPr>
              <w:t xml:space="preserve">            日历天</w:t>
            </w:r>
          </w:p>
        </w:tc>
        <w:tc>
          <w:tcPr>
            <w:tcW w:w="988"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60" w:type="dxa"/>
            <w:vAlign w:val="center"/>
          </w:tcPr>
          <w:p>
            <w:pPr>
              <w:ind w:left="0" w:leftChars="0" w:firstLine="0" w:firstLineChars="0"/>
              <w:jc w:val="center"/>
            </w:pPr>
            <w:r>
              <w:rPr>
                <w:rFonts w:hint="eastAsia"/>
              </w:rPr>
              <w:t>5</w:t>
            </w:r>
          </w:p>
        </w:tc>
        <w:tc>
          <w:tcPr>
            <w:tcW w:w="2294" w:type="dxa"/>
            <w:vAlign w:val="center"/>
          </w:tcPr>
          <w:p>
            <w:r>
              <w:rPr>
                <w:rFonts w:hint="eastAsia"/>
              </w:rPr>
              <w:t>缺陷责任期</w:t>
            </w:r>
          </w:p>
        </w:tc>
        <w:tc>
          <w:tcPr>
            <w:tcW w:w="5846" w:type="dxa"/>
            <w:vAlign w:val="center"/>
          </w:tcPr>
          <w:p/>
        </w:tc>
        <w:tc>
          <w:tcPr>
            <w:tcW w:w="988"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60" w:type="dxa"/>
            <w:vAlign w:val="center"/>
          </w:tcPr>
          <w:p>
            <w:pPr>
              <w:ind w:left="0" w:leftChars="0" w:firstLine="0" w:firstLineChars="0"/>
              <w:jc w:val="center"/>
            </w:pPr>
            <w:r>
              <w:rPr>
                <w:rFonts w:hint="eastAsia"/>
              </w:rPr>
              <w:t>6</w:t>
            </w:r>
          </w:p>
        </w:tc>
        <w:tc>
          <w:tcPr>
            <w:tcW w:w="2294" w:type="dxa"/>
            <w:vAlign w:val="center"/>
          </w:tcPr>
          <w:p>
            <w:r>
              <w:rPr>
                <w:rFonts w:hint="eastAsia"/>
              </w:rPr>
              <w:t>分包</w:t>
            </w:r>
          </w:p>
        </w:tc>
        <w:tc>
          <w:tcPr>
            <w:tcW w:w="5846" w:type="dxa"/>
            <w:vAlign w:val="center"/>
          </w:tcPr>
          <w:p/>
        </w:tc>
        <w:tc>
          <w:tcPr>
            <w:tcW w:w="988"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760" w:type="dxa"/>
            <w:vAlign w:val="center"/>
          </w:tcPr>
          <w:p>
            <w:pPr>
              <w:ind w:left="0" w:leftChars="0" w:firstLine="0" w:firstLineChars="0"/>
              <w:jc w:val="center"/>
            </w:pPr>
            <w:r>
              <w:rPr>
                <w:rFonts w:hint="eastAsia"/>
              </w:rPr>
              <w:t>7</w:t>
            </w:r>
          </w:p>
        </w:tc>
        <w:tc>
          <w:tcPr>
            <w:tcW w:w="2294" w:type="dxa"/>
            <w:vAlign w:val="center"/>
          </w:tcPr>
          <w:p>
            <w:r>
              <w:rPr>
                <w:rFonts w:hint="eastAsia"/>
              </w:rPr>
              <w:t>投标有效期</w:t>
            </w:r>
          </w:p>
        </w:tc>
        <w:tc>
          <w:tcPr>
            <w:tcW w:w="5846" w:type="dxa"/>
            <w:vAlign w:val="center"/>
          </w:tcPr>
          <w:p>
            <w:r>
              <w:rPr>
                <w:rFonts w:hint="eastAsia"/>
              </w:rPr>
              <w:t>投标截止日起</w:t>
            </w:r>
            <w:r>
              <w:rPr>
                <w:rFonts w:hint="eastAsia"/>
                <w:u w:val="single"/>
              </w:rPr>
              <w:t xml:space="preserve">       </w:t>
            </w:r>
            <w:r>
              <w:rPr>
                <w:rFonts w:hint="eastAsia"/>
              </w:rPr>
              <w:t>日历天</w:t>
            </w:r>
          </w:p>
        </w:tc>
        <w:tc>
          <w:tcPr>
            <w:tcW w:w="988"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760" w:type="dxa"/>
            <w:vAlign w:val="center"/>
          </w:tcPr>
          <w:p>
            <w:pPr>
              <w:ind w:left="0" w:leftChars="0" w:firstLine="0" w:firstLineChars="0"/>
              <w:jc w:val="center"/>
            </w:pPr>
            <w:r>
              <w:rPr>
                <w:rFonts w:hint="eastAsia"/>
              </w:rPr>
              <w:t>8</w:t>
            </w:r>
          </w:p>
        </w:tc>
        <w:tc>
          <w:tcPr>
            <w:tcW w:w="2294" w:type="dxa"/>
            <w:vAlign w:val="center"/>
          </w:tcPr>
          <w:p>
            <w:r>
              <w:rPr>
                <w:rFonts w:hint="eastAsia"/>
              </w:rPr>
              <w:t>质量要求</w:t>
            </w:r>
          </w:p>
        </w:tc>
        <w:tc>
          <w:tcPr>
            <w:tcW w:w="5846" w:type="dxa"/>
            <w:vAlign w:val="center"/>
          </w:tcPr>
          <w:p/>
        </w:tc>
        <w:tc>
          <w:tcPr>
            <w:tcW w:w="988"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60" w:type="dxa"/>
            <w:vAlign w:val="center"/>
          </w:tcPr>
          <w:p>
            <w:pPr>
              <w:ind w:left="0" w:leftChars="0" w:firstLine="0" w:firstLineChars="0"/>
              <w:jc w:val="center"/>
            </w:pPr>
            <w:r>
              <w:rPr>
                <w:rFonts w:hint="eastAsia"/>
              </w:rPr>
              <w:t>9</w:t>
            </w:r>
          </w:p>
        </w:tc>
        <w:tc>
          <w:tcPr>
            <w:tcW w:w="2294" w:type="dxa"/>
            <w:vAlign w:val="center"/>
          </w:tcPr>
          <w:p>
            <w:r>
              <w:rPr>
                <w:rFonts w:hint="eastAsia"/>
              </w:rPr>
              <w:t>安全目标</w:t>
            </w:r>
          </w:p>
        </w:tc>
        <w:tc>
          <w:tcPr>
            <w:tcW w:w="5846" w:type="dxa"/>
            <w:vAlign w:val="center"/>
          </w:tcPr>
          <w:p/>
        </w:tc>
        <w:tc>
          <w:tcPr>
            <w:tcW w:w="988"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60" w:type="dxa"/>
            <w:vAlign w:val="center"/>
          </w:tcPr>
          <w:p>
            <w:pPr>
              <w:ind w:left="0" w:leftChars="0" w:firstLine="0" w:firstLineChars="0"/>
              <w:jc w:val="center"/>
            </w:pPr>
            <w:r>
              <w:rPr>
                <w:rFonts w:hint="eastAsia"/>
              </w:rPr>
              <w:t>10</w:t>
            </w:r>
          </w:p>
        </w:tc>
        <w:tc>
          <w:tcPr>
            <w:tcW w:w="2294" w:type="dxa"/>
            <w:vAlign w:val="center"/>
          </w:tcPr>
          <w:p>
            <w:r>
              <w:rPr>
                <w:rFonts w:hint="eastAsia"/>
              </w:rPr>
              <w:t>文明工地目标</w:t>
            </w:r>
          </w:p>
        </w:tc>
        <w:tc>
          <w:tcPr>
            <w:tcW w:w="5846" w:type="dxa"/>
            <w:vAlign w:val="center"/>
          </w:tcPr>
          <w:p/>
        </w:tc>
        <w:tc>
          <w:tcPr>
            <w:tcW w:w="988"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760" w:type="dxa"/>
            <w:vAlign w:val="center"/>
          </w:tcPr>
          <w:p>
            <w:pPr>
              <w:ind w:left="0" w:leftChars="0" w:firstLine="0" w:firstLineChars="0"/>
              <w:jc w:val="center"/>
            </w:pPr>
            <w:r>
              <w:rPr>
                <w:rFonts w:hint="eastAsia"/>
              </w:rPr>
              <w:t>11</w:t>
            </w:r>
          </w:p>
        </w:tc>
        <w:tc>
          <w:tcPr>
            <w:tcW w:w="2294" w:type="dxa"/>
            <w:vAlign w:val="center"/>
          </w:tcPr>
          <w:p>
            <w:r>
              <w:rPr>
                <w:rFonts w:hint="eastAsia"/>
              </w:rPr>
              <w:t>扬尘治理目标</w:t>
            </w:r>
          </w:p>
        </w:tc>
        <w:tc>
          <w:tcPr>
            <w:tcW w:w="5846" w:type="dxa"/>
            <w:vAlign w:val="center"/>
          </w:tcPr>
          <w:p/>
        </w:tc>
        <w:tc>
          <w:tcPr>
            <w:tcW w:w="988"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760" w:type="dxa"/>
            <w:vAlign w:val="center"/>
          </w:tcPr>
          <w:p>
            <w:pPr>
              <w:ind w:left="0" w:leftChars="0" w:firstLine="0" w:firstLineChars="0"/>
              <w:jc w:val="center"/>
            </w:pPr>
            <w:r>
              <w:rPr>
                <w:rFonts w:hint="eastAsia"/>
              </w:rPr>
              <w:t>12</w:t>
            </w:r>
          </w:p>
        </w:tc>
        <w:tc>
          <w:tcPr>
            <w:tcW w:w="2294" w:type="dxa"/>
            <w:vAlign w:val="center"/>
          </w:tcPr>
          <w:p>
            <w:pPr>
              <w:ind w:left="0" w:leftChars="0" w:firstLine="0" w:firstLineChars="0"/>
            </w:pPr>
            <w:r>
              <w:rPr>
                <w:rFonts w:hint="eastAsia"/>
              </w:rPr>
              <w:t>变更签证优惠率（%）</w:t>
            </w:r>
          </w:p>
        </w:tc>
        <w:tc>
          <w:tcPr>
            <w:tcW w:w="5846" w:type="dxa"/>
            <w:vAlign w:val="center"/>
          </w:tcPr>
          <w:p/>
        </w:tc>
        <w:tc>
          <w:tcPr>
            <w:tcW w:w="988" w:type="dxa"/>
            <w:vAlign w:val="center"/>
          </w:tcPr>
          <w:p/>
        </w:tc>
      </w:tr>
    </w:tbl>
    <w:p/>
    <w:p/>
    <w:p>
      <w:pPr>
        <w:spacing w:line="440" w:lineRule="exact"/>
        <w:ind w:firstLine="4515" w:firstLineChars="2150"/>
        <w:rPr>
          <w:rFonts w:hint="eastAsia" w:ascii="仿宋" w:hAnsi="仿宋" w:eastAsia="仿宋" w:cs="仿宋"/>
          <w:szCs w:val="21"/>
        </w:rPr>
      </w:pPr>
      <w:r>
        <w:rPr>
          <w:rFonts w:hint="eastAsia" w:ascii="仿宋" w:hAnsi="仿宋" w:eastAsia="仿宋" w:cs="仿宋"/>
          <w:szCs w:val="21"/>
        </w:rPr>
        <w:t>投 标 人：</w:t>
      </w:r>
      <w:r>
        <w:rPr>
          <w:rFonts w:hint="eastAsia" w:ascii="仿宋" w:hAnsi="仿宋" w:eastAsia="仿宋" w:cs="仿宋"/>
          <w:szCs w:val="21"/>
          <w:u w:val="single"/>
        </w:rPr>
        <w:t xml:space="preserve">                      </w:t>
      </w:r>
      <w:r>
        <w:rPr>
          <w:rFonts w:hint="eastAsia" w:ascii="仿宋" w:hAnsi="仿宋" w:eastAsia="仿宋" w:cs="仿宋"/>
          <w:szCs w:val="21"/>
        </w:rPr>
        <w:t>（盖单位章）</w:t>
      </w:r>
    </w:p>
    <w:p>
      <w:pPr>
        <w:spacing w:line="440" w:lineRule="exact"/>
        <w:ind w:firstLine="4410" w:firstLineChars="2100"/>
        <w:rPr>
          <w:rFonts w:hint="eastAsia" w:ascii="仿宋" w:hAnsi="仿宋" w:eastAsia="仿宋" w:cs="仿宋"/>
          <w:sz w:val="20"/>
          <w:szCs w:val="20"/>
        </w:rPr>
      </w:pPr>
      <w:r>
        <w:rPr>
          <w:rFonts w:hint="eastAsia" w:ascii="仿宋" w:hAnsi="仿宋" w:eastAsia="仿宋" w:cs="仿宋"/>
          <w:szCs w:val="21"/>
        </w:rPr>
        <w:t>法定代表人或其委托代理人：</w:t>
      </w:r>
      <w:r>
        <w:rPr>
          <w:rFonts w:hint="eastAsia" w:ascii="仿宋" w:hAnsi="仿宋" w:eastAsia="仿宋" w:cs="仿宋"/>
          <w:szCs w:val="21"/>
          <w:u w:val="single"/>
        </w:rPr>
        <w:t xml:space="preserve">        </w:t>
      </w:r>
      <w:r>
        <w:rPr>
          <w:rFonts w:hint="eastAsia" w:ascii="仿宋" w:hAnsi="仿宋" w:eastAsia="仿宋" w:cs="仿宋"/>
          <w:szCs w:val="21"/>
        </w:rPr>
        <w:t>（签字或盖电子章）</w:t>
      </w:r>
    </w:p>
    <w:p>
      <w:pPr>
        <w:spacing w:line="440" w:lineRule="exact"/>
        <w:ind w:left="840" w:leftChars="400" w:firstLine="4200" w:firstLineChars="2000"/>
        <w:rPr>
          <w:rFonts w:hint="eastAsia" w:ascii="仿宋" w:hAnsi="仿宋" w:eastAsia="仿宋" w:cs="仿宋"/>
        </w:rPr>
      </w:pP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r>
        <w:rPr>
          <w:rFonts w:hint="eastAsia" w:ascii="仿宋" w:hAnsi="仿宋" w:eastAsia="仿宋" w:cs="仿宋"/>
        </w:rPr>
        <w:t xml:space="preserve">      </w:t>
      </w:r>
    </w:p>
    <w:p>
      <w:pPr>
        <w:pStyle w:val="102"/>
        <w:ind w:left="0" w:leftChars="0" w:firstLine="0" w:firstLineChars="0"/>
        <w:jc w:val="center"/>
        <w:rPr>
          <w:rFonts w:hint="eastAsia" w:ascii="仿宋" w:hAnsi="仿宋" w:eastAsia="仿宋" w:cs="仿宋"/>
          <w:b/>
          <w:bCs/>
        </w:rPr>
      </w:pPr>
      <w:r>
        <w:rPr>
          <w:rFonts w:hint="eastAsia"/>
        </w:rPr>
        <w:br w:type="page"/>
      </w:r>
      <w:bookmarkStart w:id="606" w:name="_Toc7483"/>
      <w:bookmarkStart w:id="607" w:name="_Toc8423603"/>
      <w:bookmarkStart w:id="608" w:name="_Toc12805"/>
      <w:r>
        <w:rPr>
          <w:rFonts w:hint="eastAsia" w:ascii="仿宋" w:hAnsi="仿宋" w:eastAsia="仿宋" w:cs="仿宋"/>
          <w:b/>
          <w:bCs/>
        </w:rPr>
        <w:t>（三）投标函附录二</w:t>
      </w:r>
      <w:bookmarkEnd w:id="606"/>
      <w:bookmarkEnd w:id="607"/>
      <w:bookmarkEnd w:id="608"/>
    </w:p>
    <w:p>
      <w:pPr>
        <w:jc w:val="center"/>
      </w:pPr>
    </w:p>
    <w:tbl>
      <w:tblPr>
        <w:tblStyle w:val="41"/>
        <w:tblW w:w="8944" w:type="dxa"/>
        <w:jc w:val="center"/>
        <w:tblLayout w:type="fixed"/>
        <w:tblCellMar>
          <w:top w:w="0" w:type="dxa"/>
          <w:left w:w="108" w:type="dxa"/>
          <w:bottom w:w="0" w:type="dxa"/>
          <w:right w:w="108" w:type="dxa"/>
        </w:tblCellMar>
      </w:tblPr>
      <w:tblGrid>
        <w:gridCol w:w="4125"/>
        <w:gridCol w:w="4819"/>
      </w:tblGrid>
      <w:tr>
        <w:tblPrEx>
          <w:tblCellMar>
            <w:top w:w="0" w:type="dxa"/>
            <w:left w:w="108" w:type="dxa"/>
            <w:bottom w:w="0" w:type="dxa"/>
            <w:right w:w="108" w:type="dxa"/>
          </w:tblCellMar>
        </w:tblPrEx>
        <w:trPr>
          <w:trHeight w:val="711" w:hRule="atLeast"/>
          <w:jc w:val="center"/>
        </w:trPr>
        <w:tc>
          <w:tcPr>
            <w:tcW w:w="4125"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rPr>
                <w:sz w:val="24"/>
              </w:rPr>
            </w:pPr>
            <w:r>
              <w:rPr>
                <w:rFonts w:hint="eastAsia"/>
              </w:rPr>
              <w:t>投标总报价（元）</w:t>
            </w:r>
          </w:p>
        </w:tc>
        <w:tc>
          <w:tcPr>
            <w:tcW w:w="4819" w:type="dxa"/>
            <w:tcBorders>
              <w:top w:val="single" w:color="auto" w:sz="4" w:space="0"/>
              <w:left w:val="nil"/>
              <w:bottom w:val="single" w:color="auto" w:sz="4" w:space="0"/>
              <w:right w:val="single" w:color="auto" w:sz="4" w:space="0"/>
            </w:tcBorders>
            <w:vAlign w:val="center"/>
          </w:tcPr>
          <w:p/>
        </w:tc>
      </w:tr>
      <w:tr>
        <w:tblPrEx>
          <w:tblCellMar>
            <w:top w:w="0" w:type="dxa"/>
            <w:left w:w="108" w:type="dxa"/>
            <w:bottom w:w="0" w:type="dxa"/>
            <w:right w:w="108" w:type="dxa"/>
          </w:tblCellMar>
        </w:tblPrEx>
        <w:trPr>
          <w:trHeight w:val="711" w:hRule="atLeast"/>
          <w:jc w:val="center"/>
        </w:trPr>
        <w:tc>
          <w:tcPr>
            <w:tcW w:w="4125"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投标报价（不含规费、税金、安全文明措施费、暂列金额、暂估价）（元）</w:t>
            </w:r>
          </w:p>
        </w:tc>
        <w:tc>
          <w:tcPr>
            <w:tcW w:w="4819" w:type="dxa"/>
            <w:tcBorders>
              <w:top w:val="single" w:color="auto" w:sz="4" w:space="0"/>
              <w:left w:val="nil"/>
              <w:bottom w:val="single" w:color="auto" w:sz="4" w:space="0"/>
              <w:right w:val="single" w:color="auto" w:sz="4" w:space="0"/>
            </w:tcBorders>
            <w:vAlign w:val="center"/>
          </w:tcPr>
          <w:p/>
        </w:tc>
      </w:tr>
      <w:tr>
        <w:tblPrEx>
          <w:tblCellMar>
            <w:top w:w="0" w:type="dxa"/>
            <w:left w:w="108" w:type="dxa"/>
            <w:bottom w:w="0" w:type="dxa"/>
            <w:right w:w="108" w:type="dxa"/>
          </w:tblCellMar>
        </w:tblPrEx>
        <w:trPr>
          <w:trHeight w:val="711" w:hRule="atLeast"/>
          <w:jc w:val="center"/>
        </w:trPr>
        <w:tc>
          <w:tcPr>
            <w:tcW w:w="4125"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rPr>
                <w:sz w:val="24"/>
              </w:rPr>
            </w:pPr>
            <w:r>
              <w:rPr>
                <w:rFonts w:hint="eastAsia"/>
              </w:rPr>
              <w:t>分部分项清单报价（元）</w:t>
            </w:r>
          </w:p>
        </w:tc>
        <w:tc>
          <w:tcPr>
            <w:tcW w:w="4819" w:type="dxa"/>
            <w:tcBorders>
              <w:top w:val="single" w:color="auto" w:sz="4" w:space="0"/>
              <w:left w:val="nil"/>
              <w:bottom w:val="single" w:color="auto" w:sz="4" w:space="0"/>
              <w:right w:val="single" w:color="auto" w:sz="4" w:space="0"/>
            </w:tcBorders>
            <w:vAlign w:val="center"/>
          </w:tcPr>
          <w:p/>
        </w:tc>
      </w:tr>
      <w:tr>
        <w:tblPrEx>
          <w:tblCellMar>
            <w:top w:w="0" w:type="dxa"/>
            <w:left w:w="108" w:type="dxa"/>
            <w:bottom w:w="0" w:type="dxa"/>
            <w:right w:w="108" w:type="dxa"/>
          </w:tblCellMar>
        </w:tblPrEx>
        <w:trPr>
          <w:trHeight w:val="711" w:hRule="atLeast"/>
          <w:jc w:val="center"/>
        </w:trPr>
        <w:tc>
          <w:tcPr>
            <w:tcW w:w="4125"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单价措施项目（元）</w:t>
            </w:r>
          </w:p>
        </w:tc>
        <w:tc>
          <w:tcPr>
            <w:tcW w:w="4819" w:type="dxa"/>
            <w:tcBorders>
              <w:top w:val="single" w:color="auto" w:sz="4" w:space="0"/>
              <w:left w:val="nil"/>
              <w:bottom w:val="single" w:color="auto" w:sz="4" w:space="0"/>
              <w:right w:val="single" w:color="auto" w:sz="4" w:space="0"/>
            </w:tcBorders>
            <w:vAlign w:val="center"/>
          </w:tcPr>
          <w:p/>
        </w:tc>
      </w:tr>
      <w:tr>
        <w:tblPrEx>
          <w:tblCellMar>
            <w:top w:w="0" w:type="dxa"/>
            <w:left w:w="108" w:type="dxa"/>
            <w:bottom w:w="0" w:type="dxa"/>
            <w:right w:w="108" w:type="dxa"/>
          </w:tblCellMar>
        </w:tblPrEx>
        <w:trPr>
          <w:trHeight w:val="711" w:hRule="atLeast"/>
          <w:jc w:val="center"/>
        </w:trPr>
        <w:tc>
          <w:tcPr>
            <w:tcW w:w="4125"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总价措施项目（安全文明措施费）（元）</w:t>
            </w:r>
          </w:p>
        </w:tc>
        <w:tc>
          <w:tcPr>
            <w:tcW w:w="4819" w:type="dxa"/>
            <w:tcBorders>
              <w:top w:val="single" w:color="auto" w:sz="4" w:space="0"/>
              <w:left w:val="nil"/>
              <w:bottom w:val="single" w:color="auto" w:sz="4" w:space="0"/>
              <w:right w:val="single" w:color="auto" w:sz="4" w:space="0"/>
            </w:tcBorders>
            <w:vAlign w:val="center"/>
          </w:tcPr>
          <w:p/>
        </w:tc>
      </w:tr>
      <w:tr>
        <w:tblPrEx>
          <w:tblCellMar>
            <w:top w:w="0" w:type="dxa"/>
            <w:left w:w="108" w:type="dxa"/>
            <w:bottom w:w="0" w:type="dxa"/>
            <w:right w:w="108" w:type="dxa"/>
          </w:tblCellMar>
        </w:tblPrEx>
        <w:trPr>
          <w:trHeight w:val="711" w:hRule="atLeast"/>
          <w:jc w:val="center"/>
        </w:trPr>
        <w:tc>
          <w:tcPr>
            <w:tcW w:w="4125"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rPr>
                <w:sz w:val="24"/>
              </w:rPr>
            </w:pPr>
            <w:r>
              <w:rPr>
                <w:rFonts w:hint="eastAsia"/>
              </w:rPr>
              <w:t>措施费（不含安全文明措施费）（元）</w:t>
            </w:r>
          </w:p>
        </w:tc>
        <w:tc>
          <w:tcPr>
            <w:tcW w:w="4819" w:type="dxa"/>
            <w:tcBorders>
              <w:top w:val="single" w:color="auto" w:sz="4" w:space="0"/>
              <w:left w:val="nil"/>
              <w:bottom w:val="single" w:color="auto" w:sz="4" w:space="0"/>
              <w:right w:val="single" w:color="auto" w:sz="4" w:space="0"/>
            </w:tcBorders>
            <w:vAlign w:val="center"/>
          </w:tcPr>
          <w:p/>
        </w:tc>
      </w:tr>
      <w:tr>
        <w:tblPrEx>
          <w:tblCellMar>
            <w:top w:w="0" w:type="dxa"/>
            <w:left w:w="108" w:type="dxa"/>
            <w:bottom w:w="0" w:type="dxa"/>
            <w:right w:w="108" w:type="dxa"/>
          </w:tblCellMar>
        </w:tblPrEx>
        <w:trPr>
          <w:trHeight w:val="711" w:hRule="atLeast"/>
          <w:jc w:val="center"/>
        </w:trPr>
        <w:tc>
          <w:tcPr>
            <w:tcW w:w="4125"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rPr>
                <w:sz w:val="24"/>
              </w:rPr>
            </w:pPr>
            <w:r>
              <w:rPr>
                <w:rFonts w:hint="eastAsia"/>
              </w:rPr>
              <w:t>暂列金额（夜间施工、二次搬运、冬雨季施工）（元）</w:t>
            </w:r>
          </w:p>
        </w:tc>
        <w:tc>
          <w:tcPr>
            <w:tcW w:w="4819" w:type="dxa"/>
            <w:tcBorders>
              <w:top w:val="single" w:color="auto" w:sz="4" w:space="0"/>
              <w:left w:val="nil"/>
              <w:bottom w:val="single" w:color="auto" w:sz="4" w:space="0"/>
              <w:right w:val="single" w:color="auto" w:sz="4" w:space="0"/>
            </w:tcBorders>
            <w:vAlign w:val="center"/>
          </w:tcPr>
          <w:p/>
        </w:tc>
      </w:tr>
      <w:tr>
        <w:tblPrEx>
          <w:tblCellMar>
            <w:top w:w="0" w:type="dxa"/>
            <w:left w:w="108" w:type="dxa"/>
            <w:bottom w:w="0" w:type="dxa"/>
            <w:right w:w="108" w:type="dxa"/>
          </w:tblCellMar>
        </w:tblPrEx>
        <w:trPr>
          <w:trHeight w:val="711" w:hRule="atLeast"/>
          <w:jc w:val="center"/>
        </w:trPr>
        <w:tc>
          <w:tcPr>
            <w:tcW w:w="4125" w:type="dxa"/>
            <w:tcBorders>
              <w:top w:val="single" w:color="auto" w:sz="4" w:space="0"/>
              <w:left w:val="single" w:color="auto" w:sz="4" w:space="0"/>
              <w:bottom w:val="single" w:color="auto" w:sz="4" w:space="0"/>
              <w:right w:val="single" w:color="auto" w:sz="4" w:space="0"/>
            </w:tcBorders>
            <w:vAlign w:val="center"/>
          </w:tcPr>
          <w:p>
            <w:pPr>
              <w:pStyle w:val="98"/>
              <w:ind w:left="0" w:leftChars="0" w:firstLine="0" w:firstLineChars="0"/>
              <w:jc w:val="center"/>
            </w:pPr>
            <w:r>
              <w:rPr>
                <w:rFonts w:hint="eastAsia"/>
              </w:rPr>
              <w:t>暂估价（元）</w:t>
            </w:r>
          </w:p>
        </w:tc>
        <w:tc>
          <w:tcPr>
            <w:tcW w:w="4819" w:type="dxa"/>
            <w:tcBorders>
              <w:top w:val="single" w:color="auto" w:sz="4" w:space="0"/>
              <w:left w:val="nil"/>
              <w:bottom w:val="single" w:color="auto" w:sz="4" w:space="0"/>
              <w:right w:val="single" w:color="auto" w:sz="4" w:space="0"/>
            </w:tcBorders>
            <w:vAlign w:val="center"/>
          </w:tcPr>
          <w:p/>
        </w:tc>
      </w:tr>
      <w:tr>
        <w:tblPrEx>
          <w:tblCellMar>
            <w:top w:w="0" w:type="dxa"/>
            <w:left w:w="108" w:type="dxa"/>
            <w:bottom w:w="0" w:type="dxa"/>
            <w:right w:w="108" w:type="dxa"/>
          </w:tblCellMar>
        </w:tblPrEx>
        <w:trPr>
          <w:trHeight w:val="711" w:hRule="atLeast"/>
          <w:jc w:val="center"/>
        </w:trPr>
        <w:tc>
          <w:tcPr>
            <w:tcW w:w="4125" w:type="dxa"/>
            <w:tcBorders>
              <w:top w:val="single" w:color="auto" w:sz="4" w:space="0"/>
              <w:left w:val="single" w:color="auto" w:sz="4" w:space="0"/>
              <w:bottom w:val="single" w:color="auto" w:sz="4" w:space="0"/>
              <w:right w:val="single" w:color="auto" w:sz="4" w:space="0"/>
            </w:tcBorders>
            <w:vAlign w:val="center"/>
          </w:tcPr>
          <w:p>
            <w:pPr>
              <w:pStyle w:val="98"/>
              <w:ind w:left="0" w:leftChars="0" w:firstLine="0" w:firstLineChars="0"/>
              <w:jc w:val="center"/>
            </w:pPr>
            <w:r>
              <w:rPr>
                <w:rFonts w:hint="eastAsia"/>
              </w:rPr>
              <w:t>规费（元）</w:t>
            </w:r>
          </w:p>
        </w:tc>
        <w:tc>
          <w:tcPr>
            <w:tcW w:w="4819" w:type="dxa"/>
            <w:tcBorders>
              <w:top w:val="single" w:color="auto" w:sz="4" w:space="0"/>
              <w:left w:val="nil"/>
              <w:bottom w:val="single" w:color="auto" w:sz="4" w:space="0"/>
              <w:right w:val="single" w:color="auto" w:sz="4" w:space="0"/>
            </w:tcBorders>
            <w:vAlign w:val="center"/>
          </w:tcPr>
          <w:p/>
        </w:tc>
      </w:tr>
      <w:tr>
        <w:tblPrEx>
          <w:tblCellMar>
            <w:top w:w="0" w:type="dxa"/>
            <w:left w:w="108" w:type="dxa"/>
            <w:bottom w:w="0" w:type="dxa"/>
            <w:right w:w="108" w:type="dxa"/>
          </w:tblCellMar>
        </w:tblPrEx>
        <w:trPr>
          <w:trHeight w:val="711" w:hRule="atLeast"/>
          <w:jc w:val="center"/>
        </w:trPr>
        <w:tc>
          <w:tcPr>
            <w:tcW w:w="4125"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rPr>
                <w:sz w:val="24"/>
              </w:rPr>
            </w:pPr>
            <w:r>
              <w:rPr>
                <w:rFonts w:hint="eastAsia"/>
              </w:rPr>
              <w:t>税金（元）</w:t>
            </w:r>
          </w:p>
        </w:tc>
        <w:tc>
          <w:tcPr>
            <w:tcW w:w="4819" w:type="dxa"/>
            <w:tcBorders>
              <w:top w:val="single" w:color="auto" w:sz="4" w:space="0"/>
              <w:left w:val="nil"/>
              <w:bottom w:val="single" w:color="auto" w:sz="4" w:space="0"/>
              <w:right w:val="single" w:color="auto" w:sz="4" w:space="0"/>
            </w:tcBorders>
            <w:vAlign w:val="center"/>
          </w:tcPr>
          <w:p/>
        </w:tc>
      </w:tr>
    </w:tbl>
    <w:p/>
    <w:p/>
    <w:p/>
    <w:p>
      <w:pPr>
        <w:spacing w:line="440" w:lineRule="exact"/>
        <w:ind w:firstLine="4300" w:firstLineChars="2150"/>
        <w:rPr>
          <w:rFonts w:hint="eastAsia" w:ascii="仿宋" w:hAnsi="仿宋" w:eastAsia="仿宋" w:cs="仿宋"/>
          <w:szCs w:val="21"/>
        </w:rPr>
      </w:pPr>
      <w:r>
        <w:rPr>
          <w:rFonts w:hint="eastAsia" w:ascii="仿宋" w:hAnsi="仿宋" w:eastAsia="仿宋" w:cs="仿宋"/>
          <w:sz w:val="20"/>
          <w:szCs w:val="20"/>
        </w:rPr>
        <w:tab/>
      </w:r>
      <w:r>
        <w:rPr>
          <w:rFonts w:hint="eastAsia" w:ascii="仿宋" w:hAnsi="仿宋" w:eastAsia="仿宋" w:cs="仿宋"/>
          <w:szCs w:val="21"/>
        </w:rPr>
        <w:t>投 标 人：</w:t>
      </w:r>
      <w:r>
        <w:rPr>
          <w:rFonts w:hint="eastAsia" w:ascii="仿宋" w:hAnsi="仿宋" w:eastAsia="仿宋" w:cs="仿宋"/>
          <w:szCs w:val="21"/>
          <w:u w:val="single"/>
        </w:rPr>
        <w:t xml:space="preserve">                      </w:t>
      </w:r>
      <w:r>
        <w:rPr>
          <w:rFonts w:hint="eastAsia" w:ascii="仿宋" w:hAnsi="仿宋" w:eastAsia="仿宋" w:cs="仿宋"/>
          <w:szCs w:val="21"/>
        </w:rPr>
        <w:t>（盖单位章）</w:t>
      </w:r>
    </w:p>
    <w:p>
      <w:pPr>
        <w:spacing w:line="440" w:lineRule="exact"/>
        <w:ind w:firstLine="4620" w:firstLineChars="2200"/>
        <w:rPr>
          <w:rFonts w:hint="eastAsia" w:ascii="仿宋" w:hAnsi="仿宋" w:eastAsia="仿宋" w:cs="仿宋"/>
          <w:sz w:val="20"/>
          <w:szCs w:val="20"/>
        </w:rPr>
      </w:pPr>
      <w:r>
        <w:rPr>
          <w:rFonts w:hint="eastAsia" w:ascii="仿宋" w:hAnsi="仿宋" w:eastAsia="仿宋" w:cs="仿宋"/>
          <w:szCs w:val="21"/>
        </w:rPr>
        <w:t>法定代表人或其委托代理人：</w:t>
      </w:r>
      <w:r>
        <w:rPr>
          <w:rFonts w:hint="eastAsia" w:ascii="仿宋" w:hAnsi="仿宋" w:eastAsia="仿宋" w:cs="仿宋"/>
          <w:szCs w:val="21"/>
          <w:u w:val="single"/>
        </w:rPr>
        <w:t xml:space="preserve">       </w:t>
      </w:r>
      <w:r>
        <w:rPr>
          <w:rFonts w:hint="eastAsia" w:ascii="仿宋" w:hAnsi="仿宋" w:eastAsia="仿宋" w:cs="仿宋"/>
          <w:szCs w:val="21"/>
        </w:rPr>
        <w:t>（签字或盖电子章）</w:t>
      </w:r>
    </w:p>
    <w:p>
      <w:pPr>
        <w:tabs>
          <w:tab w:val="left" w:pos="3165"/>
        </w:tabs>
        <w:spacing w:line="440" w:lineRule="exact"/>
        <w:ind w:firstLine="5250" w:firstLineChars="2500"/>
        <w:rPr>
          <w:rFonts w:hint="eastAsia" w:ascii="仿宋" w:hAnsi="仿宋" w:eastAsia="仿宋" w:cs="仿宋"/>
          <w:sz w:val="20"/>
          <w:szCs w:val="20"/>
        </w:rPr>
      </w:pP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
      <w:pPr>
        <w:ind w:left="0" w:leftChars="0" w:firstLine="0" w:firstLineChars="0"/>
        <w:jc w:val="center"/>
        <w:rPr>
          <w:rFonts w:hint="eastAsia" w:ascii="仿宋" w:hAnsi="仿宋" w:eastAsia="仿宋" w:cs="仿宋"/>
          <w:b/>
          <w:sz w:val="24"/>
          <w:szCs w:val="28"/>
        </w:rPr>
      </w:pPr>
      <w:r>
        <w:rPr>
          <w:rFonts w:hint="eastAsia"/>
          <w:sz w:val="20"/>
          <w:szCs w:val="20"/>
        </w:rPr>
        <w:br w:type="page"/>
      </w:r>
      <w:r>
        <w:rPr>
          <w:rFonts w:hint="eastAsia" w:ascii="仿宋" w:hAnsi="仿宋" w:eastAsia="仿宋" w:cs="仿宋"/>
          <w:b/>
          <w:sz w:val="24"/>
          <w:szCs w:val="28"/>
        </w:rPr>
        <w:t>（四）投标函附录三</w:t>
      </w:r>
    </w:p>
    <w:p/>
    <w:tbl>
      <w:tblPr>
        <w:tblStyle w:val="41"/>
        <w:tblW w:w="9719" w:type="dxa"/>
        <w:tblInd w:w="1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81"/>
        <w:gridCol w:w="2544"/>
        <w:gridCol w:w="4575"/>
        <w:gridCol w:w="14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trPr>
        <w:tc>
          <w:tcPr>
            <w:tcW w:w="1181" w:type="dxa"/>
            <w:vAlign w:val="center"/>
          </w:tcPr>
          <w:p>
            <w:pPr>
              <w:pStyle w:val="98"/>
              <w:ind w:left="0" w:leftChars="0" w:firstLine="0" w:firstLineChars="0"/>
              <w:jc w:val="center"/>
              <w:rPr>
                <w:sz w:val="21"/>
                <w:szCs w:val="21"/>
              </w:rPr>
            </w:pPr>
            <w:r>
              <w:rPr>
                <w:rFonts w:hint="eastAsia"/>
                <w:sz w:val="21"/>
                <w:szCs w:val="21"/>
              </w:rPr>
              <w:t>序号</w:t>
            </w:r>
          </w:p>
        </w:tc>
        <w:tc>
          <w:tcPr>
            <w:tcW w:w="2544" w:type="dxa"/>
            <w:vAlign w:val="center"/>
          </w:tcPr>
          <w:p>
            <w:pPr>
              <w:pStyle w:val="98"/>
              <w:ind w:left="0" w:leftChars="0" w:firstLine="0" w:firstLineChars="0"/>
              <w:jc w:val="center"/>
              <w:rPr>
                <w:sz w:val="21"/>
                <w:szCs w:val="21"/>
              </w:rPr>
            </w:pPr>
            <w:r>
              <w:rPr>
                <w:rFonts w:hint="eastAsia"/>
                <w:sz w:val="21"/>
                <w:szCs w:val="21"/>
              </w:rPr>
              <w:t>条款名称</w:t>
            </w:r>
          </w:p>
        </w:tc>
        <w:tc>
          <w:tcPr>
            <w:tcW w:w="4575" w:type="dxa"/>
            <w:vAlign w:val="center"/>
          </w:tcPr>
          <w:p>
            <w:pPr>
              <w:pStyle w:val="98"/>
              <w:ind w:left="0" w:leftChars="0" w:firstLine="0" w:firstLineChars="0"/>
              <w:jc w:val="center"/>
              <w:rPr>
                <w:sz w:val="21"/>
                <w:szCs w:val="21"/>
              </w:rPr>
            </w:pPr>
            <w:r>
              <w:rPr>
                <w:rFonts w:hint="eastAsia"/>
                <w:sz w:val="21"/>
                <w:szCs w:val="21"/>
              </w:rPr>
              <w:t>约定内容</w:t>
            </w:r>
          </w:p>
        </w:tc>
        <w:tc>
          <w:tcPr>
            <w:tcW w:w="1419" w:type="dxa"/>
            <w:vAlign w:val="center"/>
          </w:tcPr>
          <w:p>
            <w:pPr>
              <w:pStyle w:val="98"/>
              <w:ind w:left="0" w:leftChars="0" w:firstLine="0" w:firstLineChars="0"/>
              <w:jc w:val="center"/>
              <w:rPr>
                <w:sz w:val="21"/>
                <w:szCs w:val="21"/>
              </w:rPr>
            </w:pPr>
            <w:r>
              <w:rPr>
                <w:rFonts w:hint="eastAsia"/>
                <w:sz w:val="21"/>
                <w:szCs w:val="21"/>
              </w:rPr>
              <w:t>承诺</w:t>
            </w:r>
          </w:p>
          <w:p>
            <w:pPr>
              <w:pStyle w:val="98"/>
              <w:ind w:left="0" w:leftChars="0" w:firstLine="0" w:firstLineChars="0"/>
              <w:jc w:val="center"/>
              <w:rPr>
                <w:sz w:val="21"/>
                <w:szCs w:val="21"/>
              </w:rPr>
            </w:pPr>
            <w:r>
              <w:rPr>
                <w:rFonts w:hint="eastAsia"/>
                <w:sz w:val="21"/>
                <w:szCs w:val="21"/>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trPr>
        <w:tc>
          <w:tcPr>
            <w:tcW w:w="1181" w:type="dxa"/>
            <w:vAlign w:val="center"/>
          </w:tcPr>
          <w:p>
            <w:pPr>
              <w:pStyle w:val="98"/>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sz w:val="21"/>
                <w:szCs w:val="21"/>
              </w:rPr>
            </w:pPr>
            <w:r>
              <w:rPr>
                <w:rFonts w:hint="eastAsia" w:ascii="仿宋" w:hAnsi="仿宋" w:eastAsia="仿宋" w:cs="仿宋"/>
                <w:sz w:val="21"/>
                <w:szCs w:val="21"/>
              </w:rPr>
              <w:t>1</w:t>
            </w:r>
          </w:p>
        </w:tc>
        <w:tc>
          <w:tcPr>
            <w:tcW w:w="2544" w:type="dxa"/>
            <w:vAlign w:val="center"/>
          </w:tcPr>
          <w:p>
            <w:pPr>
              <w:pStyle w:val="98"/>
              <w:ind w:left="0" w:leftChars="0" w:firstLine="0" w:firstLineChars="0"/>
              <w:jc w:val="center"/>
              <w:rPr>
                <w:sz w:val="21"/>
                <w:szCs w:val="21"/>
              </w:rPr>
            </w:pPr>
            <w:r>
              <w:rPr>
                <w:rFonts w:hint="eastAsia"/>
                <w:sz w:val="21"/>
                <w:szCs w:val="21"/>
              </w:rPr>
              <w:t>商品砼和预拌砂浆承诺</w:t>
            </w:r>
          </w:p>
        </w:tc>
        <w:tc>
          <w:tcPr>
            <w:tcW w:w="4575" w:type="dxa"/>
            <w:vAlign w:val="center"/>
          </w:tcPr>
          <w:p>
            <w:pPr>
              <w:pStyle w:val="98"/>
              <w:ind w:left="0" w:leftChars="0" w:firstLine="0" w:firstLineChars="0"/>
              <w:rPr>
                <w:sz w:val="21"/>
                <w:szCs w:val="21"/>
              </w:rPr>
            </w:pPr>
            <w:r>
              <w:rPr>
                <w:rFonts w:hint="eastAsia"/>
                <w:sz w:val="21"/>
                <w:szCs w:val="21"/>
              </w:rPr>
              <w:t>承诺使用商品砼和预拌砂浆，无此响应投标无效。</w:t>
            </w:r>
          </w:p>
        </w:tc>
        <w:tc>
          <w:tcPr>
            <w:tcW w:w="1419" w:type="dxa"/>
            <w:vAlign w:val="center"/>
          </w:tcPr>
          <w:p>
            <w:pPr>
              <w:pStyle w:val="98"/>
              <w:ind w:firstLine="484"/>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1181" w:type="dxa"/>
            <w:vAlign w:val="center"/>
          </w:tcPr>
          <w:p>
            <w:pPr>
              <w:pStyle w:val="98"/>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sz w:val="21"/>
                <w:szCs w:val="21"/>
              </w:rPr>
            </w:pPr>
            <w:r>
              <w:rPr>
                <w:rFonts w:hint="eastAsia" w:ascii="仿宋" w:hAnsi="仿宋" w:eastAsia="仿宋" w:cs="仿宋"/>
                <w:sz w:val="21"/>
                <w:szCs w:val="21"/>
              </w:rPr>
              <w:t>2</w:t>
            </w:r>
          </w:p>
        </w:tc>
        <w:tc>
          <w:tcPr>
            <w:tcW w:w="2544" w:type="dxa"/>
            <w:vAlign w:val="center"/>
          </w:tcPr>
          <w:p>
            <w:pPr>
              <w:pStyle w:val="98"/>
              <w:ind w:left="0" w:leftChars="0" w:firstLine="0" w:firstLineChars="0"/>
              <w:jc w:val="center"/>
              <w:rPr>
                <w:sz w:val="21"/>
                <w:szCs w:val="21"/>
              </w:rPr>
            </w:pPr>
            <w:r>
              <w:rPr>
                <w:rFonts w:hint="eastAsia"/>
                <w:sz w:val="21"/>
                <w:szCs w:val="21"/>
              </w:rPr>
              <w:t>劳务分包承诺</w:t>
            </w:r>
          </w:p>
        </w:tc>
        <w:tc>
          <w:tcPr>
            <w:tcW w:w="4575" w:type="dxa"/>
            <w:vAlign w:val="center"/>
          </w:tcPr>
          <w:p>
            <w:pPr>
              <w:pStyle w:val="98"/>
              <w:ind w:left="0" w:leftChars="0" w:firstLine="0" w:firstLineChars="0"/>
              <w:rPr>
                <w:sz w:val="21"/>
                <w:szCs w:val="21"/>
              </w:rPr>
            </w:pPr>
            <w:r>
              <w:rPr>
                <w:rFonts w:hint="eastAsia"/>
                <w:sz w:val="21"/>
                <w:szCs w:val="21"/>
              </w:rPr>
              <w:t>不允许</w:t>
            </w:r>
          </w:p>
        </w:tc>
        <w:tc>
          <w:tcPr>
            <w:tcW w:w="1419" w:type="dxa"/>
            <w:vAlign w:val="center"/>
          </w:tcPr>
          <w:p>
            <w:pPr>
              <w:pStyle w:val="98"/>
              <w:ind w:firstLine="484"/>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1181" w:type="dxa"/>
            <w:vMerge w:val="restart"/>
            <w:vAlign w:val="center"/>
          </w:tcPr>
          <w:p>
            <w:pPr>
              <w:pStyle w:val="98"/>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sz w:val="21"/>
                <w:szCs w:val="21"/>
              </w:rPr>
            </w:pPr>
            <w:r>
              <w:rPr>
                <w:rFonts w:hint="eastAsia" w:ascii="仿宋" w:hAnsi="仿宋" w:eastAsia="仿宋" w:cs="仿宋"/>
                <w:sz w:val="21"/>
                <w:szCs w:val="21"/>
              </w:rPr>
              <w:t>3</w:t>
            </w:r>
          </w:p>
        </w:tc>
        <w:tc>
          <w:tcPr>
            <w:tcW w:w="2544" w:type="dxa"/>
            <w:vMerge w:val="restart"/>
            <w:vAlign w:val="center"/>
          </w:tcPr>
          <w:p>
            <w:pPr>
              <w:pStyle w:val="98"/>
              <w:ind w:left="0" w:leftChars="0" w:firstLine="0" w:firstLineChars="0"/>
              <w:jc w:val="center"/>
              <w:rPr>
                <w:sz w:val="21"/>
                <w:szCs w:val="21"/>
              </w:rPr>
            </w:pPr>
            <w:r>
              <w:rPr>
                <w:rFonts w:hint="eastAsia"/>
                <w:sz w:val="21"/>
                <w:szCs w:val="21"/>
              </w:rPr>
              <w:t>农民工工资保障金承诺</w:t>
            </w:r>
          </w:p>
        </w:tc>
        <w:tc>
          <w:tcPr>
            <w:tcW w:w="4575" w:type="dxa"/>
            <w:vAlign w:val="center"/>
          </w:tcPr>
          <w:p>
            <w:pPr>
              <w:pStyle w:val="98"/>
              <w:keepNext w:val="0"/>
              <w:keepLines w:val="0"/>
              <w:suppressLineNumbers w:val="0"/>
              <w:spacing w:before="60" w:beforeAutospacing="0" w:after="0" w:afterAutospacing="0" w:line="440" w:lineRule="atLeast"/>
              <w:ind w:left="0" w:leftChars="0" w:right="38" w:rightChars="0" w:firstLine="462" w:firstLineChars="220"/>
              <w:jc w:val="both"/>
              <w:rPr>
                <w:sz w:val="21"/>
                <w:szCs w:val="21"/>
              </w:rPr>
            </w:pPr>
            <w:r>
              <w:rPr>
                <w:rFonts w:hint="eastAsia" w:ascii="仿宋" w:hAnsi="仿宋" w:eastAsia="仿宋" w:cs="仿宋"/>
                <w:sz w:val="21"/>
                <w:szCs w:val="21"/>
              </w:rPr>
              <w:t>1、以前所承建工程工资支付情况，是否存在拖欠或克扣。</w:t>
            </w:r>
          </w:p>
        </w:tc>
        <w:tc>
          <w:tcPr>
            <w:tcW w:w="1419" w:type="dxa"/>
            <w:vAlign w:val="center"/>
          </w:tcPr>
          <w:p>
            <w:pPr>
              <w:pStyle w:val="98"/>
              <w:ind w:firstLine="484"/>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6" w:hRule="atLeast"/>
        </w:trPr>
        <w:tc>
          <w:tcPr>
            <w:tcW w:w="1181" w:type="dxa"/>
            <w:vMerge w:val="continue"/>
            <w:tcBorders>
              <w:top w:val="nil"/>
            </w:tcBorders>
          </w:tcPr>
          <w:p>
            <w:pPr>
              <w:rPr>
                <w:sz w:val="21"/>
                <w:szCs w:val="21"/>
              </w:rPr>
            </w:pPr>
          </w:p>
        </w:tc>
        <w:tc>
          <w:tcPr>
            <w:tcW w:w="2544" w:type="dxa"/>
            <w:vMerge w:val="continue"/>
            <w:tcBorders>
              <w:top w:val="nil"/>
            </w:tcBorders>
          </w:tcPr>
          <w:p>
            <w:pPr>
              <w:rPr>
                <w:sz w:val="21"/>
                <w:szCs w:val="21"/>
              </w:rPr>
            </w:pPr>
          </w:p>
        </w:tc>
        <w:tc>
          <w:tcPr>
            <w:tcW w:w="4575" w:type="dxa"/>
            <w:vAlign w:val="center"/>
          </w:tcPr>
          <w:p>
            <w:pPr>
              <w:pStyle w:val="98"/>
              <w:keepNext w:val="0"/>
              <w:keepLines w:val="0"/>
              <w:suppressLineNumbers w:val="0"/>
              <w:spacing w:before="0" w:beforeAutospacing="0" w:after="0" w:afterAutospacing="0"/>
              <w:ind w:left="0" w:leftChars="0" w:right="0" w:rightChars="0" w:firstLine="462" w:firstLineChars="220"/>
              <w:jc w:val="both"/>
              <w:rPr>
                <w:sz w:val="21"/>
                <w:szCs w:val="21"/>
              </w:rPr>
            </w:pPr>
            <w:r>
              <w:rPr>
                <w:rFonts w:hint="eastAsia" w:ascii="仿宋" w:hAnsi="仿宋" w:eastAsia="仿宋" w:cs="仿宋"/>
                <w:sz w:val="21"/>
                <w:szCs w:val="21"/>
              </w:rPr>
              <w:t>2、中标后能否足额存入农民工工资保障金</w:t>
            </w:r>
          </w:p>
        </w:tc>
        <w:tc>
          <w:tcPr>
            <w:tcW w:w="1419" w:type="dxa"/>
            <w:vAlign w:val="center"/>
          </w:tcPr>
          <w:p>
            <w:pPr>
              <w:pStyle w:val="98"/>
              <w:ind w:firstLine="484"/>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 w:hRule="atLeast"/>
        </w:trPr>
        <w:tc>
          <w:tcPr>
            <w:tcW w:w="1181" w:type="dxa"/>
            <w:vMerge w:val="continue"/>
            <w:tcBorders>
              <w:top w:val="nil"/>
            </w:tcBorders>
          </w:tcPr>
          <w:p>
            <w:pPr>
              <w:rPr>
                <w:sz w:val="21"/>
                <w:szCs w:val="21"/>
              </w:rPr>
            </w:pPr>
          </w:p>
        </w:tc>
        <w:tc>
          <w:tcPr>
            <w:tcW w:w="2544" w:type="dxa"/>
            <w:vMerge w:val="continue"/>
            <w:tcBorders>
              <w:top w:val="nil"/>
            </w:tcBorders>
          </w:tcPr>
          <w:p>
            <w:pPr>
              <w:rPr>
                <w:sz w:val="21"/>
                <w:szCs w:val="21"/>
              </w:rPr>
            </w:pPr>
          </w:p>
        </w:tc>
        <w:tc>
          <w:tcPr>
            <w:tcW w:w="4575" w:type="dxa"/>
            <w:vAlign w:val="center"/>
          </w:tcPr>
          <w:p>
            <w:pPr>
              <w:pStyle w:val="98"/>
              <w:keepNext w:val="0"/>
              <w:keepLines w:val="0"/>
              <w:suppressLineNumbers w:val="0"/>
              <w:spacing w:before="22" w:beforeAutospacing="0" w:after="0" w:afterAutospacing="0" w:line="440" w:lineRule="exact"/>
              <w:ind w:left="0" w:leftChars="0" w:right="82" w:rightChars="0" w:firstLine="479" w:firstLineChars="220"/>
              <w:jc w:val="both"/>
              <w:rPr>
                <w:sz w:val="21"/>
                <w:szCs w:val="21"/>
              </w:rPr>
            </w:pPr>
            <w:r>
              <w:rPr>
                <w:rFonts w:hint="eastAsia" w:ascii="仿宋" w:hAnsi="仿宋" w:eastAsia="仿宋" w:cs="仿宋"/>
                <w:spacing w:val="4"/>
                <w:sz w:val="21"/>
                <w:szCs w:val="21"/>
              </w:rPr>
              <w:t>3</w:t>
            </w:r>
            <w:r>
              <w:rPr>
                <w:rFonts w:hint="eastAsia" w:ascii="仿宋" w:hAnsi="仿宋" w:eastAsia="仿宋" w:cs="仿宋"/>
                <w:spacing w:val="7"/>
                <w:sz w:val="21"/>
                <w:szCs w:val="21"/>
              </w:rPr>
              <w:t>、其承包的工程项目一旦出现拖欠职工工</w:t>
            </w:r>
            <w:r>
              <w:rPr>
                <w:rFonts w:hint="eastAsia" w:ascii="仿宋" w:hAnsi="仿宋" w:eastAsia="仿宋" w:cs="仿宋"/>
                <w:spacing w:val="-7"/>
                <w:sz w:val="21"/>
                <w:szCs w:val="21"/>
              </w:rPr>
              <w:t>资，是否可由建设行政主管部门从工资保障</w:t>
            </w:r>
            <w:r>
              <w:rPr>
                <w:rFonts w:hint="eastAsia" w:ascii="仿宋" w:hAnsi="仿宋" w:eastAsia="仿宋" w:cs="仿宋"/>
                <w:spacing w:val="-5"/>
                <w:sz w:val="21"/>
                <w:szCs w:val="21"/>
              </w:rPr>
              <w:t>金中先予划支。</w:t>
            </w:r>
          </w:p>
        </w:tc>
        <w:tc>
          <w:tcPr>
            <w:tcW w:w="1419" w:type="dxa"/>
            <w:vAlign w:val="center"/>
          </w:tcPr>
          <w:p>
            <w:pPr>
              <w:pStyle w:val="98"/>
              <w:ind w:firstLine="484"/>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 w:hRule="atLeast"/>
        </w:trPr>
        <w:tc>
          <w:tcPr>
            <w:tcW w:w="1181" w:type="dxa"/>
            <w:vMerge w:val="continue"/>
            <w:tcBorders>
              <w:top w:val="nil"/>
            </w:tcBorders>
          </w:tcPr>
          <w:p>
            <w:pPr>
              <w:rPr>
                <w:sz w:val="21"/>
                <w:szCs w:val="21"/>
              </w:rPr>
            </w:pPr>
          </w:p>
        </w:tc>
        <w:tc>
          <w:tcPr>
            <w:tcW w:w="2544" w:type="dxa"/>
            <w:vMerge w:val="continue"/>
            <w:tcBorders>
              <w:top w:val="nil"/>
            </w:tcBorders>
          </w:tcPr>
          <w:p>
            <w:pPr>
              <w:rPr>
                <w:sz w:val="21"/>
                <w:szCs w:val="21"/>
              </w:rPr>
            </w:pPr>
          </w:p>
        </w:tc>
        <w:tc>
          <w:tcPr>
            <w:tcW w:w="5994" w:type="dxa"/>
            <w:gridSpan w:val="2"/>
            <w:vAlign w:val="center"/>
          </w:tcPr>
          <w:p>
            <w:pPr>
              <w:pStyle w:val="98"/>
              <w:ind w:firstLine="484"/>
              <w:rPr>
                <w:sz w:val="21"/>
                <w:szCs w:val="21"/>
              </w:rPr>
            </w:pPr>
            <w:r>
              <w:rPr>
                <w:rFonts w:hint="eastAsia"/>
                <w:sz w:val="21"/>
                <w:szCs w:val="21"/>
              </w:rPr>
              <w:t>投标人提交的投标文件不具备以上三项承诺的，在</w:t>
            </w:r>
            <w:r>
              <w:rPr>
                <w:rFonts w:hint="eastAsia"/>
                <w:spacing w:val="-13"/>
                <w:sz w:val="21"/>
                <w:szCs w:val="21"/>
              </w:rPr>
              <w:t>评标时对其实行“一票否决”。</w:t>
            </w:r>
          </w:p>
        </w:tc>
      </w:tr>
    </w:tbl>
    <w:p/>
    <w:p>
      <w:pPr>
        <w:spacing w:line="440" w:lineRule="exact"/>
        <w:ind w:firstLine="4515" w:firstLineChars="2150"/>
        <w:rPr>
          <w:rFonts w:hint="eastAsia" w:ascii="仿宋" w:hAnsi="仿宋" w:eastAsia="仿宋" w:cs="仿宋"/>
          <w:szCs w:val="21"/>
        </w:rPr>
      </w:pPr>
      <w:r>
        <w:rPr>
          <w:rFonts w:hint="eastAsia" w:ascii="仿宋" w:hAnsi="仿宋" w:eastAsia="仿宋" w:cs="仿宋"/>
          <w:szCs w:val="21"/>
        </w:rPr>
        <w:t>投 标 人：</w:t>
      </w:r>
      <w:r>
        <w:rPr>
          <w:rFonts w:hint="eastAsia" w:ascii="仿宋" w:hAnsi="仿宋" w:eastAsia="仿宋" w:cs="仿宋"/>
          <w:szCs w:val="21"/>
          <w:u w:val="single"/>
        </w:rPr>
        <w:t xml:space="preserve">                      </w:t>
      </w:r>
      <w:r>
        <w:rPr>
          <w:rFonts w:hint="eastAsia" w:ascii="仿宋" w:hAnsi="仿宋" w:eastAsia="仿宋" w:cs="仿宋"/>
          <w:szCs w:val="21"/>
        </w:rPr>
        <w:t>（盖单位章）</w:t>
      </w:r>
    </w:p>
    <w:p>
      <w:pPr>
        <w:spacing w:line="440" w:lineRule="exact"/>
        <w:ind w:firstLine="4410" w:firstLineChars="2100"/>
        <w:rPr>
          <w:rFonts w:hint="eastAsia" w:ascii="仿宋" w:hAnsi="仿宋" w:eastAsia="仿宋" w:cs="仿宋"/>
          <w:sz w:val="20"/>
          <w:szCs w:val="20"/>
        </w:rPr>
      </w:pPr>
      <w:r>
        <w:rPr>
          <w:rFonts w:hint="eastAsia" w:ascii="仿宋" w:hAnsi="仿宋" w:eastAsia="仿宋" w:cs="仿宋"/>
          <w:szCs w:val="21"/>
        </w:rPr>
        <w:t>法定代表人或其委托代理人：</w:t>
      </w:r>
      <w:r>
        <w:rPr>
          <w:rFonts w:hint="eastAsia" w:ascii="仿宋" w:hAnsi="仿宋" w:eastAsia="仿宋" w:cs="仿宋"/>
          <w:szCs w:val="21"/>
          <w:u w:val="single"/>
        </w:rPr>
        <w:t xml:space="preserve">        </w:t>
      </w:r>
      <w:r>
        <w:rPr>
          <w:rFonts w:hint="eastAsia" w:ascii="仿宋" w:hAnsi="仿宋" w:eastAsia="仿宋" w:cs="仿宋"/>
          <w:szCs w:val="21"/>
        </w:rPr>
        <w:t>（签字或盖电子章）</w:t>
      </w:r>
    </w:p>
    <w:p>
      <w:pPr>
        <w:spacing w:line="440" w:lineRule="exact"/>
        <w:jc w:val="center"/>
        <w:rPr>
          <w:rFonts w:hint="eastAsia" w:ascii="仿宋" w:hAnsi="仿宋" w:eastAsia="仿宋" w:cs="仿宋"/>
          <w:sz w:val="20"/>
          <w:szCs w:val="20"/>
        </w:rPr>
      </w:pP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
    <w:p/>
    <w:p/>
    <w:p/>
    <w:p>
      <w:pPr>
        <w:pStyle w:val="93"/>
        <w:ind w:left="0" w:leftChars="0" w:firstLine="0" w:firstLineChars="0"/>
        <w:jc w:val="center"/>
        <w:rPr>
          <w:rFonts w:hint="eastAsia" w:ascii="仿宋" w:hAnsi="仿宋" w:eastAsia="仿宋" w:cs="仿宋"/>
          <w:b/>
          <w:bCs/>
        </w:rPr>
      </w:pPr>
      <w:bookmarkStart w:id="609" w:name="_Toc152042580"/>
      <w:bookmarkStart w:id="610" w:name="_Toc152045791"/>
      <w:bookmarkStart w:id="611" w:name="_Toc144974860"/>
      <w:bookmarkStart w:id="612" w:name="_Toc8423604"/>
      <w:bookmarkStart w:id="613" w:name="_Toc24033"/>
      <w:r>
        <w:rPr>
          <w:rFonts w:hint="eastAsia" w:ascii="仿宋" w:hAnsi="仿宋" w:eastAsia="仿宋" w:cs="仿宋"/>
          <w:b/>
          <w:bCs/>
        </w:rPr>
        <w:t>二、法定代表人身份证明</w:t>
      </w:r>
      <w:bookmarkEnd w:id="609"/>
      <w:bookmarkEnd w:id="610"/>
      <w:bookmarkEnd w:id="611"/>
      <w:bookmarkEnd w:id="612"/>
      <w:r>
        <w:rPr>
          <w:rFonts w:hint="eastAsia" w:ascii="仿宋" w:hAnsi="仿宋" w:eastAsia="仿宋" w:cs="仿宋"/>
          <w:b/>
          <w:bCs/>
        </w:rPr>
        <w:t>及授权委托书</w:t>
      </w:r>
      <w:bookmarkEnd w:id="613"/>
    </w:p>
    <w:p>
      <w:pPr>
        <w:pStyle w:val="93"/>
        <w:ind w:left="0" w:leftChars="0" w:firstLine="0" w:firstLineChars="0"/>
        <w:jc w:val="center"/>
        <w:rPr>
          <w:rFonts w:hint="eastAsia" w:ascii="仿宋" w:hAnsi="仿宋" w:eastAsia="仿宋" w:cs="仿宋"/>
          <w:b/>
          <w:bCs/>
          <w:sz w:val="24"/>
          <w:szCs w:val="18"/>
        </w:rPr>
      </w:pPr>
      <w:bookmarkStart w:id="614" w:name="_Toc7513"/>
      <w:r>
        <w:rPr>
          <w:rFonts w:hint="eastAsia" w:ascii="仿宋" w:hAnsi="仿宋" w:eastAsia="仿宋" w:cs="仿宋"/>
          <w:b/>
          <w:bCs/>
          <w:sz w:val="24"/>
          <w:szCs w:val="18"/>
        </w:rPr>
        <w:t>（一）法定代表人身份证明</w:t>
      </w:r>
      <w:bookmarkEnd w:id="614"/>
    </w:p>
    <w:p>
      <w:pPr>
        <w:spacing w:line="440" w:lineRule="exact"/>
        <w:rPr>
          <w:rFonts w:hint="eastAsia" w:ascii="仿宋" w:hAnsi="仿宋" w:eastAsia="仿宋" w:cs="仿宋"/>
          <w:sz w:val="20"/>
          <w:szCs w:val="20"/>
        </w:rPr>
      </w:pPr>
    </w:p>
    <w:p>
      <w:pPr>
        <w:spacing w:line="440" w:lineRule="exact"/>
        <w:rPr>
          <w:rFonts w:hint="eastAsia" w:ascii="仿宋" w:hAnsi="仿宋" w:eastAsia="仿宋" w:cs="仿宋"/>
          <w:szCs w:val="21"/>
        </w:rPr>
      </w:pPr>
      <w:r>
        <w:rPr>
          <w:rFonts w:hint="eastAsia" w:ascii="仿宋" w:hAnsi="仿宋" w:eastAsia="仿宋" w:cs="仿宋"/>
          <w:szCs w:val="21"/>
        </w:rPr>
        <w:t>投标人名称：</w:t>
      </w:r>
      <w:r>
        <w:rPr>
          <w:rFonts w:hint="eastAsia" w:ascii="仿宋" w:hAnsi="仿宋" w:eastAsia="仿宋" w:cs="仿宋"/>
          <w:szCs w:val="21"/>
          <w:u w:val="single"/>
        </w:rPr>
        <w:t xml:space="preserve">                            </w:t>
      </w:r>
      <w:r>
        <w:rPr>
          <w:rFonts w:hint="eastAsia" w:ascii="仿宋" w:hAnsi="仿宋" w:eastAsia="仿宋" w:cs="仿宋"/>
          <w:szCs w:val="21"/>
        </w:rPr>
        <w:t xml:space="preserve"> </w:t>
      </w:r>
    </w:p>
    <w:p>
      <w:pPr>
        <w:spacing w:line="440" w:lineRule="exact"/>
        <w:rPr>
          <w:rFonts w:hint="eastAsia" w:ascii="仿宋" w:hAnsi="仿宋" w:eastAsia="仿宋" w:cs="仿宋"/>
          <w:szCs w:val="21"/>
        </w:rPr>
      </w:pPr>
      <w:r>
        <w:rPr>
          <w:rFonts w:hint="eastAsia" w:ascii="仿宋" w:hAnsi="仿宋" w:eastAsia="仿宋" w:cs="仿宋"/>
          <w:szCs w:val="21"/>
        </w:rPr>
        <w:t>单位性质：</w:t>
      </w:r>
      <w:r>
        <w:rPr>
          <w:rFonts w:hint="eastAsia" w:ascii="仿宋" w:hAnsi="仿宋" w:eastAsia="仿宋" w:cs="仿宋"/>
          <w:szCs w:val="21"/>
          <w:u w:val="single"/>
        </w:rPr>
        <w:t xml:space="preserve">                               </w:t>
      </w:r>
      <w:r>
        <w:rPr>
          <w:rFonts w:hint="eastAsia" w:ascii="仿宋" w:hAnsi="仿宋" w:eastAsia="仿宋" w:cs="仿宋"/>
          <w:szCs w:val="21"/>
        </w:rPr>
        <w:t xml:space="preserve"> </w:t>
      </w:r>
    </w:p>
    <w:p>
      <w:pPr>
        <w:spacing w:line="440" w:lineRule="exact"/>
        <w:rPr>
          <w:rFonts w:hint="eastAsia" w:ascii="仿宋" w:hAnsi="仿宋" w:eastAsia="仿宋" w:cs="仿宋"/>
          <w:szCs w:val="21"/>
        </w:rPr>
      </w:pPr>
      <w:r>
        <w:rPr>
          <w:rFonts w:hint="eastAsia" w:ascii="仿宋" w:hAnsi="仿宋" w:eastAsia="仿宋" w:cs="仿宋"/>
          <w:szCs w:val="21"/>
        </w:rPr>
        <w:t>地址：</w:t>
      </w:r>
      <w:r>
        <w:rPr>
          <w:rFonts w:hint="eastAsia" w:ascii="仿宋" w:hAnsi="仿宋" w:eastAsia="仿宋" w:cs="仿宋"/>
          <w:szCs w:val="21"/>
          <w:u w:val="single"/>
        </w:rPr>
        <w:t xml:space="preserve">                                   </w:t>
      </w:r>
    </w:p>
    <w:p>
      <w:pPr>
        <w:spacing w:line="440" w:lineRule="exact"/>
        <w:rPr>
          <w:rFonts w:hint="eastAsia" w:ascii="仿宋" w:hAnsi="仿宋" w:eastAsia="仿宋" w:cs="仿宋"/>
          <w:szCs w:val="21"/>
        </w:rPr>
      </w:pPr>
      <w:r>
        <w:rPr>
          <w:rFonts w:hint="eastAsia" w:ascii="仿宋" w:hAnsi="仿宋" w:eastAsia="仿宋" w:cs="仿宋"/>
          <w:szCs w:val="21"/>
        </w:rPr>
        <w:t>成立时间：</w:t>
      </w:r>
      <w:r>
        <w:rPr>
          <w:rFonts w:hint="eastAsia" w:ascii="仿宋" w:hAnsi="仿宋" w:eastAsia="仿宋" w:cs="仿宋"/>
          <w:szCs w:val="21"/>
          <w:u w:val="single"/>
        </w:rPr>
        <w:t xml:space="preserve">         </w:t>
      </w:r>
      <w:r>
        <w:rPr>
          <w:rFonts w:hint="eastAsia" w:ascii="仿宋" w:hAnsi="仿宋" w:eastAsia="仿宋" w:cs="仿宋"/>
          <w:szCs w:val="21"/>
        </w:rPr>
        <w:t xml:space="preserve"> 年</w:t>
      </w:r>
      <w:r>
        <w:rPr>
          <w:rFonts w:hint="eastAsia" w:ascii="仿宋" w:hAnsi="仿宋" w:eastAsia="仿宋" w:cs="仿宋"/>
          <w:szCs w:val="21"/>
          <w:u w:val="single"/>
        </w:rPr>
        <w:t xml:space="preserve">       </w:t>
      </w:r>
      <w:r>
        <w:rPr>
          <w:rFonts w:hint="eastAsia" w:ascii="仿宋" w:hAnsi="仿宋" w:eastAsia="仿宋" w:cs="仿宋"/>
          <w:szCs w:val="21"/>
        </w:rPr>
        <w:t xml:space="preserve"> 月</w:t>
      </w:r>
      <w:r>
        <w:rPr>
          <w:rFonts w:hint="eastAsia" w:ascii="仿宋" w:hAnsi="仿宋" w:eastAsia="仿宋" w:cs="仿宋"/>
          <w:szCs w:val="21"/>
          <w:u w:val="single"/>
        </w:rPr>
        <w:t xml:space="preserve">       </w:t>
      </w:r>
      <w:r>
        <w:rPr>
          <w:rFonts w:hint="eastAsia" w:ascii="仿宋" w:hAnsi="仿宋" w:eastAsia="仿宋" w:cs="仿宋"/>
          <w:szCs w:val="21"/>
        </w:rPr>
        <w:t xml:space="preserve"> 日</w:t>
      </w:r>
    </w:p>
    <w:p>
      <w:pPr>
        <w:spacing w:line="440" w:lineRule="exact"/>
        <w:rPr>
          <w:rFonts w:hint="eastAsia" w:ascii="仿宋" w:hAnsi="仿宋" w:eastAsia="仿宋" w:cs="仿宋"/>
          <w:szCs w:val="21"/>
        </w:rPr>
      </w:pPr>
      <w:r>
        <w:rPr>
          <w:rFonts w:hint="eastAsia" w:ascii="仿宋" w:hAnsi="仿宋" w:eastAsia="仿宋" w:cs="仿宋"/>
          <w:szCs w:val="21"/>
        </w:rPr>
        <w:t>经营期限：</w:t>
      </w:r>
      <w:r>
        <w:rPr>
          <w:rFonts w:hint="eastAsia" w:ascii="仿宋" w:hAnsi="仿宋" w:eastAsia="仿宋" w:cs="仿宋"/>
          <w:szCs w:val="21"/>
          <w:u w:val="single"/>
        </w:rPr>
        <w:t xml:space="preserve">                               </w:t>
      </w:r>
    </w:p>
    <w:p>
      <w:pPr>
        <w:spacing w:line="440" w:lineRule="exact"/>
        <w:rPr>
          <w:rFonts w:hint="eastAsia" w:ascii="仿宋" w:hAnsi="仿宋" w:eastAsia="仿宋" w:cs="仿宋"/>
          <w:szCs w:val="21"/>
        </w:rPr>
      </w:pPr>
      <w:r>
        <w:rPr>
          <w:rFonts w:hint="eastAsia" w:ascii="仿宋" w:hAnsi="仿宋" w:eastAsia="仿宋" w:cs="仿宋"/>
          <w:szCs w:val="21"/>
        </w:rPr>
        <w:t>姓名：</w:t>
      </w:r>
      <w:r>
        <w:rPr>
          <w:rFonts w:hint="eastAsia" w:ascii="仿宋" w:hAnsi="仿宋" w:eastAsia="仿宋" w:cs="仿宋"/>
          <w:szCs w:val="21"/>
          <w:u w:val="single"/>
        </w:rPr>
        <w:t xml:space="preserve">        </w:t>
      </w:r>
      <w:r>
        <w:rPr>
          <w:rFonts w:hint="eastAsia" w:ascii="仿宋" w:hAnsi="仿宋" w:eastAsia="仿宋" w:cs="仿宋"/>
          <w:szCs w:val="21"/>
        </w:rPr>
        <w:t xml:space="preserve"> 性别：</w:t>
      </w:r>
      <w:r>
        <w:rPr>
          <w:rFonts w:hint="eastAsia" w:ascii="仿宋" w:hAnsi="仿宋" w:eastAsia="仿宋" w:cs="仿宋"/>
          <w:szCs w:val="21"/>
          <w:u w:val="single"/>
        </w:rPr>
        <w:t xml:space="preserve">         </w:t>
      </w:r>
      <w:r>
        <w:rPr>
          <w:rFonts w:hint="eastAsia" w:ascii="仿宋" w:hAnsi="仿宋" w:eastAsia="仿宋" w:cs="仿宋"/>
          <w:szCs w:val="21"/>
        </w:rPr>
        <w:t xml:space="preserve"> 年龄：</w:t>
      </w:r>
      <w:r>
        <w:rPr>
          <w:rFonts w:hint="eastAsia" w:ascii="仿宋" w:hAnsi="仿宋" w:eastAsia="仿宋" w:cs="仿宋"/>
          <w:szCs w:val="21"/>
          <w:u w:val="single"/>
        </w:rPr>
        <w:t xml:space="preserve">        </w:t>
      </w:r>
      <w:r>
        <w:rPr>
          <w:rFonts w:hint="eastAsia" w:ascii="仿宋" w:hAnsi="仿宋" w:eastAsia="仿宋" w:cs="仿宋"/>
          <w:szCs w:val="21"/>
        </w:rPr>
        <w:t>职务：</w:t>
      </w:r>
      <w:r>
        <w:rPr>
          <w:rFonts w:hint="eastAsia" w:ascii="仿宋" w:hAnsi="仿宋" w:eastAsia="仿宋" w:cs="仿宋"/>
          <w:szCs w:val="21"/>
          <w:u w:val="single"/>
        </w:rPr>
        <w:t xml:space="preserve">        </w:t>
      </w:r>
    </w:p>
    <w:p>
      <w:pPr>
        <w:spacing w:line="440" w:lineRule="exact"/>
        <w:rPr>
          <w:rFonts w:hint="eastAsia" w:ascii="仿宋" w:hAnsi="仿宋" w:eastAsia="仿宋" w:cs="仿宋"/>
          <w:szCs w:val="21"/>
        </w:rPr>
      </w:pPr>
      <w:r>
        <w:rPr>
          <w:rFonts w:hint="eastAsia" w:ascii="仿宋" w:hAnsi="仿宋" w:eastAsia="仿宋" w:cs="仿宋"/>
          <w:szCs w:val="21"/>
        </w:rPr>
        <w:t>系</w:t>
      </w:r>
      <w:r>
        <w:rPr>
          <w:rFonts w:hint="eastAsia" w:ascii="仿宋" w:hAnsi="仿宋" w:eastAsia="仿宋" w:cs="仿宋"/>
          <w:szCs w:val="21"/>
          <w:u w:val="single"/>
        </w:rPr>
        <w:t xml:space="preserve">                             </w:t>
      </w:r>
      <w:r>
        <w:rPr>
          <w:rFonts w:hint="eastAsia" w:ascii="仿宋" w:hAnsi="仿宋" w:eastAsia="仿宋" w:cs="仿宋"/>
          <w:szCs w:val="21"/>
        </w:rPr>
        <w:t xml:space="preserve"> （投标人名称）的法定代表人。</w:t>
      </w:r>
    </w:p>
    <w:p>
      <w:pPr>
        <w:spacing w:line="440" w:lineRule="exact"/>
        <w:ind w:firstLine="420" w:firstLineChars="200"/>
        <w:rPr>
          <w:rFonts w:hint="eastAsia" w:ascii="仿宋" w:hAnsi="仿宋" w:eastAsia="仿宋" w:cs="仿宋"/>
          <w:szCs w:val="21"/>
        </w:rPr>
      </w:pPr>
      <w:r>
        <w:rPr>
          <w:rFonts w:hint="eastAsia" w:ascii="仿宋" w:hAnsi="仿宋" w:eastAsia="仿宋" w:cs="仿宋"/>
          <w:szCs w:val="21"/>
        </w:rPr>
        <w:t>特此证明。</w:t>
      </w: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r>
        <w:rPr>
          <w:rFonts w:hint="eastAsia" w:ascii="仿宋" w:hAnsi="仿宋" w:eastAsia="仿宋" w:cs="仿宋"/>
          <w:szCs w:val="21"/>
        </w:rPr>
        <w:t xml:space="preserve">                          投标人：</w:t>
      </w:r>
      <w:r>
        <w:rPr>
          <w:rFonts w:hint="eastAsia" w:ascii="仿宋" w:hAnsi="仿宋" w:eastAsia="仿宋" w:cs="仿宋"/>
          <w:szCs w:val="21"/>
          <w:u w:val="single"/>
        </w:rPr>
        <w:t xml:space="preserve">                 </w:t>
      </w:r>
      <w:r>
        <w:rPr>
          <w:rFonts w:hint="eastAsia" w:ascii="仿宋" w:hAnsi="仿宋" w:eastAsia="仿宋" w:cs="仿宋"/>
          <w:szCs w:val="21"/>
        </w:rPr>
        <w:t>（盖单位章）</w:t>
      </w:r>
    </w:p>
    <w:p>
      <w:pPr>
        <w:spacing w:line="44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 xml:space="preserve">日           </w:t>
      </w:r>
    </w:p>
    <w:p>
      <w:pPr>
        <w:spacing w:line="440" w:lineRule="exact"/>
        <w:rPr>
          <w:rFonts w:hint="eastAsia" w:ascii="仿宋" w:hAnsi="仿宋" w:eastAsia="仿宋" w:cs="仿宋"/>
          <w:sz w:val="20"/>
          <w:szCs w:val="20"/>
        </w:rPr>
      </w:pPr>
    </w:p>
    <w:p>
      <w:pPr>
        <w:spacing w:line="440" w:lineRule="exact"/>
        <w:rPr>
          <w:rFonts w:hint="eastAsia" w:ascii="仿宋" w:hAnsi="仿宋" w:eastAsia="仿宋" w:cs="仿宋"/>
          <w:sz w:val="20"/>
          <w:szCs w:val="20"/>
        </w:rPr>
      </w:pPr>
    </w:p>
    <w:p/>
    <w:p/>
    <w:p/>
    <w:p/>
    <w:p/>
    <w:p/>
    <w:p/>
    <w:p/>
    <w:p/>
    <w:p/>
    <w:p/>
    <w:p/>
    <w:p/>
    <w:p/>
    <w:p>
      <w:pPr>
        <w:pStyle w:val="93"/>
        <w:ind w:left="0" w:leftChars="0" w:firstLine="0" w:firstLineChars="0"/>
        <w:jc w:val="center"/>
        <w:rPr>
          <w:rFonts w:hint="eastAsia" w:ascii="仿宋" w:hAnsi="仿宋" w:eastAsia="仿宋" w:cs="仿宋"/>
          <w:b/>
          <w:bCs/>
          <w:sz w:val="24"/>
          <w:szCs w:val="18"/>
        </w:rPr>
      </w:pPr>
      <w:bookmarkStart w:id="615" w:name="_Toc152045792"/>
      <w:bookmarkStart w:id="616" w:name="_Toc8423605"/>
      <w:bookmarkStart w:id="617" w:name="_Toc152042581"/>
      <w:bookmarkStart w:id="618" w:name="_Toc144974861"/>
      <w:bookmarkStart w:id="619" w:name="_Toc12538"/>
      <w:r>
        <w:rPr>
          <w:rFonts w:hint="eastAsia" w:ascii="仿宋" w:hAnsi="仿宋" w:eastAsia="仿宋" w:cs="仿宋"/>
          <w:b/>
          <w:bCs/>
          <w:sz w:val="24"/>
          <w:szCs w:val="18"/>
        </w:rPr>
        <w:t>（二）授权委托书</w:t>
      </w:r>
      <w:bookmarkEnd w:id="615"/>
      <w:bookmarkEnd w:id="616"/>
      <w:bookmarkEnd w:id="617"/>
      <w:bookmarkEnd w:id="618"/>
      <w:bookmarkEnd w:id="619"/>
    </w:p>
    <w:p>
      <w:pPr>
        <w:spacing w:line="440" w:lineRule="exact"/>
        <w:rPr>
          <w:rFonts w:hint="eastAsia" w:ascii="仿宋" w:hAnsi="仿宋" w:eastAsia="仿宋" w:cs="仿宋"/>
          <w:szCs w:val="21"/>
        </w:rPr>
      </w:pPr>
    </w:p>
    <w:p>
      <w:pPr>
        <w:topLinePunct/>
        <w:spacing w:line="440" w:lineRule="exact"/>
        <w:ind w:firstLine="420" w:firstLineChars="200"/>
        <w:rPr>
          <w:rFonts w:hint="eastAsia" w:ascii="仿宋" w:hAnsi="仿宋" w:eastAsia="仿宋" w:cs="仿宋"/>
          <w:szCs w:val="21"/>
        </w:rPr>
      </w:pPr>
      <w:r>
        <w:rPr>
          <w:rFonts w:hint="eastAsia" w:ascii="仿宋" w:hAnsi="仿宋" w:eastAsia="仿宋" w:cs="仿宋"/>
          <w:szCs w:val="21"/>
        </w:rPr>
        <w:t>本人</w:t>
      </w:r>
      <w:r>
        <w:rPr>
          <w:rFonts w:hint="eastAsia" w:ascii="仿宋" w:hAnsi="仿宋" w:eastAsia="仿宋" w:cs="仿宋"/>
          <w:szCs w:val="21"/>
          <w:u w:val="single"/>
        </w:rPr>
        <w:t xml:space="preserve">       </w:t>
      </w:r>
      <w:r>
        <w:rPr>
          <w:rFonts w:hint="eastAsia" w:ascii="仿宋" w:hAnsi="仿宋" w:eastAsia="仿宋" w:cs="仿宋"/>
          <w:szCs w:val="21"/>
        </w:rPr>
        <w:t>（姓名）系</w:t>
      </w:r>
      <w:r>
        <w:rPr>
          <w:rFonts w:hint="eastAsia" w:ascii="仿宋" w:hAnsi="仿宋" w:eastAsia="仿宋" w:cs="仿宋"/>
          <w:szCs w:val="21"/>
          <w:u w:val="single"/>
        </w:rPr>
        <w:t xml:space="preserve">        </w:t>
      </w:r>
      <w:r>
        <w:rPr>
          <w:rFonts w:hint="eastAsia" w:ascii="仿宋" w:hAnsi="仿宋" w:eastAsia="仿宋" w:cs="仿宋"/>
          <w:szCs w:val="21"/>
        </w:rPr>
        <w:t>（投标人名称）的法定代表人，现委托</w:t>
      </w:r>
      <w:r>
        <w:rPr>
          <w:rFonts w:hint="eastAsia" w:ascii="仿宋" w:hAnsi="仿宋" w:eastAsia="仿宋" w:cs="仿宋"/>
          <w:szCs w:val="21"/>
          <w:u w:val="single"/>
        </w:rPr>
        <w:t xml:space="preserve">        </w:t>
      </w:r>
      <w:r>
        <w:rPr>
          <w:rFonts w:hint="eastAsia" w:ascii="仿宋" w:hAnsi="仿宋" w:eastAsia="仿宋" w:cs="仿宋"/>
          <w:szCs w:val="21"/>
        </w:rPr>
        <w:t>（姓名）为我方代理人。代理人根据授权，以我方名义签署、澄清、说明、补正、递交、撤回、修改</w:t>
      </w:r>
      <w:r>
        <w:rPr>
          <w:rFonts w:hint="eastAsia" w:ascii="仿宋" w:hAnsi="仿宋" w:eastAsia="仿宋" w:cs="仿宋"/>
          <w:szCs w:val="21"/>
          <w:u w:val="single"/>
        </w:rPr>
        <w:t xml:space="preserve">              </w:t>
      </w:r>
      <w:r>
        <w:rPr>
          <w:rFonts w:hint="eastAsia" w:ascii="仿宋" w:hAnsi="仿宋" w:eastAsia="仿宋" w:cs="仿宋"/>
          <w:szCs w:val="21"/>
        </w:rPr>
        <w:t>（项目名称）施工投标文件、签订合同和处理有关事宜，其法律后果由我方承担。</w:t>
      </w:r>
    </w:p>
    <w:p>
      <w:pPr>
        <w:spacing w:line="440" w:lineRule="exact"/>
        <w:rPr>
          <w:rFonts w:hint="eastAsia" w:ascii="仿宋" w:hAnsi="仿宋" w:eastAsia="仿宋" w:cs="仿宋"/>
          <w:szCs w:val="21"/>
        </w:rPr>
      </w:pPr>
      <w:r>
        <w:rPr>
          <w:rFonts w:hint="eastAsia" w:ascii="仿宋" w:hAnsi="仿宋" w:eastAsia="仿宋" w:cs="仿宋"/>
          <w:szCs w:val="21"/>
        </w:rPr>
        <w:t xml:space="preserve">    委托期限：</w:t>
      </w:r>
      <w:r>
        <w:rPr>
          <w:rFonts w:hint="eastAsia" w:ascii="仿宋" w:hAnsi="仿宋" w:eastAsia="仿宋" w:cs="仿宋"/>
          <w:szCs w:val="21"/>
          <w:u w:val="single"/>
        </w:rPr>
        <w:t xml:space="preserve">             </w:t>
      </w:r>
      <w:r>
        <w:rPr>
          <w:rFonts w:hint="eastAsia" w:ascii="仿宋" w:hAnsi="仿宋" w:eastAsia="仿宋" w:cs="仿宋"/>
          <w:szCs w:val="21"/>
        </w:rPr>
        <w:t>。</w:t>
      </w:r>
    </w:p>
    <w:p>
      <w:pPr>
        <w:spacing w:line="440" w:lineRule="exact"/>
        <w:ind w:firstLine="420" w:firstLineChars="200"/>
        <w:rPr>
          <w:rFonts w:hint="eastAsia" w:ascii="仿宋" w:hAnsi="仿宋" w:eastAsia="仿宋" w:cs="仿宋"/>
          <w:szCs w:val="21"/>
        </w:rPr>
      </w:pPr>
      <w:r>
        <w:rPr>
          <w:rFonts w:hint="eastAsia" w:ascii="仿宋" w:hAnsi="仿宋" w:eastAsia="仿宋" w:cs="仿宋"/>
          <w:szCs w:val="21"/>
        </w:rPr>
        <w:t>代理人无转委托权。</w:t>
      </w:r>
    </w:p>
    <w:p>
      <w:pPr>
        <w:spacing w:line="440" w:lineRule="exact"/>
        <w:ind w:firstLine="420" w:firstLineChars="200"/>
        <w:rPr>
          <w:rFonts w:hint="eastAsia" w:ascii="仿宋" w:hAnsi="仿宋" w:eastAsia="仿宋" w:cs="仿宋"/>
          <w:szCs w:val="21"/>
        </w:rPr>
      </w:pPr>
      <w:r>
        <w:rPr>
          <w:rFonts w:hint="eastAsia" w:ascii="仿宋" w:hAnsi="仿宋" w:eastAsia="仿宋" w:cs="仿宋"/>
          <w:szCs w:val="21"/>
        </w:rPr>
        <w:t>附：法定代表人身份证原件扫描件、委托代理人身份证原件扫描件（扫描件需双面扫描）</w:t>
      </w: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r>
        <w:rPr>
          <w:rFonts w:hint="eastAsia" w:ascii="仿宋" w:hAnsi="仿宋" w:eastAsia="仿宋" w:cs="仿宋"/>
          <w:szCs w:val="21"/>
        </w:rPr>
        <w:t>投标人：</w:t>
      </w:r>
      <w:r>
        <w:rPr>
          <w:rFonts w:hint="eastAsia" w:ascii="仿宋" w:hAnsi="仿宋" w:eastAsia="仿宋" w:cs="仿宋"/>
          <w:szCs w:val="21"/>
          <w:u w:val="single"/>
        </w:rPr>
        <w:t xml:space="preserve">                               </w:t>
      </w:r>
      <w:r>
        <w:rPr>
          <w:rFonts w:hint="eastAsia" w:ascii="仿宋" w:hAnsi="仿宋" w:eastAsia="仿宋" w:cs="仿宋"/>
          <w:szCs w:val="21"/>
        </w:rPr>
        <w:t>（盖单位章）</w:t>
      </w: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r>
        <w:rPr>
          <w:rFonts w:hint="eastAsia" w:ascii="仿宋" w:hAnsi="仿宋" w:eastAsia="仿宋" w:cs="仿宋"/>
          <w:szCs w:val="21"/>
        </w:rPr>
        <w:t>法定代表人：</w:t>
      </w:r>
      <w:r>
        <w:rPr>
          <w:rFonts w:hint="eastAsia" w:ascii="仿宋" w:hAnsi="仿宋" w:eastAsia="仿宋" w:cs="仿宋"/>
          <w:szCs w:val="21"/>
          <w:u w:val="single"/>
        </w:rPr>
        <w:t xml:space="preserve">                               </w:t>
      </w:r>
      <w:r>
        <w:rPr>
          <w:rFonts w:hint="eastAsia" w:ascii="仿宋" w:hAnsi="仿宋" w:eastAsia="仿宋" w:cs="仿宋"/>
          <w:szCs w:val="21"/>
        </w:rPr>
        <w:t>（签字或盖电子章）</w:t>
      </w: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r>
        <w:rPr>
          <w:rFonts w:hint="eastAsia" w:ascii="仿宋" w:hAnsi="仿宋" w:eastAsia="仿宋" w:cs="仿宋"/>
          <w:szCs w:val="21"/>
        </w:rPr>
        <w:t>法人身份证号码：</w:t>
      </w:r>
      <w:r>
        <w:rPr>
          <w:rFonts w:hint="eastAsia" w:ascii="仿宋" w:hAnsi="仿宋" w:eastAsia="仿宋" w:cs="仿宋"/>
          <w:szCs w:val="21"/>
          <w:u w:val="single"/>
        </w:rPr>
        <w:t xml:space="preserve">                                     </w:t>
      </w: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r>
        <w:rPr>
          <w:rFonts w:hint="eastAsia" w:ascii="仿宋" w:hAnsi="仿宋" w:eastAsia="仿宋" w:cs="仿宋"/>
          <w:szCs w:val="21"/>
        </w:rPr>
        <w:t>委托代理人：</w:t>
      </w:r>
      <w:r>
        <w:rPr>
          <w:rFonts w:hint="eastAsia" w:ascii="仿宋" w:hAnsi="仿宋" w:eastAsia="仿宋" w:cs="仿宋"/>
          <w:szCs w:val="21"/>
          <w:u w:val="single"/>
        </w:rPr>
        <w:t xml:space="preserve">                                   </w:t>
      </w:r>
      <w:r>
        <w:rPr>
          <w:rFonts w:hint="eastAsia" w:ascii="仿宋" w:hAnsi="仿宋" w:eastAsia="仿宋" w:cs="仿宋"/>
          <w:szCs w:val="21"/>
        </w:rPr>
        <w:t>（签字或盖电子章）</w:t>
      </w: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r>
        <w:rPr>
          <w:rFonts w:hint="eastAsia" w:ascii="仿宋" w:hAnsi="仿宋" w:eastAsia="仿宋" w:cs="仿宋"/>
          <w:szCs w:val="21"/>
        </w:rPr>
        <w:t>委托人身份证号码：</w:t>
      </w:r>
      <w:r>
        <w:rPr>
          <w:rFonts w:hint="eastAsia" w:ascii="仿宋" w:hAnsi="仿宋" w:eastAsia="仿宋" w:cs="仿宋"/>
          <w:szCs w:val="21"/>
          <w:u w:val="single"/>
        </w:rPr>
        <w:t xml:space="preserve">                                      </w:t>
      </w:r>
    </w:p>
    <w:p>
      <w:pPr>
        <w:spacing w:line="440" w:lineRule="exact"/>
        <w:rPr>
          <w:rFonts w:hint="eastAsia" w:ascii="仿宋" w:hAnsi="仿宋" w:eastAsia="仿宋" w:cs="仿宋"/>
          <w:szCs w:val="21"/>
        </w:rPr>
      </w:pPr>
    </w:p>
    <w:p>
      <w:pPr>
        <w:spacing w:line="440" w:lineRule="exact"/>
        <w:rPr>
          <w:rFonts w:hint="eastAsia" w:ascii="仿宋" w:hAnsi="仿宋" w:eastAsia="仿宋" w:cs="仿宋"/>
          <w:szCs w:val="21"/>
        </w:rPr>
      </w:pPr>
    </w:p>
    <w:p>
      <w:pPr>
        <w:spacing w:line="440" w:lineRule="exact"/>
        <w:ind w:firstLine="2310" w:firstLineChars="1100"/>
        <w:rPr>
          <w:rFonts w:hint="eastAsia" w:ascii="仿宋" w:hAnsi="仿宋" w:eastAsia="仿宋" w:cs="仿宋"/>
          <w:szCs w:val="21"/>
        </w:rPr>
      </w:pP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spacing w:line="400" w:lineRule="exact"/>
        <w:rPr>
          <w:rFonts w:hint="eastAsia" w:ascii="仿宋" w:hAnsi="仿宋" w:eastAsia="仿宋" w:cs="仿宋"/>
          <w:sz w:val="20"/>
          <w:szCs w:val="20"/>
        </w:rPr>
      </w:pPr>
    </w:p>
    <w:p>
      <w:pPr>
        <w:spacing w:line="400" w:lineRule="exact"/>
        <w:rPr>
          <w:rFonts w:hint="eastAsia" w:ascii="仿宋" w:hAnsi="仿宋" w:eastAsia="仿宋" w:cs="仿宋"/>
          <w:sz w:val="20"/>
          <w:szCs w:val="20"/>
        </w:rPr>
      </w:pPr>
    </w:p>
    <w:p/>
    <w:p/>
    <w:p/>
    <w:p/>
    <w:p/>
    <w:p/>
    <w:p/>
    <w:p>
      <w:pPr>
        <w:pStyle w:val="93"/>
        <w:numPr>
          <w:ilvl w:val="0"/>
          <w:numId w:val="0"/>
        </w:numPr>
        <w:ind w:left="0" w:leftChars="0" w:firstLine="0" w:firstLineChars="0"/>
        <w:jc w:val="center"/>
        <w:rPr>
          <w:rFonts w:hint="eastAsia" w:ascii="仿宋" w:hAnsi="仿宋" w:eastAsia="仿宋" w:cs="仿宋"/>
          <w:b/>
          <w:bCs/>
          <w:kern w:val="2"/>
          <w:sz w:val="28"/>
          <w:szCs w:val="20"/>
          <w:lang w:val="en-US" w:eastAsia="zh-CN" w:bidi="ar-SA"/>
        </w:rPr>
      </w:pPr>
      <w:r>
        <w:rPr>
          <w:rFonts w:hint="eastAsia" w:ascii="仿宋" w:hAnsi="仿宋" w:eastAsia="仿宋" w:cs="仿宋"/>
          <w:b/>
          <w:bCs/>
          <w:kern w:val="2"/>
          <w:sz w:val="28"/>
          <w:szCs w:val="20"/>
          <w:lang w:val="en-US" w:eastAsia="zh-CN" w:bidi="ar-SA"/>
        </w:rPr>
        <w:t>三、投标保证金</w:t>
      </w:r>
    </w:p>
    <w:p>
      <w:pPr>
        <w:pStyle w:val="93"/>
        <w:numPr>
          <w:ilvl w:val="0"/>
          <w:numId w:val="0"/>
        </w:numPr>
        <w:ind w:leftChars="0"/>
        <w:jc w:val="center"/>
        <w:rPr>
          <w:rFonts w:hint="eastAsia" w:ascii="仿宋" w:hAnsi="仿宋" w:eastAsia="仿宋" w:cs="仿宋"/>
          <w:b/>
          <w:bCs/>
          <w:kern w:val="2"/>
          <w:sz w:val="28"/>
          <w:szCs w:val="20"/>
          <w:lang w:val="en-US" w:eastAsia="zh-CN" w:bidi="ar-SA"/>
        </w:rPr>
      </w:pPr>
    </w:p>
    <w:p>
      <w:pPr>
        <w:pStyle w:val="93"/>
        <w:numPr>
          <w:ilvl w:val="0"/>
          <w:numId w:val="0"/>
        </w:numPr>
        <w:ind w:left="0" w:leftChars="0" w:firstLine="0" w:firstLineChars="0"/>
        <w:jc w:val="center"/>
        <w:rPr>
          <w:rFonts w:hint="eastAsia" w:ascii="仿宋" w:hAnsi="仿宋" w:eastAsia="仿宋" w:cs="仿宋"/>
          <w:b/>
          <w:bCs/>
          <w:kern w:val="2"/>
          <w:sz w:val="28"/>
          <w:szCs w:val="20"/>
          <w:lang w:val="en-US" w:eastAsia="zh-CN" w:bidi="ar-SA"/>
        </w:rPr>
      </w:pPr>
      <w:r>
        <w:rPr>
          <w:rFonts w:hint="eastAsia" w:ascii="仿宋" w:hAnsi="仿宋" w:eastAsia="仿宋" w:cs="仿宋"/>
          <w:b/>
          <w:bCs/>
          <w:kern w:val="2"/>
          <w:sz w:val="28"/>
          <w:szCs w:val="20"/>
          <w:lang w:val="en-US" w:eastAsia="zh-CN" w:bidi="ar-SA"/>
        </w:rPr>
        <w:t>投标保证金企业信用承诺函</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kern w:val="2"/>
          <w:sz w:val="44"/>
          <w:szCs w:val="44"/>
          <w:lang w:val="en-US" w:eastAsia="zh-CN" w:bidi="ar-SA"/>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exact"/>
        <w:ind w:right="0"/>
        <w:jc w:val="left"/>
        <w:textAlignment w:val="auto"/>
        <w:rPr>
          <w:rFonts w:hint="eastAsia" w:ascii="仿宋" w:hAnsi="仿宋" w:eastAsia="仿宋" w:cs="仿宋"/>
          <w:i w:val="0"/>
          <w:iCs w:val="0"/>
          <w:caps w:val="0"/>
          <w:color w:val="auto"/>
          <w:spacing w:val="0"/>
          <w:kern w:val="0"/>
          <w:sz w:val="22"/>
          <w:szCs w:val="22"/>
          <w:u w:val="single"/>
          <w:shd w:val="clear" w:color="080000" w:fill="FFFFFF"/>
          <w:lang w:val="en-US" w:eastAsia="zh-CN" w:bidi="ar-SA"/>
        </w:rPr>
      </w:pPr>
      <w:r>
        <w:rPr>
          <w:rFonts w:hint="eastAsia" w:ascii="仿宋" w:hAnsi="仿宋" w:eastAsia="仿宋" w:cs="仿宋"/>
          <w:i w:val="0"/>
          <w:iCs w:val="0"/>
          <w:caps w:val="0"/>
          <w:color w:val="auto"/>
          <w:spacing w:val="0"/>
          <w:kern w:val="0"/>
          <w:sz w:val="22"/>
          <w:szCs w:val="22"/>
          <w:u w:val="single"/>
          <w:shd w:val="clear" w:color="080000" w:fill="FFFFFF"/>
          <w:lang w:val="en-US" w:eastAsia="zh-CN" w:bidi="ar-SA"/>
        </w:rPr>
        <w:t>（招标单位名称）：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firstLine="440" w:firstLineChars="200"/>
        <w:jc w:val="both"/>
        <w:textAlignment w:val="auto"/>
        <w:rPr>
          <w:rFonts w:hint="eastAsia" w:ascii="仿宋" w:hAnsi="仿宋" w:eastAsia="仿宋" w:cs="仿宋"/>
          <w:i w:val="0"/>
          <w:iCs w:val="0"/>
          <w:caps w:val="0"/>
          <w:color w:val="auto"/>
          <w:spacing w:val="0"/>
          <w:kern w:val="0"/>
          <w:sz w:val="22"/>
          <w:szCs w:val="22"/>
          <w:shd w:val="clear" w:color="080000" w:fill="FFFFFF"/>
          <w:lang w:val="en-US" w:eastAsia="zh-CN" w:bidi="ar-SA"/>
        </w:rPr>
      </w:pPr>
      <w:r>
        <w:rPr>
          <w:rFonts w:hint="eastAsia" w:ascii="仿宋" w:hAnsi="仿宋" w:eastAsia="仿宋" w:cs="仿宋"/>
          <w:i w:val="0"/>
          <w:iCs w:val="0"/>
          <w:caps w:val="0"/>
          <w:color w:val="auto"/>
          <w:spacing w:val="0"/>
          <w:kern w:val="0"/>
          <w:sz w:val="22"/>
          <w:szCs w:val="22"/>
          <w:shd w:val="clear" w:color="080000" w:fill="FFFFFF"/>
          <w:lang w:val="en-US" w:eastAsia="zh-CN" w:bidi="ar-SA"/>
        </w:rPr>
        <w:t>为维护公平、公正、公开的政府投资市场秩序，树立诚实守信的投标人形象，我单位自愿作出以下承诺：</w:t>
      </w:r>
    </w:p>
    <w:p>
      <w:pPr>
        <w:keepNext w:val="0"/>
        <w:keepLines w:val="0"/>
        <w:pageBreakBefore w:val="0"/>
        <w:widowControl w:val="0"/>
        <w:kinsoku/>
        <w:wordWrap/>
        <w:overflowPunct/>
        <w:topLinePunct w:val="0"/>
        <w:autoSpaceDE/>
        <w:autoSpaceDN/>
        <w:bidi w:val="0"/>
        <w:adjustRightInd/>
        <w:snapToGrid/>
        <w:spacing w:line="360" w:lineRule="exact"/>
        <w:ind w:firstLine="396" w:firstLineChars="200"/>
        <w:textAlignment w:val="auto"/>
        <w:rPr>
          <w:rFonts w:hint="eastAsia" w:ascii="仿宋" w:hAnsi="仿宋" w:eastAsia="仿宋" w:cs="仿宋"/>
          <w:color w:val="auto"/>
          <w:spacing w:val="-11"/>
          <w:sz w:val="22"/>
          <w:szCs w:val="22"/>
          <w:u w:val="single"/>
          <w:lang w:val="en-US" w:eastAsia="zh-CN"/>
        </w:rPr>
      </w:pPr>
      <w:r>
        <w:rPr>
          <w:rFonts w:hint="eastAsia" w:ascii="仿宋" w:hAnsi="仿宋" w:eastAsia="仿宋" w:cs="仿宋"/>
          <w:color w:val="auto"/>
          <w:spacing w:val="-11"/>
          <w:sz w:val="22"/>
          <w:szCs w:val="22"/>
        </w:rPr>
        <w:t>单</w:t>
      </w:r>
      <w:r>
        <w:rPr>
          <w:rFonts w:hint="eastAsia" w:ascii="仿宋" w:hAnsi="仿宋" w:eastAsia="仿宋" w:cs="仿宋"/>
          <w:i w:val="0"/>
          <w:iCs w:val="0"/>
          <w:caps w:val="0"/>
          <w:color w:val="auto"/>
          <w:spacing w:val="0"/>
          <w:kern w:val="0"/>
          <w:sz w:val="22"/>
          <w:szCs w:val="22"/>
          <w:u w:val="none"/>
          <w:shd w:val="clear" w:color="080000" w:fill="FFFFFF"/>
          <w:lang w:val="en-US" w:eastAsia="zh-CN" w:bidi="ar-SA"/>
        </w:rPr>
        <w:t xml:space="preserve">位名称： </w:t>
      </w:r>
      <w:r>
        <w:rPr>
          <w:rFonts w:hint="eastAsia" w:ascii="仿宋" w:hAnsi="仿宋" w:eastAsia="仿宋" w:cs="仿宋"/>
          <w:color w:val="auto"/>
          <w:spacing w:val="-11"/>
          <w:sz w:val="22"/>
          <w:szCs w:val="22"/>
          <w:u w:val="single"/>
          <w:lang w:val="en-US" w:eastAsia="zh-CN"/>
        </w:rPr>
        <w:t xml:space="preserve">                                      </w:t>
      </w:r>
      <w:r>
        <w:rPr>
          <w:rFonts w:hint="eastAsia" w:ascii="仿宋" w:hAnsi="仿宋" w:eastAsia="仿宋" w:cs="仿宋"/>
          <w:color w:val="auto"/>
          <w:spacing w:val="-11"/>
          <w:sz w:val="22"/>
          <w:szCs w:val="22"/>
          <w:u w:val="single"/>
          <w:lang w:val="en" w:eastAsia="zh-CN"/>
        </w:rPr>
        <w:t xml:space="preserve">  </w:t>
      </w:r>
      <w:r>
        <w:rPr>
          <w:rFonts w:hint="eastAsia" w:ascii="仿宋" w:hAnsi="仿宋" w:eastAsia="仿宋" w:cs="仿宋"/>
          <w:color w:val="auto"/>
          <w:spacing w:val="-11"/>
          <w:sz w:val="22"/>
          <w:szCs w:val="2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仿宋" w:hAnsi="仿宋" w:eastAsia="仿宋" w:cs="仿宋"/>
          <w:color w:val="auto"/>
          <w:spacing w:val="-11"/>
          <w:sz w:val="22"/>
          <w:szCs w:val="22"/>
          <w:u w:val="single"/>
          <w:lang w:val="en-US" w:eastAsia="zh-CN"/>
        </w:rPr>
      </w:pPr>
      <w:r>
        <w:rPr>
          <w:rFonts w:hint="eastAsia" w:ascii="仿宋" w:hAnsi="仿宋" w:eastAsia="仿宋" w:cs="仿宋"/>
          <w:i w:val="0"/>
          <w:iCs w:val="0"/>
          <w:caps w:val="0"/>
          <w:color w:val="auto"/>
          <w:spacing w:val="0"/>
          <w:kern w:val="0"/>
          <w:sz w:val="22"/>
          <w:szCs w:val="22"/>
          <w:u w:val="none"/>
          <w:shd w:val="clear" w:color="080000" w:fill="FFFFFF"/>
          <w:lang w:val="en-US" w:eastAsia="zh-CN" w:bidi="ar-SA"/>
        </w:rPr>
        <w:t>统一社会信用代码</w:t>
      </w:r>
      <w:r>
        <w:rPr>
          <w:rFonts w:hint="eastAsia" w:ascii="仿宋" w:hAnsi="仿宋" w:eastAsia="仿宋" w:cs="仿宋"/>
          <w:color w:val="auto"/>
          <w:spacing w:val="-11"/>
          <w:sz w:val="22"/>
          <w:szCs w:val="22"/>
          <w:lang w:eastAsia="zh-CN"/>
        </w:rPr>
        <w:t>：</w:t>
      </w:r>
      <w:r>
        <w:rPr>
          <w:rFonts w:hint="eastAsia" w:ascii="仿宋" w:hAnsi="仿宋" w:eastAsia="仿宋" w:cs="仿宋"/>
          <w:color w:val="auto"/>
          <w:spacing w:val="-11"/>
          <w:sz w:val="22"/>
          <w:szCs w:val="22"/>
          <w:u w:val="single"/>
          <w:lang w:val="en-US" w:eastAsia="zh-CN"/>
        </w:rPr>
        <w:t xml:space="preserve">                            </w:t>
      </w:r>
      <w:r>
        <w:rPr>
          <w:rFonts w:hint="eastAsia" w:ascii="仿宋" w:hAnsi="仿宋" w:eastAsia="仿宋" w:cs="仿宋"/>
          <w:color w:val="auto"/>
          <w:spacing w:val="-11"/>
          <w:sz w:val="22"/>
          <w:szCs w:val="22"/>
          <w:u w:val="single"/>
          <w:lang w:val="en" w:eastAsia="zh-CN"/>
        </w:rPr>
        <w:t xml:space="preserve"> </w:t>
      </w:r>
      <w:r>
        <w:rPr>
          <w:rFonts w:hint="eastAsia" w:ascii="仿宋" w:hAnsi="仿宋" w:eastAsia="仿宋" w:cs="仿宋"/>
          <w:color w:val="auto"/>
          <w:spacing w:val="-11"/>
          <w:sz w:val="22"/>
          <w:szCs w:val="2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396" w:firstLineChars="200"/>
        <w:textAlignment w:val="auto"/>
        <w:rPr>
          <w:rFonts w:hint="eastAsia" w:ascii="仿宋" w:hAnsi="仿宋" w:eastAsia="仿宋" w:cs="仿宋"/>
          <w:color w:val="auto"/>
          <w:spacing w:val="-11"/>
          <w:sz w:val="22"/>
          <w:szCs w:val="22"/>
          <w:u w:val="single"/>
          <w:lang w:val="en-US" w:eastAsia="zh-CN"/>
        </w:rPr>
      </w:pPr>
      <w:r>
        <w:rPr>
          <w:rFonts w:hint="eastAsia" w:ascii="仿宋" w:hAnsi="仿宋" w:eastAsia="仿宋" w:cs="仿宋"/>
          <w:color w:val="auto"/>
          <w:spacing w:val="-11"/>
          <w:sz w:val="22"/>
          <w:szCs w:val="22"/>
        </w:rPr>
        <w:t>法定代表人</w:t>
      </w:r>
      <w:r>
        <w:rPr>
          <w:rFonts w:hint="eastAsia" w:ascii="仿宋" w:hAnsi="仿宋" w:eastAsia="仿宋" w:cs="仿宋"/>
          <w:color w:val="auto"/>
          <w:spacing w:val="-11"/>
          <w:sz w:val="22"/>
          <w:szCs w:val="22"/>
          <w:lang w:eastAsia="zh-CN"/>
        </w:rPr>
        <w:t>：</w:t>
      </w:r>
      <w:r>
        <w:rPr>
          <w:rFonts w:hint="eastAsia" w:ascii="仿宋" w:hAnsi="仿宋" w:eastAsia="仿宋" w:cs="仿宋"/>
          <w:color w:val="auto"/>
          <w:spacing w:val="-11"/>
          <w:sz w:val="22"/>
          <w:szCs w:val="22"/>
          <w:u w:val="single"/>
          <w:lang w:val="en-US" w:eastAsia="zh-CN"/>
        </w:rPr>
        <w:t xml:space="preserve">                                    </w:t>
      </w:r>
      <w:r>
        <w:rPr>
          <w:rFonts w:hint="eastAsia" w:ascii="仿宋" w:hAnsi="仿宋" w:eastAsia="仿宋" w:cs="仿宋"/>
          <w:color w:val="auto"/>
          <w:spacing w:val="-11"/>
          <w:sz w:val="22"/>
          <w:szCs w:val="22"/>
          <w:u w:val="single"/>
          <w:lang w:val="en" w:eastAsia="zh-CN"/>
        </w:rPr>
        <w:t xml:space="preserve"> </w:t>
      </w:r>
      <w:r>
        <w:rPr>
          <w:rFonts w:hint="eastAsia" w:ascii="仿宋" w:hAnsi="仿宋" w:eastAsia="仿宋" w:cs="仿宋"/>
          <w:color w:val="auto"/>
          <w:spacing w:val="-11"/>
          <w:sz w:val="22"/>
          <w:szCs w:val="2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396" w:firstLineChars="200"/>
        <w:textAlignment w:val="auto"/>
        <w:rPr>
          <w:rFonts w:hint="eastAsia" w:ascii="仿宋" w:hAnsi="仿宋" w:eastAsia="仿宋" w:cs="仿宋"/>
          <w:color w:val="auto"/>
          <w:spacing w:val="-11"/>
          <w:sz w:val="22"/>
          <w:szCs w:val="22"/>
          <w:u w:val="single"/>
          <w:lang w:val="en-US" w:eastAsia="zh-CN"/>
        </w:rPr>
      </w:pPr>
      <w:r>
        <w:rPr>
          <w:rFonts w:hint="eastAsia" w:ascii="仿宋" w:hAnsi="仿宋" w:eastAsia="仿宋" w:cs="仿宋"/>
          <w:color w:val="auto"/>
          <w:spacing w:val="-11"/>
          <w:sz w:val="22"/>
          <w:szCs w:val="22"/>
        </w:rPr>
        <w:t>地址和联系电话：</w:t>
      </w:r>
      <w:r>
        <w:rPr>
          <w:rFonts w:hint="eastAsia" w:ascii="仿宋" w:hAnsi="仿宋" w:eastAsia="仿宋" w:cs="仿宋"/>
          <w:color w:val="auto"/>
          <w:spacing w:val="-11"/>
          <w:sz w:val="22"/>
          <w:szCs w:val="22"/>
          <w:u w:val="single"/>
          <w:lang w:val="en-US" w:eastAsia="zh-CN"/>
        </w:rPr>
        <w:t xml:space="preserve">                           </w:t>
      </w:r>
      <w:r>
        <w:rPr>
          <w:rFonts w:hint="eastAsia" w:ascii="仿宋" w:hAnsi="仿宋" w:eastAsia="仿宋" w:cs="仿宋"/>
          <w:color w:val="auto"/>
          <w:spacing w:val="-11"/>
          <w:sz w:val="22"/>
          <w:szCs w:val="22"/>
          <w:u w:val="single"/>
          <w:lang w:val="en" w:eastAsia="zh-CN"/>
        </w:rPr>
        <w:t xml:space="preserve">  </w:t>
      </w:r>
      <w:r>
        <w:rPr>
          <w:rFonts w:hint="eastAsia" w:ascii="仿宋" w:hAnsi="仿宋" w:eastAsia="仿宋" w:cs="仿宋"/>
          <w:color w:val="auto"/>
          <w:spacing w:val="-11"/>
          <w:sz w:val="22"/>
          <w:szCs w:val="22"/>
          <w:u w:val="single"/>
          <w:lang w:val="en-US" w:eastAsia="zh-CN"/>
        </w:rPr>
        <w:t xml:space="preserve"> </w:t>
      </w:r>
      <w:r>
        <w:rPr>
          <w:rFonts w:hint="eastAsia" w:ascii="仿宋" w:hAnsi="仿宋" w:eastAsia="仿宋" w:cs="仿宋"/>
          <w:color w:val="auto"/>
          <w:spacing w:val="-11"/>
          <w:sz w:val="22"/>
          <w:szCs w:val="22"/>
          <w:u w:val="single"/>
          <w:lang w:val="en" w:eastAsia="zh-CN"/>
        </w:rPr>
        <w:t xml:space="preserve"> </w:t>
      </w:r>
      <w:r>
        <w:rPr>
          <w:rFonts w:hint="eastAsia" w:ascii="仿宋" w:hAnsi="仿宋" w:eastAsia="仿宋" w:cs="仿宋"/>
          <w:color w:val="auto"/>
          <w:spacing w:val="-11"/>
          <w:sz w:val="22"/>
          <w:szCs w:val="2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396" w:firstLineChars="200"/>
        <w:textAlignment w:val="auto"/>
        <w:rPr>
          <w:rFonts w:hint="eastAsia" w:ascii="仿宋" w:hAnsi="仿宋" w:eastAsia="仿宋" w:cs="仿宋"/>
          <w:i w:val="0"/>
          <w:iCs w:val="0"/>
          <w:caps w:val="0"/>
          <w:color w:val="auto"/>
          <w:spacing w:val="0"/>
          <w:kern w:val="0"/>
          <w:sz w:val="22"/>
          <w:szCs w:val="22"/>
          <w:shd w:val="clear" w:color="080000" w:fill="FFFFFF"/>
          <w:lang w:val="en-US" w:eastAsia="zh-CN" w:bidi="ar-SA"/>
        </w:rPr>
      </w:pPr>
      <w:r>
        <w:rPr>
          <w:rFonts w:hint="eastAsia" w:ascii="仿宋" w:hAnsi="仿宋" w:eastAsia="仿宋" w:cs="仿宋"/>
          <w:color w:val="auto"/>
          <w:spacing w:val="-11"/>
          <w:sz w:val="22"/>
          <w:szCs w:val="22"/>
          <w:lang w:eastAsia="zh-CN"/>
        </w:rPr>
        <w:t>一、</w:t>
      </w:r>
      <w:r>
        <w:rPr>
          <w:rFonts w:hint="eastAsia" w:ascii="仿宋" w:hAnsi="仿宋" w:eastAsia="仿宋" w:cs="仿宋"/>
          <w:i w:val="0"/>
          <w:iCs w:val="0"/>
          <w:caps w:val="0"/>
          <w:color w:val="auto"/>
          <w:spacing w:val="0"/>
          <w:kern w:val="0"/>
          <w:sz w:val="22"/>
          <w:szCs w:val="22"/>
          <w:shd w:val="clear" w:color="080000" w:fill="FFFFFF"/>
          <w:lang w:val="en-US" w:eastAsia="zh-CN" w:bidi="ar-SA"/>
        </w:rPr>
        <w:t>我单位具备承担招标项目的能力，自愿参加</w:t>
      </w:r>
      <w:r>
        <w:rPr>
          <w:rFonts w:hint="eastAsia" w:ascii="仿宋" w:hAnsi="仿宋" w:eastAsia="仿宋" w:cs="仿宋"/>
          <w:i w:val="0"/>
          <w:iCs w:val="0"/>
          <w:caps w:val="0"/>
          <w:color w:val="auto"/>
          <w:spacing w:val="0"/>
          <w:kern w:val="0"/>
          <w:sz w:val="22"/>
          <w:szCs w:val="22"/>
          <w:u w:val="single"/>
          <w:shd w:val="clear" w:color="080000" w:fill="FFFFFF"/>
          <w:lang w:val="en-US" w:eastAsia="zh-CN" w:bidi="ar-SA"/>
        </w:rPr>
        <w:t>（招标工程项目名称）</w:t>
      </w:r>
      <w:r>
        <w:rPr>
          <w:rFonts w:hint="eastAsia" w:ascii="仿宋" w:hAnsi="仿宋" w:eastAsia="仿宋" w:cs="仿宋"/>
          <w:i w:val="0"/>
          <w:iCs w:val="0"/>
          <w:caps w:val="0"/>
          <w:color w:val="auto"/>
          <w:spacing w:val="0"/>
          <w:kern w:val="0"/>
          <w:sz w:val="22"/>
          <w:szCs w:val="22"/>
          <w:shd w:val="clear" w:color="080000" w:fill="FFFFFF"/>
          <w:lang w:val="en-US" w:eastAsia="zh-CN" w:bidi="ar-SA"/>
        </w:rPr>
        <w:t>投标活动，严格遵守《中华人民共和国招标投标法》及相关法律法规，依法诚信经营，无条件遵守招标投标活动的各项规定。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textAlignment w:val="auto"/>
        <w:rPr>
          <w:rFonts w:hint="eastAsia" w:ascii="仿宋" w:hAnsi="仿宋" w:eastAsia="仿宋" w:cs="仿宋"/>
          <w:i w:val="0"/>
          <w:iCs w:val="0"/>
          <w:caps w:val="0"/>
          <w:color w:val="auto"/>
          <w:spacing w:val="0"/>
          <w:kern w:val="0"/>
          <w:sz w:val="22"/>
          <w:szCs w:val="22"/>
          <w:shd w:val="clear" w:color="080000" w:fill="FFFFFF"/>
          <w:lang w:val="en-US" w:eastAsia="zh-CN" w:bidi="ar-SA"/>
        </w:rPr>
      </w:pPr>
      <w:r>
        <w:rPr>
          <w:rFonts w:hint="eastAsia" w:ascii="仿宋" w:hAnsi="仿宋" w:eastAsia="仿宋" w:cs="仿宋"/>
          <w:color w:val="auto"/>
          <w:sz w:val="22"/>
          <w:szCs w:val="22"/>
          <w:lang w:val="en-US" w:eastAsia="zh-CN"/>
        </w:rPr>
        <w:t>二、</w:t>
      </w:r>
      <w:r>
        <w:rPr>
          <w:rFonts w:hint="eastAsia" w:ascii="仿宋" w:hAnsi="仿宋" w:eastAsia="仿宋" w:cs="仿宋"/>
          <w:i w:val="0"/>
          <w:iCs w:val="0"/>
          <w:caps w:val="0"/>
          <w:color w:val="auto"/>
          <w:spacing w:val="0"/>
          <w:kern w:val="0"/>
          <w:sz w:val="22"/>
          <w:szCs w:val="22"/>
          <w:shd w:val="clear" w:color="080000" w:fill="FFFFFF"/>
          <w:lang w:val="en-US" w:eastAsia="zh-CN" w:bidi="ar-SA"/>
        </w:rPr>
        <w:t>我单位在“信用中国”中未被列入“严重失信主体名单”、没有因招标投标违法行为被行政处罚的记录、“信用承诺”中没有“部分履行”或者“全部未履行”的有关记录，在“中国执行信息公开网”中企业及法定代表人没有被列入“失信被执行人”，在“中国政府采购网”未被列入“政府采购严重违法失信行为记录名单”，在“国家企业信用信息公示系统”中没有因招标投标违法行为被行政处罚的记录、未被列入“经营异常名录”及“严重违法失信名单”。</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bottom"/>
        <w:rPr>
          <w:rFonts w:hint="eastAsia" w:ascii="仿宋" w:hAnsi="仿宋" w:eastAsia="仿宋" w:cs="仿宋"/>
          <w:i w:val="0"/>
          <w:iCs w:val="0"/>
          <w:caps w:val="0"/>
          <w:color w:val="auto"/>
          <w:spacing w:val="0"/>
          <w:kern w:val="0"/>
          <w:sz w:val="22"/>
          <w:szCs w:val="22"/>
          <w:shd w:val="clear" w:color="080000" w:fill="FFFFFF"/>
          <w:lang w:val="en-US" w:eastAsia="zh-CN" w:bidi="ar-SA"/>
        </w:rPr>
      </w:pPr>
      <w:r>
        <w:rPr>
          <w:rFonts w:hint="eastAsia" w:ascii="仿宋" w:hAnsi="仿宋" w:eastAsia="仿宋" w:cs="仿宋"/>
          <w:color w:val="auto"/>
          <w:sz w:val="22"/>
          <w:szCs w:val="22"/>
          <w:lang w:val="en-US" w:eastAsia="zh-CN"/>
        </w:rPr>
        <w:t>三、</w:t>
      </w:r>
      <w:r>
        <w:rPr>
          <w:rFonts w:hint="eastAsia" w:ascii="仿宋" w:hAnsi="仿宋" w:eastAsia="仿宋" w:cs="仿宋"/>
          <w:i w:val="0"/>
          <w:iCs w:val="0"/>
          <w:caps w:val="0"/>
          <w:color w:val="auto"/>
          <w:spacing w:val="0"/>
          <w:kern w:val="0"/>
          <w:sz w:val="22"/>
          <w:szCs w:val="22"/>
          <w:shd w:val="clear" w:color="080000" w:fill="FFFFFF"/>
          <w:lang w:val="en-US" w:eastAsia="zh-CN" w:bidi="ar-SA"/>
        </w:rPr>
        <w:t>我单位如有发生下述任何一种违约行为，自愿承担相关法律责任，1年内自动放弃在洛阳市工程建设项目招投标中使用“投标保证金企业信用承诺函”资格。</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bottom"/>
        <w:rPr>
          <w:rFonts w:hint="eastAsia" w:ascii="仿宋" w:hAnsi="仿宋" w:eastAsia="仿宋" w:cs="仿宋"/>
          <w:i w:val="0"/>
          <w:iCs w:val="0"/>
          <w:caps w:val="0"/>
          <w:color w:val="auto"/>
          <w:spacing w:val="0"/>
          <w:kern w:val="0"/>
          <w:sz w:val="22"/>
          <w:szCs w:val="22"/>
          <w:shd w:val="clear" w:color="080000" w:fill="FFFFFF"/>
          <w:lang w:val="en-US" w:eastAsia="zh-CN" w:bidi="ar-SA"/>
        </w:rPr>
      </w:pPr>
      <w:r>
        <w:rPr>
          <w:rFonts w:hint="eastAsia" w:ascii="仿宋" w:hAnsi="仿宋" w:eastAsia="仿宋" w:cs="仿宋"/>
          <w:i w:val="0"/>
          <w:iCs w:val="0"/>
          <w:caps w:val="0"/>
          <w:color w:val="auto"/>
          <w:spacing w:val="0"/>
          <w:kern w:val="0"/>
          <w:sz w:val="22"/>
          <w:szCs w:val="22"/>
          <w:shd w:val="clear" w:color="080000" w:fill="FFFFFF"/>
          <w:lang w:val="en-US" w:eastAsia="zh-CN" w:bidi="ar-SA"/>
        </w:rPr>
        <w:t>（一）在招标文件中规定的投标有效期内撤销投标文件；</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bottom"/>
        <w:rPr>
          <w:rFonts w:hint="eastAsia" w:ascii="仿宋" w:hAnsi="仿宋" w:eastAsia="仿宋" w:cs="仿宋"/>
          <w:i w:val="0"/>
          <w:iCs w:val="0"/>
          <w:caps w:val="0"/>
          <w:color w:val="auto"/>
          <w:spacing w:val="0"/>
          <w:kern w:val="0"/>
          <w:sz w:val="22"/>
          <w:szCs w:val="22"/>
          <w:shd w:val="clear" w:color="080000" w:fill="FFFFFF"/>
          <w:lang w:val="en-US" w:eastAsia="zh-CN" w:bidi="ar-SA"/>
        </w:rPr>
      </w:pPr>
      <w:r>
        <w:rPr>
          <w:rFonts w:hint="eastAsia" w:ascii="仿宋" w:hAnsi="仿宋" w:eastAsia="仿宋" w:cs="仿宋"/>
          <w:i w:val="0"/>
          <w:iCs w:val="0"/>
          <w:caps w:val="0"/>
          <w:color w:val="auto"/>
          <w:spacing w:val="0"/>
          <w:kern w:val="0"/>
          <w:sz w:val="22"/>
          <w:szCs w:val="22"/>
          <w:shd w:val="clear" w:color="080000" w:fill="FFFFFF"/>
          <w:lang w:val="en-US" w:eastAsia="zh-CN" w:bidi="ar-SA"/>
        </w:rPr>
        <w:t>（二）中标后在规定期限内无正当理由不与招标人签订合同、或者未按招标文件规定提交履约保证金；</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bottom"/>
        <w:rPr>
          <w:rFonts w:hint="eastAsia" w:ascii="仿宋" w:hAnsi="仿宋" w:eastAsia="仿宋" w:cs="仿宋"/>
          <w:i w:val="0"/>
          <w:iCs w:val="0"/>
          <w:caps w:val="0"/>
          <w:color w:val="auto"/>
          <w:spacing w:val="0"/>
          <w:kern w:val="0"/>
          <w:sz w:val="22"/>
          <w:szCs w:val="22"/>
          <w:shd w:val="clear" w:color="080000" w:fill="FFFFFF"/>
          <w:lang w:val="en-US" w:eastAsia="zh-CN" w:bidi="ar-SA"/>
        </w:rPr>
      </w:pPr>
      <w:r>
        <w:rPr>
          <w:rFonts w:hint="eastAsia" w:ascii="仿宋" w:hAnsi="仿宋" w:eastAsia="仿宋" w:cs="仿宋"/>
          <w:i w:val="0"/>
          <w:iCs w:val="0"/>
          <w:caps w:val="0"/>
          <w:color w:val="auto"/>
          <w:spacing w:val="0"/>
          <w:kern w:val="0"/>
          <w:sz w:val="22"/>
          <w:szCs w:val="22"/>
          <w:shd w:val="clear" w:color="080000" w:fill="FFFFFF"/>
          <w:lang w:val="en-US" w:eastAsia="zh-CN" w:bidi="ar-SA"/>
        </w:rPr>
        <w:t>（三）评标委员会认定投标人串通投标或弄虚作假等违法行为；</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bottom"/>
        <w:rPr>
          <w:rFonts w:hint="eastAsia" w:ascii="仿宋" w:hAnsi="仿宋" w:eastAsia="仿宋" w:cs="仿宋"/>
          <w:i w:val="0"/>
          <w:iCs w:val="0"/>
          <w:caps w:val="0"/>
          <w:color w:val="auto"/>
          <w:spacing w:val="0"/>
          <w:kern w:val="0"/>
          <w:sz w:val="22"/>
          <w:szCs w:val="22"/>
          <w:shd w:val="clear" w:color="080000" w:fill="FFFFFF"/>
          <w:lang w:val="en-US" w:eastAsia="zh-CN" w:bidi="ar-SA"/>
        </w:rPr>
      </w:pPr>
      <w:r>
        <w:rPr>
          <w:rFonts w:hint="eastAsia" w:ascii="仿宋" w:hAnsi="仿宋" w:eastAsia="仿宋" w:cs="仿宋"/>
          <w:i w:val="0"/>
          <w:iCs w:val="0"/>
          <w:caps w:val="0"/>
          <w:color w:val="auto"/>
          <w:spacing w:val="0"/>
          <w:kern w:val="0"/>
          <w:sz w:val="22"/>
          <w:szCs w:val="22"/>
          <w:shd w:val="clear" w:color="080000" w:fill="FFFFFF"/>
          <w:lang w:val="en-US" w:eastAsia="zh-CN" w:bidi="ar-SA"/>
        </w:rPr>
        <w:t>（四）法律、法规规定的其他情形。</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bottom"/>
        <w:rPr>
          <w:rFonts w:hint="eastAsia" w:ascii="仿宋" w:hAnsi="仿宋" w:eastAsia="仿宋" w:cs="仿宋"/>
          <w:i w:val="0"/>
          <w:iCs w:val="0"/>
          <w:caps w:val="0"/>
          <w:color w:val="auto"/>
          <w:spacing w:val="0"/>
          <w:kern w:val="0"/>
          <w:sz w:val="22"/>
          <w:szCs w:val="22"/>
          <w:shd w:val="clear" w:color="080000" w:fill="FFFFFF"/>
          <w:lang w:val="en-US" w:eastAsia="zh-CN" w:bidi="ar-SA"/>
        </w:rPr>
      </w:pPr>
      <w:r>
        <w:rPr>
          <w:rFonts w:hint="eastAsia" w:ascii="仿宋" w:hAnsi="仿宋" w:eastAsia="仿宋" w:cs="仿宋"/>
          <w:color w:val="auto"/>
          <w:sz w:val="22"/>
          <w:szCs w:val="22"/>
          <w:u w:val="none"/>
          <w:lang w:val="en-US" w:eastAsia="zh-CN"/>
        </w:rPr>
        <w:t>四、</w:t>
      </w:r>
      <w:r>
        <w:rPr>
          <w:rFonts w:hint="eastAsia" w:ascii="仿宋" w:hAnsi="仿宋" w:eastAsia="仿宋" w:cs="仿宋"/>
          <w:i w:val="0"/>
          <w:iCs w:val="0"/>
          <w:caps w:val="0"/>
          <w:color w:val="auto"/>
          <w:spacing w:val="0"/>
          <w:kern w:val="0"/>
          <w:sz w:val="22"/>
          <w:szCs w:val="22"/>
          <w:shd w:val="clear" w:color="080000" w:fill="FFFFFF"/>
          <w:lang w:val="en-US" w:eastAsia="zh-CN" w:bidi="ar-SA"/>
        </w:rPr>
        <w:t>同意将承诺和践诺信息作为我单位信用记录由“信用洛阳”网站归集并合规应用。特此承诺。</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bottom"/>
        <w:rPr>
          <w:rFonts w:hint="eastAsia" w:ascii="仿宋" w:hAnsi="仿宋" w:eastAsia="仿宋" w:cs="仿宋"/>
          <w:i w:val="0"/>
          <w:iCs w:val="0"/>
          <w:caps w:val="0"/>
          <w:color w:val="auto"/>
          <w:spacing w:val="0"/>
          <w:kern w:val="0"/>
          <w:sz w:val="22"/>
          <w:szCs w:val="22"/>
          <w:shd w:val="clear" w:color="080000" w:fill="FFFFFF"/>
          <w:lang w:val="en-US" w:eastAsia="zh-CN" w:bidi="ar-SA"/>
        </w:rPr>
      </w:pPr>
    </w:p>
    <w:p>
      <w:pPr>
        <w:keepNext w:val="0"/>
        <w:keepLines w:val="0"/>
        <w:pageBreakBefore w:val="0"/>
        <w:numPr>
          <w:ilvl w:val="0"/>
          <w:numId w:val="0"/>
        </w:numPr>
        <w:kinsoku/>
        <w:overflowPunct/>
        <w:topLinePunct w:val="0"/>
        <w:autoSpaceDE/>
        <w:autoSpaceDN/>
        <w:bidi w:val="0"/>
        <w:adjustRightInd/>
        <w:snapToGrid/>
        <w:spacing w:line="360" w:lineRule="exact"/>
        <w:ind w:leftChars="200"/>
        <w:textAlignment w:val="bottom"/>
        <w:rPr>
          <w:rFonts w:hint="eastAsia" w:ascii="仿宋" w:hAnsi="仿宋" w:eastAsia="仿宋" w:cs="仿宋"/>
          <w:sz w:val="22"/>
          <w:szCs w:val="22"/>
          <w:u w:val="none"/>
          <w:lang w:val="en-US" w:eastAsia="zh-CN"/>
        </w:rPr>
      </w:pPr>
    </w:p>
    <w:p>
      <w:pPr>
        <w:keepNext w:val="0"/>
        <w:keepLines w:val="0"/>
        <w:pageBreakBefore w:val="0"/>
        <w:kinsoku/>
        <w:overflowPunct/>
        <w:topLinePunct w:val="0"/>
        <w:autoSpaceDE/>
        <w:autoSpaceDN/>
        <w:bidi w:val="0"/>
        <w:adjustRightInd/>
        <w:snapToGrid/>
        <w:spacing w:line="360" w:lineRule="exact"/>
        <w:ind w:firstLine="440" w:firstLineChars="200"/>
        <w:jc w:val="center"/>
        <w:textAlignment w:val="bottom"/>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 xml:space="preserve">              </w:t>
      </w:r>
      <w:r>
        <w:rPr>
          <w:rFonts w:hint="eastAsia" w:ascii="仿宋" w:hAnsi="仿宋" w:eastAsia="仿宋" w:cs="仿宋"/>
          <w:color w:val="auto"/>
          <w:spacing w:val="-11"/>
          <w:sz w:val="22"/>
          <w:szCs w:val="22"/>
          <w:lang w:val="en-US" w:eastAsia="zh-CN"/>
        </w:rPr>
        <w:t>投标人单位名称</w:t>
      </w:r>
      <w:r>
        <w:rPr>
          <w:rFonts w:hint="eastAsia" w:ascii="仿宋" w:hAnsi="仿宋" w:eastAsia="仿宋" w:cs="仿宋"/>
          <w:sz w:val="22"/>
          <w:szCs w:val="22"/>
          <w:lang w:val="en-US" w:eastAsia="zh-CN"/>
        </w:rPr>
        <w:t>：（</w:t>
      </w:r>
      <w:r>
        <w:rPr>
          <w:rFonts w:hint="eastAsia" w:ascii="仿宋" w:hAnsi="仿宋" w:eastAsia="仿宋" w:cs="仿宋"/>
          <w:color w:val="auto"/>
          <w:spacing w:val="-11"/>
          <w:sz w:val="22"/>
          <w:szCs w:val="22"/>
          <w:lang w:val="en-US" w:eastAsia="zh-CN"/>
        </w:rPr>
        <w:t>盖章</w:t>
      </w:r>
      <w:r>
        <w:rPr>
          <w:rFonts w:hint="eastAsia" w:ascii="仿宋" w:hAnsi="仿宋" w:eastAsia="仿宋" w:cs="仿宋"/>
          <w:sz w:val="22"/>
          <w:szCs w:val="22"/>
          <w:lang w:val="en-US" w:eastAsia="zh-CN"/>
        </w:rPr>
        <w:t>）</w:t>
      </w:r>
    </w:p>
    <w:p>
      <w:pPr>
        <w:keepNext w:val="0"/>
        <w:keepLines w:val="0"/>
        <w:pageBreakBefore w:val="0"/>
        <w:kinsoku/>
        <w:wordWrap w:val="0"/>
        <w:overflowPunct/>
        <w:topLinePunct w:val="0"/>
        <w:autoSpaceDE/>
        <w:autoSpaceDN/>
        <w:bidi w:val="0"/>
        <w:adjustRightInd/>
        <w:snapToGrid/>
        <w:spacing w:line="360" w:lineRule="exact"/>
        <w:ind w:firstLine="440" w:firstLineChars="200"/>
        <w:jc w:val="center"/>
        <w:textAlignment w:val="bottom"/>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 xml:space="preserve">       </w:t>
      </w:r>
      <w:r>
        <w:rPr>
          <w:rFonts w:hint="eastAsia" w:ascii="仿宋" w:hAnsi="仿宋" w:eastAsia="仿宋" w:cs="仿宋"/>
          <w:color w:val="auto"/>
          <w:spacing w:val="-11"/>
          <w:sz w:val="22"/>
          <w:szCs w:val="22"/>
          <w:lang w:val="en-US" w:eastAsia="zh-CN"/>
        </w:rPr>
        <w:t>法定代表人签字</w:t>
      </w:r>
      <w:r>
        <w:rPr>
          <w:rFonts w:hint="eastAsia" w:ascii="仿宋" w:hAnsi="仿宋" w:eastAsia="仿宋" w:cs="仿宋"/>
          <w:sz w:val="22"/>
          <w:szCs w:val="22"/>
          <w:lang w:val="en-US" w:eastAsia="zh-CN"/>
        </w:rPr>
        <w:t>：</w:t>
      </w:r>
    </w:p>
    <w:p>
      <w:pPr>
        <w:keepNext w:val="0"/>
        <w:keepLines w:val="0"/>
        <w:pageBreakBefore w:val="0"/>
        <w:kinsoku/>
        <w:overflowPunct/>
        <w:topLinePunct w:val="0"/>
        <w:autoSpaceDE/>
        <w:autoSpaceDN/>
        <w:bidi w:val="0"/>
        <w:adjustRightInd/>
        <w:snapToGrid/>
        <w:spacing w:line="360" w:lineRule="exact"/>
        <w:ind w:firstLine="7920" w:firstLineChars="3600"/>
        <w:jc w:val="both"/>
        <w:textAlignment w:val="bottom"/>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 xml:space="preserve">年  月   日 </w:t>
      </w:r>
    </w:p>
    <w:p>
      <w:pPr>
        <w:keepNext w:val="0"/>
        <w:keepLines w:val="0"/>
        <w:pageBreakBefore w:val="0"/>
        <w:kinsoku/>
        <w:overflowPunct/>
        <w:topLinePunct w:val="0"/>
        <w:autoSpaceDE/>
        <w:autoSpaceDN/>
        <w:bidi w:val="0"/>
        <w:adjustRightInd/>
        <w:snapToGrid/>
        <w:spacing w:line="360" w:lineRule="exact"/>
        <w:rPr>
          <w:rFonts w:hint="eastAsia" w:ascii="仿宋" w:hAnsi="仿宋" w:eastAsia="仿宋" w:cs="仿宋"/>
          <w:color w:val="FF0000"/>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bottom"/>
        <w:rPr>
          <w:rFonts w:hint="eastAsia" w:ascii="仿宋" w:hAnsi="仿宋" w:eastAsia="仿宋" w:cs="仿宋"/>
          <w:i w:val="0"/>
          <w:iCs w:val="0"/>
          <w:caps w:val="0"/>
          <w:color w:val="auto"/>
          <w:spacing w:val="0"/>
          <w:kern w:val="0"/>
          <w:sz w:val="21"/>
          <w:szCs w:val="21"/>
          <w:shd w:val="clear" w:color="080000"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bottom"/>
        <w:rPr>
          <w:rFonts w:hint="eastAsia" w:ascii="仿宋" w:hAnsi="仿宋" w:eastAsia="仿宋" w:cs="仿宋"/>
          <w:i w:val="0"/>
          <w:iCs w:val="0"/>
          <w:caps w:val="0"/>
          <w:color w:val="auto"/>
          <w:spacing w:val="0"/>
          <w:kern w:val="0"/>
          <w:sz w:val="21"/>
          <w:szCs w:val="21"/>
          <w:shd w:val="clear" w:color="080000" w:fill="FFFFFF"/>
          <w:lang w:val="en-US" w:eastAsia="zh-CN" w:bidi="ar-SA"/>
        </w:rPr>
      </w:pPr>
      <w:r>
        <w:rPr>
          <w:rFonts w:hint="eastAsia" w:ascii="仿宋" w:hAnsi="仿宋" w:eastAsia="仿宋" w:cs="仿宋"/>
          <w:i w:val="0"/>
          <w:iCs w:val="0"/>
          <w:caps w:val="0"/>
          <w:color w:val="auto"/>
          <w:spacing w:val="0"/>
          <w:kern w:val="0"/>
          <w:sz w:val="21"/>
          <w:szCs w:val="21"/>
          <w:shd w:val="clear" w:color="080000" w:fill="FFFFFF"/>
          <w:lang w:val="en-US" w:eastAsia="zh-CN" w:bidi="ar-SA"/>
        </w:rPr>
        <w:t>注：1.投标人须在投标文件中按此模板提供承诺函，未提供视为未实质性响应招标文件要求，按无效投标处理。</w:t>
      </w:r>
    </w:p>
    <w:p>
      <w:pPr>
        <w:keepNext w:val="0"/>
        <w:keepLines w:val="0"/>
        <w:pageBreakBefore w:val="0"/>
        <w:widowControl w:val="0"/>
        <w:kinsoku/>
        <w:wordWrap/>
        <w:overflowPunct/>
        <w:topLinePunct w:val="0"/>
        <w:autoSpaceDE/>
        <w:autoSpaceDN/>
        <w:bidi w:val="0"/>
        <w:adjustRightInd/>
        <w:snapToGrid/>
        <w:spacing w:line="240" w:lineRule="auto"/>
        <w:ind w:firstLine="630" w:firstLineChars="300"/>
        <w:textAlignment w:val="bottom"/>
        <w:rPr>
          <w:rFonts w:hint="eastAsia" w:ascii="仿宋" w:hAnsi="仿宋" w:eastAsia="仿宋" w:cs="仿宋"/>
          <w:i w:val="0"/>
          <w:iCs w:val="0"/>
          <w:caps w:val="0"/>
          <w:color w:val="auto"/>
          <w:spacing w:val="0"/>
          <w:kern w:val="0"/>
          <w:sz w:val="21"/>
          <w:szCs w:val="21"/>
          <w:shd w:val="clear" w:color="080000" w:fill="FFFFFF"/>
          <w:lang w:val="en-US" w:eastAsia="zh-CN" w:bidi="ar-SA"/>
        </w:rPr>
      </w:pPr>
      <w:r>
        <w:rPr>
          <w:rFonts w:hint="eastAsia" w:ascii="仿宋" w:hAnsi="仿宋" w:eastAsia="仿宋" w:cs="仿宋"/>
          <w:i w:val="0"/>
          <w:iCs w:val="0"/>
          <w:caps w:val="0"/>
          <w:color w:val="auto"/>
          <w:spacing w:val="0"/>
          <w:kern w:val="0"/>
          <w:sz w:val="21"/>
          <w:szCs w:val="21"/>
          <w:shd w:val="clear" w:color="080000" w:fill="FFFFFF"/>
          <w:lang w:val="en-US" w:eastAsia="zh-CN" w:bidi="ar-SA"/>
        </w:rPr>
        <w:t>2.投标人的法定代表人或者授权代表的签字或盖章应真实、有效，如由授权代表签字或盖章的，应提供“法定代表人授权书”。</w:t>
      </w:r>
    </w:p>
    <w:p/>
    <w:p>
      <w:pPr>
        <w:pStyle w:val="93"/>
        <w:jc w:val="center"/>
        <w:rPr>
          <w:rFonts w:hint="eastAsia" w:ascii="仿宋" w:hAnsi="仿宋" w:eastAsia="仿宋" w:cs="仿宋"/>
          <w:b/>
          <w:bCs/>
        </w:rPr>
      </w:pPr>
      <w:bookmarkStart w:id="620" w:name="_Toc1685"/>
      <w:r>
        <w:rPr>
          <w:rFonts w:hint="eastAsia" w:ascii="仿宋" w:hAnsi="仿宋" w:eastAsia="仿宋" w:cs="仿宋"/>
          <w:b/>
          <w:bCs/>
        </w:rPr>
        <w:t>四、已标价工程量清单</w:t>
      </w:r>
      <w:bookmarkEnd w:id="620"/>
    </w:p>
    <w:p/>
    <w:p/>
    <w:p/>
    <w:p/>
    <w:p/>
    <w:p/>
    <w:p/>
    <w:p/>
    <w:p/>
    <w:p/>
    <w:p/>
    <w:p/>
    <w:p/>
    <w:p/>
    <w:p/>
    <w:p/>
    <w:p/>
    <w:p/>
    <w:p/>
    <w:p/>
    <w:p/>
    <w:p/>
    <w:p/>
    <w:p/>
    <w:p/>
    <w:p/>
    <w:p/>
    <w:p>
      <w:pPr>
        <w:pStyle w:val="93"/>
        <w:jc w:val="center"/>
        <w:rPr>
          <w:rFonts w:hint="eastAsia" w:ascii="仿宋" w:hAnsi="仿宋" w:eastAsia="仿宋" w:cs="仿宋"/>
          <w:b/>
          <w:bCs/>
        </w:rPr>
      </w:pPr>
      <w:bookmarkStart w:id="621" w:name="_Toc5562"/>
      <w:r>
        <w:rPr>
          <w:rFonts w:hint="eastAsia" w:ascii="仿宋" w:hAnsi="仿宋" w:eastAsia="仿宋" w:cs="仿宋"/>
          <w:b/>
          <w:bCs/>
        </w:rPr>
        <w:t>五、施工组织设计</w:t>
      </w:r>
      <w:bookmarkEnd w:id="621"/>
    </w:p>
    <w:p/>
    <w:p>
      <w:r>
        <w:rPr>
          <w:rFonts w:hint="eastAsia"/>
        </w:rPr>
        <w:t>1、投标人编制施工组织设计的要求：编制时应采用文字并结合图表形式说明施工方法；拟投入本项目的主要施工设备情况、拟配备本项目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r>
        <w:rPr>
          <w:rFonts w:hint="eastAsia"/>
        </w:rPr>
        <w:t>2、施工组织设计除采用文字表述外可附下列图表，图表及格式要求附后。</w:t>
      </w:r>
    </w:p>
    <w:p>
      <w:r>
        <w:rPr>
          <w:rFonts w:hint="eastAsia"/>
        </w:rPr>
        <w:t>附表一  拟投入本项目的主要施工设备表</w:t>
      </w:r>
    </w:p>
    <w:p>
      <w:r>
        <w:rPr>
          <w:rFonts w:hint="eastAsia"/>
        </w:rPr>
        <w:t>附表二  拟配备本项目的试验和检测仪器设备表</w:t>
      </w:r>
    </w:p>
    <w:p>
      <w:r>
        <w:rPr>
          <w:rFonts w:hint="eastAsia"/>
        </w:rPr>
        <w:t>附表三  劳动力计划表</w:t>
      </w:r>
    </w:p>
    <w:p>
      <w:r>
        <w:rPr>
          <w:rFonts w:hint="eastAsia"/>
        </w:rPr>
        <w:t>附表四  计划开、竣工日期和施工进度网络图</w:t>
      </w:r>
    </w:p>
    <w:p>
      <w:r>
        <w:rPr>
          <w:rFonts w:hint="eastAsia"/>
        </w:rPr>
        <w:t>附表五  施工总平面图</w:t>
      </w:r>
    </w:p>
    <w:p>
      <w:r>
        <w:rPr>
          <w:rFonts w:hint="eastAsia"/>
        </w:rPr>
        <w:t>附表六  临时用地表</w:t>
      </w:r>
    </w:p>
    <w:p/>
    <w:p/>
    <w:p/>
    <w:p/>
    <w:p/>
    <w:p/>
    <w:p/>
    <w:p/>
    <w:p/>
    <w:p/>
    <w:p/>
    <w:p/>
    <w:p/>
    <w:p/>
    <w:p/>
    <w:p/>
    <w:p>
      <w:pPr>
        <w:pStyle w:val="102"/>
        <w:ind w:left="0" w:leftChars="0" w:firstLine="0" w:firstLineChars="0"/>
        <w:rPr>
          <w:rFonts w:hint="eastAsia" w:ascii="仿宋" w:hAnsi="仿宋" w:eastAsia="仿宋" w:cs="仿宋"/>
          <w:szCs w:val="23"/>
        </w:rPr>
      </w:pPr>
      <w:bookmarkStart w:id="622" w:name="_Toc152042586"/>
      <w:bookmarkStart w:id="623" w:name="_Toc144974865"/>
      <w:bookmarkStart w:id="624" w:name="_Toc8423610"/>
      <w:bookmarkStart w:id="625" w:name="_Toc16657"/>
      <w:bookmarkStart w:id="626" w:name="_Toc152045797"/>
      <w:r>
        <w:rPr>
          <w:rFonts w:hint="eastAsia" w:ascii="仿宋" w:hAnsi="仿宋" w:eastAsia="仿宋" w:cs="仿宋"/>
        </w:rPr>
        <w:t>附表一：</w:t>
      </w:r>
      <w:r>
        <w:rPr>
          <w:rFonts w:hint="eastAsia" w:ascii="仿宋" w:hAnsi="仿宋" w:eastAsia="仿宋" w:cs="仿宋"/>
          <w:szCs w:val="23"/>
        </w:rPr>
        <w:t>拟投入本</w:t>
      </w:r>
      <w:r>
        <w:rPr>
          <w:rFonts w:hint="eastAsia" w:ascii="仿宋" w:hAnsi="仿宋" w:eastAsia="仿宋" w:cs="仿宋"/>
          <w:szCs w:val="21"/>
        </w:rPr>
        <w:t>项目</w:t>
      </w:r>
      <w:r>
        <w:rPr>
          <w:rFonts w:hint="eastAsia" w:ascii="仿宋" w:hAnsi="仿宋" w:eastAsia="仿宋" w:cs="仿宋"/>
          <w:szCs w:val="23"/>
        </w:rPr>
        <w:t>的主要施工设备表</w:t>
      </w:r>
      <w:bookmarkEnd w:id="622"/>
      <w:bookmarkEnd w:id="623"/>
      <w:bookmarkEnd w:id="624"/>
      <w:bookmarkEnd w:id="625"/>
      <w:bookmarkEnd w:id="626"/>
    </w:p>
    <w:p/>
    <w:tbl>
      <w:tblPr>
        <w:tblStyle w:val="41"/>
        <w:tblW w:w="10221" w:type="dxa"/>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269"/>
        <w:gridCol w:w="889"/>
        <w:gridCol w:w="1157"/>
        <w:gridCol w:w="785"/>
        <w:gridCol w:w="863"/>
        <w:gridCol w:w="1417"/>
        <w:gridCol w:w="1022"/>
        <w:gridCol w:w="1233"/>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vAlign w:val="center"/>
          </w:tcPr>
          <w:p>
            <w:pPr>
              <w:ind w:left="0" w:leftChars="0" w:firstLine="0" w:firstLineChars="0"/>
              <w:jc w:val="center"/>
            </w:pPr>
            <w:r>
              <w:rPr>
                <w:rFonts w:hint="eastAsia"/>
              </w:rPr>
              <w:t>序号</w:t>
            </w:r>
          </w:p>
        </w:tc>
        <w:tc>
          <w:tcPr>
            <w:tcW w:w="1269" w:type="dxa"/>
            <w:vAlign w:val="center"/>
          </w:tcPr>
          <w:p>
            <w:pPr>
              <w:ind w:left="0" w:leftChars="0" w:firstLine="0" w:firstLineChars="0"/>
              <w:jc w:val="center"/>
            </w:pPr>
            <w:r>
              <w:rPr>
                <w:rFonts w:hint="eastAsia"/>
              </w:rPr>
              <w:t>设备名称</w:t>
            </w:r>
          </w:p>
        </w:tc>
        <w:tc>
          <w:tcPr>
            <w:tcW w:w="889" w:type="dxa"/>
            <w:vAlign w:val="center"/>
          </w:tcPr>
          <w:p>
            <w:pPr>
              <w:ind w:left="0" w:leftChars="0" w:firstLine="0" w:firstLineChars="0"/>
              <w:jc w:val="center"/>
            </w:pPr>
            <w:r>
              <w:rPr>
                <w:rFonts w:hint="eastAsia"/>
              </w:rPr>
              <w:t>型号</w:t>
            </w:r>
          </w:p>
          <w:p>
            <w:pPr>
              <w:ind w:left="0" w:leftChars="0" w:firstLine="0" w:firstLineChars="0"/>
              <w:jc w:val="center"/>
            </w:pPr>
            <w:r>
              <w:rPr>
                <w:rFonts w:hint="eastAsia"/>
              </w:rPr>
              <w:t>规格</w:t>
            </w:r>
          </w:p>
        </w:tc>
        <w:tc>
          <w:tcPr>
            <w:tcW w:w="1157" w:type="dxa"/>
            <w:vAlign w:val="center"/>
          </w:tcPr>
          <w:p>
            <w:pPr>
              <w:ind w:left="0" w:leftChars="0" w:firstLine="0" w:firstLineChars="0"/>
              <w:jc w:val="center"/>
            </w:pPr>
            <w:r>
              <w:rPr>
                <w:rFonts w:hint="eastAsia"/>
              </w:rPr>
              <w:t>数量</w:t>
            </w:r>
          </w:p>
        </w:tc>
        <w:tc>
          <w:tcPr>
            <w:tcW w:w="785" w:type="dxa"/>
            <w:vAlign w:val="center"/>
          </w:tcPr>
          <w:p>
            <w:pPr>
              <w:ind w:left="0" w:leftChars="0" w:firstLine="0" w:firstLineChars="0"/>
              <w:jc w:val="center"/>
            </w:pPr>
            <w:r>
              <w:rPr>
                <w:rFonts w:hint="eastAsia"/>
              </w:rPr>
              <w:t>国别</w:t>
            </w:r>
          </w:p>
          <w:p>
            <w:pPr>
              <w:ind w:left="0" w:leftChars="0" w:firstLine="0" w:firstLineChars="0"/>
              <w:jc w:val="center"/>
            </w:pPr>
            <w:r>
              <w:rPr>
                <w:rFonts w:hint="eastAsia"/>
              </w:rPr>
              <w:t>产地</w:t>
            </w:r>
          </w:p>
        </w:tc>
        <w:tc>
          <w:tcPr>
            <w:tcW w:w="863" w:type="dxa"/>
            <w:vAlign w:val="center"/>
          </w:tcPr>
          <w:p>
            <w:pPr>
              <w:ind w:left="0" w:leftChars="0" w:firstLine="0" w:firstLineChars="0"/>
              <w:jc w:val="center"/>
            </w:pPr>
            <w:r>
              <w:rPr>
                <w:rFonts w:hint="eastAsia"/>
              </w:rPr>
              <w:t>制造</w:t>
            </w:r>
          </w:p>
          <w:p>
            <w:pPr>
              <w:ind w:left="0" w:leftChars="0" w:firstLine="0" w:firstLineChars="0"/>
              <w:jc w:val="center"/>
            </w:pPr>
            <w:r>
              <w:rPr>
                <w:rFonts w:hint="eastAsia"/>
              </w:rPr>
              <w:t>年份</w:t>
            </w:r>
          </w:p>
        </w:tc>
        <w:tc>
          <w:tcPr>
            <w:tcW w:w="1417" w:type="dxa"/>
            <w:vAlign w:val="center"/>
          </w:tcPr>
          <w:p>
            <w:pPr>
              <w:ind w:left="0" w:leftChars="0" w:firstLine="0" w:firstLineChars="0"/>
              <w:jc w:val="center"/>
            </w:pPr>
            <w:r>
              <w:rPr>
                <w:rFonts w:hint="eastAsia"/>
              </w:rPr>
              <w:t>额定功率（KW）</w:t>
            </w:r>
          </w:p>
        </w:tc>
        <w:tc>
          <w:tcPr>
            <w:tcW w:w="1022" w:type="dxa"/>
            <w:vAlign w:val="center"/>
          </w:tcPr>
          <w:p>
            <w:pPr>
              <w:ind w:left="0" w:leftChars="0" w:firstLine="0" w:firstLineChars="0"/>
              <w:jc w:val="center"/>
            </w:pPr>
            <w:r>
              <w:rPr>
                <w:rFonts w:hint="eastAsia"/>
              </w:rPr>
              <w:t>生产</w:t>
            </w:r>
          </w:p>
          <w:p>
            <w:pPr>
              <w:ind w:left="0" w:leftChars="0" w:firstLine="0" w:firstLineChars="0"/>
              <w:jc w:val="center"/>
            </w:pPr>
            <w:r>
              <w:rPr>
                <w:rFonts w:hint="eastAsia"/>
              </w:rPr>
              <w:t>能力</w:t>
            </w:r>
          </w:p>
        </w:tc>
        <w:tc>
          <w:tcPr>
            <w:tcW w:w="1233" w:type="dxa"/>
            <w:vAlign w:val="center"/>
          </w:tcPr>
          <w:p>
            <w:pPr>
              <w:ind w:left="0" w:leftChars="0" w:firstLine="0" w:firstLineChars="0"/>
              <w:jc w:val="center"/>
            </w:pPr>
            <w:r>
              <w:rPr>
                <w:rFonts w:hint="eastAsia"/>
              </w:rPr>
              <w:t>用于施工部位</w:t>
            </w:r>
          </w:p>
        </w:tc>
        <w:tc>
          <w:tcPr>
            <w:tcW w:w="807" w:type="dxa"/>
            <w:vAlign w:val="center"/>
          </w:tcPr>
          <w:p>
            <w:pPr>
              <w:ind w:left="0" w:leftChars="0" w:firstLine="0" w:firstLineChars="0"/>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vAlign w:val="center"/>
          </w:tcPr>
          <w:p/>
        </w:tc>
        <w:tc>
          <w:tcPr>
            <w:tcW w:w="1269" w:type="dxa"/>
            <w:vAlign w:val="center"/>
          </w:tcPr>
          <w:p/>
        </w:tc>
        <w:tc>
          <w:tcPr>
            <w:tcW w:w="889" w:type="dxa"/>
            <w:vAlign w:val="center"/>
          </w:tcPr>
          <w:p/>
        </w:tc>
        <w:tc>
          <w:tcPr>
            <w:tcW w:w="1157" w:type="dxa"/>
            <w:vAlign w:val="center"/>
          </w:tcPr>
          <w:p/>
        </w:tc>
        <w:tc>
          <w:tcPr>
            <w:tcW w:w="785" w:type="dxa"/>
            <w:vAlign w:val="center"/>
          </w:tcPr>
          <w:p/>
        </w:tc>
        <w:tc>
          <w:tcPr>
            <w:tcW w:w="863" w:type="dxa"/>
            <w:vAlign w:val="center"/>
          </w:tcPr>
          <w:p/>
        </w:tc>
        <w:tc>
          <w:tcPr>
            <w:tcW w:w="1417" w:type="dxa"/>
            <w:vAlign w:val="center"/>
          </w:tcPr>
          <w:p/>
        </w:tc>
        <w:tc>
          <w:tcPr>
            <w:tcW w:w="1022" w:type="dxa"/>
            <w:vAlign w:val="center"/>
          </w:tcPr>
          <w:p/>
        </w:tc>
        <w:tc>
          <w:tcPr>
            <w:tcW w:w="1233" w:type="dxa"/>
            <w:vAlign w:val="center"/>
          </w:tcPr>
          <w:p/>
        </w:tc>
        <w:tc>
          <w:tcPr>
            <w:tcW w:w="807"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vAlign w:val="center"/>
          </w:tcPr>
          <w:p/>
        </w:tc>
        <w:tc>
          <w:tcPr>
            <w:tcW w:w="1269" w:type="dxa"/>
            <w:vAlign w:val="center"/>
          </w:tcPr>
          <w:p/>
        </w:tc>
        <w:tc>
          <w:tcPr>
            <w:tcW w:w="889" w:type="dxa"/>
            <w:vAlign w:val="center"/>
          </w:tcPr>
          <w:p/>
        </w:tc>
        <w:tc>
          <w:tcPr>
            <w:tcW w:w="1157" w:type="dxa"/>
            <w:vAlign w:val="center"/>
          </w:tcPr>
          <w:p/>
        </w:tc>
        <w:tc>
          <w:tcPr>
            <w:tcW w:w="785" w:type="dxa"/>
            <w:vAlign w:val="center"/>
          </w:tcPr>
          <w:p/>
        </w:tc>
        <w:tc>
          <w:tcPr>
            <w:tcW w:w="863" w:type="dxa"/>
            <w:vAlign w:val="center"/>
          </w:tcPr>
          <w:p/>
        </w:tc>
        <w:tc>
          <w:tcPr>
            <w:tcW w:w="1417" w:type="dxa"/>
            <w:vAlign w:val="center"/>
          </w:tcPr>
          <w:p/>
        </w:tc>
        <w:tc>
          <w:tcPr>
            <w:tcW w:w="1022" w:type="dxa"/>
            <w:vAlign w:val="center"/>
          </w:tcPr>
          <w:p/>
        </w:tc>
        <w:tc>
          <w:tcPr>
            <w:tcW w:w="1233" w:type="dxa"/>
            <w:vAlign w:val="center"/>
          </w:tcPr>
          <w:p/>
        </w:tc>
        <w:tc>
          <w:tcPr>
            <w:tcW w:w="807"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Pr>
          <w:p/>
        </w:tc>
        <w:tc>
          <w:tcPr>
            <w:tcW w:w="1269" w:type="dxa"/>
          </w:tcPr>
          <w:p/>
        </w:tc>
        <w:tc>
          <w:tcPr>
            <w:tcW w:w="889" w:type="dxa"/>
          </w:tcPr>
          <w:p/>
        </w:tc>
        <w:tc>
          <w:tcPr>
            <w:tcW w:w="1157" w:type="dxa"/>
          </w:tcPr>
          <w:p/>
        </w:tc>
        <w:tc>
          <w:tcPr>
            <w:tcW w:w="785" w:type="dxa"/>
          </w:tcPr>
          <w:p/>
        </w:tc>
        <w:tc>
          <w:tcPr>
            <w:tcW w:w="863" w:type="dxa"/>
          </w:tcPr>
          <w:p/>
        </w:tc>
        <w:tc>
          <w:tcPr>
            <w:tcW w:w="1417" w:type="dxa"/>
          </w:tcPr>
          <w:p/>
        </w:tc>
        <w:tc>
          <w:tcPr>
            <w:tcW w:w="1022" w:type="dxa"/>
          </w:tcPr>
          <w:p/>
        </w:tc>
        <w:tc>
          <w:tcPr>
            <w:tcW w:w="1233" w:type="dxa"/>
          </w:tcPr>
          <w:p/>
        </w:tc>
        <w:tc>
          <w:tcPr>
            <w:tcW w:w="807" w:type="dxa"/>
          </w:tcPr>
          <w:p/>
        </w:tc>
      </w:tr>
    </w:tbl>
    <w:p/>
    <w:p>
      <w:pPr>
        <w:pStyle w:val="102"/>
        <w:ind w:left="0" w:leftChars="0" w:firstLine="0" w:firstLineChars="0"/>
        <w:rPr>
          <w:rFonts w:hint="eastAsia" w:ascii="仿宋" w:hAnsi="仿宋" w:eastAsia="仿宋" w:cs="仿宋"/>
        </w:rPr>
      </w:pPr>
      <w:bookmarkStart w:id="627" w:name="_Toc8294"/>
      <w:bookmarkStart w:id="628" w:name="_Toc152045798"/>
      <w:bookmarkStart w:id="629" w:name="_Toc152042587"/>
      <w:bookmarkStart w:id="630" w:name="_Toc8423611"/>
      <w:bookmarkStart w:id="631" w:name="_Toc144974866"/>
      <w:r>
        <w:rPr>
          <w:rFonts w:hint="eastAsia" w:ascii="仿宋" w:hAnsi="仿宋" w:eastAsia="仿宋" w:cs="仿宋"/>
        </w:rPr>
        <w:t>附表二：拟配备本</w:t>
      </w:r>
      <w:r>
        <w:rPr>
          <w:rFonts w:hint="eastAsia" w:ascii="仿宋" w:hAnsi="仿宋" w:eastAsia="仿宋" w:cs="仿宋"/>
          <w:szCs w:val="21"/>
        </w:rPr>
        <w:t>项目</w:t>
      </w:r>
      <w:r>
        <w:rPr>
          <w:rFonts w:hint="eastAsia" w:ascii="仿宋" w:hAnsi="仿宋" w:eastAsia="仿宋" w:cs="仿宋"/>
        </w:rPr>
        <w:t>的试验和检测仪器设备表</w:t>
      </w:r>
      <w:bookmarkEnd w:id="627"/>
      <w:bookmarkEnd w:id="628"/>
      <w:bookmarkEnd w:id="629"/>
      <w:bookmarkEnd w:id="630"/>
      <w:bookmarkEnd w:id="631"/>
    </w:p>
    <w:p/>
    <w:tbl>
      <w:tblPr>
        <w:tblStyle w:val="41"/>
        <w:tblW w:w="9898" w:type="dxa"/>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271"/>
        <w:gridCol w:w="889"/>
        <w:gridCol w:w="1158"/>
        <w:gridCol w:w="786"/>
        <w:gridCol w:w="863"/>
        <w:gridCol w:w="1417"/>
        <w:gridCol w:w="1932"/>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vAlign w:val="center"/>
          </w:tcPr>
          <w:p>
            <w:pPr>
              <w:ind w:left="0" w:leftChars="0" w:firstLine="0" w:firstLineChars="0"/>
              <w:jc w:val="center"/>
            </w:pPr>
            <w:r>
              <w:rPr>
                <w:rFonts w:hint="eastAsia"/>
              </w:rPr>
              <w:t>序号</w:t>
            </w:r>
          </w:p>
        </w:tc>
        <w:tc>
          <w:tcPr>
            <w:tcW w:w="1271" w:type="dxa"/>
            <w:vAlign w:val="center"/>
          </w:tcPr>
          <w:p>
            <w:pPr>
              <w:ind w:left="0" w:leftChars="0" w:firstLine="0" w:firstLineChars="0"/>
              <w:jc w:val="center"/>
            </w:pPr>
            <w:r>
              <w:rPr>
                <w:rFonts w:hint="eastAsia"/>
              </w:rPr>
              <w:t>仪器设备名称</w:t>
            </w:r>
          </w:p>
        </w:tc>
        <w:tc>
          <w:tcPr>
            <w:tcW w:w="889" w:type="dxa"/>
            <w:vAlign w:val="center"/>
          </w:tcPr>
          <w:p>
            <w:pPr>
              <w:ind w:left="0" w:leftChars="0" w:firstLine="0" w:firstLineChars="0"/>
              <w:jc w:val="center"/>
            </w:pPr>
            <w:r>
              <w:rPr>
                <w:rFonts w:hint="eastAsia"/>
              </w:rPr>
              <w:t>型号</w:t>
            </w:r>
          </w:p>
          <w:p>
            <w:pPr>
              <w:ind w:left="0" w:leftChars="0" w:firstLine="0" w:firstLineChars="0"/>
              <w:jc w:val="center"/>
            </w:pPr>
            <w:r>
              <w:rPr>
                <w:rFonts w:hint="eastAsia"/>
              </w:rPr>
              <w:t>规格</w:t>
            </w:r>
          </w:p>
        </w:tc>
        <w:tc>
          <w:tcPr>
            <w:tcW w:w="1158" w:type="dxa"/>
            <w:vAlign w:val="center"/>
          </w:tcPr>
          <w:p>
            <w:pPr>
              <w:ind w:left="0" w:leftChars="0" w:firstLine="0" w:firstLineChars="0"/>
              <w:jc w:val="center"/>
            </w:pPr>
            <w:r>
              <w:rPr>
                <w:rFonts w:hint="eastAsia"/>
              </w:rPr>
              <w:t>数量</w:t>
            </w:r>
          </w:p>
        </w:tc>
        <w:tc>
          <w:tcPr>
            <w:tcW w:w="786" w:type="dxa"/>
            <w:vAlign w:val="center"/>
          </w:tcPr>
          <w:p>
            <w:pPr>
              <w:ind w:left="0" w:leftChars="0" w:firstLine="0" w:firstLineChars="0"/>
              <w:jc w:val="center"/>
            </w:pPr>
            <w:r>
              <w:rPr>
                <w:rFonts w:hint="eastAsia"/>
              </w:rPr>
              <w:t>国别</w:t>
            </w:r>
          </w:p>
          <w:p>
            <w:pPr>
              <w:ind w:left="0" w:leftChars="0" w:firstLine="0" w:firstLineChars="0"/>
              <w:jc w:val="center"/>
            </w:pPr>
            <w:r>
              <w:rPr>
                <w:rFonts w:hint="eastAsia"/>
              </w:rPr>
              <w:t>产地</w:t>
            </w:r>
          </w:p>
        </w:tc>
        <w:tc>
          <w:tcPr>
            <w:tcW w:w="863" w:type="dxa"/>
            <w:vAlign w:val="center"/>
          </w:tcPr>
          <w:p>
            <w:pPr>
              <w:ind w:left="0" w:leftChars="0" w:firstLine="0" w:firstLineChars="0"/>
              <w:jc w:val="center"/>
            </w:pPr>
            <w:r>
              <w:rPr>
                <w:rFonts w:hint="eastAsia"/>
              </w:rPr>
              <w:t>制造年份</w:t>
            </w:r>
          </w:p>
        </w:tc>
        <w:tc>
          <w:tcPr>
            <w:tcW w:w="1417" w:type="dxa"/>
            <w:vAlign w:val="center"/>
          </w:tcPr>
          <w:p>
            <w:pPr>
              <w:ind w:left="0" w:leftChars="0" w:firstLine="0" w:firstLineChars="0"/>
              <w:jc w:val="center"/>
            </w:pPr>
            <w:r>
              <w:rPr>
                <w:rFonts w:hint="eastAsia"/>
              </w:rPr>
              <w:t>已使用台时数</w:t>
            </w:r>
          </w:p>
        </w:tc>
        <w:tc>
          <w:tcPr>
            <w:tcW w:w="1932" w:type="dxa"/>
            <w:vAlign w:val="center"/>
          </w:tcPr>
          <w:p>
            <w:pPr>
              <w:jc w:val="center"/>
            </w:pPr>
            <w:r>
              <w:rPr>
                <w:rFonts w:hint="eastAsia"/>
              </w:rPr>
              <w:t>用途</w:t>
            </w:r>
          </w:p>
        </w:tc>
        <w:tc>
          <w:tcPr>
            <w:tcW w:w="804" w:type="dxa"/>
            <w:vAlign w:val="center"/>
          </w:tcPr>
          <w:p>
            <w:pPr>
              <w:ind w:left="0" w:leftChars="0" w:firstLine="0" w:firstLineChars="0"/>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vAlign w:val="center"/>
          </w:tcPr>
          <w:p/>
        </w:tc>
        <w:tc>
          <w:tcPr>
            <w:tcW w:w="1271" w:type="dxa"/>
            <w:vAlign w:val="center"/>
          </w:tcPr>
          <w:p/>
        </w:tc>
        <w:tc>
          <w:tcPr>
            <w:tcW w:w="889" w:type="dxa"/>
            <w:vAlign w:val="center"/>
          </w:tcPr>
          <w:p/>
        </w:tc>
        <w:tc>
          <w:tcPr>
            <w:tcW w:w="1158" w:type="dxa"/>
            <w:vAlign w:val="center"/>
          </w:tcPr>
          <w:p/>
        </w:tc>
        <w:tc>
          <w:tcPr>
            <w:tcW w:w="786" w:type="dxa"/>
            <w:vAlign w:val="center"/>
          </w:tcPr>
          <w:p/>
        </w:tc>
        <w:tc>
          <w:tcPr>
            <w:tcW w:w="863" w:type="dxa"/>
            <w:vAlign w:val="center"/>
          </w:tcPr>
          <w:p/>
        </w:tc>
        <w:tc>
          <w:tcPr>
            <w:tcW w:w="1417" w:type="dxa"/>
            <w:vAlign w:val="center"/>
          </w:tcPr>
          <w:p/>
        </w:tc>
        <w:tc>
          <w:tcPr>
            <w:tcW w:w="1932" w:type="dxa"/>
            <w:vAlign w:val="center"/>
          </w:tcPr>
          <w:p/>
        </w:tc>
        <w:tc>
          <w:tcPr>
            <w:tcW w:w="804"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vAlign w:val="center"/>
          </w:tcPr>
          <w:p/>
        </w:tc>
        <w:tc>
          <w:tcPr>
            <w:tcW w:w="1271" w:type="dxa"/>
            <w:vAlign w:val="center"/>
          </w:tcPr>
          <w:p/>
        </w:tc>
        <w:tc>
          <w:tcPr>
            <w:tcW w:w="889" w:type="dxa"/>
            <w:vAlign w:val="center"/>
          </w:tcPr>
          <w:p/>
        </w:tc>
        <w:tc>
          <w:tcPr>
            <w:tcW w:w="1158" w:type="dxa"/>
            <w:vAlign w:val="center"/>
          </w:tcPr>
          <w:p/>
        </w:tc>
        <w:tc>
          <w:tcPr>
            <w:tcW w:w="786" w:type="dxa"/>
            <w:vAlign w:val="center"/>
          </w:tcPr>
          <w:p/>
        </w:tc>
        <w:tc>
          <w:tcPr>
            <w:tcW w:w="863" w:type="dxa"/>
            <w:vAlign w:val="center"/>
          </w:tcPr>
          <w:p/>
        </w:tc>
        <w:tc>
          <w:tcPr>
            <w:tcW w:w="1417" w:type="dxa"/>
            <w:vAlign w:val="center"/>
          </w:tcPr>
          <w:p/>
        </w:tc>
        <w:tc>
          <w:tcPr>
            <w:tcW w:w="1932" w:type="dxa"/>
            <w:vAlign w:val="center"/>
          </w:tcPr>
          <w:p/>
        </w:tc>
        <w:tc>
          <w:tcPr>
            <w:tcW w:w="804"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8" w:type="dxa"/>
          </w:tcPr>
          <w:p/>
        </w:tc>
        <w:tc>
          <w:tcPr>
            <w:tcW w:w="1271" w:type="dxa"/>
          </w:tcPr>
          <w:p/>
        </w:tc>
        <w:tc>
          <w:tcPr>
            <w:tcW w:w="889" w:type="dxa"/>
          </w:tcPr>
          <w:p/>
        </w:tc>
        <w:tc>
          <w:tcPr>
            <w:tcW w:w="1158" w:type="dxa"/>
          </w:tcPr>
          <w:p/>
        </w:tc>
        <w:tc>
          <w:tcPr>
            <w:tcW w:w="786" w:type="dxa"/>
          </w:tcPr>
          <w:p/>
        </w:tc>
        <w:tc>
          <w:tcPr>
            <w:tcW w:w="863" w:type="dxa"/>
          </w:tcPr>
          <w:p/>
        </w:tc>
        <w:tc>
          <w:tcPr>
            <w:tcW w:w="1417" w:type="dxa"/>
          </w:tcPr>
          <w:p/>
        </w:tc>
        <w:tc>
          <w:tcPr>
            <w:tcW w:w="1932" w:type="dxa"/>
          </w:tcPr>
          <w:p/>
        </w:tc>
        <w:tc>
          <w:tcPr>
            <w:tcW w:w="804" w:type="dxa"/>
          </w:tcPr>
          <w:p/>
        </w:tc>
      </w:tr>
    </w:tbl>
    <w:p/>
    <w:p/>
    <w:p>
      <w:pPr>
        <w:pStyle w:val="102"/>
        <w:ind w:left="0" w:leftChars="0" w:firstLine="0" w:firstLineChars="0"/>
        <w:rPr>
          <w:rFonts w:hint="eastAsia" w:ascii="仿宋" w:hAnsi="仿宋" w:eastAsia="仿宋" w:cs="仿宋"/>
        </w:rPr>
      </w:pPr>
      <w:bookmarkStart w:id="632" w:name="_Toc8423612"/>
      <w:bookmarkStart w:id="633" w:name="_Toc144974867"/>
      <w:bookmarkStart w:id="634" w:name="_Toc23368"/>
      <w:bookmarkStart w:id="635" w:name="_Toc152042588"/>
      <w:bookmarkStart w:id="636" w:name="_Toc152045799"/>
      <w:r>
        <w:rPr>
          <w:rFonts w:hint="eastAsia" w:ascii="仿宋" w:hAnsi="仿宋" w:eastAsia="仿宋" w:cs="仿宋"/>
        </w:rPr>
        <w:t>附表三：劳动力计划表</w:t>
      </w:r>
      <w:bookmarkEnd w:id="632"/>
      <w:bookmarkEnd w:id="633"/>
      <w:bookmarkEnd w:id="634"/>
      <w:bookmarkEnd w:id="635"/>
      <w:bookmarkEnd w:id="636"/>
    </w:p>
    <w:p>
      <w:pPr>
        <w:ind w:left="0" w:leftChars="0" w:firstLine="0" w:firstLineChars="0"/>
        <w:jc w:val="right"/>
      </w:pPr>
      <w:r>
        <w:rPr>
          <w:rFonts w:hint="eastAsia"/>
        </w:rPr>
        <w:t>单位：人</w:t>
      </w:r>
    </w:p>
    <w:tbl>
      <w:tblPr>
        <w:tblStyle w:val="41"/>
        <w:tblW w:w="9962" w:type="dxa"/>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1525"/>
        <w:gridCol w:w="1245"/>
        <w:gridCol w:w="1245"/>
        <w:gridCol w:w="1245"/>
        <w:gridCol w:w="1245"/>
        <w:gridCol w:w="1245"/>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pPr>
              <w:ind w:left="0" w:leftChars="0" w:firstLine="0" w:firstLineChars="0"/>
              <w:jc w:val="center"/>
            </w:pPr>
            <w:r>
              <w:rPr>
                <w:rFonts w:hint="eastAsia"/>
              </w:rPr>
              <w:t>工种</w:t>
            </w:r>
          </w:p>
        </w:tc>
        <w:tc>
          <w:tcPr>
            <w:tcW w:w="8993" w:type="dxa"/>
            <w:gridSpan w:val="7"/>
            <w:vAlign w:val="center"/>
          </w:tcPr>
          <w:p>
            <w:pPr>
              <w:ind w:left="0" w:leftChars="0" w:firstLine="0" w:firstLineChars="0"/>
              <w:jc w:val="center"/>
            </w:pPr>
            <w:r>
              <w:rPr>
                <w:rFonts w:hint="eastAsia"/>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tc>
        <w:tc>
          <w:tcPr>
            <w:tcW w:w="1525" w:type="dxa"/>
            <w:vAlign w:val="center"/>
          </w:tcPr>
          <w:p/>
        </w:tc>
        <w:tc>
          <w:tcPr>
            <w:tcW w:w="1245" w:type="dxa"/>
            <w:vAlign w:val="center"/>
          </w:tcPr>
          <w:p/>
        </w:tc>
        <w:tc>
          <w:tcPr>
            <w:tcW w:w="1245" w:type="dxa"/>
            <w:vAlign w:val="center"/>
          </w:tcPr>
          <w:p/>
        </w:tc>
        <w:tc>
          <w:tcPr>
            <w:tcW w:w="1245" w:type="dxa"/>
            <w:vAlign w:val="center"/>
          </w:tcPr>
          <w:p/>
        </w:tc>
        <w:tc>
          <w:tcPr>
            <w:tcW w:w="1245" w:type="dxa"/>
            <w:vAlign w:val="center"/>
          </w:tcPr>
          <w:p/>
        </w:tc>
        <w:tc>
          <w:tcPr>
            <w:tcW w:w="1245" w:type="dxa"/>
            <w:vAlign w:val="center"/>
          </w:tcPr>
          <w:p/>
        </w:tc>
        <w:tc>
          <w:tcPr>
            <w:tcW w:w="1243"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vAlign w:val="center"/>
          </w:tcPr>
          <w:p/>
        </w:tc>
        <w:tc>
          <w:tcPr>
            <w:tcW w:w="1525" w:type="dxa"/>
            <w:vAlign w:val="center"/>
          </w:tcPr>
          <w:p/>
        </w:tc>
        <w:tc>
          <w:tcPr>
            <w:tcW w:w="1245" w:type="dxa"/>
            <w:vAlign w:val="center"/>
          </w:tcPr>
          <w:p/>
        </w:tc>
        <w:tc>
          <w:tcPr>
            <w:tcW w:w="1245" w:type="dxa"/>
            <w:vAlign w:val="center"/>
          </w:tcPr>
          <w:p/>
        </w:tc>
        <w:tc>
          <w:tcPr>
            <w:tcW w:w="1245" w:type="dxa"/>
            <w:vAlign w:val="center"/>
          </w:tcPr>
          <w:p/>
        </w:tc>
        <w:tc>
          <w:tcPr>
            <w:tcW w:w="1245" w:type="dxa"/>
            <w:vAlign w:val="center"/>
          </w:tcPr>
          <w:p/>
        </w:tc>
        <w:tc>
          <w:tcPr>
            <w:tcW w:w="1245" w:type="dxa"/>
            <w:vAlign w:val="center"/>
          </w:tcPr>
          <w:p/>
        </w:tc>
        <w:tc>
          <w:tcPr>
            <w:tcW w:w="1243"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Pr>
          <w:p/>
        </w:tc>
        <w:tc>
          <w:tcPr>
            <w:tcW w:w="1525" w:type="dxa"/>
          </w:tcPr>
          <w:p/>
        </w:tc>
        <w:tc>
          <w:tcPr>
            <w:tcW w:w="1245" w:type="dxa"/>
          </w:tcPr>
          <w:p/>
        </w:tc>
        <w:tc>
          <w:tcPr>
            <w:tcW w:w="1245" w:type="dxa"/>
          </w:tcPr>
          <w:p/>
        </w:tc>
        <w:tc>
          <w:tcPr>
            <w:tcW w:w="1245" w:type="dxa"/>
          </w:tcPr>
          <w:p/>
        </w:tc>
        <w:tc>
          <w:tcPr>
            <w:tcW w:w="1245" w:type="dxa"/>
          </w:tcPr>
          <w:p/>
        </w:tc>
        <w:tc>
          <w:tcPr>
            <w:tcW w:w="1245" w:type="dxa"/>
          </w:tcPr>
          <w:p/>
        </w:tc>
        <w:tc>
          <w:tcPr>
            <w:tcW w:w="1243" w:type="dxa"/>
          </w:tcPr>
          <w:p/>
        </w:tc>
      </w:tr>
    </w:tbl>
    <w:p/>
    <w:p/>
    <w:p/>
    <w:p>
      <w:pPr>
        <w:pStyle w:val="102"/>
        <w:ind w:left="0" w:leftChars="0" w:firstLine="0" w:firstLineChars="0"/>
        <w:rPr>
          <w:rFonts w:hint="eastAsia" w:ascii="仿宋" w:hAnsi="仿宋" w:eastAsia="仿宋" w:cs="仿宋"/>
        </w:rPr>
      </w:pPr>
      <w:bookmarkStart w:id="637" w:name="_Toc152045800"/>
      <w:bookmarkStart w:id="638" w:name="_Toc152042589"/>
      <w:bookmarkStart w:id="639" w:name="_Toc26928"/>
      <w:bookmarkStart w:id="640" w:name="_Toc144974868"/>
      <w:bookmarkStart w:id="641" w:name="_Toc8423613"/>
      <w:r>
        <w:rPr>
          <w:rFonts w:hint="eastAsia" w:ascii="仿宋" w:hAnsi="仿宋" w:eastAsia="仿宋" w:cs="仿宋"/>
        </w:rPr>
        <w:t>附表四：计划开、竣工日期和施工进度网络图</w:t>
      </w:r>
      <w:bookmarkEnd w:id="637"/>
      <w:bookmarkEnd w:id="638"/>
      <w:bookmarkEnd w:id="639"/>
      <w:bookmarkEnd w:id="640"/>
      <w:bookmarkEnd w:id="641"/>
    </w:p>
    <w:p>
      <w:r>
        <w:rPr>
          <w:rFonts w:hint="eastAsia"/>
        </w:rPr>
        <w:t xml:space="preserve"> 投标人应递交施工进度网络图，说明按招标文件要求的计划工期进行施工的各个关键日期。</w:t>
      </w:r>
    </w:p>
    <w:p/>
    <w:p/>
    <w:p/>
    <w:p/>
    <w:p/>
    <w:p/>
    <w:p/>
    <w:p/>
    <w:p/>
    <w:p/>
    <w:p/>
    <w:p/>
    <w:p/>
    <w:p/>
    <w:p/>
    <w:p/>
    <w:p/>
    <w:p>
      <w:pPr>
        <w:pStyle w:val="102"/>
        <w:ind w:left="0" w:leftChars="0" w:firstLine="0" w:firstLineChars="0"/>
      </w:pPr>
      <w:bookmarkStart w:id="642" w:name="_Toc144974869"/>
      <w:bookmarkStart w:id="643" w:name="_Toc8423614"/>
      <w:bookmarkStart w:id="644" w:name="_Toc152045801"/>
      <w:bookmarkStart w:id="645" w:name="_Toc152042590"/>
      <w:r>
        <w:rPr>
          <w:rFonts w:hint="eastAsia"/>
        </w:rPr>
        <w:br w:type="page"/>
      </w:r>
      <w:bookmarkEnd w:id="642"/>
      <w:bookmarkEnd w:id="643"/>
      <w:bookmarkEnd w:id="644"/>
      <w:bookmarkEnd w:id="645"/>
      <w:bookmarkStart w:id="646" w:name="_Toc26686"/>
      <w:r>
        <w:rPr>
          <w:rFonts w:hint="eastAsia" w:ascii="仿宋" w:hAnsi="仿宋" w:eastAsia="仿宋" w:cs="仿宋"/>
        </w:rPr>
        <w:t>附表五：施工总平面图</w:t>
      </w:r>
      <w:bookmarkEnd w:id="646"/>
    </w:p>
    <w:p>
      <w:r>
        <w:rPr>
          <w:rFonts w:hint="eastAsia"/>
        </w:rPr>
        <w:tab/>
      </w:r>
    </w:p>
    <w:p>
      <w:r>
        <w:rPr>
          <w:rFonts w:hint="eastAsia"/>
        </w:rPr>
        <w:t>投标人应递交一份施工总平面图，绘出现场临时设施布置图表并附文字说明，说明临时设施、加工车间、现场办公、设备及仓储、供电、供水、卫生、生活、道路、消防等设施的情况和布置。</w:t>
      </w:r>
    </w:p>
    <w:p/>
    <w:p/>
    <w:p/>
    <w:p/>
    <w:p/>
    <w:p/>
    <w:p/>
    <w:p/>
    <w:p/>
    <w:p/>
    <w:p/>
    <w:p/>
    <w:p/>
    <w:p/>
    <w:p/>
    <w:p/>
    <w:p/>
    <w:p/>
    <w:p/>
    <w:p/>
    <w:p/>
    <w:p/>
    <w:p/>
    <w:p/>
    <w:p/>
    <w:p/>
    <w:p>
      <w:pPr>
        <w:pStyle w:val="102"/>
        <w:ind w:left="0" w:leftChars="0" w:firstLine="0" w:firstLineChars="0"/>
        <w:rPr>
          <w:rFonts w:hint="eastAsia" w:ascii="仿宋" w:hAnsi="仿宋" w:eastAsia="仿宋" w:cs="仿宋"/>
          <w:szCs w:val="23"/>
        </w:rPr>
      </w:pPr>
      <w:bookmarkStart w:id="647" w:name="_Toc144974870"/>
      <w:bookmarkStart w:id="648" w:name="_Toc886"/>
      <w:bookmarkStart w:id="649" w:name="_Toc152042591"/>
      <w:bookmarkStart w:id="650" w:name="_Toc152045802"/>
      <w:bookmarkStart w:id="651" w:name="_Toc8423615"/>
      <w:r>
        <w:rPr>
          <w:rFonts w:hint="eastAsia" w:ascii="仿宋" w:hAnsi="仿宋" w:eastAsia="仿宋" w:cs="仿宋"/>
          <w:szCs w:val="23"/>
        </w:rPr>
        <w:t>附表六：临时用地表</w:t>
      </w:r>
      <w:bookmarkEnd w:id="647"/>
      <w:bookmarkEnd w:id="648"/>
      <w:bookmarkEnd w:id="649"/>
      <w:bookmarkEnd w:id="650"/>
      <w:bookmarkEnd w:id="651"/>
    </w:p>
    <w:p/>
    <w:tbl>
      <w:tblPr>
        <w:tblStyle w:val="41"/>
        <w:tblW w:w="9962" w:type="dxa"/>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490"/>
        <w:gridCol w:w="2491"/>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r>
              <w:rPr>
                <w:rFonts w:hint="eastAsia"/>
              </w:rPr>
              <w:t>用 途</w:t>
            </w:r>
          </w:p>
        </w:tc>
        <w:tc>
          <w:tcPr>
            <w:tcW w:w="2490" w:type="dxa"/>
          </w:tcPr>
          <w:p>
            <w:r>
              <w:rPr>
                <w:rFonts w:hint="eastAsia"/>
              </w:rPr>
              <w:t>面 积（平方米）</w:t>
            </w:r>
          </w:p>
        </w:tc>
        <w:tc>
          <w:tcPr>
            <w:tcW w:w="2491" w:type="dxa"/>
          </w:tcPr>
          <w:p>
            <w:r>
              <w:rPr>
                <w:rFonts w:hint="eastAsia"/>
              </w:rPr>
              <w:t>位 置</w:t>
            </w:r>
          </w:p>
        </w:tc>
        <w:tc>
          <w:tcPr>
            <w:tcW w:w="2491" w:type="dxa"/>
          </w:tcPr>
          <w:p>
            <w:r>
              <w:rPr>
                <w:rFonts w:hint="eastAsia"/>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dxa"/>
          </w:tcPr>
          <w:p/>
        </w:tc>
        <w:tc>
          <w:tcPr>
            <w:tcW w:w="2490" w:type="dxa"/>
          </w:tcPr>
          <w:p/>
        </w:tc>
        <w:tc>
          <w:tcPr>
            <w:tcW w:w="2491" w:type="dxa"/>
          </w:tcPr>
          <w:p/>
        </w:tc>
        <w:tc>
          <w:tcPr>
            <w:tcW w:w="2491" w:type="dxa"/>
          </w:tcPr>
          <w:p/>
        </w:tc>
      </w:tr>
    </w:tbl>
    <w:p/>
    <w:p>
      <w:pPr>
        <w:pStyle w:val="93"/>
        <w:ind w:left="0" w:leftChars="0" w:firstLine="0" w:firstLineChars="0"/>
        <w:jc w:val="center"/>
        <w:rPr>
          <w:rFonts w:hint="eastAsia" w:ascii="仿宋" w:hAnsi="仿宋" w:eastAsia="仿宋" w:cs="仿宋"/>
          <w:b/>
          <w:bCs/>
        </w:rPr>
      </w:pPr>
      <w:r>
        <w:rPr>
          <w:rFonts w:hint="eastAsia" w:ascii="仿宋" w:hAnsi="仿宋" w:eastAsia="仿宋" w:cs="仿宋"/>
          <w:b/>
          <w:bCs/>
        </w:rPr>
        <w:t>六、项目管理机构</w:t>
      </w:r>
    </w:p>
    <w:p>
      <w:pPr>
        <w:pStyle w:val="102"/>
        <w:spacing w:line="440" w:lineRule="exact"/>
        <w:ind w:left="0" w:leftChars="0" w:firstLine="0" w:firstLineChars="0"/>
        <w:jc w:val="center"/>
      </w:pPr>
      <w:r>
        <w:rPr>
          <w:rFonts w:hint="eastAsia" w:ascii="仿宋" w:hAnsi="仿宋" w:eastAsia="仿宋" w:cs="仿宋"/>
          <w:b/>
          <w:szCs w:val="24"/>
        </w:rPr>
        <w:t>（一）项目管理机构组成表</w:t>
      </w:r>
    </w:p>
    <w:tbl>
      <w:tblPr>
        <w:tblStyle w:val="41"/>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761"/>
        <w:gridCol w:w="760"/>
        <w:gridCol w:w="1142"/>
        <w:gridCol w:w="760"/>
        <w:gridCol w:w="762"/>
        <w:gridCol w:w="760"/>
        <w:gridCol w:w="2665"/>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restart"/>
            <w:vAlign w:val="center"/>
          </w:tcPr>
          <w:p>
            <w:pPr>
              <w:ind w:left="0" w:leftChars="0" w:firstLine="0" w:firstLineChars="0"/>
              <w:jc w:val="center"/>
            </w:pPr>
            <w:r>
              <w:rPr>
                <w:rFonts w:hint="eastAsia"/>
              </w:rPr>
              <w:t>职务</w:t>
            </w:r>
          </w:p>
        </w:tc>
        <w:tc>
          <w:tcPr>
            <w:tcW w:w="761" w:type="dxa"/>
            <w:vMerge w:val="restart"/>
            <w:vAlign w:val="center"/>
          </w:tcPr>
          <w:p>
            <w:pPr>
              <w:ind w:left="0" w:leftChars="0" w:firstLine="0" w:firstLineChars="0"/>
              <w:jc w:val="center"/>
            </w:pPr>
            <w:r>
              <w:rPr>
                <w:rFonts w:hint="eastAsia"/>
              </w:rPr>
              <w:t>姓名</w:t>
            </w:r>
          </w:p>
        </w:tc>
        <w:tc>
          <w:tcPr>
            <w:tcW w:w="760" w:type="dxa"/>
            <w:vMerge w:val="restart"/>
            <w:vAlign w:val="center"/>
          </w:tcPr>
          <w:p>
            <w:pPr>
              <w:ind w:left="0" w:leftChars="0" w:firstLine="0" w:firstLineChars="0"/>
              <w:jc w:val="center"/>
            </w:pPr>
            <w:r>
              <w:rPr>
                <w:rFonts w:hint="eastAsia"/>
              </w:rPr>
              <w:t>职称</w:t>
            </w:r>
          </w:p>
        </w:tc>
        <w:tc>
          <w:tcPr>
            <w:tcW w:w="6089" w:type="dxa"/>
            <w:gridSpan w:val="5"/>
            <w:vAlign w:val="center"/>
          </w:tcPr>
          <w:p>
            <w:pPr>
              <w:ind w:left="0" w:leftChars="0" w:firstLine="0" w:firstLineChars="0"/>
              <w:jc w:val="center"/>
            </w:pPr>
            <w:r>
              <w:rPr>
                <w:rFonts w:hint="eastAsia"/>
              </w:rPr>
              <w:t>执业或职业资格证明</w:t>
            </w:r>
          </w:p>
        </w:tc>
        <w:tc>
          <w:tcPr>
            <w:tcW w:w="706" w:type="dxa"/>
            <w:vAlign w:val="center"/>
          </w:tcPr>
          <w:p>
            <w:pPr>
              <w:ind w:left="0" w:leftChars="0" w:firstLine="0" w:firstLineChars="0"/>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687" w:type="dxa"/>
            <w:vMerge w:val="continue"/>
            <w:vAlign w:val="center"/>
          </w:tcPr>
          <w:p>
            <w:pPr>
              <w:jc w:val="center"/>
            </w:pPr>
          </w:p>
        </w:tc>
        <w:tc>
          <w:tcPr>
            <w:tcW w:w="761" w:type="dxa"/>
            <w:vMerge w:val="continue"/>
            <w:vAlign w:val="center"/>
          </w:tcPr>
          <w:p>
            <w:pPr>
              <w:jc w:val="center"/>
            </w:pPr>
          </w:p>
        </w:tc>
        <w:tc>
          <w:tcPr>
            <w:tcW w:w="760" w:type="dxa"/>
            <w:vMerge w:val="continue"/>
            <w:vAlign w:val="center"/>
          </w:tcPr>
          <w:p>
            <w:pPr>
              <w:jc w:val="center"/>
            </w:pPr>
          </w:p>
        </w:tc>
        <w:tc>
          <w:tcPr>
            <w:tcW w:w="1142" w:type="dxa"/>
            <w:vAlign w:val="center"/>
          </w:tcPr>
          <w:p>
            <w:pPr>
              <w:ind w:left="0" w:leftChars="0" w:firstLine="0" w:firstLineChars="0"/>
              <w:jc w:val="center"/>
            </w:pPr>
            <w:r>
              <w:rPr>
                <w:rFonts w:hint="eastAsia"/>
              </w:rPr>
              <w:t>证书名称</w:t>
            </w:r>
          </w:p>
        </w:tc>
        <w:tc>
          <w:tcPr>
            <w:tcW w:w="760" w:type="dxa"/>
            <w:vAlign w:val="center"/>
          </w:tcPr>
          <w:p>
            <w:pPr>
              <w:ind w:left="0" w:leftChars="0" w:firstLine="0" w:firstLineChars="0"/>
              <w:jc w:val="center"/>
            </w:pPr>
            <w:r>
              <w:rPr>
                <w:rFonts w:hint="eastAsia"/>
              </w:rPr>
              <w:t>级别</w:t>
            </w:r>
          </w:p>
        </w:tc>
        <w:tc>
          <w:tcPr>
            <w:tcW w:w="762" w:type="dxa"/>
            <w:vAlign w:val="center"/>
          </w:tcPr>
          <w:p>
            <w:pPr>
              <w:ind w:left="0" w:leftChars="0" w:firstLine="0" w:firstLineChars="0"/>
              <w:jc w:val="center"/>
            </w:pPr>
            <w:r>
              <w:rPr>
                <w:rFonts w:hint="eastAsia"/>
              </w:rPr>
              <w:t>证号</w:t>
            </w:r>
          </w:p>
        </w:tc>
        <w:tc>
          <w:tcPr>
            <w:tcW w:w="760" w:type="dxa"/>
            <w:vAlign w:val="center"/>
          </w:tcPr>
          <w:p>
            <w:pPr>
              <w:ind w:left="0" w:leftChars="0" w:firstLine="0" w:firstLineChars="0"/>
              <w:jc w:val="center"/>
            </w:pPr>
            <w:r>
              <w:rPr>
                <w:rFonts w:hint="eastAsia"/>
              </w:rPr>
              <w:t>专业</w:t>
            </w:r>
          </w:p>
        </w:tc>
        <w:tc>
          <w:tcPr>
            <w:tcW w:w="2665" w:type="dxa"/>
            <w:vAlign w:val="center"/>
          </w:tcPr>
          <w:p>
            <w:pPr>
              <w:ind w:left="0" w:leftChars="0" w:firstLine="0" w:firstLineChars="0"/>
              <w:jc w:val="center"/>
            </w:pPr>
            <w:r>
              <w:rPr>
                <w:rFonts w:hint="eastAsia"/>
              </w:rPr>
              <w:t>养老保险</w:t>
            </w:r>
          </w:p>
        </w:tc>
        <w:tc>
          <w:tcPr>
            <w:tcW w:w="70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tc>
        <w:tc>
          <w:tcPr>
            <w:tcW w:w="761" w:type="dxa"/>
            <w:vAlign w:val="center"/>
          </w:tcPr>
          <w:p/>
        </w:tc>
        <w:tc>
          <w:tcPr>
            <w:tcW w:w="760" w:type="dxa"/>
            <w:vAlign w:val="center"/>
          </w:tcPr>
          <w:p/>
        </w:tc>
        <w:tc>
          <w:tcPr>
            <w:tcW w:w="1142" w:type="dxa"/>
            <w:vAlign w:val="center"/>
          </w:tcPr>
          <w:p/>
        </w:tc>
        <w:tc>
          <w:tcPr>
            <w:tcW w:w="760" w:type="dxa"/>
            <w:vAlign w:val="center"/>
          </w:tcPr>
          <w:p/>
        </w:tc>
        <w:tc>
          <w:tcPr>
            <w:tcW w:w="762" w:type="dxa"/>
            <w:vAlign w:val="center"/>
          </w:tcPr>
          <w:p/>
        </w:tc>
        <w:tc>
          <w:tcPr>
            <w:tcW w:w="760" w:type="dxa"/>
            <w:vAlign w:val="center"/>
          </w:tcPr>
          <w:p/>
        </w:tc>
        <w:tc>
          <w:tcPr>
            <w:tcW w:w="2665" w:type="dxa"/>
            <w:vAlign w:val="center"/>
          </w:tcPr>
          <w:p/>
        </w:tc>
        <w:tc>
          <w:tcPr>
            <w:tcW w:w="706"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tc>
        <w:tc>
          <w:tcPr>
            <w:tcW w:w="761" w:type="dxa"/>
          </w:tcPr>
          <w:p/>
        </w:tc>
        <w:tc>
          <w:tcPr>
            <w:tcW w:w="760" w:type="dxa"/>
          </w:tcPr>
          <w:p/>
        </w:tc>
        <w:tc>
          <w:tcPr>
            <w:tcW w:w="1142" w:type="dxa"/>
          </w:tcPr>
          <w:p/>
        </w:tc>
        <w:tc>
          <w:tcPr>
            <w:tcW w:w="760" w:type="dxa"/>
          </w:tcPr>
          <w:p/>
        </w:tc>
        <w:tc>
          <w:tcPr>
            <w:tcW w:w="762" w:type="dxa"/>
          </w:tcPr>
          <w:p/>
        </w:tc>
        <w:tc>
          <w:tcPr>
            <w:tcW w:w="760" w:type="dxa"/>
          </w:tcPr>
          <w:p/>
        </w:tc>
        <w:tc>
          <w:tcPr>
            <w:tcW w:w="2665" w:type="dxa"/>
          </w:tcPr>
          <w:p/>
        </w:tc>
        <w:tc>
          <w:tcPr>
            <w:tcW w:w="70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tc>
        <w:tc>
          <w:tcPr>
            <w:tcW w:w="761" w:type="dxa"/>
          </w:tcPr>
          <w:p/>
        </w:tc>
        <w:tc>
          <w:tcPr>
            <w:tcW w:w="760" w:type="dxa"/>
          </w:tcPr>
          <w:p/>
        </w:tc>
        <w:tc>
          <w:tcPr>
            <w:tcW w:w="1142" w:type="dxa"/>
          </w:tcPr>
          <w:p/>
        </w:tc>
        <w:tc>
          <w:tcPr>
            <w:tcW w:w="760" w:type="dxa"/>
          </w:tcPr>
          <w:p/>
        </w:tc>
        <w:tc>
          <w:tcPr>
            <w:tcW w:w="762" w:type="dxa"/>
          </w:tcPr>
          <w:p/>
        </w:tc>
        <w:tc>
          <w:tcPr>
            <w:tcW w:w="760" w:type="dxa"/>
          </w:tcPr>
          <w:p/>
        </w:tc>
        <w:tc>
          <w:tcPr>
            <w:tcW w:w="2665" w:type="dxa"/>
          </w:tcPr>
          <w:p/>
        </w:tc>
        <w:tc>
          <w:tcPr>
            <w:tcW w:w="70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tc>
        <w:tc>
          <w:tcPr>
            <w:tcW w:w="761" w:type="dxa"/>
          </w:tcPr>
          <w:p/>
        </w:tc>
        <w:tc>
          <w:tcPr>
            <w:tcW w:w="760" w:type="dxa"/>
          </w:tcPr>
          <w:p/>
        </w:tc>
        <w:tc>
          <w:tcPr>
            <w:tcW w:w="1142" w:type="dxa"/>
          </w:tcPr>
          <w:p/>
        </w:tc>
        <w:tc>
          <w:tcPr>
            <w:tcW w:w="760" w:type="dxa"/>
          </w:tcPr>
          <w:p/>
        </w:tc>
        <w:tc>
          <w:tcPr>
            <w:tcW w:w="762" w:type="dxa"/>
          </w:tcPr>
          <w:p/>
        </w:tc>
        <w:tc>
          <w:tcPr>
            <w:tcW w:w="760" w:type="dxa"/>
          </w:tcPr>
          <w:p/>
        </w:tc>
        <w:tc>
          <w:tcPr>
            <w:tcW w:w="2665" w:type="dxa"/>
          </w:tcPr>
          <w:p/>
        </w:tc>
        <w:tc>
          <w:tcPr>
            <w:tcW w:w="70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tc>
        <w:tc>
          <w:tcPr>
            <w:tcW w:w="761" w:type="dxa"/>
          </w:tcPr>
          <w:p/>
        </w:tc>
        <w:tc>
          <w:tcPr>
            <w:tcW w:w="760" w:type="dxa"/>
          </w:tcPr>
          <w:p/>
        </w:tc>
        <w:tc>
          <w:tcPr>
            <w:tcW w:w="1142" w:type="dxa"/>
          </w:tcPr>
          <w:p/>
        </w:tc>
        <w:tc>
          <w:tcPr>
            <w:tcW w:w="760" w:type="dxa"/>
          </w:tcPr>
          <w:p/>
        </w:tc>
        <w:tc>
          <w:tcPr>
            <w:tcW w:w="762" w:type="dxa"/>
          </w:tcPr>
          <w:p/>
        </w:tc>
        <w:tc>
          <w:tcPr>
            <w:tcW w:w="760" w:type="dxa"/>
          </w:tcPr>
          <w:p/>
        </w:tc>
        <w:tc>
          <w:tcPr>
            <w:tcW w:w="2665" w:type="dxa"/>
          </w:tcPr>
          <w:p/>
        </w:tc>
        <w:tc>
          <w:tcPr>
            <w:tcW w:w="70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tc>
        <w:tc>
          <w:tcPr>
            <w:tcW w:w="761" w:type="dxa"/>
          </w:tcPr>
          <w:p/>
        </w:tc>
        <w:tc>
          <w:tcPr>
            <w:tcW w:w="760" w:type="dxa"/>
          </w:tcPr>
          <w:p/>
        </w:tc>
        <w:tc>
          <w:tcPr>
            <w:tcW w:w="1142" w:type="dxa"/>
          </w:tcPr>
          <w:p/>
        </w:tc>
        <w:tc>
          <w:tcPr>
            <w:tcW w:w="760" w:type="dxa"/>
          </w:tcPr>
          <w:p/>
        </w:tc>
        <w:tc>
          <w:tcPr>
            <w:tcW w:w="762" w:type="dxa"/>
          </w:tcPr>
          <w:p/>
        </w:tc>
        <w:tc>
          <w:tcPr>
            <w:tcW w:w="760" w:type="dxa"/>
          </w:tcPr>
          <w:p/>
        </w:tc>
        <w:tc>
          <w:tcPr>
            <w:tcW w:w="2665" w:type="dxa"/>
          </w:tcPr>
          <w:p/>
        </w:tc>
        <w:tc>
          <w:tcPr>
            <w:tcW w:w="706"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tc>
        <w:tc>
          <w:tcPr>
            <w:tcW w:w="761" w:type="dxa"/>
          </w:tcPr>
          <w:p/>
        </w:tc>
        <w:tc>
          <w:tcPr>
            <w:tcW w:w="760" w:type="dxa"/>
          </w:tcPr>
          <w:p/>
        </w:tc>
        <w:tc>
          <w:tcPr>
            <w:tcW w:w="1142" w:type="dxa"/>
          </w:tcPr>
          <w:p/>
        </w:tc>
        <w:tc>
          <w:tcPr>
            <w:tcW w:w="760" w:type="dxa"/>
          </w:tcPr>
          <w:p/>
        </w:tc>
        <w:tc>
          <w:tcPr>
            <w:tcW w:w="762" w:type="dxa"/>
          </w:tcPr>
          <w:p/>
        </w:tc>
        <w:tc>
          <w:tcPr>
            <w:tcW w:w="760" w:type="dxa"/>
          </w:tcPr>
          <w:p/>
        </w:tc>
        <w:tc>
          <w:tcPr>
            <w:tcW w:w="2665" w:type="dxa"/>
          </w:tcPr>
          <w:p/>
        </w:tc>
        <w:tc>
          <w:tcPr>
            <w:tcW w:w="706" w:type="dxa"/>
          </w:tcPr>
          <w:p/>
        </w:tc>
      </w:tr>
    </w:tbl>
    <w:p>
      <w:pPr>
        <w:pStyle w:val="95"/>
        <w:ind w:firstLine="462"/>
      </w:pPr>
    </w:p>
    <w:p>
      <w:pPr>
        <w:pStyle w:val="102"/>
        <w:ind w:left="0" w:leftChars="0" w:firstLine="0" w:firstLineChars="0"/>
        <w:jc w:val="center"/>
        <w:rPr>
          <w:rFonts w:hint="eastAsia" w:ascii="仿宋" w:hAnsi="仿宋" w:eastAsia="仿宋" w:cs="仿宋"/>
          <w:b/>
          <w:szCs w:val="24"/>
        </w:rPr>
      </w:pPr>
      <w:r>
        <w:rPr>
          <w:rFonts w:hint="eastAsia"/>
        </w:rPr>
        <w:br w:type="page"/>
      </w:r>
      <w:bookmarkStart w:id="652" w:name="_Toc7203"/>
      <w:bookmarkStart w:id="653" w:name="_Toc11248"/>
      <w:r>
        <w:rPr>
          <w:rFonts w:hint="eastAsia" w:ascii="仿宋" w:hAnsi="仿宋" w:eastAsia="仿宋" w:cs="仿宋"/>
          <w:b/>
          <w:szCs w:val="24"/>
        </w:rPr>
        <w:t>（二）</w:t>
      </w:r>
      <w:r>
        <w:rPr>
          <w:rFonts w:hint="eastAsia" w:eastAsia="仿宋" w:cs="仿宋"/>
          <w:b/>
          <w:szCs w:val="24"/>
          <w:lang w:val="en-US" w:eastAsia="zh-CN"/>
        </w:rPr>
        <w:t>项目经理</w:t>
      </w:r>
      <w:r>
        <w:rPr>
          <w:rFonts w:hint="eastAsia" w:ascii="仿宋" w:hAnsi="仿宋" w:eastAsia="仿宋" w:cs="仿宋"/>
          <w:b/>
          <w:szCs w:val="24"/>
        </w:rPr>
        <w:t>简历表</w:t>
      </w:r>
      <w:bookmarkEnd w:id="652"/>
      <w:bookmarkEnd w:id="653"/>
    </w:p>
    <w:tbl>
      <w:tblPr>
        <w:tblStyle w:val="41"/>
        <w:tblW w:w="8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244"/>
        <w:gridCol w:w="860"/>
        <w:gridCol w:w="949"/>
        <w:gridCol w:w="1089"/>
        <w:gridCol w:w="145"/>
        <w:gridCol w:w="1870"/>
        <w:gridCol w:w="2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214" w:type="dxa"/>
            <w:vAlign w:val="center"/>
          </w:tcPr>
          <w:p>
            <w:pPr>
              <w:ind w:left="0" w:leftChars="0" w:firstLine="0" w:firstLineChars="0"/>
              <w:jc w:val="center"/>
            </w:pPr>
            <w:r>
              <w:rPr>
                <w:rFonts w:hint="eastAsia"/>
              </w:rPr>
              <w:t>姓  名</w:t>
            </w:r>
          </w:p>
        </w:tc>
        <w:tc>
          <w:tcPr>
            <w:tcW w:w="1104" w:type="dxa"/>
            <w:gridSpan w:val="2"/>
            <w:vAlign w:val="center"/>
          </w:tcPr>
          <w:p>
            <w:pPr>
              <w:jc w:val="center"/>
            </w:pPr>
          </w:p>
        </w:tc>
        <w:tc>
          <w:tcPr>
            <w:tcW w:w="949" w:type="dxa"/>
            <w:vAlign w:val="center"/>
          </w:tcPr>
          <w:p>
            <w:pPr>
              <w:ind w:left="0" w:leftChars="0" w:firstLine="0" w:firstLineChars="0"/>
              <w:jc w:val="center"/>
            </w:pPr>
            <w:r>
              <w:rPr>
                <w:rFonts w:hint="eastAsia"/>
              </w:rPr>
              <w:t>年 龄</w:t>
            </w:r>
          </w:p>
        </w:tc>
        <w:tc>
          <w:tcPr>
            <w:tcW w:w="1089" w:type="dxa"/>
            <w:vAlign w:val="center"/>
          </w:tcPr>
          <w:p>
            <w:pPr>
              <w:jc w:val="center"/>
            </w:pPr>
          </w:p>
        </w:tc>
        <w:tc>
          <w:tcPr>
            <w:tcW w:w="2015" w:type="dxa"/>
            <w:gridSpan w:val="2"/>
            <w:vAlign w:val="center"/>
          </w:tcPr>
          <w:p>
            <w:pPr>
              <w:ind w:left="0" w:leftChars="0" w:firstLine="0" w:firstLineChars="0"/>
              <w:jc w:val="center"/>
            </w:pPr>
            <w:r>
              <w:rPr>
                <w:rFonts w:hint="eastAsia"/>
              </w:rPr>
              <w:t>学历</w:t>
            </w:r>
          </w:p>
        </w:tc>
        <w:tc>
          <w:tcPr>
            <w:tcW w:w="235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214" w:type="dxa"/>
            <w:vAlign w:val="center"/>
          </w:tcPr>
          <w:p>
            <w:pPr>
              <w:ind w:left="0" w:leftChars="0" w:firstLine="0" w:firstLineChars="0"/>
              <w:jc w:val="center"/>
            </w:pPr>
            <w:r>
              <w:rPr>
                <w:rFonts w:hint="eastAsia"/>
              </w:rPr>
              <w:t>职  称</w:t>
            </w:r>
          </w:p>
        </w:tc>
        <w:tc>
          <w:tcPr>
            <w:tcW w:w="1104" w:type="dxa"/>
            <w:gridSpan w:val="2"/>
            <w:vAlign w:val="center"/>
          </w:tcPr>
          <w:p>
            <w:pPr>
              <w:jc w:val="center"/>
            </w:pPr>
          </w:p>
        </w:tc>
        <w:tc>
          <w:tcPr>
            <w:tcW w:w="949" w:type="dxa"/>
            <w:vAlign w:val="center"/>
          </w:tcPr>
          <w:p>
            <w:pPr>
              <w:ind w:left="0" w:leftChars="0" w:firstLine="0" w:firstLineChars="0"/>
              <w:jc w:val="center"/>
            </w:pPr>
            <w:r>
              <w:rPr>
                <w:rFonts w:hint="eastAsia"/>
              </w:rPr>
              <w:t>职 务</w:t>
            </w:r>
          </w:p>
        </w:tc>
        <w:tc>
          <w:tcPr>
            <w:tcW w:w="1089" w:type="dxa"/>
            <w:vAlign w:val="center"/>
          </w:tcPr>
          <w:p>
            <w:pPr>
              <w:jc w:val="center"/>
            </w:pPr>
          </w:p>
        </w:tc>
        <w:tc>
          <w:tcPr>
            <w:tcW w:w="2015" w:type="dxa"/>
            <w:gridSpan w:val="2"/>
            <w:vAlign w:val="center"/>
          </w:tcPr>
          <w:p>
            <w:pPr>
              <w:ind w:left="0" w:leftChars="0" w:firstLine="0" w:firstLineChars="0"/>
              <w:jc w:val="center"/>
            </w:pPr>
            <w:r>
              <w:rPr>
                <w:rFonts w:hint="eastAsia"/>
              </w:rPr>
              <w:t>拟在本合同任职</w:t>
            </w:r>
          </w:p>
        </w:tc>
        <w:tc>
          <w:tcPr>
            <w:tcW w:w="2352" w:type="dxa"/>
            <w:vAlign w:val="center"/>
          </w:tcPr>
          <w:p>
            <w:pPr>
              <w:ind w:left="0" w:leftChars="0" w:firstLine="0" w:firstLineChars="0"/>
              <w:jc w:val="center"/>
            </w:pPr>
            <w:r>
              <w:rPr>
                <w:rFonts w:hint="eastAsia"/>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3267" w:type="dxa"/>
            <w:gridSpan w:val="4"/>
            <w:vAlign w:val="center"/>
          </w:tcPr>
          <w:p>
            <w:pPr>
              <w:ind w:left="0" w:leftChars="0" w:firstLine="0" w:firstLineChars="0"/>
              <w:jc w:val="center"/>
            </w:pPr>
            <w:r>
              <w:rPr>
                <w:rFonts w:hint="eastAsia"/>
              </w:rPr>
              <w:t>注册建造师执业资格等级</w:t>
            </w:r>
          </w:p>
        </w:tc>
        <w:tc>
          <w:tcPr>
            <w:tcW w:w="1089" w:type="dxa"/>
            <w:vAlign w:val="center"/>
          </w:tcPr>
          <w:p>
            <w:pPr>
              <w:ind w:left="0" w:leftChars="0" w:firstLine="0" w:firstLineChars="0"/>
              <w:jc w:val="center"/>
            </w:pPr>
            <w:r>
              <w:rPr>
                <w:rFonts w:hint="eastAsia"/>
              </w:rPr>
              <w:t>级</w:t>
            </w:r>
          </w:p>
        </w:tc>
        <w:tc>
          <w:tcPr>
            <w:tcW w:w="2015" w:type="dxa"/>
            <w:gridSpan w:val="2"/>
            <w:vAlign w:val="center"/>
          </w:tcPr>
          <w:p>
            <w:pPr>
              <w:ind w:left="0" w:leftChars="0" w:firstLine="0" w:firstLineChars="0"/>
              <w:jc w:val="center"/>
            </w:pPr>
            <w:r>
              <w:rPr>
                <w:rFonts w:hint="eastAsia"/>
              </w:rPr>
              <w:t>建造师专业</w:t>
            </w:r>
          </w:p>
        </w:tc>
        <w:tc>
          <w:tcPr>
            <w:tcW w:w="235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3267" w:type="dxa"/>
            <w:gridSpan w:val="4"/>
            <w:vAlign w:val="center"/>
          </w:tcPr>
          <w:p>
            <w:pPr>
              <w:ind w:left="0" w:leftChars="0" w:firstLine="0" w:firstLineChars="0"/>
              <w:jc w:val="center"/>
            </w:pPr>
            <w:r>
              <w:rPr>
                <w:rFonts w:hint="eastAsia"/>
              </w:rPr>
              <w:t>安全生产考核合格证书</w:t>
            </w:r>
          </w:p>
        </w:tc>
        <w:tc>
          <w:tcPr>
            <w:tcW w:w="5456" w:type="dxa"/>
            <w:gridSpan w:val="4"/>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3267" w:type="dxa"/>
            <w:gridSpan w:val="4"/>
            <w:vAlign w:val="center"/>
          </w:tcPr>
          <w:p>
            <w:pPr>
              <w:ind w:left="0" w:leftChars="0" w:firstLine="0" w:firstLineChars="0"/>
              <w:jc w:val="center"/>
            </w:pPr>
            <w:r>
              <w:rPr>
                <w:rFonts w:hint="eastAsia"/>
              </w:rPr>
              <w:t>毕业学校</w:t>
            </w:r>
          </w:p>
        </w:tc>
        <w:tc>
          <w:tcPr>
            <w:tcW w:w="5456" w:type="dxa"/>
            <w:gridSpan w:val="4"/>
            <w:vAlign w:val="center"/>
          </w:tcPr>
          <w:p>
            <w:pPr>
              <w:ind w:left="0" w:leftChars="0" w:firstLine="0" w:firstLineChars="0"/>
              <w:jc w:val="center"/>
            </w:pPr>
            <w:r>
              <w:rPr>
                <w:rFonts w:hint="eastAsia"/>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8723" w:type="dxa"/>
            <w:gridSpan w:val="8"/>
            <w:vAlign w:val="center"/>
          </w:tcPr>
          <w:p>
            <w:pPr>
              <w:ind w:left="0" w:leftChars="0" w:firstLine="0" w:firstLineChars="0"/>
              <w:jc w:val="center"/>
            </w:pPr>
            <w:r>
              <w:rPr>
                <w:rFonts w:hint="eastAsia"/>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1458" w:type="dxa"/>
            <w:gridSpan w:val="2"/>
            <w:vAlign w:val="center"/>
          </w:tcPr>
          <w:p>
            <w:pPr>
              <w:ind w:left="0" w:leftChars="0" w:firstLine="0" w:firstLineChars="0"/>
              <w:jc w:val="center"/>
            </w:pPr>
            <w:r>
              <w:rPr>
                <w:rFonts w:hint="eastAsia"/>
              </w:rPr>
              <w:t>时  间</w:t>
            </w:r>
          </w:p>
        </w:tc>
        <w:tc>
          <w:tcPr>
            <w:tcW w:w="3043" w:type="dxa"/>
            <w:gridSpan w:val="4"/>
            <w:vAlign w:val="center"/>
          </w:tcPr>
          <w:p>
            <w:pPr>
              <w:ind w:left="0" w:leftChars="0" w:firstLine="0" w:firstLineChars="0"/>
              <w:jc w:val="center"/>
            </w:pPr>
            <w:r>
              <w:rPr>
                <w:rFonts w:hint="eastAsia"/>
              </w:rPr>
              <w:t>参加过的类似项目名称</w:t>
            </w:r>
          </w:p>
        </w:tc>
        <w:tc>
          <w:tcPr>
            <w:tcW w:w="1870" w:type="dxa"/>
            <w:vAlign w:val="center"/>
          </w:tcPr>
          <w:p>
            <w:pPr>
              <w:ind w:left="0" w:leftChars="0" w:firstLine="0" w:firstLineChars="0"/>
              <w:jc w:val="center"/>
            </w:pPr>
            <w:r>
              <w:rPr>
                <w:rFonts w:hint="eastAsia"/>
              </w:rPr>
              <w:t>工程概况说明</w:t>
            </w:r>
          </w:p>
        </w:tc>
        <w:tc>
          <w:tcPr>
            <w:tcW w:w="2352" w:type="dxa"/>
            <w:vAlign w:val="center"/>
          </w:tcPr>
          <w:p>
            <w:pPr>
              <w:ind w:left="0" w:leftChars="0" w:firstLine="0" w:firstLineChars="0"/>
              <w:jc w:val="center"/>
            </w:pPr>
            <w:r>
              <w:rPr>
                <w:rFonts w:hint="eastAsia"/>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1458" w:type="dxa"/>
            <w:gridSpan w:val="2"/>
          </w:tcPr>
          <w:p/>
        </w:tc>
        <w:tc>
          <w:tcPr>
            <w:tcW w:w="3043" w:type="dxa"/>
            <w:gridSpan w:val="4"/>
          </w:tcPr>
          <w:p/>
        </w:tc>
        <w:tc>
          <w:tcPr>
            <w:tcW w:w="1870" w:type="dxa"/>
          </w:tcPr>
          <w:p/>
        </w:tc>
        <w:tc>
          <w:tcPr>
            <w:tcW w:w="235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1458" w:type="dxa"/>
            <w:gridSpan w:val="2"/>
          </w:tcPr>
          <w:p/>
        </w:tc>
        <w:tc>
          <w:tcPr>
            <w:tcW w:w="3043" w:type="dxa"/>
            <w:gridSpan w:val="4"/>
          </w:tcPr>
          <w:p/>
        </w:tc>
        <w:tc>
          <w:tcPr>
            <w:tcW w:w="1870" w:type="dxa"/>
          </w:tcPr>
          <w:p/>
        </w:tc>
        <w:tc>
          <w:tcPr>
            <w:tcW w:w="235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1458" w:type="dxa"/>
            <w:gridSpan w:val="2"/>
          </w:tcPr>
          <w:p/>
        </w:tc>
        <w:tc>
          <w:tcPr>
            <w:tcW w:w="3043" w:type="dxa"/>
            <w:gridSpan w:val="4"/>
          </w:tcPr>
          <w:p/>
        </w:tc>
        <w:tc>
          <w:tcPr>
            <w:tcW w:w="1870" w:type="dxa"/>
          </w:tcPr>
          <w:p/>
        </w:tc>
        <w:tc>
          <w:tcPr>
            <w:tcW w:w="2352" w:type="dxa"/>
          </w:tcPr>
          <w:p/>
        </w:tc>
      </w:tr>
    </w:tbl>
    <w:p>
      <w:pPr>
        <w:pStyle w:val="95"/>
        <w:ind w:firstLine="462"/>
      </w:pPr>
      <w:bookmarkStart w:id="654" w:name="_Toc8423619"/>
    </w:p>
    <w:p>
      <w:pPr>
        <w:pStyle w:val="102"/>
        <w:ind w:left="0" w:leftChars="0" w:firstLine="480" w:firstLineChars="200"/>
        <w:jc w:val="center"/>
        <w:rPr>
          <w:rFonts w:hint="eastAsia" w:ascii="仿宋" w:hAnsi="仿宋" w:eastAsia="仿宋" w:cs="仿宋"/>
          <w:b/>
          <w:szCs w:val="24"/>
        </w:rPr>
      </w:pPr>
      <w:bookmarkStart w:id="655" w:name="_Toc15272"/>
      <w:bookmarkStart w:id="656" w:name="_Toc17544"/>
      <w:r>
        <w:rPr>
          <w:rFonts w:hint="eastAsia" w:ascii="仿宋" w:hAnsi="仿宋" w:eastAsia="仿宋" w:cs="仿宋"/>
        </w:rPr>
        <w:t>注：表后附证明材料原件的扫描件。</w:t>
      </w:r>
      <w:r>
        <w:rPr>
          <w:rFonts w:hint="eastAsia" w:ascii="仿宋" w:hAnsi="仿宋" w:eastAsia="仿宋" w:cs="仿宋"/>
          <w:szCs w:val="23"/>
        </w:rPr>
        <w:br w:type="page"/>
      </w:r>
      <w:bookmarkEnd w:id="654"/>
      <w:bookmarkEnd w:id="655"/>
      <w:bookmarkEnd w:id="656"/>
      <w:r>
        <w:rPr>
          <w:rFonts w:hint="eastAsia" w:ascii="仿宋" w:hAnsi="仿宋" w:eastAsia="仿宋" w:cs="仿宋"/>
          <w:b/>
          <w:szCs w:val="24"/>
        </w:rPr>
        <w:t>（</w:t>
      </w:r>
      <w:r>
        <w:rPr>
          <w:rFonts w:hint="eastAsia" w:eastAsia="仿宋" w:cs="仿宋"/>
          <w:b/>
          <w:szCs w:val="24"/>
          <w:lang w:val="en-US" w:eastAsia="zh-CN"/>
        </w:rPr>
        <w:t>三</w:t>
      </w:r>
      <w:r>
        <w:rPr>
          <w:rFonts w:hint="eastAsia" w:ascii="仿宋" w:hAnsi="仿宋" w:eastAsia="仿宋" w:cs="仿宋"/>
          <w:b/>
          <w:szCs w:val="24"/>
        </w:rPr>
        <w:t>）</w:t>
      </w:r>
      <w:r>
        <w:rPr>
          <w:rFonts w:hint="eastAsia" w:eastAsia="仿宋" w:cs="仿宋"/>
          <w:b/>
          <w:szCs w:val="24"/>
          <w:lang w:val="en-US" w:eastAsia="zh-CN"/>
        </w:rPr>
        <w:t>主要人员</w:t>
      </w:r>
      <w:r>
        <w:rPr>
          <w:rFonts w:hint="eastAsia" w:ascii="仿宋" w:hAnsi="仿宋" w:eastAsia="仿宋" w:cs="仿宋"/>
          <w:b/>
          <w:szCs w:val="24"/>
        </w:rPr>
        <w:t>简历表</w:t>
      </w:r>
    </w:p>
    <w:p>
      <w:pPr>
        <w:pStyle w:val="102"/>
        <w:ind w:left="0" w:leftChars="0" w:firstLine="482" w:firstLineChars="200"/>
        <w:jc w:val="center"/>
        <w:rPr>
          <w:rFonts w:hint="eastAsia" w:ascii="仿宋" w:hAnsi="仿宋" w:eastAsia="仿宋" w:cs="仿宋"/>
          <w:b/>
          <w:szCs w:val="24"/>
        </w:rPr>
      </w:pPr>
    </w:p>
    <w:tbl>
      <w:tblPr>
        <w:tblStyle w:val="41"/>
        <w:tblW w:w="8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244"/>
        <w:gridCol w:w="860"/>
        <w:gridCol w:w="949"/>
        <w:gridCol w:w="1089"/>
        <w:gridCol w:w="145"/>
        <w:gridCol w:w="1870"/>
        <w:gridCol w:w="2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214" w:type="dxa"/>
            <w:vAlign w:val="center"/>
          </w:tcPr>
          <w:p>
            <w:pPr>
              <w:ind w:left="0" w:leftChars="0" w:firstLine="0" w:firstLineChars="0"/>
              <w:jc w:val="center"/>
            </w:pPr>
            <w:r>
              <w:rPr>
                <w:rFonts w:hint="eastAsia"/>
              </w:rPr>
              <w:t>姓  名</w:t>
            </w:r>
          </w:p>
        </w:tc>
        <w:tc>
          <w:tcPr>
            <w:tcW w:w="1104" w:type="dxa"/>
            <w:gridSpan w:val="2"/>
            <w:vAlign w:val="center"/>
          </w:tcPr>
          <w:p>
            <w:pPr>
              <w:jc w:val="center"/>
            </w:pPr>
          </w:p>
        </w:tc>
        <w:tc>
          <w:tcPr>
            <w:tcW w:w="949" w:type="dxa"/>
            <w:vAlign w:val="center"/>
          </w:tcPr>
          <w:p>
            <w:pPr>
              <w:ind w:left="0" w:leftChars="0" w:firstLine="0" w:firstLineChars="0"/>
              <w:jc w:val="center"/>
            </w:pPr>
            <w:r>
              <w:rPr>
                <w:rFonts w:hint="eastAsia"/>
              </w:rPr>
              <w:t>年 龄</w:t>
            </w:r>
          </w:p>
        </w:tc>
        <w:tc>
          <w:tcPr>
            <w:tcW w:w="1089" w:type="dxa"/>
            <w:vAlign w:val="center"/>
          </w:tcPr>
          <w:p>
            <w:pPr>
              <w:jc w:val="center"/>
            </w:pPr>
          </w:p>
        </w:tc>
        <w:tc>
          <w:tcPr>
            <w:tcW w:w="2015" w:type="dxa"/>
            <w:gridSpan w:val="2"/>
            <w:vAlign w:val="center"/>
          </w:tcPr>
          <w:p>
            <w:pPr>
              <w:ind w:left="0" w:leftChars="0" w:firstLine="0" w:firstLineChars="0"/>
              <w:jc w:val="center"/>
            </w:pPr>
            <w:r>
              <w:rPr>
                <w:rFonts w:hint="eastAsia"/>
              </w:rPr>
              <w:t>学历</w:t>
            </w:r>
          </w:p>
        </w:tc>
        <w:tc>
          <w:tcPr>
            <w:tcW w:w="2352"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214" w:type="dxa"/>
            <w:vAlign w:val="center"/>
          </w:tcPr>
          <w:p>
            <w:pPr>
              <w:ind w:left="0" w:leftChars="0" w:firstLine="0" w:firstLineChars="0"/>
              <w:jc w:val="center"/>
            </w:pPr>
            <w:r>
              <w:rPr>
                <w:rFonts w:hint="eastAsia"/>
              </w:rPr>
              <w:t>职  称</w:t>
            </w:r>
          </w:p>
        </w:tc>
        <w:tc>
          <w:tcPr>
            <w:tcW w:w="1104" w:type="dxa"/>
            <w:gridSpan w:val="2"/>
            <w:vAlign w:val="center"/>
          </w:tcPr>
          <w:p>
            <w:pPr>
              <w:jc w:val="center"/>
            </w:pPr>
          </w:p>
        </w:tc>
        <w:tc>
          <w:tcPr>
            <w:tcW w:w="949" w:type="dxa"/>
            <w:vAlign w:val="center"/>
          </w:tcPr>
          <w:p>
            <w:pPr>
              <w:ind w:left="0" w:leftChars="0" w:firstLine="0" w:firstLineChars="0"/>
              <w:jc w:val="center"/>
            </w:pPr>
            <w:r>
              <w:rPr>
                <w:rFonts w:hint="eastAsia"/>
              </w:rPr>
              <w:t>职 务</w:t>
            </w:r>
          </w:p>
        </w:tc>
        <w:tc>
          <w:tcPr>
            <w:tcW w:w="1089" w:type="dxa"/>
            <w:vAlign w:val="center"/>
          </w:tcPr>
          <w:p>
            <w:pPr>
              <w:jc w:val="center"/>
            </w:pPr>
          </w:p>
        </w:tc>
        <w:tc>
          <w:tcPr>
            <w:tcW w:w="2015" w:type="dxa"/>
            <w:gridSpan w:val="2"/>
            <w:vAlign w:val="center"/>
          </w:tcPr>
          <w:p>
            <w:pPr>
              <w:ind w:left="0" w:leftChars="0" w:firstLine="0" w:firstLineChars="0"/>
              <w:jc w:val="center"/>
            </w:pPr>
            <w:r>
              <w:rPr>
                <w:rFonts w:hint="eastAsia"/>
              </w:rPr>
              <w:t>拟在本合同任职</w:t>
            </w:r>
          </w:p>
        </w:tc>
        <w:tc>
          <w:tcPr>
            <w:tcW w:w="2352" w:type="dxa"/>
            <w:vAlign w:val="center"/>
          </w:tcPr>
          <w:p>
            <w:pPr>
              <w:ind w:left="0" w:leftChars="0" w:firstLine="0" w:firstLineChars="0"/>
              <w:jc w:val="center"/>
            </w:pPr>
            <w:r>
              <w:rPr>
                <w:rFonts w:hint="eastAsia"/>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3267" w:type="dxa"/>
            <w:gridSpan w:val="4"/>
            <w:vAlign w:val="center"/>
          </w:tcPr>
          <w:p>
            <w:pPr>
              <w:ind w:left="0" w:leftChars="0" w:firstLine="0" w:firstLineChars="0"/>
              <w:jc w:val="center"/>
            </w:pPr>
            <w:r>
              <w:rPr>
                <w:rFonts w:hint="eastAsia"/>
              </w:rPr>
              <w:t>毕业学校</w:t>
            </w:r>
          </w:p>
        </w:tc>
        <w:tc>
          <w:tcPr>
            <w:tcW w:w="5456" w:type="dxa"/>
            <w:gridSpan w:val="4"/>
            <w:vAlign w:val="center"/>
          </w:tcPr>
          <w:p>
            <w:pPr>
              <w:ind w:left="0" w:leftChars="0" w:firstLine="0" w:firstLineChars="0"/>
              <w:jc w:val="center"/>
            </w:pPr>
            <w:r>
              <w:rPr>
                <w:rFonts w:hint="eastAsia"/>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8723" w:type="dxa"/>
            <w:gridSpan w:val="8"/>
            <w:vAlign w:val="center"/>
          </w:tcPr>
          <w:p>
            <w:pPr>
              <w:ind w:left="0" w:leftChars="0" w:firstLine="0" w:firstLineChars="0"/>
              <w:jc w:val="center"/>
            </w:pPr>
            <w:r>
              <w:rPr>
                <w:rFonts w:hint="eastAsia"/>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1458" w:type="dxa"/>
            <w:gridSpan w:val="2"/>
            <w:vAlign w:val="center"/>
          </w:tcPr>
          <w:p>
            <w:pPr>
              <w:ind w:left="0" w:leftChars="0" w:firstLine="0" w:firstLineChars="0"/>
              <w:jc w:val="center"/>
            </w:pPr>
            <w:r>
              <w:rPr>
                <w:rFonts w:hint="eastAsia"/>
              </w:rPr>
              <w:t>时  间</w:t>
            </w:r>
          </w:p>
        </w:tc>
        <w:tc>
          <w:tcPr>
            <w:tcW w:w="3043" w:type="dxa"/>
            <w:gridSpan w:val="4"/>
            <w:vAlign w:val="center"/>
          </w:tcPr>
          <w:p>
            <w:pPr>
              <w:ind w:left="0" w:leftChars="0" w:firstLine="0" w:firstLineChars="0"/>
              <w:jc w:val="center"/>
            </w:pPr>
            <w:r>
              <w:rPr>
                <w:rFonts w:hint="eastAsia"/>
              </w:rPr>
              <w:t>参加过的类似项目名称</w:t>
            </w:r>
          </w:p>
        </w:tc>
        <w:tc>
          <w:tcPr>
            <w:tcW w:w="1870" w:type="dxa"/>
            <w:vAlign w:val="center"/>
          </w:tcPr>
          <w:p>
            <w:pPr>
              <w:ind w:left="0" w:leftChars="0" w:firstLine="0" w:firstLineChars="0"/>
              <w:jc w:val="center"/>
            </w:pPr>
            <w:r>
              <w:rPr>
                <w:rFonts w:hint="eastAsia"/>
              </w:rPr>
              <w:t>工程概况说明</w:t>
            </w:r>
          </w:p>
        </w:tc>
        <w:tc>
          <w:tcPr>
            <w:tcW w:w="2352" w:type="dxa"/>
            <w:vAlign w:val="center"/>
          </w:tcPr>
          <w:p>
            <w:pPr>
              <w:ind w:left="0" w:leftChars="0" w:firstLine="0" w:firstLineChars="0"/>
              <w:jc w:val="center"/>
            </w:pPr>
            <w:r>
              <w:rPr>
                <w:rFonts w:hint="eastAsia"/>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1458" w:type="dxa"/>
            <w:gridSpan w:val="2"/>
          </w:tcPr>
          <w:p/>
        </w:tc>
        <w:tc>
          <w:tcPr>
            <w:tcW w:w="3043" w:type="dxa"/>
            <w:gridSpan w:val="4"/>
          </w:tcPr>
          <w:p/>
        </w:tc>
        <w:tc>
          <w:tcPr>
            <w:tcW w:w="1870" w:type="dxa"/>
          </w:tcPr>
          <w:p/>
        </w:tc>
        <w:tc>
          <w:tcPr>
            <w:tcW w:w="235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1458" w:type="dxa"/>
            <w:gridSpan w:val="2"/>
          </w:tcPr>
          <w:p/>
        </w:tc>
        <w:tc>
          <w:tcPr>
            <w:tcW w:w="3043" w:type="dxa"/>
            <w:gridSpan w:val="4"/>
          </w:tcPr>
          <w:p/>
        </w:tc>
        <w:tc>
          <w:tcPr>
            <w:tcW w:w="1870" w:type="dxa"/>
          </w:tcPr>
          <w:p/>
        </w:tc>
        <w:tc>
          <w:tcPr>
            <w:tcW w:w="235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1458" w:type="dxa"/>
            <w:gridSpan w:val="2"/>
          </w:tcPr>
          <w:p/>
        </w:tc>
        <w:tc>
          <w:tcPr>
            <w:tcW w:w="3043" w:type="dxa"/>
            <w:gridSpan w:val="4"/>
          </w:tcPr>
          <w:p/>
        </w:tc>
        <w:tc>
          <w:tcPr>
            <w:tcW w:w="1870" w:type="dxa"/>
          </w:tcPr>
          <w:p/>
        </w:tc>
        <w:tc>
          <w:tcPr>
            <w:tcW w:w="2352" w:type="dxa"/>
          </w:tcPr>
          <w:p/>
        </w:tc>
      </w:tr>
    </w:tbl>
    <w:p>
      <w:pPr>
        <w:pStyle w:val="95"/>
        <w:ind w:firstLine="462"/>
      </w:pPr>
    </w:p>
    <w:p>
      <w:pPr>
        <w:rPr>
          <w:sz w:val="24"/>
        </w:rPr>
      </w:pPr>
      <w:r>
        <w:rPr>
          <w:rFonts w:hint="eastAsia" w:ascii="仿宋" w:hAnsi="仿宋" w:eastAsia="仿宋" w:cs="仿宋"/>
        </w:rPr>
        <w:t>注：拟任项目管理机构成员一人一表，表后附证明材料原件的扫描件。</w:t>
      </w:r>
      <w:r>
        <w:rPr>
          <w:rFonts w:hint="eastAsia" w:ascii="仿宋" w:hAnsi="仿宋" w:eastAsia="仿宋" w:cs="仿宋"/>
          <w:szCs w:val="23"/>
        </w:rPr>
        <w:br w:type="page"/>
      </w:r>
    </w:p>
    <w:p>
      <w:pPr>
        <w:pStyle w:val="93"/>
        <w:ind w:left="0" w:leftChars="0" w:firstLine="0" w:firstLineChars="0"/>
        <w:jc w:val="center"/>
        <w:rPr>
          <w:rFonts w:hint="eastAsia" w:ascii="仿宋" w:hAnsi="仿宋" w:eastAsia="仿宋" w:cs="仿宋"/>
          <w:b/>
          <w:bCs/>
        </w:rPr>
      </w:pPr>
      <w:bookmarkStart w:id="657" w:name="_Toc144974875"/>
      <w:bookmarkStart w:id="658" w:name="_Toc25892"/>
      <w:bookmarkStart w:id="659" w:name="_Toc152042596"/>
      <w:bookmarkStart w:id="660" w:name="_Toc152045807"/>
      <w:bookmarkStart w:id="661" w:name="_Toc8423620"/>
      <w:r>
        <w:rPr>
          <w:rFonts w:hint="eastAsia" w:ascii="仿宋" w:hAnsi="仿宋" w:eastAsia="仿宋" w:cs="仿宋"/>
          <w:b/>
          <w:bCs/>
        </w:rPr>
        <w:t>七、资格审查资料</w:t>
      </w:r>
      <w:bookmarkEnd w:id="657"/>
      <w:bookmarkEnd w:id="658"/>
      <w:bookmarkEnd w:id="659"/>
      <w:bookmarkEnd w:id="660"/>
      <w:bookmarkEnd w:id="661"/>
    </w:p>
    <w:p>
      <w:pPr>
        <w:pStyle w:val="102"/>
        <w:ind w:left="0" w:leftChars="0" w:firstLine="0" w:firstLineChars="0"/>
        <w:jc w:val="center"/>
        <w:rPr>
          <w:rFonts w:hint="eastAsia" w:ascii="仿宋" w:hAnsi="仿宋" w:eastAsia="仿宋" w:cs="仿宋"/>
          <w:b/>
          <w:bCs/>
          <w:szCs w:val="23"/>
        </w:rPr>
      </w:pPr>
      <w:bookmarkStart w:id="662" w:name="_Toc144974876"/>
      <w:bookmarkStart w:id="663" w:name="_Toc152042597"/>
      <w:bookmarkStart w:id="664" w:name="_Toc152045808"/>
      <w:bookmarkStart w:id="665" w:name="_Toc8423621"/>
      <w:bookmarkStart w:id="666" w:name="_Toc31574"/>
      <w:r>
        <w:rPr>
          <w:rFonts w:hint="eastAsia" w:ascii="仿宋" w:hAnsi="仿宋" w:eastAsia="仿宋" w:cs="仿宋"/>
          <w:b/>
          <w:bCs/>
          <w:szCs w:val="23"/>
        </w:rPr>
        <w:t>（一）投标人基本情况表</w:t>
      </w:r>
      <w:bookmarkEnd w:id="662"/>
      <w:bookmarkEnd w:id="663"/>
      <w:bookmarkEnd w:id="664"/>
      <w:bookmarkEnd w:id="665"/>
      <w:bookmarkEnd w:id="666"/>
    </w:p>
    <w:p/>
    <w:tbl>
      <w:tblPr>
        <w:tblStyle w:val="41"/>
        <w:tblW w:w="9889" w:type="dxa"/>
        <w:tblInd w:w="-23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9"/>
        <w:gridCol w:w="993"/>
        <w:gridCol w:w="992"/>
        <w:gridCol w:w="1276"/>
        <w:gridCol w:w="78"/>
        <w:gridCol w:w="1078"/>
        <w:gridCol w:w="490"/>
        <w:gridCol w:w="860"/>
        <w:gridCol w:w="45"/>
        <w:gridCol w:w="2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809"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投标人名称</w:t>
            </w:r>
          </w:p>
        </w:tc>
        <w:tc>
          <w:tcPr>
            <w:tcW w:w="8080" w:type="dxa"/>
            <w:gridSpan w:val="9"/>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1809"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注册地址</w:t>
            </w:r>
          </w:p>
        </w:tc>
        <w:tc>
          <w:tcPr>
            <w:tcW w:w="3339" w:type="dxa"/>
            <w:gridSpan w:val="4"/>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1078"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邮政编码</w:t>
            </w:r>
          </w:p>
        </w:tc>
        <w:tc>
          <w:tcPr>
            <w:tcW w:w="3663" w:type="dxa"/>
            <w:gridSpan w:val="4"/>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5" w:hRule="atLeast"/>
        </w:trPr>
        <w:tc>
          <w:tcPr>
            <w:tcW w:w="1809" w:type="dxa"/>
            <w:vMerge w:val="restart"/>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联系方式</w:t>
            </w:r>
          </w:p>
        </w:tc>
        <w:tc>
          <w:tcPr>
            <w:tcW w:w="993"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联系人</w:t>
            </w:r>
          </w:p>
        </w:tc>
        <w:tc>
          <w:tcPr>
            <w:tcW w:w="2346" w:type="dxa"/>
            <w:gridSpan w:val="3"/>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1078"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电 话</w:t>
            </w:r>
          </w:p>
        </w:tc>
        <w:tc>
          <w:tcPr>
            <w:tcW w:w="3663" w:type="dxa"/>
            <w:gridSpan w:val="4"/>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3" w:hRule="atLeast"/>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993"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传  真</w:t>
            </w:r>
          </w:p>
        </w:tc>
        <w:tc>
          <w:tcPr>
            <w:tcW w:w="2346" w:type="dxa"/>
            <w:gridSpan w:val="3"/>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1078"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网 址</w:t>
            </w:r>
          </w:p>
        </w:tc>
        <w:tc>
          <w:tcPr>
            <w:tcW w:w="3663" w:type="dxa"/>
            <w:gridSpan w:val="4"/>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1809"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组织结构</w:t>
            </w:r>
          </w:p>
        </w:tc>
        <w:tc>
          <w:tcPr>
            <w:tcW w:w="8080" w:type="dxa"/>
            <w:gridSpan w:val="9"/>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1809"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法定代表人</w:t>
            </w:r>
          </w:p>
        </w:tc>
        <w:tc>
          <w:tcPr>
            <w:tcW w:w="993"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姓名</w:t>
            </w:r>
          </w:p>
        </w:tc>
        <w:tc>
          <w:tcPr>
            <w:tcW w:w="99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1276"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技术职称</w:t>
            </w:r>
          </w:p>
        </w:tc>
        <w:tc>
          <w:tcPr>
            <w:tcW w:w="1646" w:type="dxa"/>
            <w:gridSpan w:val="3"/>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86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电话</w:t>
            </w:r>
          </w:p>
        </w:tc>
        <w:tc>
          <w:tcPr>
            <w:tcW w:w="2313" w:type="dxa"/>
            <w:gridSpan w:val="2"/>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1809"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技术负责人</w:t>
            </w:r>
          </w:p>
        </w:tc>
        <w:tc>
          <w:tcPr>
            <w:tcW w:w="993"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姓名</w:t>
            </w:r>
          </w:p>
        </w:tc>
        <w:tc>
          <w:tcPr>
            <w:tcW w:w="992"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1276"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技术职称</w:t>
            </w:r>
          </w:p>
        </w:tc>
        <w:tc>
          <w:tcPr>
            <w:tcW w:w="1646" w:type="dxa"/>
            <w:gridSpan w:val="3"/>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860"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电话</w:t>
            </w:r>
          </w:p>
        </w:tc>
        <w:tc>
          <w:tcPr>
            <w:tcW w:w="2313" w:type="dxa"/>
            <w:gridSpan w:val="2"/>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809"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成立时间</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6095" w:type="dxa"/>
            <w:gridSpan w:val="7"/>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trPr>
        <w:tc>
          <w:tcPr>
            <w:tcW w:w="1809"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企业资质等级</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其中</w:t>
            </w:r>
          </w:p>
        </w:tc>
        <w:tc>
          <w:tcPr>
            <w:tcW w:w="2551" w:type="dxa"/>
            <w:gridSpan w:val="5"/>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项目经理</w:t>
            </w:r>
          </w:p>
        </w:tc>
        <w:tc>
          <w:tcPr>
            <w:tcW w:w="2268"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0" w:hRule="atLeast"/>
        </w:trPr>
        <w:tc>
          <w:tcPr>
            <w:tcW w:w="1809"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营业执照号</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2551" w:type="dxa"/>
            <w:gridSpan w:val="5"/>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高级职称人员</w:t>
            </w:r>
          </w:p>
        </w:tc>
        <w:tc>
          <w:tcPr>
            <w:tcW w:w="2268"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4" w:hRule="atLeast"/>
        </w:trPr>
        <w:tc>
          <w:tcPr>
            <w:tcW w:w="1809"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注册资金</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2551" w:type="dxa"/>
            <w:gridSpan w:val="5"/>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中级职称人员</w:t>
            </w:r>
          </w:p>
        </w:tc>
        <w:tc>
          <w:tcPr>
            <w:tcW w:w="2268"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26" w:hRule="atLeast"/>
        </w:trPr>
        <w:tc>
          <w:tcPr>
            <w:tcW w:w="1809"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开户银行</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2551" w:type="dxa"/>
            <w:gridSpan w:val="5"/>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初级职称人员</w:t>
            </w:r>
          </w:p>
        </w:tc>
        <w:tc>
          <w:tcPr>
            <w:tcW w:w="2268"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06" w:hRule="atLeast"/>
        </w:trPr>
        <w:tc>
          <w:tcPr>
            <w:tcW w:w="1809"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账号</w:t>
            </w:r>
          </w:p>
        </w:tc>
        <w:tc>
          <w:tcPr>
            <w:tcW w:w="1985" w:type="dxa"/>
            <w:gridSpan w:val="2"/>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c>
          <w:tcPr>
            <w:tcW w:w="2551" w:type="dxa"/>
            <w:gridSpan w:val="5"/>
            <w:tcBorders>
              <w:top w:val="single" w:color="auto" w:sz="4" w:space="0"/>
              <w:left w:val="single" w:color="auto" w:sz="4" w:space="0"/>
              <w:bottom w:val="single" w:color="auto" w:sz="4" w:space="0"/>
              <w:right w:val="single" w:color="auto" w:sz="4" w:space="0"/>
            </w:tcBorders>
            <w:vAlign w:val="center"/>
          </w:tcPr>
          <w:p>
            <w:pPr>
              <w:pStyle w:val="88"/>
              <w:ind w:left="0" w:leftChars="0" w:firstLine="0" w:firstLineChars="0"/>
              <w:jc w:val="center"/>
            </w:pPr>
            <w:r>
              <w:rPr>
                <w:rFonts w:hint="eastAsia"/>
              </w:rPr>
              <w:t>技  工</w:t>
            </w:r>
          </w:p>
        </w:tc>
        <w:tc>
          <w:tcPr>
            <w:tcW w:w="2268"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1809" w:type="dxa"/>
            <w:tcBorders>
              <w:top w:val="single" w:color="auto" w:sz="4" w:space="0"/>
              <w:left w:val="single" w:color="auto" w:sz="4" w:space="0"/>
              <w:right w:val="single" w:color="auto" w:sz="4" w:space="0"/>
            </w:tcBorders>
            <w:vAlign w:val="center"/>
          </w:tcPr>
          <w:p>
            <w:pPr>
              <w:ind w:left="0" w:leftChars="0" w:firstLine="0" w:firstLineChars="0"/>
              <w:jc w:val="center"/>
            </w:pPr>
            <w:r>
              <w:rPr>
                <w:rFonts w:hint="eastAsia"/>
              </w:rPr>
              <w:t>经营范围</w:t>
            </w:r>
          </w:p>
        </w:tc>
        <w:tc>
          <w:tcPr>
            <w:tcW w:w="8080" w:type="dxa"/>
            <w:gridSpan w:val="9"/>
            <w:tcBorders>
              <w:top w:val="single" w:color="auto" w:sz="4" w:space="0"/>
              <w:left w:val="single" w:color="auto" w:sz="4" w:space="0"/>
              <w:right w:val="single" w:color="auto" w:sz="4" w:space="0"/>
            </w:tcBorders>
            <w:vAlign w:val="center"/>
          </w:tcPr>
          <w:p>
            <w:pPr>
              <w:ind w:left="0" w:leftChars="0" w:firstLine="0" w:firstLineChars="0"/>
              <w:jc w:val="center"/>
            </w:pPr>
          </w:p>
          <w:p>
            <w:pPr>
              <w:ind w:left="0" w:leftChars="0" w:firstLine="0" w:firstLineChars="0"/>
              <w:jc w:val="center"/>
            </w:pPr>
          </w:p>
          <w:p>
            <w:pPr>
              <w:ind w:left="0" w:leftChars="0" w:firstLine="0" w:firstLineChars="0"/>
              <w:jc w:val="center"/>
            </w:pPr>
          </w:p>
          <w:p>
            <w:pPr>
              <w:ind w:left="0" w:leftChars="0" w:firstLine="0" w:firstLineChars="0"/>
              <w:jc w:val="center"/>
            </w:pPr>
          </w:p>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809" w:type="dxa"/>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r>
              <w:rPr>
                <w:rFonts w:hint="eastAsia"/>
              </w:rPr>
              <w:t>备注</w:t>
            </w:r>
          </w:p>
        </w:tc>
        <w:tc>
          <w:tcPr>
            <w:tcW w:w="8080" w:type="dxa"/>
            <w:gridSpan w:val="9"/>
            <w:tcBorders>
              <w:top w:val="single" w:color="auto" w:sz="4" w:space="0"/>
              <w:left w:val="single" w:color="auto" w:sz="4" w:space="0"/>
              <w:bottom w:val="single" w:color="auto" w:sz="4" w:space="0"/>
              <w:right w:val="single" w:color="auto" w:sz="4" w:space="0"/>
            </w:tcBorders>
            <w:vAlign w:val="center"/>
          </w:tcPr>
          <w:p>
            <w:pPr>
              <w:ind w:left="0" w:leftChars="0" w:firstLine="0" w:firstLineChars="0"/>
              <w:jc w:val="center"/>
            </w:pPr>
          </w:p>
        </w:tc>
      </w:tr>
    </w:tbl>
    <w:p>
      <w:r>
        <w:rPr>
          <w:rFonts w:hint="eastAsia"/>
        </w:rPr>
        <w:t>注：附相关证明材料原件扫描件</w:t>
      </w:r>
    </w:p>
    <w:p/>
    <w:p/>
    <w:p>
      <w:pPr>
        <w:pStyle w:val="36"/>
        <w:ind w:firstLine="528"/>
        <w:jc w:val="center"/>
      </w:pPr>
      <w:bookmarkStart w:id="667" w:name="_Toc3663"/>
      <w:bookmarkStart w:id="668" w:name="_Toc8423623"/>
      <w:bookmarkStart w:id="669" w:name="_Toc152042599"/>
      <w:bookmarkStart w:id="670" w:name="_Toc152045810"/>
      <w:bookmarkStart w:id="671" w:name="_Toc27427"/>
      <w:bookmarkStart w:id="672" w:name="_Toc144974878"/>
      <w:r>
        <w:rPr>
          <w:rFonts w:hint="eastAsia"/>
          <w:b/>
          <w:bCs w:val="0"/>
        </w:rPr>
        <w:t>（</w:t>
      </w:r>
      <w:r>
        <w:rPr>
          <w:rFonts w:hint="eastAsia"/>
          <w:b/>
          <w:bCs w:val="0"/>
          <w:lang w:val="en-US" w:eastAsia="zh-CN"/>
        </w:rPr>
        <w:t>二</w:t>
      </w:r>
      <w:r>
        <w:rPr>
          <w:rFonts w:hint="eastAsia"/>
          <w:b/>
          <w:bCs w:val="0"/>
        </w:rPr>
        <w:t>）洛阳市政府采购投标人信用承诺函</w:t>
      </w:r>
      <w:bookmarkEnd w:id="667"/>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致</w:t>
      </w:r>
      <w:r>
        <w:rPr>
          <w:rFonts w:hint="eastAsia" w:ascii="仿宋" w:hAnsi="仿宋" w:eastAsia="仿宋" w:cs="仿宋"/>
          <w:kern w:val="0"/>
          <w:sz w:val="24"/>
          <w:szCs w:val="24"/>
          <w:u w:val="single"/>
        </w:rPr>
        <w:t xml:space="preserve">  （招标人）  </w:t>
      </w:r>
      <w:r>
        <w:rPr>
          <w:rFonts w:hint="eastAsia" w:ascii="仿宋" w:hAnsi="仿宋" w:eastAsia="仿宋" w:cs="仿宋"/>
          <w:kern w:val="0"/>
          <w:sz w:val="24"/>
          <w:szCs w:val="24"/>
        </w:rPr>
        <w:t>：</w:t>
      </w:r>
    </w:p>
    <w:p>
      <w:pPr>
        <w:pStyle w:val="129"/>
        <w:widowControl/>
        <w:spacing w:line="360" w:lineRule="auto"/>
        <w:ind w:firstLine="482"/>
        <w:rPr>
          <w:rFonts w:ascii="仿宋" w:hAnsi="仿宋" w:eastAsia="仿宋" w:cs="仿宋"/>
          <w:kern w:val="0"/>
          <w:sz w:val="24"/>
          <w:szCs w:val="24"/>
          <w:u w:val="single"/>
        </w:rPr>
      </w:pPr>
      <w:r>
        <w:rPr>
          <w:rFonts w:hint="eastAsia" w:ascii="仿宋" w:hAnsi="仿宋" w:eastAsia="仿宋" w:cs="仿宋"/>
          <w:kern w:val="0"/>
          <w:sz w:val="24"/>
          <w:szCs w:val="24"/>
        </w:rPr>
        <w:t>单位名称（自然人姓名）：</w:t>
      </w:r>
      <w:r>
        <w:rPr>
          <w:rFonts w:hint="eastAsia" w:ascii="仿宋" w:hAnsi="仿宋" w:eastAsia="仿宋" w:cs="仿宋"/>
          <w:kern w:val="0"/>
          <w:sz w:val="24"/>
          <w:szCs w:val="24"/>
          <w:u w:val="single"/>
        </w:rPr>
        <w:t xml:space="preserve">                                  </w:t>
      </w:r>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统一社会信用代码（身份证号码）：</w:t>
      </w:r>
      <w:r>
        <w:rPr>
          <w:rFonts w:hint="eastAsia" w:ascii="仿宋" w:hAnsi="仿宋" w:eastAsia="仿宋" w:cs="仿宋"/>
          <w:kern w:val="0"/>
          <w:sz w:val="24"/>
          <w:szCs w:val="24"/>
          <w:u w:val="single"/>
        </w:rPr>
        <w:t xml:space="preserve">                          </w:t>
      </w:r>
    </w:p>
    <w:p>
      <w:pPr>
        <w:pStyle w:val="129"/>
        <w:widowControl/>
        <w:spacing w:line="360" w:lineRule="auto"/>
        <w:ind w:firstLine="482"/>
        <w:rPr>
          <w:rFonts w:ascii="仿宋" w:hAnsi="仿宋" w:eastAsia="仿宋" w:cs="仿宋"/>
          <w:kern w:val="0"/>
          <w:sz w:val="24"/>
          <w:szCs w:val="24"/>
          <w:u w:val="single"/>
        </w:rPr>
      </w:pPr>
      <w:r>
        <w:rPr>
          <w:rFonts w:hint="eastAsia" w:ascii="仿宋" w:hAnsi="仿宋" w:eastAsia="仿宋" w:cs="仿宋"/>
          <w:kern w:val="0"/>
          <w:sz w:val="24"/>
          <w:szCs w:val="24"/>
        </w:rPr>
        <w:t>法定代表人（负责人）：</w:t>
      </w:r>
      <w:r>
        <w:rPr>
          <w:rFonts w:hint="eastAsia" w:ascii="仿宋" w:hAnsi="仿宋" w:eastAsia="仿宋" w:cs="仿宋"/>
          <w:kern w:val="0"/>
          <w:sz w:val="24"/>
          <w:szCs w:val="24"/>
          <w:u w:val="single"/>
        </w:rPr>
        <w:t xml:space="preserve">                                </w:t>
      </w:r>
    </w:p>
    <w:p>
      <w:pPr>
        <w:pStyle w:val="129"/>
        <w:widowControl/>
        <w:spacing w:line="360" w:lineRule="auto"/>
        <w:ind w:firstLine="482"/>
        <w:rPr>
          <w:rFonts w:ascii="仿宋" w:hAnsi="仿宋" w:eastAsia="仿宋" w:cs="仿宋"/>
          <w:sz w:val="24"/>
          <w:szCs w:val="24"/>
          <w:u w:val="single"/>
        </w:rPr>
      </w:pPr>
      <w:r>
        <w:rPr>
          <w:rFonts w:hint="eastAsia" w:ascii="仿宋" w:hAnsi="仿宋" w:eastAsia="仿宋" w:cs="仿宋"/>
          <w:kern w:val="0"/>
          <w:sz w:val="24"/>
          <w:szCs w:val="24"/>
        </w:rPr>
        <w:t>联系地址和电话：</w:t>
      </w:r>
      <w:r>
        <w:rPr>
          <w:rFonts w:hint="eastAsia" w:ascii="仿宋" w:hAnsi="仿宋" w:eastAsia="仿宋" w:cs="仿宋"/>
          <w:kern w:val="0"/>
          <w:sz w:val="24"/>
          <w:szCs w:val="24"/>
          <w:u w:val="single"/>
        </w:rPr>
        <w:t xml:space="preserve">                                  </w:t>
      </w:r>
      <w:r>
        <w:rPr>
          <w:rFonts w:hint="eastAsia" w:ascii="仿宋" w:hAnsi="仿宋" w:eastAsia="仿宋" w:cs="仿宋"/>
          <w:sz w:val="24"/>
          <w:szCs w:val="24"/>
          <w:u w:val="single"/>
        </w:rPr>
        <w:t xml:space="preserve">   </w:t>
      </w:r>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为维护公平、公正、公开的政府采购市场秩序，树立诚实守信的政府采购投标人形象，我单位（本人）自愿作出以下承诺：</w:t>
      </w:r>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（一）具有独立承担民事责任的能力；</w:t>
      </w:r>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（二）具有良好的商业信誉和健全的财务会计制度；</w:t>
      </w:r>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（三）具有履行合同所必需的设备和专业技术能力；</w:t>
      </w:r>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（四）有依法缴纳税收和社会保障资金的良好记录；</w:t>
      </w:r>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（五）参加政府采购活动前三年内，在经营活动中没有重大违法记录；</w:t>
      </w:r>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（六）未被列入经营异常名录或者严重违法失信名单、失信被执行人、重大税收违法案件当事人名单、政府采购严重违法失信行为记录名单；</w:t>
      </w:r>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（七）未被相关监管部门作出行政处罚且尚在处罚有效期内；</w:t>
      </w:r>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（八）未曾作出虚假采购承诺；</w:t>
      </w:r>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（九）符合法律、行政法规规定的其他条件。</w:t>
      </w:r>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pPr>
        <w:pStyle w:val="130"/>
        <w:adjustRightInd w:val="0"/>
        <w:snapToGrid w:val="0"/>
        <w:spacing w:before="156" w:beforeLines="50" w:line="360" w:lineRule="auto"/>
        <w:rPr>
          <w:rFonts w:ascii="仿宋" w:hAnsi="仿宋" w:eastAsia="仿宋" w:cs="仿宋"/>
          <w:color w:val="000000"/>
          <w:sz w:val="24"/>
          <w:szCs w:val="24"/>
        </w:rPr>
      </w:pPr>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 xml:space="preserve">投标人（电子章）： </w:t>
      </w:r>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 xml:space="preserve">法定代表人、负责人、本人、或授权代表(签字或电子印章)： </w:t>
      </w:r>
    </w:p>
    <w:p>
      <w:pPr>
        <w:pStyle w:val="129"/>
        <w:widowControl/>
        <w:spacing w:line="360" w:lineRule="auto"/>
        <w:ind w:firstLine="482"/>
        <w:rPr>
          <w:rFonts w:ascii="仿宋" w:hAnsi="仿宋" w:eastAsia="仿宋" w:cs="仿宋"/>
          <w:kern w:val="0"/>
          <w:sz w:val="24"/>
          <w:szCs w:val="24"/>
        </w:rPr>
      </w:pPr>
      <w:r>
        <w:rPr>
          <w:rFonts w:hint="eastAsia" w:ascii="仿宋" w:hAnsi="仿宋" w:eastAsia="仿宋" w:cs="仿宋"/>
          <w:kern w:val="0"/>
          <w:sz w:val="24"/>
          <w:szCs w:val="24"/>
        </w:rPr>
        <w:t xml:space="preserve">日期：    年   月    日 </w:t>
      </w:r>
    </w:p>
    <w:p>
      <w:pPr>
        <w:pStyle w:val="130"/>
        <w:adjustRightInd w:val="0"/>
        <w:snapToGrid w:val="0"/>
        <w:spacing w:before="156" w:beforeLines="50" w:line="360" w:lineRule="auto"/>
        <w:ind w:firstLine="480" w:firstLineChars="200"/>
        <w:rPr>
          <w:rFonts w:ascii="仿宋" w:hAnsi="仿宋" w:eastAsia="仿宋" w:cs="仿宋"/>
          <w:bCs/>
          <w:color w:val="000000"/>
          <w:sz w:val="24"/>
          <w:szCs w:val="24"/>
        </w:rPr>
      </w:pPr>
    </w:p>
    <w:p>
      <w:pPr>
        <w:pStyle w:val="129"/>
        <w:widowControl/>
        <w:spacing w:line="360" w:lineRule="auto"/>
        <w:ind w:firstLine="482"/>
        <w:rPr>
          <w:rFonts w:ascii="仿宋" w:hAnsi="仿宋" w:eastAsia="仿宋" w:cs="仿宋"/>
          <w:b/>
          <w:bCs/>
          <w:kern w:val="0"/>
          <w:sz w:val="24"/>
          <w:szCs w:val="24"/>
        </w:rPr>
      </w:pPr>
      <w:r>
        <w:rPr>
          <w:rFonts w:hint="eastAsia" w:ascii="仿宋" w:hAnsi="仿宋" w:eastAsia="仿宋" w:cs="仿宋"/>
          <w:b/>
          <w:bCs/>
          <w:kern w:val="0"/>
          <w:sz w:val="24"/>
          <w:szCs w:val="24"/>
        </w:rPr>
        <w:t>注：1.投标人须在投标文件中按此模板提供承诺函，未提供视为未实质性响应招标文件要求，按无效投标处理。</w:t>
      </w:r>
    </w:p>
    <w:p>
      <w:pPr>
        <w:pStyle w:val="129"/>
        <w:widowControl/>
        <w:spacing w:line="360" w:lineRule="auto"/>
        <w:ind w:firstLine="482"/>
        <w:rPr>
          <w:rFonts w:ascii="仿宋" w:hAnsi="仿宋" w:eastAsia="仿宋" w:cs="仿宋"/>
          <w:b/>
          <w:bCs/>
          <w:spacing w:val="14"/>
          <w:kern w:val="0"/>
          <w:sz w:val="24"/>
          <w:szCs w:val="24"/>
        </w:rPr>
      </w:pPr>
      <w:r>
        <w:rPr>
          <w:rFonts w:hint="eastAsia" w:ascii="仿宋" w:hAnsi="仿宋" w:eastAsia="仿宋" w:cs="仿宋"/>
          <w:b/>
          <w:bCs/>
          <w:kern w:val="0"/>
          <w:sz w:val="24"/>
          <w:szCs w:val="24"/>
        </w:rPr>
        <w:t>2.投标人的法定代表人或者授权代表的签字或盖章应真实、有效，如由授权代表签字或盖章的，应提供“法定代表人授权书”。</w:t>
      </w:r>
      <w:r>
        <w:rPr>
          <w:rFonts w:hint="eastAsia" w:ascii="仿宋" w:hAnsi="仿宋" w:eastAsia="仿宋" w:cs="仿宋"/>
          <w:b/>
          <w:bCs/>
          <w:spacing w:val="14"/>
          <w:kern w:val="0"/>
          <w:sz w:val="24"/>
          <w:szCs w:val="24"/>
        </w:rPr>
        <w:t xml:space="preserve"> </w:t>
      </w:r>
    </w:p>
    <w:p>
      <w:r>
        <w:rPr>
          <w:rFonts w:hint="eastAsia"/>
        </w:rPr>
        <w:br w:type="page"/>
      </w:r>
    </w:p>
    <w:bookmarkEnd w:id="668"/>
    <w:bookmarkEnd w:id="669"/>
    <w:bookmarkEnd w:id="670"/>
    <w:bookmarkEnd w:id="671"/>
    <w:bookmarkEnd w:id="672"/>
    <w:p>
      <w:pPr>
        <w:pStyle w:val="102"/>
        <w:numPr>
          <w:ilvl w:val="0"/>
          <w:numId w:val="0"/>
        </w:numPr>
        <w:jc w:val="center"/>
        <w:rPr>
          <w:rFonts w:hint="eastAsia" w:ascii="仿宋" w:hAnsi="仿宋" w:eastAsia="仿宋" w:cs="仿宋"/>
          <w:b/>
          <w:bCs/>
          <w:szCs w:val="23"/>
        </w:rPr>
      </w:pPr>
      <w:bookmarkStart w:id="673" w:name="_Toc14417"/>
      <w:bookmarkStart w:id="674" w:name="_Toc144974880"/>
      <w:bookmarkStart w:id="675" w:name="_Toc152045812"/>
      <w:bookmarkStart w:id="676" w:name="_Toc152042601"/>
      <w:bookmarkStart w:id="677" w:name="_Toc8423625"/>
      <w:r>
        <w:rPr>
          <w:rFonts w:hint="eastAsia" w:ascii="仿宋" w:hAnsi="仿宋" w:eastAsia="仿宋" w:cs="仿宋"/>
          <w:b/>
          <w:bCs/>
          <w:kern w:val="2"/>
          <w:sz w:val="24"/>
          <w:szCs w:val="23"/>
          <w:lang w:val="en-US" w:eastAsia="zh-CN" w:bidi="ar-SA"/>
        </w:rPr>
        <w:t>（</w:t>
      </w:r>
      <w:r>
        <w:rPr>
          <w:rFonts w:hint="eastAsia" w:eastAsia="仿宋" w:cs="仿宋"/>
          <w:b/>
          <w:bCs/>
          <w:kern w:val="2"/>
          <w:sz w:val="24"/>
          <w:szCs w:val="23"/>
          <w:lang w:val="en-US" w:eastAsia="zh-CN" w:bidi="ar-SA"/>
        </w:rPr>
        <w:t>三</w:t>
      </w:r>
      <w:r>
        <w:rPr>
          <w:rFonts w:hint="eastAsia" w:ascii="仿宋" w:hAnsi="仿宋" w:eastAsia="仿宋" w:cs="仿宋"/>
          <w:b/>
          <w:bCs/>
          <w:kern w:val="2"/>
          <w:sz w:val="24"/>
          <w:szCs w:val="23"/>
          <w:lang w:val="en-US" w:eastAsia="zh-CN" w:bidi="ar-SA"/>
        </w:rPr>
        <w:t>）</w:t>
      </w:r>
      <w:r>
        <w:rPr>
          <w:rFonts w:hint="eastAsia" w:ascii="仿宋" w:hAnsi="仿宋" w:eastAsia="仿宋" w:cs="仿宋"/>
          <w:b/>
          <w:bCs/>
          <w:szCs w:val="23"/>
        </w:rPr>
        <w:t>近年发生的诉讼及仲裁情况</w:t>
      </w:r>
      <w:bookmarkEnd w:id="673"/>
      <w:bookmarkEnd w:id="674"/>
      <w:bookmarkEnd w:id="675"/>
      <w:bookmarkEnd w:id="676"/>
      <w:bookmarkEnd w:id="677"/>
    </w:p>
    <w:p>
      <w:pPr>
        <w:pStyle w:val="102"/>
        <w:ind w:firstLine="528"/>
      </w:pPr>
    </w:p>
    <w:p>
      <w:pPr>
        <w:pStyle w:val="102"/>
        <w:ind w:firstLine="528"/>
      </w:pPr>
    </w:p>
    <w:p>
      <w:pPr>
        <w:pStyle w:val="102"/>
        <w:ind w:firstLine="528"/>
      </w:pPr>
    </w:p>
    <w:p>
      <w:pPr>
        <w:pStyle w:val="102"/>
        <w:ind w:firstLine="528"/>
      </w:pPr>
    </w:p>
    <w:p>
      <w:pPr>
        <w:pStyle w:val="102"/>
        <w:ind w:firstLine="528"/>
      </w:pPr>
    </w:p>
    <w:p>
      <w:pPr>
        <w:pStyle w:val="102"/>
        <w:ind w:firstLine="528"/>
      </w:pPr>
    </w:p>
    <w:p>
      <w:pPr>
        <w:pStyle w:val="102"/>
        <w:ind w:firstLine="528"/>
      </w:pPr>
    </w:p>
    <w:p>
      <w:pPr>
        <w:pStyle w:val="102"/>
        <w:ind w:firstLine="528"/>
      </w:pPr>
    </w:p>
    <w:p>
      <w:pPr>
        <w:pStyle w:val="102"/>
        <w:ind w:firstLine="528"/>
      </w:pPr>
    </w:p>
    <w:p>
      <w:pPr>
        <w:pStyle w:val="102"/>
        <w:ind w:firstLine="528"/>
      </w:pPr>
    </w:p>
    <w:p>
      <w:pPr>
        <w:pStyle w:val="102"/>
        <w:ind w:firstLine="528"/>
      </w:pPr>
    </w:p>
    <w:p>
      <w:pPr>
        <w:pStyle w:val="102"/>
        <w:ind w:firstLine="528"/>
      </w:pPr>
    </w:p>
    <w:p>
      <w:pPr>
        <w:pStyle w:val="102"/>
        <w:ind w:firstLine="528"/>
      </w:pPr>
    </w:p>
    <w:p>
      <w:pPr>
        <w:pStyle w:val="102"/>
        <w:ind w:firstLine="528"/>
      </w:pPr>
    </w:p>
    <w:p>
      <w:pPr>
        <w:pStyle w:val="102"/>
        <w:ind w:firstLine="528"/>
      </w:pPr>
    </w:p>
    <w:p>
      <w:pPr>
        <w:pStyle w:val="102"/>
        <w:ind w:firstLine="528"/>
      </w:pPr>
    </w:p>
    <w:p>
      <w:pPr>
        <w:pStyle w:val="102"/>
        <w:ind w:firstLine="528"/>
      </w:pPr>
    </w:p>
    <w:p>
      <w:pPr>
        <w:pStyle w:val="95"/>
        <w:ind w:firstLine="462"/>
      </w:pPr>
    </w:p>
    <w:p>
      <w:pPr>
        <w:pStyle w:val="95"/>
        <w:ind w:firstLine="462"/>
      </w:pPr>
    </w:p>
    <w:p>
      <w:pPr>
        <w:pStyle w:val="95"/>
        <w:ind w:firstLine="462"/>
      </w:pPr>
    </w:p>
    <w:p>
      <w:pPr>
        <w:pStyle w:val="95"/>
        <w:ind w:firstLine="462"/>
      </w:pPr>
    </w:p>
    <w:p>
      <w:pPr>
        <w:pStyle w:val="95"/>
        <w:ind w:firstLine="462"/>
      </w:pPr>
    </w:p>
    <w:p>
      <w:pPr>
        <w:pStyle w:val="95"/>
        <w:ind w:firstLine="462"/>
      </w:pPr>
    </w:p>
    <w:p>
      <w:pPr>
        <w:pStyle w:val="95"/>
        <w:ind w:firstLine="462"/>
      </w:pPr>
    </w:p>
    <w:p>
      <w:pPr>
        <w:pStyle w:val="95"/>
        <w:ind w:firstLine="462"/>
      </w:pPr>
    </w:p>
    <w:p>
      <w:pPr>
        <w:pStyle w:val="95"/>
        <w:ind w:firstLine="462"/>
      </w:pPr>
    </w:p>
    <w:p>
      <w:pPr>
        <w:pStyle w:val="95"/>
        <w:ind w:firstLine="462"/>
      </w:pPr>
    </w:p>
    <w:p>
      <w:pPr>
        <w:pStyle w:val="102"/>
        <w:ind w:left="0" w:leftChars="0" w:firstLine="0" w:firstLineChars="0"/>
        <w:jc w:val="center"/>
        <w:rPr>
          <w:rFonts w:hint="eastAsia" w:ascii="仿宋" w:hAnsi="仿宋" w:eastAsia="仿宋" w:cs="仿宋"/>
          <w:szCs w:val="23"/>
        </w:rPr>
      </w:pPr>
      <w:bookmarkStart w:id="678" w:name="_Toc16661"/>
    </w:p>
    <w:p>
      <w:pPr>
        <w:pStyle w:val="102"/>
        <w:ind w:left="0" w:leftChars="0" w:firstLine="0" w:firstLineChars="0"/>
        <w:jc w:val="center"/>
        <w:rPr>
          <w:rFonts w:hint="eastAsia" w:ascii="仿宋" w:hAnsi="仿宋" w:eastAsia="仿宋" w:cs="仿宋"/>
          <w:b/>
          <w:bCs/>
          <w:szCs w:val="23"/>
        </w:rPr>
      </w:pPr>
      <w:r>
        <w:rPr>
          <w:rFonts w:hint="eastAsia" w:ascii="仿宋" w:hAnsi="仿宋" w:eastAsia="仿宋" w:cs="仿宋"/>
          <w:b/>
          <w:bCs/>
          <w:szCs w:val="23"/>
        </w:rPr>
        <w:t>(</w:t>
      </w:r>
      <w:r>
        <w:rPr>
          <w:rFonts w:hint="eastAsia" w:eastAsia="仿宋" w:cs="仿宋"/>
          <w:b/>
          <w:bCs/>
          <w:szCs w:val="23"/>
          <w:lang w:val="en-US" w:eastAsia="zh-CN"/>
        </w:rPr>
        <w:t>四</w:t>
      </w:r>
      <w:r>
        <w:rPr>
          <w:rFonts w:hint="eastAsia" w:ascii="仿宋" w:hAnsi="仿宋" w:eastAsia="仿宋" w:cs="仿宋"/>
          <w:b/>
          <w:bCs/>
          <w:szCs w:val="23"/>
        </w:rPr>
        <w:t>)其他资料</w:t>
      </w:r>
      <w:bookmarkEnd w:id="678"/>
    </w:p>
    <w:p>
      <w:r>
        <w:rPr>
          <w:rFonts w:hint="eastAsia"/>
        </w:rPr>
        <w:br w:type="page"/>
      </w:r>
    </w:p>
    <w:p>
      <w:pPr>
        <w:pStyle w:val="3"/>
        <w:ind w:left="0" w:leftChars="0" w:firstLine="0" w:firstLineChars="0"/>
        <w:jc w:val="center"/>
        <w:rPr>
          <w:rFonts w:hint="eastAsia" w:ascii="仿宋" w:hAnsi="仿宋" w:eastAsia="仿宋" w:cs="仿宋"/>
          <w:sz w:val="28"/>
          <w:szCs w:val="28"/>
        </w:rPr>
      </w:pPr>
      <w:bookmarkStart w:id="679" w:name="_Toc6078"/>
      <w:r>
        <w:rPr>
          <w:rFonts w:hint="eastAsia" w:ascii="仿宋" w:hAnsi="仿宋" w:eastAsia="仿宋" w:cs="仿宋"/>
          <w:sz w:val="28"/>
          <w:szCs w:val="28"/>
        </w:rPr>
        <w:t>八、其他资料</w:t>
      </w:r>
      <w:bookmarkEnd w:id="679"/>
    </w:p>
    <w:p>
      <w:pPr>
        <w:pStyle w:val="5"/>
        <w:ind w:left="0" w:leftChars="0" w:firstLine="0" w:firstLineChars="0"/>
        <w:jc w:val="center"/>
        <w:rPr>
          <w:rFonts w:hint="eastAsia" w:ascii="仿宋" w:hAnsi="仿宋" w:eastAsia="仿宋" w:cs="仿宋"/>
          <w:b/>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一</w:t>
      </w:r>
      <w:r>
        <w:rPr>
          <w:rFonts w:hint="eastAsia" w:ascii="仿宋" w:hAnsi="仿宋" w:eastAsia="仿宋" w:cs="仿宋"/>
          <w:sz w:val="24"/>
          <w:szCs w:val="24"/>
        </w:rPr>
        <w:t>）全市房屋建筑和市政基础设施工程项目</w:t>
      </w:r>
      <w:r>
        <w:rPr>
          <w:rFonts w:hint="eastAsia" w:ascii="仿宋" w:hAnsi="仿宋" w:eastAsia="仿宋" w:cs="仿宋"/>
          <w:b/>
          <w:sz w:val="24"/>
          <w:szCs w:val="24"/>
        </w:rPr>
        <w:t>招标投标活动承诺书</w:t>
      </w:r>
    </w:p>
    <w:p/>
    <w:p>
      <w:r>
        <w:rPr>
          <w:rFonts w:hint="eastAsia"/>
        </w:rPr>
        <w:t>我单位承诺，在</w:t>
      </w:r>
      <w:r>
        <w:rPr>
          <w:rFonts w:hint="eastAsia"/>
          <w:u w:val="single"/>
        </w:rPr>
        <w:t xml:space="preserve">                                 </w:t>
      </w:r>
      <w:r>
        <w:rPr>
          <w:rFonts w:hint="eastAsia"/>
        </w:rPr>
        <w:t>项目招投标活动中，自觉遵守《中华人民共和国招标投标法》、《中华人民共和国招标投标法实施条例》、河南省实施《中华人民共和国招标投标法》办法等招标投标相关法律、法规和制度规定，不存在《洛阳市房屋建筑和市政基础设施工程项目招标投标活动负面行为清单》中所列行为，如有违反，愿承担相关法律责任。</w:t>
      </w:r>
    </w:p>
    <w:p/>
    <w:p>
      <w:pPr>
        <w:spacing w:line="584" w:lineRule="exact"/>
        <w:ind w:firstLine="420" w:firstLineChars="200"/>
        <w:rPr>
          <w:rFonts w:hint="eastAsia" w:ascii="仿宋" w:hAnsi="仿宋" w:eastAsia="仿宋" w:cs="仿宋"/>
          <w:szCs w:val="21"/>
          <w:u w:val="single"/>
        </w:rPr>
      </w:pPr>
      <w:r>
        <w:rPr>
          <w:rFonts w:hint="eastAsia" w:ascii="仿宋" w:hAnsi="仿宋" w:eastAsia="仿宋" w:cs="仿宋"/>
          <w:szCs w:val="21"/>
        </w:rPr>
        <w:t>承诺人（法人或委托代理人）：</w:t>
      </w:r>
      <w:r>
        <w:rPr>
          <w:rFonts w:hint="eastAsia" w:ascii="仿宋" w:hAnsi="仿宋" w:eastAsia="仿宋" w:cs="仿宋"/>
          <w:szCs w:val="21"/>
          <w:u w:val="single"/>
        </w:rPr>
        <w:t xml:space="preserve">                      </w:t>
      </w:r>
    </w:p>
    <w:p>
      <w:pPr>
        <w:spacing w:line="584" w:lineRule="exact"/>
        <w:ind w:firstLine="420" w:firstLineChars="200"/>
        <w:rPr>
          <w:rFonts w:hint="eastAsia" w:ascii="仿宋" w:hAnsi="仿宋" w:eastAsia="仿宋" w:cs="仿宋"/>
          <w:szCs w:val="21"/>
          <w:u w:val="single"/>
        </w:rPr>
      </w:pPr>
      <w:r>
        <w:rPr>
          <w:rFonts w:hint="eastAsia" w:ascii="仿宋" w:hAnsi="仿宋" w:eastAsia="仿宋" w:cs="仿宋"/>
          <w:szCs w:val="21"/>
        </w:rPr>
        <w:t>联系电话：</w:t>
      </w:r>
      <w:r>
        <w:rPr>
          <w:rFonts w:hint="eastAsia" w:ascii="仿宋" w:hAnsi="仿宋" w:eastAsia="仿宋" w:cs="仿宋"/>
          <w:szCs w:val="21"/>
          <w:u w:val="single"/>
        </w:rPr>
        <w:t xml:space="preserve">                          </w:t>
      </w:r>
    </w:p>
    <w:p>
      <w:r>
        <w:rPr>
          <w:rFonts w:hint="eastAsia"/>
        </w:rPr>
        <w:t xml:space="preserve">                         </w:t>
      </w:r>
    </w:p>
    <w:p/>
    <w:p>
      <w:r>
        <w:rPr>
          <w:rFonts w:hint="eastAsia"/>
        </w:rPr>
        <w:t>承诺人（盖章）</w:t>
      </w:r>
    </w:p>
    <w:p>
      <w:r>
        <w:rPr>
          <w:rFonts w:hint="eastAsia"/>
        </w:rPr>
        <w:t>年   月   日</w:t>
      </w:r>
      <w:r>
        <w:rPr>
          <w:rFonts w:hint="eastAsia"/>
        </w:rPr>
        <w:br w:type="page"/>
      </w:r>
    </w:p>
    <w:p>
      <w:pPr>
        <w:pStyle w:val="5"/>
        <w:ind w:left="0" w:leftChars="0" w:firstLine="0" w:firstLineChars="0"/>
        <w:jc w:val="center"/>
        <w:rPr>
          <w:rFonts w:hint="eastAsia" w:ascii="仿宋" w:hAnsi="仿宋" w:eastAsia="仿宋" w:cs="仿宋"/>
          <w:color w:val="000000"/>
          <w:sz w:val="40"/>
          <w:szCs w:val="40"/>
        </w:rPr>
      </w:pPr>
      <w:r>
        <w:rPr>
          <w:rFonts w:hint="eastAsia" w:ascii="仿宋" w:hAnsi="仿宋" w:eastAsia="仿宋" w:cs="仿宋"/>
          <w:bCs w:val="0"/>
          <w:sz w:val="24"/>
          <w:szCs w:val="28"/>
        </w:rPr>
        <w:t>（</w:t>
      </w:r>
      <w:r>
        <w:rPr>
          <w:rFonts w:hint="eastAsia" w:ascii="仿宋" w:hAnsi="仿宋" w:eastAsia="仿宋" w:cs="仿宋"/>
          <w:bCs w:val="0"/>
          <w:sz w:val="24"/>
          <w:szCs w:val="28"/>
          <w:lang w:val="en-US" w:eastAsia="zh-CN"/>
        </w:rPr>
        <w:t>二</w:t>
      </w:r>
      <w:r>
        <w:rPr>
          <w:rFonts w:hint="eastAsia" w:ascii="仿宋" w:hAnsi="仿宋" w:eastAsia="仿宋" w:cs="仿宋"/>
          <w:bCs w:val="0"/>
          <w:sz w:val="24"/>
          <w:szCs w:val="28"/>
        </w:rPr>
        <w:t>）投标承诺书</w:t>
      </w:r>
    </w:p>
    <w:p>
      <w:r>
        <w:rPr>
          <w:rFonts w:hint="eastAsia"/>
        </w:rPr>
        <w:t>我单位现对</w:t>
      </w:r>
      <w:r>
        <w:rPr>
          <w:rFonts w:hint="eastAsia"/>
          <w:color w:val="7F7F7F"/>
          <w:u w:val="single" w:color="000000"/>
        </w:rPr>
        <w:t>（项目名称）</w:t>
      </w:r>
      <w:r>
        <w:rPr>
          <w:rFonts w:hint="eastAsia"/>
        </w:rPr>
        <w:t>投标做出如下郑重承诺：</w:t>
      </w:r>
    </w:p>
    <w:p>
      <w:r>
        <w:rPr>
          <w:rFonts w:hint="eastAsia"/>
        </w:rPr>
        <w:t>我单位如存在投标截止后撤销投标文件、中标后无正当理由不与招标</w:t>
      </w:r>
      <w:r>
        <w:rPr>
          <w:rFonts w:hint="eastAsia"/>
          <w:spacing w:val="-6"/>
        </w:rPr>
        <w:t>人</w:t>
      </w:r>
      <w:r>
        <w:rPr>
          <w:rFonts w:hint="eastAsia"/>
        </w:rPr>
        <w:t>订立合同</w:t>
      </w:r>
      <w:r>
        <w:rPr>
          <w:rFonts w:hint="eastAsia"/>
          <w:spacing w:val="-6"/>
        </w:rPr>
        <w:t>、</w:t>
      </w:r>
      <w:r>
        <w:rPr>
          <w:rFonts w:hint="eastAsia"/>
        </w:rPr>
        <w:t>在签订合同时向招标</w:t>
      </w:r>
      <w:r>
        <w:rPr>
          <w:rFonts w:hint="eastAsia"/>
          <w:spacing w:val="-6"/>
        </w:rPr>
        <w:t>人提出附加条件、</w:t>
      </w:r>
      <w:r>
        <w:rPr>
          <w:rFonts w:hint="eastAsia"/>
        </w:rPr>
        <w:t>不按照招标文件要求提交履约保证金，或</w:t>
      </w:r>
      <w:r>
        <w:rPr>
          <w:rFonts w:hint="eastAsia"/>
          <w:color w:val="000000"/>
        </w:rPr>
        <w:t>在招标投标活动中存在其他违法违规</w:t>
      </w:r>
      <w:r>
        <w:rPr>
          <w:rFonts w:hint="eastAsia"/>
        </w:rPr>
        <w:t>的行为，我单位自愿承担因此造成的一切法律后果，自愿接受招标人和招标投标监督部门的信用惩戒措施。</w:t>
      </w:r>
    </w:p>
    <w:p>
      <w:pPr>
        <w:pStyle w:val="16"/>
      </w:pPr>
    </w:p>
    <w:p>
      <w:r>
        <w:rPr>
          <w:rFonts w:hint="eastAsia"/>
        </w:rPr>
        <w:t xml:space="preserve">法定代表人（签字）： </w:t>
      </w:r>
    </w:p>
    <w:p>
      <w:r>
        <w:rPr>
          <w:rFonts w:hint="eastAsia"/>
        </w:rPr>
        <w:t>授权委托人（签字）：</w:t>
      </w:r>
    </w:p>
    <w:p>
      <w:r>
        <w:rPr>
          <w:rFonts w:hint="eastAsia"/>
        </w:rPr>
        <w:t>联系电话：</w:t>
      </w:r>
    </w:p>
    <w:p/>
    <w:p>
      <w:r>
        <w:rPr>
          <w:rFonts w:hint="eastAsia"/>
        </w:rPr>
        <w:t xml:space="preserve">           </w:t>
      </w:r>
    </w:p>
    <w:p>
      <w:pPr>
        <w:autoSpaceDE w:val="0"/>
        <w:autoSpaceDN w:val="0"/>
        <w:snapToGrid w:val="0"/>
        <w:spacing w:line="360" w:lineRule="auto"/>
        <w:ind w:firstLine="420" w:firstLineChars="200"/>
        <w:jc w:val="center"/>
        <w:rPr>
          <w:rFonts w:hint="eastAsia" w:ascii="仿宋" w:hAnsi="仿宋" w:eastAsia="仿宋" w:cs="仿宋"/>
          <w:szCs w:val="21"/>
        </w:rPr>
      </w:pPr>
      <w:r>
        <w:rPr>
          <w:rFonts w:hint="eastAsia" w:ascii="仿宋" w:hAnsi="仿宋" w:eastAsia="仿宋" w:cs="仿宋"/>
          <w:szCs w:val="21"/>
        </w:rPr>
        <w:t xml:space="preserve">     投标人：（盖章）</w:t>
      </w:r>
    </w:p>
    <w:p>
      <w:pPr>
        <w:pStyle w:val="16"/>
        <w:ind w:firstLine="4830" w:firstLineChars="2300"/>
        <w:rPr>
          <w:rFonts w:hint="eastAsia" w:ascii="仿宋" w:hAnsi="仿宋" w:eastAsia="仿宋" w:cs="仿宋"/>
          <w:szCs w:val="21"/>
        </w:rPr>
      </w:pP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jc w:val="left"/>
        <w:rPr>
          <w:rFonts w:hint="eastAsia" w:ascii="仿宋" w:hAnsi="仿宋" w:eastAsia="仿宋" w:cs="仿宋"/>
          <w:b/>
          <w:bCs/>
          <w:sz w:val="24"/>
        </w:rPr>
      </w:pPr>
    </w:p>
    <w:p/>
    <w:p/>
    <w:p>
      <w:r>
        <w:rPr>
          <w:rFonts w:hint="eastAsia"/>
        </w:rPr>
        <w:br w:type="page"/>
      </w:r>
    </w:p>
    <w:p>
      <w:pPr>
        <w:pStyle w:val="5"/>
        <w:ind w:left="0" w:leftChars="0" w:firstLine="0" w:firstLineChars="0"/>
        <w:jc w:val="center"/>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三</w:t>
      </w:r>
      <w:r>
        <w:rPr>
          <w:rFonts w:hint="eastAsia" w:ascii="仿宋" w:hAnsi="仿宋" w:eastAsia="仿宋" w:cs="仿宋"/>
          <w:sz w:val="24"/>
          <w:szCs w:val="24"/>
        </w:rPr>
        <w:t>）中小企业（监狱企业、残疾人福利性企业）声明函</w:t>
      </w:r>
    </w:p>
    <w:p>
      <w:pPr>
        <w:spacing w:line="360" w:lineRule="auto"/>
        <w:ind w:left="0" w:leftChars="0" w:firstLine="0" w:firstLineChars="0"/>
        <w:jc w:val="center"/>
        <w:rPr>
          <w:rFonts w:hint="eastAsia" w:ascii="仿宋" w:hAnsi="仿宋" w:eastAsia="仿宋" w:cs="仿宋"/>
          <w:b/>
          <w:bCs/>
          <w:kern w:val="0"/>
          <w:sz w:val="24"/>
        </w:rPr>
      </w:pPr>
      <w:r>
        <w:rPr>
          <w:rFonts w:hint="eastAsia" w:ascii="仿宋" w:hAnsi="仿宋" w:eastAsia="仿宋" w:cs="仿宋"/>
          <w:b/>
          <w:bCs/>
          <w:kern w:val="0"/>
          <w:sz w:val="24"/>
        </w:rPr>
        <w:t>1、中小企业声明函（工程、服务）</w:t>
      </w:r>
    </w:p>
    <w:p>
      <w:pPr>
        <w:ind w:left="0" w:leftChars="0" w:firstLine="0" w:firstLineChars="0"/>
      </w:pPr>
    </w:p>
    <w:p>
      <w:r>
        <w:rPr>
          <w:rFonts w:hint="eastAsia"/>
        </w:rPr>
        <w:t>本公司</w:t>
      </w:r>
      <w:r>
        <w:rPr>
          <w:rFonts w:hint="eastAsia"/>
          <w:u w:val="single"/>
        </w:rPr>
        <w:t xml:space="preserve">       </w:t>
      </w:r>
      <w:r>
        <w:rPr>
          <w:rFonts w:hint="eastAsia"/>
        </w:rPr>
        <w:t>郑重声明，根据《政府釆购促进中小企业发展管理办法》（财库（2020）46号）的规定，本公司参加</w:t>
      </w:r>
      <w:r>
        <w:rPr>
          <w:rFonts w:hint="eastAsia"/>
          <w:u w:val="single"/>
        </w:rPr>
        <w:t>（单位名称）</w:t>
      </w:r>
      <w:r>
        <w:rPr>
          <w:rFonts w:hint="eastAsia"/>
        </w:rPr>
        <w:t>的</w:t>
      </w:r>
      <w:r>
        <w:rPr>
          <w:rFonts w:hint="eastAsia"/>
          <w:u w:val="single"/>
        </w:rPr>
        <w:t>（项目名称）</w:t>
      </w:r>
      <w:r>
        <w:rPr>
          <w:rFonts w:hint="eastAsia"/>
        </w:rPr>
        <w:t>采购活动，工程的施工单位全部为符合政策要求的中小企业（或者：服务全部由符合政策要求的中小企业承接），相关企业（签订分包意向协议的中小企业）的具体情况如下：</w:t>
      </w:r>
    </w:p>
    <w:p>
      <w:pPr>
        <w:pStyle w:val="131"/>
        <w:numPr>
          <w:ilvl w:val="0"/>
          <w:numId w:val="12"/>
        </w:numPr>
        <w:ind w:firstLineChars="0"/>
      </w:pPr>
      <w:r>
        <w:rPr>
          <w:rFonts w:hint="eastAsia"/>
          <w:u w:val="single"/>
        </w:rPr>
        <w:t>（标的名称），</w:t>
      </w:r>
      <w:r>
        <w:rPr>
          <w:rFonts w:hint="eastAsia"/>
        </w:rPr>
        <w:t>属于</w:t>
      </w:r>
      <w:r>
        <w:rPr>
          <w:rFonts w:hint="eastAsia"/>
          <w:u w:val="single"/>
        </w:rPr>
        <w:t>（釆购文件中明确的所属行业）</w:t>
      </w:r>
      <w:r>
        <w:rPr>
          <w:rFonts w:hint="eastAsia"/>
        </w:rPr>
        <w:t>行业；承建（承接）企业为</w:t>
      </w:r>
      <w:r>
        <w:rPr>
          <w:rFonts w:hint="eastAsia"/>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万元，属于</w:t>
      </w:r>
      <w:r>
        <w:rPr>
          <w:rFonts w:hint="eastAsia"/>
          <w:u w:val="single"/>
        </w:rPr>
        <w:t>（中型企业、小型企业、微型企业）</w:t>
      </w:r>
      <w:r>
        <w:rPr>
          <w:rFonts w:hint="eastAsia"/>
        </w:rPr>
        <w:t>；</w:t>
      </w:r>
    </w:p>
    <w:p>
      <w:pPr>
        <w:pStyle w:val="131"/>
        <w:numPr>
          <w:ilvl w:val="0"/>
          <w:numId w:val="12"/>
        </w:numPr>
        <w:ind w:firstLineChars="0"/>
      </w:pPr>
      <w:r>
        <w:rPr>
          <w:rFonts w:hint="eastAsia"/>
        </w:rPr>
        <w:t>（</w:t>
      </w:r>
      <w:r>
        <w:rPr>
          <w:rFonts w:hint="eastAsia"/>
          <w:u w:val="single"/>
        </w:rPr>
        <w:t>标的名称</w:t>
      </w:r>
      <w:r>
        <w:rPr>
          <w:rFonts w:hint="eastAsia"/>
        </w:rPr>
        <w:t>），属于（</w:t>
      </w:r>
      <w:r>
        <w:rPr>
          <w:rFonts w:hint="eastAsia"/>
          <w:u w:val="single"/>
        </w:rPr>
        <w:t>采购文件中明确的所属行业</w:t>
      </w:r>
      <w:r>
        <w:rPr>
          <w:rFonts w:hint="eastAsia"/>
        </w:rPr>
        <w:t>）行业；承建（承接）企业为为（</w:t>
      </w:r>
      <w:r>
        <w:rPr>
          <w:rFonts w:hint="eastAsia"/>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万元，属于（</w:t>
      </w:r>
      <w:r>
        <w:rPr>
          <w:rFonts w:hint="eastAsia"/>
          <w:u w:val="single"/>
        </w:rPr>
        <w:t>中型企业，小型企业、微型企业</w:t>
      </w:r>
      <w:r>
        <w:rPr>
          <w:rFonts w:hint="eastAsia"/>
        </w:rPr>
        <w:t>）；</w:t>
      </w:r>
    </w:p>
    <w:p>
      <w:r>
        <w:rPr>
          <w:rFonts w:hint="eastAsia"/>
        </w:rPr>
        <w:t xml:space="preserve">       .............</w:t>
      </w:r>
    </w:p>
    <w:p>
      <w:r>
        <w:rPr>
          <w:rFonts w:hint="eastAsia"/>
        </w:rPr>
        <w:t>以上企业，不属于大企业的分支机构，不存在控股股东为大企业的情形，也不存在与大企业的负责人为同一人的情形。</w:t>
      </w:r>
    </w:p>
    <w:p>
      <w:r>
        <w:rPr>
          <w:rFonts w:hint="eastAsia"/>
        </w:rPr>
        <w:t>本企业对上述声明内容的真实性负责。如有虚假，将依法承担相应责任。</w:t>
      </w:r>
    </w:p>
    <w:p/>
    <w:p/>
    <w:p>
      <w:r>
        <w:rPr>
          <w:rFonts w:hint="eastAsia"/>
        </w:rPr>
        <w:t>企业名称（企业电子章）：</w:t>
      </w:r>
    </w:p>
    <w:p>
      <w:r>
        <w:rPr>
          <w:rFonts w:hint="eastAsia"/>
        </w:rPr>
        <w:t xml:space="preserve">                                              日期：</w:t>
      </w:r>
    </w:p>
    <w:p/>
    <w:p>
      <w:r>
        <w:rPr>
          <w:rFonts w:hint="eastAsia"/>
        </w:rPr>
        <w:t xml:space="preserve">注：1、从业人员、营业收入、资产总额填报上一年度数据，无上一年度数据的新成立企业可不填报。 </w:t>
      </w:r>
    </w:p>
    <w:p>
      <w:r>
        <w:rPr>
          <w:rFonts w:hint="eastAsia"/>
        </w:rPr>
        <w:t xml:space="preserve">2、中小企业划分标准见工业和信息化部国家统计局国家发展和改革委员财政部《关于印发中小业划型标准规定的通知》（工信部联企业〔2011〕300 号)。 </w:t>
      </w:r>
    </w:p>
    <w:p/>
    <w:p>
      <w:pPr>
        <w:pStyle w:val="111"/>
        <w:jc w:val="center"/>
        <w:rPr>
          <w:rFonts w:ascii="仿宋" w:hAnsi="仿宋" w:eastAsia="仿宋" w:cs="仿宋"/>
          <w:b/>
          <w:bCs/>
          <w:kern w:val="0"/>
          <w:sz w:val="24"/>
          <w:szCs w:val="24"/>
        </w:rPr>
      </w:pPr>
      <w:r>
        <w:rPr>
          <w:rFonts w:hint="eastAsia" w:ascii="仿宋" w:hAnsi="仿宋" w:eastAsia="仿宋" w:cs="仿宋"/>
        </w:rPr>
        <w:br w:type="page"/>
      </w:r>
      <w:r>
        <w:rPr>
          <w:rFonts w:hint="eastAsia" w:ascii="仿宋" w:hAnsi="仿宋" w:eastAsia="仿宋" w:cs="仿宋"/>
          <w:b/>
          <w:bCs/>
          <w:kern w:val="0"/>
          <w:sz w:val="24"/>
          <w:szCs w:val="24"/>
        </w:rPr>
        <w:t>2、残疾人福利性单位声明函</w:t>
      </w:r>
    </w:p>
    <w:p>
      <w:pPr>
        <w:pStyle w:val="111"/>
        <w:spacing w:line="480" w:lineRule="auto"/>
        <w:jc w:val="center"/>
        <w:rPr>
          <w:rFonts w:ascii="仿宋" w:hAnsi="仿宋" w:eastAsia="仿宋" w:cs="仿宋"/>
          <w:sz w:val="24"/>
          <w:szCs w:val="21"/>
        </w:rPr>
      </w:pPr>
    </w:p>
    <w:p>
      <w:pPr>
        <w:pStyle w:val="111"/>
        <w:spacing w:line="480" w:lineRule="auto"/>
        <w:ind w:firstLine="420"/>
        <w:rPr>
          <w:rFonts w:ascii="仿宋" w:hAnsi="仿宋" w:eastAsia="仿宋" w:cs="仿宋"/>
          <w:szCs w:val="21"/>
        </w:rPr>
      </w:pPr>
      <w:r>
        <w:rPr>
          <w:rFonts w:hint="eastAsia" w:ascii="仿宋" w:hAnsi="仿宋" w:eastAsia="仿宋" w:cs="仿宋"/>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141号）的规定，本单位为符合条件的残疾人福利性单位，且本单位参加______单位的______项目采购活动提供本单位的服务。</w:t>
      </w:r>
    </w:p>
    <w:p>
      <w:pPr>
        <w:pStyle w:val="111"/>
        <w:spacing w:line="480" w:lineRule="auto"/>
        <w:ind w:firstLine="420"/>
        <w:rPr>
          <w:rFonts w:ascii="仿宋" w:hAnsi="仿宋" w:eastAsia="仿宋" w:cs="仿宋"/>
          <w:szCs w:val="21"/>
        </w:rPr>
      </w:pPr>
      <w:r>
        <w:rPr>
          <w:rFonts w:hint="eastAsia" w:ascii="仿宋" w:hAnsi="仿宋" w:eastAsia="仿宋" w:cs="仿宋"/>
          <w:szCs w:val="21"/>
        </w:rPr>
        <w:t>本单位对上述声明的真实性负责。如有虚假，将依法承担相应责任。</w:t>
      </w:r>
    </w:p>
    <w:p>
      <w:pPr>
        <w:pStyle w:val="111"/>
        <w:spacing w:line="480" w:lineRule="auto"/>
        <w:rPr>
          <w:rFonts w:ascii="仿宋" w:hAnsi="仿宋" w:eastAsia="仿宋" w:cs="仿宋"/>
          <w:szCs w:val="21"/>
        </w:rPr>
      </w:pPr>
    </w:p>
    <w:p>
      <w:pPr>
        <w:pStyle w:val="111"/>
        <w:spacing w:line="480" w:lineRule="auto"/>
        <w:rPr>
          <w:rFonts w:ascii="仿宋" w:hAnsi="仿宋" w:eastAsia="仿宋" w:cs="仿宋"/>
          <w:szCs w:val="21"/>
        </w:rPr>
      </w:pPr>
    </w:p>
    <w:p>
      <w:pPr>
        <w:pStyle w:val="111"/>
        <w:spacing w:line="480" w:lineRule="auto"/>
        <w:rPr>
          <w:rFonts w:ascii="仿宋" w:hAnsi="仿宋" w:eastAsia="仿宋" w:cs="仿宋"/>
          <w:szCs w:val="21"/>
        </w:rPr>
      </w:pPr>
      <w:r>
        <w:rPr>
          <w:rFonts w:hint="eastAsia" w:ascii="仿宋" w:hAnsi="仿宋" w:eastAsia="仿宋" w:cs="仿宋"/>
          <w:szCs w:val="21"/>
        </w:rPr>
        <w:t xml:space="preserve">                                             投标人（企业电子章）：</w:t>
      </w:r>
    </w:p>
    <w:p/>
    <w:p>
      <w:pPr>
        <w:pStyle w:val="16"/>
      </w:pPr>
    </w:p>
    <w:p>
      <w:pPr>
        <w:pStyle w:val="35"/>
        <w:ind w:firstLine="616"/>
      </w:pPr>
    </w:p>
    <w:p>
      <w:pPr>
        <w:pStyle w:val="35"/>
        <w:ind w:firstLine="616"/>
      </w:pPr>
    </w:p>
    <w:p>
      <w:pPr>
        <w:pStyle w:val="35"/>
        <w:ind w:firstLine="616"/>
      </w:pPr>
    </w:p>
    <w:p>
      <w:pPr>
        <w:pStyle w:val="35"/>
        <w:ind w:firstLine="616"/>
      </w:pPr>
    </w:p>
    <w:p>
      <w:pPr>
        <w:pStyle w:val="35"/>
        <w:ind w:firstLine="616"/>
      </w:pPr>
    </w:p>
    <w:p>
      <w:pPr>
        <w:pStyle w:val="35"/>
        <w:ind w:firstLine="616"/>
      </w:pPr>
    </w:p>
    <w:p>
      <w:pPr>
        <w:pStyle w:val="35"/>
        <w:ind w:firstLine="616"/>
      </w:pPr>
    </w:p>
    <w:p>
      <w:pPr>
        <w:pStyle w:val="35"/>
        <w:ind w:firstLine="616"/>
      </w:pPr>
    </w:p>
    <w:p>
      <w:pPr>
        <w:pStyle w:val="35"/>
        <w:ind w:firstLine="616"/>
      </w:pPr>
    </w:p>
    <w:p>
      <w:pPr>
        <w:pStyle w:val="35"/>
        <w:ind w:firstLine="616"/>
      </w:pPr>
    </w:p>
    <w:p>
      <w:r>
        <w:rPr>
          <w:rFonts w:hint="eastAsia"/>
        </w:rPr>
        <w:br w:type="page"/>
      </w:r>
    </w:p>
    <w:p>
      <w:pPr>
        <w:pStyle w:val="110"/>
        <w:jc w:val="center"/>
        <w:rPr>
          <w:rFonts w:ascii="仿宋" w:hAnsi="仿宋" w:eastAsia="仿宋" w:cs="仿宋"/>
          <w:b/>
          <w:bCs/>
          <w:kern w:val="0"/>
          <w:sz w:val="24"/>
          <w:szCs w:val="24"/>
        </w:rPr>
      </w:pPr>
      <w:r>
        <w:rPr>
          <w:rFonts w:hint="eastAsia" w:ascii="仿宋" w:hAnsi="仿宋" w:eastAsia="仿宋" w:cs="仿宋"/>
          <w:b/>
          <w:bCs/>
          <w:kern w:val="0"/>
          <w:sz w:val="24"/>
          <w:szCs w:val="24"/>
        </w:rPr>
        <w:t>3、监狱企业证明文件</w:t>
      </w:r>
    </w:p>
    <w:p>
      <w:pPr>
        <w:pStyle w:val="110"/>
        <w:jc w:val="center"/>
        <w:rPr>
          <w:rFonts w:ascii="仿宋" w:hAnsi="仿宋" w:eastAsia="仿宋" w:cs="仿宋"/>
          <w:szCs w:val="21"/>
        </w:rPr>
      </w:pPr>
    </w:p>
    <w:p>
      <w:pPr>
        <w:pStyle w:val="110"/>
        <w:spacing w:line="480" w:lineRule="auto"/>
        <w:ind w:firstLine="420"/>
        <w:rPr>
          <w:rFonts w:ascii="仿宋" w:hAnsi="仿宋" w:eastAsia="仿宋" w:cs="仿宋"/>
          <w:szCs w:val="21"/>
        </w:rPr>
      </w:pPr>
      <w:r>
        <w:rPr>
          <w:rFonts w:hint="eastAsia" w:ascii="仿宋" w:hAnsi="仿宋" w:eastAsia="仿宋" w:cs="仿宋"/>
          <w:szCs w:val="21"/>
        </w:rPr>
        <w:t>（监狱企业参加政府采购活动时，应当提供由省级以上监狱管理局、戒毒管理局(含新疆生产建设兵团)出具的属于监狱企业的证明文件。</w:t>
      </w:r>
    </w:p>
    <w:p>
      <w:pPr>
        <w:pStyle w:val="110"/>
        <w:spacing w:line="480" w:lineRule="auto"/>
        <w:rPr>
          <w:rFonts w:ascii="仿宋" w:hAnsi="仿宋" w:eastAsia="仿宋" w:cs="仿宋"/>
          <w:szCs w:val="21"/>
        </w:rPr>
      </w:pPr>
    </w:p>
    <w:p>
      <w:pPr>
        <w:pStyle w:val="110"/>
        <w:spacing w:line="480" w:lineRule="auto"/>
        <w:rPr>
          <w:rFonts w:ascii="仿宋" w:hAnsi="仿宋" w:eastAsia="仿宋" w:cs="仿宋"/>
          <w:szCs w:val="21"/>
        </w:rPr>
      </w:pPr>
    </w:p>
    <w:p>
      <w:pPr>
        <w:pStyle w:val="110"/>
        <w:spacing w:line="480" w:lineRule="auto"/>
        <w:rPr>
          <w:rFonts w:ascii="仿宋" w:hAnsi="仿宋" w:eastAsia="仿宋" w:cs="仿宋"/>
          <w:szCs w:val="21"/>
        </w:rPr>
      </w:pPr>
      <w:r>
        <w:rPr>
          <w:rFonts w:hint="eastAsia" w:ascii="仿宋" w:hAnsi="仿宋" w:eastAsia="仿宋" w:cs="仿宋"/>
          <w:szCs w:val="21"/>
        </w:rPr>
        <w:t>注：在投标文件中附扫描件</w:t>
      </w:r>
    </w:p>
    <w:p>
      <w:pPr>
        <w:pStyle w:val="35"/>
        <w:ind w:firstLine="616"/>
      </w:pPr>
    </w:p>
    <w:p>
      <w:pPr>
        <w:pStyle w:val="35"/>
        <w:ind w:firstLine="616"/>
      </w:pPr>
    </w:p>
    <w:p/>
    <w:p/>
    <w:p>
      <w:pPr>
        <w:rPr>
          <w:sz w:val="24"/>
        </w:rPr>
      </w:pPr>
      <w:r>
        <w:rPr>
          <w:rFonts w:hint="eastAsia"/>
        </w:rPr>
        <w:br w:type="page"/>
      </w:r>
    </w:p>
    <w:p>
      <w:pPr>
        <w:pStyle w:val="59"/>
        <w:ind w:firstLine="528"/>
      </w:pPr>
    </w:p>
    <w:p>
      <w:pPr>
        <w:pStyle w:val="102"/>
        <w:ind w:left="0" w:leftChars="0" w:firstLine="0" w:firstLineChars="0"/>
        <w:jc w:val="center"/>
        <w:rPr>
          <w:rFonts w:hint="eastAsia" w:ascii="仿宋" w:hAnsi="仿宋" w:eastAsia="仿宋" w:cs="仿宋"/>
          <w:b/>
          <w:bCs/>
          <w:szCs w:val="23"/>
        </w:rPr>
      </w:pPr>
      <w:r>
        <w:rPr>
          <w:rFonts w:hint="eastAsia" w:ascii="仿宋" w:hAnsi="仿宋" w:eastAsia="仿宋" w:cs="仿宋"/>
          <w:b/>
          <w:bCs/>
          <w:szCs w:val="23"/>
        </w:rPr>
        <w:t>（</w:t>
      </w:r>
      <w:r>
        <w:rPr>
          <w:rFonts w:hint="eastAsia" w:eastAsia="仿宋" w:cs="仿宋"/>
          <w:b/>
          <w:bCs/>
          <w:szCs w:val="23"/>
          <w:lang w:val="en-US" w:eastAsia="zh-CN"/>
        </w:rPr>
        <w:t>四</w:t>
      </w:r>
      <w:r>
        <w:rPr>
          <w:rFonts w:hint="eastAsia" w:ascii="仿宋" w:hAnsi="仿宋" w:eastAsia="仿宋" w:cs="仿宋"/>
          <w:b/>
          <w:bCs/>
          <w:szCs w:val="23"/>
        </w:rPr>
        <w:t>）近年完成的类似项目情况表</w:t>
      </w:r>
    </w:p>
    <w:p/>
    <w:tbl>
      <w:tblPr>
        <w:tblStyle w:val="41"/>
        <w:tblW w:w="9766"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6"/>
        <w:gridCol w:w="7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456" w:type="dxa"/>
            <w:vAlign w:val="center"/>
          </w:tcPr>
          <w:p>
            <w:pPr>
              <w:ind w:left="0" w:leftChars="0" w:firstLine="0" w:firstLineChars="0"/>
              <w:jc w:val="center"/>
            </w:pPr>
            <w:r>
              <w:rPr>
                <w:rFonts w:hint="eastAsia"/>
              </w:rPr>
              <w:t>项目名称</w:t>
            </w:r>
          </w:p>
        </w:tc>
        <w:tc>
          <w:tcPr>
            <w:tcW w:w="7310" w:type="dxa"/>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456" w:type="dxa"/>
            <w:vAlign w:val="center"/>
          </w:tcPr>
          <w:p>
            <w:pPr>
              <w:ind w:left="0" w:leftChars="0" w:firstLine="0" w:firstLineChars="0"/>
              <w:jc w:val="center"/>
            </w:pPr>
            <w:r>
              <w:rPr>
                <w:rFonts w:hint="eastAsia"/>
              </w:rPr>
              <w:t>项目所在地</w:t>
            </w:r>
          </w:p>
        </w:tc>
        <w:tc>
          <w:tcPr>
            <w:tcW w:w="7310" w:type="dxa"/>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456" w:type="dxa"/>
            <w:vAlign w:val="center"/>
          </w:tcPr>
          <w:p>
            <w:pPr>
              <w:ind w:left="0" w:leftChars="0" w:firstLine="0" w:firstLineChars="0"/>
              <w:jc w:val="center"/>
            </w:pPr>
            <w:r>
              <w:rPr>
                <w:rFonts w:hint="eastAsia"/>
              </w:rPr>
              <w:t>发包人名称</w:t>
            </w:r>
          </w:p>
        </w:tc>
        <w:tc>
          <w:tcPr>
            <w:tcW w:w="7310" w:type="dxa"/>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456" w:type="dxa"/>
            <w:vAlign w:val="center"/>
          </w:tcPr>
          <w:p>
            <w:pPr>
              <w:ind w:left="0" w:leftChars="0" w:firstLine="0" w:firstLineChars="0"/>
              <w:jc w:val="center"/>
            </w:pPr>
            <w:r>
              <w:rPr>
                <w:rFonts w:hint="eastAsia"/>
              </w:rPr>
              <w:t>发包人地址</w:t>
            </w:r>
          </w:p>
        </w:tc>
        <w:tc>
          <w:tcPr>
            <w:tcW w:w="7310" w:type="dxa"/>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456" w:type="dxa"/>
            <w:vAlign w:val="center"/>
          </w:tcPr>
          <w:p>
            <w:pPr>
              <w:ind w:left="0" w:leftChars="0" w:firstLine="0" w:firstLineChars="0"/>
              <w:jc w:val="center"/>
            </w:pPr>
            <w:r>
              <w:rPr>
                <w:rFonts w:hint="eastAsia"/>
              </w:rPr>
              <w:t>发包人电话</w:t>
            </w:r>
          </w:p>
        </w:tc>
        <w:tc>
          <w:tcPr>
            <w:tcW w:w="7310" w:type="dxa"/>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456" w:type="dxa"/>
            <w:vAlign w:val="center"/>
          </w:tcPr>
          <w:p>
            <w:pPr>
              <w:ind w:left="0" w:leftChars="0" w:firstLine="0" w:firstLineChars="0"/>
              <w:jc w:val="center"/>
            </w:pPr>
            <w:r>
              <w:rPr>
                <w:rFonts w:hint="eastAsia"/>
              </w:rPr>
              <w:t>合同价格</w:t>
            </w:r>
          </w:p>
        </w:tc>
        <w:tc>
          <w:tcPr>
            <w:tcW w:w="7310" w:type="dxa"/>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56" w:type="dxa"/>
            <w:vAlign w:val="center"/>
          </w:tcPr>
          <w:p>
            <w:pPr>
              <w:ind w:left="0" w:leftChars="0" w:firstLine="0" w:firstLineChars="0"/>
              <w:jc w:val="center"/>
            </w:pPr>
            <w:r>
              <w:rPr>
                <w:rFonts w:hint="eastAsia"/>
              </w:rPr>
              <w:t>开工日期</w:t>
            </w:r>
          </w:p>
        </w:tc>
        <w:tc>
          <w:tcPr>
            <w:tcW w:w="7310" w:type="dxa"/>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456" w:type="dxa"/>
            <w:vAlign w:val="center"/>
          </w:tcPr>
          <w:p>
            <w:pPr>
              <w:ind w:left="0" w:leftChars="0" w:firstLine="0" w:firstLineChars="0"/>
              <w:jc w:val="center"/>
            </w:pPr>
            <w:r>
              <w:rPr>
                <w:rFonts w:hint="eastAsia"/>
              </w:rPr>
              <w:t>竣工日期</w:t>
            </w:r>
          </w:p>
        </w:tc>
        <w:tc>
          <w:tcPr>
            <w:tcW w:w="7310" w:type="dxa"/>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456" w:type="dxa"/>
            <w:vAlign w:val="center"/>
          </w:tcPr>
          <w:p>
            <w:pPr>
              <w:ind w:left="0" w:leftChars="0" w:firstLine="0" w:firstLineChars="0"/>
              <w:jc w:val="center"/>
            </w:pPr>
            <w:r>
              <w:rPr>
                <w:rFonts w:hint="eastAsia"/>
              </w:rPr>
              <w:t>承担的工作</w:t>
            </w:r>
          </w:p>
        </w:tc>
        <w:tc>
          <w:tcPr>
            <w:tcW w:w="7310" w:type="dxa"/>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56" w:type="dxa"/>
            <w:vAlign w:val="center"/>
          </w:tcPr>
          <w:p>
            <w:pPr>
              <w:ind w:left="0" w:leftChars="0" w:firstLine="0" w:firstLineChars="0"/>
              <w:jc w:val="center"/>
            </w:pPr>
            <w:r>
              <w:rPr>
                <w:rFonts w:hint="eastAsia"/>
              </w:rPr>
              <w:t>工程质量</w:t>
            </w:r>
          </w:p>
        </w:tc>
        <w:tc>
          <w:tcPr>
            <w:tcW w:w="7310" w:type="dxa"/>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456" w:type="dxa"/>
            <w:vAlign w:val="center"/>
          </w:tcPr>
          <w:p>
            <w:pPr>
              <w:ind w:left="0" w:leftChars="0" w:firstLine="0" w:firstLineChars="0"/>
              <w:jc w:val="center"/>
            </w:pPr>
            <w:r>
              <w:rPr>
                <w:rFonts w:hint="eastAsia"/>
              </w:rPr>
              <w:t>项目经理</w:t>
            </w:r>
          </w:p>
        </w:tc>
        <w:tc>
          <w:tcPr>
            <w:tcW w:w="7310" w:type="dxa"/>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456" w:type="dxa"/>
            <w:vAlign w:val="center"/>
          </w:tcPr>
          <w:p>
            <w:pPr>
              <w:ind w:left="0" w:leftChars="0" w:firstLine="0" w:firstLineChars="0"/>
              <w:jc w:val="center"/>
            </w:pPr>
            <w:r>
              <w:rPr>
                <w:rFonts w:hint="eastAsia"/>
              </w:rPr>
              <w:t>技术负责人</w:t>
            </w:r>
          </w:p>
        </w:tc>
        <w:tc>
          <w:tcPr>
            <w:tcW w:w="7310" w:type="dxa"/>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456" w:type="dxa"/>
            <w:vAlign w:val="center"/>
          </w:tcPr>
          <w:p>
            <w:pPr>
              <w:ind w:left="0" w:leftChars="0" w:firstLine="0" w:firstLineChars="0"/>
              <w:jc w:val="center"/>
            </w:pPr>
            <w:r>
              <w:rPr>
                <w:rFonts w:hint="eastAsia"/>
              </w:rPr>
              <w:t>总监理工程师及电话</w:t>
            </w:r>
          </w:p>
        </w:tc>
        <w:tc>
          <w:tcPr>
            <w:tcW w:w="7310" w:type="dxa"/>
          </w:tcPr>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56" w:type="dxa"/>
            <w:vAlign w:val="center"/>
          </w:tcPr>
          <w:p>
            <w:pPr>
              <w:ind w:left="0" w:leftChars="0" w:firstLine="0" w:firstLineChars="0"/>
              <w:jc w:val="center"/>
            </w:pPr>
            <w:r>
              <w:rPr>
                <w:rFonts w:hint="eastAsia"/>
              </w:rPr>
              <w:t>项目描述</w:t>
            </w:r>
          </w:p>
        </w:tc>
        <w:tc>
          <w:tcPr>
            <w:tcW w:w="7310" w:type="dxa"/>
          </w:tcPr>
          <w:p>
            <w:pPr>
              <w:ind w:left="0" w:leftChars="0" w:firstLine="0" w:firstLineChars="0"/>
              <w:jc w:val="center"/>
            </w:pPr>
          </w:p>
          <w:p>
            <w:pPr>
              <w:ind w:left="0" w:leftChars="0" w:firstLine="0" w:firstLineChars="0"/>
              <w:jc w:val="center"/>
            </w:pPr>
          </w:p>
          <w:p>
            <w:pPr>
              <w:ind w:left="0" w:leftChars="0" w:firstLine="0" w:firstLineChars="0"/>
              <w:jc w:val="center"/>
            </w:pPr>
          </w:p>
          <w:p>
            <w:pPr>
              <w:ind w:left="0" w:leftChars="0" w:firstLine="0" w:firstLineChars="0"/>
              <w:jc w:val="center"/>
            </w:pPr>
          </w:p>
          <w:p>
            <w:pPr>
              <w:ind w:left="0" w:leftChars="0" w:firstLine="0" w:firstLineChars="0"/>
              <w:jc w:val="center"/>
            </w:pPr>
          </w:p>
          <w:p>
            <w:pPr>
              <w:ind w:left="0" w:leftChars="0" w:firstLine="0" w:firstLineChars="0"/>
              <w:jc w:val="center"/>
            </w:pPr>
          </w:p>
          <w:p>
            <w:pPr>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56" w:type="dxa"/>
            <w:vAlign w:val="center"/>
          </w:tcPr>
          <w:p>
            <w:pPr>
              <w:ind w:left="0" w:leftChars="0" w:firstLine="0" w:firstLineChars="0"/>
              <w:jc w:val="center"/>
            </w:pPr>
            <w:r>
              <w:rPr>
                <w:rFonts w:hint="eastAsia"/>
              </w:rPr>
              <w:t>备注</w:t>
            </w:r>
          </w:p>
        </w:tc>
        <w:tc>
          <w:tcPr>
            <w:tcW w:w="7310" w:type="dxa"/>
          </w:tcPr>
          <w:p>
            <w:pPr>
              <w:ind w:left="0" w:leftChars="0" w:firstLine="0" w:firstLineChars="0"/>
              <w:jc w:val="center"/>
            </w:pPr>
          </w:p>
        </w:tc>
      </w:tr>
    </w:tbl>
    <w:p>
      <w:r>
        <w:rPr>
          <w:rFonts w:hint="eastAsia"/>
        </w:rPr>
        <w:t>注：附证明材料原件的扫描件</w:t>
      </w:r>
    </w:p>
    <w:p/>
    <w:p>
      <w:pPr>
        <w:pStyle w:val="5"/>
        <w:ind w:left="0" w:leftChars="0" w:firstLine="0" w:firstLineChars="0"/>
        <w:jc w:val="center"/>
        <w:rPr>
          <w:rFonts w:hint="eastAsia" w:ascii="仿宋" w:hAnsi="仿宋" w:eastAsia="仿宋" w:cs="仿宋"/>
          <w:bCs w:val="0"/>
          <w:sz w:val="24"/>
          <w:szCs w:val="28"/>
        </w:rPr>
      </w:pPr>
      <w:r>
        <w:rPr>
          <w:rFonts w:hint="eastAsia" w:ascii="仿宋" w:hAnsi="仿宋" w:eastAsia="仿宋" w:cs="仿宋"/>
          <w:bCs w:val="0"/>
          <w:sz w:val="24"/>
          <w:szCs w:val="28"/>
        </w:rPr>
        <w:t>（</w:t>
      </w:r>
      <w:r>
        <w:rPr>
          <w:rFonts w:hint="eastAsia" w:ascii="仿宋" w:hAnsi="仿宋" w:eastAsia="仿宋" w:cs="仿宋"/>
          <w:bCs w:val="0"/>
          <w:sz w:val="24"/>
          <w:szCs w:val="28"/>
          <w:lang w:val="en-US" w:eastAsia="zh-CN"/>
        </w:rPr>
        <w:t>五</w:t>
      </w:r>
      <w:r>
        <w:rPr>
          <w:rFonts w:hint="eastAsia" w:ascii="仿宋" w:hAnsi="仿宋" w:eastAsia="仿宋" w:cs="仿宋"/>
          <w:bCs w:val="0"/>
          <w:sz w:val="24"/>
          <w:szCs w:val="28"/>
        </w:rPr>
        <w:t>）投标人应递交的其他资料</w:t>
      </w:r>
    </w:p>
    <w:p>
      <w:pPr>
        <w:pStyle w:val="59"/>
        <w:ind w:firstLine="528"/>
      </w:pPr>
    </w:p>
    <w:p>
      <w:pPr>
        <w:rPr>
          <w:rFonts w:hint="eastAsia"/>
        </w:rPr>
      </w:pPr>
      <w:r>
        <w:rPr>
          <w:rFonts w:hint="eastAsia"/>
        </w:rPr>
        <w:t>1、对付款方式及结算办法的承诺函（格式自拟）。</w:t>
      </w:r>
    </w:p>
    <w:p>
      <w:pPr>
        <w:rPr>
          <w:rFonts w:hint="eastAsia"/>
        </w:rPr>
      </w:pPr>
      <w:r>
        <w:rPr>
          <w:rFonts w:hint="eastAsia"/>
        </w:rPr>
        <w:t>2、对中标人项目部成员的相关规定的承诺函（格式自拟）。</w:t>
      </w:r>
    </w:p>
    <w:p>
      <w:pPr>
        <w:rPr>
          <w:rFonts w:hint="eastAsia"/>
        </w:rPr>
      </w:pPr>
      <w:r>
        <w:rPr>
          <w:rFonts w:hint="eastAsia"/>
        </w:rPr>
        <w:t>3、农民工工资保证金承诺函（格式自拟）。</w:t>
      </w:r>
    </w:p>
    <w:p>
      <w:pPr>
        <w:rPr>
          <w:rFonts w:hint="default" w:eastAsia="仿宋"/>
          <w:lang w:val="en-US" w:eastAsia="zh-CN"/>
        </w:rPr>
      </w:pPr>
      <w:r>
        <w:rPr>
          <w:rFonts w:hint="eastAsia"/>
          <w:lang w:val="en-US" w:eastAsia="zh-CN"/>
        </w:rPr>
        <w:t>4、拟投标主要设备的制造商及产品资料。</w:t>
      </w:r>
    </w:p>
    <w:p>
      <w:pPr>
        <w:rPr>
          <w:rFonts w:hint="eastAsia"/>
        </w:rPr>
      </w:pPr>
      <w:r>
        <w:rPr>
          <w:rFonts w:hint="eastAsia"/>
          <w:lang w:val="en-US" w:eastAsia="zh-CN"/>
        </w:rPr>
        <w:t>5</w:t>
      </w:r>
      <w:r>
        <w:rPr>
          <w:rFonts w:hint="eastAsia"/>
        </w:rPr>
        <w:t>、投标人认为应递交的其他材料。</w:t>
      </w:r>
    </w:p>
    <w:p>
      <w:r>
        <w:rPr>
          <w:rFonts w:hint="eastAsia"/>
        </w:rPr>
        <w:br w:type="page"/>
      </w:r>
    </w:p>
    <w:p>
      <w:pPr>
        <w:pStyle w:val="4"/>
        <w:ind w:left="0" w:leftChars="0" w:firstLine="0" w:firstLineChars="0"/>
        <w:jc w:val="center"/>
      </w:pPr>
      <w:bookmarkStart w:id="680" w:name="_Toc28938"/>
      <w:bookmarkStart w:id="681" w:name="_Toc17053"/>
      <w:r>
        <w:rPr>
          <w:rFonts w:hint="eastAsia"/>
        </w:rPr>
        <w:t>部分招标投标法律法规知识宣传</w:t>
      </w:r>
      <w:bookmarkEnd w:id="680"/>
      <w:bookmarkEnd w:id="681"/>
    </w:p>
    <w:p>
      <w:pPr>
        <w:ind w:left="0" w:leftChars="0" w:firstLine="0" w:firstLineChars="0"/>
        <w:rPr>
          <w:b/>
          <w:bCs/>
        </w:rPr>
      </w:pPr>
      <w:r>
        <w:rPr>
          <w:rFonts w:hint="eastAsia"/>
          <w:b/>
          <w:bCs/>
        </w:rPr>
        <w:t>一、《中华人民共和国招标投标法实施条例》节选</w:t>
      </w:r>
    </w:p>
    <w:p>
      <w:pPr>
        <w:ind w:firstLine="464"/>
      </w:pPr>
      <w:r>
        <w:rPr>
          <w:rFonts w:hint="eastAsia"/>
          <w:b/>
        </w:rPr>
        <w:t>第六十七条规定，</w:t>
      </w:r>
      <w:r>
        <w:rPr>
          <w:rFonts w:hint="eastAsia"/>
        </w:rPr>
        <w:t>投标人相互串通投标或者与招标人串通投标的，投标人向招标人或者评标委员会成员行贿谋取中标的，中标无效；构成犯罪的，依法追究刑事责任。</w:t>
      </w:r>
    </w:p>
    <w:p>
      <w:r>
        <w:rPr>
          <w:rFonts w:hint="eastAsia"/>
        </w:rPr>
        <w:t xml:space="preserve"> 投标人：（一）以行贿谋取中标；（二）3年内2次以上串通投标；（三）串通投标行为损害招标人、其他投标人或者国家、集体、公民的合法利益，造成直接经济损失30万元以上；（四）其他串通投标情节严重的行为。凡有以上行为之一的，属于情节严重行为，由有关行政监督部门取消其1年至2年内参加依法必须进行招标的项目的投标资格。投标人自以上行为规定的处罚执行期限届满之日起3年内又有以上所列违法行为之一的，或者串通投标、以行贿谋取中标情节特别严重的，由工商行政管理机关吊销营业执照。</w:t>
      </w:r>
    </w:p>
    <w:p>
      <w:pPr>
        <w:ind w:firstLine="464"/>
      </w:pPr>
      <w:r>
        <w:rPr>
          <w:rFonts w:hint="eastAsia"/>
          <w:b/>
        </w:rPr>
        <w:t>第六十八条规定，</w:t>
      </w:r>
      <w:r>
        <w:rPr>
          <w:rFonts w:hint="eastAsia"/>
        </w:rPr>
        <w:t xml:space="preserve">投标人以他人名义投标或者以其他方式弄虚作假骗取中标的，中标无效；构成犯罪的，依法追究刑事责任；尚不构成犯罪的，依照招标投标法第五十四条的规定处罚。依法必须进行招标的项目的投标人未中标的，对单位的罚款金额按照招标项目合同金额依照招标投标法规定的比例计算。 </w:t>
      </w:r>
    </w:p>
    <w:p>
      <w:r>
        <w:rPr>
          <w:rFonts w:hint="eastAsia"/>
        </w:rPr>
        <w:t>投标人：（一）伪造、变造资格、资质证书或者其他许可证件骗取中标；（二）3年内2次以上使用他人名义投标；（三）弄虚作假骗取中标给招标人造成直接经济损失30万元以上；（四）其他弄虚作假骗取中标情节严重的行为。凡有以上行为之一的，属于招标投标法第五十四条规定的情节严重行为，由有关行政监督部门取消其1年至3年内参加依法必须进行招标的项目的投标资格。投标人自以上行为规定的处罚执行期限届满之日起3年内又有该款所列违法行为之一的，或者弄虚作假骗取中标情节特别严重的，由工商行政管理机关吊销营业执照。</w:t>
      </w:r>
    </w:p>
    <w:p>
      <w:pPr>
        <w:ind w:firstLine="464"/>
      </w:pPr>
      <w:r>
        <w:rPr>
          <w:rFonts w:hint="eastAsia"/>
          <w:b/>
        </w:rPr>
        <w:t>第六十九条规定</w:t>
      </w:r>
      <w:r>
        <w:rPr>
          <w:rFonts w:hint="eastAsia"/>
        </w:rPr>
        <w:t>：出让或者出租资格、资质证书供他人投标的，依照法律、行政法规的规定给予行政处罚；构成犯罪的，依法追究刑事责任。</w:t>
      </w:r>
    </w:p>
    <w:p>
      <w:pPr>
        <w:ind w:left="0" w:leftChars="0" w:firstLine="0" w:firstLineChars="0"/>
        <w:rPr>
          <w:b/>
          <w:bCs/>
        </w:rPr>
      </w:pPr>
      <w:r>
        <w:rPr>
          <w:rFonts w:hint="eastAsia"/>
          <w:b/>
          <w:bCs/>
        </w:rPr>
        <w:t>二、《中华人民共和国刑法》有关招投标处罚规定</w:t>
      </w:r>
    </w:p>
    <w:p>
      <w:pPr>
        <w:ind w:firstLine="464"/>
      </w:pPr>
      <w:r>
        <w:rPr>
          <w:rFonts w:hint="eastAsia"/>
          <w:b/>
        </w:rPr>
        <w:t>第二百二十三条规定，</w:t>
      </w:r>
      <w:r>
        <w:rPr>
          <w:rFonts w:hint="eastAsia"/>
        </w:rPr>
        <w:t>〔串通投标罪〕投标人相互串通投标报价，损害招标人或者其他投标人利益，情节严重的，处三年以下有期徒刑或者拘役，并处或者单处罚金。投标人与招标人串通投标，损害国家、集体、公民的合法利益的，依照前款的规定处罚。</w:t>
      </w:r>
    </w:p>
    <w:p>
      <w:pPr>
        <w:ind w:left="0" w:leftChars="0" w:firstLine="0" w:firstLineChars="0"/>
        <w:rPr>
          <w:b/>
          <w:bCs/>
        </w:rPr>
      </w:pPr>
      <w:r>
        <w:rPr>
          <w:rFonts w:hint="eastAsia"/>
          <w:b/>
          <w:bCs/>
        </w:rPr>
        <w:t>三、《最高人民检察院公安部关于经济犯罪案件追诉标准的规定》涉及招投标处理事项</w:t>
      </w:r>
    </w:p>
    <w:p>
      <w:pPr>
        <w:ind w:firstLine="464"/>
      </w:pPr>
      <w:r>
        <w:rPr>
          <w:rFonts w:hint="eastAsia"/>
          <w:b/>
        </w:rPr>
        <w:t>第六十八条规定，</w:t>
      </w:r>
      <w:r>
        <w:rPr>
          <w:rFonts w:hint="eastAsia"/>
        </w:rPr>
        <w:t xml:space="preserve">投标人相互串通投标报价，或者投标人与招标人串通投标，涉嫌下列情形之一的，应予追诉： </w:t>
      </w:r>
    </w:p>
    <w:p>
      <w:r>
        <w:rPr>
          <w:rFonts w:hint="eastAsia"/>
        </w:rPr>
        <w:t xml:space="preserve">1、损害招标人、投标人或者国家、集体、公民的合法利益，造成的直接经济损失数额在五十万元以上的； </w:t>
      </w:r>
    </w:p>
    <w:p>
      <w:r>
        <w:rPr>
          <w:rFonts w:hint="eastAsia"/>
        </w:rPr>
        <w:t xml:space="preserve">2、对其他投标人、招标人等投标招标活动的参加人采取威胁、欺骗等非法手段的； </w:t>
      </w:r>
    </w:p>
    <w:p>
      <w:r>
        <w:rPr>
          <w:rFonts w:hint="eastAsia"/>
        </w:rPr>
        <w:t xml:space="preserve">3、虽未达到上述数额标准，但因串通投标，受过行政处罚二次以上，又串通投标的。 </w:t>
      </w:r>
    </w:p>
    <w:p>
      <w:pPr>
        <w:ind w:left="0" w:leftChars="0" w:firstLine="0" w:firstLineChars="0"/>
        <w:rPr>
          <w:b/>
          <w:bCs/>
        </w:rPr>
      </w:pPr>
      <w:r>
        <w:rPr>
          <w:rFonts w:hint="eastAsia"/>
          <w:b/>
          <w:bCs/>
        </w:rPr>
        <w:t>四、《中华人民共和国审计法实施条例》涉及招投标事项</w:t>
      </w:r>
    </w:p>
    <w:p>
      <w:pPr>
        <w:ind w:firstLine="464"/>
      </w:pPr>
      <w:r>
        <w:rPr>
          <w:rFonts w:hint="eastAsia"/>
          <w:b/>
        </w:rPr>
        <w:t>第二十条规定，</w:t>
      </w:r>
      <w:r>
        <w:rPr>
          <w:rFonts w:hint="eastAsia"/>
        </w:rPr>
        <w:t>政府投资和以政府投资为主的建设项目，审计机关依法进行审计监督。</w:t>
      </w:r>
    </w:p>
    <w:p>
      <w:pPr>
        <w:ind w:firstLine="464"/>
      </w:pPr>
      <w:r>
        <w:rPr>
          <w:rFonts w:hint="eastAsia"/>
          <w:b/>
        </w:rPr>
        <w:t>第四十条规定，</w:t>
      </w:r>
      <w:r>
        <w:rPr>
          <w:rFonts w:hint="eastAsia"/>
        </w:rPr>
        <w:t>对依法应当追究有关人员责任的，向有关主管机关、单位提出给予处分的建议；对依法应当由有关主管机关处理、处罚的，移送有关主管机关；涉嫌犯罪的，移送司法机关。</w:t>
      </w:r>
    </w:p>
    <w:p>
      <w:pPr>
        <w:ind w:left="0" w:leftChars="0" w:firstLine="0" w:firstLineChars="0"/>
        <w:rPr>
          <w:b/>
          <w:bCs/>
        </w:rPr>
      </w:pPr>
      <w:r>
        <w:rPr>
          <w:rFonts w:hint="eastAsia"/>
          <w:b/>
          <w:bCs/>
        </w:rPr>
        <w:t>五、全国“扫黑除恶”专项斗争涉及招投标工作</w:t>
      </w:r>
    </w:p>
    <w:p>
      <w:r>
        <w:rPr>
          <w:rFonts w:hint="eastAsia"/>
        </w:rPr>
        <w:t>根据中共中央、国务院《关于开展扫黑除恶专项斗争的通知》精神，扫黑除恶专项斗争打击的重点包括在建筑工程行业强揽工程、恶意竞标的黑恶势力。对有组织地恶意围标串标、强揽工程项目、强行推荐设计、施工、监理队伍、强行肢解分包工程的，招投标等行政监督部门需将问题线索提交市扫黑除恶专项斗争办公室进行查处。</w:t>
      </w:r>
    </w:p>
    <w:p>
      <w:pPr>
        <w:pStyle w:val="36"/>
        <w:ind w:firstLine="528"/>
      </w:pPr>
    </w:p>
    <w:p>
      <w:pPr>
        <w:pStyle w:val="36"/>
        <w:ind w:firstLine="528"/>
      </w:pPr>
    </w:p>
    <w:p>
      <w:pPr>
        <w:pStyle w:val="36"/>
        <w:ind w:firstLine="528"/>
      </w:pPr>
    </w:p>
    <w:p>
      <w:pPr>
        <w:pStyle w:val="36"/>
        <w:ind w:firstLine="528"/>
      </w:pPr>
    </w:p>
    <w:p>
      <w:pPr>
        <w:pStyle w:val="36"/>
        <w:ind w:firstLine="528"/>
      </w:pPr>
    </w:p>
    <w:p>
      <w:pPr>
        <w:pStyle w:val="36"/>
        <w:ind w:firstLine="528"/>
      </w:pPr>
    </w:p>
    <w:p>
      <w:pPr>
        <w:pStyle w:val="36"/>
        <w:ind w:firstLine="528"/>
      </w:pPr>
    </w:p>
    <w:p>
      <w:pPr>
        <w:pStyle w:val="36"/>
        <w:ind w:firstLine="528"/>
      </w:pPr>
    </w:p>
    <w:p>
      <w:pPr>
        <w:pStyle w:val="36"/>
        <w:ind w:firstLine="528"/>
      </w:pPr>
    </w:p>
    <w:p>
      <w:pPr>
        <w:pStyle w:val="36"/>
        <w:ind w:firstLine="528"/>
      </w:pPr>
    </w:p>
    <w:p>
      <w:pPr>
        <w:pStyle w:val="36"/>
        <w:ind w:firstLine="528"/>
      </w:pPr>
    </w:p>
    <w:p>
      <w:pPr>
        <w:pStyle w:val="36"/>
        <w:ind w:firstLine="528"/>
      </w:pPr>
    </w:p>
    <w:p>
      <w:pPr>
        <w:pStyle w:val="36"/>
        <w:ind w:firstLine="528"/>
      </w:pPr>
    </w:p>
    <w:p>
      <w:pPr>
        <w:pStyle w:val="4"/>
        <w:ind w:left="0" w:leftChars="0" w:firstLine="0" w:firstLineChars="0"/>
        <w:jc w:val="center"/>
      </w:pPr>
      <w:r>
        <w:rPr>
          <w:rFonts w:hint="eastAsia"/>
          <w:color w:val="000000"/>
          <w:sz w:val="36"/>
          <w:szCs w:val="36"/>
        </w:rPr>
        <w:br w:type="page"/>
      </w:r>
      <w:bookmarkStart w:id="682" w:name="_Toc27023"/>
      <w:bookmarkStart w:id="683" w:name="_Toc11685"/>
      <w:r>
        <w:rPr>
          <w:rFonts w:hint="eastAsia"/>
        </w:rPr>
        <w:t>致房屋建筑和市政基础设施工程建设项目</w:t>
      </w:r>
      <w:bookmarkEnd w:id="682"/>
      <w:bookmarkEnd w:id="683"/>
    </w:p>
    <w:p>
      <w:pPr>
        <w:pStyle w:val="4"/>
        <w:ind w:left="0" w:leftChars="0" w:firstLine="0" w:firstLineChars="0"/>
        <w:jc w:val="center"/>
      </w:pPr>
      <w:bookmarkStart w:id="684" w:name="_Toc26931"/>
      <w:bookmarkStart w:id="685" w:name="_Toc819"/>
      <w:r>
        <w:rPr>
          <w:rFonts w:hint="eastAsia"/>
        </w:rPr>
        <w:t>招标投标各方主体的一封公开信</w:t>
      </w:r>
      <w:bookmarkEnd w:id="684"/>
      <w:bookmarkEnd w:id="685"/>
    </w:p>
    <w:p>
      <w:pPr>
        <w:ind w:left="0" w:leftChars="0" w:firstLine="0" w:firstLineChars="0"/>
      </w:pPr>
      <w:r>
        <w:rPr>
          <w:rFonts w:hint="eastAsia"/>
        </w:rPr>
        <w:t>参与全市房屋建筑和市政基础设施工程建设项目招标投标的各方主体：</w:t>
      </w:r>
    </w:p>
    <w:p>
      <w:pPr>
        <w:rPr>
          <w:spacing w:val="6"/>
        </w:rPr>
      </w:pPr>
      <w:r>
        <w:rPr>
          <w:rFonts w:hint="eastAsia"/>
        </w:rPr>
        <w:t>为深入贯彻落实中央、省委、市委关于扫黑除恶专项斗争的决策部署，根据《住房和城乡建设部办公厅关于开展工程建设行业专项整治的通知》（建办市函〔2020〕298号）精神，我市聚焦房屋建筑和市政基础设施工程建设领域招标投标活动中存在的恶意竞标、强揽工程、借用资质、干扰招标投标正常秩</w:t>
      </w:r>
      <w:r>
        <w:rPr>
          <w:rFonts w:hint="eastAsia"/>
          <w:spacing w:val="6"/>
        </w:rPr>
        <w:t>序等违法违规行为，正在开展专项整治活动，重点治理以下行为：</w:t>
      </w:r>
    </w:p>
    <w:p>
      <w:r>
        <w:rPr>
          <w:rFonts w:hint="eastAsia"/>
        </w:rPr>
        <w:t>（一）招标人在招标文件中设置不合理条件，限制或者排斥潜在投标人，或招标人以任何方式规避招标。</w:t>
      </w:r>
    </w:p>
    <w:p>
      <w:r>
        <w:rPr>
          <w:rFonts w:hint="eastAsia"/>
        </w:rPr>
        <w:t>（二）投标人相互串通投标或者与招标人、招标代理机构串通投标，或者投标人以向招标人、招标代理机构或者评标委员会成员行贿的手段谋取中标。</w:t>
      </w:r>
    </w:p>
    <w:p>
      <w:r>
        <w:rPr>
          <w:rFonts w:hint="eastAsia"/>
        </w:rPr>
        <w:t>（三）投标人以他人名义投标，挂靠、借用资质投标或者以其他方式弄虚作假，骗取中标。</w:t>
      </w:r>
    </w:p>
    <w:p>
      <w:r>
        <w:rPr>
          <w:rFonts w:hint="eastAsia"/>
        </w:rPr>
        <w:t>（四）招标人或投标人胁迫其他潜在投标人放弃投标，或胁迫中标人放弃中标。</w:t>
      </w:r>
    </w:p>
    <w:p>
      <w:pPr>
        <w:rPr>
          <w:sz w:val="21"/>
          <w:szCs w:val="21"/>
        </w:rPr>
      </w:pPr>
      <w:r>
        <w:rPr>
          <w:rFonts w:hint="eastAsia"/>
        </w:rPr>
        <w:t>（</w:t>
      </w:r>
      <w:r>
        <w:rPr>
          <w:rFonts w:hint="eastAsia"/>
          <w:sz w:val="21"/>
          <w:szCs w:val="21"/>
        </w:rPr>
        <w:t>五）投标人恶意举报投诉中标人或其他潜在投标人，干扰招标投标正常秩序。</w:t>
      </w:r>
    </w:p>
    <w:p>
      <w:pPr>
        <w:rPr>
          <w:sz w:val="21"/>
          <w:szCs w:val="21"/>
        </w:rPr>
      </w:pPr>
      <w:r>
        <w:rPr>
          <w:rFonts w:hint="eastAsia"/>
          <w:sz w:val="21"/>
          <w:szCs w:val="21"/>
        </w:rPr>
        <w:t>（六）中标人将中标项目转让给他人，或者将中标项目肢解后分别转让给他人，以及将中标项目违法分包给他人。</w:t>
      </w:r>
    </w:p>
    <w:p>
      <w:pPr>
        <w:rPr>
          <w:sz w:val="21"/>
          <w:szCs w:val="21"/>
        </w:rPr>
      </w:pPr>
      <w:r>
        <w:rPr>
          <w:rFonts w:hint="eastAsia"/>
          <w:sz w:val="21"/>
          <w:szCs w:val="21"/>
        </w:rPr>
        <w:t>（七）党政机关、事业单位、行业协（学）会等单位领导干部或工作人员利用职权或者职务上的影响干预招标投标活动。</w:t>
      </w:r>
    </w:p>
    <w:p>
      <w:pPr>
        <w:rPr>
          <w:sz w:val="21"/>
          <w:szCs w:val="21"/>
          <w:u w:val="single"/>
        </w:rPr>
      </w:pPr>
      <w:r>
        <w:rPr>
          <w:rFonts w:hint="eastAsia"/>
          <w:sz w:val="21"/>
          <w:szCs w:val="21"/>
        </w:rPr>
        <w:t>如果您单位和个人在参与投标活动中发现以上行为或《河南省房屋建筑和市政基础设施工程项目招标投标监管禁止行为清单》《河南省房屋建筑和市政基础设施工程项目招标投标活动禁止行为清单》《洛阳市房屋建筑和市政基础设施工程项目招标投标活动负面行为清单》中所列行为，请依法向当地住房城乡建设主管部门举报，举报方式：</w:t>
      </w:r>
    </w:p>
    <w:p>
      <w:pPr>
        <w:rPr>
          <w:sz w:val="21"/>
          <w:szCs w:val="21"/>
        </w:rPr>
      </w:pPr>
      <w:r>
        <w:rPr>
          <w:rFonts w:hint="eastAsia"/>
          <w:sz w:val="21"/>
          <w:szCs w:val="21"/>
        </w:rPr>
        <w:t>如果您单位和个人在参与投标活动中发现涉黑涉恶线索，可登录河南省住房城乡建设厅官方网站首页“投诉举报”专栏“住房城乡建设领域涉黑涉恶违法线索在线举报”窗口反映。</w:t>
      </w:r>
    </w:p>
    <w:p>
      <w:pPr>
        <w:rPr>
          <w:sz w:val="21"/>
          <w:szCs w:val="21"/>
        </w:rPr>
      </w:pPr>
      <w:r>
        <w:rPr>
          <w:rFonts w:hint="eastAsia"/>
          <w:sz w:val="21"/>
          <w:szCs w:val="21"/>
        </w:rPr>
        <w:t>举报时请尽量提供详细的事实材料，我们将认真落实行业监管责任，坚决依法依规处理。涉及实名举报的，我们将严格为举报人保密。</w:t>
      </w:r>
    </w:p>
    <w:p>
      <w:pPr>
        <w:pStyle w:val="36"/>
        <w:ind w:firstLine="528"/>
        <w:rPr>
          <w:sz w:val="21"/>
          <w:szCs w:val="21"/>
        </w:rPr>
      </w:pPr>
      <w:r>
        <w:rPr>
          <w:rFonts w:hint="eastAsia"/>
          <w:sz w:val="21"/>
          <w:szCs w:val="21"/>
        </w:rPr>
        <w:t>让我们大家共同行动起来，为营造公平公正的招标投标市场环境而努力！</w:t>
      </w:r>
    </w:p>
    <w:sectPr>
      <w:headerReference r:id="rId17" w:type="default"/>
      <w:footerReference r:id="rId18" w:type="default"/>
      <w:pgSz w:w="11906" w:h="16838"/>
      <w:pgMar w:top="1440" w:right="1080" w:bottom="1440" w:left="108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62"/>
      </w:pPr>
      <w:r>
        <w:separator/>
      </w:r>
    </w:p>
  </w:endnote>
  <w:endnote w:type="continuationSeparator" w:id="1">
    <w:p>
      <w:pPr>
        <w:spacing w:line="240" w:lineRule="auto"/>
        <w:ind w:firstLine="46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90FECEFB-73FA-4077-A8D0-0069BC7AEC7C}"/>
  </w:font>
  <w:font w:name="仿宋">
    <w:panose1 w:val="02010609060101010101"/>
    <w:charset w:val="86"/>
    <w:family w:val="modern"/>
    <w:pitch w:val="default"/>
    <w:sig w:usb0="800002BF" w:usb1="38CF7CFA" w:usb2="00000016" w:usb3="00000000" w:csb0="00040001" w:csb1="00000000"/>
    <w:embedRegular r:id="rId2" w:fontKey="{908FC877-B617-471E-9B45-3C6DF6AA1289}"/>
  </w:font>
  <w:font w:name="仿宋_GB2312">
    <w:panose1 w:val="02010609030101010101"/>
    <w:charset w:val="86"/>
    <w:family w:val="modern"/>
    <w:pitch w:val="default"/>
    <w:sig w:usb0="00000001" w:usb1="080E0000" w:usb2="00000000" w:usb3="00000000" w:csb0="00040000" w:csb1="00000000"/>
    <w:embedRegular r:id="rId3" w:fontKey="{A4A5E016-7CE2-4156-B67A-12DC9E617B1E}"/>
  </w:font>
  <w:font w:name="monospace">
    <w:altName w:val="Segoe Print"/>
    <w:panose1 w:val="00000000000000000000"/>
    <w:charset w:val="00"/>
    <w:family w:val="auto"/>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4" w:fontKey="{C1014C37-3637-4941-93C9-80440D53FDC1}"/>
  </w:font>
  <w:font w:name="华文细黑">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embedRegular r:id="rId5" w:fontKey="{0A172AF2-E2E2-4EC8-A688-0F3ABA54ACDD}"/>
  </w:font>
  <w:font w:name="Cambria">
    <w:panose1 w:val="02040503050406030204"/>
    <w:charset w:val="00"/>
    <w:family w:val="roman"/>
    <w:pitch w:val="default"/>
    <w:sig w:usb0="E00006FF" w:usb1="420024FF" w:usb2="02000000" w:usb3="00000000" w:csb0="2000019F" w:csb1="00000000"/>
  </w:font>
  <w:font w:name="方正小标宋简体">
    <w:altName w:val="方正舒体"/>
    <w:panose1 w:val="02000000000000000000"/>
    <w:charset w:val="86"/>
    <w:family w:val="auto"/>
    <w:pitch w:val="default"/>
    <w:sig w:usb0="00000000" w:usb1="00000000" w:usb2="00000012" w:usb3="00000000" w:csb0="00040001" w:csb1="00000000"/>
    <w:embedRegular r:id="rId6" w:fontKey="{138D6FD5-EE2C-41BF-96AF-2F82C452A71E}"/>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9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9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9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9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9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ind w:firstLine="396"/>
                          </w:pPr>
                          <w:r>
                            <w:fldChar w:fldCharType="begin"/>
                          </w:r>
                          <w:r>
                            <w:rPr>
                              <w:rStyle w:val="45"/>
                            </w:rPr>
                            <w:instrText xml:space="preserve"> PAGE </w:instrText>
                          </w:r>
                          <w:r>
                            <w:fldChar w:fldCharType="separate"/>
                          </w:r>
                          <w:r>
                            <w:rPr>
                              <w:rStyle w:val="45"/>
                            </w:rP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27"/>
                      <w:ind w:firstLine="396"/>
                    </w:pPr>
                    <w:r>
                      <w:fldChar w:fldCharType="begin"/>
                    </w:r>
                    <w:r>
                      <w:rPr>
                        <w:rStyle w:val="45"/>
                      </w:rPr>
                      <w:instrText xml:space="preserve"> PAGE </w:instrText>
                    </w:r>
                    <w:r>
                      <w:fldChar w:fldCharType="separate"/>
                    </w:r>
                    <w:r>
                      <w:rPr>
                        <w:rStyle w:val="45"/>
                      </w:rPr>
                      <w:t>34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jc w:val="center"/>
                          </w:pPr>
                          <w:r>
                            <w:fldChar w:fldCharType="begin"/>
                          </w:r>
                          <w:r>
                            <w:rPr>
                              <w:rStyle w:val="45"/>
                            </w:rPr>
                            <w:instrText xml:space="preserve"> PAGE </w:instrText>
                          </w:r>
                          <w:r>
                            <w:fldChar w:fldCharType="separate"/>
                          </w:r>
                          <w:r>
                            <w:rPr>
                              <w:rStyle w:val="45"/>
                            </w:rP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7"/>
                      <w:jc w:val="center"/>
                    </w:pPr>
                    <w:r>
                      <w:fldChar w:fldCharType="begin"/>
                    </w:r>
                    <w:r>
                      <w:rPr>
                        <w:rStyle w:val="45"/>
                      </w:rPr>
                      <w:instrText xml:space="preserve"> PAGE </w:instrText>
                    </w:r>
                    <w:r>
                      <w:fldChar w:fldCharType="separate"/>
                    </w:r>
                    <w:r>
                      <w:rPr>
                        <w:rStyle w:val="45"/>
                      </w:rPr>
                      <w:t>34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9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ind w:firstLine="396"/>
                          </w:pPr>
                          <w:r>
                            <w:fldChar w:fldCharType="begin"/>
                          </w:r>
                          <w:r>
                            <w:rPr>
                              <w:rStyle w:val="45"/>
                            </w:rPr>
                            <w:instrText xml:space="preserve"> PAGE </w:instrText>
                          </w:r>
                          <w:r>
                            <w:fldChar w:fldCharType="separate"/>
                          </w:r>
                          <w:r>
                            <w:rPr>
                              <w:rStyle w:val="45"/>
                            </w:rP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7"/>
                      <w:ind w:firstLine="396"/>
                    </w:pPr>
                    <w:r>
                      <w:fldChar w:fldCharType="begin"/>
                    </w:r>
                    <w:r>
                      <w:rPr>
                        <w:rStyle w:val="45"/>
                      </w:rPr>
                      <w:instrText xml:space="preserve"> PAGE </w:instrText>
                    </w:r>
                    <w:r>
                      <w:fldChar w:fldCharType="separate"/>
                    </w:r>
                    <w:r>
                      <w:rPr>
                        <w:rStyle w:val="45"/>
                      </w:rPr>
                      <w:t>34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62"/>
      </w:pPr>
      <w:r>
        <w:separator/>
      </w:r>
    </w:p>
  </w:footnote>
  <w:footnote w:type="continuationSeparator" w:id="1">
    <w:p>
      <w:pPr>
        <w:spacing w:line="360" w:lineRule="auto"/>
        <w:ind w:firstLine="46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9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ind w:firstLine="39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ind w:left="0" w:leftChars="0" w:firstLine="0" w:firstLineChars="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ind w:left="0" w:leftChars="0" w:firstLine="0" w:firstLineChars="0"/>
      <w:jc w:val="both"/>
    </w:pPr>
    <w: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ind w:firstLine="39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ind w:firstLine="39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AE7F5"/>
    <w:multiLevelType w:val="singleLevel"/>
    <w:tmpl w:val="82FAE7F5"/>
    <w:lvl w:ilvl="0" w:tentative="0">
      <w:start w:val="2"/>
      <w:numFmt w:val="chineseCounting"/>
      <w:suff w:val="nothing"/>
      <w:lvlText w:val="（%1）"/>
      <w:lvlJc w:val="left"/>
      <w:rPr>
        <w:rFonts w:hint="eastAsia"/>
      </w:rPr>
    </w:lvl>
  </w:abstractNum>
  <w:abstractNum w:abstractNumId="1">
    <w:nsid w:val="894B90F5"/>
    <w:multiLevelType w:val="singleLevel"/>
    <w:tmpl w:val="894B90F5"/>
    <w:lvl w:ilvl="0" w:tentative="0">
      <w:start w:val="1"/>
      <w:numFmt w:val="decimal"/>
      <w:lvlText w:val="(%1)"/>
      <w:lvlJc w:val="left"/>
      <w:pPr>
        <w:tabs>
          <w:tab w:val="left" w:pos="312"/>
        </w:tabs>
      </w:pPr>
    </w:lvl>
  </w:abstractNum>
  <w:abstractNum w:abstractNumId="2">
    <w:nsid w:val="A92A3CC4"/>
    <w:multiLevelType w:val="singleLevel"/>
    <w:tmpl w:val="A92A3CC4"/>
    <w:lvl w:ilvl="0" w:tentative="0">
      <w:start w:val="3"/>
      <w:numFmt w:val="decimal"/>
      <w:suff w:val="nothing"/>
      <w:lvlText w:val="（%1）"/>
      <w:lvlJc w:val="left"/>
      <w:pPr>
        <w:ind w:left="-149"/>
      </w:pPr>
    </w:lvl>
  </w:abstractNum>
  <w:abstractNum w:abstractNumId="3">
    <w:nsid w:val="BF78DC06"/>
    <w:multiLevelType w:val="singleLevel"/>
    <w:tmpl w:val="BF78DC06"/>
    <w:lvl w:ilvl="0" w:tentative="0">
      <w:start w:val="1"/>
      <w:numFmt w:val="decimal"/>
      <w:lvlText w:val="%1."/>
      <w:lvlJc w:val="left"/>
      <w:pPr>
        <w:tabs>
          <w:tab w:val="left" w:pos="312"/>
        </w:tabs>
      </w:pPr>
    </w:lvl>
  </w:abstractNum>
  <w:abstractNum w:abstractNumId="4">
    <w:nsid w:val="C8B79DCA"/>
    <w:multiLevelType w:val="singleLevel"/>
    <w:tmpl w:val="C8B79DCA"/>
    <w:lvl w:ilvl="0" w:tentative="0">
      <w:start w:val="1"/>
      <w:numFmt w:val="decimal"/>
      <w:lvlText w:val="%1."/>
      <w:lvlJc w:val="left"/>
      <w:pPr>
        <w:tabs>
          <w:tab w:val="left" w:pos="-108"/>
        </w:tabs>
        <w:ind w:left="-420"/>
      </w:pPr>
    </w:lvl>
  </w:abstractNum>
  <w:abstractNum w:abstractNumId="5">
    <w:nsid w:val="F48599CC"/>
    <w:multiLevelType w:val="multilevel"/>
    <w:tmpl w:val="F48599CC"/>
    <w:lvl w:ilvl="0" w:tentative="0">
      <w:start w:val="1"/>
      <w:numFmt w:val="decimal"/>
      <w:lvlText w:val="%1）"/>
      <w:lvlJc w:val="left"/>
      <w:pPr>
        <w:ind w:left="720" w:hanging="7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5BA5C5D"/>
    <w:multiLevelType w:val="singleLevel"/>
    <w:tmpl w:val="05BA5C5D"/>
    <w:lvl w:ilvl="0" w:tentative="0">
      <w:start w:val="3"/>
      <w:numFmt w:val="chineseCounting"/>
      <w:suff w:val="space"/>
      <w:lvlText w:val="第%1部分"/>
      <w:lvlJc w:val="left"/>
      <w:pPr>
        <w:ind w:left="3360"/>
      </w:pPr>
      <w:rPr>
        <w:rFonts w:hint="eastAsia"/>
      </w:rPr>
    </w:lvl>
  </w:abstractNum>
  <w:abstractNum w:abstractNumId="7">
    <w:nsid w:val="124C66CD"/>
    <w:multiLevelType w:val="multilevel"/>
    <w:tmpl w:val="124C66CD"/>
    <w:lvl w:ilvl="0" w:tentative="0">
      <w:start w:val="1"/>
      <w:numFmt w:val="decimal"/>
      <w:lvlText w:val="%1）"/>
      <w:lvlJc w:val="left"/>
      <w:pPr>
        <w:ind w:left="720" w:hanging="7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07D8907"/>
    <w:multiLevelType w:val="multilevel"/>
    <w:tmpl w:val="207D8907"/>
    <w:lvl w:ilvl="0" w:tentative="0">
      <w:start w:val="1"/>
      <w:numFmt w:val="decimal"/>
      <w:lvlText w:val="%1."/>
      <w:lvlJc w:val="left"/>
      <w:pPr>
        <w:ind w:left="360" w:hanging="360"/>
      </w:pPr>
    </w:lvl>
    <w:lvl w:ilvl="1" w:tentative="0">
      <w:start w:val="1"/>
      <w:numFmt w:val="decimal"/>
      <w:lvlText w:val="%2）"/>
      <w:lvlJc w:val="left"/>
      <w:pPr>
        <w:ind w:left="1140" w:hanging="7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45AE892"/>
    <w:multiLevelType w:val="singleLevel"/>
    <w:tmpl w:val="545AE892"/>
    <w:lvl w:ilvl="0" w:tentative="0">
      <w:start w:val="1"/>
      <w:numFmt w:val="decimal"/>
      <w:suff w:val="nothing"/>
      <w:lvlText w:val="（%1）"/>
      <w:lvlJc w:val="left"/>
    </w:lvl>
  </w:abstractNum>
  <w:abstractNum w:abstractNumId="10">
    <w:nsid w:val="545AE9B3"/>
    <w:multiLevelType w:val="singleLevel"/>
    <w:tmpl w:val="545AE9B3"/>
    <w:lvl w:ilvl="0" w:tentative="0">
      <w:start w:val="2"/>
      <w:numFmt w:val="decimal"/>
      <w:suff w:val="nothing"/>
      <w:lvlText w:val="（%1）"/>
      <w:lvlJc w:val="left"/>
    </w:lvl>
  </w:abstractNum>
  <w:abstractNum w:abstractNumId="11">
    <w:nsid w:val="78B950D3"/>
    <w:multiLevelType w:val="multilevel"/>
    <w:tmpl w:val="78B950D3"/>
    <w:lvl w:ilvl="0" w:tentative="0">
      <w:start w:val="1"/>
      <w:numFmt w:val="decimal"/>
      <w:lvlText w:val="%1）"/>
      <w:lvlJc w:val="left"/>
      <w:pPr>
        <w:ind w:left="720" w:hanging="7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 w:numId="5">
    <w:abstractNumId w:val="8"/>
  </w:num>
  <w:num w:numId="6">
    <w:abstractNumId w:val="5"/>
  </w:num>
  <w:num w:numId="7">
    <w:abstractNumId w:val="7"/>
  </w:num>
  <w:num w:numId="8">
    <w:abstractNumId w:val="11"/>
  </w:num>
  <w:num w:numId="9">
    <w:abstractNumId w:val="6"/>
  </w:num>
  <w:num w:numId="10">
    <w:abstractNumId w:val="9"/>
  </w:num>
  <w:num w:numId="11">
    <w:abstractNumId w:val="10"/>
  </w:num>
  <w:num w:numId="12">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微软用户">
    <w15:presenceInfo w15:providerId="None" w15:userId="微软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jMGQyNGM0NmYwNDg0ZjliZTg4OWMyY2FjMWM5ZDQifQ=="/>
  </w:docVars>
  <w:rsids>
    <w:rsidRoot w:val="008E5C8A"/>
    <w:rsid w:val="000273CC"/>
    <w:rsid w:val="000942B7"/>
    <w:rsid w:val="000A16B9"/>
    <w:rsid w:val="002A377A"/>
    <w:rsid w:val="002E5ED8"/>
    <w:rsid w:val="00300F36"/>
    <w:rsid w:val="003A7879"/>
    <w:rsid w:val="006075F8"/>
    <w:rsid w:val="006B5F24"/>
    <w:rsid w:val="008E0C60"/>
    <w:rsid w:val="008E5C8A"/>
    <w:rsid w:val="009D1B97"/>
    <w:rsid w:val="009D6B03"/>
    <w:rsid w:val="00B03CD0"/>
    <w:rsid w:val="00B70EFA"/>
    <w:rsid w:val="00C65B8A"/>
    <w:rsid w:val="00C91C98"/>
    <w:rsid w:val="00CE63B5"/>
    <w:rsid w:val="00CF5500"/>
    <w:rsid w:val="00EE2815"/>
    <w:rsid w:val="00F03445"/>
    <w:rsid w:val="00FB6B00"/>
    <w:rsid w:val="013637D1"/>
    <w:rsid w:val="01483184"/>
    <w:rsid w:val="0167398B"/>
    <w:rsid w:val="017B2F92"/>
    <w:rsid w:val="017D4F5C"/>
    <w:rsid w:val="019D55FE"/>
    <w:rsid w:val="01B42948"/>
    <w:rsid w:val="01C901A1"/>
    <w:rsid w:val="01CD6FC5"/>
    <w:rsid w:val="01CE57B8"/>
    <w:rsid w:val="01D31020"/>
    <w:rsid w:val="01D9415D"/>
    <w:rsid w:val="01DF5C17"/>
    <w:rsid w:val="01E0373D"/>
    <w:rsid w:val="01F66ABD"/>
    <w:rsid w:val="02181129"/>
    <w:rsid w:val="023A4BFB"/>
    <w:rsid w:val="025E45B9"/>
    <w:rsid w:val="026B3007"/>
    <w:rsid w:val="02702D13"/>
    <w:rsid w:val="027A4B13"/>
    <w:rsid w:val="02922C89"/>
    <w:rsid w:val="02A46C4B"/>
    <w:rsid w:val="02F3007E"/>
    <w:rsid w:val="02FA082F"/>
    <w:rsid w:val="03577A2F"/>
    <w:rsid w:val="036A1510"/>
    <w:rsid w:val="03D66BA6"/>
    <w:rsid w:val="03F1578E"/>
    <w:rsid w:val="04390EE3"/>
    <w:rsid w:val="043A7135"/>
    <w:rsid w:val="043B2CBD"/>
    <w:rsid w:val="043B2EAD"/>
    <w:rsid w:val="049C6D3A"/>
    <w:rsid w:val="04D035F5"/>
    <w:rsid w:val="04DF0B32"/>
    <w:rsid w:val="050E1D62"/>
    <w:rsid w:val="05186FC7"/>
    <w:rsid w:val="054D733B"/>
    <w:rsid w:val="056F72B2"/>
    <w:rsid w:val="0573225E"/>
    <w:rsid w:val="057E74F5"/>
    <w:rsid w:val="05B2719F"/>
    <w:rsid w:val="05C173E2"/>
    <w:rsid w:val="05CD222A"/>
    <w:rsid w:val="062B53E9"/>
    <w:rsid w:val="06502589"/>
    <w:rsid w:val="065927C5"/>
    <w:rsid w:val="065B7836"/>
    <w:rsid w:val="06840B3B"/>
    <w:rsid w:val="069726EB"/>
    <w:rsid w:val="06A726CD"/>
    <w:rsid w:val="06B07B82"/>
    <w:rsid w:val="06BD5DFB"/>
    <w:rsid w:val="06BF7DC5"/>
    <w:rsid w:val="06CB676A"/>
    <w:rsid w:val="06EE06AA"/>
    <w:rsid w:val="06FC4B75"/>
    <w:rsid w:val="075239E7"/>
    <w:rsid w:val="078E1545"/>
    <w:rsid w:val="079052BE"/>
    <w:rsid w:val="079923C4"/>
    <w:rsid w:val="079B438E"/>
    <w:rsid w:val="079D51C3"/>
    <w:rsid w:val="07C62072"/>
    <w:rsid w:val="07CA3684"/>
    <w:rsid w:val="07CA4C73"/>
    <w:rsid w:val="07E13D6B"/>
    <w:rsid w:val="07F24B9E"/>
    <w:rsid w:val="07F910B5"/>
    <w:rsid w:val="08216960"/>
    <w:rsid w:val="082A3964"/>
    <w:rsid w:val="084762C4"/>
    <w:rsid w:val="08602EE2"/>
    <w:rsid w:val="08936406"/>
    <w:rsid w:val="08964B56"/>
    <w:rsid w:val="08B03E69"/>
    <w:rsid w:val="08B84ACC"/>
    <w:rsid w:val="08BD0334"/>
    <w:rsid w:val="08E41D65"/>
    <w:rsid w:val="08E95DF5"/>
    <w:rsid w:val="09000221"/>
    <w:rsid w:val="09036861"/>
    <w:rsid w:val="09130588"/>
    <w:rsid w:val="091343F8"/>
    <w:rsid w:val="0928377D"/>
    <w:rsid w:val="09442803"/>
    <w:rsid w:val="095567BF"/>
    <w:rsid w:val="096867B1"/>
    <w:rsid w:val="097622AB"/>
    <w:rsid w:val="09972933"/>
    <w:rsid w:val="09B72FD5"/>
    <w:rsid w:val="09FA4786"/>
    <w:rsid w:val="0A157CFC"/>
    <w:rsid w:val="0A381A3F"/>
    <w:rsid w:val="0A386204"/>
    <w:rsid w:val="0A4F76B2"/>
    <w:rsid w:val="0A7315F2"/>
    <w:rsid w:val="0A8530D4"/>
    <w:rsid w:val="0AC93CC1"/>
    <w:rsid w:val="0ADC4312"/>
    <w:rsid w:val="0ADF4592"/>
    <w:rsid w:val="0AE20526"/>
    <w:rsid w:val="0AE26690"/>
    <w:rsid w:val="0AFF458F"/>
    <w:rsid w:val="0B1A1A6E"/>
    <w:rsid w:val="0B1C3A38"/>
    <w:rsid w:val="0B1D155E"/>
    <w:rsid w:val="0B3F3282"/>
    <w:rsid w:val="0B7F3FC7"/>
    <w:rsid w:val="0B860EB1"/>
    <w:rsid w:val="0B882E7B"/>
    <w:rsid w:val="0BAD4690"/>
    <w:rsid w:val="0BCB0FBA"/>
    <w:rsid w:val="0BFE04C1"/>
    <w:rsid w:val="0C1464BD"/>
    <w:rsid w:val="0C216E2C"/>
    <w:rsid w:val="0C2B1A59"/>
    <w:rsid w:val="0C5E3BDC"/>
    <w:rsid w:val="0C61547A"/>
    <w:rsid w:val="0C6D2071"/>
    <w:rsid w:val="0C943AA2"/>
    <w:rsid w:val="0CF63E15"/>
    <w:rsid w:val="0CF96ED0"/>
    <w:rsid w:val="0D0728A6"/>
    <w:rsid w:val="0D444B80"/>
    <w:rsid w:val="0D513B6C"/>
    <w:rsid w:val="0D581F9D"/>
    <w:rsid w:val="0DC21F49"/>
    <w:rsid w:val="0DDC125D"/>
    <w:rsid w:val="0DE51F1F"/>
    <w:rsid w:val="0E2A646C"/>
    <w:rsid w:val="0E6D5784"/>
    <w:rsid w:val="0E72396F"/>
    <w:rsid w:val="0ED10695"/>
    <w:rsid w:val="0EF82BCB"/>
    <w:rsid w:val="0EFF2410"/>
    <w:rsid w:val="0F060199"/>
    <w:rsid w:val="0F16254C"/>
    <w:rsid w:val="0F1D1B2D"/>
    <w:rsid w:val="0F4E618A"/>
    <w:rsid w:val="0F51669B"/>
    <w:rsid w:val="0F625791"/>
    <w:rsid w:val="0F672DA8"/>
    <w:rsid w:val="0F6A6CA8"/>
    <w:rsid w:val="0F713C26"/>
    <w:rsid w:val="0F721E6B"/>
    <w:rsid w:val="0F841BAC"/>
    <w:rsid w:val="0F8E6586"/>
    <w:rsid w:val="0F9D0EBF"/>
    <w:rsid w:val="0FBA381F"/>
    <w:rsid w:val="0FBD6E6C"/>
    <w:rsid w:val="0FC340D8"/>
    <w:rsid w:val="0FD0094D"/>
    <w:rsid w:val="106C7253"/>
    <w:rsid w:val="10AB3168"/>
    <w:rsid w:val="10D426BF"/>
    <w:rsid w:val="10FC5772"/>
    <w:rsid w:val="11143672"/>
    <w:rsid w:val="114A0BD3"/>
    <w:rsid w:val="114F7F97"/>
    <w:rsid w:val="118C4D48"/>
    <w:rsid w:val="119D6F55"/>
    <w:rsid w:val="11AE4CBE"/>
    <w:rsid w:val="11B22984"/>
    <w:rsid w:val="11CC3396"/>
    <w:rsid w:val="11E374AA"/>
    <w:rsid w:val="11EB7CC0"/>
    <w:rsid w:val="120B2110"/>
    <w:rsid w:val="120F5BA7"/>
    <w:rsid w:val="12753A2E"/>
    <w:rsid w:val="12B66520"/>
    <w:rsid w:val="12FB2185"/>
    <w:rsid w:val="13106669"/>
    <w:rsid w:val="13166FBF"/>
    <w:rsid w:val="13174AE5"/>
    <w:rsid w:val="13B50586"/>
    <w:rsid w:val="13C95DDF"/>
    <w:rsid w:val="13CC3B21"/>
    <w:rsid w:val="14040CF5"/>
    <w:rsid w:val="14067033"/>
    <w:rsid w:val="142C636E"/>
    <w:rsid w:val="14860174"/>
    <w:rsid w:val="14AB1989"/>
    <w:rsid w:val="14AF1479"/>
    <w:rsid w:val="14E14D4F"/>
    <w:rsid w:val="14EF3F6B"/>
    <w:rsid w:val="14F87651"/>
    <w:rsid w:val="15182F45"/>
    <w:rsid w:val="15393438"/>
    <w:rsid w:val="15477903"/>
    <w:rsid w:val="156F6E5A"/>
    <w:rsid w:val="157F50DB"/>
    <w:rsid w:val="15C1337A"/>
    <w:rsid w:val="15CC605B"/>
    <w:rsid w:val="15DD0268"/>
    <w:rsid w:val="15E35D08"/>
    <w:rsid w:val="1615355E"/>
    <w:rsid w:val="163E607C"/>
    <w:rsid w:val="16534086"/>
    <w:rsid w:val="165C118C"/>
    <w:rsid w:val="166B13D0"/>
    <w:rsid w:val="16810BF3"/>
    <w:rsid w:val="16976FEE"/>
    <w:rsid w:val="16B75A2E"/>
    <w:rsid w:val="16D42473"/>
    <w:rsid w:val="17283764"/>
    <w:rsid w:val="174A48BA"/>
    <w:rsid w:val="174D31CB"/>
    <w:rsid w:val="17836BED"/>
    <w:rsid w:val="17A74E60"/>
    <w:rsid w:val="17AC7EF2"/>
    <w:rsid w:val="17EA0A1A"/>
    <w:rsid w:val="18700F1F"/>
    <w:rsid w:val="18846529"/>
    <w:rsid w:val="188E02A4"/>
    <w:rsid w:val="18A577BC"/>
    <w:rsid w:val="191B532F"/>
    <w:rsid w:val="19445F5F"/>
    <w:rsid w:val="19595E57"/>
    <w:rsid w:val="195E346D"/>
    <w:rsid w:val="198729C4"/>
    <w:rsid w:val="19B27315"/>
    <w:rsid w:val="19F93196"/>
    <w:rsid w:val="1A0456BC"/>
    <w:rsid w:val="1A0E0DD3"/>
    <w:rsid w:val="1A2226ED"/>
    <w:rsid w:val="1A253F8B"/>
    <w:rsid w:val="1A283F89"/>
    <w:rsid w:val="1A352420"/>
    <w:rsid w:val="1A402B73"/>
    <w:rsid w:val="1A464B0F"/>
    <w:rsid w:val="1A7B4AAD"/>
    <w:rsid w:val="1A7D3DC7"/>
    <w:rsid w:val="1A8011C2"/>
    <w:rsid w:val="1A844933"/>
    <w:rsid w:val="1ABF618E"/>
    <w:rsid w:val="1B5817E6"/>
    <w:rsid w:val="1BCD44AD"/>
    <w:rsid w:val="1BE539D2"/>
    <w:rsid w:val="1BE96EC2"/>
    <w:rsid w:val="1BEA7D43"/>
    <w:rsid w:val="1BF14C30"/>
    <w:rsid w:val="1C115602"/>
    <w:rsid w:val="1C1442B7"/>
    <w:rsid w:val="1C1F0578"/>
    <w:rsid w:val="1C2767F5"/>
    <w:rsid w:val="1C450915"/>
    <w:rsid w:val="1C493F61"/>
    <w:rsid w:val="1C6B3F03"/>
    <w:rsid w:val="1C827473"/>
    <w:rsid w:val="1C9176B6"/>
    <w:rsid w:val="1C962F1E"/>
    <w:rsid w:val="1CD970E6"/>
    <w:rsid w:val="1CE4390E"/>
    <w:rsid w:val="1D266050"/>
    <w:rsid w:val="1D271DC8"/>
    <w:rsid w:val="1D3C3AC6"/>
    <w:rsid w:val="1D4B1F5B"/>
    <w:rsid w:val="1D540E0F"/>
    <w:rsid w:val="1D7A710A"/>
    <w:rsid w:val="1D8A2A83"/>
    <w:rsid w:val="1DA06DDC"/>
    <w:rsid w:val="1DCB6BF8"/>
    <w:rsid w:val="1DD43CFE"/>
    <w:rsid w:val="1DE00AB9"/>
    <w:rsid w:val="1DE303E5"/>
    <w:rsid w:val="1E0820E1"/>
    <w:rsid w:val="1E0C1E04"/>
    <w:rsid w:val="1E164317"/>
    <w:rsid w:val="1E235D93"/>
    <w:rsid w:val="1E380731"/>
    <w:rsid w:val="1E454BFC"/>
    <w:rsid w:val="1E515F16"/>
    <w:rsid w:val="1E8627BF"/>
    <w:rsid w:val="1E960FB4"/>
    <w:rsid w:val="1EB3718E"/>
    <w:rsid w:val="1EB87570"/>
    <w:rsid w:val="1EDA542E"/>
    <w:rsid w:val="1EE30ED3"/>
    <w:rsid w:val="1F00520E"/>
    <w:rsid w:val="1F444EB4"/>
    <w:rsid w:val="1F4B6242"/>
    <w:rsid w:val="1F7E03C6"/>
    <w:rsid w:val="1F7F413E"/>
    <w:rsid w:val="1FD06057"/>
    <w:rsid w:val="20062160"/>
    <w:rsid w:val="202A40A9"/>
    <w:rsid w:val="207277FE"/>
    <w:rsid w:val="207C6B39"/>
    <w:rsid w:val="207D242B"/>
    <w:rsid w:val="20B16579"/>
    <w:rsid w:val="20B6593D"/>
    <w:rsid w:val="20B85FEA"/>
    <w:rsid w:val="20BB1E21"/>
    <w:rsid w:val="20D12777"/>
    <w:rsid w:val="20FD529C"/>
    <w:rsid w:val="21646A62"/>
    <w:rsid w:val="218872DA"/>
    <w:rsid w:val="218B6DCA"/>
    <w:rsid w:val="21AC1B28"/>
    <w:rsid w:val="21BB449B"/>
    <w:rsid w:val="21E07116"/>
    <w:rsid w:val="21E34627"/>
    <w:rsid w:val="22097CEF"/>
    <w:rsid w:val="22533907"/>
    <w:rsid w:val="225621D8"/>
    <w:rsid w:val="22574EFE"/>
    <w:rsid w:val="227C4964"/>
    <w:rsid w:val="22DF73CD"/>
    <w:rsid w:val="22E22A19"/>
    <w:rsid w:val="22F664C5"/>
    <w:rsid w:val="23445910"/>
    <w:rsid w:val="23571659"/>
    <w:rsid w:val="236E69A3"/>
    <w:rsid w:val="23841D23"/>
    <w:rsid w:val="23A75A11"/>
    <w:rsid w:val="23AC428E"/>
    <w:rsid w:val="23BA3996"/>
    <w:rsid w:val="23D5257E"/>
    <w:rsid w:val="23D762F6"/>
    <w:rsid w:val="242B219E"/>
    <w:rsid w:val="242B2542"/>
    <w:rsid w:val="24651B54"/>
    <w:rsid w:val="24BB5C18"/>
    <w:rsid w:val="24E231A5"/>
    <w:rsid w:val="24E30CCB"/>
    <w:rsid w:val="24F21F22"/>
    <w:rsid w:val="24FA29B1"/>
    <w:rsid w:val="251F61A7"/>
    <w:rsid w:val="2524556B"/>
    <w:rsid w:val="2527505B"/>
    <w:rsid w:val="25284930"/>
    <w:rsid w:val="254C4B12"/>
    <w:rsid w:val="256E2C8A"/>
    <w:rsid w:val="25830B6B"/>
    <w:rsid w:val="25965D3D"/>
    <w:rsid w:val="25CC175F"/>
    <w:rsid w:val="25DF1973"/>
    <w:rsid w:val="25FA451E"/>
    <w:rsid w:val="261E645E"/>
    <w:rsid w:val="2666570F"/>
    <w:rsid w:val="26822B98"/>
    <w:rsid w:val="26C4461A"/>
    <w:rsid w:val="26C50688"/>
    <w:rsid w:val="26ED106E"/>
    <w:rsid w:val="26FB7B56"/>
    <w:rsid w:val="273D69BD"/>
    <w:rsid w:val="274F43F6"/>
    <w:rsid w:val="27736336"/>
    <w:rsid w:val="2779092B"/>
    <w:rsid w:val="27AC35F6"/>
    <w:rsid w:val="27AD05C4"/>
    <w:rsid w:val="27C2111E"/>
    <w:rsid w:val="280451E0"/>
    <w:rsid w:val="28245882"/>
    <w:rsid w:val="289447B6"/>
    <w:rsid w:val="28B22E8E"/>
    <w:rsid w:val="28CB21A2"/>
    <w:rsid w:val="28D34FB6"/>
    <w:rsid w:val="28DE0127"/>
    <w:rsid w:val="28E15521"/>
    <w:rsid w:val="290577F8"/>
    <w:rsid w:val="292500A8"/>
    <w:rsid w:val="294F2DD3"/>
    <w:rsid w:val="29736AC1"/>
    <w:rsid w:val="2977329E"/>
    <w:rsid w:val="29774994"/>
    <w:rsid w:val="29A053DC"/>
    <w:rsid w:val="2A202079"/>
    <w:rsid w:val="2A3D0E7D"/>
    <w:rsid w:val="2A50295E"/>
    <w:rsid w:val="2A7D74CC"/>
    <w:rsid w:val="2A86106B"/>
    <w:rsid w:val="2A962EE4"/>
    <w:rsid w:val="2ABC6246"/>
    <w:rsid w:val="2B2E4FF4"/>
    <w:rsid w:val="2B4324C3"/>
    <w:rsid w:val="2BBE7D9C"/>
    <w:rsid w:val="2BC118E9"/>
    <w:rsid w:val="2BEB6DE3"/>
    <w:rsid w:val="2C1856FE"/>
    <w:rsid w:val="2C2C11A9"/>
    <w:rsid w:val="2C351E0C"/>
    <w:rsid w:val="2C4D184B"/>
    <w:rsid w:val="2C70553A"/>
    <w:rsid w:val="2CD86C3B"/>
    <w:rsid w:val="2CD930DF"/>
    <w:rsid w:val="2CFE48F4"/>
    <w:rsid w:val="2D11440E"/>
    <w:rsid w:val="2D1C121E"/>
    <w:rsid w:val="2D4C0125"/>
    <w:rsid w:val="2D5B1D46"/>
    <w:rsid w:val="2D7C1CBC"/>
    <w:rsid w:val="2D997782"/>
    <w:rsid w:val="2DA6038B"/>
    <w:rsid w:val="2DC07DFB"/>
    <w:rsid w:val="2DD37B2E"/>
    <w:rsid w:val="2DD90492"/>
    <w:rsid w:val="2DDB4C35"/>
    <w:rsid w:val="2DFA374D"/>
    <w:rsid w:val="2E051CB2"/>
    <w:rsid w:val="2E0D1B02"/>
    <w:rsid w:val="2E222864"/>
    <w:rsid w:val="2E7C6418"/>
    <w:rsid w:val="2EDC1969"/>
    <w:rsid w:val="2EE8086B"/>
    <w:rsid w:val="2EEB70FA"/>
    <w:rsid w:val="2EF67B34"/>
    <w:rsid w:val="2F1D14CA"/>
    <w:rsid w:val="2FA06136"/>
    <w:rsid w:val="2FBB2F70"/>
    <w:rsid w:val="2FD96B30"/>
    <w:rsid w:val="30684EAD"/>
    <w:rsid w:val="307153DD"/>
    <w:rsid w:val="309A4933"/>
    <w:rsid w:val="30B04157"/>
    <w:rsid w:val="30B71989"/>
    <w:rsid w:val="30BB7335"/>
    <w:rsid w:val="30CE2F6B"/>
    <w:rsid w:val="30CE33FF"/>
    <w:rsid w:val="30D45A5B"/>
    <w:rsid w:val="30E97669"/>
    <w:rsid w:val="310426F5"/>
    <w:rsid w:val="31140B8A"/>
    <w:rsid w:val="311A5F88"/>
    <w:rsid w:val="31274915"/>
    <w:rsid w:val="31515F5E"/>
    <w:rsid w:val="316D5BB7"/>
    <w:rsid w:val="31833619"/>
    <w:rsid w:val="319D4E24"/>
    <w:rsid w:val="31A150BA"/>
    <w:rsid w:val="31BF0382"/>
    <w:rsid w:val="31C33F9E"/>
    <w:rsid w:val="31C81974"/>
    <w:rsid w:val="31C903AF"/>
    <w:rsid w:val="31E10F22"/>
    <w:rsid w:val="31EC5663"/>
    <w:rsid w:val="320E29DF"/>
    <w:rsid w:val="321D5445"/>
    <w:rsid w:val="322A1B90"/>
    <w:rsid w:val="323A4620"/>
    <w:rsid w:val="324F5BF1"/>
    <w:rsid w:val="32673AB6"/>
    <w:rsid w:val="32785F12"/>
    <w:rsid w:val="32807B59"/>
    <w:rsid w:val="32A01FA9"/>
    <w:rsid w:val="32BF7F60"/>
    <w:rsid w:val="32D26B41"/>
    <w:rsid w:val="32D87995"/>
    <w:rsid w:val="333A41AC"/>
    <w:rsid w:val="333C6176"/>
    <w:rsid w:val="33492641"/>
    <w:rsid w:val="336D4581"/>
    <w:rsid w:val="336E0CF9"/>
    <w:rsid w:val="33715846"/>
    <w:rsid w:val="33894D71"/>
    <w:rsid w:val="338B70BC"/>
    <w:rsid w:val="33A04957"/>
    <w:rsid w:val="33AB25C4"/>
    <w:rsid w:val="33BE302F"/>
    <w:rsid w:val="341053D1"/>
    <w:rsid w:val="34126ED7"/>
    <w:rsid w:val="341E6D68"/>
    <w:rsid w:val="342145EF"/>
    <w:rsid w:val="343432F1"/>
    <w:rsid w:val="34452E08"/>
    <w:rsid w:val="344572AC"/>
    <w:rsid w:val="34696244"/>
    <w:rsid w:val="347100A1"/>
    <w:rsid w:val="349D6810"/>
    <w:rsid w:val="34A00986"/>
    <w:rsid w:val="34A00E43"/>
    <w:rsid w:val="34A44CCA"/>
    <w:rsid w:val="34AF35B2"/>
    <w:rsid w:val="34CD18B7"/>
    <w:rsid w:val="34DE3F27"/>
    <w:rsid w:val="35115640"/>
    <w:rsid w:val="351A416A"/>
    <w:rsid w:val="352C3FC8"/>
    <w:rsid w:val="354D466A"/>
    <w:rsid w:val="35A26038"/>
    <w:rsid w:val="35AA386B"/>
    <w:rsid w:val="35BF6BEA"/>
    <w:rsid w:val="364A2605"/>
    <w:rsid w:val="36541A28"/>
    <w:rsid w:val="365D08DD"/>
    <w:rsid w:val="36716136"/>
    <w:rsid w:val="36923C4B"/>
    <w:rsid w:val="36A06A1C"/>
    <w:rsid w:val="36EF34FF"/>
    <w:rsid w:val="36F62AE0"/>
    <w:rsid w:val="371B2546"/>
    <w:rsid w:val="373B350A"/>
    <w:rsid w:val="37405B09"/>
    <w:rsid w:val="37425D25"/>
    <w:rsid w:val="374B2E2B"/>
    <w:rsid w:val="374C0952"/>
    <w:rsid w:val="37923AAB"/>
    <w:rsid w:val="379D70B3"/>
    <w:rsid w:val="37B54749"/>
    <w:rsid w:val="37BA32C6"/>
    <w:rsid w:val="37C16C4A"/>
    <w:rsid w:val="37DA7D0B"/>
    <w:rsid w:val="38190834"/>
    <w:rsid w:val="38191FCD"/>
    <w:rsid w:val="383334E4"/>
    <w:rsid w:val="385E26EA"/>
    <w:rsid w:val="389E342F"/>
    <w:rsid w:val="38BD38B5"/>
    <w:rsid w:val="38BE762D"/>
    <w:rsid w:val="38CD7870"/>
    <w:rsid w:val="38DD3F57"/>
    <w:rsid w:val="38E958B3"/>
    <w:rsid w:val="38F65019"/>
    <w:rsid w:val="393819FF"/>
    <w:rsid w:val="393B2A2C"/>
    <w:rsid w:val="3942200C"/>
    <w:rsid w:val="39447B32"/>
    <w:rsid w:val="39706B79"/>
    <w:rsid w:val="398048E2"/>
    <w:rsid w:val="39B54721"/>
    <w:rsid w:val="39FF1CAB"/>
    <w:rsid w:val="3A464740"/>
    <w:rsid w:val="3A4B4718"/>
    <w:rsid w:val="3A503540"/>
    <w:rsid w:val="3AC802EF"/>
    <w:rsid w:val="3ACF78CF"/>
    <w:rsid w:val="3AE576F5"/>
    <w:rsid w:val="3AF34298"/>
    <w:rsid w:val="3B255741"/>
    <w:rsid w:val="3B385990"/>
    <w:rsid w:val="3B4C2CCE"/>
    <w:rsid w:val="3B4C7172"/>
    <w:rsid w:val="3B693880"/>
    <w:rsid w:val="3B7064DC"/>
    <w:rsid w:val="3BDA652C"/>
    <w:rsid w:val="3BDF69CD"/>
    <w:rsid w:val="3BE53816"/>
    <w:rsid w:val="3BEC4753"/>
    <w:rsid w:val="3BF030A5"/>
    <w:rsid w:val="3BF069A1"/>
    <w:rsid w:val="3BF10EB2"/>
    <w:rsid w:val="3C027831"/>
    <w:rsid w:val="3C1557B6"/>
    <w:rsid w:val="3C2A2ADB"/>
    <w:rsid w:val="3C4D13F4"/>
    <w:rsid w:val="3C8051A6"/>
    <w:rsid w:val="3C88242C"/>
    <w:rsid w:val="3C8A1D00"/>
    <w:rsid w:val="3C8B7826"/>
    <w:rsid w:val="3CB7686D"/>
    <w:rsid w:val="3CD70CBD"/>
    <w:rsid w:val="3CEF24AB"/>
    <w:rsid w:val="3D346110"/>
    <w:rsid w:val="3D6A795E"/>
    <w:rsid w:val="3DC54FBA"/>
    <w:rsid w:val="3DE0781E"/>
    <w:rsid w:val="3E594080"/>
    <w:rsid w:val="3E652353"/>
    <w:rsid w:val="3E7F33BB"/>
    <w:rsid w:val="3EA874D2"/>
    <w:rsid w:val="3EB11BB8"/>
    <w:rsid w:val="3EE03188"/>
    <w:rsid w:val="3F0044FB"/>
    <w:rsid w:val="3F25455E"/>
    <w:rsid w:val="3F4D5267"/>
    <w:rsid w:val="3F575F46"/>
    <w:rsid w:val="3F636838"/>
    <w:rsid w:val="3F724CCD"/>
    <w:rsid w:val="3F8D0A1C"/>
    <w:rsid w:val="3FA96941"/>
    <w:rsid w:val="3FC76DC7"/>
    <w:rsid w:val="40010E9B"/>
    <w:rsid w:val="40745AB2"/>
    <w:rsid w:val="409A17EE"/>
    <w:rsid w:val="40CB6D8B"/>
    <w:rsid w:val="410E66DA"/>
    <w:rsid w:val="4125649B"/>
    <w:rsid w:val="412F2E76"/>
    <w:rsid w:val="417D0085"/>
    <w:rsid w:val="418D5DEE"/>
    <w:rsid w:val="419E624E"/>
    <w:rsid w:val="41AA059B"/>
    <w:rsid w:val="41DB1250"/>
    <w:rsid w:val="41E55C2A"/>
    <w:rsid w:val="422F6EA6"/>
    <w:rsid w:val="426C3C56"/>
    <w:rsid w:val="42756F51"/>
    <w:rsid w:val="428611BC"/>
    <w:rsid w:val="429D02B3"/>
    <w:rsid w:val="42B576EC"/>
    <w:rsid w:val="42D53EF1"/>
    <w:rsid w:val="430A3B9B"/>
    <w:rsid w:val="436D4129"/>
    <w:rsid w:val="436F7F18"/>
    <w:rsid w:val="43792ACE"/>
    <w:rsid w:val="437E2106"/>
    <w:rsid w:val="438A0837"/>
    <w:rsid w:val="43903069"/>
    <w:rsid w:val="43A22025"/>
    <w:rsid w:val="43E02B4D"/>
    <w:rsid w:val="43FE4D82"/>
    <w:rsid w:val="4413082D"/>
    <w:rsid w:val="445D7CFA"/>
    <w:rsid w:val="446B4FA9"/>
    <w:rsid w:val="44753296"/>
    <w:rsid w:val="44B33DBE"/>
    <w:rsid w:val="44DA759D"/>
    <w:rsid w:val="44DF4BB3"/>
    <w:rsid w:val="44EF24B6"/>
    <w:rsid w:val="450B59A8"/>
    <w:rsid w:val="454D7D6F"/>
    <w:rsid w:val="4569453F"/>
    <w:rsid w:val="45761CF7"/>
    <w:rsid w:val="45B72601"/>
    <w:rsid w:val="46026DAB"/>
    <w:rsid w:val="46076F5F"/>
    <w:rsid w:val="46130FB8"/>
    <w:rsid w:val="462B2D7D"/>
    <w:rsid w:val="470628CB"/>
    <w:rsid w:val="4713565A"/>
    <w:rsid w:val="471748B1"/>
    <w:rsid w:val="472A04E7"/>
    <w:rsid w:val="473C009B"/>
    <w:rsid w:val="47466194"/>
    <w:rsid w:val="47555600"/>
    <w:rsid w:val="47936A47"/>
    <w:rsid w:val="47A85730"/>
    <w:rsid w:val="47A91DF7"/>
    <w:rsid w:val="47BC567F"/>
    <w:rsid w:val="47F573BA"/>
    <w:rsid w:val="47F92430"/>
    <w:rsid w:val="482A083B"/>
    <w:rsid w:val="483D056E"/>
    <w:rsid w:val="48645AFB"/>
    <w:rsid w:val="486A50DB"/>
    <w:rsid w:val="487F2935"/>
    <w:rsid w:val="48BA1BBF"/>
    <w:rsid w:val="48FC3F85"/>
    <w:rsid w:val="4956624E"/>
    <w:rsid w:val="4969651B"/>
    <w:rsid w:val="498126DD"/>
    <w:rsid w:val="49A07007"/>
    <w:rsid w:val="49A23F9F"/>
    <w:rsid w:val="49F96717"/>
    <w:rsid w:val="4A0329EB"/>
    <w:rsid w:val="4A273284"/>
    <w:rsid w:val="4A407EA2"/>
    <w:rsid w:val="4A5111D2"/>
    <w:rsid w:val="4A515090"/>
    <w:rsid w:val="4A653DAC"/>
    <w:rsid w:val="4A8204BA"/>
    <w:rsid w:val="4A8E50B1"/>
    <w:rsid w:val="4AAA61F4"/>
    <w:rsid w:val="4ABD5996"/>
    <w:rsid w:val="4ABD7744"/>
    <w:rsid w:val="4AD52A62"/>
    <w:rsid w:val="4ADD3943"/>
    <w:rsid w:val="4AE41175"/>
    <w:rsid w:val="4AFF1258"/>
    <w:rsid w:val="4B02784D"/>
    <w:rsid w:val="4B3D0885"/>
    <w:rsid w:val="4B641516"/>
    <w:rsid w:val="4B814C16"/>
    <w:rsid w:val="4B9F32EE"/>
    <w:rsid w:val="4BA803F5"/>
    <w:rsid w:val="4BF058F8"/>
    <w:rsid w:val="4BFA22D2"/>
    <w:rsid w:val="4C082C41"/>
    <w:rsid w:val="4C2236E3"/>
    <w:rsid w:val="4CA23096"/>
    <w:rsid w:val="4CC748AA"/>
    <w:rsid w:val="4CEE0CE9"/>
    <w:rsid w:val="4D1B4BF6"/>
    <w:rsid w:val="4D207773"/>
    <w:rsid w:val="4D702875"/>
    <w:rsid w:val="4D987FF5"/>
    <w:rsid w:val="4DBB1AD3"/>
    <w:rsid w:val="4E1E04FA"/>
    <w:rsid w:val="4E297E52"/>
    <w:rsid w:val="4E402B66"/>
    <w:rsid w:val="4E701D57"/>
    <w:rsid w:val="4E8567CB"/>
    <w:rsid w:val="4ECC264C"/>
    <w:rsid w:val="4ED0364D"/>
    <w:rsid w:val="4ED50D56"/>
    <w:rsid w:val="4ED65279"/>
    <w:rsid w:val="4ED67027"/>
    <w:rsid w:val="4EF474AD"/>
    <w:rsid w:val="4F1B712F"/>
    <w:rsid w:val="4F2002A2"/>
    <w:rsid w:val="4F31425D"/>
    <w:rsid w:val="4F38383D"/>
    <w:rsid w:val="4F4F2935"/>
    <w:rsid w:val="4F7A3E56"/>
    <w:rsid w:val="4FB56C3C"/>
    <w:rsid w:val="4FBD1F95"/>
    <w:rsid w:val="4FC05593"/>
    <w:rsid w:val="4FF36959"/>
    <w:rsid w:val="5006775D"/>
    <w:rsid w:val="50414974"/>
    <w:rsid w:val="505E72D4"/>
    <w:rsid w:val="50AF5D81"/>
    <w:rsid w:val="50B12171"/>
    <w:rsid w:val="50B64EB0"/>
    <w:rsid w:val="50C01D3C"/>
    <w:rsid w:val="510438B8"/>
    <w:rsid w:val="514C35D0"/>
    <w:rsid w:val="515D758B"/>
    <w:rsid w:val="51750D79"/>
    <w:rsid w:val="517B3EB5"/>
    <w:rsid w:val="517F7502"/>
    <w:rsid w:val="51976F41"/>
    <w:rsid w:val="51A31B28"/>
    <w:rsid w:val="51C2595F"/>
    <w:rsid w:val="52075749"/>
    <w:rsid w:val="520B6FE7"/>
    <w:rsid w:val="52490E1E"/>
    <w:rsid w:val="52946FDD"/>
    <w:rsid w:val="52D9265C"/>
    <w:rsid w:val="52E635B0"/>
    <w:rsid w:val="52E95795"/>
    <w:rsid w:val="52EF4B5B"/>
    <w:rsid w:val="52F537F4"/>
    <w:rsid w:val="5302663C"/>
    <w:rsid w:val="5339476F"/>
    <w:rsid w:val="538C4158"/>
    <w:rsid w:val="539F5C59"/>
    <w:rsid w:val="53A5521A"/>
    <w:rsid w:val="53CA4C80"/>
    <w:rsid w:val="53EC78B0"/>
    <w:rsid w:val="54025121"/>
    <w:rsid w:val="541F3B19"/>
    <w:rsid w:val="542645AC"/>
    <w:rsid w:val="543A1E06"/>
    <w:rsid w:val="54FD1E67"/>
    <w:rsid w:val="55175CA3"/>
    <w:rsid w:val="551F54A6"/>
    <w:rsid w:val="55565F57"/>
    <w:rsid w:val="555D5DAC"/>
    <w:rsid w:val="556709D9"/>
    <w:rsid w:val="559D089E"/>
    <w:rsid w:val="55BD4A9D"/>
    <w:rsid w:val="56002BDB"/>
    <w:rsid w:val="56695BB7"/>
    <w:rsid w:val="56717635"/>
    <w:rsid w:val="568B4B9B"/>
    <w:rsid w:val="568E6439"/>
    <w:rsid w:val="56921A85"/>
    <w:rsid w:val="569774CA"/>
    <w:rsid w:val="569A3030"/>
    <w:rsid w:val="56E209C5"/>
    <w:rsid w:val="56F444EE"/>
    <w:rsid w:val="571B7CCD"/>
    <w:rsid w:val="572C012C"/>
    <w:rsid w:val="57827D4C"/>
    <w:rsid w:val="57893881"/>
    <w:rsid w:val="57AC7702"/>
    <w:rsid w:val="57EE3633"/>
    <w:rsid w:val="57F14ED1"/>
    <w:rsid w:val="58195EB6"/>
    <w:rsid w:val="583B614D"/>
    <w:rsid w:val="584D65AC"/>
    <w:rsid w:val="58615BB3"/>
    <w:rsid w:val="586B07E0"/>
    <w:rsid w:val="58922210"/>
    <w:rsid w:val="58AC62D8"/>
    <w:rsid w:val="58C44394"/>
    <w:rsid w:val="58C92183"/>
    <w:rsid w:val="58CB127E"/>
    <w:rsid w:val="58DA2159"/>
    <w:rsid w:val="58E00F99"/>
    <w:rsid w:val="58E74233"/>
    <w:rsid w:val="591F781C"/>
    <w:rsid w:val="59215C6D"/>
    <w:rsid w:val="59301A29"/>
    <w:rsid w:val="59527BF2"/>
    <w:rsid w:val="598853C1"/>
    <w:rsid w:val="59973856"/>
    <w:rsid w:val="59C52172"/>
    <w:rsid w:val="5A096502"/>
    <w:rsid w:val="5A1318CE"/>
    <w:rsid w:val="5A5D23AA"/>
    <w:rsid w:val="5A821E11"/>
    <w:rsid w:val="5AB0697E"/>
    <w:rsid w:val="5ABC17C7"/>
    <w:rsid w:val="5ABF12B7"/>
    <w:rsid w:val="5B0C4325"/>
    <w:rsid w:val="5B157129"/>
    <w:rsid w:val="5B2E4D4E"/>
    <w:rsid w:val="5B597015"/>
    <w:rsid w:val="5B8B661D"/>
    <w:rsid w:val="5BCD355F"/>
    <w:rsid w:val="5C2F421A"/>
    <w:rsid w:val="5C504C4B"/>
    <w:rsid w:val="5C613078"/>
    <w:rsid w:val="5C7568F1"/>
    <w:rsid w:val="5C812F3C"/>
    <w:rsid w:val="5C82434A"/>
    <w:rsid w:val="5C910AA2"/>
    <w:rsid w:val="5C976E76"/>
    <w:rsid w:val="5C9F4EFC"/>
    <w:rsid w:val="5CD947B2"/>
    <w:rsid w:val="5CF1327E"/>
    <w:rsid w:val="5CFC40FC"/>
    <w:rsid w:val="5D041203"/>
    <w:rsid w:val="5D090F7F"/>
    <w:rsid w:val="5D0B2591"/>
    <w:rsid w:val="5D445AA3"/>
    <w:rsid w:val="5D545453"/>
    <w:rsid w:val="5D5D55E7"/>
    <w:rsid w:val="5D5E6B65"/>
    <w:rsid w:val="5DA54794"/>
    <w:rsid w:val="5DB6074F"/>
    <w:rsid w:val="5DB70023"/>
    <w:rsid w:val="5E046A45"/>
    <w:rsid w:val="5E0F7E5F"/>
    <w:rsid w:val="5E127950"/>
    <w:rsid w:val="5E2B4CE1"/>
    <w:rsid w:val="5E3B2B2E"/>
    <w:rsid w:val="5E532442"/>
    <w:rsid w:val="5E5B4E53"/>
    <w:rsid w:val="5E7D301B"/>
    <w:rsid w:val="5E80436A"/>
    <w:rsid w:val="5E9D546B"/>
    <w:rsid w:val="5EC7073A"/>
    <w:rsid w:val="5F0454EA"/>
    <w:rsid w:val="5F1F1842"/>
    <w:rsid w:val="5F5727BD"/>
    <w:rsid w:val="5F5F0972"/>
    <w:rsid w:val="5F6146EB"/>
    <w:rsid w:val="5F8E3006"/>
    <w:rsid w:val="5FBA204D"/>
    <w:rsid w:val="5FE01AB3"/>
    <w:rsid w:val="5FEA46E0"/>
    <w:rsid w:val="5FED2422"/>
    <w:rsid w:val="5FFD4DC1"/>
    <w:rsid w:val="600F602D"/>
    <w:rsid w:val="605C4EB2"/>
    <w:rsid w:val="606A3A73"/>
    <w:rsid w:val="60E05AE3"/>
    <w:rsid w:val="60E9574C"/>
    <w:rsid w:val="60F44397"/>
    <w:rsid w:val="6118527D"/>
    <w:rsid w:val="613F280A"/>
    <w:rsid w:val="6166293B"/>
    <w:rsid w:val="61972646"/>
    <w:rsid w:val="61DE0274"/>
    <w:rsid w:val="627C742C"/>
    <w:rsid w:val="6292105F"/>
    <w:rsid w:val="62CA6A4B"/>
    <w:rsid w:val="62DD677E"/>
    <w:rsid w:val="62E96ED1"/>
    <w:rsid w:val="63193421"/>
    <w:rsid w:val="631D301E"/>
    <w:rsid w:val="63870498"/>
    <w:rsid w:val="63892462"/>
    <w:rsid w:val="6398439D"/>
    <w:rsid w:val="639C03E7"/>
    <w:rsid w:val="63BB6384"/>
    <w:rsid w:val="63E87188"/>
    <w:rsid w:val="64030466"/>
    <w:rsid w:val="64042DE5"/>
    <w:rsid w:val="640E2967"/>
    <w:rsid w:val="641066DF"/>
    <w:rsid w:val="64462101"/>
    <w:rsid w:val="64552344"/>
    <w:rsid w:val="64D1715F"/>
    <w:rsid w:val="655A40B6"/>
    <w:rsid w:val="6590232F"/>
    <w:rsid w:val="66330212"/>
    <w:rsid w:val="667D6792"/>
    <w:rsid w:val="6692162D"/>
    <w:rsid w:val="66AD7467"/>
    <w:rsid w:val="66B617C0"/>
    <w:rsid w:val="66BC66AA"/>
    <w:rsid w:val="66E856F1"/>
    <w:rsid w:val="66F916AD"/>
    <w:rsid w:val="672C1A82"/>
    <w:rsid w:val="674212A6"/>
    <w:rsid w:val="67BB4374"/>
    <w:rsid w:val="67C1041C"/>
    <w:rsid w:val="67E20393"/>
    <w:rsid w:val="67EE4F89"/>
    <w:rsid w:val="688764C0"/>
    <w:rsid w:val="689072D6"/>
    <w:rsid w:val="68963EDF"/>
    <w:rsid w:val="68F246E1"/>
    <w:rsid w:val="6933534A"/>
    <w:rsid w:val="693469CC"/>
    <w:rsid w:val="6942733B"/>
    <w:rsid w:val="69456E2B"/>
    <w:rsid w:val="694D7A8E"/>
    <w:rsid w:val="698F00A6"/>
    <w:rsid w:val="69E34597"/>
    <w:rsid w:val="6A1C148F"/>
    <w:rsid w:val="6A1F58CE"/>
    <w:rsid w:val="6A3A44B6"/>
    <w:rsid w:val="6A4B07B7"/>
    <w:rsid w:val="6A6041B6"/>
    <w:rsid w:val="6A7379C8"/>
    <w:rsid w:val="6AB67E26"/>
    <w:rsid w:val="6ADA35A3"/>
    <w:rsid w:val="6AFC79BD"/>
    <w:rsid w:val="6B00125C"/>
    <w:rsid w:val="6B036F9E"/>
    <w:rsid w:val="6B5220D4"/>
    <w:rsid w:val="6B857660"/>
    <w:rsid w:val="6B972D20"/>
    <w:rsid w:val="6BBD714D"/>
    <w:rsid w:val="6C00528B"/>
    <w:rsid w:val="6C1256EA"/>
    <w:rsid w:val="6C3D028D"/>
    <w:rsid w:val="6C53185F"/>
    <w:rsid w:val="6C577D4C"/>
    <w:rsid w:val="6CB30550"/>
    <w:rsid w:val="6CC12C6C"/>
    <w:rsid w:val="6CC30793"/>
    <w:rsid w:val="6CD1730B"/>
    <w:rsid w:val="6CE56B18"/>
    <w:rsid w:val="6CF92406"/>
    <w:rsid w:val="6D266F73"/>
    <w:rsid w:val="6D401DE3"/>
    <w:rsid w:val="6D4318D3"/>
    <w:rsid w:val="6D602485"/>
    <w:rsid w:val="6D7221B9"/>
    <w:rsid w:val="6D9914F3"/>
    <w:rsid w:val="6DA32372"/>
    <w:rsid w:val="6DC72505"/>
    <w:rsid w:val="6DC8623D"/>
    <w:rsid w:val="6E494FC8"/>
    <w:rsid w:val="6E5B2C4D"/>
    <w:rsid w:val="6EC407F2"/>
    <w:rsid w:val="6F0E30C9"/>
    <w:rsid w:val="6F1C062E"/>
    <w:rsid w:val="6F3A69AC"/>
    <w:rsid w:val="6F57096D"/>
    <w:rsid w:val="6F656F7D"/>
    <w:rsid w:val="6F6B5112"/>
    <w:rsid w:val="6FA04DBB"/>
    <w:rsid w:val="6FB94CC9"/>
    <w:rsid w:val="6FC22F83"/>
    <w:rsid w:val="6FE56C72"/>
    <w:rsid w:val="70302799"/>
    <w:rsid w:val="703419A7"/>
    <w:rsid w:val="7036127C"/>
    <w:rsid w:val="703A1BB2"/>
    <w:rsid w:val="709B37D5"/>
    <w:rsid w:val="70C25205"/>
    <w:rsid w:val="70CC0E09"/>
    <w:rsid w:val="70EE5FFA"/>
    <w:rsid w:val="71257C6E"/>
    <w:rsid w:val="713A77D3"/>
    <w:rsid w:val="71681909"/>
    <w:rsid w:val="717958C4"/>
    <w:rsid w:val="718D136F"/>
    <w:rsid w:val="71925485"/>
    <w:rsid w:val="71BC623A"/>
    <w:rsid w:val="71DE0938"/>
    <w:rsid w:val="71F907B3"/>
    <w:rsid w:val="721F290F"/>
    <w:rsid w:val="7234129A"/>
    <w:rsid w:val="724A6C10"/>
    <w:rsid w:val="72827920"/>
    <w:rsid w:val="72A746B3"/>
    <w:rsid w:val="72A9667D"/>
    <w:rsid w:val="72C415A3"/>
    <w:rsid w:val="72F808CB"/>
    <w:rsid w:val="73075151"/>
    <w:rsid w:val="732F545F"/>
    <w:rsid w:val="7334739B"/>
    <w:rsid w:val="73417393"/>
    <w:rsid w:val="734412B8"/>
    <w:rsid w:val="73522870"/>
    <w:rsid w:val="7357221C"/>
    <w:rsid w:val="73A330CC"/>
    <w:rsid w:val="73A62BBC"/>
    <w:rsid w:val="73C80D84"/>
    <w:rsid w:val="73E159A2"/>
    <w:rsid w:val="73E23903"/>
    <w:rsid w:val="73F926E4"/>
    <w:rsid w:val="73F92CEC"/>
    <w:rsid w:val="73FE1225"/>
    <w:rsid w:val="7400407A"/>
    <w:rsid w:val="743957DE"/>
    <w:rsid w:val="743D707D"/>
    <w:rsid w:val="74455F31"/>
    <w:rsid w:val="744D4DE6"/>
    <w:rsid w:val="745F7E47"/>
    <w:rsid w:val="747F58E7"/>
    <w:rsid w:val="74827185"/>
    <w:rsid w:val="7497042E"/>
    <w:rsid w:val="749D3FBF"/>
    <w:rsid w:val="74F55BA9"/>
    <w:rsid w:val="75220020"/>
    <w:rsid w:val="75267B11"/>
    <w:rsid w:val="756710B7"/>
    <w:rsid w:val="7592164A"/>
    <w:rsid w:val="759E1D9D"/>
    <w:rsid w:val="75EF084A"/>
    <w:rsid w:val="76083E9B"/>
    <w:rsid w:val="76973FEA"/>
    <w:rsid w:val="76B42462"/>
    <w:rsid w:val="76B52B45"/>
    <w:rsid w:val="76C05D43"/>
    <w:rsid w:val="76D37824"/>
    <w:rsid w:val="77400C32"/>
    <w:rsid w:val="7746449A"/>
    <w:rsid w:val="77A967D7"/>
    <w:rsid w:val="77B533CE"/>
    <w:rsid w:val="77C2214F"/>
    <w:rsid w:val="77DC3280"/>
    <w:rsid w:val="78320EC2"/>
    <w:rsid w:val="78686692"/>
    <w:rsid w:val="787768D5"/>
    <w:rsid w:val="788D2783"/>
    <w:rsid w:val="78970D25"/>
    <w:rsid w:val="78F91AEA"/>
    <w:rsid w:val="79164340"/>
    <w:rsid w:val="791B54B2"/>
    <w:rsid w:val="796230E1"/>
    <w:rsid w:val="796C5D0E"/>
    <w:rsid w:val="79C913B2"/>
    <w:rsid w:val="79F12CBC"/>
    <w:rsid w:val="79FC02D4"/>
    <w:rsid w:val="7A401675"/>
    <w:rsid w:val="7A5F190C"/>
    <w:rsid w:val="7A600273"/>
    <w:rsid w:val="7B2F6DDA"/>
    <w:rsid w:val="7B30793B"/>
    <w:rsid w:val="7B311261"/>
    <w:rsid w:val="7B354F51"/>
    <w:rsid w:val="7B5573A2"/>
    <w:rsid w:val="7B75534E"/>
    <w:rsid w:val="7B7D2454"/>
    <w:rsid w:val="7BB15952"/>
    <w:rsid w:val="7BE06349"/>
    <w:rsid w:val="7BE159BC"/>
    <w:rsid w:val="7BF51083"/>
    <w:rsid w:val="7C091F3A"/>
    <w:rsid w:val="7C2F7BF3"/>
    <w:rsid w:val="7C417926"/>
    <w:rsid w:val="7C5B0C23"/>
    <w:rsid w:val="7C933753"/>
    <w:rsid w:val="7C9C4B5C"/>
    <w:rsid w:val="7CB65C1E"/>
    <w:rsid w:val="7CE23489"/>
    <w:rsid w:val="7D052701"/>
    <w:rsid w:val="7D180687"/>
    <w:rsid w:val="7D260484"/>
    <w:rsid w:val="7D381048"/>
    <w:rsid w:val="7D6A46D8"/>
    <w:rsid w:val="7DD65E4C"/>
    <w:rsid w:val="7DE06CCB"/>
    <w:rsid w:val="7DE50ECF"/>
    <w:rsid w:val="7DEC38C1"/>
    <w:rsid w:val="7E08275A"/>
    <w:rsid w:val="7E094473"/>
    <w:rsid w:val="7E174990"/>
    <w:rsid w:val="7E1C41A7"/>
    <w:rsid w:val="7E2B263C"/>
    <w:rsid w:val="7E5A744F"/>
    <w:rsid w:val="7E70004F"/>
    <w:rsid w:val="7EF21E01"/>
    <w:rsid w:val="7F08472B"/>
    <w:rsid w:val="7F620984"/>
    <w:rsid w:val="7F6776A3"/>
    <w:rsid w:val="7F761695"/>
    <w:rsid w:val="7F932247"/>
    <w:rsid w:val="7FB0104A"/>
    <w:rsid w:val="7FCF157E"/>
    <w:rsid w:val="7FDB3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iPriority="99" w:semiHidden="0" w:name="Plain Text"/>
    <w:lsdException w:uiPriority="99" w:name="E-mail Signature"/>
    <w:lsdException w:qFormat="1" w:unhideWhenUsed="0" w:uiPriority="99" w:semiHidden="0" w:name="Normal (Web)"/>
    <w:lsdException w:qFormat="1" w:uiPriority="0" w:semiHidden="0" w:name="HTML Acronym"/>
    <w:lsdException w:uiPriority="99" w:name="HTML Address"/>
    <w:lsdException w:qFormat="1" w:uiPriority="0" w:semiHidden="0" w:name="HTML Cite"/>
    <w:lsdException w:qFormat="1" w:uiPriority="0" w:semiHidden="0" w:name="HTML Code"/>
    <w:lsdException w:qFormat="1" w:uiPriority="0"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0"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62" w:firstLineChars="220"/>
      <w:jc w:val="both"/>
    </w:pPr>
    <w:rPr>
      <w:rFonts w:ascii="仿宋" w:hAnsi="仿宋" w:eastAsia="仿宋" w:cs="仿宋"/>
      <w:kern w:val="2"/>
      <w:sz w:val="21"/>
      <w:szCs w:val="21"/>
      <w:lang w:val="en-US" w:eastAsia="zh-CN" w:bidi="ar-SA"/>
    </w:rPr>
  </w:style>
  <w:style w:type="paragraph" w:styleId="2">
    <w:name w:val="heading 1"/>
    <w:basedOn w:val="1"/>
    <w:next w:val="1"/>
    <w:link w:val="62"/>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2"/>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73"/>
    <w:autoRedefine/>
    <w:qFormat/>
    <w:uiPriority w:val="99"/>
    <w:pPr>
      <w:keepNext/>
      <w:keepLines/>
      <w:spacing w:before="260" w:after="260" w:line="416" w:lineRule="auto"/>
      <w:outlineLvl w:val="2"/>
    </w:pPr>
    <w:rPr>
      <w:b/>
      <w:bCs/>
      <w:sz w:val="32"/>
      <w:szCs w:val="32"/>
    </w:rPr>
  </w:style>
  <w:style w:type="paragraph" w:styleId="5">
    <w:name w:val="heading 4"/>
    <w:basedOn w:val="1"/>
    <w:next w:val="1"/>
    <w:link w:val="65"/>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119"/>
    <w:autoRedefine/>
    <w:unhideWhenUsed/>
    <w:qFormat/>
    <w:uiPriority w:val="9"/>
    <w:pPr>
      <w:keepNext/>
      <w:keepLines/>
      <w:spacing w:before="280" w:after="290" w:line="374" w:lineRule="auto"/>
      <w:outlineLvl w:val="4"/>
    </w:pPr>
    <w:rPr>
      <w:rFonts w:ascii="Times New Roman" w:hAnsi="Times New Roman" w:eastAsia="宋体" w:cs="Times New Roman"/>
      <w:b/>
      <w:sz w:val="28"/>
      <w:szCs w:val="28"/>
    </w:rPr>
  </w:style>
  <w:style w:type="paragraph" w:styleId="7">
    <w:name w:val="heading 6"/>
    <w:basedOn w:val="1"/>
    <w:next w:val="1"/>
    <w:link w:val="66"/>
    <w:autoRedefine/>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8">
    <w:name w:val="heading 7"/>
    <w:basedOn w:val="1"/>
    <w:next w:val="1"/>
    <w:link w:val="67"/>
    <w:autoRedefine/>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9">
    <w:name w:val="heading 8"/>
    <w:basedOn w:val="1"/>
    <w:next w:val="1"/>
    <w:link w:val="68"/>
    <w:autoRedefine/>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0">
    <w:name w:val="heading 9"/>
    <w:basedOn w:val="1"/>
    <w:next w:val="1"/>
    <w:link w:val="69"/>
    <w:autoRedefine/>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rPr>
  </w:style>
  <w:style w:type="character" w:default="1" w:styleId="43">
    <w:name w:val="Default Paragraph Font"/>
    <w:autoRedefine/>
    <w:semiHidden/>
    <w:unhideWhenUsed/>
    <w:qFormat/>
    <w:uiPriority w:val="1"/>
  </w:style>
  <w:style w:type="table" w:default="1" w:styleId="41">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2520" w:leftChars="1200"/>
    </w:pPr>
    <w:rPr>
      <w:rFonts w:ascii="Calibri" w:hAnsi="Calibri"/>
      <w:szCs w:val="22"/>
    </w:rPr>
  </w:style>
  <w:style w:type="paragraph" w:styleId="12">
    <w:name w:val="Normal Indent"/>
    <w:basedOn w:val="1"/>
    <w:autoRedefine/>
    <w:qFormat/>
    <w:uiPriority w:val="0"/>
    <w:pPr>
      <w:ind w:firstLine="420" w:firstLineChars="200"/>
    </w:pPr>
    <w:rPr>
      <w:rFonts w:ascii="Times New Roman" w:hAnsi="Times New Roman" w:eastAsia="宋体" w:cs="Times New Roman"/>
      <w:szCs w:val="24"/>
    </w:rPr>
  </w:style>
  <w:style w:type="paragraph" w:styleId="13">
    <w:name w:val="Document Map"/>
    <w:basedOn w:val="1"/>
    <w:link w:val="74"/>
    <w:autoRedefine/>
    <w:semiHidden/>
    <w:qFormat/>
    <w:uiPriority w:val="0"/>
    <w:pPr>
      <w:shd w:val="clear" w:color="auto" w:fill="000080"/>
    </w:pPr>
  </w:style>
  <w:style w:type="paragraph" w:styleId="14">
    <w:name w:val="annotation text"/>
    <w:basedOn w:val="1"/>
    <w:link w:val="76"/>
    <w:autoRedefine/>
    <w:qFormat/>
    <w:uiPriority w:val="99"/>
    <w:pPr>
      <w:jc w:val="left"/>
    </w:pPr>
  </w:style>
  <w:style w:type="paragraph" w:styleId="15">
    <w:name w:val="Body Text 3"/>
    <w:basedOn w:val="1"/>
    <w:link w:val="77"/>
    <w:autoRedefine/>
    <w:qFormat/>
    <w:uiPriority w:val="0"/>
    <w:rPr>
      <w:rFonts w:ascii="宋体"/>
      <w:sz w:val="24"/>
      <w:szCs w:val="20"/>
    </w:rPr>
  </w:style>
  <w:style w:type="paragraph" w:styleId="16">
    <w:name w:val="Body Text"/>
    <w:basedOn w:val="1"/>
    <w:next w:val="17"/>
    <w:link w:val="118"/>
    <w:autoRedefine/>
    <w:qFormat/>
    <w:uiPriority w:val="0"/>
    <w:pPr>
      <w:spacing w:after="120"/>
    </w:pPr>
  </w:style>
  <w:style w:type="paragraph" w:customStyle="1" w:styleId="17">
    <w:name w:val="正文文本 21"/>
    <w:basedOn w:val="1"/>
    <w:autoRedefine/>
    <w:qFormat/>
    <w:uiPriority w:val="0"/>
    <w:pPr>
      <w:widowControl/>
      <w:spacing w:beforeLines="50" w:line="336" w:lineRule="auto"/>
    </w:pPr>
    <w:rPr>
      <w:rFonts w:ascii="Calibri" w:hAnsi="Calibri" w:eastAsia="仿宋_GB2312"/>
      <w:kern w:val="0"/>
      <w:szCs w:val="20"/>
      <w:lang w:eastAsia="en-US"/>
    </w:rPr>
  </w:style>
  <w:style w:type="paragraph" w:styleId="18">
    <w:name w:val="Body Text Indent"/>
    <w:basedOn w:val="1"/>
    <w:next w:val="19"/>
    <w:link w:val="79"/>
    <w:autoRedefine/>
    <w:qFormat/>
    <w:uiPriority w:val="0"/>
    <w:pPr>
      <w:spacing w:after="120"/>
      <w:ind w:left="420" w:leftChars="200"/>
    </w:pPr>
  </w:style>
  <w:style w:type="paragraph" w:styleId="19">
    <w:name w:val="envelope return"/>
    <w:basedOn w:val="1"/>
    <w:autoRedefine/>
    <w:qFormat/>
    <w:uiPriority w:val="0"/>
    <w:pPr>
      <w:snapToGrid w:val="0"/>
    </w:pPr>
    <w:rPr>
      <w:rFonts w:ascii="Arial" w:hAnsi="Arial" w:eastAsia="宋体" w:cs="Times New Roman"/>
    </w:rPr>
  </w:style>
  <w:style w:type="paragraph" w:styleId="20">
    <w:name w:val="toc 5"/>
    <w:basedOn w:val="1"/>
    <w:next w:val="1"/>
    <w:autoRedefine/>
    <w:unhideWhenUsed/>
    <w:qFormat/>
    <w:uiPriority w:val="39"/>
    <w:pPr>
      <w:ind w:left="1680" w:leftChars="800"/>
    </w:pPr>
    <w:rPr>
      <w:rFonts w:ascii="Calibri" w:hAnsi="Calibri"/>
      <w:szCs w:val="22"/>
    </w:rPr>
  </w:style>
  <w:style w:type="paragraph" w:styleId="21">
    <w:name w:val="toc 3"/>
    <w:basedOn w:val="1"/>
    <w:next w:val="1"/>
    <w:autoRedefine/>
    <w:qFormat/>
    <w:uiPriority w:val="39"/>
    <w:pPr>
      <w:ind w:left="840" w:leftChars="400"/>
    </w:pPr>
  </w:style>
  <w:style w:type="paragraph" w:styleId="22">
    <w:name w:val="Plain Text"/>
    <w:basedOn w:val="1"/>
    <w:link w:val="80"/>
    <w:autoRedefine/>
    <w:unhideWhenUsed/>
    <w:qFormat/>
    <w:uiPriority w:val="99"/>
    <w:rPr>
      <w:rFonts w:ascii="宋体" w:hAnsi="Courier New" w:cs="Courier New"/>
    </w:rPr>
  </w:style>
  <w:style w:type="paragraph" w:styleId="23">
    <w:name w:val="toc 8"/>
    <w:basedOn w:val="1"/>
    <w:next w:val="1"/>
    <w:autoRedefine/>
    <w:unhideWhenUsed/>
    <w:qFormat/>
    <w:uiPriority w:val="39"/>
    <w:pPr>
      <w:ind w:left="2940" w:leftChars="1400"/>
    </w:pPr>
    <w:rPr>
      <w:rFonts w:ascii="Calibri" w:hAnsi="Calibri"/>
      <w:szCs w:val="22"/>
    </w:rPr>
  </w:style>
  <w:style w:type="paragraph" w:styleId="24">
    <w:name w:val="Date"/>
    <w:basedOn w:val="1"/>
    <w:next w:val="1"/>
    <w:link w:val="81"/>
    <w:autoRedefine/>
    <w:qFormat/>
    <w:uiPriority w:val="0"/>
    <w:rPr>
      <w:sz w:val="24"/>
      <w:szCs w:val="20"/>
    </w:rPr>
  </w:style>
  <w:style w:type="paragraph" w:styleId="25">
    <w:name w:val="Body Text Indent 2"/>
    <w:basedOn w:val="1"/>
    <w:autoRedefine/>
    <w:qFormat/>
    <w:uiPriority w:val="0"/>
    <w:pPr>
      <w:spacing w:after="120" w:line="480" w:lineRule="auto"/>
      <w:ind w:left="420" w:leftChars="200"/>
    </w:pPr>
    <w:rPr>
      <w:rFonts w:ascii="Calibri" w:hAnsi="Calibri" w:eastAsia="宋体" w:cs="黑体"/>
      <w:szCs w:val="22"/>
    </w:rPr>
  </w:style>
  <w:style w:type="paragraph" w:styleId="26">
    <w:name w:val="Balloon Text"/>
    <w:basedOn w:val="1"/>
    <w:link w:val="82"/>
    <w:autoRedefine/>
    <w:semiHidden/>
    <w:qFormat/>
    <w:uiPriority w:val="0"/>
    <w:rPr>
      <w:sz w:val="18"/>
      <w:szCs w:val="18"/>
    </w:rPr>
  </w:style>
  <w:style w:type="paragraph" w:styleId="27">
    <w:name w:val="footer"/>
    <w:basedOn w:val="1"/>
    <w:link w:val="61"/>
    <w:autoRedefine/>
    <w:unhideWhenUsed/>
    <w:qFormat/>
    <w:uiPriority w:val="0"/>
    <w:pPr>
      <w:tabs>
        <w:tab w:val="center" w:pos="4153"/>
        <w:tab w:val="right" w:pos="8306"/>
      </w:tabs>
      <w:snapToGrid w:val="0"/>
      <w:jc w:val="left"/>
    </w:pPr>
    <w:rPr>
      <w:sz w:val="18"/>
      <w:szCs w:val="18"/>
    </w:rPr>
  </w:style>
  <w:style w:type="paragraph" w:styleId="28">
    <w:name w:val="header"/>
    <w:basedOn w:val="1"/>
    <w:link w:val="60"/>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autoRedefine/>
    <w:qFormat/>
    <w:uiPriority w:val="39"/>
    <w:pPr>
      <w:tabs>
        <w:tab w:val="right" w:leader="dot" w:pos="8296"/>
      </w:tabs>
      <w:spacing w:line="440" w:lineRule="exact"/>
      <w:jc w:val="center"/>
    </w:pPr>
  </w:style>
  <w:style w:type="paragraph" w:styleId="30">
    <w:name w:val="toc 4"/>
    <w:basedOn w:val="1"/>
    <w:next w:val="1"/>
    <w:autoRedefine/>
    <w:unhideWhenUsed/>
    <w:qFormat/>
    <w:uiPriority w:val="39"/>
    <w:pPr>
      <w:ind w:left="1260" w:leftChars="600"/>
    </w:pPr>
    <w:rPr>
      <w:rFonts w:ascii="Calibri" w:hAnsi="Calibri"/>
      <w:szCs w:val="22"/>
    </w:rPr>
  </w:style>
  <w:style w:type="paragraph" w:styleId="31">
    <w:name w:val="toc 6"/>
    <w:basedOn w:val="1"/>
    <w:next w:val="1"/>
    <w:autoRedefine/>
    <w:unhideWhenUsed/>
    <w:qFormat/>
    <w:uiPriority w:val="39"/>
    <w:pPr>
      <w:ind w:left="2100" w:leftChars="1000"/>
    </w:pPr>
    <w:rPr>
      <w:rFonts w:ascii="Calibri" w:hAnsi="Calibri"/>
      <w:szCs w:val="22"/>
    </w:rPr>
  </w:style>
  <w:style w:type="paragraph" w:styleId="32">
    <w:name w:val="Body Text Indent 3"/>
    <w:basedOn w:val="1"/>
    <w:link w:val="83"/>
    <w:autoRedefine/>
    <w:qFormat/>
    <w:uiPriority w:val="0"/>
    <w:pPr>
      <w:spacing w:after="120"/>
      <w:ind w:left="420" w:leftChars="200"/>
    </w:pPr>
    <w:rPr>
      <w:sz w:val="16"/>
      <w:szCs w:val="16"/>
    </w:rPr>
  </w:style>
  <w:style w:type="paragraph" w:styleId="33">
    <w:name w:val="toc 2"/>
    <w:basedOn w:val="1"/>
    <w:next w:val="1"/>
    <w:autoRedefine/>
    <w:qFormat/>
    <w:uiPriority w:val="39"/>
    <w:pPr>
      <w:ind w:left="420" w:leftChars="200"/>
    </w:pPr>
  </w:style>
  <w:style w:type="paragraph" w:styleId="34">
    <w:name w:val="toc 9"/>
    <w:basedOn w:val="1"/>
    <w:next w:val="1"/>
    <w:autoRedefine/>
    <w:unhideWhenUsed/>
    <w:qFormat/>
    <w:uiPriority w:val="39"/>
    <w:pPr>
      <w:ind w:left="3360" w:leftChars="1600"/>
    </w:pPr>
    <w:rPr>
      <w:rFonts w:ascii="Calibri" w:hAnsi="Calibri"/>
      <w:szCs w:val="22"/>
    </w:rPr>
  </w:style>
  <w:style w:type="paragraph" w:styleId="35">
    <w:name w:val="Body Text 2"/>
    <w:basedOn w:val="1"/>
    <w:link w:val="71"/>
    <w:autoRedefine/>
    <w:qFormat/>
    <w:uiPriority w:val="0"/>
    <w:rPr>
      <w:sz w:val="28"/>
      <w:szCs w:val="20"/>
    </w:rPr>
  </w:style>
  <w:style w:type="paragraph" w:styleId="36">
    <w:name w:val="Normal (Web)"/>
    <w:basedOn w:val="1"/>
    <w:autoRedefine/>
    <w:qFormat/>
    <w:uiPriority w:val="99"/>
    <w:pPr>
      <w:autoSpaceDE w:val="0"/>
      <w:autoSpaceDN w:val="0"/>
      <w:jc w:val="left"/>
    </w:pPr>
    <w:rPr>
      <w:rFonts w:ascii="Calibri" w:hAnsi="Calibri" w:cs="宋体"/>
      <w:kern w:val="0"/>
      <w:sz w:val="24"/>
      <w:szCs w:val="22"/>
      <w:lang w:val="zh-CN" w:bidi="zh-CN"/>
    </w:rPr>
  </w:style>
  <w:style w:type="paragraph" w:styleId="37">
    <w:name w:val="index 1"/>
    <w:basedOn w:val="1"/>
    <w:next w:val="1"/>
    <w:autoRedefine/>
    <w:semiHidden/>
    <w:qFormat/>
    <w:uiPriority w:val="0"/>
    <w:pPr>
      <w:spacing w:line="220" w:lineRule="exact"/>
      <w:jc w:val="center"/>
    </w:pPr>
    <w:rPr>
      <w:rFonts w:ascii="仿宋_GB2312" w:eastAsia="仿宋_GB2312"/>
    </w:rPr>
  </w:style>
  <w:style w:type="paragraph" w:styleId="38">
    <w:name w:val="Title"/>
    <w:basedOn w:val="1"/>
    <w:next w:val="1"/>
    <w:link w:val="132"/>
    <w:autoRedefine/>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39">
    <w:name w:val="Body Text First Indent"/>
    <w:basedOn w:val="16"/>
    <w:link w:val="85"/>
    <w:autoRedefine/>
    <w:qFormat/>
    <w:uiPriority w:val="0"/>
    <w:pPr>
      <w:spacing w:line="312" w:lineRule="auto"/>
      <w:ind w:firstLine="420"/>
    </w:pPr>
  </w:style>
  <w:style w:type="paragraph" w:styleId="40">
    <w:name w:val="Body Text First Indent 2"/>
    <w:basedOn w:val="18"/>
    <w:next w:val="1"/>
    <w:link w:val="86"/>
    <w:autoRedefine/>
    <w:qFormat/>
    <w:uiPriority w:val="0"/>
    <w:pPr>
      <w:ind w:firstLine="420" w:firstLineChars="200"/>
    </w:pPr>
    <w:rPr>
      <w:rFonts w:ascii="Times New Roman" w:hAnsi="Times New Roman" w:eastAsia="宋体" w:cs="Times New Roman"/>
      <w:szCs w:val="24"/>
    </w:rPr>
  </w:style>
  <w:style w:type="table" w:styleId="42">
    <w:name w:val="Table Grid"/>
    <w:basedOn w:val="41"/>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44">
    <w:name w:val="Strong"/>
    <w:autoRedefine/>
    <w:qFormat/>
    <w:uiPriority w:val="0"/>
    <w:rPr>
      <w:b/>
      <w:bCs/>
    </w:rPr>
  </w:style>
  <w:style w:type="character" w:styleId="45">
    <w:name w:val="page number"/>
    <w:basedOn w:val="43"/>
    <w:autoRedefine/>
    <w:qFormat/>
    <w:uiPriority w:val="0"/>
  </w:style>
  <w:style w:type="character" w:styleId="46">
    <w:name w:val="FollowedHyperlink"/>
    <w:basedOn w:val="43"/>
    <w:autoRedefine/>
    <w:unhideWhenUsed/>
    <w:qFormat/>
    <w:uiPriority w:val="0"/>
    <w:rPr>
      <w:color w:val="000000"/>
      <w:u w:val="none"/>
    </w:rPr>
  </w:style>
  <w:style w:type="character" w:styleId="47">
    <w:name w:val="Emphasis"/>
    <w:basedOn w:val="43"/>
    <w:autoRedefine/>
    <w:qFormat/>
    <w:uiPriority w:val="0"/>
  </w:style>
  <w:style w:type="character" w:styleId="48">
    <w:name w:val="HTML Definition"/>
    <w:basedOn w:val="43"/>
    <w:autoRedefine/>
    <w:unhideWhenUsed/>
    <w:qFormat/>
    <w:uiPriority w:val="0"/>
  </w:style>
  <w:style w:type="character" w:styleId="49">
    <w:name w:val="HTML Typewriter"/>
    <w:basedOn w:val="43"/>
    <w:autoRedefine/>
    <w:unhideWhenUsed/>
    <w:qFormat/>
    <w:uiPriority w:val="99"/>
    <w:rPr>
      <w:rFonts w:ascii="monospace" w:hAnsi="monospace" w:eastAsia="monospace" w:cs="monospace"/>
      <w:sz w:val="20"/>
    </w:rPr>
  </w:style>
  <w:style w:type="character" w:styleId="50">
    <w:name w:val="HTML Acronym"/>
    <w:basedOn w:val="43"/>
    <w:autoRedefine/>
    <w:unhideWhenUsed/>
    <w:qFormat/>
    <w:uiPriority w:val="0"/>
  </w:style>
  <w:style w:type="character" w:styleId="51">
    <w:name w:val="HTML Variable"/>
    <w:basedOn w:val="43"/>
    <w:autoRedefine/>
    <w:unhideWhenUsed/>
    <w:qFormat/>
    <w:uiPriority w:val="0"/>
  </w:style>
  <w:style w:type="character" w:styleId="52">
    <w:name w:val="Hyperlink"/>
    <w:basedOn w:val="43"/>
    <w:autoRedefine/>
    <w:qFormat/>
    <w:uiPriority w:val="99"/>
    <w:rPr>
      <w:color w:val="000000"/>
      <w:u w:val="none"/>
    </w:rPr>
  </w:style>
  <w:style w:type="character" w:styleId="53">
    <w:name w:val="HTML Code"/>
    <w:basedOn w:val="43"/>
    <w:autoRedefine/>
    <w:unhideWhenUsed/>
    <w:qFormat/>
    <w:uiPriority w:val="0"/>
    <w:rPr>
      <w:rFonts w:hint="default" w:ascii="monospace" w:hAnsi="monospace" w:eastAsia="monospace" w:cs="monospace"/>
      <w:sz w:val="20"/>
    </w:rPr>
  </w:style>
  <w:style w:type="character" w:styleId="54">
    <w:name w:val="annotation reference"/>
    <w:autoRedefine/>
    <w:semiHidden/>
    <w:qFormat/>
    <w:uiPriority w:val="0"/>
    <w:rPr>
      <w:sz w:val="21"/>
      <w:szCs w:val="21"/>
    </w:rPr>
  </w:style>
  <w:style w:type="character" w:styleId="55">
    <w:name w:val="HTML Cite"/>
    <w:basedOn w:val="43"/>
    <w:autoRedefine/>
    <w:unhideWhenUsed/>
    <w:qFormat/>
    <w:uiPriority w:val="0"/>
  </w:style>
  <w:style w:type="character" w:styleId="56">
    <w:name w:val="HTML Keyboard"/>
    <w:basedOn w:val="43"/>
    <w:autoRedefine/>
    <w:unhideWhenUsed/>
    <w:qFormat/>
    <w:uiPriority w:val="99"/>
    <w:rPr>
      <w:rFonts w:hint="default" w:ascii="monospace" w:hAnsi="monospace" w:eastAsia="monospace" w:cs="monospace"/>
      <w:sz w:val="20"/>
    </w:rPr>
  </w:style>
  <w:style w:type="character" w:styleId="57">
    <w:name w:val="HTML Sample"/>
    <w:basedOn w:val="43"/>
    <w:autoRedefine/>
    <w:unhideWhenUsed/>
    <w:qFormat/>
    <w:uiPriority w:val="99"/>
    <w:rPr>
      <w:rFonts w:hint="default" w:ascii="monospace" w:hAnsi="monospace" w:eastAsia="monospace" w:cs="monospace"/>
    </w:rPr>
  </w:style>
  <w:style w:type="paragraph" w:customStyle="1" w:styleId="58">
    <w:name w:val="Default"/>
    <w:next w:val="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9">
    <w:name w:val="BodyText"/>
    <w:basedOn w:val="1"/>
    <w:autoRedefine/>
    <w:qFormat/>
    <w:uiPriority w:val="0"/>
    <w:rPr>
      <w:sz w:val="24"/>
    </w:rPr>
  </w:style>
  <w:style w:type="character" w:customStyle="1" w:styleId="60">
    <w:name w:val="页眉 字符"/>
    <w:basedOn w:val="43"/>
    <w:link w:val="28"/>
    <w:autoRedefine/>
    <w:qFormat/>
    <w:uiPriority w:val="99"/>
    <w:rPr>
      <w:sz w:val="18"/>
      <w:szCs w:val="18"/>
    </w:rPr>
  </w:style>
  <w:style w:type="character" w:customStyle="1" w:styleId="61">
    <w:name w:val="页脚 字符"/>
    <w:basedOn w:val="43"/>
    <w:link w:val="27"/>
    <w:autoRedefine/>
    <w:qFormat/>
    <w:uiPriority w:val="99"/>
    <w:rPr>
      <w:sz w:val="18"/>
      <w:szCs w:val="18"/>
    </w:rPr>
  </w:style>
  <w:style w:type="character" w:customStyle="1" w:styleId="62">
    <w:name w:val="标题 1 字符"/>
    <w:basedOn w:val="43"/>
    <w:link w:val="2"/>
    <w:autoRedefine/>
    <w:qFormat/>
    <w:uiPriority w:val="0"/>
    <w:rPr>
      <w:rFonts w:ascii="Times New Roman" w:hAnsi="Times New Roman" w:eastAsia="宋体" w:cs="Times New Roman"/>
      <w:b/>
      <w:bCs/>
      <w:kern w:val="44"/>
      <w:sz w:val="44"/>
      <w:szCs w:val="44"/>
    </w:rPr>
  </w:style>
  <w:style w:type="character" w:customStyle="1" w:styleId="63">
    <w:name w:val="标题 2 字符"/>
    <w:basedOn w:val="43"/>
    <w:autoRedefine/>
    <w:qFormat/>
    <w:uiPriority w:val="0"/>
    <w:rPr>
      <w:rFonts w:asciiTheme="majorHAnsi" w:hAnsiTheme="majorHAnsi" w:eastAsiaTheme="majorEastAsia" w:cstheme="majorBidi"/>
      <w:b/>
      <w:bCs/>
      <w:sz w:val="32"/>
      <w:szCs w:val="32"/>
    </w:rPr>
  </w:style>
  <w:style w:type="character" w:customStyle="1" w:styleId="64">
    <w:name w:val="标题 3 字符"/>
    <w:basedOn w:val="43"/>
    <w:autoRedefine/>
    <w:qFormat/>
    <w:uiPriority w:val="99"/>
    <w:rPr>
      <w:rFonts w:ascii="Times New Roman" w:hAnsi="Times New Roman" w:eastAsia="宋体" w:cs="Times New Roman"/>
      <w:b/>
      <w:bCs/>
      <w:sz w:val="32"/>
      <w:szCs w:val="32"/>
    </w:rPr>
  </w:style>
  <w:style w:type="character" w:customStyle="1" w:styleId="65">
    <w:name w:val="标题 4 字符"/>
    <w:basedOn w:val="43"/>
    <w:link w:val="5"/>
    <w:autoRedefine/>
    <w:qFormat/>
    <w:uiPriority w:val="0"/>
    <w:rPr>
      <w:rFonts w:ascii="Arial" w:hAnsi="Arial" w:eastAsia="黑体" w:cs="Times New Roman"/>
      <w:b/>
      <w:bCs/>
      <w:sz w:val="28"/>
      <w:szCs w:val="28"/>
    </w:rPr>
  </w:style>
  <w:style w:type="character" w:customStyle="1" w:styleId="66">
    <w:name w:val="标题 6 字符"/>
    <w:basedOn w:val="43"/>
    <w:link w:val="7"/>
    <w:autoRedefine/>
    <w:qFormat/>
    <w:uiPriority w:val="0"/>
    <w:rPr>
      <w:rFonts w:ascii="Arial" w:hAnsi="Arial" w:eastAsia="黑体" w:cs="Times New Roman"/>
      <w:b/>
      <w:bCs/>
      <w:kern w:val="0"/>
      <w:sz w:val="24"/>
      <w:szCs w:val="24"/>
    </w:rPr>
  </w:style>
  <w:style w:type="character" w:customStyle="1" w:styleId="67">
    <w:name w:val="标题 7 字符"/>
    <w:basedOn w:val="43"/>
    <w:link w:val="8"/>
    <w:autoRedefine/>
    <w:qFormat/>
    <w:uiPriority w:val="0"/>
    <w:rPr>
      <w:rFonts w:ascii="Times New Roman" w:hAnsi="Times New Roman" w:eastAsia="宋体" w:cs="Times New Roman"/>
      <w:b/>
      <w:bCs/>
      <w:kern w:val="0"/>
      <w:sz w:val="24"/>
      <w:szCs w:val="24"/>
    </w:rPr>
  </w:style>
  <w:style w:type="character" w:customStyle="1" w:styleId="68">
    <w:name w:val="标题 8 字符"/>
    <w:basedOn w:val="43"/>
    <w:link w:val="9"/>
    <w:autoRedefine/>
    <w:qFormat/>
    <w:uiPriority w:val="0"/>
    <w:rPr>
      <w:rFonts w:ascii="Arial" w:hAnsi="Arial" w:eastAsia="黑体" w:cs="Times New Roman"/>
      <w:kern w:val="0"/>
      <w:sz w:val="24"/>
      <w:szCs w:val="24"/>
    </w:rPr>
  </w:style>
  <w:style w:type="character" w:customStyle="1" w:styleId="69">
    <w:name w:val="标题 9 字符"/>
    <w:basedOn w:val="43"/>
    <w:link w:val="10"/>
    <w:autoRedefine/>
    <w:qFormat/>
    <w:uiPriority w:val="0"/>
    <w:rPr>
      <w:rFonts w:ascii="Arial" w:hAnsi="Arial" w:eastAsia="黑体" w:cs="Times New Roman"/>
      <w:kern w:val="0"/>
      <w:szCs w:val="21"/>
    </w:rPr>
  </w:style>
  <w:style w:type="character" w:customStyle="1" w:styleId="70">
    <w:name w:val="正文文本 字符"/>
    <w:basedOn w:val="43"/>
    <w:autoRedefine/>
    <w:qFormat/>
    <w:uiPriority w:val="0"/>
    <w:rPr>
      <w:rFonts w:ascii="Times New Roman" w:hAnsi="Times New Roman" w:eastAsia="宋体" w:cs="Times New Roman"/>
      <w:szCs w:val="24"/>
    </w:rPr>
  </w:style>
  <w:style w:type="character" w:customStyle="1" w:styleId="71">
    <w:name w:val="正文文本 2 字符"/>
    <w:basedOn w:val="43"/>
    <w:link w:val="35"/>
    <w:autoRedefine/>
    <w:qFormat/>
    <w:uiPriority w:val="0"/>
    <w:rPr>
      <w:rFonts w:ascii="Times New Roman" w:hAnsi="Times New Roman" w:eastAsia="宋体" w:cs="Times New Roman"/>
      <w:sz w:val="28"/>
      <w:szCs w:val="20"/>
    </w:rPr>
  </w:style>
  <w:style w:type="character" w:customStyle="1" w:styleId="72">
    <w:name w:val="标题 2 字符1"/>
    <w:link w:val="3"/>
    <w:autoRedefine/>
    <w:qFormat/>
    <w:uiPriority w:val="0"/>
    <w:rPr>
      <w:rFonts w:ascii="Arial" w:hAnsi="Arial" w:eastAsia="黑体" w:cs="Times New Roman"/>
      <w:b/>
      <w:bCs/>
      <w:sz w:val="32"/>
      <w:szCs w:val="32"/>
    </w:rPr>
  </w:style>
  <w:style w:type="character" w:customStyle="1" w:styleId="73">
    <w:name w:val="标题 3 字符1"/>
    <w:link w:val="4"/>
    <w:autoRedefine/>
    <w:qFormat/>
    <w:uiPriority w:val="99"/>
    <w:rPr>
      <w:rFonts w:ascii="Times New Roman" w:hAnsi="Times New Roman" w:eastAsia="宋体" w:cs="Times New Roman"/>
      <w:b/>
      <w:bCs/>
      <w:sz w:val="32"/>
      <w:szCs w:val="32"/>
    </w:rPr>
  </w:style>
  <w:style w:type="character" w:customStyle="1" w:styleId="74">
    <w:name w:val="文档结构图 字符"/>
    <w:basedOn w:val="43"/>
    <w:link w:val="13"/>
    <w:autoRedefine/>
    <w:semiHidden/>
    <w:qFormat/>
    <w:uiPriority w:val="0"/>
    <w:rPr>
      <w:rFonts w:ascii="Times New Roman" w:hAnsi="Times New Roman" w:eastAsia="宋体" w:cs="Times New Roman"/>
      <w:szCs w:val="24"/>
      <w:shd w:val="clear" w:color="auto" w:fill="000080"/>
    </w:rPr>
  </w:style>
  <w:style w:type="character" w:customStyle="1" w:styleId="75">
    <w:name w:val="批注文字 字符"/>
    <w:basedOn w:val="43"/>
    <w:autoRedefine/>
    <w:qFormat/>
    <w:uiPriority w:val="99"/>
    <w:rPr>
      <w:rFonts w:ascii="Times New Roman" w:hAnsi="Times New Roman" w:eastAsia="宋体" w:cs="Times New Roman"/>
      <w:szCs w:val="24"/>
    </w:rPr>
  </w:style>
  <w:style w:type="character" w:customStyle="1" w:styleId="76">
    <w:name w:val="批注文字 字符1"/>
    <w:link w:val="14"/>
    <w:autoRedefine/>
    <w:qFormat/>
    <w:uiPriority w:val="99"/>
    <w:rPr>
      <w:rFonts w:ascii="Times New Roman" w:hAnsi="Times New Roman" w:eastAsia="宋体" w:cs="Times New Roman"/>
      <w:szCs w:val="24"/>
    </w:rPr>
  </w:style>
  <w:style w:type="character" w:customStyle="1" w:styleId="77">
    <w:name w:val="正文文本 3 字符"/>
    <w:basedOn w:val="43"/>
    <w:link w:val="15"/>
    <w:autoRedefine/>
    <w:qFormat/>
    <w:uiPriority w:val="0"/>
    <w:rPr>
      <w:rFonts w:ascii="宋体" w:hAnsi="Times New Roman" w:eastAsia="宋体" w:cs="Times New Roman"/>
      <w:sz w:val="24"/>
      <w:szCs w:val="20"/>
    </w:rPr>
  </w:style>
  <w:style w:type="character" w:customStyle="1" w:styleId="78">
    <w:name w:val="正文文本缩进 字符"/>
    <w:basedOn w:val="43"/>
    <w:autoRedefine/>
    <w:qFormat/>
    <w:uiPriority w:val="0"/>
    <w:rPr>
      <w:rFonts w:ascii="Times New Roman" w:hAnsi="Times New Roman" w:eastAsia="宋体" w:cs="Times New Roman"/>
      <w:szCs w:val="24"/>
    </w:rPr>
  </w:style>
  <w:style w:type="character" w:customStyle="1" w:styleId="79">
    <w:name w:val="正文文本缩进 字符1"/>
    <w:link w:val="18"/>
    <w:autoRedefine/>
    <w:qFormat/>
    <w:uiPriority w:val="0"/>
    <w:rPr>
      <w:rFonts w:ascii="Times New Roman" w:hAnsi="Times New Roman" w:eastAsia="宋体" w:cs="Times New Roman"/>
      <w:szCs w:val="24"/>
    </w:rPr>
  </w:style>
  <w:style w:type="character" w:customStyle="1" w:styleId="80">
    <w:name w:val="纯文本 字符"/>
    <w:basedOn w:val="43"/>
    <w:link w:val="22"/>
    <w:autoRedefine/>
    <w:qFormat/>
    <w:uiPriority w:val="99"/>
    <w:rPr>
      <w:rFonts w:ascii="宋体" w:hAnsi="Courier New" w:eastAsia="宋体" w:cs="Courier New"/>
      <w:szCs w:val="21"/>
    </w:rPr>
  </w:style>
  <w:style w:type="character" w:customStyle="1" w:styleId="81">
    <w:name w:val="日期 字符"/>
    <w:basedOn w:val="43"/>
    <w:link w:val="24"/>
    <w:autoRedefine/>
    <w:qFormat/>
    <w:uiPriority w:val="0"/>
    <w:rPr>
      <w:rFonts w:ascii="Times New Roman" w:hAnsi="Times New Roman" w:eastAsia="宋体" w:cs="Times New Roman"/>
      <w:sz w:val="24"/>
      <w:szCs w:val="20"/>
    </w:rPr>
  </w:style>
  <w:style w:type="character" w:customStyle="1" w:styleId="82">
    <w:name w:val="批注框文本 字符"/>
    <w:basedOn w:val="43"/>
    <w:link w:val="26"/>
    <w:autoRedefine/>
    <w:semiHidden/>
    <w:qFormat/>
    <w:uiPriority w:val="0"/>
    <w:rPr>
      <w:rFonts w:ascii="Times New Roman" w:hAnsi="Times New Roman" w:eastAsia="宋体" w:cs="Times New Roman"/>
      <w:sz w:val="18"/>
      <w:szCs w:val="18"/>
    </w:rPr>
  </w:style>
  <w:style w:type="character" w:customStyle="1" w:styleId="83">
    <w:name w:val="正文文本缩进 3 字符"/>
    <w:basedOn w:val="43"/>
    <w:link w:val="32"/>
    <w:autoRedefine/>
    <w:qFormat/>
    <w:uiPriority w:val="0"/>
    <w:rPr>
      <w:rFonts w:ascii="Times New Roman" w:hAnsi="Times New Roman" w:eastAsia="宋体" w:cs="Times New Roman"/>
      <w:sz w:val="16"/>
      <w:szCs w:val="16"/>
    </w:rPr>
  </w:style>
  <w:style w:type="character" w:customStyle="1" w:styleId="84">
    <w:name w:val="标题 字符"/>
    <w:basedOn w:val="43"/>
    <w:link w:val="38"/>
    <w:autoRedefine/>
    <w:qFormat/>
    <w:uiPriority w:val="0"/>
    <w:rPr>
      <w:rFonts w:ascii="Arial" w:hAnsi="Arial" w:eastAsia="宋体" w:cs="Times New Roman"/>
      <w:b/>
      <w:kern w:val="0"/>
      <w:sz w:val="32"/>
      <w:szCs w:val="20"/>
    </w:rPr>
  </w:style>
  <w:style w:type="character" w:customStyle="1" w:styleId="85">
    <w:name w:val="正文文本首行缩进 字符"/>
    <w:basedOn w:val="70"/>
    <w:link w:val="39"/>
    <w:autoRedefine/>
    <w:qFormat/>
    <w:uiPriority w:val="0"/>
    <w:rPr>
      <w:rFonts w:ascii="Times New Roman" w:hAnsi="Times New Roman" w:eastAsia="宋体" w:cs="Times New Roman"/>
      <w:szCs w:val="24"/>
    </w:rPr>
  </w:style>
  <w:style w:type="character" w:customStyle="1" w:styleId="86">
    <w:name w:val="正文文本首行缩进 2 字符1"/>
    <w:basedOn w:val="78"/>
    <w:link w:val="40"/>
    <w:autoRedefine/>
    <w:qFormat/>
    <w:uiPriority w:val="0"/>
    <w:rPr>
      <w:rFonts w:ascii="Times New Roman" w:hAnsi="Times New Roman" w:eastAsia="宋体" w:cs="Times New Roman"/>
      <w:szCs w:val="24"/>
    </w:rPr>
  </w:style>
  <w:style w:type="character" w:customStyle="1" w:styleId="87">
    <w:name w:val="正文文本首行缩进 2 字符"/>
    <w:link w:val="88"/>
    <w:autoRedefine/>
    <w:qFormat/>
    <w:uiPriority w:val="0"/>
    <w:rPr>
      <w:szCs w:val="24"/>
    </w:rPr>
  </w:style>
  <w:style w:type="paragraph" w:customStyle="1" w:styleId="88">
    <w:name w:val="_Style 44"/>
    <w:basedOn w:val="1"/>
    <w:next w:val="1"/>
    <w:link w:val="87"/>
    <w:autoRedefine/>
    <w:unhideWhenUsed/>
    <w:qFormat/>
    <w:uiPriority w:val="0"/>
    <w:pPr>
      <w:ind w:left="1680" w:leftChars="800"/>
    </w:pPr>
    <w:rPr>
      <w:rFonts w:asciiTheme="minorHAnsi" w:hAnsiTheme="minorHAnsi" w:eastAsiaTheme="minorEastAsia" w:cstheme="minorBidi"/>
    </w:rPr>
  </w:style>
  <w:style w:type="character" w:customStyle="1" w:styleId="89">
    <w:name w:val="font161"/>
    <w:autoRedefine/>
    <w:qFormat/>
    <w:uiPriority w:val="0"/>
    <w:rPr>
      <w:b/>
      <w:bCs/>
      <w:sz w:val="32"/>
      <w:szCs w:val="32"/>
    </w:rPr>
  </w:style>
  <w:style w:type="character" w:customStyle="1" w:styleId="90">
    <w:name w:val="访问过的超链接1"/>
    <w:autoRedefine/>
    <w:qFormat/>
    <w:uiPriority w:val="0"/>
    <w:rPr>
      <w:color w:val="800080"/>
      <w:u w:val="single"/>
    </w:rPr>
  </w:style>
  <w:style w:type="character" w:customStyle="1" w:styleId="91">
    <w:name w:val="未处理的提及1"/>
    <w:autoRedefine/>
    <w:unhideWhenUsed/>
    <w:qFormat/>
    <w:uiPriority w:val="99"/>
    <w:rPr>
      <w:color w:val="605E5C"/>
      <w:shd w:val="clear" w:color="auto" w:fill="E1DFDD"/>
    </w:rPr>
  </w:style>
  <w:style w:type="character" w:customStyle="1" w:styleId="92">
    <w:name w:val="apple-converted-space"/>
    <w:autoRedefine/>
    <w:qFormat/>
    <w:uiPriority w:val="0"/>
  </w:style>
  <w:style w:type="paragraph" w:customStyle="1" w:styleId="93">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cs="宋体"/>
      <w:b w:val="0"/>
      <w:bCs w:val="0"/>
      <w:sz w:val="28"/>
      <w:szCs w:val="20"/>
    </w:rPr>
  </w:style>
  <w:style w:type="paragraph" w:customStyle="1" w:styleId="94">
    <w:name w:val="1"/>
    <w:basedOn w:val="1"/>
    <w:next w:val="1"/>
    <w:autoRedefine/>
    <w:qFormat/>
    <w:uiPriority w:val="0"/>
  </w:style>
  <w:style w:type="paragraph" w:customStyle="1" w:styleId="95">
    <w:name w:val="*正文"/>
    <w:basedOn w:val="1"/>
    <w:next w:val="1"/>
    <w:autoRedefine/>
    <w:qFormat/>
    <w:uiPriority w:val="0"/>
    <w:pPr>
      <w:widowControl/>
      <w:ind w:firstLine="482"/>
    </w:pPr>
    <w:rPr>
      <w:rFonts w:ascii="微软雅黑" w:hAnsi="微软雅黑" w:eastAsia="微软雅黑"/>
    </w:rPr>
  </w:style>
  <w:style w:type="paragraph" w:customStyle="1" w:styleId="96">
    <w:name w:val="_Style 1"/>
    <w:basedOn w:val="1"/>
    <w:autoRedefine/>
    <w:qFormat/>
    <w:uiPriority w:val="0"/>
    <w:pPr>
      <w:ind w:firstLine="420" w:firstLineChars="200"/>
    </w:pPr>
  </w:style>
  <w:style w:type="paragraph" w:customStyle="1" w:styleId="97">
    <w:name w:val="表格"/>
    <w:basedOn w:val="1"/>
    <w:autoRedefine/>
    <w:qFormat/>
    <w:uiPriority w:val="0"/>
    <w:pPr>
      <w:jc w:val="center"/>
      <w:textAlignment w:val="center"/>
    </w:pPr>
    <w:rPr>
      <w:rFonts w:ascii="华文细黑" w:hAnsi="华文细黑"/>
      <w:kern w:val="0"/>
      <w:szCs w:val="20"/>
    </w:rPr>
  </w:style>
  <w:style w:type="paragraph" w:customStyle="1" w:styleId="98">
    <w:name w:val="Table Paragraph"/>
    <w:basedOn w:val="1"/>
    <w:autoRedefine/>
    <w:qFormat/>
    <w:uiPriority w:val="1"/>
    <w:pPr>
      <w:autoSpaceDE w:val="0"/>
      <w:autoSpaceDN w:val="0"/>
      <w:jc w:val="left"/>
    </w:pPr>
    <w:rPr>
      <w:rFonts w:ascii="宋体" w:hAnsi="宋体" w:cs="宋体"/>
      <w:kern w:val="0"/>
      <w:sz w:val="22"/>
      <w:szCs w:val="22"/>
      <w:lang w:val="zh-CN" w:bidi="zh-CN"/>
    </w:rPr>
  </w:style>
  <w:style w:type="paragraph" w:customStyle="1" w:styleId="99">
    <w:name w:val="样式 标题 1 + 黑体 三号 非加粗 居中 段前: 6 磅 段后: 6 磅 行距: 固定值 20 磅"/>
    <w:basedOn w:val="2"/>
    <w:autoRedefine/>
    <w:qFormat/>
    <w:uiPriority w:val="0"/>
    <w:pPr>
      <w:spacing w:before="120" w:after="120" w:line="400" w:lineRule="exact"/>
      <w:jc w:val="center"/>
    </w:pPr>
    <w:rPr>
      <w:rFonts w:ascii="黑体" w:hAnsi="黑体" w:eastAsia="黑体" w:cs="宋体"/>
      <w:b w:val="0"/>
      <w:bCs w:val="0"/>
      <w:sz w:val="32"/>
      <w:szCs w:val="20"/>
    </w:rPr>
  </w:style>
  <w:style w:type="paragraph" w:customStyle="1" w:styleId="100">
    <w:name w:val="表格文字"/>
    <w:basedOn w:val="1"/>
    <w:autoRedefine/>
    <w:qFormat/>
    <w:uiPriority w:val="0"/>
    <w:pPr>
      <w:adjustRightInd w:val="0"/>
      <w:spacing w:line="420" w:lineRule="atLeast"/>
      <w:jc w:val="left"/>
      <w:textAlignment w:val="baseline"/>
    </w:pPr>
    <w:rPr>
      <w:kern w:val="0"/>
      <w:szCs w:val="20"/>
    </w:rPr>
  </w:style>
  <w:style w:type="paragraph" w:customStyle="1" w:styleId="101">
    <w:name w:val="6'"/>
    <w:basedOn w:val="1"/>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02">
    <w:name w:val="样式 标题 3 + (中文) 黑体 小四 非加粗 段前: 7.8 磅 段后: 0 磅 行距: 固定值 20 磅"/>
    <w:basedOn w:val="4"/>
    <w:autoRedefine/>
    <w:qFormat/>
    <w:uiPriority w:val="0"/>
    <w:pPr>
      <w:spacing w:before="0" w:after="0" w:line="400" w:lineRule="exact"/>
    </w:pPr>
    <w:rPr>
      <w:rFonts w:eastAsia="黑体" w:cs="宋体"/>
      <w:b w:val="0"/>
      <w:bCs w:val="0"/>
      <w:sz w:val="24"/>
      <w:szCs w:val="20"/>
    </w:rPr>
  </w:style>
  <w:style w:type="paragraph" w:customStyle="1" w:styleId="103">
    <w:name w:val="样式 三级条文 + 段前: 0.5 行 段后: 0.5 行"/>
    <w:basedOn w:val="1"/>
    <w:autoRedefine/>
    <w:qFormat/>
    <w:uiPriority w:val="0"/>
    <w:pPr>
      <w:tabs>
        <w:tab w:val="left" w:pos="900"/>
      </w:tabs>
    </w:pPr>
  </w:style>
  <w:style w:type="character" w:customStyle="1" w:styleId="104">
    <w:name w:val="ok"/>
    <w:basedOn w:val="43"/>
    <w:autoRedefine/>
    <w:qFormat/>
    <w:uiPriority w:val="0"/>
    <w:rPr>
      <w:shd w:val="clear" w:color="auto" w:fill="000000"/>
    </w:rPr>
  </w:style>
  <w:style w:type="paragraph" w:customStyle="1" w:styleId="105">
    <w:name w:val="Other|1"/>
    <w:basedOn w:val="1"/>
    <w:autoRedefine/>
    <w:qFormat/>
    <w:uiPriority w:val="0"/>
    <w:pPr>
      <w:spacing w:line="480" w:lineRule="auto"/>
      <w:ind w:firstLine="400"/>
    </w:pPr>
    <w:rPr>
      <w:rFonts w:ascii="宋体" w:hAnsi="宋体" w:cs="宋体"/>
      <w:sz w:val="19"/>
      <w:szCs w:val="19"/>
      <w:lang w:val="zh-TW" w:eastAsia="zh-TW" w:bidi="zh-TW"/>
    </w:rPr>
  </w:style>
  <w:style w:type="paragraph" w:customStyle="1" w:styleId="106">
    <w:name w:val="Body text|1"/>
    <w:basedOn w:val="1"/>
    <w:autoRedefine/>
    <w:qFormat/>
    <w:uiPriority w:val="0"/>
    <w:pPr>
      <w:spacing w:line="480" w:lineRule="auto"/>
      <w:ind w:firstLine="400"/>
    </w:pPr>
    <w:rPr>
      <w:rFonts w:ascii="宋体" w:hAnsi="宋体" w:cs="宋体"/>
      <w:sz w:val="19"/>
      <w:szCs w:val="19"/>
      <w:lang w:val="zh-TW" w:eastAsia="zh-TW" w:bidi="zh-TW"/>
    </w:rPr>
  </w:style>
  <w:style w:type="paragraph" w:customStyle="1" w:styleId="107">
    <w:name w:val="Heading #1|1"/>
    <w:basedOn w:val="1"/>
    <w:autoRedefine/>
    <w:qFormat/>
    <w:uiPriority w:val="0"/>
    <w:pPr>
      <w:spacing w:before="580" w:after="150"/>
      <w:jc w:val="center"/>
      <w:outlineLvl w:val="0"/>
    </w:pPr>
    <w:rPr>
      <w:rFonts w:ascii="宋体" w:hAnsi="宋体" w:cs="宋体"/>
      <w:sz w:val="32"/>
      <w:szCs w:val="32"/>
      <w:lang w:val="zh-TW" w:eastAsia="zh-TW" w:bidi="zh-TW"/>
    </w:rPr>
  </w:style>
  <w:style w:type="paragraph" w:customStyle="1" w:styleId="108">
    <w:name w:val="Body text|2"/>
    <w:basedOn w:val="1"/>
    <w:autoRedefine/>
    <w:qFormat/>
    <w:uiPriority w:val="0"/>
    <w:pPr>
      <w:spacing w:after="120"/>
    </w:pPr>
    <w:rPr>
      <w:rFonts w:ascii="宋体" w:hAnsi="宋体" w:cs="宋体"/>
      <w:sz w:val="22"/>
      <w:szCs w:val="22"/>
      <w:lang w:val="zh-TW" w:eastAsia="zh-TW" w:bidi="zh-TW"/>
    </w:rPr>
  </w:style>
  <w:style w:type="paragraph" w:customStyle="1" w:styleId="109">
    <w:name w:val="Table caption|1"/>
    <w:basedOn w:val="1"/>
    <w:autoRedefine/>
    <w:qFormat/>
    <w:uiPriority w:val="0"/>
    <w:rPr>
      <w:rFonts w:ascii="宋体" w:hAnsi="宋体" w:cs="宋体"/>
      <w:sz w:val="19"/>
      <w:szCs w:val="19"/>
      <w:lang w:val="zh-TW" w:eastAsia="zh-TW" w:bidi="zh-TW"/>
    </w:rPr>
  </w:style>
  <w:style w:type="paragraph" w:customStyle="1" w:styleId="110">
    <w:name w:val="正文_8"/>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1">
    <w:name w:val="正文_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2">
    <w:name w:val="列表段落1"/>
    <w:basedOn w:val="1"/>
    <w:autoRedefine/>
    <w:qFormat/>
    <w:uiPriority w:val="34"/>
    <w:pPr>
      <w:ind w:firstLine="420" w:firstLineChars="200"/>
    </w:pPr>
    <w:rPr>
      <w:szCs w:val="22"/>
    </w:rPr>
  </w:style>
  <w:style w:type="character" w:customStyle="1" w:styleId="113">
    <w:name w:val="NormalCharacter"/>
    <w:autoRedefine/>
    <w:qFormat/>
    <w:uiPriority w:val="0"/>
    <w:rPr>
      <w:kern w:val="2"/>
      <w:sz w:val="21"/>
      <w:szCs w:val="24"/>
      <w:lang w:val="en-US" w:eastAsia="zh-CN" w:bidi="ar-SA"/>
    </w:rPr>
  </w:style>
  <w:style w:type="paragraph" w:customStyle="1" w:styleId="114">
    <w:name w:val="_Style 109"/>
    <w:basedOn w:val="1"/>
    <w:next w:val="1"/>
    <w:autoRedefine/>
    <w:qFormat/>
    <w:uiPriority w:val="0"/>
    <w:pPr>
      <w:pBdr>
        <w:bottom w:val="single" w:color="auto" w:sz="6" w:space="1"/>
      </w:pBdr>
      <w:jc w:val="center"/>
    </w:pPr>
    <w:rPr>
      <w:rFonts w:ascii="Arial" w:eastAsia="宋体"/>
      <w:vanish/>
      <w:sz w:val="16"/>
    </w:rPr>
  </w:style>
  <w:style w:type="paragraph" w:customStyle="1" w:styleId="115">
    <w:name w:val="_Style 110"/>
    <w:basedOn w:val="1"/>
    <w:next w:val="1"/>
    <w:autoRedefine/>
    <w:qFormat/>
    <w:uiPriority w:val="0"/>
    <w:pPr>
      <w:pBdr>
        <w:top w:val="single" w:color="auto" w:sz="6" w:space="1"/>
      </w:pBdr>
      <w:jc w:val="center"/>
    </w:pPr>
    <w:rPr>
      <w:rFonts w:ascii="Arial" w:eastAsia="宋体"/>
      <w:vanish/>
      <w:sz w:val="16"/>
    </w:rPr>
  </w:style>
  <w:style w:type="paragraph" w:customStyle="1" w:styleId="116">
    <w:name w:val="msolistparagraph"/>
    <w:basedOn w:val="1"/>
    <w:autoRedefine/>
    <w:qFormat/>
    <w:uiPriority w:val="0"/>
    <w:pPr>
      <w:ind w:firstLine="420" w:firstLineChars="200"/>
    </w:pPr>
    <w:rPr>
      <w:rFonts w:ascii="Times New Roman" w:hAnsi="Times New Roman" w:eastAsia="宋体" w:cs="Times New Roman"/>
      <w:szCs w:val="24"/>
    </w:rPr>
  </w:style>
  <w:style w:type="character" w:customStyle="1" w:styleId="117">
    <w:name w:val="*正文 Char Char"/>
    <w:basedOn w:val="43"/>
    <w:autoRedefine/>
    <w:qFormat/>
    <w:uiPriority w:val="0"/>
    <w:rPr>
      <w:rFonts w:hint="eastAsia" w:ascii="微软雅黑" w:hAnsi="微软雅黑" w:eastAsia="微软雅黑" w:cs="微软雅黑"/>
      <w:kern w:val="2"/>
      <w:sz w:val="21"/>
      <w:szCs w:val="24"/>
    </w:rPr>
  </w:style>
  <w:style w:type="character" w:customStyle="1" w:styleId="118">
    <w:name w:val="正文文本 字符1"/>
    <w:basedOn w:val="43"/>
    <w:link w:val="16"/>
    <w:autoRedefine/>
    <w:qFormat/>
    <w:uiPriority w:val="0"/>
    <w:rPr>
      <w:kern w:val="2"/>
      <w:sz w:val="21"/>
      <w:szCs w:val="24"/>
    </w:rPr>
  </w:style>
  <w:style w:type="character" w:customStyle="1" w:styleId="119">
    <w:name w:val="标题 5 字符"/>
    <w:basedOn w:val="43"/>
    <w:link w:val="6"/>
    <w:autoRedefine/>
    <w:qFormat/>
    <w:uiPriority w:val="0"/>
    <w:rPr>
      <w:b/>
      <w:kern w:val="2"/>
      <w:sz w:val="28"/>
      <w:szCs w:val="28"/>
    </w:rPr>
  </w:style>
  <w:style w:type="character" w:customStyle="1" w:styleId="120">
    <w:name w:val="16"/>
    <w:basedOn w:val="43"/>
    <w:autoRedefine/>
    <w:qFormat/>
    <w:uiPriority w:val="0"/>
    <w:rPr>
      <w:rFonts w:hint="default" w:ascii="Times New Roman" w:hAnsi="Times New Roman" w:cs="Times New Roman"/>
      <w:b/>
    </w:rPr>
  </w:style>
  <w:style w:type="character" w:customStyle="1" w:styleId="121">
    <w:name w:val="页眉 字符1"/>
    <w:basedOn w:val="43"/>
    <w:autoRedefine/>
    <w:qFormat/>
    <w:uiPriority w:val="0"/>
    <w:rPr>
      <w:kern w:val="2"/>
      <w:sz w:val="18"/>
      <w:szCs w:val="18"/>
    </w:rPr>
  </w:style>
  <w:style w:type="character" w:customStyle="1" w:styleId="122">
    <w:name w:val="正文文本 2 字符1"/>
    <w:basedOn w:val="43"/>
    <w:autoRedefine/>
    <w:qFormat/>
    <w:uiPriority w:val="0"/>
    <w:rPr>
      <w:kern w:val="2"/>
      <w:sz w:val="21"/>
      <w:szCs w:val="24"/>
    </w:rPr>
  </w:style>
  <w:style w:type="character" w:customStyle="1" w:styleId="123">
    <w:name w:val="标题 2 New Char"/>
    <w:basedOn w:val="43"/>
    <w:autoRedefine/>
    <w:qFormat/>
    <w:uiPriority w:val="0"/>
    <w:rPr>
      <w:rFonts w:hint="default" w:ascii="Arial" w:hAnsi="Arial" w:eastAsia="黑体" w:cs="Arial"/>
      <w:b/>
      <w:sz w:val="32"/>
    </w:rPr>
  </w:style>
  <w:style w:type="character" w:customStyle="1" w:styleId="124">
    <w:name w:val="样式 (西文) 华文细黑 (中文) 华文细黑 小四"/>
    <w:basedOn w:val="43"/>
    <w:autoRedefine/>
    <w:qFormat/>
    <w:uiPriority w:val="0"/>
    <w:rPr>
      <w:rFonts w:hint="eastAsia" w:ascii="华文细黑" w:hAnsi="华文细黑" w:eastAsia="宋体" w:cs="华文细黑"/>
      <w:sz w:val="24"/>
    </w:rPr>
  </w:style>
  <w:style w:type="character" w:customStyle="1" w:styleId="125">
    <w:name w:val="15"/>
    <w:basedOn w:val="43"/>
    <w:autoRedefine/>
    <w:qFormat/>
    <w:uiPriority w:val="0"/>
    <w:rPr>
      <w:rFonts w:hint="default" w:ascii="Times New Roman" w:hAnsi="Times New Roman" w:cs="Times New Roman"/>
      <w:color w:val="0000FF"/>
      <w:u w:val="single"/>
    </w:rPr>
  </w:style>
  <w:style w:type="character" w:customStyle="1" w:styleId="126">
    <w:name w:val="纯文本 字符1"/>
    <w:basedOn w:val="43"/>
    <w:autoRedefine/>
    <w:qFormat/>
    <w:uiPriority w:val="0"/>
    <w:rPr>
      <w:rFonts w:ascii="等线" w:hAnsi="Courier New" w:eastAsia="等线" w:cs="Courier New"/>
      <w:kern w:val="2"/>
      <w:sz w:val="21"/>
      <w:szCs w:val="24"/>
    </w:rPr>
  </w:style>
  <w:style w:type="character" w:customStyle="1" w:styleId="127">
    <w:name w:val="文档结构图 字符1"/>
    <w:basedOn w:val="43"/>
    <w:autoRedefine/>
    <w:qFormat/>
    <w:uiPriority w:val="0"/>
    <w:rPr>
      <w:rFonts w:hint="eastAsia" w:ascii="Microsoft YaHei UI" w:hAnsi="Microsoft YaHei UI" w:eastAsia="Microsoft YaHei UI" w:cs="Microsoft YaHei UI"/>
      <w:kern w:val="2"/>
      <w:sz w:val="18"/>
      <w:szCs w:val="18"/>
    </w:rPr>
  </w:style>
  <w:style w:type="character" w:customStyle="1" w:styleId="128">
    <w:name w:val="样式 标书正文 + 下划线 Char Char"/>
    <w:autoRedefine/>
    <w:qFormat/>
    <w:uiPriority w:val="0"/>
    <w:rPr>
      <w:rFonts w:ascii="Times New Roman" w:hAnsi="Times New Roman" w:eastAsia="楷体_GB2312" w:cs="Times New Roman"/>
      <w:kern w:val="2"/>
      <w:sz w:val="28"/>
      <w:u w:val="single"/>
      <w:lang w:val="en-US" w:eastAsia="zh-CN"/>
    </w:rPr>
  </w:style>
  <w:style w:type="paragraph" w:customStyle="1" w:styleId="129">
    <w:name w:val="正文_3_0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0">
    <w:name w:val="正文_2_1"/>
    <w:autoRedefine/>
    <w:qFormat/>
    <w:uiPriority w:val="0"/>
    <w:pPr>
      <w:widowControl w:val="0"/>
      <w:jc w:val="both"/>
    </w:pPr>
    <w:rPr>
      <w:rFonts w:ascii="Times New Roman" w:hAnsi="Times New Roman" w:eastAsia="宋体" w:cs="Times New Roman"/>
      <w:lang w:val="en-US" w:eastAsia="zh-CN" w:bidi="ar-SA"/>
    </w:rPr>
  </w:style>
  <w:style w:type="paragraph" w:styleId="131">
    <w:name w:val="List Paragraph"/>
    <w:basedOn w:val="1"/>
    <w:autoRedefine/>
    <w:unhideWhenUsed/>
    <w:qFormat/>
    <w:uiPriority w:val="99"/>
    <w:pPr>
      <w:ind w:firstLine="420" w:firstLineChars="200"/>
    </w:pPr>
  </w:style>
  <w:style w:type="character" w:customStyle="1" w:styleId="132">
    <w:name w:val="标题 Char"/>
    <w:basedOn w:val="43"/>
    <w:link w:val="38"/>
    <w:autoRedefine/>
    <w:qFormat/>
    <w:uiPriority w:val="1"/>
    <w:rPr>
      <w:rFonts w:ascii="Cambria" w:hAnsi="Cambria"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142</Pages>
  <Words>12818</Words>
  <Characters>73064</Characters>
  <Lines>608</Lines>
  <Paragraphs>171</Paragraphs>
  <TotalTime>0</TotalTime>
  <ScaleCrop>false</ScaleCrop>
  <LinksUpToDate>false</LinksUpToDate>
  <CharactersWithSpaces>85711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2022-11-08T12:03:00Z</dcterms:created>
  <dc:creator>NTKO</dc:creator>
  <cp:lastModifiedBy>为你</cp:lastModifiedBy>
  <dcterms:modified xsi:type="dcterms:W3CDTF">2024-03-25T05:27:22Z</dcterms:modified>
  <cp:revision>311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68C357F7432F4409ABEB5AD6FB1CD70B_13</vt:lpwstr>
  </property>
</Properties>
</file>