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
        <w:gridCol w:w="1231"/>
        <w:gridCol w:w="5217"/>
        <w:gridCol w:w="546"/>
        <w:gridCol w:w="484"/>
        <w:gridCol w:w="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28" w:type="pct"/>
            <w:noWrap w:val="0"/>
            <w:vAlign w:val="center"/>
          </w:tcPr>
          <w:p>
            <w:pPr>
              <w:widowControl/>
              <w:spacing w:line="360" w:lineRule="auto"/>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序号</w:t>
            </w:r>
          </w:p>
        </w:tc>
        <w:tc>
          <w:tcPr>
            <w:tcW w:w="722" w:type="pct"/>
            <w:noWrap w:val="0"/>
            <w:vAlign w:val="center"/>
          </w:tcPr>
          <w:p>
            <w:pPr>
              <w:widowControl/>
              <w:spacing w:line="360" w:lineRule="auto"/>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产品名称</w:t>
            </w:r>
          </w:p>
        </w:tc>
        <w:tc>
          <w:tcPr>
            <w:tcW w:w="3059" w:type="pct"/>
            <w:noWrap w:val="0"/>
            <w:vAlign w:val="center"/>
          </w:tcPr>
          <w:p>
            <w:pPr>
              <w:widowControl/>
              <w:spacing w:line="360" w:lineRule="auto"/>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招标参数</w:t>
            </w:r>
          </w:p>
        </w:tc>
        <w:tc>
          <w:tcPr>
            <w:tcW w:w="320" w:type="pct"/>
            <w:noWrap w:val="0"/>
            <w:vAlign w:val="center"/>
          </w:tcPr>
          <w:p>
            <w:pPr>
              <w:widowControl/>
              <w:spacing w:line="360" w:lineRule="auto"/>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数量</w:t>
            </w:r>
          </w:p>
        </w:tc>
        <w:tc>
          <w:tcPr>
            <w:tcW w:w="284" w:type="pct"/>
            <w:noWrap w:val="0"/>
            <w:vAlign w:val="center"/>
          </w:tcPr>
          <w:p>
            <w:pPr>
              <w:widowControl/>
              <w:spacing w:line="360" w:lineRule="auto"/>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单位</w:t>
            </w:r>
          </w:p>
        </w:tc>
        <w:tc>
          <w:tcPr>
            <w:tcW w:w="284" w:type="pct"/>
            <w:noWrap w:val="0"/>
            <w:vAlign w:val="top"/>
          </w:tcPr>
          <w:p>
            <w:pPr>
              <w:widowControl/>
              <w:spacing w:line="360" w:lineRule="auto"/>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28" w:type="pct"/>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22" w:type="pct"/>
            <w:noWrap w:val="0"/>
            <w:vAlign w:val="center"/>
          </w:tcPr>
          <w:p>
            <w:pPr>
              <w:widowControl/>
              <w:spacing w:line="360" w:lineRule="auto"/>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应用软件</w:t>
            </w:r>
          </w:p>
        </w:tc>
        <w:tc>
          <w:tcPr>
            <w:tcW w:w="3059" w:type="pct"/>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20" w:type="pct"/>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84" w:type="pct"/>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84" w:type="pct"/>
            <w:noWrap w:val="0"/>
            <w:vAlign w:val="top"/>
          </w:tcPr>
          <w:p>
            <w:pPr>
              <w:widowControl/>
              <w:spacing w:line="360" w:lineRule="auto"/>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28" w:type="pct"/>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1.1 </w:t>
            </w:r>
          </w:p>
        </w:tc>
        <w:tc>
          <w:tcPr>
            <w:tcW w:w="722" w:type="pct"/>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智慧审委会</w:t>
            </w:r>
          </w:p>
        </w:tc>
        <w:tc>
          <w:tcPr>
            <w:tcW w:w="3059" w:type="pct"/>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需满足以下参数要求：</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系统功能主要有首页、我的议题、议题审批、会议管理、会议审批、会议讨论、笔录制作、议题查询。</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首页需支持：在会前和会中，院长及委员的主要工作为参会及审批议题、会议；秘书主要工作为登记会议、控制会议；在会后，关注审委会的统计情况。支持主要角色登录系统后能直观的处理待办事项、了解待办日程、并动态查看近期审委会的召开情况等。</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我的议题：需支持案件承办人/文件议题申请人在登录系统后申请议题，申请议题时，支持制作议题的汇报材料，议题提交审批通过后，支持审委会会议上进行议题的汇报。除案件承办人外，支持其它有权限进行议题申请、议题申报。系统支持 “我的议题”有“进行中”和“已结束”两个状态。</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3、议题审批</w:t>
            </w:r>
            <w:r>
              <w:rPr>
                <w:rFonts w:hint="eastAsia" w:ascii="宋体" w:hAnsi="宋体" w:eastAsia="宋体" w:cs="宋体"/>
                <w:kern w:val="0"/>
                <w:sz w:val="21"/>
                <w:szCs w:val="21"/>
              </w:rPr>
              <w:br w:type="textWrapping"/>
            </w:r>
            <w:r>
              <w:rPr>
                <w:rFonts w:hint="eastAsia" w:ascii="宋体" w:hAnsi="宋体" w:eastAsia="宋体" w:cs="宋体"/>
                <w:kern w:val="0"/>
                <w:sz w:val="21"/>
                <w:szCs w:val="21"/>
              </w:rPr>
              <w:t>需支持有审批权限的领导可以对议题申请人提交的议题进行审批上会。</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4、会议管理</w:t>
            </w:r>
            <w:r>
              <w:rPr>
                <w:rFonts w:hint="eastAsia" w:ascii="宋体" w:hAnsi="宋体" w:eastAsia="宋体" w:cs="宋体"/>
                <w:kern w:val="0"/>
                <w:sz w:val="21"/>
                <w:szCs w:val="21"/>
              </w:rPr>
              <w:br w:type="textWrapping"/>
            </w:r>
            <w:r>
              <w:rPr>
                <w:rFonts w:hint="eastAsia" w:ascii="宋体" w:hAnsi="宋体" w:eastAsia="宋体" w:cs="宋体"/>
                <w:kern w:val="0"/>
                <w:sz w:val="21"/>
                <w:szCs w:val="21"/>
              </w:rPr>
              <w:t>需支持议题申请人编辑完议题信息后，制作汇报材料，然后报请上级进行审批。系统支持秘书的操作统一至“会议管理”，支持秘书登记会议、控制会议的开始和结束，并在会后对议题进行归档。支持给用户配置“会议管理”权限，可进入“会议管理”模块。</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5、会议审批</w:t>
            </w:r>
            <w:r>
              <w:rPr>
                <w:rFonts w:hint="eastAsia" w:ascii="宋体" w:hAnsi="宋体" w:eastAsia="宋体" w:cs="宋体"/>
                <w:kern w:val="0"/>
                <w:sz w:val="21"/>
                <w:szCs w:val="21"/>
              </w:rPr>
              <w:br w:type="textWrapping"/>
            </w:r>
            <w:r>
              <w:rPr>
                <w:rFonts w:hint="eastAsia" w:ascii="宋体" w:hAnsi="宋体" w:eastAsia="宋体" w:cs="宋体"/>
                <w:kern w:val="0"/>
                <w:sz w:val="21"/>
                <w:szCs w:val="21"/>
              </w:rPr>
              <w:t>需支持系统配置“会议审批”流程，具体可根据实际情况调整相关审批人，配置之后需经过领导审批才能正式召开会议。</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★6、会议讨论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会议安排成功后，支持委员在会前提前查阅会议材料。在相应的议题界面下，支持委员查看该议题的汇报材料、实体材料，并对照查看议题基本信息、电子卷宗、实时笔录，支持在自动推送的法律法规基础上进一步检索。需提供系统截图</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7、笔录制作</w:t>
            </w:r>
            <w:r>
              <w:rPr>
                <w:rFonts w:hint="eastAsia" w:ascii="宋体" w:hAnsi="宋体" w:eastAsia="宋体" w:cs="宋体"/>
                <w:kern w:val="0"/>
                <w:sz w:val="21"/>
                <w:szCs w:val="21"/>
              </w:rPr>
              <w:br w:type="textWrapping"/>
            </w:r>
            <w:r>
              <w:rPr>
                <w:rFonts w:hint="eastAsia" w:ascii="宋体" w:hAnsi="宋体" w:eastAsia="宋体" w:cs="宋体"/>
                <w:kern w:val="0"/>
                <w:sz w:val="21"/>
                <w:szCs w:val="21"/>
              </w:rPr>
              <w:t>需支持秘书安排会议时，选择记录人，记录人作为笔录制作人；未选择记录人，默认秘书未笔录记录人。而且笔录编辑区支持自动加载后台配置模板，并带入对应议题信息。支持同步查看基本信息、电子卷宗、法律法规及汇报材料，便于笔录制作人录入会上委员发言观点或相关证据，快速准确的完成笔录制作。支持实时保存笔录。</w:t>
            </w:r>
            <w:r>
              <w:rPr>
                <w:rFonts w:hint="eastAsia" w:ascii="宋体" w:hAnsi="宋体" w:eastAsia="宋体" w:cs="宋体"/>
                <w:kern w:val="0"/>
                <w:sz w:val="21"/>
                <w:szCs w:val="21"/>
              </w:rPr>
              <w:br w:type="textWrapping"/>
            </w:r>
            <w:r>
              <w:rPr>
                <w:rFonts w:hint="eastAsia" w:ascii="宋体" w:hAnsi="宋体" w:eastAsia="宋体" w:cs="宋体"/>
                <w:kern w:val="0"/>
                <w:sz w:val="21"/>
                <w:szCs w:val="21"/>
              </w:rPr>
              <w:t>★8、议题查询</w:t>
            </w:r>
            <w:r>
              <w:rPr>
                <w:rFonts w:hint="eastAsia" w:ascii="宋体" w:hAnsi="宋体" w:eastAsia="宋体" w:cs="宋体"/>
                <w:kern w:val="0"/>
                <w:sz w:val="21"/>
                <w:szCs w:val="21"/>
              </w:rPr>
              <w:br w:type="textWrapping"/>
            </w:r>
            <w:r>
              <w:rPr>
                <w:rFonts w:hint="eastAsia" w:ascii="宋体" w:hAnsi="宋体" w:eastAsia="宋体" w:cs="宋体"/>
                <w:kern w:val="0"/>
                <w:sz w:val="21"/>
                <w:szCs w:val="21"/>
              </w:rPr>
              <w:t>需支持系统用户可以在“议题查询”页面查看其有权限查看的全部议题信息，包括议题名称、案号及承办庭室、议题状态、上会事由、汇报部门、汇报人、会议名称、开始日期、结束日期、审委会决议以及议题详情。需提供系统截图</w:t>
            </w:r>
            <w:r>
              <w:rPr>
                <w:rFonts w:hint="eastAsia" w:ascii="宋体" w:hAnsi="宋体" w:eastAsia="宋体" w:cs="宋体"/>
                <w:kern w:val="0"/>
                <w:sz w:val="21"/>
                <w:szCs w:val="21"/>
              </w:rPr>
              <w:br w:type="textWrapping"/>
            </w:r>
            <w:r>
              <w:rPr>
                <w:rFonts w:hint="eastAsia" w:ascii="宋体" w:hAnsi="宋体" w:eastAsia="宋体" w:cs="宋体"/>
                <w:kern w:val="0"/>
                <w:sz w:val="21"/>
                <w:szCs w:val="21"/>
              </w:rPr>
              <w:t>★</w:t>
            </w:r>
            <w:r>
              <w:rPr>
                <w:rFonts w:hint="eastAsia" w:cs="宋体"/>
                <w:kern w:val="0"/>
                <w:sz w:val="21"/>
                <w:szCs w:val="21"/>
                <w:lang w:val="en-US" w:eastAsia="zh-CN"/>
              </w:rPr>
              <w:t>9、</w:t>
            </w:r>
            <w:r>
              <w:rPr>
                <w:rFonts w:hint="eastAsia" w:ascii="宋体" w:hAnsi="宋体" w:eastAsia="宋体" w:cs="宋体"/>
                <w:kern w:val="0"/>
                <w:sz w:val="21"/>
                <w:szCs w:val="21"/>
              </w:rPr>
              <w:t>为了确保委员、秘书等人员可以同步查看案件数据信息，保证系统的便利性和可用性，投标人需承诺所提供的智慧审委会与法院内现有审判流程管理系统可实现无缝对接，实现案件信息的共享。投标人需在投标文件中提供对接承诺函，并承担对接所需要的开发、测试等相关费用。若在交付期内无法实现无缝对接，招标人有权对其追究相关责任，并拉入政府采购黑名单。</w:t>
            </w:r>
          </w:p>
        </w:tc>
        <w:tc>
          <w:tcPr>
            <w:tcW w:w="320" w:type="pct"/>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1 </w:t>
            </w:r>
          </w:p>
        </w:tc>
        <w:tc>
          <w:tcPr>
            <w:tcW w:w="284" w:type="pct"/>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284" w:type="pct"/>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trPr>
        <w:tc>
          <w:tcPr>
            <w:tcW w:w="328" w:type="pct"/>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1.2 </w:t>
            </w:r>
          </w:p>
        </w:tc>
        <w:tc>
          <w:tcPr>
            <w:tcW w:w="722" w:type="pct"/>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数据库</w:t>
            </w:r>
          </w:p>
        </w:tc>
        <w:tc>
          <w:tcPr>
            <w:tcW w:w="3059" w:type="pct"/>
            <w:noWrap w:val="0"/>
            <w:vAlign w:val="center"/>
          </w:tcPr>
          <w:p>
            <w:pPr>
              <w:widowControl/>
              <w:spacing w:line="360" w:lineRule="auto"/>
              <w:jc w:val="left"/>
              <w:rPr>
                <w:rFonts w:ascii="宋体" w:hAnsi="宋体" w:eastAsia="宋体" w:cs="宋体"/>
                <w:kern w:val="0"/>
                <w:sz w:val="21"/>
                <w:szCs w:val="21"/>
              </w:rPr>
            </w:pPr>
            <w:r>
              <w:rPr>
                <w:rFonts w:hint="eastAsia" w:ascii="宋体" w:hAnsi="宋体" w:eastAsia="宋体" w:cs="宋体"/>
                <w:kern w:val="0"/>
                <w:sz w:val="21"/>
                <w:szCs w:val="21"/>
              </w:rPr>
              <w:t>需满足以下功能参数：</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1、数据库需为国产数据库管理系统，产品需支持标准SQL语句，主要以</w:t>
            </w:r>
            <w:r>
              <w:rPr>
                <w:rFonts w:ascii="宋体" w:hAnsi="宋体" w:eastAsia="宋体" w:cs="宋体"/>
                <w:kern w:val="0"/>
                <w:sz w:val="21"/>
                <w:szCs w:val="21"/>
              </w:rPr>
              <w:t>OLTP类型业务系统应用，提供事务、子查询、多版本并行控制系统（MVCC）、数据完整性检查</w:t>
            </w:r>
            <w:r>
              <w:rPr>
                <w:rFonts w:hint="eastAsia" w:ascii="宋体" w:hAnsi="宋体" w:eastAsia="宋体" w:cs="宋体"/>
                <w:kern w:val="0"/>
                <w:sz w:val="21"/>
                <w:szCs w:val="21"/>
              </w:rPr>
              <w:t>等。</w:t>
            </w:r>
          </w:p>
          <w:p>
            <w:pPr>
              <w:widowControl/>
              <w:spacing w:line="360" w:lineRule="auto"/>
              <w:jc w:val="left"/>
              <w:rPr>
                <w:rFonts w:ascii="宋体" w:hAnsi="宋体" w:eastAsia="宋体" w:cs="宋体"/>
                <w:kern w:val="0"/>
                <w:sz w:val="21"/>
                <w:szCs w:val="21"/>
              </w:rPr>
            </w:pPr>
            <w:r>
              <w:rPr>
                <w:rFonts w:hint="eastAsia" w:ascii="宋体" w:hAnsi="宋体" w:eastAsia="宋体" w:cs="宋体"/>
                <w:kern w:val="0"/>
                <w:sz w:val="21"/>
                <w:szCs w:val="21"/>
              </w:rPr>
              <w:t>2、需支持提供标准ODBC、JDBC等数据访问接口，也支持提供</w:t>
            </w:r>
            <w:r>
              <w:rPr>
                <w:rFonts w:ascii="宋体" w:hAnsi="宋体" w:eastAsia="宋体" w:cs="宋体"/>
                <w:kern w:val="0"/>
                <w:sz w:val="21"/>
                <w:szCs w:val="21"/>
              </w:rPr>
              <w:t>Python、等语言的编程接口，通过编程接口可以扩展数据库功能</w:t>
            </w:r>
            <w:r>
              <w:rPr>
                <w:rFonts w:hint="eastAsia" w:ascii="宋体" w:hAnsi="宋体" w:eastAsia="宋体" w:cs="宋体"/>
                <w:kern w:val="0"/>
                <w:sz w:val="21"/>
                <w:szCs w:val="21"/>
              </w:rPr>
              <w:t>，</w:t>
            </w:r>
            <w:r>
              <w:rPr>
                <w:rFonts w:ascii="宋体" w:hAnsi="宋体" w:eastAsia="宋体" w:cs="宋体"/>
                <w:kern w:val="0"/>
                <w:sz w:val="21"/>
                <w:szCs w:val="21"/>
              </w:rPr>
              <w:t>满足业务发展需要</w:t>
            </w:r>
            <w:r>
              <w:rPr>
                <w:rFonts w:hint="eastAsia" w:ascii="宋体" w:hAnsi="宋体" w:eastAsia="宋体" w:cs="宋体"/>
                <w:kern w:val="0"/>
                <w:sz w:val="21"/>
                <w:szCs w:val="21"/>
              </w:rPr>
              <w:t>。</w:t>
            </w:r>
            <w:r>
              <w:rPr>
                <w:rFonts w:hint="eastAsia" w:ascii="宋体" w:hAnsi="宋体" w:eastAsia="宋体" w:cs="宋体"/>
                <w:kern w:val="0"/>
                <w:sz w:val="21"/>
                <w:szCs w:val="21"/>
              </w:rPr>
              <w:br w:type="textWrapping"/>
            </w:r>
            <w:r>
              <w:rPr>
                <w:rFonts w:ascii="宋体" w:hAnsi="宋体" w:eastAsia="宋体" w:cs="宋体"/>
                <w:kern w:val="0"/>
                <w:sz w:val="21"/>
                <w:szCs w:val="21"/>
              </w:rPr>
              <w:t>3</w:t>
            </w:r>
            <w:r>
              <w:rPr>
                <w:rFonts w:hint="eastAsia" w:ascii="宋体" w:hAnsi="宋体" w:eastAsia="宋体" w:cs="宋体"/>
                <w:kern w:val="0"/>
                <w:sz w:val="21"/>
                <w:szCs w:val="21"/>
              </w:rPr>
              <w:t>、产品需满足提供数据库的业务建模、数据库开发、数据库运维管理等数据应用全过程的工具，可靠的支撑应用业务系统平台的建立，可以让业务系统整合、数据迁移、数据安全保障等工程工作更加有效率。</w:t>
            </w:r>
          </w:p>
          <w:p>
            <w:pPr>
              <w:widowControl/>
              <w:spacing w:line="360" w:lineRule="auto"/>
              <w:jc w:val="left"/>
              <w:rPr>
                <w:rFonts w:hint="eastAsia" w:ascii="宋体" w:hAnsi="宋体" w:eastAsia="宋体" w:cs="宋体"/>
                <w:kern w:val="0"/>
                <w:sz w:val="21"/>
                <w:szCs w:val="21"/>
              </w:rPr>
            </w:pPr>
            <w:r>
              <w:rPr>
                <w:rFonts w:ascii="宋体" w:hAnsi="宋体" w:eastAsia="宋体" w:cs="宋体"/>
                <w:kern w:val="0"/>
                <w:sz w:val="21"/>
                <w:szCs w:val="21"/>
              </w:rPr>
              <w:t>4</w:t>
            </w:r>
            <w:r>
              <w:rPr>
                <w:rFonts w:hint="eastAsia" w:ascii="宋体" w:hAnsi="宋体" w:eastAsia="宋体" w:cs="宋体"/>
                <w:kern w:val="0"/>
                <w:sz w:val="21"/>
                <w:szCs w:val="21"/>
              </w:rPr>
              <w:t>、需支持表分区、逻辑备份、基于时间点还原、网络计算、流复制、云部署等功能。</w:t>
            </w:r>
          </w:p>
        </w:tc>
        <w:tc>
          <w:tcPr>
            <w:tcW w:w="320" w:type="pct"/>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1 </w:t>
            </w:r>
          </w:p>
        </w:tc>
        <w:tc>
          <w:tcPr>
            <w:tcW w:w="284" w:type="pct"/>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284" w:type="pct"/>
            <w:noWrap w:val="0"/>
            <w:vAlign w:val="center"/>
          </w:tcPr>
          <w:p>
            <w:pPr>
              <w:widowControl/>
              <w:spacing w:line="360" w:lineRule="auto"/>
              <w:jc w:val="center"/>
              <w:rPr>
                <w:rFonts w:hint="eastAsia" w:ascii="宋体" w:hAnsi="宋体" w:eastAsia="宋体" w:cs="宋体"/>
                <w:kern w:val="0"/>
                <w:sz w:val="21"/>
                <w:szCs w:val="21"/>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7F0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无间隔1"/>
    <w:basedOn w:val="1"/>
    <w:next w:val="3"/>
    <w:qFormat/>
    <w:uiPriority w:val="1"/>
    <w:pPr>
      <w:spacing w:line="400" w:lineRule="exact"/>
    </w:pPr>
    <w:rPr>
      <w:sz w:val="24"/>
    </w:rPr>
  </w:style>
  <w:style w:type="paragraph" w:styleId="3">
    <w:name w:val="caption"/>
    <w:basedOn w:val="1"/>
    <w:next w:val="1"/>
    <w:qFormat/>
    <w:uiPriority w:val="0"/>
    <w:rPr>
      <w:rFonts w:ascii="Cambria" w:hAnsi="Cambria" w:eastAsia="黑体"/>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2022-04-14T11:23:32Z</dcterms:created>
  <dc:creator>Administrator</dc:creator>
  <cp:lastModifiedBy>刘冰</cp:lastModifiedBy>
  <dcterms:modified xsi:type="dcterms:W3CDTF">2022-04-14T11:23:44Z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6BA32273D9064E97AB4608229820CBD3</vt:lpwstr>
  </property>
</Properties>
</file>