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4C1109">
      <w:pPr>
        <w:pStyle w:val="3"/>
        <w:numPr>
          <w:ilvl w:val="0"/>
          <w:numId w:val="0"/>
        </w:numPr>
        <w:spacing w:before="120" w:after="120" w:line="400" w:lineRule="exact"/>
        <w:ind w:left="0" w:leftChars="0" w:firstLine="402" w:firstLineChars="0"/>
        <w:jc w:val="center"/>
        <w:rPr>
          <w:rFonts w:hint="default" w:ascii="宋体" w:hAnsi="宋体" w:eastAsia="宋体" w:cs="宋体"/>
          <w:b/>
          <w:bCs/>
          <w:color w:val="auto"/>
          <w:sz w:val="32"/>
          <w:highlight w:val="none"/>
          <w:lang w:val="en-US" w:eastAsia="zh-CN"/>
        </w:rPr>
      </w:pPr>
      <w:bookmarkStart w:id="2" w:name="_GoBack"/>
      <w:bookmarkEnd w:id="2"/>
      <w:bookmarkStart w:id="0" w:name="_Toc12098"/>
      <w:bookmarkStart w:id="1" w:name="_Toc10412"/>
      <w:r>
        <w:rPr>
          <w:rFonts w:hint="eastAsia" w:ascii="宋体" w:hAnsi="宋体" w:eastAsia="宋体" w:cs="宋体"/>
          <w:b/>
          <w:bCs/>
          <w:color w:val="auto"/>
          <w:sz w:val="32"/>
          <w:highlight w:val="none"/>
          <w:lang w:val="en-US" w:eastAsia="zh-CN"/>
        </w:rPr>
        <w:t>采购需求</w:t>
      </w:r>
      <w:bookmarkEnd w:id="0"/>
      <w:bookmarkEnd w:id="1"/>
    </w:p>
    <w:p w14:paraId="02CA840A">
      <w:pPr>
        <w:keepNext w:val="0"/>
        <w:keepLines w:val="0"/>
        <w:pageBreakBefore w:val="0"/>
        <w:widowControl w:val="0"/>
        <w:numPr>
          <w:ilvl w:val="0"/>
          <w:numId w:val="0"/>
        </w:numPr>
        <w:tabs>
          <w:tab w:val="left" w:pos="426"/>
        </w:tabs>
        <w:kinsoku/>
        <w:wordWrap/>
        <w:overflowPunct/>
        <w:topLinePunct w:val="0"/>
        <w:autoSpaceDE/>
        <w:autoSpaceDN/>
        <w:bidi w:val="0"/>
        <w:adjustRightInd/>
        <w:snapToGrid w:val="0"/>
        <w:spacing w:line="360" w:lineRule="auto"/>
        <w:ind w:left="0" w:leftChars="0" w:firstLine="0" w:firstLineChars="0"/>
        <w:textAlignment w:val="auto"/>
        <w:rPr>
          <w:rFonts w:hint="eastAsia" w:ascii="宋体" w:hAnsi="宋体"/>
          <w:b/>
          <w:bCs/>
          <w:sz w:val="21"/>
          <w:szCs w:val="21"/>
        </w:rPr>
      </w:pPr>
      <w:r>
        <w:rPr>
          <w:rFonts w:hint="eastAsia" w:ascii="宋体" w:hAnsi="宋体"/>
          <w:b/>
          <w:bCs/>
          <w:kern w:val="2"/>
          <w:sz w:val="21"/>
          <w:szCs w:val="21"/>
          <w:lang w:val="en-US" w:eastAsia="zh-CN" w:bidi="ar-SA"/>
        </w:rPr>
        <w:t>一、</w:t>
      </w:r>
      <w:r>
        <w:rPr>
          <w:rFonts w:hint="eastAsia" w:ascii="宋体" w:hAnsi="宋体"/>
          <w:b/>
          <w:bCs/>
          <w:sz w:val="21"/>
          <w:szCs w:val="21"/>
        </w:rPr>
        <w:t>招标</w:t>
      </w:r>
      <w:r>
        <w:rPr>
          <w:rFonts w:hint="eastAsia" w:ascii="宋体" w:hAnsi="宋体"/>
          <w:b/>
          <w:bCs/>
          <w:sz w:val="21"/>
          <w:szCs w:val="21"/>
          <w:lang w:val="en-US" w:eastAsia="zh-CN"/>
        </w:rPr>
        <w:t>内容</w:t>
      </w:r>
    </w:p>
    <w:p w14:paraId="0ACCBDF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b w:val="0"/>
          <w:bCs/>
          <w:color w:val="auto"/>
          <w:sz w:val="21"/>
          <w:szCs w:val="21"/>
          <w:highlight w:val="none"/>
          <w:lang w:val="en-US" w:eastAsia="zh-CN"/>
        </w:rPr>
        <w:t>以单价的形式带量采购院内护理白板硬件，采购量共116台，按照实际采购数量每半年进行一次结算。我院现有护理白板设备每日开机使用时间长，需对原有产生问题的护理白板设备做相关评估，对于因配件等相关原因无法维修的屏幕进行采购换新，将换下的护理白板拆分为配件做维修使用。新的护理白板更换后可更好的实现病床状态、护理事项统计、术检排程、入出转改、特殊事项等功能，为全院病区护士工作提供有力支持，显著提升工作效率。</w:t>
      </w:r>
    </w:p>
    <w:p w14:paraId="1A8FEFF1">
      <w:pPr>
        <w:keepNext w:val="0"/>
        <w:keepLines w:val="0"/>
        <w:pageBreakBefore w:val="0"/>
        <w:widowControl w:val="0"/>
        <w:numPr>
          <w:ilvl w:val="0"/>
          <w:numId w:val="0"/>
        </w:numPr>
        <w:tabs>
          <w:tab w:val="left" w:pos="426"/>
        </w:tabs>
        <w:kinsoku/>
        <w:wordWrap/>
        <w:overflowPunct/>
        <w:topLinePunct w:val="0"/>
        <w:autoSpaceDE/>
        <w:autoSpaceDN/>
        <w:bidi w:val="0"/>
        <w:adjustRightInd/>
        <w:snapToGrid w:val="0"/>
        <w:spacing w:line="360" w:lineRule="auto"/>
        <w:ind w:left="0" w:leftChars="0" w:firstLine="0" w:firstLineChars="0"/>
        <w:textAlignment w:val="auto"/>
        <w:rPr>
          <w:rFonts w:hint="eastAsia" w:ascii="宋体" w:hAnsi="宋体" w:eastAsia="宋体" w:cs="Times New Roman"/>
          <w:b/>
          <w:bCs/>
          <w:sz w:val="21"/>
          <w:szCs w:val="21"/>
          <w:lang w:val="en-US" w:eastAsia="zh-CN"/>
        </w:rPr>
      </w:pPr>
      <w:r>
        <w:rPr>
          <w:rFonts w:hint="eastAsia" w:ascii="宋体" w:hAnsi="宋体" w:eastAsia="宋体" w:cs="Times New Roman"/>
          <w:b/>
          <w:bCs/>
          <w:kern w:val="2"/>
          <w:sz w:val="21"/>
          <w:szCs w:val="21"/>
          <w:lang w:val="en-US" w:eastAsia="zh-CN" w:bidi="ar-SA"/>
        </w:rPr>
        <w:t>二、</w:t>
      </w:r>
      <w:r>
        <w:rPr>
          <w:rFonts w:hint="eastAsia" w:ascii="宋体" w:hAnsi="宋体" w:eastAsia="宋体" w:cs="Times New Roman"/>
          <w:b/>
          <w:bCs/>
          <w:sz w:val="21"/>
          <w:szCs w:val="21"/>
          <w:lang w:val="en-US" w:eastAsia="zh-CN"/>
        </w:rPr>
        <w:t>技术要求</w:t>
      </w:r>
    </w:p>
    <w:p w14:paraId="79B102A5">
      <w:pPr>
        <w:numPr>
          <w:ilvl w:val="0"/>
          <w:numId w:val="0"/>
        </w:numPr>
        <w:snapToGrid w:val="0"/>
        <w:spacing w:line="360" w:lineRule="auto"/>
        <w:ind w:left="1144" w:leftChars="0" w:hanging="720" w:firstLineChars="0"/>
        <w:rPr>
          <w:rFonts w:hint="eastAsia" w:ascii="宋体" w:hAnsi="宋体" w:eastAsia="宋体" w:cs="宋体"/>
          <w:color w:val="000000"/>
          <w:sz w:val="21"/>
          <w:szCs w:val="21"/>
        </w:rPr>
      </w:pPr>
      <w:r>
        <w:rPr>
          <w:rFonts w:hint="default" w:ascii="宋体" w:hAnsi="宋体" w:eastAsia="宋体" w:cs="宋体"/>
          <w:color w:val="000000"/>
          <w:kern w:val="2"/>
          <w:sz w:val="21"/>
          <w:szCs w:val="21"/>
          <w:lang w:val="en-US" w:eastAsia="zh-CN" w:bidi="ar-SA"/>
        </w:rPr>
        <w:t>（一）</w:t>
      </w:r>
      <w:r>
        <w:rPr>
          <w:rFonts w:hint="eastAsia" w:ascii="宋体" w:hAnsi="宋体" w:eastAsia="宋体" w:cs="宋体"/>
          <w:color w:val="000000"/>
          <w:sz w:val="21"/>
          <w:szCs w:val="21"/>
        </w:rPr>
        <w:t>功能要求（注：应用服务功能至少达到以下列表中的要求）：</w:t>
      </w:r>
    </w:p>
    <w:p w14:paraId="2ABE1BD0">
      <w:pPr>
        <w:widowControl w:val="0"/>
        <w:kinsoku/>
        <w:autoSpaceDE/>
        <w:autoSpaceDN/>
        <w:adjustRightInd/>
        <w:snapToGrid/>
        <w:spacing w:line="360" w:lineRule="auto"/>
        <w:ind w:firstLine="420" w:firstLineChars="200"/>
        <w:textAlignment w:val="auto"/>
        <w:rPr>
          <w:rFonts w:hint="eastAsia"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lang w:eastAsia="zh-CN"/>
        </w:rPr>
        <w:t>（</w:t>
      </w:r>
      <w:r>
        <w:rPr>
          <w:rFonts w:hint="eastAsia" w:ascii="宋体" w:hAnsi="宋体" w:eastAsia="宋体" w:cs="宋体"/>
          <w:snapToGrid/>
          <w:color w:val="auto"/>
          <w:kern w:val="2"/>
          <w:sz w:val="21"/>
          <w:szCs w:val="21"/>
          <w:highlight w:val="none"/>
          <w:lang w:val="en-US" w:eastAsia="zh-CN"/>
        </w:rPr>
        <w:t>1</w:t>
      </w:r>
      <w:r>
        <w:rPr>
          <w:rFonts w:hint="eastAsia" w:ascii="宋体" w:hAnsi="宋体" w:eastAsia="宋体" w:cs="宋体"/>
          <w:snapToGrid/>
          <w:color w:val="auto"/>
          <w:kern w:val="2"/>
          <w:sz w:val="21"/>
          <w:szCs w:val="21"/>
          <w:highlight w:val="none"/>
          <w:lang w:eastAsia="zh-CN"/>
        </w:rPr>
        <w:t>）</w:t>
      </w:r>
      <w:r>
        <w:rPr>
          <w:rFonts w:hint="eastAsia" w:ascii="宋体" w:hAnsi="宋体" w:eastAsia="宋体" w:cs="宋体"/>
          <w:snapToGrid/>
          <w:color w:val="auto"/>
          <w:kern w:val="2"/>
          <w:sz w:val="21"/>
          <w:szCs w:val="21"/>
          <w:highlight w:val="none"/>
        </w:rPr>
        <w:t>技术要求</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4"/>
        <w:gridCol w:w="849"/>
        <w:gridCol w:w="4152"/>
        <w:gridCol w:w="1105"/>
        <w:gridCol w:w="1912"/>
      </w:tblGrid>
      <w:tr w14:paraId="180D0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53" w:type="dxa"/>
            <w:gridSpan w:val="2"/>
            <w:noWrap w:val="0"/>
            <w:vAlign w:val="center"/>
          </w:tcPr>
          <w:p w14:paraId="274CD82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设备名称</w:t>
            </w:r>
          </w:p>
        </w:tc>
        <w:tc>
          <w:tcPr>
            <w:tcW w:w="4152" w:type="dxa"/>
            <w:noWrap w:val="0"/>
            <w:vAlign w:val="center"/>
          </w:tcPr>
          <w:p w14:paraId="3AF8CD8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护理白板</w:t>
            </w:r>
          </w:p>
        </w:tc>
        <w:tc>
          <w:tcPr>
            <w:tcW w:w="1105" w:type="dxa"/>
            <w:noWrap w:val="0"/>
            <w:vAlign w:val="center"/>
          </w:tcPr>
          <w:p w14:paraId="6CA14E0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数量</w:t>
            </w:r>
          </w:p>
        </w:tc>
        <w:tc>
          <w:tcPr>
            <w:tcW w:w="1912" w:type="dxa"/>
            <w:noWrap w:val="0"/>
            <w:vAlign w:val="center"/>
          </w:tcPr>
          <w:p w14:paraId="0559A1B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116台</w:t>
            </w:r>
          </w:p>
        </w:tc>
      </w:tr>
      <w:tr w14:paraId="373F8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53" w:type="dxa"/>
            <w:gridSpan w:val="2"/>
            <w:noWrap w:val="0"/>
            <w:vAlign w:val="center"/>
          </w:tcPr>
          <w:p w14:paraId="69D5875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设备用途</w:t>
            </w:r>
          </w:p>
        </w:tc>
        <w:tc>
          <w:tcPr>
            <w:tcW w:w="7169" w:type="dxa"/>
            <w:gridSpan w:val="3"/>
            <w:noWrap w:val="0"/>
            <w:vAlign w:val="center"/>
          </w:tcPr>
          <w:p w14:paraId="32F166F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病区护士站白板使用</w:t>
            </w:r>
          </w:p>
        </w:tc>
      </w:tr>
      <w:tr w14:paraId="3040C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504" w:type="dxa"/>
            <w:vMerge w:val="restart"/>
            <w:noWrap w:val="0"/>
            <w:vAlign w:val="center"/>
          </w:tcPr>
          <w:p w14:paraId="57FC17DB">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硬</w:t>
            </w:r>
          </w:p>
          <w:p w14:paraId="3EC679CA">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件</w:t>
            </w:r>
          </w:p>
          <w:p w14:paraId="4D533E02">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技</w:t>
            </w:r>
          </w:p>
          <w:p w14:paraId="2A1F3E50">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术</w:t>
            </w:r>
          </w:p>
          <w:p w14:paraId="16698BB9">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参</w:t>
            </w:r>
          </w:p>
          <w:p w14:paraId="428E5210">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数</w:t>
            </w:r>
          </w:p>
        </w:tc>
        <w:tc>
          <w:tcPr>
            <w:tcW w:w="849" w:type="dxa"/>
            <w:noWrap w:val="0"/>
            <w:vAlign w:val="top"/>
          </w:tcPr>
          <w:p w14:paraId="327DF462">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序号</w:t>
            </w:r>
          </w:p>
        </w:tc>
        <w:tc>
          <w:tcPr>
            <w:tcW w:w="7169" w:type="dxa"/>
            <w:gridSpan w:val="3"/>
            <w:noWrap w:val="0"/>
            <w:vAlign w:val="top"/>
          </w:tcPr>
          <w:p w14:paraId="784E8925">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技术参数</w:t>
            </w:r>
          </w:p>
        </w:tc>
      </w:tr>
      <w:tr w14:paraId="5827C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504" w:type="dxa"/>
            <w:vMerge w:val="continue"/>
            <w:noWrap w:val="0"/>
            <w:vAlign w:val="center"/>
          </w:tcPr>
          <w:p w14:paraId="7BAA7CCA">
            <w:pPr>
              <w:spacing w:line="300" w:lineRule="auto"/>
              <w:jc w:val="center"/>
              <w:rPr>
                <w:rFonts w:hint="eastAsia" w:ascii="宋体" w:hAnsi="宋体" w:eastAsia="宋体" w:cs="宋体"/>
                <w:color w:val="auto"/>
                <w:sz w:val="21"/>
                <w:szCs w:val="21"/>
                <w:highlight w:val="none"/>
              </w:rPr>
            </w:pPr>
          </w:p>
        </w:tc>
        <w:tc>
          <w:tcPr>
            <w:tcW w:w="849" w:type="dxa"/>
            <w:noWrap w:val="0"/>
            <w:vAlign w:val="center"/>
          </w:tcPr>
          <w:p w14:paraId="78FA3DCE">
            <w:pPr>
              <w:spacing w:line="30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169" w:type="dxa"/>
            <w:gridSpan w:val="3"/>
            <w:noWrap w:val="0"/>
            <w:vAlign w:val="center"/>
          </w:tcPr>
          <w:p w14:paraId="350ED394">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一、显示屏</w:t>
            </w:r>
          </w:p>
          <w:p w14:paraId="46A60731">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1）尺寸≥55英寸，显示比例16:9；</w:t>
            </w:r>
          </w:p>
          <w:p w14:paraId="53453E94">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2）显示屏类型：LED液晶显示屏；分辨率≥3840×2160；3）屏幕亮度：≥350cd/㎡，使用寿命≥30000hrs；</w:t>
            </w:r>
          </w:p>
          <w:p w14:paraId="1D4AEB94">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4）★屏幕显示灰度分辨率等级达到128灰阶以上，最高可达256</w:t>
            </w:r>
            <w:r>
              <w:rPr>
                <w:rFonts w:hint="eastAsia"/>
                <w:lang w:val="en-US" w:eastAsia="zh-CN"/>
              </w:rPr>
              <w:t>灰阶</w:t>
            </w:r>
            <w:r>
              <w:rPr>
                <w:rFonts w:hint="eastAsia" w:ascii="宋体" w:hAnsi="宋体" w:eastAsia="宋体" w:cs="宋体"/>
                <w:b w:val="0"/>
                <w:bCs/>
                <w:color w:val="auto"/>
                <w:sz w:val="21"/>
                <w:szCs w:val="21"/>
                <w:highlight w:val="none"/>
                <w:lang w:val="en-US" w:eastAsia="zh-CN"/>
              </w:rPr>
              <w:t>（提供提供通过CMA或CNAS认可的检测机构出具的检测报告复印件）；</w:t>
            </w:r>
          </w:p>
          <w:p w14:paraId="78734129">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5）★整机面板表面具备防眩光涂层，在100k Lux的强光照射下，产品各项书写、触控功能正常，照射测试完成后，设备其它各项书写、触控正常；</w:t>
            </w:r>
          </w:p>
          <w:p w14:paraId="6159B0CE">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6）通过触控屏幕的方式，可在侧边栏调整屏幕亮度高低，并带数值显示；</w:t>
            </w:r>
          </w:p>
          <w:p w14:paraId="0B451D27">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7）产品短时间不使用或休息时可以一键关闭液晶屏背光，能有效降低功耗超过80%；</w:t>
            </w:r>
          </w:p>
          <w:p w14:paraId="1C49BA94">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sz w:val="21"/>
                <w:szCs w:val="21"/>
                <w:lang w:val="en-US" w:eastAsia="zh-CN"/>
              </w:rPr>
            </w:pPr>
            <w:r>
              <w:rPr>
                <w:rFonts w:hint="eastAsia" w:ascii="宋体" w:hAnsi="宋体" w:eastAsia="宋体" w:cs="宋体"/>
                <w:b w:val="0"/>
                <w:bCs/>
                <w:color w:val="auto"/>
                <w:sz w:val="21"/>
                <w:szCs w:val="21"/>
                <w:highlight w:val="none"/>
                <w:lang w:val="en-US" w:eastAsia="zh-CN"/>
              </w:rPr>
              <w:t>8）熄屏状态下支持触摸屏幕唤醒机器。</w:t>
            </w:r>
          </w:p>
        </w:tc>
      </w:tr>
      <w:tr w14:paraId="7CA21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504" w:type="dxa"/>
            <w:vMerge w:val="continue"/>
            <w:noWrap w:val="0"/>
            <w:vAlign w:val="center"/>
          </w:tcPr>
          <w:p w14:paraId="7FD30206">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b w:val="0"/>
                <w:bCs/>
                <w:color w:val="auto"/>
                <w:sz w:val="21"/>
                <w:szCs w:val="21"/>
                <w:highlight w:val="none"/>
                <w:lang w:val="en-US" w:eastAsia="zh-CN"/>
              </w:rPr>
            </w:pPr>
          </w:p>
        </w:tc>
        <w:tc>
          <w:tcPr>
            <w:tcW w:w="849" w:type="dxa"/>
            <w:noWrap w:val="0"/>
            <w:vAlign w:val="center"/>
          </w:tcPr>
          <w:p w14:paraId="21339CA1">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w:t>
            </w:r>
          </w:p>
        </w:tc>
        <w:tc>
          <w:tcPr>
            <w:tcW w:w="7169" w:type="dxa"/>
            <w:gridSpan w:val="3"/>
            <w:noWrap w:val="0"/>
            <w:vAlign w:val="center"/>
          </w:tcPr>
          <w:p w14:paraId="24E3A8EC">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二、整机参数</w:t>
            </w:r>
          </w:p>
          <w:p w14:paraId="0904BCE4">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整机内置无线Wi-Fi模组，无外置显露天线，保证使用安全。双Wi-Fi设定，一路作为Wi-Fi连接网络，另一路作为热点投屏。共模双频，双Wi-Fi均支持2.4G/5.8G双频段（提供通过CMA或CNAS认可的检测机构出具的检测报告复印件）；</w:t>
            </w:r>
          </w:p>
          <w:p w14:paraId="617E8CFF">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2）四等边框设计，整机正面无任何外部接口，保证产品正面的简洁性，（提供产品外观图片）；</w:t>
            </w:r>
          </w:p>
          <w:p w14:paraId="6D9FE28B">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3）采用一体化设计，支持一键开机，除电源线外，外部无任何内部功能模块的连接线；</w:t>
            </w:r>
          </w:p>
          <w:p w14:paraId="2BDB5203">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4）宽幅电压设计，自适用全球，确保电压不稳定区域安全使用；</w:t>
            </w:r>
          </w:p>
          <w:p w14:paraId="5A6414C4">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5）★产品符合4级冲击抗干扰要求，符合GB/T 17626.2-2018防静电干扰要求，符合GB/T 9254.1-2021  防辐射B级要求，设备外壳金属表面防腐蚀，整机具备防火功能（提供通过CMA或CNAS认可的检测机构出具的检测报告复印件）；</w:t>
            </w:r>
          </w:p>
          <w:p w14:paraId="36B42A06">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sz w:val="21"/>
                <w:szCs w:val="21"/>
                <w:lang w:val="en-US" w:eastAsia="zh-CN"/>
              </w:rPr>
            </w:pPr>
            <w:r>
              <w:rPr>
                <w:rFonts w:hint="eastAsia" w:ascii="宋体" w:hAnsi="宋体" w:eastAsia="宋体" w:cs="宋体"/>
                <w:b w:val="0"/>
                <w:bCs/>
                <w:color w:val="auto"/>
                <w:sz w:val="21"/>
                <w:szCs w:val="21"/>
                <w:highlight w:val="none"/>
                <w:lang w:val="en-US" w:eastAsia="zh-CN"/>
              </w:rPr>
              <w:t>6）个性化设置，可根据需求自定义开机画面，可自定义开机信源，满足个性化场景需求；</w:t>
            </w:r>
          </w:p>
          <w:p w14:paraId="3D74026F">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7）★支持网络共享，通过一根网线连接到整机，可以实现Android系统和Windows系统都上网（提供通过CMA或CNAS认可的检测机构出具的检测报告复印件）；</w:t>
            </w:r>
          </w:p>
          <w:p w14:paraId="7091615B">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8）双网口设计，支持网络桥接功能，可以为下一级设备提供网络，在高保密场合无需外接其他网络设备（提供通过CMA或CNAS认可的检测机构出具的检测报告复印件）；</w:t>
            </w:r>
          </w:p>
          <w:p w14:paraId="6FECCFB3">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9)★可搭配智能笔使用，智能笔可实现单击、鼠标移动、翻页、切换PPT播放与退出、调用麦克风实现语音输入文字、一键批注、聚光灯功能（提供通过CMA或CNAS认可的检测机构出具的检测报告复印件）；</w:t>
            </w:r>
          </w:p>
          <w:p w14:paraId="6B741019">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10）★支持集控功能，可通过后台对多台机器远程进行语言切换、触摸控制、背景更改、开机LOGO更改、开机信源更改、信息发布、软件安装、系统升级、开机、关机、锁屏、定时开关机等功能操作；具备报表管理功能，数据报表用于统计各个设备的开机次数、开机时长和应用使用频率。统计到的基础信息可通过柱状图、折线图或列表形式显示，同时具备趋势评估和统计数据汇总功能（提供通过CMA或CNAS认可的检测机构出具的检测报告复印件）。</w:t>
            </w:r>
          </w:p>
        </w:tc>
      </w:tr>
      <w:tr w14:paraId="519C6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504" w:type="dxa"/>
            <w:vMerge w:val="continue"/>
            <w:noWrap w:val="0"/>
            <w:vAlign w:val="center"/>
          </w:tcPr>
          <w:p w14:paraId="475AF934">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b w:val="0"/>
                <w:bCs/>
                <w:color w:val="auto"/>
                <w:sz w:val="21"/>
                <w:szCs w:val="21"/>
                <w:highlight w:val="none"/>
                <w:lang w:val="en-US" w:eastAsia="zh-CN"/>
              </w:rPr>
            </w:pPr>
          </w:p>
        </w:tc>
        <w:tc>
          <w:tcPr>
            <w:tcW w:w="849" w:type="dxa"/>
            <w:noWrap w:val="0"/>
            <w:vAlign w:val="center"/>
          </w:tcPr>
          <w:p w14:paraId="0388BC95">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3</w:t>
            </w:r>
          </w:p>
        </w:tc>
        <w:tc>
          <w:tcPr>
            <w:tcW w:w="7169" w:type="dxa"/>
            <w:gridSpan w:val="3"/>
            <w:noWrap w:val="0"/>
            <w:vAlign w:val="center"/>
          </w:tcPr>
          <w:p w14:paraId="4F02578D">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三、触摸参数</w:t>
            </w:r>
          </w:p>
          <w:p w14:paraId="6CFD7401">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1）采用高精度20点红外触控技术，书写方式：手指或笔等不透光的物体；免驱动，免校正红外技术，即插即用；</w:t>
            </w:r>
          </w:p>
          <w:p w14:paraId="6F7C6D26">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2）★触摸响应时间≤8ms，90%以上触摸区域精度为±1mm，触摸有效识别高度≤2mm（提供通过CMA或CNAS认可的检测机构出具的检测报告复印件）；</w:t>
            </w:r>
          </w:p>
          <w:p w14:paraId="754FFDF0">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3）触摸禁用：支持关闭触摸功能，满足各种宣传展示功能（提供通过CMA或CNAS认可的检测机构出具的检测报告复印件）。</w:t>
            </w:r>
          </w:p>
        </w:tc>
      </w:tr>
      <w:tr w14:paraId="73899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504" w:type="dxa"/>
            <w:vMerge w:val="continue"/>
            <w:noWrap w:val="0"/>
            <w:vAlign w:val="center"/>
          </w:tcPr>
          <w:p w14:paraId="22234718">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b w:val="0"/>
                <w:bCs/>
                <w:color w:val="auto"/>
                <w:sz w:val="21"/>
                <w:szCs w:val="21"/>
                <w:highlight w:val="none"/>
                <w:lang w:val="en-US" w:eastAsia="zh-CN"/>
              </w:rPr>
            </w:pPr>
          </w:p>
        </w:tc>
        <w:tc>
          <w:tcPr>
            <w:tcW w:w="849" w:type="dxa"/>
            <w:noWrap w:val="0"/>
            <w:vAlign w:val="center"/>
          </w:tcPr>
          <w:p w14:paraId="2945CF8D">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4</w:t>
            </w:r>
          </w:p>
        </w:tc>
        <w:tc>
          <w:tcPr>
            <w:tcW w:w="7169" w:type="dxa"/>
            <w:gridSpan w:val="3"/>
            <w:noWrap w:val="0"/>
            <w:vAlign w:val="center"/>
          </w:tcPr>
          <w:p w14:paraId="15F3E731">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四、无线传屏器</w:t>
            </w:r>
          </w:p>
          <w:p w14:paraId="4A6714CA">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1）支持连接多个同屏器，可以自由选择显示画面，单屏、双屏、四分屏，适用于不同场景需求；</w:t>
            </w:r>
          </w:p>
          <w:p w14:paraId="2EB37945">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2）★同屏无线操控：可把手机用作会议平板的鼠标、遥控器、键盘、飞鼠等（提供通过CMA或CNAS认可的检测机构出具的检测报告复印件）；</w:t>
            </w:r>
          </w:p>
          <w:p w14:paraId="7BADAD0D">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3）★多设备反向镜像：开启后，一体机可反向镜像至多台设备（手机、电脑），设备对一体机进行反控（提供通过CMA或CNAS认可的检测机构出具的检测报告复印件）。</w:t>
            </w:r>
          </w:p>
        </w:tc>
      </w:tr>
      <w:tr w14:paraId="4D986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504" w:type="dxa"/>
            <w:vMerge w:val="continue"/>
            <w:noWrap w:val="0"/>
            <w:vAlign w:val="center"/>
          </w:tcPr>
          <w:p w14:paraId="7E21A6B8">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b w:val="0"/>
                <w:bCs/>
                <w:color w:val="auto"/>
                <w:sz w:val="21"/>
                <w:szCs w:val="21"/>
                <w:highlight w:val="none"/>
                <w:lang w:val="en-US" w:eastAsia="zh-CN"/>
              </w:rPr>
            </w:pPr>
          </w:p>
        </w:tc>
        <w:tc>
          <w:tcPr>
            <w:tcW w:w="849" w:type="dxa"/>
            <w:noWrap w:val="0"/>
            <w:vAlign w:val="center"/>
          </w:tcPr>
          <w:p w14:paraId="38D3F205">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5</w:t>
            </w:r>
          </w:p>
        </w:tc>
        <w:tc>
          <w:tcPr>
            <w:tcW w:w="7169" w:type="dxa"/>
            <w:gridSpan w:val="3"/>
            <w:noWrap w:val="0"/>
            <w:vAlign w:val="center"/>
          </w:tcPr>
          <w:p w14:paraId="68F517B1">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五、整机接口</w:t>
            </w:r>
          </w:p>
          <w:p w14:paraId="395D419B">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1）★后置接口：HDMI -IN ≥2、LAN ≥2、Type-C ≥1、OPS ≥1、USB 2.0 ≥1、USB 3.0 ≥1、TOUCH-USB ≥1、MIC-IN ≥1、AUDIO-OUT ≥1、RS232≥1（提供产品后置接口图片）；</w:t>
            </w:r>
          </w:p>
          <w:p w14:paraId="026BA83A">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2）★通过 RS232 接口，可实现开关机、切换信源等操作（提供通过CMA或CNAS认可的检测机构出具的检测报告复印件）；</w:t>
            </w:r>
          </w:p>
          <w:p w14:paraId="571744D7">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sz w:val="21"/>
                <w:szCs w:val="21"/>
                <w:lang w:val="en-US" w:eastAsia="zh-CN"/>
              </w:rPr>
            </w:pPr>
            <w:r>
              <w:rPr>
                <w:rFonts w:hint="eastAsia" w:ascii="宋体" w:hAnsi="宋体" w:eastAsia="宋体" w:cs="宋体"/>
                <w:b w:val="0"/>
                <w:bCs/>
                <w:color w:val="auto"/>
                <w:sz w:val="21"/>
                <w:szCs w:val="21"/>
                <w:highlight w:val="none"/>
                <w:lang w:val="en-US" w:eastAsia="zh-CN"/>
              </w:rPr>
              <w:t>3）禁用外接USB设备：支持禁用外接USB设备，此功能开启，USB连接外设时，会议平板将不能识别连接的外设。</w:t>
            </w:r>
          </w:p>
        </w:tc>
      </w:tr>
      <w:tr w14:paraId="38D3A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504" w:type="dxa"/>
            <w:vMerge w:val="continue"/>
            <w:noWrap w:val="0"/>
            <w:vAlign w:val="center"/>
          </w:tcPr>
          <w:p w14:paraId="7ABB3C9C">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b w:val="0"/>
                <w:bCs/>
                <w:color w:val="auto"/>
                <w:sz w:val="21"/>
                <w:szCs w:val="21"/>
                <w:highlight w:val="none"/>
                <w:lang w:val="en-US" w:eastAsia="zh-CN"/>
              </w:rPr>
            </w:pPr>
          </w:p>
        </w:tc>
        <w:tc>
          <w:tcPr>
            <w:tcW w:w="849" w:type="dxa"/>
            <w:noWrap w:val="0"/>
            <w:vAlign w:val="center"/>
          </w:tcPr>
          <w:p w14:paraId="5160A04E">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6</w:t>
            </w:r>
          </w:p>
        </w:tc>
        <w:tc>
          <w:tcPr>
            <w:tcW w:w="7169" w:type="dxa"/>
            <w:gridSpan w:val="3"/>
            <w:noWrap w:val="0"/>
            <w:vAlign w:val="center"/>
          </w:tcPr>
          <w:p w14:paraId="524A5406">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六、功能</w:t>
            </w:r>
          </w:p>
          <w:p w14:paraId="517673E3">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电子白板：具有本地白板会议功能、白板协同功能，在白板软件内可进行音视频通话及白板内容协同；开启白板协同功能后，可进行音/视频通话，支持最多3个视频画面显示，最多10方加入协同，具备全场静音功能、请出会议室功能、锁定会议室功能（提供产品功能图片）；</w:t>
            </w:r>
          </w:p>
          <w:p w14:paraId="3029C5A3">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本地白板保存时：可自定义命名、自定义目录、自定义保存文件格式，文件格式可保存为png、pdf、.hwb（白板格式）。保存时勾选同步至日历，打开日历小程序，可看到白板保存记录，点击后可打开此保存过的白板文件，便于进行查看和二次编辑（提供产品功能图片）；</w:t>
            </w:r>
          </w:p>
          <w:p w14:paraId="1936A2C6">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3）支持设置锁和开机锁屏，保证设备使用信息安全；</w:t>
            </w:r>
          </w:p>
          <w:p w14:paraId="069A9D93">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4）★文件传输：可通过手机扫描二维码，无需连接同一WiFi，即可将手机文件分享到大屏，支持Word、PPT、PDF、图片、视频、安装包、压缩包等多种格式文件，上传后可对文件进行打开、保存、删除等操作，对于PDF、图片、视频还可一键插入白板中（提供通过CMA或CNAS认可的检测机构出具的检测报告复印件）；</w:t>
            </w:r>
          </w:p>
          <w:p w14:paraId="60323752">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5）★内置管家软件，包含垃圾清理、网络测速、网络诊断、硬件检测、软件管理等多个功能模块。其中硬件检测包括对摄像头、阵列麦、触摸框、Wi-Fi模块、热点模块的检测，且检测报告可进行一键上传（提供通过CMA或CNAS认可的检测机构出具的检测报告复印件）；</w:t>
            </w:r>
          </w:p>
          <w:p w14:paraId="5F9D9FB5">
            <w:pPr>
              <w:numPr>
                <w:ilvl w:val="0"/>
                <w:numId w:val="0"/>
              </w:numPr>
              <w:suppressAutoHyphens/>
              <w:spacing w:line="360" w:lineRule="auto"/>
              <w:ind w:leftChars="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6）产品支持在线OTA软件升级，保证软件实时更新。</w:t>
            </w:r>
          </w:p>
        </w:tc>
      </w:tr>
      <w:tr w14:paraId="1E088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504" w:type="dxa"/>
            <w:noWrap w:val="0"/>
            <w:vAlign w:val="center"/>
          </w:tcPr>
          <w:p w14:paraId="20C4065B">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b w:val="0"/>
                <w:bCs/>
                <w:color w:val="auto"/>
                <w:sz w:val="21"/>
                <w:szCs w:val="21"/>
                <w:highlight w:val="none"/>
                <w:lang w:val="en-US" w:eastAsia="zh-CN"/>
              </w:rPr>
            </w:pPr>
          </w:p>
        </w:tc>
        <w:tc>
          <w:tcPr>
            <w:tcW w:w="849" w:type="dxa"/>
            <w:noWrap w:val="0"/>
            <w:vAlign w:val="center"/>
          </w:tcPr>
          <w:p w14:paraId="736C839F">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7</w:t>
            </w:r>
          </w:p>
        </w:tc>
        <w:tc>
          <w:tcPr>
            <w:tcW w:w="7169" w:type="dxa"/>
            <w:gridSpan w:val="3"/>
            <w:noWrap w:val="0"/>
            <w:vAlign w:val="center"/>
          </w:tcPr>
          <w:p w14:paraId="63DDD910">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七、系统参数</w:t>
            </w:r>
          </w:p>
          <w:p w14:paraId="3BDAC9E2">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1）★安卓系统采用Cortex A55四核 CPU（主频≥1.8GHz），Mali-G52 GPU，RAM≥4G， ROM≥32G，Andriod13.0触控大屏操作系统，且内嵌自有品牌的专用软件和独特4K UI（提供通过CMA或CNAS认可的检测机构出具的检测报告复印件）；</w:t>
            </w:r>
          </w:p>
          <w:p w14:paraId="35E8A8C3">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2）支持内置插拔一体式OPS主机模块，配置：CPU≥I5核显；内存≥8G DDR4；硬盘≥128GB SSD；</w:t>
            </w:r>
          </w:p>
          <w:p w14:paraId="38515AE2">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3）★整机同时支持 Android（Android≥13.0）和Windows（win10/11）（提供通过CMA或CNAS认可的检测机构出具的检测报告复印件）。</w:t>
            </w:r>
          </w:p>
        </w:tc>
      </w:tr>
      <w:tr w14:paraId="223A1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0" w:hRule="atLeast"/>
          <w:jc w:val="center"/>
        </w:trPr>
        <w:tc>
          <w:tcPr>
            <w:tcW w:w="504" w:type="dxa"/>
            <w:noWrap w:val="0"/>
            <w:vAlign w:val="center"/>
          </w:tcPr>
          <w:p w14:paraId="48586A9E">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软</w:t>
            </w:r>
          </w:p>
          <w:p w14:paraId="363E019A">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件</w:t>
            </w:r>
          </w:p>
          <w:p w14:paraId="5104AD20">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技</w:t>
            </w:r>
          </w:p>
          <w:p w14:paraId="30479C5C">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术</w:t>
            </w:r>
          </w:p>
          <w:p w14:paraId="5D583A78">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参</w:t>
            </w:r>
          </w:p>
          <w:p w14:paraId="6E8CD320">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数</w:t>
            </w:r>
          </w:p>
        </w:tc>
        <w:tc>
          <w:tcPr>
            <w:tcW w:w="849" w:type="dxa"/>
            <w:noWrap w:val="0"/>
            <w:vAlign w:val="center"/>
          </w:tcPr>
          <w:p w14:paraId="67C8B67C">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8</w:t>
            </w:r>
          </w:p>
        </w:tc>
        <w:tc>
          <w:tcPr>
            <w:tcW w:w="7169" w:type="dxa"/>
            <w:gridSpan w:val="3"/>
            <w:noWrap w:val="0"/>
            <w:vAlign w:val="center"/>
          </w:tcPr>
          <w:p w14:paraId="4701FC6C">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八、护理白板系统软件功能：</w:t>
            </w:r>
          </w:p>
          <w:p w14:paraId="08CC070C">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1）有相关软件系统支持首页展示功能，设置首页的布局、各模块大小、模块是否显示、各模块显示内容的功能；</w:t>
            </w:r>
          </w:p>
          <w:p w14:paraId="49261F32">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2）★有相关软件系统支持床位列表展示功能，比如床位信息、患者详情；</w:t>
            </w:r>
          </w:p>
          <w:p w14:paraId="01B0E00B">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3）有相关软件系统支持重点关注功能展示，比如重点关注项目应能通过接口从其他系统中直接提取；</w:t>
            </w:r>
          </w:p>
          <w:p w14:paraId="7F76092D">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4）★有相关软件系统支持展示医护信息；</w:t>
            </w:r>
          </w:p>
          <w:p w14:paraId="0C507F48">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5）有相关软件系统支持展示术检安排功能；</w:t>
            </w:r>
          </w:p>
          <w:p w14:paraId="28970373">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6）有相关软件系统支持展示科室入出转的功能；</w:t>
            </w:r>
          </w:p>
          <w:p w14:paraId="03C4B8C0">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7）有相关软件系统支持展示护理排班相关信息；</w:t>
            </w:r>
          </w:p>
          <w:p w14:paraId="2AABC29D">
            <w:pPr>
              <w:pStyle w:val="4"/>
              <w:spacing w:line="360" w:lineRule="auto"/>
              <w:rPr>
                <w:rFonts w:hint="eastAsia" w:ascii="宋体" w:hAnsi="宋体" w:eastAsia="宋体" w:cs="宋体"/>
                <w:sz w:val="21"/>
                <w:szCs w:val="21"/>
                <w:lang w:val="en-US" w:eastAsia="zh-CN"/>
              </w:rPr>
            </w:pPr>
            <w:r>
              <w:rPr>
                <w:rFonts w:hint="eastAsia" w:ascii="宋体" w:hAnsi="宋体" w:eastAsia="宋体" w:cs="宋体"/>
                <w:b w:val="0"/>
                <w:bCs/>
                <w:color w:val="auto"/>
                <w:sz w:val="21"/>
                <w:szCs w:val="21"/>
                <w:highlight w:val="none"/>
                <w:lang w:val="en-US" w:eastAsia="zh-CN"/>
              </w:rPr>
              <w:t>8）★有相关软件系统支持展示科室内患者体温单相关信息。</w:t>
            </w:r>
          </w:p>
        </w:tc>
      </w:tr>
    </w:tbl>
    <w:p w14:paraId="4796094E">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200"/>
        <w:textAlignment w:val="auto"/>
        <w:rPr>
          <w:rFonts w:hint="eastAsia" w:ascii="宋体" w:hAnsi="宋体" w:eastAsia="宋体" w:cs="宋体"/>
          <w:color w:val="000000"/>
          <w:sz w:val="21"/>
          <w:szCs w:val="21"/>
        </w:rPr>
      </w:pPr>
      <w:r>
        <w:rPr>
          <w:rFonts w:hint="default" w:ascii="宋体" w:hAnsi="宋体" w:eastAsia="宋体" w:cs="宋体"/>
          <w:color w:val="000000"/>
          <w:kern w:val="2"/>
          <w:sz w:val="21"/>
          <w:szCs w:val="21"/>
          <w:lang w:val="en-US" w:eastAsia="zh-CN" w:bidi="ar-SA"/>
        </w:rPr>
        <w:t>（二）</w:t>
      </w:r>
      <w:r>
        <w:rPr>
          <w:rFonts w:hint="eastAsia" w:ascii="宋体" w:hAnsi="宋体" w:eastAsia="宋体" w:cs="宋体"/>
          <w:color w:val="000000"/>
          <w:sz w:val="21"/>
          <w:szCs w:val="21"/>
        </w:rPr>
        <w:t>开发联调需求</w:t>
      </w:r>
    </w:p>
    <w:p w14:paraId="36A3706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lang w:val="en-US" w:eastAsia="zh-CN"/>
        </w:rPr>
        <w:t>支持获取并展示院内HIS系统的基础信息、护理工作相关信息。</w:t>
      </w:r>
    </w:p>
    <w:p w14:paraId="7BA273C8">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200"/>
        <w:textAlignment w:val="auto"/>
        <w:rPr>
          <w:rFonts w:hint="eastAsia" w:ascii="宋体" w:hAnsi="宋体" w:eastAsia="宋体" w:cs="宋体"/>
          <w:color w:val="000000"/>
          <w:sz w:val="21"/>
          <w:szCs w:val="21"/>
        </w:rPr>
      </w:pPr>
      <w:r>
        <w:rPr>
          <w:rFonts w:hint="default" w:ascii="宋体" w:hAnsi="宋体" w:eastAsia="宋体" w:cs="宋体"/>
          <w:color w:val="000000"/>
          <w:kern w:val="2"/>
          <w:sz w:val="21"/>
          <w:szCs w:val="21"/>
          <w:lang w:val="en-US" w:eastAsia="zh-CN" w:bidi="ar-SA"/>
        </w:rPr>
        <w:t>（三）</w:t>
      </w:r>
      <w:r>
        <w:rPr>
          <w:rFonts w:hint="eastAsia" w:ascii="宋体" w:hAnsi="宋体" w:eastAsia="宋体" w:cs="宋体"/>
          <w:color w:val="000000"/>
          <w:sz w:val="21"/>
          <w:szCs w:val="21"/>
        </w:rPr>
        <w:t>系统性能需求</w:t>
      </w:r>
    </w:p>
    <w:p w14:paraId="220BCCD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需满足电子病历六级评审相关要求。</w:t>
      </w:r>
    </w:p>
    <w:p w14:paraId="0D37763E">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200"/>
        <w:textAlignment w:val="auto"/>
        <w:rPr>
          <w:rFonts w:hint="eastAsia" w:ascii="宋体" w:hAnsi="宋体" w:eastAsia="宋体" w:cs="宋体"/>
          <w:color w:val="000000"/>
          <w:sz w:val="21"/>
          <w:szCs w:val="21"/>
        </w:rPr>
      </w:pPr>
      <w:r>
        <w:rPr>
          <w:rFonts w:hint="default" w:ascii="宋体" w:hAnsi="宋体" w:eastAsia="宋体" w:cs="宋体"/>
          <w:color w:val="000000"/>
          <w:kern w:val="2"/>
          <w:sz w:val="21"/>
          <w:szCs w:val="21"/>
          <w:lang w:val="en-US" w:eastAsia="zh-CN" w:bidi="ar-SA"/>
        </w:rPr>
        <w:t>（四）</w:t>
      </w:r>
      <w:r>
        <w:rPr>
          <w:rFonts w:hint="eastAsia" w:ascii="宋体" w:hAnsi="宋体" w:eastAsia="宋体" w:cs="宋体"/>
          <w:color w:val="000000"/>
          <w:sz w:val="21"/>
          <w:szCs w:val="21"/>
        </w:rPr>
        <w:t>多院区成熟解决方案</w:t>
      </w:r>
    </w:p>
    <w:p w14:paraId="0E8B8FA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集中管理，分布实施：在多院区环境中，根据各院区根据实际需求，部署相应的设备和软件。</w:t>
      </w:r>
    </w:p>
    <w:p w14:paraId="3E3050A7">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200"/>
        <w:textAlignment w:val="auto"/>
        <w:rPr>
          <w:rFonts w:hint="eastAsia" w:ascii="宋体" w:hAnsi="宋体" w:eastAsia="宋体" w:cs="宋体"/>
          <w:color w:val="000000"/>
          <w:sz w:val="21"/>
          <w:szCs w:val="21"/>
        </w:rPr>
      </w:pPr>
      <w:r>
        <w:rPr>
          <w:rFonts w:hint="default" w:ascii="宋体" w:hAnsi="宋体" w:eastAsia="宋体" w:cs="宋体"/>
          <w:color w:val="000000"/>
          <w:kern w:val="2"/>
          <w:sz w:val="21"/>
          <w:szCs w:val="21"/>
          <w:lang w:val="en-US" w:eastAsia="zh-CN" w:bidi="ar-SA"/>
        </w:rPr>
        <w:t>（五）</w:t>
      </w:r>
      <w:r>
        <w:rPr>
          <w:rFonts w:hint="eastAsia" w:ascii="宋体" w:hAnsi="宋体" w:eastAsia="宋体" w:cs="宋体"/>
          <w:color w:val="000000"/>
          <w:sz w:val="21"/>
          <w:szCs w:val="21"/>
        </w:rPr>
        <w:t>硬件服务要求</w:t>
      </w:r>
    </w:p>
    <w:p w14:paraId="2F7BB22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项目所配置的硬件环境，需满足项目维保期内的运行与升级。如在维保期内发生因硬件环境限制而导致的软件运行问题或甲方需求不能满足的问题，乙方需根据实际需要增加硬件的投入，所产生的费用由乙方承担。</w:t>
      </w:r>
    </w:p>
    <w:p w14:paraId="732B7A2C">
      <w:pPr>
        <w:keepNext w:val="0"/>
        <w:keepLines w:val="0"/>
        <w:pageBreakBefore w:val="0"/>
        <w:widowControl w:val="0"/>
        <w:numPr>
          <w:ilvl w:val="0"/>
          <w:numId w:val="0"/>
        </w:numPr>
        <w:tabs>
          <w:tab w:val="left" w:pos="426"/>
        </w:tabs>
        <w:kinsoku/>
        <w:wordWrap/>
        <w:overflowPunct/>
        <w:topLinePunct w:val="0"/>
        <w:autoSpaceDE/>
        <w:autoSpaceDN/>
        <w:bidi w:val="0"/>
        <w:adjustRightInd/>
        <w:snapToGrid w:val="0"/>
        <w:spacing w:line="360" w:lineRule="auto"/>
        <w:ind w:left="0" w:leftChars="0" w:firstLine="0" w:firstLineChars="0"/>
        <w:textAlignment w:val="auto"/>
        <w:rPr>
          <w:rFonts w:hint="eastAsia" w:ascii="宋体" w:hAnsi="宋体" w:eastAsia="宋体" w:cs="Times New Roman"/>
          <w:b/>
          <w:bCs/>
          <w:sz w:val="21"/>
          <w:szCs w:val="21"/>
          <w:lang w:val="en-US" w:eastAsia="zh-CN"/>
        </w:rPr>
      </w:pPr>
      <w:r>
        <w:rPr>
          <w:rFonts w:hint="eastAsia" w:ascii="宋体" w:hAnsi="宋体" w:eastAsia="宋体" w:cs="Times New Roman"/>
          <w:b/>
          <w:bCs/>
          <w:kern w:val="2"/>
          <w:sz w:val="21"/>
          <w:szCs w:val="21"/>
          <w:lang w:val="en-US" w:eastAsia="zh-CN" w:bidi="ar-SA"/>
        </w:rPr>
        <w:t>三、</w:t>
      </w:r>
      <w:r>
        <w:rPr>
          <w:rFonts w:hint="eastAsia" w:ascii="宋体" w:hAnsi="宋体" w:eastAsia="宋体" w:cs="Times New Roman"/>
          <w:b/>
          <w:bCs/>
          <w:sz w:val="21"/>
          <w:szCs w:val="21"/>
          <w:lang w:val="en-US" w:eastAsia="zh-CN"/>
        </w:rPr>
        <w:t>项目管理要求</w:t>
      </w:r>
    </w:p>
    <w:p w14:paraId="3C706CF6">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200"/>
        <w:textAlignment w:val="auto"/>
        <w:rPr>
          <w:rFonts w:hint="eastAsia" w:ascii="宋体" w:hAnsi="宋体" w:eastAsia="宋体" w:cs="宋体"/>
          <w:color w:val="000000"/>
          <w:sz w:val="21"/>
          <w:szCs w:val="21"/>
        </w:rPr>
      </w:pPr>
      <w:r>
        <w:rPr>
          <w:rFonts w:hint="default" w:ascii="宋体" w:hAnsi="宋体" w:eastAsia="宋体" w:cs="宋体"/>
          <w:color w:val="000000"/>
          <w:kern w:val="2"/>
          <w:sz w:val="21"/>
          <w:szCs w:val="21"/>
          <w:lang w:val="en-US" w:eastAsia="zh-CN" w:bidi="ar-SA"/>
        </w:rPr>
        <w:t>（一）</w:t>
      </w:r>
      <w:r>
        <w:rPr>
          <w:rFonts w:hint="eastAsia" w:ascii="宋体" w:hAnsi="宋体" w:eastAsia="宋体" w:cs="宋体"/>
          <w:color w:val="000000"/>
          <w:sz w:val="21"/>
          <w:szCs w:val="21"/>
        </w:rPr>
        <w:t>项目实施进度要求</w:t>
      </w:r>
    </w:p>
    <w:p w14:paraId="2CA7B688">
      <w:pPr>
        <w:keepNext w:val="0"/>
        <w:keepLines w:val="0"/>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本项目</w:t>
      </w:r>
      <w:r>
        <w:rPr>
          <w:rFonts w:hint="eastAsia" w:ascii="宋体" w:hAnsi="宋体" w:eastAsia="宋体" w:cs="宋体"/>
          <w:color w:val="000000"/>
          <w:sz w:val="21"/>
          <w:szCs w:val="21"/>
          <w:lang w:val="en-US" w:eastAsia="zh-CN"/>
        </w:rPr>
        <w:t>为采购</w:t>
      </w:r>
      <w:r>
        <w:rPr>
          <w:rFonts w:hint="eastAsia" w:ascii="宋体" w:hAnsi="宋体" w:eastAsia="宋体" w:cs="宋体"/>
          <w:color w:val="000000"/>
          <w:sz w:val="21"/>
          <w:szCs w:val="21"/>
        </w:rPr>
        <w:t>河南省人民医院</w:t>
      </w:r>
      <w:r>
        <w:rPr>
          <w:rFonts w:hint="eastAsia" w:ascii="宋体" w:hAnsi="宋体" w:eastAsia="宋体" w:cs="宋体"/>
          <w:color w:val="000000"/>
          <w:sz w:val="21"/>
          <w:szCs w:val="21"/>
          <w:lang w:eastAsia="zh-CN"/>
        </w:rPr>
        <w:t>护理白板采购项目</w:t>
      </w:r>
      <w:r>
        <w:rPr>
          <w:rFonts w:hint="eastAsia" w:ascii="宋体" w:hAnsi="宋体" w:eastAsia="宋体" w:cs="宋体"/>
          <w:color w:val="000000"/>
          <w:sz w:val="21"/>
          <w:szCs w:val="21"/>
        </w:rPr>
        <w:t>。</w:t>
      </w:r>
    </w:p>
    <w:p w14:paraId="0649EFDB">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200"/>
        <w:textAlignment w:val="auto"/>
        <w:rPr>
          <w:rFonts w:hint="eastAsia" w:ascii="宋体" w:hAnsi="宋体" w:eastAsia="宋体" w:cs="宋体"/>
          <w:color w:val="000000"/>
          <w:sz w:val="21"/>
          <w:szCs w:val="21"/>
        </w:rPr>
      </w:pPr>
      <w:r>
        <w:rPr>
          <w:rFonts w:hint="default" w:ascii="宋体" w:hAnsi="宋体" w:eastAsia="宋体" w:cs="宋体"/>
          <w:color w:val="000000"/>
          <w:kern w:val="2"/>
          <w:sz w:val="21"/>
          <w:szCs w:val="21"/>
          <w:lang w:val="en-US" w:eastAsia="zh-CN" w:bidi="ar-SA"/>
        </w:rPr>
        <w:t>（二）</w:t>
      </w:r>
      <w:r>
        <w:rPr>
          <w:rFonts w:hint="eastAsia" w:ascii="宋体" w:hAnsi="宋体" w:eastAsia="宋体" w:cs="宋体"/>
          <w:color w:val="000000"/>
          <w:sz w:val="21"/>
          <w:szCs w:val="21"/>
        </w:rPr>
        <w:t>项目工作小组</w:t>
      </w:r>
    </w:p>
    <w:p w14:paraId="563D77D9">
      <w:pPr>
        <w:spacing w:line="360" w:lineRule="auto"/>
        <w:ind w:left="0" w:leftChars="0"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投标人</w:t>
      </w:r>
      <w:r>
        <w:rPr>
          <w:rFonts w:hint="eastAsia" w:ascii="宋体" w:hAnsi="宋体" w:eastAsia="宋体" w:cs="宋体"/>
          <w:color w:val="000000"/>
          <w:sz w:val="21"/>
          <w:szCs w:val="21"/>
        </w:rPr>
        <w:t>需要成立针对本项目工作组，并提供成员简历，包括：</w:t>
      </w:r>
    </w:p>
    <w:p w14:paraId="19DD26C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000000"/>
          <w:sz w:val="21"/>
          <w:szCs w:val="21"/>
        </w:rPr>
      </w:pPr>
      <w:r>
        <w:rPr>
          <w:rFonts w:hint="default" w:ascii="宋体" w:hAnsi="宋体" w:eastAsia="宋体" w:cs="宋体"/>
          <w:color w:val="000000"/>
          <w:kern w:val="2"/>
          <w:sz w:val="21"/>
          <w:szCs w:val="21"/>
          <w:lang w:val="en-US" w:eastAsia="zh-CN" w:bidi="ar-SA"/>
        </w:rPr>
        <w:t>1.</w:t>
      </w:r>
      <w:r>
        <w:rPr>
          <w:rFonts w:hint="eastAsia" w:ascii="宋体" w:hAnsi="宋体" w:eastAsia="宋体" w:cs="宋体"/>
          <w:color w:val="000000"/>
          <w:sz w:val="21"/>
          <w:szCs w:val="21"/>
        </w:rPr>
        <w:t>项目经理：具有项目管理工作经历，并全权代表</w:t>
      </w:r>
      <w:r>
        <w:rPr>
          <w:rFonts w:hint="eastAsia" w:ascii="宋体" w:hAnsi="宋体" w:eastAsia="宋体" w:cs="宋体"/>
          <w:color w:val="000000"/>
          <w:sz w:val="21"/>
          <w:szCs w:val="21"/>
          <w:lang w:val="en-US" w:eastAsia="zh-CN"/>
        </w:rPr>
        <w:t>投标人</w:t>
      </w:r>
      <w:r>
        <w:rPr>
          <w:rFonts w:hint="eastAsia" w:ascii="宋体" w:hAnsi="宋体" w:eastAsia="宋体" w:cs="宋体"/>
          <w:color w:val="000000"/>
          <w:sz w:val="21"/>
          <w:szCs w:val="21"/>
        </w:rPr>
        <w:t>执行各项技术及管理工作；</w:t>
      </w:r>
    </w:p>
    <w:p w14:paraId="598475F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000000"/>
          <w:sz w:val="21"/>
          <w:szCs w:val="21"/>
        </w:rPr>
      </w:pPr>
      <w:r>
        <w:rPr>
          <w:rFonts w:hint="default" w:ascii="宋体" w:hAnsi="宋体" w:eastAsia="宋体" w:cs="宋体"/>
          <w:color w:val="000000"/>
          <w:kern w:val="2"/>
          <w:sz w:val="21"/>
          <w:szCs w:val="21"/>
          <w:lang w:val="en-US" w:eastAsia="zh-CN" w:bidi="ar-SA"/>
        </w:rPr>
        <w:t>2.</w:t>
      </w:r>
      <w:r>
        <w:rPr>
          <w:rFonts w:hint="eastAsia" w:ascii="宋体" w:hAnsi="宋体" w:eastAsia="宋体" w:cs="宋体"/>
          <w:color w:val="000000"/>
          <w:sz w:val="21"/>
          <w:szCs w:val="21"/>
        </w:rPr>
        <w:t>项目实施人员：项目签约后，响应人保证须提供常驻项目实施人员在医院现场工作，直至项目实施、验收结束。</w:t>
      </w:r>
    </w:p>
    <w:p w14:paraId="7C3CA1D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000000"/>
          <w:sz w:val="21"/>
          <w:szCs w:val="21"/>
        </w:rPr>
      </w:pPr>
      <w:r>
        <w:rPr>
          <w:rFonts w:hint="default" w:ascii="宋体" w:hAnsi="宋体" w:eastAsia="宋体" w:cs="宋体"/>
          <w:color w:val="000000"/>
          <w:kern w:val="2"/>
          <w:sz w:val="21"/>
          <w:szCs w:val="21"/>
          <w:lang w:val="en-US" w:eastAsia="zh-CN" w:bidi="ar-SA"/>
        </w:rPr>
        <w:t>3.</w:t>
      </w:r>
      <w:r>
        <w:rPr>
          <w:rFonts w:hint="eastAsia" w:ascii="宋体" w:hAnsi="宋体" w:eastAsia="宋体" w:cs="宋体"/>
          <w:color w:val="000000"/>
          <w:sz w:val="21"/>
          <w:szCs w:val="21"/>
        </w:rPr>
        <w:t>项目管理与上线支持人员：系统上线期间，响应人保证须提供项目管理与上线支持人员。</w:t>
      </w:r>
    </w:p>
    <w:p w14:paraId="0EF4949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000000"/>
          <w:sz w:val="21"/>
          <w:szCs w:val="21"/>
        </w:rPr>
      </w:pPr>
      <w:r>
        <w:rPr>
          <w:rFonts w:hint="default" w:ascii="宋体" w:hAnsi="宋体" w:eastAsia="宋体" w:cs="宋体"/>
          <w:color w:val="000000"/>
          <w:kern w:val="2"/>
          <w:sz w:val="21"/>
          <w:szCs w:val="21"/>
          <w:lang w:val="en-US" w:eastAsia="zh-CN" w:bidi="ar-SA"/>
        </w:rPr>
        <w:t>4.</w:t>
      </w:r>
      <w:r>
        <w:rPr>
          <w:rFonts w:hint="eastAsia" w:ascii="宋体" w:hAnsi="宋体" w:eastAsia="宋体" w:cs="宋体"/>
          <w:color w:val="000000"/>
          <w:sz w:val="21"/>
          <w:szCs w:val="21"/>
        </w:rPr>
        <w:t>系统运维人员：为保证平台的正常运行，系统上线后，响应人需指定专业人员对接医院技术问题，要求该人员具备分析、处理故障的能力。该人员需长期对本项目负责，如发生人员更换，需提前通知院方。</w:t>
      </w:r>
    </w:p>
    <w:p w14:paraId="58A845B9">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200"/>
        <w:textAlignment w:val="auto"/>
        <w:rPr>
          <w:rFonts w:hint="eastAsia" w:ascii="宋体" w:hAnsi="宋体" w:eastAsia="宋体" w:cs="宋体"/>
          <w:color w:val="000000"/>
          <w:sz w:val="21"/>
          <w:szCs w:val="21"/>
        </w:rPr>
      </w:pPr>
      <w:r>
        <w:rPr>
          <w:rFonts w:hint="default" w:ascii="宋体" w:hAnsi="宋体" w:eastAsia="宋体" w:cs="宋体"/>
          <w:color w:val="000000"/>
          <w:kern w:val="2"/>
          <w:sz w:val="21"/>
          <w:szCs w:val="21"/>
          <w:lang w:val="en-US" w:eastAsia="zh-CN" w:bidi="ar-SA"/>
        </w:rPr>
        <w:t>（三）</w:t>
      </w:r>
      <w:r>
        <w:rPr>
          <w:rFonts w:hint="eastAsia" w:ascii="宋体" w:hAnsi="宋体" w:eastAsia="宋体" w:cs="宋体"/>
          <w:color w:val="000000"/>
          <w:sz w:val="21"/>
          <w:szCs w:val="21"/>
        </w:rPr>
        <w:t>文档资料管理</w:t>
      </w:r>
    </w:p>
    <w:p w14:paraId="14756D4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000000"/>
          <w:sz w:val="21"/>
          <w:szCs w:val="21"/>
        </w:rPr>
      </w:pPr>
      <w:r>
        <w:rPr>
          <w:rFonts w:hint="default" w:ascii="宋体" w:hAnsi="宋体" w:eastAsia="宋体" w:cs="宋体"/>
          <w:color w:val="000000"/>
          <w:kern w:val="2"/>
          <w:sz w:val="21"/>
          <w:szCs w:val="21"/>
          <w:lang w:val="en-US" w:eastAsia="zh-CN" w:bidi="ar-SA"/>
        </w:rPr>
        <w:t>1.</w:t>
      </w:r>
      <w:r>
        <w:rPr>
          <w:rFonts w:hint="eastAsia" w:ascii="宋体" w:hAnsi="宋体" w:eastAsia="宋体" w:cs="宋体"/>
          <w:color w:val="000000"/>
          <w:sz w:val="21"/>
          <w:szCs w:val="21"/>
        </w:rPr>
        <w:t>文档是保证项目实施连贯性的重要保证，响应人需要提供完善的文档，并对项目进行过程中的文档进行有效的管理，接受采购人对项目各阶段评估分析和监督管理。</w:t>
      </w:r>
    </w:p>
    <w:p w14:paraId="19C6EF6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000000"/>
          <w:sz w:val="21"/>
          <w:szCs w:val="21"/>
        </w:rPr>
      </w:pPr>
      <w:r>
        <w:rPr>
          <w:rFonts w:hint="default" w:ascii="宋体" w:hAnsi="宋体" w:eastAsia="宋体" w:cs="宋体"/>
          <w:color w:val="000000"/>
          <w:kern w:val="2"/>
          <w:sz w:val="21"/>
          <w:szCs w:val="21"/>
          <w:lang w:val="en-US" w:eastAsia="zh-CN" w:bidi="ar-SA"/>
        </w:rPr>
        <w:t>2.</w:t>
      </w:r>
      <w:r>
        <w:rPr>
          <w:rFonts w:hint="eastAsia" w:ascii="宋体" w:hAnsi="宋体" w:eastAsia="宋体" w:cs="宋体"/>
          <w:color w:val="000000"/>
          <w:sz w:val="21"/>
          <w:szCs w:val="21"/>
        </w:rPr>
        <w:t>整个项目的过程包括后期修改维护提供系统、完整的项目管理、设计和开发、操作说明等书面文档及其电子版。</w:t>
      </w:r>
    </w:p>
    <w:p w14:paraId="5119DFC2">
      <w:pPr>
        <w:keepNext w:val="0"/>
        <w:keepLines w:val="0"/>
        <w:pageBreakBefore w:val="0"/>
        <w:widowControl w:val="0"/>
        <w:numPr>
          <w:ilvl w:val="0"/>
          <w:numId w:val="0"/>
        </w:numPr>
        <w:tabs>
          <w:tab w:val="left" w:pos="426"/>
        </w:tabs>
        <w:kinsoku/>
        <w:wordWrap/>
        <w:overflowPunct/>
        <w:topLinePunct w:val="0"/>
        <w:autoSpaceDE/>
        <w:autoSpaceDN/>
        <w:bidi w:val="0"/>
        <w:adjustRightInd/>
        <w:snapToGrid w:val="0"/>
        <w:spacing w:line="360" w:lineRule="auto"/>
        <w:ind w:left="0" w:leftChars="0" w:firstLine="0" w:firstLineChars="0"/>
        <w:textAlignment w:val="auto"/>
        <w:rPr>
          <w:rFonts w:hint="eastAsia" w:ascii="宋体" w:hAnsi="宋体" w:eastAsia="宋体" w:cs="Times New Roman"/>
          <w:b/>
          <w:bCs/>
          <w:sz w:val="21"/>
          <w:szCs w:val="21"/>
          <w:lang w:val="en-US" w:eastAsia="zh-CN"/>
        </w:rPr>
      </w:pPr>
      <w:r>
        <w:rPr>
          <w:rFonts w:hint="eastAsia" w:ascii="宋体" w:hAnsi="宋体" w:eastAsia="宋体" w:cs="Times New Roman"/>
          <w:b/>
          <w:bCs/>
          <w:kern w:val="2"/>
          <w:sz w:val="21"/>
          <w:szCs w:val="21"/>
          <w:lang w:val="en-US" w:eastAsia="zh-CN" w:bidi="ar-SA"/>
        </w:rPr>
        <w:t>四、</w:t>
      </w:r>
      <w:r>
        <w:rPr>
          <w:rFonts w:hint="eastAsia" w:ascii="宋体" w:hAnsi="宋体" w:eastAsia="宋体" w:cs="Times New Roman"/>
          <w:b/>
          <w:bCs/>
          <w:sz w:val="21"/>
          <w:szCs w:val="21"/>
          <w:lang w:val="en-US" w:eastAsia="zh-CN"/>
        </w:rPr>
        <w:t>技术培训要求</w:t>
      </w:r>
    </w:p>
    <w:p w14:paraId="59372C33">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baseline"/>
        <w:rPr>
          <w:rFonts w:hint="eastAsia" w:ascii="宋体" w:hAnsi="宋体"/>
          <w:color w:val="000000"/>
          <w:sz w:val="21"/>
          <w:szCs w:val="21"/>
        </w:rPr>
      </w:pPr>
      <w:r>
        <w:rPr>
          <w:rFonts w:hint="eastAsia" w:ascii="宋体" w:hAnsi="宋体"/>
          <w:color w:val="000000"/>
          <w:sz w:val="21"/>
          <w:szCs w:val="21"/>
        </w:rPr>
        <w:t>对本项目相关的具体人员进行专业的培训，技术培训分为课程培训和现场培训。</w:t>
      </w:r>
    </w:p>
    <w:p w14:paraId="19CAF8E9">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baseline"/>
        <w:rPr>
          <w:rFonts w:hint="eastAsia" w:ascii="宋体" w:hAnsi="宋体"/>
          <w:color w:val="000000"/>
          <w:sz w:val="21"/>
          <w:szCs w:val="21"/>
        </w:rPr>
      </w:pPr>
      <w:r>
        <w:rPr>
          <w:rFonts w:hint="eastAsia" w:ascii="宋体" w:hAnsi="宋体"/>
          <w:color w:val="000000"/>
          <w:sz w:val="21"/>
          <w:szCs w:val="21"/>
        </w:rPr>
        <w:t>确保参培人员达到以下要求：</w:t>
      </w:r>
    </w:p>
    <w:p w14:paraId="0E0CB7CA">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200"/>
        <w:textAlignment w:val="auto"/>
        <w:rPr>
          <w:rFonts w:hint="eastAsia" w:ascii="宋体" w:hAnsi="宋体"/>
          <w:color w:val="000000"/>
          <w:sz w:val="21"/>
          <w:szCs w:val="21"/>
        </w:rPr>
      </w:pPr>
      <w:r>
        <w:rPr>
          <w:rFonts w:hint="eastAsia" w:ascii="宋体" w:hAnsi="宋体"/>
          <w:color w:val="000000"/>
          <w:kern w:val="2"/>
          <w:sz w:val="21"/>
          <w:szCs w:val="21"/>
          <w:lang w:val="en-US" w:eastAsia="zh-CN" w:bidi="ar-SA"/>
        </w:rPr>
        <w:t>(一)</w:t>
      </w:r>
      <w:r>
        <w:rPr>
          <w:rFonts w:hint="eastAsia" w:ascii="宋体" w:hAnsi="宋体"/>
          <w:color w:val="000000"/>
          <w:sz w:val="21"/>
          <w:szCs w:val="21"/>
        </w:rPr>
        <w:t>维护人员经过培训后，可熟练使用应用系统软件，独立完成硬件日常维护工作，能够掌握系统运行情况以及及时排除系统故障。</w:t>
      </w:r>
    </w:p>
    <w:p w14:paraId="5A88DB00">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200"/>
        <w:textAlignment w:val="auto"/>
        <w:rPr>
          <w:rFonts w:hint="eastAsia" w:ascii="宋体" w:hAnsi="宋体"/>
          <w:color w:val="000000"/>
          <w:sz w:val="21"/>
          <w:szCs w:val="21"/>
        </w:rPr>
      </w:pPr>
      <w:r>
        <w:rPr>
          <w:rFonts w:hint="eastAsia" w:ascii="宋体" w:hAnsi="宋体"/>
          <w:color w:val="000000"/>
          <w:kern w:val="2"/>
          <w:sz w:val="21"/>
          <w:szCs w:val="21"/>
          <w:lang w:val="en-US" w:eastAsia="zh-CN" w:bidi="ar-SA"/>
        </w:rPr>
        <w:t>(二)</w:t>
      </w:r>
      <w:r>
        <w:rPr>
          <w:rFonts w:hint="eastAsia" w:ascii="宋体" w:hAnsi="宋体"/>
          <w:color w:val="000000"/>
          <w:sz w:val="21"/>
          <w:szCs w:val="21"/>
        </w:rPr>
        <w:t>系统管理员经过培训后，可以掌握系统软件和应用软件的使用，熟悉系统整体结构，能够独立阅读分析并处理系统故障，管理系统设备。</w:t>
      </w:r>
    </w:p>
    <w:p w14:paraId="0981CFB3">
      <w:pPr>
        <w:keepNext w:val="0"/>
        <w:keepLines w:val="0"/>
        <w:pageBreakBefore w:val="0"/>
        <w:widowControl w:val="0"/>
        <w:numPr>
          <w:ilvl w:val="0"/>
          <w:numId w:val="0"/>
        </w:numPr>
        <w:tabs>
          <w:tab w:val="left" w:pos="426"/>
        </w:tabs>
        <w:kinsoku/>
        <w:wordWrap/>
        <w:overflowPunct/>
        <w:topLinePunct w:val="0"/>
        <w:autoSpaceDE/>
        <w:autoSpaceDN/>
        <w:bidi w:val="0"/>
        <w:adjustRightInd/>
        <w:snapToGrid w:val="0"/>
        <w:spacing w:line="360" w:lineRule="auto"/>
        <w:ind w:left="0" w:leftChars="0" w:firstLine="0" w:firstLineChars="0"/>
        <w:textAlignment w:val="auto"/>
        <w:rPr>
          <w:rFonts w:hint="eastAsia" w:ascii="宋体" w:hAnsi="宋体" w:eastAsia="宋体" w:cs="Times New Roman"/>
          <w:b/>
          <w:bCs/>
          <w:sz w:val="21"/>
          <w:szCs w:val="21"/>
          <w:lang w:val="en-US" w:eastAsia="zh-CN"/>
        </w:rPr>
      </w:pPr>
      <w:r>
        <w:rPr>
          <w:rFonts w:hint="eastAsia" w:ascii="宋体" w:hAnsi="宋体" w:eastAsia="宋体" w:cs="Times New Roman"/>
          <w:b/>
          <w:bCs/>
          <w:kern w:val="2"/>
          <w:sz w:val="21"/>
          <w:szCs w:val="21"/>
          <w:lang w:val="en-US" w:eastAsia="zh-CN" w:bidi="ar-SA"/>
        </w:rPr>
        <w:t>五、</w:t>
      </w:r>
      <w:r>
        <w:rPr>
          <w:rFonts w:hint="eastAsia" w:ascii="宋体" w:hAnsi="宋体" w:eastAsia="宋体" w:cs="Times New Roman"/>
          <w:b/>
          <w:bCs/>
          <w:sz w:val="21"/>
          <w:szCs w:val="21"/>
          <w:lang w:val="en-US" w:eastAsia="zh-CN"/>
        </w:rPr>
        <w:t>售后服务要求</w:t>
      </w:r>
    </w:p>
    <w:p w14:paraId="440661C5">
      <w:pPr>
        <w:keepNext w:val="0"/>
        <w:keepLines w:val="0"/>
        <w:pageBreakBefore w:val="0"/>
        <w:widowControl w:val="0"/>
        <w:numPr>
          <w:ilvl w:val="0"/>
          <w:numId w:val="0"/>
        </w:numPr>
        <w:tabs>
          <w:tab w:val="left" w:pos="993"/>
        </w:tabs>
        <w:kinsoku/>
        <w:wordWrap/>
        <w:overflowPunct/>
        <w:topLinePunct w:val="0"/>
        <w:autoSpaceDE/>
        <w:autoSpaceDN/>
        <w:bidi w:val="0"/>
        <w:adjustRightInd/>
        <w:snapToGrid w:val="0"/>
        <w:spacing w:line="360" w:lineRule="auto"/>
        <w:ind w:left="0" w:leftChars="0"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kern w:val="2"/>
          <w:sz w:val="21"/>
          <w:szCs w:val="21"/>
          <w:lang w:val="en-US" w:eastAsia="zh-CN" w:bidi="ar-SA"/>
        </w:rPr>
        <w:t>1.</w:t>
      </w:r>
      <w:r>
        <w:rPr>
          <w:rFonts w:hint="eastAsia" w:ascii="宋体" w:hAnsi="宋体" w:eastAsia="宋体" w:cs="宋体"/>
          <w:color w:val="000000"/>
          <w:sz w:val="21"/>
          <w:szCs w:val="21"/>
        </w:rPr>
        <w:t>保修期</w:t>
      </w:r>
    </w:p>
    <w:p w14:paraId="6DBB2CCA">
      <w:pPr>
        <w:keepNext w:val="0"/>
        <w:keepLines w:val="0"/>
        <w:pageBreakBefore w:val="0"/>
        <w:widowControl w:val="0"/>
        <w:tabs>
          <w:tab w:val="left" w:pos="993"/>
        </w:tabs>
        <w:kinsoku/>
        <w:wordWrap/>
        <w:overflowPunct/>
        <w:topLinePunct w:val="0"/>
        <w:autoSpaceDE/>
        <w:autoSpaceDN/>
        <w:bidi w:val="0"/>
        <w:adjustRightInd/>
        <w:snapToGrid w:val="0"/>
        <w:spacing w:line="360" w:lineRule="auto"/>
        <w:ind w:left="0"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验收合格之日起提供</w:t>
      </w: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rPr>
        <w:t>年系统软件的质保期，所有硬件</w:t>
      </w: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rPr>
        <w:t>年原厂保修，每月需定期派专人对所供硬件进行专项巡检，每月定期对所供软件进行专项巡检，并向网络信息中心开发应用科提交巡检报告。保修期内零配件应免费更换。原厂负责设备维修。需返厂维修的部件乙方负责提供符合要求的替代产品，运费由乙方负担。</w:t>
      </w:r>
    </w:p>
    <w:p w14:paraId="29C663B4">
      <w:pPr>
        <w:keepNext w:val="0"/>
        <w:keepLines w:val="0"/>
        <w:pageBreakBefore w:val="0"/>
        <w:widowControl w:val="0"/>
        <w:numPr>
          <w:ilvl w:val="0"/>
          <w:numId w:val="0"/>
        </w:numPr>
        <w:tabs>
          <w:tab w:val="left" w:pos="993"/>
        </w:tabs>
        <w:kinsoku/>
        <w:wordWrap/>
        <w:overflowPunct/>
        <w:topLinePunct w:val="0"/>
        <w:autoSpaceDE/>
        <w:autoSpaceDN/>
        <w:bidi w:val="0"/>
        <w:adjustRightInd/>
        <w:snapToGrid w:val="0"/>
        <w:spacing w:line="360" w:lineRule="auto"/>
        <w:ind w:left="0" w:leftChars="0"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kern w:val="2"/>
          <w:sz w:val="21"/>
          <w:szCs w:val="21"/>
          <w:lang w:val="en-US" w:eastAsia="zh-CN" w:bidi="ar-SA"/>
        </w:rPr>
        <w:t>2.</w:t>
      </w:r>
      <w:r>
        <w:rPr>
          <w:rFonts w:hint="eastAsia" w:ascii="宋体" w:hAnsi="宋体" w:eastAsia="宋体" w:cs="宋体"/>
          <w:color w:val="000000"/>
          <w:sz w:val="21"/>
          <w:szCs w:val="21"/>
        </w:rPr>
        <w:t>保修期延长</w:t>
      </w:r>
    </w:p>
    <w:p w14:paraId="08FF67B3">
      <w:pPr>
        <w:keepNext w:val="0"/>
        <w:keepLines w:val="0"/>
        <w:pageBreakBefore w:val="0"/>
        <w:widowControl w:val="0"/>
        <w:tabs>
          <w:tab w:val="left" w:pos="993"/>
        </w:tabs>
        <w:kinsoku/>
        <w:wordWrap/>
        <w:overflowPunct/>
        <w:topLinePunct w:val="0"/>
        <w:autoSpaceDE/>
        <w:autoSpaceDN/>
        <w:bidi w:val="0"/>
        <w:adjustRightInd/>
        <w:snapToGrid w:val="0"/>
        <w:spacing w:line="360" w:lineRule="auto"/>
        <w:ind w:left="0"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对于保修期内因维修或更换造成设备/系统停止使用，或开机率不够95%的，保修期时间须相应延长。更换或维修过的系统/设备或部件的保修期应从更换或维修完成之日起相应延长。</w:t>
      </w:r>
    </w:p>
    <w:p w14:paraId="6B1AA383">
      <w:pPr>
        <w:keepNext w:val="0"/>
        <w:keepLines w:val="0"/>
        <w:pageBreakBefore w:val="0"/>
        <w:widowControl w:val="0"/>
        <w:numPr>
          <w:ilvl w:val="0"/>
          <w:numId w:val="0"/>
        </w:numPr>
        <w:tabs>
          <w:tab w:val="left" w:pos="993"/>
        </w:tabs>
        <w:kinsoku/>
        <w:wordWrap/>
        <w:overflowPunct/>
        <w:topLinePunct w:val="0"/>
        <w:autoSpaceDE/>
        <w:autoSpaceDN/>
        <w:bidi w:val="0"/>
        <w:adjustRightInd/>
        <w:snapToGrid w:val="0"/>
        <w:spacing w:line="360" w:lineRule="auto"/>
        <w:ind w:left="0" w:leftChars="0"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kern w:val="2"/>
          <w:sz w:val="21"/>
          <w:szCs w:val="21"/>
          <w:lang w:val="en-US" w:eastAsia="zh-CN" w:bidi="ar-SA"/>
        </w:rPr>
        <w:t>3.</w:t>
      </w:r>
      <w:r>
        <w:rPr>
          <w:rFonts w:hint="eastAsia" w:ascii="宋体" w:hAnsi="宋体" w:eastAsia="宋体" w:cs="宋体"/>
          <w:color w:val="000000"/>
          <w:sz w:val="21"/>
          <w:szCs w:val="21"/>
        </w:rPr>
        <w:t>运维团队：</w:t>
      </w:r>
    </w:p>
    <w:p w14:paraId="636C4662">
      <w:pPr>
        <w:keepNext w:val="0"/>
        <w:keepLines w:val="0"/>
        <w:pageBreakBefore w:val="0"/>
        <w:widowControl w:val="0"/>
        <w:tabs>
          <w:tab w:val="left" w:pos="993"/>
        </w:tabs>
        <w:kinsoku/>
        <w:wordWrap/>
        <w:overflowPunct/>
        <w:topLinePunct w:val="0"/>
        <w:autoSpaceDE/>
        <w:autoSpaceDN/>
        <w:bidi w:val="0"/>
        <w:adjustRightInd/>
        <w:snapToGrid w:val="0"/>
        <w:spacing w:line="360" w:lineRule="auto"/>
        <w:ind w:left="0"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响应方在郑州本地组建专业的保障团队，为河南省人民医院</w:t>
      </w:r>
      <w:r>
        <w:rPr>
          <w:rFonts w:hint="eastAsia" w:ascii="宋体" w:hAnsi="宋体" w:eastAsia="宋体" w:cs="宋体"/>
          <w:color w:val="000000"/>
          <w:sz w:val="21"/>
          <w:szCs w:val="21"/>
          <w:lang w:eastAsia="zh-CN"/>
        </w:rPr>
        <w:t>护理白板采购</w:t>
      </w:r>
      <w:r>
        <w:rPr>
          <w:rFonts w:hint="eastAsia" w:ascii="宋体" w:hAnsi="宋体" w:eastAsia="宋体" w:cs="宋体"/>
          <w:color w:val="000000"/>
          <w:sz w:val="21"/>
          <w:szCs w:val="21"/>
        </w:rPr>
        <w:t>项目提供 7×24 小时响应服务需求。乙方提供保障团队的人员名单，联系电话，乙方保证，此保障团队能够提供 7×24 小时的包括主机、存储、网络、软件层面的维护保障服务。</w:t>
      </w:r>
    </w:p>
    <w:p w14:paraId="6A376A40">
      <w:pPr>
        <w:keepNext w:val="0"/>
        <w:keepLines w:val="0"/>
        <w:pageBreakBefore w:val="0"/>
        <w:widowControl w:val="0"/>
        <w:numPr>
          <w:ilvl w:val="0"/>
          <w:numId w:val="0"/>
        </w:numPr>
        <w:tabs>
          <w:tab w:val="left" w:pos="993"/>
        </w:tabs>
        <w:kinsoku/>
        <w:wordWrap/>
        <w:overflowPunct/>
        <w:topLinePunct w:val="0"/>
        <w:autoSpaceDE/>
        <w:autoSpaceDN/>
        <w:bidi w:val="0"/>
        <w:adjustRightInd/>
        <w:snapToGrid w:val="0"/>
        <w:spacing w:line="360" w:lineRule="auto"/>
        <w:ind w:left="0" w:leftChars="0"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kern w:val="2"/>
          <w:sz w:val="21"/>
          <w:szCs w:val="21"/>
          <w:lang w:val="en-US" w:eastAsia="zh-CN" w:bidi="ar-SA"/>
        </w:rPr>
        <w:t>4.</w:t>
      </w:r>
      <w:r>
        <w:rPr>
          <w:rFonts w:hint="eastAsia" w:ascii="宋体" w:hAnsi="宋体" w:eastAsia="宋体" w:cs="宋体"/>
          <w:color w:val="000000"/>
          <w:sz w:val="21"/>
          <w:szCs w:val="21"/>
        </w:rPr>
        <w:t>响应方需响应并执行</w:t>
      </w:r>
      <w:r>
        <w:rPr>
          <w:rFonts w:hint="eastAsia" w:ascii="宋体" w:hAnsi="宋体" w:eastAsia="宋体" w:cs="宋体"/>
          <w:color w:val="000000"/>
          <w:sz w:val="21"/>
          <w:szCs w:val="21"/>
          <w:lang w:eastAsia="zh-CN"/>
        </w:rPr>
        <w:t>投标文件</w:t>
      </w:r>
      <w:r>
        <w:rPr>
          <w:rFonts w:hint="eastAsia" w:ascii="宋体" w:hAnsi="宋体" w:eastAsia="宋体" w:cs="宋体"/>
          <w:color w:val="000000"/>
          <w:sz w:val="21"/>
          <w:szCs w:val="21"/>
        </w:rPr>
        <w:t>及《供应商响应答疑及承诺》中做出的各项服务承诺。</w:t>
      </w:r>
    </w:p>
    <w:p w14:paraId="52F8ACF7">
      <w:pPr>
        <w:keepNext w:val="0"/>
        <w:keepLines w:val="0"/>
        <w:pageBreakBefore w:val="0"/>
        <w:widowControl w:val="0"/>
        <w:numPr>
          <w:ilvl w:val="0"/>
          <w:numId w:val="0"/>
        </w:numPr>
        <w:tabs>
          <w:tab w:val="left" w:pos="993"/>
        </w:tabs>
        <w:kinsoku/>
        <w:wordWrap/>
        <w:overflowPunct/>
        <w:topLinePunct w:val="0"/>
        <w:autoSpaceDE/>
        <w:autoSpaceDN/>
        <w:bidi w:val="0"/>
        <w:adjustRightInd/>
        <w:snapToGrid w:val="0"/>
        <w:spacing w:line="360" w:lineRule="auto"/>
        <w:ind w:left="0" w:leftChars="0"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kern w:val="2"/>
          <w:sz w:val="21"/>
          <w:szCs w:val="21"/>
          <w:lang w:val="en-US" w:eastAsia="zh-CN" w:bidi="ar-SA"/>
        </w:rPr>
        <w:t>5.</w:t>
      </w:r>
      <w:r>
        <w:rPr>
          <w:rFonts w:hint="eastAsia" w:ascii="宋体" w:hAnsi="宋体" w:eastAsia="宋体" w:cs="宋体"/>
          <w:color w:val="000000"/>
          <w:sz w:val="21"/>
          <w:szCs w:val="21"/>
        </w:rPr>
        <w:t>中标方信息系统与其他信息系统的进行接口对接及数据传输改造时，需免费开放并且配合改造、调试。</w:t>
      </w:r>
    </w:p>
    <w:p w14:paraId="2DD08E68">
      <w:pPr>
        <w:keepNext w:val="0"/>
        <w:keepLines w:val="0"/>
        <w:pageBreakBefore w:val="0"/>
        <w:widowControl w:val="0"/>
        <w:numPr>
          <w:ilvl w:val="0"/>
          <w:numId w:val="0"/>
        </w:numPr>
        <w:tabs>
          <w:tab w:val="left" w:pos="993"/>
        </w:tabs>
        <w:kinsoku/>
        <w:wordWrap/>
        <w:overflowPunct/>
        <w:topLinePunct w:val="0"/>
        <w:autoSpaceDE/>
        <w:autoSpaceDN/>
        <w:bidi w:val="0"/>
        <w:adjustRightInd/>
        <w:snapToGrid w:val="0"/>
        <w:spacing w:line="360" w:lineRule="auto"/>
        <w:ind w:left="0" w:leftChars="0"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kern w:val="2"/>
          <w:sz w:val="21"/>
          <w:szCs w:val="21"/>
          <w:lang w:val="en-US" w:eastAsia="zh-CN" w:bidi="ar-SA"/>
        </w:rPr>
        <w:t>6.</w:t>
      </w:r>
      <w:r>
        <w:rPr>
          <w:rFonts w:hint="eastAsia" w:ascii="宋体" w:hAnsi="宋体" w:eastAsia="宋体" w:cs="宋体"/>
          <w:color w:val="000000"/>
          <w:sz w:val="21"/>
          <w:szCs w:val="21"/>
        </w:rPr>
        <w:t>质保期内中标方信息系统与其他信息系统的进行对接时</w:t>
      </w:r>
      <w:r>
        <w:rPr>
          <w:rFonts w:hint="eastAsia" w:ascii="宋体" w:hAnsi="宋体" w:eastAsia="宋体" w:cs="宋体"/>
          <w:color w:val="000000"/>
          <w:sz w:val="21"/>
          <w:szCs w:val="21"/>
          <w:lang w:val="en-US" w:eastAsia="zh-CN"/>
        </w:rPr>
        <w:t>所</w:t>
      </w:r>
      <w:r>
        <w:rPr>
          <w:rFonts w:hint="eastAsia" w:ascii="宋体" w:hAnsi="宋体" w:eastAsia="宋体" w:cs="宋体"/>
          <w:color w:val="000000"/>
          <w:sz w:val="21"/>
          <w:szCs w:val="21"/>
        </w:rPr>
        <w:t>产生的所有接口费由中标方承担。</w:t>
      </w:r>
    </w:p>
    <w:p w14:paraId="311C8B2D">
      <w:pPr>
        <w:keepNext w:val="0"/>
        <w:keepLines w:val="0"/>
        <w:pageBreakBefore w:val="0"/>
        <w:widowControl w:val="0"/>
        <w:numPr>
          <w:ilvl w:val="0"/>
          <w:numId w:val="0"/>
        </w:numPr>
        <w:tabs>
          <w:tab w:val="left" w:pos="993"/>
        </w:tabs>
        <w:kinsoku/>
        <w:wordWrap/>
        <w:overflowPunct/>
        <w:topLinePunct w:val="0"/>
        <w:autoSpaceDE/>
        <w:autoSpaceDN/>
        <w:bidi w:val="0"/>
        <w:adjustRightInd/>
        <w:snapToGrid w:val="0"/>
        <w:spacing w:line="360" w:lineRule="auto"/>
        <w:ind w:left="0" w:leftChars="0"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kern w:val="2"/>
          <w:sz w:val="21"/>
          <w:szCs w:val="21"/>
          <w:lang w:val="en-US" w:eastAsia="zh-CN" w:bidi="ar-SA"/>
        </w:rPr>
        <w:t>7.</w:t>
      </w:r>
      <w:r>
        <w:rPr>
          <w:rFonts w:hint="eastAsia" w:ascii="宋体" w:hAnsi="宋体" w:eastAsia="宋体" w:cs="宋体"/>
          <w:color w:val="000000"/>
          <w:sz w:val="21"/>
          <w:szCs w:val="21"/>
        </w:rPr>
        <w:t>其他</w:t>
      </w:r>
    </w:p>
    <w:p w14:paraId="707D47B0">
      <w:pPr>
        <w:keepNext w:val="0"/>
        <w:keepLines w:val="0"/>
        <w:pageBreakBefore w:val="0"/>
        <w:widowControl w:val="0"/>
        <w:tabs>
          <w:tab w:val="left" w:pos="993"/>
        </w:tabs>
        <w:kinsoku/>
        <w:wordWrap/>
        <w:overflowPunct/>
        <w:topLinePunct w:val="0"/>
        <w:autoSpaceDE/>
        <w:autoSpaceDN/>
        <w:bidi w:val="0"/>
        <w:adjustRightInd/>
        <w:snapToGrid w:val="0"/>
        <w:spacing w:line="360" w:lineRule="auto"/>
        <w:ind w:left="0"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7.1. 响应人必须在</w:t>
      </w:r>
      <w:r>
        <w:rPr>
          <w:rFonts w:hint="eastAsia" w:ascii="宋体" w:hAnsi="宋体" w:eastAsia="宋体" w:cs="宋体"/>
          <w:color w:val="000000"/>
          <w:sz w:val="21"/>
          <w:szCs w:val="21"/>
          <w:lang w:eastAsia="zh-CN"/>
        </w:rPr>
        <w:t>投标文件</w:t>
      </w:r>
      <w:r>
        <w:rPr>
          <w:rFonts w:hint="eastAsia" w:ascii="宋体" w:hAnsi="宋体" w:eastAsia="宋体" w:cs="宋体"/>
          <w:color w:val="000000"/>
          <w:sz w:val="21"/>
          <w:szCs w:val="21"/>
        </w:rPr>
        <w:t>中对以上条款和服务承诺明确列出，承诺内容必须达到本篇及采购文件其他条款的要求。</w:t>
      </w:r>
    </w:p>
    <w:p w14:paraId="4BCD92C6">
      <w:pPr>
        <w:keepNext w:val="0"/>
        <w:keepLines w:val="0"/>
        <w:pageBreakBefore w:val="0"/>
        <w:widowControl w:val="0"/>
        <w:tabs>
          <w:tab w:val="left" w:pos="993"/>
        </w:tabs>
        <w:kinsoku/>
        <w:wordWrap/>
        <w:overflowPunct/>
        <w:topLinePunct w:val="0"/>
        <w:autoSpaceDE/>
        <w:autoSpaceDN/>
        <w:bidi w:val="0"/>
        <w:adjustRightInd/>
        <w:snapToGrid w:val="0"/>
        <w:spacing w:line="360" w:lineRule="auto"/>
        <w:ind w:left="0" w:firstLine="420" w:firstLineChars="200"/>
        <w:textAlignment w:val="auto"/>
        <w:rPr>
          <w:rFonts w:hint="eastAsia" w:ascii="宋体" w:hAnsi="宋体"/>
          <w:color w:val="FF0000"/>
          <w:sz w:val="24"/>
        </w:rPr>
      </w:pPr>
      <w:r>
        <w:rPr>
          <w:rFonts w:hint="eastAsia" w:ascii="宋体" w:hAnsi="宋体" w:eastAsia="宋体" w:cs="宋体"/>
          <w:color w:val="000000"/>
          <w:sz w:val="21"/>
          <w:szCs w:val="21"/>
        </w:rPr>
        <w:t>7.2. 其他未尽事宜由供需双方在采购合同中详细约定。</w:t>
      </w:r>
    </w:p>
    <w:p w14:paraId="111CE52D">
      <w:pPr>
        <w:keepNext w:val="0"/>
        <w:keepLines w:val="0"/>
        <w:pageBreakBefore w:val="0"/>
        <w:widowControl w:val="0"/>
        <w:numPr>
          <w:ilvl w:val="0"/>
          <w:numId w:val="0"/>
        </w:numPr>
        <w:tabs>
          <w:tab w:val="left" w:pos="426"/>
        </w:tabs>
        <w:kinsoku/>
        <w:wordWrap/>
        <w:overflowPunct/>
        <w:topLinePunct w:val="0"/>
        <w:autoSpaceDE/>
        <w:autoSpaceDN/>
        <w:bidi w:val="0"/>
        <w:adjustRightInd/>
        <w:snapToGrid w:val="0"/>
        <w:spacing w:line="360" w:lineRule="auto"/>
        <w:ind w:left="0" w:leftChars="0" w:firstLine="0" w:firstLineChars="0"/>
        <w:textAlignment w:val="auto"/>
        <w:rPr>
          <w:rFonts w:hint="eastAsia" w:ascii="宋体" w:hAnsi="宋体" w:eastAsia="宋体" w:cs="Times New Roman"/>
          <w:b/>
          <w:bCs/>
          <w:sz w:val="21"/>
          <w:szCs w:val="21"/>
          <w:lang w:val="en-US" w:eastAsia="zh-CN"/>
        </w:rPr>
      </w:pPr>
      <w:r>
        <w:rPr>
          <w:rFonts w:hint="eastAsia" w:ascii="宋体" w:hAnsi="宋体" w:eastAsia="宋体" w:cs="Times New Roman"/>
          <w:b/>
          <w:bCs/>
          <w:kern w:val="2"/>
          <w:sz w:val="21"/>
          <w:szCs w:val="21"/>
          <w:lang w:val="en-US" w:eastAsia="zh-CN" w:bidi="ar-SA"/>
        </w:rPr>
        <w:t>六、</w:t>
      </w:r>
      <w:r>
        <w:rPr>
          <w:rFonts w:hint="eastAsia" w:ascii="宋体" w:hAnsi="宋体" w:eastAsia="宋体" w:cs="Times New Roman"/>
          <w:b/>
          <w:bCs/>
          <w:sz w:val="21"/>
          <w:szCs w:val="21"/>
          <w:lang w:val="en-US" w:eastAsia="zh-CN"/>
        </w:rPr>
        <w:t>验收</w:t>
      </w:r>
    </w:p>
    <w:p w14:paraId="0FB1DDA9">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kern w:val="2"/>
          <w:sz w:val="21"/>
          <w:szCs w:val="21"/>
          <w:lang w:val="en-US" w:eastAsia="zh-CN" w:bidi="ar-SA"/>
        </w:rPr>
        <w:t>(一)</w:t>
      </w:r>
      <w:r>
        <w:rPr>
          <w:rFonts w:hint="eastAsia" w:ascii="宋体" w:hAnsi="宋体" w:eastAsia="宋体" w:cs="宋体"/>
          <w:color w:val="000000"/>
          <w:sz w:val="21"/>
          <w:szCs w:val="21"/>
        </w:rPr>
        <w:t>按照合同规定的时间提交产品，并在医院现场以双方认可的方式进行软件及硬件产品安装。</w:t>
      </w:r>
    </w:p>
    <w:p w14:paraId="5246DD02">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kern w:val="2"/>
          <w:sz w:val="21"/>
          <w:szCs w:val="21"/>
          <w:lang w:val="en-US" w:eastAsia="zh-CN" w:bidi="ar-SA"/>
        </w:rPr>
        <w:t>(二)</w:t>
      </w:r>
      <w:r>
        <w:rPr>
          <w:rFonts w:hint="eastAsia" w:ascii="宋体" w:hAnsi="宋体" w:eastAsia="宋体" w:cs="宋体"/>
          <w:color w:val="000000"/>
          <w:sz w:val="21"/>
          <w:szCs w:val="21"/>
        </w:rPr>
        <w:t>软件产品实施验收按照合同计划进行，须在验收时完成软件产品实施功能确认。</w:t>
      </w:r>
    </w:p>
    <w:p w14:paraId="3A5E42A3">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kern w:val="2"/>
          <w:sz w:val="21"/>
          <w:szCs w:val="21"/>
          <w:lang w:val="en-US" w:eastAsia="zh-CN" w:bidi="ar-SA"/>
        </w:rPr>
        <w:t>(三)</w:t>
      </w:r>
      <w:r>
        <w:rPr>
          <w:rFonts w:hint="eastAsia" w:ascii="宋体" w:hAnsi="宋体" w:eastAsia="宋体" w:cs="宋体"/>
          <w:color w:val="000000"/>
          <w:sz w:val="21"/>
          <w:szCs w:val="21"/>
        </w:rPr>
        <w:t>验收由医院相关人员按照合同中年服务内容条目进行考核。</w:t>
      </w:r>
    </w:p>
    <w:p w14:paraId="3203D3AC">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kern w:val="2"/>
          <w:sz w:val="21"/>
          <w:szCs w:val="21"/>
          <w:lang w:val="en-US" w:eastAsia="zh-CN" w:bidi="ar-SA"/>
        </w:rPr>
        <w:t>(四)</w:t>
      </w:r>
      <w:r>
        <w:rPr>
          <w:rFonts w:hint="eastAsia" w:ascii="宋体" w:hAnsi="宋体" w:eastAsia="宋体" w:cs="宋体"/>
          <w:color w:val="000000"/>
          <w:sz w:val="21"/>
          <w:szCs w:val="21"/>
        </w:rPr>
        <w:t>项目验收时，响应人需提供下列技术资料文档资料及其电子版,如未完整提供则视为验收不合格：所购系统总体描述、设备手册指南、硬件设备清单、系统设备清单（硬件摆放位置、服务器IP地址、各服务器间所运行业务或用途、各服务器与其他系统交互的业务或接口）、系统和设备参数、系统操作手册、服务器账号及密码、数据库账号及密码、数据库表结构等。</w:t>
      </w:r>
    </w:p>
    <w:p w14:paraId="574B5DCC">
      <w:pPr>
        <w:keepNext w:val="0"/>
        <w:keepLines w:val="0"/>
        <w:pageBreakBefore w:val="0"/>
        <w:widowControl w:val="0"/>
        <w:numPr>
          <w:ilvl w:val="0"/>
          <w:numId w:val="0"/>
        </w:numPr>
        <w:tabs>
          <w:tab w:val="left" w:pos="426"/>
        </w:tabs>
        <w:kinsoku/>
        <w:wordWrap/>
        <w:overflowPunct/>
        <w:topLinePunct w:val="0"/>
        <w:autoSpaceDE/>
        <w:autoSpaceDN/>
        <w:bidi w:val="0"/>
        <w:adjustRightInd/>
        <w:snapToGrid w:val="0"/>
        <w:spacing w:line="360" w:lineRule="auto"/>
        <w:ind w:left="0" w:leftChars="0" w:firstLine="0" w:firstLineChars="0"/>
        <w:textAlignment w:val="auto"/>
        <w:rPr>
          <w:rFonts w:hint="eastAsia" w:ascii="宋体" w:hAnsi="宋体" w:eastAsia="宋体" w:cs="Times New Roman"/>
          <w:b/>
          <w:bCs/>
          <w:sz w:val="21"/>
          <w:szCs w:val="21"/>
          <w:lang w:val="en-US" w:eastAsia="zh-CN"/>
        </w:rPr>
      </w:pPr>
      <w:r>
        <w:rPr>
          <w:rFonts w:hint="eastAsia" w:ascii="宋体" w:hAnsi="宋体" w:eastAsia="宋体" w:cs="Times New Roman"/>
          <w:b/>
          <w:bCs/>
          <w:kern w:val="2"/>
          <w:sz w:val="21"/>
          <w:szCs w:val="21"/>
          <w:lang w:val="en-US" w:eastAsia="zh-CN" w:bidi="ar-SA"/>
        </w:rPr>
        <w:t>七、</w:t>
      </w:r>
      <w:r>
        <w:rPr>
          <w:rFonts w:hint="eastAsia" w:ascii="宋体" w:hAnsi="宋体" w:eastAsia="宋体" w:cs="Times New Roman"/>
          <w:b/>
          <w:bCs/>
          <w:sz w:val="21"/>
          <w:szCs w:val="21"/>
          <w:lang w:val="en-US" w:eastAsia="zh-CN"/>
        </w:rPr>
        <w:t>到货、安装</w:t>
      </w:r>
    </w:p>
    <w:p w14:paraId="4E2A37E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货物（含软件和硬件）运抵使用单位后，乙方在甲方要求的时间内派技术人员到达项目现场，并在甲方技术人员在场的情况下开箱清点货物，且负责设备/系统的免费安装、调试。乙方提供安装调试所需的工具、备件、消耗品，并进行操作试验，直至设备/系统运行正常。</w:t>
      </w:r>
    </w:p>
    <w:p w14:paraId="2B1423EE">
      <w:pPr>
        <w:keepNext w:val="0"/>
        <w:keepLines w:val="0"/>
        <w:pageBreakBefore w:val="0"/>
        <w:widowControl w:val="0"/>
        <w:numPr>
          <w:ilvl w:val="0"/>
          <w:numId w:val="0"/>
        </w:numPr>
        <w:tabs>
          <w:tab w:val="left" w:pos="426"/>
        </w:tabs>
        <w:kinsoku/>
        <w:wordWrap/>
        <w:overflowPunct/>
        <w:topLinePunct w:val="0"/>
        <w:autoSpaceDE/>
        <w:autoSpaceDN/>
        <w:bidi w:val="0"/>
        <w:adjustRightInd/>
        <w:snapToGrid w:val="0"/>
        <w:spacing w:line="360" w:lineRule="auto"/>
        <w:ind w:left="0" w:leftChars="0" w:firstLine="0" w:firstLineChars="0"/>
        <w:textAlignment w:val="auto"/>
        <w:rPr>
          <w:rFonts w:hint="eastAsia" w:ascii="宋体" w:hAnsi="宋体" w:eastAsia="宋体" w:cs="Times New Roman"/>
          <w:b/>
          <w:bCs/>
          <w:sz w:val="21"/>
          <w:szCs w:val="21"/>
          <w:lang w:val="en-US" w:eastAsia="zh-CN"/>
        </w:rPr>
      </w:pPr>
      <w:r>
        <w:rPr>
          <w:rFonts w:hint="eastAsia" w:ascii="宋体" w:hAnsi="宋体" w:eastAsia="宋体" w:cs="Times New Roman"/>
          <w:b/>
          <w:bCs/>
          <w:kern w:val="2"/>
          <w:sz w:val="21"/>
          <w:szCs w:val="21"/>
          <w:lang w:val="en-US" w:eastAsia="zh-CN" w:bidi="ar-SA"/>
        </w:rPr>
        <w:t>八、</w:t>
      </w:r>
      <w:r>
        <w:rPr>
          <w:rFonts w:hint="eastAsia" w:ascii="宋体" w:hAnsi="宋体" w:eastAsia="宋体" w:cs="Times New Roman"/>
          <w:b/>
          <w:bCs/>
          <w:sz w:val="21"/>
          <w:szCs w:val="21"/>
          <w:lang w:val="en-US" w:eastAsia="zh-CN"/>
        </w:rPr>
        <w:t>付款方式</w:t>
      </w:r>
    </w:p>
    <w:p w14:paraId="12C770DF">
      <w:r>
        <w:rPr>
          <w:rFonts w:hint="eastAsia" w:ascii="宋体" w:hAnsi="宋体" w:eastAsia="宋体" w:cs="宋体"/>
          <w:color w:val="auto"/>
          <w:sz w:val="21"/>
          <w:szCs w:val="21"/>
        </w:rPr>
        <w:t>付款方式：</w:t>
      </w:r>
      <w:r>
        <w:rPr>
          <w:rFonts w:hint="eastAsia" w:ascii="宋体" w:hAnsi="宋体" w:eastAsia="宋体" w:cs="宋体"/>
          <w:color w:val="auto"/>
          <w:kern w:val="0"/>
          <w:sz w:val="21"/>
          <w:szCs w:val="21"/>
        </w:rPr>
        <w:t>硬件设备全部到达甲方现场安装完毕</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部署调试</w:t>
      </w:r>
      <w:r>
        <w:rPr>
          <w:rFonts w:hint="eastAsia" w:ascii="宋体" w:hAnsi="宋体" w:eastAsia="宋体" w:cs="宋体"/>
          <w:color w:val="auto"/>
          <w:kern w:val="0"/>
          <w:sz w:val="21"/>
          <w:szCs w:val="21"/>
          <w:lang w:val="en-US" w:eastAsia="zh-CN"/>
        </w:rPr>
        <w:t>相关软件</w:t>
      </w:r>
      <w:r>
        <w:rPr>
          <w:rFonts w:hint="eastAsia" w:ascii="宋体" w:hAnsi="宋体" w:eastAsia="宋体" w:cs="宋体"/>
          <w:color w:val="auto"/>
          <w:kern w:val="0"/>
          <w:sz w:val="21"/>
          <w:szCs w:val="21"/>
        </w:rPr>
        <w:t>完</w:t>
      </w:r>
      <w:r>
        <w:rPr>
          <w:rFonts w:hint="eastAsia" w:ascii="宋体" w:hAnsi="宋体" w:eastAsia="宋体" w:cs="宋体"/>
          <w:color w:val="auto"/>
          <w:kern w:val="0"/>
          <w:sz w:val="21"/>
          <w:szCs w:val="21"/>
          <w:lang w:val="en-US" w:eastAsia="zh-CN"/>
        </w:rPr>
        <w:t>成</w:t>
      </w:r>
      <w:r>
        <w:rPr>
          <w:rFonts w:hint="eastAsia" w:ascii="宋体" w:hAnsi="宋体" w:eastAsia="宋体" w:cs="宋体"/>
          <w:color w:val="auto"/>
          <w:kern w:val="0"/>
          <w:sz w:val="21"/>
          <w:szCs w:val="21"/>
        </w:rPr>
        <w:t>后，经甲方网络信息中心及使用科室进行验收，验收合格并签订验收报告</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lang w:val="en-US" w:eastAsia="zh-CN"/>
        </w:rPr>
        <w:t>每半年按实际采购台数</w:t>
      </w:r>
      <w:r>
        <w:rPr>
          <w:rFonts w:hint="eastAsia" w:ascii="宋体" w:hAnsi="宋体" w:eastAsia="宋体" w:cs="宋体"/>
          <w:color w:val="auto"/>
          <w:kern w:val="0"/>
          <w:sz w:val="21"/>
          <w:szCs w:val="21"/>
        </w:rPr>
        <w:t>向乙方</w:t>
      </w:r>
      <w:r>
        <w:rPr>
          <w:rFonts w:hint="eastAsia" w:ascii="宋体" w:hAnsi="宋体" w:eastAsia="宋体" w:cs="宋体"/>
          <w:color w:val="auto"/>
          <w:kern w:val="0"/>
          <w:sz w:val="21"/>
          <w:szCs w:val="21"/>
          <w:lang w:val="en-US" w:eastAsia="zh-CN"/>
        </w:rPr>
        <w:t>进行</w:t>
      </w:r>
      <w:r>
        <w:rPr>
          <w:rFonts w:hint="eastAsia" w:ascii="宋体" w:hAnsi="宋体" w:eastAsia="宋体" w:cs="宋体"/>
          <w:color w:val="auto"/>
          <w:kern w:val="0"/>
          <w:sz w:val="21"/>
          <w:szCs w:val="21"/>
        </w:rPr>
        <w:t>支付</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lang w:val="en-US" w:eastAsia="zh-CN"/>
        </w:rPr>
        <w:t>支付产生</w:t>
      </w:r>
      <w:r>
        <w:rPr>
          <w:rFonts w:hint="eastAsia" w:ascii="宋体" w:hAnsi="宋体" w:eastAsia="宋体" w:cs="宋体"/>
          <w:color w:val="auto"/>
          <w:kern w:val="0"/>
          <w:sz w:val="21"/>
          <w:szCs w:val="21"/>
        </w:rPr>
        <w:t>金额的</w:t>
      </w:r>
      <w:r>
        <w:rPr>
          <w:rFonts w:hint="eastAsia" w:ascii="宋体" w:hAnsi="宋体" w:eastAsia="宋体" w:cs="宋体"/>
          <w:color w:val="auto"/>
          <w:kern w:val="0"/>
          <w:sz w:val="21"/>
          <w:szCs w:val="21"/>
          <w:lang w:val="en-US" w:eastAsia="zh-CN"/>
        </w:rPr>
        <w:t>100</w:t>
      </w:r>
      <w:r>
        <w:rPr>
          <w:rFonts w:hint="eastAsia" w:ascii="宋体" w:hAnsi="宋体" w:eastAsia="宋体" w:cs="宋体"/>
          <w:color w:val="auto"/>
          <w:kern w:val="0"/>
          <w:sz w:val="21"/>
          <w:szCs w:val="21"/>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decorative"/>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大标宋简体">
    <w:altName w:val="宋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E"/>
    <w:multiLevelType w:val="multilevel"/>
    <w:tmpl w:val="0000000E"/>
    <w:lvl w:ilvl="0" w:tentative="0">
      <w:start w:val="1"/>
      <w:numFmt w:val="decimal"/>
      <w:pStyle w:val="3"/>
      <w:suff w:val="nothing"/>
      <w:lvlText w:val="第%1章 "/>
      <w:lvlJc w:val="left"/>
      <w:pPr>
        <w:ind w:left="0" w:firstLine="0"/>
      </w:pPr>
      <w:rPr>
        <w:rFonts w:hint="eastAsia" w:ascii="方正大标宋简体" w:eastAsia="方正大标宋简体"/>
        <w:b w:val="0"/>
        <w:i w:val="0"/>
        <w:sz w:val="36"/>
        <w:szCs w:val="36"/>
        <w14:shadow w14:blurRad="50800" w14:dist="38100" w14:dir="2700000" w14:sx="100000" w14:sy="100000" w14:kx="0" w14:ky="0" w14:algn="tl">
          <w14:srgbClr w14:val="000000">
            <w14:alpha w14:val="60000"/>
          </w14:srgbClr>
        </w14:shadow>
      </w:rPr>
    </w:lvl>
    <w:lvl w:ilvl="1" w:tentative="0">
      <w:start w:val="1"/>
      <w:numFmt w:val="decimal"/>
      <w:suff w:val="nothing"/>
      <w:lvlText w:val="    %2、"/>
      <w:lvlJc w:val="left"/>
      <w:pPr>
        <w:ind w:left="0" w:firstLine="0"/>
      </w:pPr>
      <w:rPr>
        <w:rFonts w:hint="eastAsia" w:ascii="黑体" w:eastAsia="黑体"/>
        <w:b/>
        <w:i w:val="0"/>
        <w:sz w:val="30"/>
        <w:szCs w:val="30"/>
      </w:rPr>
    </w:lvl>
    <w:lvl w:ilvl="2" w:tentative="0">
      <w:start w:val="1"/>
      <w:numFmt w:val="decimal"/>
      <w:suff w:val="nothing"/>
      <w:lvlText w:val="    %2.%3 "/>
      <w:lvlJc w:val="left"/>
      <w:pPr>
        <w:ind w:left="459" w:firstLine="0"/>
      </w:pPr>
      <w:rPr>
        <w:rFonts w:cs="Times New Roman"/>
        <w:b w:val="0"/>
        <w:bCs w:val="0"/>
        <w:i w:val="0"/>
        <w:iCs w:val="0"/>
        <w:caps w:val="0"/>
        <w:smallCaps w:val="0"/>
        <w:strike w:val="0"/>
        <w:dstrike w:val="0"/>
        <w:vanish w:val="0"/>
        <w:color w:val="000000"/>
        <w:spacing w:val="0"/>
        <w:position w:val="0"/>
        <w:u w:val="none"/>
        <w:vertAlign w:val="baseline"/>
      </w:rPr>
    </w:lvl>
    <w:lvl w:ilvl="3" w:tentative="0">
      <w:start w:val="1"/>
      <w:numFmt w:val="decimal"/>
      <w:suff w:val="nothing"/>
      <w:lvlText w:val="    %2.%3.%4  "/>
      <w:lvlJc w:val="left"/>
      <w:pPr>
        <w:ind w:left="0" w:firstLine="0"/>
      </w:pPr>
      <w:rPr>
        <w:rFonts w:hint="eastAsia" w:ascii="仿宋_GB2312" w:eastAsia="仿宋_GB2312"/>
        <w:b/>
        <w:i w:val="0"/>
        <w:sz w:val="28"/>
        <w:szCs w:val="28"/>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90759A"/>
    <w:rsid w:val="4D9075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numPr>
        <w:ilvl w:val="0"/>
        <w:numId w:val="1"/>
      </w:numPr>
      <w:spacing w:before="340" w:after="330" w:line="576" w:lineRule="auto"/>
      <w:outlineLvl w:val="0"/>
    </w:pPr>
    <w:rPr>
      <w:b/>
      <w:bCs/>
      <w:kern w:val="44"/>
      <w:sz w:val="44"/>
      <w:szCs w:val="44"/>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No Spacing"/>
    <w:qFormat/>
    <w:uiPriority w:val="0"/>
    <w:pPr>
      <w:widowControl w:val="0"/>
      <w:jc w:val="both"/>
    </w:pPr>
    <w:rPr>
      <w:rFonts w:ascii="Calibri" w:hAnsi="Calibri" w:eastAsia="宋体" w:cs="Times New Roman"/>
      <w:kern w:val="2"/>
      <w:sz w:val="21"/>
      <w:szCs w:val="22"/>
      <w:lang w:val="en-US" w:eastAsia="zh-CN" w:bidi="ar-SA"/>
    </w:rPr>
  </w:style>
  <w:style w:type="paragraph" w:styleId="4">
    <w:name w:val="toa heading"/>
    <w:basedOn w:val="1"/>
    <w:next w:val="1"/>
    <w:qFormat/>
    <w:uiPriority w:val="0"/>
    <w:rPr>
      <w:rFonts w:ascii="Arial" w:hAnsi="Arial"/>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2025-09-16T09:09:00Z</dcterms:created>
  <dc:creator>L L</dc:creator>
  <cp:lastModifiedBy>L L</cp:lastModifiedBy>
  <dcterms:modified xsi:type="dcterms:W3CDTF">2025-09-16T09:09:59Z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DAD21EA438D64BF094F3F7FD08B2D9F2_11</vt:lpwstr>
  </property>
  <property fmtid="{D5CDD505-2E9C-101B-9397-08002B2CF9AE}" pid="4" name="KSOTemplateDocerSaveRecord">
    <vt:lpwstr>eyJoZGlkIjoiNmI4Yzc3ZGQyMDg5N2EyMzEyZmU5MGJkN2QyMDNjOTgiLCJ1c2VySWQiOiIzMzA4NzczMjMifQ==</vt:lpwstr>
  </property>
</Properties>
</file>