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5C3CF">
      <w:pPr>
        <w:pStyle w:val="2"/>
        <w:pageBreakBefore w:val="0"/>
        <w:numPr>
          <w:numId w:val="0"/>
        </w:numPr>
        <w:kinsoku/>
        <w:overflowPunct/>
        <w:bidi w:val="0"/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bookmarkStart w:id="0" w:name="_Toc13210"/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lang w:eastAsia="zh-CN"/>
        </w:rPr>
        <w:t>采购需求</w:t>
      </w:r>
      <w:bookmarkEnd w:id="0"/>
    </w:p>
    <w:p w14:paraId="317AB373">
      <w:pPr>
        <w:pStyle w:val="9"/>
        <w:pageBreakBefore w:val="0"/>
        <w:numPr>
          <w:ilvl w:val="0"/>
          <w:numId w:val="1"/>
        </w:numPr>
        <w:kinsoku/>
        <w:overflowPunct/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采购内容及要求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6"/>
        <w:gridCol w:w="1323"/>
        <w:gridCol w:w="3242"/>
        <w:gridCol w:w="1074"/>
      </w:tblGrid>
      <w:tr w14:paraId="1A2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 w14:paraId="34D8A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46" w:type="dxa"/>
            <w:noWrap w:val="0"/>
            <w:vAlign w:val="center"/>
          </w:tcPr>
          <w:p w14:paraId="6DCE7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23" w:type="dxa"/>
            <w:noWrap w:val="0"/>
            <w:vAlign w:val="center"/>
          </w:tcPr>
          <w:p w14:paraId="7AA85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42" w:type="dxa"/>
            <w:noWrap w:val="0"/>
            <w:vAlign w:val="center"/>
          </w:tcPr>
          <w:p w14:paraId="1B2A13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074" w:type="dxa"/>
            <w:noWrap w:val="0"/>
            <w:vAlign w:val="top"/>
          </w:tcPr>
          <w:p w14:paraId="5A028944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AD3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 w14:paraId="33F09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446" w:type="dxa"/>
            <w:noWrap w:val="0"/>
            <w:vAlign w:val="center"/>
          </w:tcPr>
          <w:p w14:paraId="1D849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g/袋</w:t>
            </w:r>
          </w:p>
        </w:tc>
        <w:tc>
          <w:tcPr>
            <w:tcW w:w="1323" w:type="dxa"/>
            <w:noWrap w:val="0"/>
            <w:vAlign w:val="center"/>
          </w:tcPr>
          <w:p w14:paraId="6C196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</w:t>
            </w:r>
          </w:p>
        </w:tc>
        <w:tc>
          <w:tcPr>
            <w:tcW w:w="3242" w:type="dxa"/>
            <w:noWrap w:val="0"/>
            <w:vAlign w:val="center"/>
          </w:tcPr>
          <w:p w14:paraId="452F6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包装完好、干净整洁无污、封口严密。质量要求：符合国家标准。</w:t>
            </w:r>
          </w:p>
          <w:p w14:paraId="35168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执行质量标准：大米GB1354-2009。</w:t>
            </w:r>
          </w:p>
        </w:tc>
        <w:tc>
          <w:tcPr>
            <w:tcW w:w="1074" w:type="dxa"/>
            <w:noWrap w:val="0"/>
            <w:vAlign w:val="center"/>
          </w:tcPr>
          <w:p w14:paraId="18C9C36C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4F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 w14:paraId="504A5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1446" w:type="dxa"/>
            <w:noWrap w:val="0"/>
            <w:vAlign w:val="center"/>
          </w:tcPr>
          <w:p w14:paraId="2E020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20L/桶</w:t>
            </w:r>
          </w:p>
        </w:tc>
        <w:tc>
          <w:tcPr>
            <w:tcW w:w="1323" w:type="dxa"/>
            <w:noWrap w:val="0"/>
            <w:vAlign w:val="center"/>
          </w:tcPr>
          <w:p w14:paraId="53848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3242" w:type="dxa"/>
            <w:noWrap w:val="0"/>
            <w:vAlign w:val="center"/>
          </w:tcPr>
          <w:p w14:paraId="52E22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植物油色淡鲜亮，清澈透明，无或少有杂质和沉淀物，具有原料固有香味及滋味，无任何异味。执行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标准：大豆油GB1535-2003。</w:t>
            </w:r>
          </w:p>
        </w:tc>
        <w:tc>
          <w:tcPr>
            <w:tcW w:w="1074" w:type="dxa"/>
            <w:noWrap w:val="0"/>
            <w:vAlign w:val="center"/>
          </w:tcPr>
          <w:p w14:paraId="3B769F56">
            <w:pPr>
              <w:pStyle w:val="3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03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 w14:paraId="6E153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446" w:type="dxa"/>
            <w:noWrap w:val="0"/>
            <w:vAlign w:val="center"/>
          </w:tcPr>
          <w:p w14:paraId="30E6E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323" w:type="dxa"/>
            <w:noWrap w:val="0"/>
            <w:vAlign w:val="center"/>
          </w:tcPr>
          <w:p w14:paraId="77B97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  <w:tc>
          <w:tcPr>
            <w:tcW w:w="3242" w:type="dxa"/>
            <w:noWrap w:val="0"/>
            <w:vAlign w:val="center"/>
          </w:tcPr>
          <w:p w14:paraId="49D9F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人工驯养禽类所产符合GB2748的禽蛋。</w:t>
            </w:r>
          </w:p>
        </w:tc>
        <w:tc>
          <w:tcPr>
            <w:tcW w:w="1074" w:type="dxa"/>
            <w:noWrap w:val="0"/>
            <w:vAlign w:val="center"/>
          </w:tcPr>
          <w:p w14:paraId="4BF42666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19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noWrap w:val="0"/>
            <w:vAlign w:val="center"/>
          </w:tcPr>
          <w:p w14:paraId="2465C3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446" w:type="dxa"/>
            <w:noWrap w:val="0"/>
            <w:vAlign w:val="center"/>
          </w:tcPr>
          <w:p w14:paraId="1ABD3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323" w:type="dxa"/>
            <w:noWrap w:val="0"/>
            <w:vAlign w:val="center"/>
          </w:tcPr>
          <w:p w14:paraId="07A69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3242" w:type="dxa"/>
            <w:noWrap w:val="0"/>
            <w:vAlign w:val="center"/>
          </w:tcPr>
          <w:p w14:paraId="7904F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包装完好、干净整洁无污、封口严密。质量要求：符合国家标准。执行质量标准：黄豆GB1352-2009。</w:t>
            </w:r>
          </w:p>
        </w:tc>
        <w:tc>
          <w:tcPr>
            <w:tcW w:w="1074" w:type="dxa"/>
            <w:noWrap w:val="0"/>
            <w:vAlign w:val="center"/>
          </w:tcPr>
          <w:p w14:paraId="2ACD8594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60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1" w:type="dxa"/>
            <w:gridSpan w:val="5"/>
            <w:noWrap w:val="0"/>
            <w:vAlign w:val="center"/>
          </w:tcPr>
          <w:p w14:paraId="3C4E2B39">
            <w:pPr>
              <w:pStyle w:val="3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备注:采购需求中的数量为暂估量，本项目具体采购数量以甲方实际采购量为准，本项目非一次性采购（送货），年内分多批次送货。</w:t>
            </w:r>
          </w:p>
        </w:tc>
      </w:tr>
    </w:tbl>
    <w:p w14:paraId="509CBD6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 大米 </w:t>
      </w:r>
    </w:p>
    <w:p w14:paraId="13C89C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1.1 色泽：颗粒饱满，完整，大小均匀，无虫害及霉变，无杂质。 </w:t>
      </w:r>
    </w:p>
    <w:p w14:paraId="1F52142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1.2 具有大米特有的气味和滋味，无陈米、酸败及其他异味，口感好； </w:t>
      </w:r>
    </w:p>
    <w:p w14:paraId="1B00E0C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1.3 组织细密，一般是透明或半透明，腹部较小，硬质粒多，油性较大，质量好； </w:t>
      </w:r>
    </w:p>
    <w:p w14:paraId="3A1F175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1.4 运输：运输工具应清洁、无异味，运输中应注意轻装、轻卸、防雨、防晒。贮存：产品应存放于通风阴凉、干燥、清洁、无异味的库中。 </w:t>
      </w:r>
    </w:p>
    <w:p w14:paraId="6747F25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1.5 包装必须符合《食品标签通用标准》（GB7718－2011）和《预包装食品营养标签通则 （GB28050-2011）标准；包装袋上有注册商标及QS标识，有质量等级、检验合格证、生产厂家、生产日期和保质期。包装规格为25千克/袋。 </w:t>
      </w:r>
    </w:p>
    <w:p w14:paraId="35EC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1.6 质保期：自配送到采购人之日起生产日期至保质期满不得少于2/3时间，因食品问题发生的食物中毒等群体事件，由其承担经济赔偿责任及相关法律责任。</w:t>
      </w:r>
    </w:p>
    <w:p w14:paraId="4B740E4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 食用油 </w:t>
      </w:r>
    </w:p>
    <w:p w14:paraId="080E95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 检验依据：符合GB2716《食用植物油卫生标准》和GB/17756《色拉油通用技术条件》检验标准；</w:t>
      </w:r>
    </w:p>
    <w:p w14:paraId="1E71295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2.2 液体具有油脂正常色泽，澄清透明，无焦臭、酸败及其他异味，口感好； </w:t>
      </w:r>
    </w:p>
    <w:p w14:paraId="65AA942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2.3 无任何掺杂气味； </w:t>
      </w:r>
    </w:p>
    <w:p w14:paraId="17A848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 包装要求：符合卫生要求，干净无污染，无破损；</w:t>
      </w:r>
    </w:p>
    <w:p w14:paraId="5A83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2.5 质保期：自配送到采购人之日起生产日期至保质期满不得少于2/3时间，因食品问题发生的食物中毒等群体事件，由其承担经济赔偿责任及相关法律责任。</w:t>
      </w:r>
    </w:p>
    <w:p w14:paraId="52EE7B6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豆腐</w:t>
      </w:r>
    </w:p>
    <w:p w14:paraId="05C3E2B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3.1 豆腐颜色呈乳白色或淡黄色，有豆腐香味，持水性好，新鲜。 </w:t>
      </w:r>
    </w:p>
    <w:p w14:paraId="38D55E4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3.2 豆腐块形完整，软硬适度，富有一定的弹性，质地细嫩，结构均匀，无杂质。 </w:t>
      </w:r>
    </w:p>
    <w:p w14:paraId="4D6CCE2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3.3 符合现行国家食品安全及质量规范标准。 </w:t>
      </w:r>
    </w:p>
    <w:p w14:paraId="13D2BE4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 鸡蛋 </w:t>
      </w:r>
    </w:p>
    <w:p w14:paraId="149E10F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4.1 鸡蛋的质量及其标识应执行相关国家食品安全标准-无公害。 </w:t>
      </w:r>
    </w:p>
    <w:p w14:paraId="3DEFBF4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4.2 配送要求：为了保证货物在运输、搬运和装卸过程中的完整，货物的包装和运输须符合货物特性要求，由于包装、运输、搬运和装卸不当导致货物破损或损坏，由中标供应商以破一赔一的比例进 行赔偿。 </w:t>
      </w:r>
    </w:p>
    <w:p w14:paraId="3A0DA8C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4.3 无过期商品、假冒伪劣产品、无以次充好现象。如果发现投标供应商提供的鸡蛋有质量问题，采购人有权责令其无条件退货。</w:t>
      </w:r>
    </w:p>
    <w:p w14:paraId="22DE43F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商务要求</w:t>
      </w:r>
    </w:p>
    <w:p w14:paraId="37947031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接到采购人通知后，8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shd w:val="clear" w:color="auto" w:fill="FFFFFF"/>
          <w:lang w:val="en-US" w:eastAsia="zh-CN"/>
        </w:rPr>
        <w:t>个小时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内送达(特殊情况下即时送达)。</w:t>
      </w:r>
    </w:p>
    <w:p w14:paraId="29BA83C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交货地点：采购人指定地点。</w:t>
      </w:r>
    </w:p>
    <w:p w14:paraId="51BB2830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质量标准：合格，符合国家及相关行业规定规范。</w:t>
      </w:r>
    </w:p>
    <w:p w14:paraId="4C6C258D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服务周期：自合同签订之日起一年。</w:t>
      </w:r>
    </w:p>
    <w:p w14:paraId="1C1E7D7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付款方式：按月结算，按照每月实际供货量计算。甲方根据乙方提供的实际应付款金额发票，将款项汇至乙方提供的对公账户中。</w:t>
      </w:r>
    </w:p>
    <w:p w14:paraId="5E62FE8F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验收标准：符合国家标准及采购人要求。</w:t>
      </w:r>
    </w:p>
    <w:p w14:paraId="4A9DFA27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供货过程中，如中标单位货物质量问题或因公司破产倒闭等原因未能履约，影响采购人正常使用，采购人将有权扣除中标单位的履约保证金。履约保证金金额不足以补偿甲方的，甲方有权利追偿不足金额部分。</w:t>
      </w:r>
    </w:p>
    <w:p w14:paraId="0F0D1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三、技术要求 </w:t>
      </w:r>
    </w:p>
    <w:p w14:paraId="2539B4E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投标人应具有正规的货源渠道，有良好的货源，能够保证能够按照采购人要求随时供货。</w:t>
      </w:r>
    </w:p>
    <w:p w14:paraId="26EF1E0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投标人应针对本项目实际情况，编制合理的配送方案（包含但不限于对货物准备、人员组织、车辆管理调度）。</w:t>
      </w:r>
    </w:p>
    <w:p w14:paraId="64820CD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产品质量保证措施：投标人对所投产品的源头、渠道、或加工过程中对产品安全、质量的保障措施进行打分：投标人应对所投产品有详细的了解，对产品从加工制作到成品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7D1BCB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应急方案：项目实施过程中，关于突发事件、极端天气等采取的处理方案和应急供货措施。</w:t>
      </w:r>
    </w:p>
    <w:p w14:paraId="49D6156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货物退还方案：投标人实施过程中应具有卫生安全保障措施及不合格货物退还方案。</w:t>
      </w:r>
    </w:p>
    <w:p w14:paraId="0CF0A53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售后服务方案：投标人应具有售后服务内容及现场服务措施（包括但不限于服务内容、服务范围、配送人员、服务时限承诺、后续服务具体措施与承诺、额外或其他增值性服务等）。</w:t>
      </w:r>
    </w:p>
    <w:p w14:paraId="65247B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包装和运输：须满足《关于印发〈商品包装政府采购需求标准（试行）〉〈快递包装政府采购需求标准（试行）〉的通知》。</w:t>
      </w:r>
    </w:p>
    <w:p w14:paraId="16748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E5488"/>
    <w:multiLevelType w:val="singleLevel"/>
    <w:tmpl w:val="04DE5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A57A9E"/>
    <w:multiLevelType w:val="singleLevel"/>
    <w:tmpl w:val="61A57A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无间隔1"/>
    <w:basedOn w:val="10"/>
    <w:next w:val="3"/>
    <w:qFormat/>
    <w:uiPriority w:val="1"/>
    <w:pPr>
      <w:spacing w:line="400" w:lineRule="exact"/>
    </w:pPr>
    <w:rPr>
      <w:sz w:val="24"/>
    </w:rPr>
  </w:style>
  <w:style w:type="paragraph" w:customStyle="1" w:styleId="10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2025-03-11T03:11:31Z</dcterms:created>
  <dc:creator>Administrator</dc:creator>
  <cp:lastModifiedBy>侯高磊</cp:lastModifiedBy>
  <dcterms:modified xsi:type="dcterms:W3CDTF">2025-03-11T03:12:02Z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eyJoZGlkIjoiZDc5OTE4ZGE1MTY0MmJhNTFlOTZiYjEwYTMzNGNiNDYiLCJ1c2VySWQiOiIxNDU0Njc3NjI0In0=</vt:lpwstr>
  </property>
  <property fmtid="{D5CDD505-2E9C-101B-9397-08002B2CF9AE}" pid="4" name="ICV">
    <vt:lpwstr>5E951254E327464CA17CE282529F462F_12</vt:lpwstr>
  </property>
</Properties>
</file>