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color w:val="000000" w:themeColor="text1"/>
          <w:sz w:val="52"/>
          <w:szCs w:val="52"/>
          <w:lang w:val="en-US" w:eastAsia="zh-CN"/>
          <w14:textFill>
            <w14:solidFill>
              <w14:schemeClr w14:val="tx1"/>
            </w14:solidFill>
          </w14:textFill>
        </w:rPr>
      </w:pPr>
      <w:r>
        <w:rPr>
          <w:rFonts w:hint="eastAsia" w:ascii="宋体" w:hAnsi="宋体" w:eastAsia="宋体" w:cs="宋体"/>
          <w:b/>
          <w:color w:val="000000" w:themeColor="text1"/>
          <w:sz w:val="52"/>
          <w:szCs w:val="52"/>
          <w:lang w:val="en-US" w:eastAsia="zh-CN"/>
          <w14:textFill>
            <w14:solidFill>
              <w14:schemeClr w14:val="tx1"/>
            </w14:solidFill>
          </w14:textFill>
        </w:rPr>
        <w:drawing>
          <wp:inline distT="0" distB="0" distL="114300" distR="114300">
            <wp:extent cx="5594985" cy="7912735"/>
            <wp:effectExtent l="0" t="0" r="13335" b="12065"/>
            <wp:docPr id="2" name="图片 2" descr="C包合同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包合同_00"/>
                    <pic:cNvPicPr>
                      <a:picLocks noChangeAspect="1"/>
                    </pic:cNvPicPr>
                  </pic:nvPicPr>
                  <pic:blipFill>
                    <a:blip r:embed="rId4"/>
                    <a:stretch>
                      <a:fillRect/>
                    </a:stretch>
                  </pic:blipFill>
                  <pic:spPr>
                    <a:xfrm>
                      <a:off x="0" y="0"/>
                      <a:ext cx="5594985" cy="7912735"/>
                    </a:xfrm>
                    <a:prstGeom prst="rect">
                      <a:avLst/>
                    </a:prstGeom>
                  </pic:spPr>
                </pic:pic>
              </a:graphicData>
            </a:graphic>
          </wp:inline>
        </w:drawing>
      </w:r>
      <w:r>
        <w:rPr>
          <w:rFonts w:hint="eastAsia" w:ascii="宋体" w:hAnsi="宋体" w:eastAsia="宋体" w:cs="宋体"/>
          <w:b/>
          <w:color w:val="000000" w:themeColor="text1"/>
          <w:sz w:val="52"/>
          <w:szCs w:val="52"/>
          <w:lang w:val="en-US" w:eastAsia="zh-CN"/>
          <w14:textFill>
            <w14:solidFill>
              <w14:schemeClr w14:val="tx1"/>
            </w14:solidFill>
          </w14:textFill>
        </w:rPr>
        <w:drawing>
          <wp:inline distT="0" distB="0" distL="114300" distR="114300">
            <wp:extent cx="5594985" cy="7912735"/>
            <wp:effectExtent l="0" t="0" r="13335" b="12065"/>
            <wp:docPr id="3" name="图片 3" descr="C包合同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包合同_07"/>
                    <pic:cNvPicPr>
                      <a:picLocks noChangeAspect="1"/>
                    </pic:cNvPicPr>
                  </pic:nvPicPr>
                  <pic:blipFill>
                    <a:blip r:embed="rId5"/>
                    <a:stretch>
                      <a:fillRect/>
                    </a:stretch>
                  </pic:blipFill>
                  <pic:spPr>
                    <a:xfrm>
                      <a:off x="0" y="0"/>
                      <a:ext cx="5594985" cy="7912735"/>
                    </a:xfrm>
                    <a:prstGeom prst="rect">
                      <a:avLst/>
                    </a:prstGeom>
                  </pic:spPr>
                </pic:pic>
              </a:graphicData>
            </a:graphic>
          </wp:inline>
        </w:drawing>
      </w:r>
    </w:p>
    <w:p>
      <w:pPr>
        <w:jc w:val="center"/>
        <w:rPr>
          <w:rFonts w:hint="eastAsia" w:ascii="宋体" w:hAnsi="宋体" w:eastAsia="宋体" w:cs="宋体"/>
          <w:b/>
          <w:color w:val="000000" w:themeColor="text1"/>
          <w:sz w:val="52"/>
          <w:szCs w:val="52"/>
          <w:lang w:val="en-US" w:eastAsia="zh-CN"/>
          <w14:textFill>
            <w14:solidFill>
              <w14:schemeClr w14:val="tx1"/>
            </w14:solidFill>
          </w14:textFill>
        </w:rPr>
      </w:pPr>
    </w:p>
    <w:p>
      <w:pPr>
        <w:jc w:val="center"/>
        <w:rPr>
          <w:rFonts w:hint="eastAsia" w:ascii="宋体" w:hAnsi="宋体" w:eastAsia="宋体" w:cs="宋体"/>
          <w:b/>
          <w:color w:val="000000" w:themeColor="text1"/>
          <w:sz w:val="52"/>
          <w:szCs w:val="52"/>
          <w14:textFill>
            <w14:solidFill>
              <w14:schemeClr w14:val="tx1"/>
            </w14:solidFill>
          </w14:textFill>
        </w:rPr>
      </w:pPr>
      <w:bookmarkStart w:id="39" w:name="_GoBack"/>
      <w:bookmarkEnd w:id="39"/>
      <w:r>
        <w:rPr>
          <w:rFonts w:hint="eastAsia" w:ascii="宋体" w:hAnsi="宋体" w:eastAsia="宋体" w:cs="宋体"/>
          <w:b/>
          <w:color w:val="000000" w:themeColor="text1"/>
          <w:sz w:val="52"/>
          <w:szCs w:val="52"/>
          <w:lang w:val="en-US" w:eastAsia="zh-CN"/>
          <w14:textFill>
            <w14:solidFill>
              <w14:schemeClr w14:val="tx1"/>
            </w14:solidFill>
          </w14:textFill>
        </w:rPr>
        <w:t>货  物  采  购  合  同</w:t>
      </w:r>
    </w:p>
    <w:p>
      <w:pPr>
        <w:spacing w:line="360" w:lineRule="auto"/>
        <w:ind w:firstLine="5250" w:firstLineChars="2500"/>
        <w:jc w:val="left"/>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合同编号：豫财招标采购-2024-862</w:t>
      </w:r>
      <w:r>
        <w:rPr>
          <w:rFonts w:hint="eastAsia" w:ascii="宋体" w:hAnsi="宋体" w:eastAsia="宋体" w:cs="宋体"/>
          <w:color w:val="000000" w:themeColor="text1"/>
          <w:szCs w:val="21"/>
          <w:lang w:val="en-US" w:eastAsia="zh-CN"/>
          <w14:textFill>
            <w14:solidFill>
              <w14:schemeClr w14:val="tx1"/>
            </w14:solidFill>
          </w14:textFill>
        </w:rPr>
        <w:t>-C</w:t>
      </w:r>
    </w:p>
    <w:p>
      <w:pPr>
        <w:spacing w:line="360" w:lineRule="auto"/>
        <w:ind w:firstLine="5250" w:firstLineChars="25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签订地点：河南 郑州</w:t>
      </w:r>
    </w:p>
    <w:p>
      <w:pPr>
        <w:spacing w:line="360" w:lineRule="auto"/>
        <w:ind w:firstLine="5250" w:firstLineChars="2500"/>
        <w:jc w:val="left"/>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签订时间： 年  月  日</w:t>
      </w:r>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甲方（盖章）：河南中医药大学</w:t>
      </w:r>
    </w:p>
    <w:p>
      <w:pPr>
        <w:pStyle w:val="16"/>
        <w:keepNext w:val="0"/>
        <w:keepLines w:val="0"/>
        <w:pageBreakBefore w:val="0"/>
        <w:kinsoku/>
        <w:wordWrap/>
        <w:overflowPunct/>
        <w:topLinePunct w:val="0"/>
        <w:autoSpaceDE/>
        <w:autoSpaceDN/>
        <w:bidi w:val="0"/>
        <w:snapToGrid w:val="0"/>
        <w:spacing w:after="0" w:line="360" w:lineRule="auto"/>
        <w:ind w:left="0" w:leftChars="0"/>
        <w:jc w:val="left"/>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rPr>
        <w:t>乙方 (盖章)</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lang w:val="en-US" w:eastAsia="zh-CN"/>
        </w:rPr>
        <w:t>郑州莲石信息科技有限公司</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根据《中华人民共和国政府采购法》、《中华人民共和国民法典》等法律法规</w:t>
      </w:r>
      <w:r>
        <w:rPr>
          <w:rFonts w:hint="eastAsia" w:ascii="宋体" w:hAnsi="宋体" w:eastAsia="宋体" w:cs="宋体"/>
          <w:color w:val="000000" w:themeColor="text1"/>
          <w:szCs w:val="21"/>
          <w:lang w:val="en-US" w:eastAsia="zh-CN"/>
          <w14:textFill>
            <w14:solidFill>
              <w14:schemeClr w14:val="tx1"/>
            </w14:solidFill>
          </w14:textFill>
        </w:rPr>
        <w:t>及</w:t>
      </w:r>
      <w:r>
        <w:rPr>
          <w:rFonts w:hint="eastAsia" w:ascii="宋体" w:hAnsi="宋体" w:eastAsia="宋体" w:cs="宋体"/>
          <w:color w:val="000000" w:themeColor="text1"/>
          <w:szCs w:val="21"/>
          <w:u w:val="single"/>
          <w14:textFill>
            <w14:solidFill>
              <w14:schemeClr w14:val="tx1"/>
            </w14:solidFill>
          </w14:textFill>
        </w:rPr>
        <w:t>河南中医药大学数字化转型基础数据建设项目</w:t>
      </w:r>
      <w:r>
        <w:rPr>
          <w:rFonts w:hint="eastAsia" w:ascii="宋体" w:hAnsi="宋体" w:eastAsia="宋体" w:cs="宋体"/>
          <w:color w:val="000000" w:themeColor="text1"/>
          <w:szCs w:val="21"/>
          <w:u w:val="single"/>
          <w:lang w:val="en-US" w:eastAsia="zh-CN"/>
          <w14:textFill>
            <w14:solidFill>
              <w14:schemeClr w14:val="tx1"/>
            </w14:solidFill>
          </w14:textFill>
        </w:rPr>
        <w:t>C包（</w:t>
      </w:r>
      <w:r>
        <w:rPr>
          <w:rFonts w:hint="eastAsia" w:ascii="宋体" w:hAnsi="宋体" w:eastAsia="宋体" w:cs="宋体"/>
          <w:color w:val="000000" w:themeColor="text1"/>
          <w:szCs w:val="21"/>
          <w:u w:val="single"/>
          <w14:textFill>
            <w14:solidFill>
              <w14:schemeClr w14:val="tx1"/>
            </w14:solidFill>
          </w14:textFill>
        </w:rPr>
        <w:t>采购项目编号：豫财招标采购-2024-862</w:t>
      </w:r>
      <w:r>
        <w:rPr>
          <w:rFonts w:hint="eastAsia" w:ascii="宋体" w:hAnsi="宋体" w:eastAsia="宋体" w:cs="宋体"/>
          <w:color w:val="000000" w:themeColor="text1"/>
          <w:szCs w:val="21"/>
          <w:u w:val="single"/>
          <w:lang w:val="en-US"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的《招标文件》、乙方的《投标文件》及《中标通知书》</w:t>
      </w:r>
      <w:r>
        <w:rPr>
          <w:rFonts w:hint="eastAsia" w:ascii="宋体" w:hAnsi="宋体" w:eastAsia="宋体" w:cs="宋体"/>
          <w:sz w:val="21"/>
          <w:szCs w:val="21"/>
          <w:highlight w:val="none"/>
          <w:lang w:val="en-US" w:eastAsia="zh-CN"/>
        </w:rPr>
        <w:t>，经甲、乙双方协商，就甲方向乙方购买货物及相关服务事宜，签订本合同。</w:t>
      </w:r>
      <w:r>
        <w:rPr>
          <w:rFonts w:hint="eastAsia" w:ascii="宋体" w:hAnsi="宋体" w:eastAsia="宋体" w:cs="宋体"/>
          <w:sz w:val="21"/>
          <w:szCs w:val="21"/>
          <w:highlight w:val="none"/>
        </w:rPr>
        <w:t>双方同意共同遵守如下条款：</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sz w:val="21"/>
          <w:szCs w:val="21"/>
          <w:highlight w:val="none"/>
        </w:rPr>
        <w:t>一、合同货物</w:t>
      </w:r>
      <w:r>
        <w:rPr>
          <w:rFonts w:hint="eastAsia" w:ascii="宋体" w:hAnsi="宋体" w:eastAsia="宋体" w:cs="宋体"/>
          <w:b/>
          <w:bCs/>
          <w:sz w:val="21"/>
          <w:szCs w:val="21"/>
          <w:highlight w:val="none"/>
        </w:rPr>
        <w:t>名称及价格</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bCs/>
          <w:sz w:val="21"/>
          <w:szCs w:val="21"/>
          <w:highlight w:val="none"/>
        </w:rPr>
        <w:t>1.</w:t>
      </w:r>
      <w:r>
        <w:rPr>
          <w:rFonts w:hint="eastAsia" w:ascii="宋体" w:hAnsi="宋体" w:eastAsia="宋体" w:cs="宋体"/>
          <w:sz w:val="21"/>
          <w:szCs w:val="21"/>
          <w:highlight w:val="none"/>
        </w:rPr>
        <w:t xml:space="preserve"> 乙方负责向甲方提供下表中所列货物和相关的安装调试服务等（详细配置清单见附件）。</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清单1：非免税货物                                           单位：元</w:t>
      </w:r>
    </w:p>
    <w:tbl>
      <w:tblPr>
        <w:tblStyle w:val="14"/>
        <w:tblW w:w="9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150"/>
        <w:gridCol w:w="1500"/>
        <w:gridCol w:w="1432"/>
        <w:gridCol w:w="735"/>
        <w:gridCol w:w="361"/>
        <w:gridCol w:w="500"/>
        <w:gridCol w:w="910"/>
        <w:gridCol w:w="990"/>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7" w:hRule="atLeast"/>
        </w:trPr>
        <w:tc>
          <w:tcPr>
            <w:tcW w:w="418"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序号</w:t>
            </w:r>
          </w:p>
        </w:tc>
        <w:tc>
          <w:tcPr>
            <w:tcW w:w="115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货物名称</w:t>
            </w:r>
          </w:p>
        </w:tc>
        <w:tc>
          <w:tcPr>
            <w:tcW w:w="150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品牌/制造商</w:t>
            </w:r>
          </w:p>
        </w:tc>
        <w:tc>
          <w:tcPr>
            <w:tcW w:w="1432"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型号规格</w:t>
            </w:r>
          </w:p>
        </w:tc>
        <w:tc>
          <w:tcPr>
            <w:tcW w:w="735"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原产地</w:t>
            </w:r>
          </w:p>
        </w:tc>
        <w:tc>
          <w:tcPr>
            <w:tcW w:w="361"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单</w:t>
            </w:r>
          </w:p>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位</w:t>
            </w:r>
          </w:p>
        </w:tc>
        <w:tc>
          <w:tcPr>
            <w:tcW w:w="50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数</w:t>
            </w:r>
          </w:p>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量</w:t>
            </w:r>
          </w:p>
        </w:tc>
        <w:tc>
          <w:tcPr>
            <w:tcW w:w="91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单价</w:t>
            </w:r>
          </w:p>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（RMB）</w:t>
            </w:r>
          </w:p>
        </w:tc>
        <w:tc>
          <w:tcPr>
            <w:tcW w:w="99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小计</w:t>
            </w:r>
          </w:p>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（RMB）</w:t>
            </w:r>
          </w:p>
        </w:tc>
        <w:tc>
          <w:tcPr>
            <w:tcW w:w="103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交货时间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418" w:type="dxa"/>
            <w:vAlign w:val="center"/>
          </w:tcPr>
          <w:p>
            <w:pPr>
              <w:keepNext w:val="0"/>
              <w:keepLines w:val="0"/>
              <w:pageBreakBefore w:val="0"/>
              <w:kinsoku/>
              <w:wordWrap/>
              <w:overflowPunct/>
              <w:topLinePunct w:val="0"/>
              <w:autoSpaceDE/>
              <w:autoSpaceDN/>
              <w:bidi w:val="0"/>
              <w:spacing w:line="360" w:lineRule="auto"/>
              <w:jc w:val="both"/>
              <w:rPr>
                <w:rFonts w:hint="eastAsia" w:ascii="宋体" w:hAnsi="宋体" w:eastAsia="宋体" w:cs="宋体"/>
                <w:b w:val="0"/>
                <w:bCs w:val="0"/>
                <w:sz w:val="21"/>
                <w:szCs w:val="21"/>
                <w:highlight w:val="none"/>
              </w:rPr>
            </w:pPr>
            <w:bookmarkStart w:id="0" w:name="OLE_LINK8" w:colFirst="7" w:colLast="8"/>
            <w:bookmarkStart w:id="1" w:name="OLE_LINK3" w:colFirst="4" w:colLast="6"/>
            <w:bookmarkStart w:id="2" w:name="OLE_LINK1" w:colFirst="0" w:colLast="8"/>
            <w:r>
              <w:rPr>
                <w:rFonts w:hint="eastAsia" w:ascii="宋体" w:hAnsi="宋体" w:eastAsia="宋体" w:cs="宋体"/>
                <w:b w:val="0"/>
                <w:bCs w:val="0"/>
                <w:sz w:val="21"/>
                <w:szCs w:val="21"/>
                <w:highlight w:val="none"/>
              </w:rPr>
              <w:t>1</w:t>
            </w:r>
          </w:p>
        </w:tc>
        <w:tc>
          <w:tcPr>
            <w:tcW w:w="115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智慧教学综合分析系统</w:t>
            </w:r>
          </w:p>
        </w:tc>
        <w:tc>
          <w:tcPr>
            <w:tcW w:w="150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color w:val="000000"/>
                <w:kern w:val="0"/>
                <w:sz w:val="21"/>
                <w:szCs w:val="21"/>
                <w:highlight w:val="none"/>
                <w:lang w:val="en-US" w:eastAsia="zh-CN" w:bidi="ar"/>
              </w:rPr>
              <w:t>莲石/郑州莲石信息科技有限公司</w:t>
            </w:r>
            <w:r>
              <w:rPr>
                <w:rFonts w:hint="eastAsia" w:ascii="宋体" w:hAnsi="宋体" w:eastAsia="宋体" w:cs="宋体"/>
                <w:b w:val="0"/>
                <w:bCs w:val="0"/>
                <w:color w:val="000000"/>
                <w:kern w:val="0"/>
                <w:sz w:val="21"/>
                <w:szCs w:val="21"/>
                <w:highlight w:val="none"/>
                <w:lang w:bidi="ar"/>
              </w:rPr>
              <w:t xml:space="preserve"> </w:t>
            </w:r>
          </w:p>
        </w:tc>
        <w:tc>
          <w:tcPr>
            <w:tcW w:w="1432" w:type="dxa"/>
            <w:vAlign w:val="center"/>
          </w:tcPr>
          <w:p>
            <w:pPr>
              <w:keepNext w:val="0"/>
              <w:keepLines w:val="0"/>
              <w:pageBreakBefore w:val="0"/>
              <w:kinsoku/>
              <w:wordWrap/>
              <w:overflowPunct/>
              <w:topLinePunct w:val="0"/>
              <w:autoSpaceDE/>
              <w:autoSpaceDN/>
              <w:bidi w:val="0"/>
              <w:adjustRightInd w:val="0"/>
              <w:snapToGrid w:val="0"/>
              <w:spacing w:line="360" w:lineRule="auto"/>
              <w:jc w:val="both"/>
              <w:rPr>
                <w:rFonts w:hint="eastAsia" w:ascii="宋体" w:hAnsi="宋体" w:eastAsia="宋体" w:cs="宋体"/>
                <w:b w:val="0"/>
                <w:bCs w:val="0"/>
                <w:kern w:val="0"/>
                <w:sz w:val="21"/>
                <w:szCs w:val="21"/>
                <w:highlight w:val="none"/>
              </w:rPr>
            </w:pPr>
            <w:bookmarkStart w:id="3" w:name="OLE_LINK2"/>
            <w:r>
              <w:rPr>
                <w:rFonts w:hint="eastAsia" w:ascii="宋体" w:hAnsi="宋体" w:eastAsia="宋体" w:cs="宋体"/>
                <w:b w:val="0"/>
                <w:bCs w:val="0"/>
                <w:sz w:val="21"/>
                <w:szCs w:val="21"/>
                <w:lang w:val="en-US" w:eastAsia="zh-CN"/>
              </w:rPr>
              <w:t>莲石教学管理大数据分析平台V1.0</w:t>
            </w:r>
            <w:bookmarkEnd w:id="3"/>
            <w:r>
              <w:rPr>
                <w:rFonts w:hint="eastAsia" w:ascii="宋体" w:hAnsi="宋体" w:eastAsia="宋体" w:cs="宋体"/>
                <w:b w:val="0"/>
                <w:bCs w:val="0"/>
                <w:color w:val="000000"/>
                <w:kern w:val="0"/>
                <w:sz w:val="21"/>
                <w:szCs w:val="21"/>
                <w:highlight w:val="none"/>
                <w:lang w:bidi="ar"/>
              </w:rPr>
              <w:t xml:space="preserve"> </w:t>
            </w:r>
          </w:p>
        </w:tc>
        <w:tc>
          <w:tcPr>
            <w:tcW w:w="735" w:type="dxa"/>
            <w:vAlign w:val="center"/>
          </w:tcPr>
          <w:p>
            <w:pPr>
              <w:keepNext w:val="0"/>
              <w:keepLines w:val="0"/>
              <w:pageBreakBefore w:val="0"/>
              <w:widowControl/>
              <w:kinsoku/>
              <w:wordWrap/>
              <w:overflowPunct/>
              <w:topLinePunct w:val="0"/>
              <w:autoSpaceDE/>
              <w:autoSpaceDN/>
              <w:bidi w:val="0"/>
              <w:spacing w:line="360" w:lineRule="auto"/>
              <w:jc w:val="both"/>
              <w:rPr>
                <w:rFonts w:hint="eastAsia" w:ascii="宋体" w:hAnsi="宋体" w:eastAsia="宋体" w:cs="宋体"/>
                <w:b w:val="0"/>
                <w:bCs w:val="0"/>
                <w:kern w:val="0"/>
                <w:sz w:val="21"/>
                <w:szCs w:val="21"/>
                <w:highlight w:val="none"/>
              </w:rPr>
            </w:pPr>
            <w:r>
              <w:rPr>
                <w:rFonts w:hint="eastAsia" w:ascii="宋体" w:hAnsi="宋体" w:eastAsia="宋体" w:cs="宋体"/>
                <w:b w:val="0"/>
                <w:bCs w:val="0"/>
                <w:sz w:val="21"/>
                <w:szCs w:val="21"/>
                <w:highlight w:val="none"/>
              </w:rPr>
              <w:t>中国</w:t>
            </w:r>
          </w:p>
        </w:tc>
        <w:tc>
          <w:tcPr>
            <w:tcW w:w="361" w:type="dxa"/>
            <w:vAlign w:val="center"/>
          </w:tcPr>
          <w:p>
            <w:pPr>
              <w:keepNext w:val="0"/>
              <w:keepLines w:val="0"/>
              <w:pageBreakBefore w:val="0"/>
              <w:kinsoku/>
              <w:wordWrap/>
              <w:overflowPunct/>
              <w:topLinePunct w:val="0"/>
              <w:autoSpaceDE/>
              <w:autoSpaceDN/>
              <w:bidi w:val="0"/>
              <w:spacing w:line="360" w:lineRule="auto"/>
              <w:jc w:val="both"/>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套</w:t>
            </w:r>
          </w:p>
        </w:tc>
        <w:tc>
          <w:tcPr>
            <w:tcW w:w="50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91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lang w:val="en-US" w:eastAsia="zh-CN"/>
              </w:rPr>
              <w:t>390000</w:t>
            </w:r>
          </w:p>
        </w:tc>
        <w:tc>
          <w:tcPr>
            <w:tcW w:w="990" w:type="dxa"/>
            <w:vAlign w:val="center"/>
          </w:tcPr>
          <w:p>
            <w:pPr>
              <w:keepNext w:val="0"/>
              <w:keepLines w:val="0"/>
              <w:pageBreakBefore w:val="0"/>
              <w:kinsoku/>
              <w:wordWrap/>
              <w:overflowPunct/>
              <w:topLinePunct w:val="0"/>
              <w:autoSpaceDE/>
              <w:autoSpaceDN/>
              <w:bidi w:val="0"/>
              <w:spacing w:line="360" w:lineRule="auto"/>
              <w:jc w:val="both"/>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390000</w:t>
            </w:r>
          </w:p>
        </w:tc>
        <w:tc>
          <w:tcPr>
            <w:tcW w:w="1030" w:type="dxa"/>
          </w:tcPr>
          <w:p>
            <w:pPr>
              <w:keepNext w:val="0"/>
              <w:keepLines w:val="0"/>
              <w:pageBreakBefore w:val="0"/>
              <w:kinsoku/>
              <w:wordWrap/>
              <w:overflowPunct/>
              <w:topLinePunct w:val="0"/>
              <w:autoSpaceDE/>
              <w:autoSpaceDN/>
              <w:bidi w:val="0"/>
              <w:spacing w:line="360" w:lineRule="auto"/>
              <w:jc w:val="both"/>
              <w:rPr>
                <w:rFonts w:hint="eastAsia" w:ascii="宋体" w:hAnsi="宋体" w:eastAsia="宋体" w:cs="宋体"/>
                <w:b w:val="0"/>
                <w:bCs w:val="0"/>
                <w:sz w:val="21"/>
                <w:szCs w:val="21"/>
                <w:highlight w:val="none"/>
                <w:lang w:val="en-US" w:eastAsia="zh-CN"/>
              </w:rPr>
            </w:pPr>
            <w:bookmarkStart w:id="4" w:name="OLE_LINK4"/>
            <w:r>
              <w:rPr>
                <w:rFonts w:hint="eastAsia" w:ascii="宋体" w:hAnsi="宋体" w:eastAsia="宋体" w:cs="宋体"/>
                <w:b w:val="0"/>
                <w:bCs w:val="0"/>
                <w:sz w:val="21"/>
                <w:szCs w:val="21"/>
                <w:highlight w:val="none"/>
                <w:lang w:val="en-US" w:eastAsia="zh-CN"/>
              </w:rPr>
              <w:t>150日历天</w:t>
            </w:r>
            <w:bookmarkEnd w:id="4"/>
          </w:p>
        </w:tc>
      </w:tr>
      <w:bookmarkEnd w:id="0"/>
      <w:bookmarkEnd w:id="1"/>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418" w:type="dxa"/>
            <w:vAlign w:val="center"/>
          </w:tcPr>
          <w:p>
            <w:pPr>
              <w:keepNext w:val="0"/>
              <w:keepLines w:val="0"/>
              <w:pageBreakBefore w:val="0"/>
              <w:kinsoku/>
              <w:wordWrap/>
              <w:overflowPunct/>
              <w:topLinePunct w:val="0"/>
              <w:autoSpaceDE/>
              <w:autoSpaceDN/>
              <w:bidi w:val="0"/>
              <w:spacing w:line="360" w:lineRule="auto"/>
              <w:jc w:val="both"/>
              <w:rPr>
                <w:rFonts w:hint="eastAsia" w:ascii="宋体" w:hAnsi="宋体" w:eastAsia="宋体" w:cs="宋体"/>
                <w:sz w:val="21"/>
                <w:szCs w:val="21"/>
                <w:highlight w:val="none"/>
                <w:lang w:val="en-US" w:eastAsia="zh-CN"/>
              </w:rPr>
            </w:pPr>
            <w:bookmarkStart w:id="5" w:name="OLE_LINK6" w:colFirst="4" w:colLast="6"/>
            <w:bookmarkStart w:id="6" w:name="OLE_LINK5" w:colFirst="4" w:colLast="6"/>
            <w:r>
              <w:rPr>
                <w:rFonts w:hint="eastAsia" w:ascii="宋体" w:hAnsi="宋体" w:eastAsia="宋体" w:cs="宋体"/>
                <w:sz w:val="21"/>
                <w:szCs w:val="21"/>
                <w:highlight w:val="none"/>
                <w:lang w:val="en-US" w:eastAsia="zh-CN"/>
              </w:rPr>
              <w:t>2</w:t>
            </w:r>
          </w:p>
        </w:tc>
        <w:tc>
          <w:tcPr>
            <w:tcW w:w="115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b/>
                <w:sz w:val="21"/>
                <w:szCs w:val="21"/>
                <w:highlight w:val="none"/>
              </w:rPr>
            </w:pPr>
            <w:r>
              <w:rPr>
                <w:rFonts w:hint="eastAsia" w:ascii="宋体" w:hAnsi="宋体" w:eastAsia="宋体" w:cs="宋体"/>
                <w:color w:val="auto"/>
                <w:kern w:val="0"/>
                <w:sz w:val="21"/>
                <w:szCs w:val="21"/>
                <w:highlight w:val="none"/>
                <w:lang w:val="en-US" w:eastAsia="zh-CN"/>
              </w:rPr>
              <w:t>心理监测预警系统</w:t>
            </w:r>
          </w:p>
        </w:tc>
        <w:tc>
          <w:tcPr>
            <w:tcW w:w="150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color w:val="000000"/>
                <w:kern w:val="0"/>
                <w:sz w:val="21"/>
                <w:szCs w:val="21"/>
                <w:highlight w:val="none"/>
                <w:lang w:val="en-US" w:eastAsia="zh-CN" w:bidi="ar"/>
              </w:rPr>
              <w:t>莲石/郑州莲石信息科技有限公司</w:t>
            </w:r>
            <w:r>
              <w:rPr>
                <w:rFonts w:hint="eastAsia" w:ascii="宋体" w:hAnsi="宋体" w:eastAsia="宋体" w:cs="宋体"/>
                <w:b w:val="0"/>
                <w:bCs w:val="0"/>
                <w:color w:val="000000"/>
                <w:kern w:val="0"/>
                <w:sz w:val="21"/>
                <w:szCs w:val="21"/>
                <w:highlight w:val="none"/>
                <w:lang w:bidi="ar"/>
              </w:rPr>
              <w:t xml:space="preserve"> </w:t>
            </w:r>
          </w:p>
        </w:tc>
        <w:tc>
          <w:tcPr>
            <w:tcW w:w="1432" w:type="dxa"/>
            <w:vAlign w:val="center"/>
          </w:tcPr>
          <w:p>
            <w:pPr>
              <w:keepNext w:val="0"/>
              <w:keepLines w:val="0"/>
              <w:pageBreakBefore w:val="0"/>
              <w:kinsoku/>
              <w:wordWrap/>
              <w:overflowPunct/>
              <w:topLinePunct w:val="0"/>
              <w:autoSpaceDE/>
              <w:autoSpaceDN/>
              <w:bidi w:val="0"/>
              <w:adjustRightInd w:val="0"/>
              <w:snapToGrid w:val="0"/>
              <w:spacing w:line="360" w:lineRule="auto"/>
              <w:jc w:val="both"/>
              <w:rPr>
                <w:rFonts w:hint="eastAsia" w:ascii="宋体" w:hAnsi="宋体" w:eastAsia="宋体" w:cs="宋体"/>
                <w:color w:val="000000"/>
                <w:kern w:val="0"/>
                <w:sz w:val="21"/>
                <w:szCs w:val="21"/>
                <w:highlight w:val="none"/>
                <w:lang w:bidi="ar"/>
              </w:rPr>
            </w:pPr>
            <w:r>
              <w:rPr>
                <w:rFonts w:hint="eastAsia" w:ascii="宋体" w:hAnsi="宋体" w:eastAsia="宋体" w:cs="宋体"/>
                <w:b w:val="0"/>
                <w:bCs/>
                <w:sz w:val="21"/>
                <w:szCs w:val="21"/>
                <w:lang w:val="en-US" w:eastAsia="zh-CN"/>
              </w:rPr>
              <w:t>基于大数据的心理危机预警系统V1.0</w:t>
            </w:r>
          </w:p>
        </w:tc>
        <w:tc>
          <w:tcPr>
            <w:tcW w:w="735" w:type="dxa"/>
            <w:vAlign w:val="center"/>
          </w:tcPr>
          <w:p>
            <w:pPr>
              <w:keepNext w:val="0"/>
              <w:keepLines w:val="0"/>
              <w:pageBreakBefore w:val="0"/>
              <w:widowControl/>
              <w:kinsoku/>
              <w:wordWrap/>
              <w:overflowPunct/>
              <w:topLinePunct w:val="0"/>
              <w:autoSpaceDE/>
              <w:autoSpaceDN/>
              <w:bidi w:val="0"/>
              <w:spacing w:line="360" w:lineRule="auto"/>
              <w:jc w:val="both"/>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rPr>
              <w:t>中国</w:t>
            </w:r>
          </w:p>
        </w:tc>
        <w:tc>
          <w:tcPr>
            <w:tcW w:w="361" w:type="dxa"/>
            <w:vAlign w:val="center"/>
          </w:tcPr>
          <w:p>
            <w:pPr>
              <w:keepNext w:val="0"/>
              <w:keepLines w:val="0"/>
              <w:pageBreakBefore w:val="0"/>
              <w:kinsoku/>
              <w:wordWrap/>
              <w:overflowPunct/>
              <w:topLinePunct w:val="0"/>
              <w:autoSpaceDE/>
              <w:autoSpaceDN/>
              <w:bidi w:val="0"/>
              <w:spacing w:line="360" w:lineRule="auto"/>
              <w:jc w:val="both"/>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lang w:val="en-US" w:eastAsia="zh-CN"/>
              </w:rPr>
              <w:t>套</w:t>
            </w:r>
          </w:p>
        </w:tc>
        <w:tc>
          <w:tcPr>
            <w:tcW w:w="50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sz w:val="21"/>
                <w:szCs w:val="21"/>
                <w:highlight w:val="none"/>
                <w:lang w:val="en-US" w:eastAsia="zh-CN"/>
              </w:rPr>
              <w:t>1</w:t>
            </w:r>
          </w:p>
        </w:tc>
        <w:tc>
          <w:tcPr>
            <w:tcW w:w="91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260000</w:t>
            </w:r>
          </w:p>
        </w:tc>
        <w:tc>
          <w:tcPr>
            <w:tcW w:w="99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260000</w:t>
            </w:r>
          </w:p>
        </w:tc>
        <w:tc>
          <w:tcPr>
            <w:tcW w:w="1030" w:type="dxa"/>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b w:val="0"/>
                <w:bCs w:val="0"/>
                <w:sz w:val="21"/>
                <w:szCs w:val="21"/>
                <w:highlight w:val="none"/>
                <w:lang w:val="en-US" w:eastAsia="zh-CN"/>
              </w:rPr>
              <w:t>150日历天</w:t>
            </w:r>
          </w:p>
        </w:tc>
      </w:tr>
      <w:bookmarkEnd w:id="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418" w:type="dxa"/>
            <w:vAlign w:val="center"/>
          </w:tcPr>
          <w:p>
            <w:pPr>
              <w:keepNext w:val="0"/>
              <w:keepLines w:val="0"/>
              <w:pageBreakBefore w:val="0"/>
              <w:kinsoku/>
              <w:wordWrap/>
              <w:overflowPunct/>
              <w:topLinePunct w:val="0"/>
              <w:autoSpaceDE/>
              <w:autoSpaceDN/>
              <w:bidi w:val="0"/>
              <w:spacing w:line="360" w:lineRule="auto"/>
              <w:jc w:val="both"/>
              <w:rPr>
                <w:rFonts w:hint="eastAsia" w:ascii="宋体" w:hAnsi="宋体" w:eastAsia="宋体" w:cs="宋体"/>
                <w:sz w:val="21"/>
                <w:szCs w:val="21"/>
                <w:highlight w:val="none"/>
                <w:lang w:val="en-US" w:eastAsia="zh-CN"/>
              </w:rPr>
            </w:pPr>
            <w:bookmarkStart w:id="7" w:name="OLE_LINK7" w:colFirst="4" w:colLast="6"/>
            <w:r>
              <w:rPr>
                <w:rFonts w:hint="eastAsia" w:ascii="宋体" w:hAnsi="宋体" w:eastAsia="宋体" w:cs="宋体"/>
                <w:sz w:val="21"/>
                <w:szCs w:val="21"/>
                <w:highlight w:val="none"/>
                <w:lang w:val="en-US" w:eastAsia="zh-CN"/>
              </w:rPr>
              <w:t>3</w:t>
            </w:r>
          </w:p>
        </w:tc>
        <w:tc>
          <w:tcPr>
            <w:tcW w:w="115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b/>
                <w:sz w:val="21"/>
                <w:szCs w:val="21"/>
                <w:highlight w:val="none"/>
              </w:rPr>
            </w:pPr>
            <w:r>
              <w:rPr>
                <w:rFonts w:hint="eastAsia" w:ascii="宋体" w:hAnsi="宋体" w:eastAsia="宋体" w:cs="宋体"/>
                <w:color w:val="auto"/>
                <w:kern w:val="0"/>
                <w:sz w:val="21"/>
                <w:szCs w:val="21"/>
                <w:highlight w:val="none"/>
                <w:lang w:val="en-US" w:eastAsia="zh-CN"/>
              </w:rPr>
              <w:t>精准思政预警系统</w:t>
            </w:r>
          </w:p>
        </w:tc>
        <w:tc>
          <w:tcPr>
            <w:tcW w:w="150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b w:val="0"/>
                <w:bCs w:val="0"/>
                <w:color w:val="000000"/>
                <w:kern w:val="0"/>
                <w:sz w:val="21"/>
                <w:szCs w:val="21"/>
                <w:highlight w:val="none"/>
                <w:lang w:val="en-US" w:eastAsia="zh-CN" w:bidi="ar"/>
              </w:rPr>
            </w:pPr>
            <w:r>
              <w:rPr>
                <w:rFonts w:hint="eastAsia" w:ascii="宋体" w:hAnsi="宋体" w:eastAsia="宋体" w:cs="宋体"/>
                <w:b w:val="0"/>
                <w:bCs w:val="0"/>
                <w:color w:val="000000"/>
                <w:kern w:val="0"/>
                <w:sz w:val="21"/>
                <w:szCs w:val="21"/>
                <w:highlight w:val="none"/>
                <w:lang w:val="en-US" w:eastAsia="zh-CN" w:bidi="ar"/>
              </w:rPr>
              <w:t>莲石/郑州莲石信息科技有限公司</w:t>
            </w:r>
            <w:r>
              <w:rPr>
                <w:rFonts w:hint="eastAsia" w:ascii="宋体" w:hAnsi="宋体" w:eastAsia="宋体" w:cs="宋体"/>
                <w:b w:val="0"/>
                <w:bCs w:val="0"/>
                <w:color w:val="000000"/>
                <w:kern w:val="0"/>
                <w:sz w:val="21"/>
                <w:szCs w:val="21"/>
                <w:highlight w:val="none"/>
                <w:lang w:bidi="ar"/>
              </w:rPr>
              <w:t xml:space="preserve"> </w:t>
            </w:r>
          </w:p>
        </w:tc>
        <w:tc>
          <w:tcPr>
            <w:tcW w:w="1432" w:type="dxa"/>
            <w:vAlign w:val="center"/>
          </w:tcPr>
          <w:p>
            <w:pPr>
              <w:keepNext w:val="0"/>
              <w:keepLines w:val="0"/>
              <w:pageBreakBefore w:val="0"/>
              <w:kinsoku/>
              <w:wordWrap/>
              <w:overflowPunct/>
              <w:topLinePunct w:val="0"/>
              <w:autoSpaceDE/>
              <w:autoSpaceDN/>
              <w:bidi w:val="0"/>
              <w:adjustRightInd w:val="0"/>
              <w:snapToGrid w:val="0"/>
              <w:spacing w:line="360" w:lineRule="auto"/>
              <w:jc w:val="both"/>
              <w:rPr>
                <w:rFonts w:hint="eastAsia" w:ascii="宋体" w:hAnsi="宋体" w:eastAsia="宋体" w:cs="宋体"/>
                <w:color w:val="000000"/>
                <w:kern w:val="0"/>
                <w:sz w:val="21"/>
                <w:szCs w:val="21"/>
                <w:highlight w:val="none"/>
                <w:lang w:bidi="ar"/>
              </w:rPr>
            </w:pPr>
            <w:r>
              <w:rPr>
                <w:rFonts w:hint="eastAsia" w:ascii="宋体" w:hAnsi="宋体" w:eastAsia="宋体" w:cs="宋体"/>
                <w:b w:val="0"/>
                <w:bCs/>
                <w:sz w:val="21"/>
                <w:szCs w:val="21"/>
                <w:lang w:val="en-US" w:eastAsia="zh-CN"/>
              </w:rPr>
              <w:t>基于大数据的精准思政预警系统V1.0</w:t>
            </w:r>
          </w:p>
        </w:tc>
        <w:tc>
          <w:tcPr>
            <w:tcW w:w="735" w:type="dxa"/>
            <w:vAlign w:val="center"/>
          </w:tcPr>
          <w:p>
            <w:pPr>
              <w:keepNext w:val="0"/>
              <w:keepLines w:val="0"/>
              <w:pageBreakBefore w:val="0"/>
              <w:widowControl/>
              <w:kinsoku/>
              <w:wordWrap/>
              <w:overflowPunct/>
              <w:topLinePunct w:val="0"/>
              <w:autoSpaceDE/>
              <w:autoSpaceDN/>
              <w:bidi w:val="0"/>
              <w:spacing w:line="360" w:lineRule="auto"/>
              <w:jc w:val="both"/>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中国</w:t>
            </w:r>
          </w:p>
        </w:tc>
        <w:tc>
          <w:tcPr>
            <w:tcW w:w="361" w:type="dxa"/>
            <w:vAlign w:val="center"/>
          </w:tcPr>
          <w:p>
            <w:pPr>
              <w:keepNext w:val="0"/>
              <w:keepLines w:val="0"/>
              <w:pageBreakBefore w:val="0"/>
              <w:kinsoku/>
              <w:wordWrap/>
              <w:overflowPunct/>
              <w:topLinePunct w:val="0"/>
              <w:autoSpaceDE/>
              <w:autoSpaceDN/>
              <w:bidi w:val="0"/>
              <w:spacing w:line="360" w:lineRule="auto"/>
              <w:jc w:val="both"/>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套</w:t>
            </w:r>
          </w:p>
        </w:tc>
        <w:tc>
          <w:tcPr>
            <w:tcW w:w="50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1</w:t>
            </w:r>
          </w:p>
        </w:tc>
        <w:tc>
          <w:tcPr>
            <w:tcW w:w="91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138000</w:t>
            </w:r>
          </w:p>
        </w:tc>
        <w:tc>
          <w:tcPr>
            <w:tcW w:w="990" w:type="dxa"/>
            <w:vAlign w:val="center"/>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138000</w:t>
            </w:r>
          </w:p>
        </w:tc>
        <w:tc>
          <w:tcPr>
            <w:tcW w:w="1030" w:type="dxa"/>
          </w:tcPr>
          <w:p>
            <w:pPr>
              <w:keepNext w:val="0"/>
              <w:keepLines w:val="0"/>
              <w:pageBreakBefore w:val="0"/>
              <w:widowControl/>
              <w:kinsoku/>
              <w:wordWrap/>
              <w:overflowPunct/>
              <w:topLinePunct w:val="0"/>
              <w:autoSpaceDE/>
              <w:autoSpaceDN/>
              <w:bidi w:val="0"/>
              <w:spacing w:line="360" w:lineRule="auto"/>
              <w:jc w:val="both"/>
              <w:textAlignment w:val="center"/>
              <w:rPr>
                <w:rFonts w:hint="eastAsia" w:ascii="宋体" w:hAnsi="宋体" w:eastAsia="宋体" w:cs="宋体"/>
                <w:b w:val="0"/>
                <w:bCs w:val="0"/>
                <w:sz w:val="21"/>
                <w:szCs w:val="21"/>
                <w:highlight w:val="none"/>
                <w:lang w:val="en-US" w:eastAsia="zh-CN"/>
              </w:rPr>
            </w:pPr>
            <w:bookmarkStart w:id="8" w:name="OLE_LINK20"/>
            <w:r>
              <w:rPr>
                <w:rFonts w:hint="eastAsia" w:ascii="宋体" w:hAnsi="宋体" w:eastAsia="宋体" w:cs="宋体"/>
                <w:b w:val="0"/>
                <w:bCs w:val="0"/>
                <w:sz w:val="21"/>
                <w:szCs w:val="21"/>
                <w:highlight w:val="none"/>
                <w:lang w:val="en-US" w:eastAsia="zh-CN"/>
              </w:rPr>
              <w:t>150日历天</w:t>
            </w:r>
            <w:bookmarkEnd w:id="8"/>
          </w:p>
        </w:tc>
      </w:tr>
      <w:bookmarkEnd w:id="6"/>
      <w:bookmarkEnd w:id="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568" w:type="dxa"/>
            <w:gridSpan w:val="2"/>
            <w:vAlign w:val="center"/>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合计</w:t>
            </w:r>
          </w:p>
        </w:tc>
        <w:tc>
          <w:tcPr>
            <w:tcW w:w="6428" w:type="dxa"/>
            <w:gridSpan w:val="7"/>
            <w:vAlign w:val="center"/>
          </w:tcPr>
          <w:p>
            <w:pPr>
              <w:keepNext w:val="0"/>
              <w:keepLines w:val="0"/>
              <w:pageBreakBefore w:val="0"/>
              <w:kinsoku/>
              <w:wordWrap/>
              <w:overflowPunct/>
              <w:topLinePunct w:val="0"/>
              <w:autoSpaceDE/>
              <w:autoSpaceDN/>
              <w:bidi w:val="0"/>
              <w:spacing w:line="360" w:lineRule="auto"/>
              <w:jc w:val="both"/>
              <w:rPr>
                <w:rFonts w:hint="eastAsia" w:ascii="宋体" w:hAnsi="宋体" w:eastAsia="宋体" w:cs="宋体"/>
                <w:bCs/>
                <w:sz w:val="21"/>
                <w:szCs w:val="21"/>
                <w:highlight w:val="none"/>
              </w:rPr>
            </w:pPr>
            <w:r>
              <w:rPr>
                <w:rFonts w:hint="eastAsia" w:ascii="宋体" w:hAnsi="宋体" w:eastAsia="宋体" w:cs="宋体"/>
                <w:sz w:val="21"/>
                <w:szCs w:val="21"/>
                <w:highlight w:val="none"/>
              </w:rPr>
              <w:t>人民币大写：</w:t>
            </w:r>
            <w:bookmarkStart w:id="9" w:name="OLE_LINK12"/>
            <w:bookmarkStart w:id="10" w:name="OLE_LINK10"/>
            <w:r>
              <w:rPr>
                <w:rFonts w:hint="eastAsia" w:ascii="宋体" w:hAnsi="宋体" w:eastAsia="宋体" w:cs="宋体"/>
                <w:b w:val="0"/>
                <w:bCs w:val="0"/>
                <w:color w:val="auto"/>
                <w:sz w:val="21"/>
                <w:szCs w:val="21"/>
                <w:highlight w:val="none"/>
                <w:u w:val="none"/>
                <w:lang w:val="en-US" w:eastAsia="zh-CN"/>
              </w:rPr>
              <w:t>柒拾捌万捌仟</w:t>
            </w:r>
            <w:bookmarkEnd w:id="9"/>
            <w:r>
              <w:rPr>
                <w:rFonts w:hint="eastAsia" w:ascii="宋体" w:hAnsi="宋体" w:eastAsia="宋体" w:cs="宋体"/>
                <w:b w:val="0"/>
                <w:bCs w:val="0"/>
                <w:color w:val="auto"/>
                <w:sz w:val="21"/>
                <w:szCs w:val="21"/>
                <w:highlight w:val="none"/>
                <w:u w:val="none"/>
                <w:lang w:val="en-US" w:eastAsia="zh-CN"/>
              </w:rPr>
              <w:t>元整</w:t>
            </w:r>
            <w:bookmarkEnd w:id="10"/>
            <w:r>
              <w:rPr>
                <w:rFonts w:hint="eastAsia" w:ascii="宋体" w:hAnsi="宋体" w:eastAsia="宋体" w:cs="宋体"/>
                <w:sz w:val="21"/>
                <w:szCs w:val="21"/>
                <w:highlight w:val="none"/>
              </w:rPr>
              <w:t>（￥：</w:t>
            </w:r>
            <w:bookmarkStart w:id="11" w:name="OLE_LINK11"/>
            <w:bookmarkStart w:id="12" w:name="OLE_LINK13"/>
            <w:r>
              <w:rPr>
                <w:rFonts w:hint="eastAsia" w:ascii="宋体" w:hAnsi="宋体" w:eastAsia="宋体" w:cs="宋体"/>
                <w:color w:val="auto"/>
                <w:sz w:val="21"/>
                <w:szCs w:val="21"/>
                <w:highlight w:val="none"/>
                <w:u w:val="none"/>
                <w:lang w:val="en-US" w:eastAsia="zh-CN"/>
              </w:rPr>
              <w:t>788000.</w:t>
            </w:r>
            <w:bookmarkEnd w:id="11"/>
            <w:r>
              <w:rPr>
                <w:rFonts w:hint="eastAsia" w:ascii="宋体" w:hAnsi="宋体" w:eastAsia="宋体" w:cs="宋体"/>
                <w:b w:val="0"/>
                <w:bCs w:val="0"/>
                <w:color w:val="000000"/>
                <w:kern w:val="0"/>
                <w:sz w:val="21"/>
                <w:szCs w:val="21"/>
                <w:highlight w:val="none"/>
                <w:u w:val="none"/>
                <w:lang w:bidi="ar"/>
              </w:rPr>
              <w:t>00</w:t>
            </w:r>
            <w:bookmarkEnd w:id="12"/>
            <w:r>
              <w:rPr>
                <w:rFonts w:hint="eastAsia" w:ascii="宋体" w:hAnsi="宋体" w:eastAsia="宋体" w:cs="宋体"/>
                <w:sz w:val="21"/>
                <w:szCs w:val="21"/>
                <w:highlight w:val="none"/>
              </w:rPr>
              <w:t>元）</w:t>
            </w:r>
          </w:p>
        </w:tc>
        <w:tc>
          <w:tcPr>
            <w:tcW w:w="1030" w:type="dxa"/>
          </w:tcPr>
          <w:p>
            <w:pPr>
              <w:keepNext w:val="0"/>
              <w:keepLines w:val="0"/>
              <w:pageBreakBefore w:val="0"/>
              <w:kinsoku/>
              <w:wordWrap/>
              <w:overflowPunct/>
              <w:topLinePunct w:val="0"/>
              <w:autoSpaceDE/>
              <w:autoSpaceDN/>
              <w:bidi w:val="0"/>
              <w:spacing w:line="360" w:lineRule="auto"/>
              <w:jc w:val="center"/>
              <w:rPr>
                <w:rFonts w:hint="eastAsia" w:ascii="宋体" w:hAnsi="宋体" w:eastAsia="宋体" w:cs="宋体"/>
                <w:b/>
                <w:bCs/>
                <w:sz w:val="21"/>
                <w:szCs w:val="21"/>
                <w:highlight w:val="none"/>
              </w:rPr>
            </w:pPr>
          </w:p>
        </w:tc>
      </w:tr>
    </w:tbl>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 本合同（清单1）总金额人民币大写：</w:t>
      </w:r>
      <w:r>
        <w:rPr>
          <w:rFonts w:hint="eastAsia" w:ascii="宋体" w:hAnsi="宋体" w:eastAsia="宋体" w:cs="宋体"/>
          <w:b w:val="0"/>
          <w:bCs w:val="0"/>
          <w:color w:val="auto"/>
          <w:sz w:val="21"/>
          <w:szCs w:val="21"/>
          <w:highlight w:val="none"/>
          <w:u w:val="single"/>
          <w:lang w:val="en-US" w:eastAsia="zh-CN"/>
        </w:rPr>
        <w:t>柒拾捌万捌仟</w:t>
      </w:r>
      <w:r>
        <w:rPr>
          <w:rFonts w:hint="eastAsia" w:ascii="宋体" w:hAnsi="宋体" w:eastAsia="宋体" w:cs="宋体"/>
          <w:b w:val="0"/>
          <w:bCs w:val="0"/>
          <w:color w:val="000000"/>
          <w:kern w:val="0"/>
          <w:sz w:val="21"/>
          <w:szCs w:val="21"/>
          <w:highlight w:val="none"/>
          <w:u w:val="single"/>
          <w:lang w:bidi="ar"/>
        </w:rPr>
        <w:t>元整</w:t>
      </w:r>
      <w:r>
        <w:rPr>
          <w:rFonts w:hint="eastAsia" w:ascii="宋体" w:hAnsi="宋体" w:eastAsia="宋体" w:cs="宋体"/>
          <w:b w:val="0"/>
          <w:bCs w:val="0"/>
          <w:sz w:val="21"/>
          <w:szCs w:val="21"/>
          <w:highlight w:val="none"/>
        </w:rPr>
        <w:t>（RMB：</w:t>
      </w:r>
      <w:r>
        <w:rPr>
          <w:rFonts w:hint="eastAsia" w:ascii="宋体" w:hAnsi="宋体" w:eastAsia="宋体" w:cs="宋体"/>
          <w:b w:val="0"/>
          <w:bCs w:val="0"/>
          <w:color w:val="auto"/>
          <w:sz w:val="21"/>
          <w:szCs w:val="21"/>
          <w:highlight w:val="none"/>
          <w:u w:val="single"/>
          <w:lang w:val="en-US" w:eastAsia="zh-CN"/>
        </w:rPr>
        <w:t>788000</w:t>
      </w:r>
      <w:r>
        <w:rPr>
          <w:rFonts w:hint="eastAsia" w:ascii="宋体" w:hAnsi="宋体" w:eastAsia="宋体" w:cs="宋体"/>
          <w:b w:val="0"/>
          <w:bCs w:val="0"/>
          <w:sz w:val="21"/>
          <w:szCs w:val="21"/>
          <w:highlight w:val="none"/>
        </w:rPr>
        <w:t>元）。</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rPr>
        <w:t>3. 本合同总金额为货物从生产厂家至</w:t>
      </w:r>
      <w:r>
        <w:rPr>
          <w:rFonts w:hint="eastAsia" w:ascii="宋体" w:hAnsi="宋体" w:eastAsia="宋体" w:cs="宋体"/>
          <w:b w:val="0"/>
          <w:bCs w:val="0"/>
          <w:sz w:val="21"/>
          <w:szCs w:val="21"/>
          <w:highlight w:val="none"/>
          <w:u w:val="none"/>
        </w:rPr>
        <w:t>河南中医药大学校内甲方指定地点总价</w:t>
      </w:r>
      <w:r>
        <w:rPr>
          <w:rFonts w:hint="eastAsia" w:ascii="宋体" w:hAnsi="宋体" w:eastAsia="宋体" w:cs="宋体"/>
          <w:b w:val="0"/>
          <w:bCs w:val="0"/>
          <w:sz w:val="21"/>
          <w:szCs w:val="21"/>
          <w:highlight w:val="none"/>
        </w:rPr>
        <w:t>。包括：货物和附属装置、备品备件、专用工具、安装调试、培训、运输、保险、验收检测费、各类税费及相关</w:t>
      </w:r>
      <w:r>
        <w:rPr>
          <w:rFonts w:hint="eastAsia" w:ascii="宋体" w:hAnsi="宋体" w:eastAsia="宋体" w:cs="宋体"/>
          <w:sz w:val="21"/>
          <w:szCs w:val="21"/>
          <w:highlight w:val="none"/>
        </w:rPr>
        <w:t>技术服务费用和验收合格之前及保修期与备品备件等发生的所有含税费用。</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 乙方负责办理合同所涉及的进口货物海关免税手续，甲方协助乙方办理</w:t>
      </w:r>
      <w:r>
        <w:rPr>
          <w:rFonts w:hint="eastAsia" w:ascii="宋体" w:hAnsi="宋体" w:eastAsia="宋体" w:cs="宋体"/>
          <w:sz w:val="21"/>
          <w:szCs w:val="21"/>
          <w:highlight w:val="none"/>
          <w:lang w:val="en-GB"/>
        </w:rPr>
        <w:t>进口免税相关事项</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GB"/>
        </w:rPr>
        <w:t>提供与其享受免关税待遇相关的证明文件资料，</w:t>
      </w:r>
      <w:r>
        <w:rPr>
          <w:rFonts w:hint="eastAsia" w:ascii="宋体" w:hAnsi="宋体" w:eastAsia="宋体" w:cs="宋体"/>
          <w:sz w:val="21"/>
          <w:szCs w:val="21"/>
          <w:highlight w:val="none"/>
        </w:rPr>
        <w:t>费用已包括在合同总金额内。</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 本合同执行期间合同总金额不变。甲方无须另向乙方支付本合同规定之外的其他任何费用。</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 乙方所供货物若与合同要求不相符时，甲方有权拒收，并拒付该部分货物的货款。</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 履约保证金：双方签订合同前乙方按招标文件要求缴纳中标价（成交价）5%作为履约保证金，若乙方未履行合同，则履约保证金不予退还；若乙方履行合同，货物经验收合格后自动转为质量保证金。货物验收合格入库一年后无质量问题，甲方无息退还履约（质量）保证金（凭收款收据）。</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交纳方式：中标人在领取中标通知书后签订合同前将履约保证金汇（存）入采购方指定银行帐户：</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开户名称：河南中医药大学</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账  号：1702020609200014257</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000000"/>
          <w:sz w:val="21"/>
          <w:szCs w:val="21"/>
          <w:highlight w:val="none"/>
        </w:rPr>
        <w:t>开户行：工商银行花园路支行</w:t>
      </w:r>
      <w:r>
        <w:rPr>
          <w:rFonts w:hint="eastAsia" w:ascii="宋体" w:hAnsi="宋体" w:eastAsia="宋体" w:cs="宋体"/>
          <w:color w:val="auto"/>
          <w:sz w:val="21"/>
          <w:szCs w:val="21"/>
          <w:highlight w:val="none"/>
        </w:rPr>
        <w:t>（请注明中标通知书中的合同编号）</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二、货物质量标准</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 乙方提供的货物必须符合中华人民共和国国家相关标准、行业强制性标准及环保要求。同时技术指标必须与乙方投标文件所陈述的指标保持一致。用于临床的医疗仪器必须有有效的医疗器械注册证。</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乙方提供的货物必须为全新的、未使用过的原厂原包装产品（含零部件、配件、随机工具、技术文件等），且进货渠道合法。</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 乙方提供的货物必须包装外观完好、无破损，货物洁净完好、无划痕、无凹陷、无退色、无锈迹。</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 乙方提供的货物不符合合同规定的质量要求的，甲方有权拒绝接受该货物，乙方应更换被拒绝的货物，并达到合同规定的质量要求，所造成的损失由乙方承担。</w:t>
      </w:r>
      <w:r>
        <w:rPr>
          <w:rFonts w:hint="eastAsia" w:ascii="宋体" w:hAnsi="宋体" w:eastAsia="宋体" w:cs="宋体"/>
          <w:sz w:val="21"/>
          <w:szCs w:val="21"/>
          <w:highlight w:val="none"/>
          <w:lang w:val="en-US"/>
        </w:rPr>
        <w:t>乙方更换后的货物仍不符合合同规定的质量要求的，甲方有权解除合同，甲方解除合同的通</w:t>
      </w:r>
      <w:r>
        <w:rPr>
          <w:rFonts w:hint="eastAsia" w:ascii="宋体" w:hAnsi="宋体" w:eastAsia="宋体" w:cs="宋体"/>
          <w:sz w:val="21"/>
          <w:szCs w:val="21"/>
          <w:highlight w:val="none"/>
          <w:lang w:val="en-US" w:eastAsia="zh-CN"/>
        </w:rPr>
        <w:t>知</w:t>
      </w:r>
      <w:r>
        <w:rPr>
          <w:rFonts w:hint="eastAsia" w:ascii="宋体" w:hAnsi="宋体" w:eastAsia="宋体" w:cs="宋体"/>
          <w:sz w:val="21"/>
          <w:szCs w:val="21"/>
          <w:highlight w:val="none"/>
          <w:lang w:val="en-US"/>
        </w:rPr>
        <w:t>送达乙方后合同解除</w:t>
      </w:r>
      <w:r>
        <w:rPr>
          <w:rFonts w:hint="eastAsia" w:ascii="宋体" w:hAnsi="宋体" w:eastAsia="宋体" w:cs="宋体"/>
          <w:sz w:val="21"/>
          <w:szCs w:val="21"/>
          <w:highlight w:val="none"/>
        </w:rPr>
        <w:t>。</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 因货物的质量问题发生争议，由河南省商检部门进行质量鉴定。货物符合质量标准的，鉴定费由甲方承担；货物不符合质量标准的，鉴定费由乙方承担。</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三、货物包装、交货</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 包装</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⑴ 合同货物的包装必须与运输方式相适应，应有良好的防湿、防锈、防潮、防雨、防腐及防碰撞的措施。凡由于不适当的包装而造成货物在运输过程中有任何损坏、丢失等由乙方负责。</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⑵ 包装应足以承受整个过程中的运输、转运、装卸、储存等，充分考虑到运输途中的各种情况（如暴露于恶劣气候等），以及露天存放的需要。</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交货</w:t>
      </w:r>
    </w:p>
    <w:p>
      <w:pPr>
        <w:keepNext w:val="0"/>
        <w:keepLines w:val="0"/>
        <w:pageBreakBefore w:val="0"/>
        <w:tabs>
          <w:tab w:val="left" w:pos="945"/>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⑴ 乙方交货时间：合同生效后国产货物150日内全部交货。交货完毕后及时提交货物验收申请（货物经验收合格的，交货日期以甲方收到乙方验收申请函日期为准; 验收不合格的，交货日期以实际验收合格日期为准）。即</w:t>
      </w:r>
      <w:r>
        <w:rPr>
          <w:rFonts w:hint="eastAsia" w:ascii="宋体" w:hAnsi="宋体" w:eastAsia="宋体" w:cs="Times New Roman"/>
          <w:sz w:val="21"/>
          <w:szCs w:val="21"/>
        </w:rPr>
        <w:t>合同签订后</w:t>
      </w:r>
      <w:r>
        <w:rPr>
          <w:rFonts w:hint="eastAsia" w:ascii="宋体" w:hAnsi="宋体" w:eastAsia="宋体" w:cs="Times New Roman"/>
          <w:sz w:val="21"/>
          <w:szCs w:val="21"/>
          <w:lang w:val="en-US" w:eastAsia="zh-CN"/>
        </w:rPr>
        <w:t>15</w:t>
      </w:r>
      <w:r>
        <w:rPr>
          <w:rFonts w:hint="eastAsia" w:ascii="宋体" w:hAnsi="宋体" w:eastAsia="宋体" w:cs="Times New Roman"/>
          <w:sz w:val="21"/>
          <w:szCs w:val="21"/>
        </w:rPr>
        <w:t>0日内</w:t>
      </w:r>
      <w:r>
        <w:rPr>
          <w:rFonts w:hint="eastAsia" w:ascii="宋体" w:hAnsi="宋体" w:eastAsia="宋体" w:cs="宋体"/>
          <w:sz w:val="21"/>
          <w:szCs w:val="21"/>
          <w:highlight w:val="none"/>
        </w:rPr>
        <w:t>完成全部</w:t>
      </w:r>
      <w:r>
        <w:rPr>
          <w:rFonts w:hint="eastAsia" w:ascii="宋体" w:hAnsi="宋体" w:eastAsia="宋体" w:cs="宋体"/>
          <w:sz w:val="21"/>
          <w:szCs w:val="21"/>
          <w:highlight w:val="none"/>
          <w:lang w:val="en-US" w:eastAsia="zh-CN"/>
        </w:rPr>
        <w:t>产品</w:t>
      </w:r>
      <w:r>
        <w:rPr>
          <w:rFonts w:hint="eastAsia" w:ascii="宋体" w:hAnsi="宋体" w:eastAsia="宋体" w:cs="宋体"/>
          <w:sz w:val="21"/>
          <w:szCs w:val="21"/>
          <w:highlight w:val="none"/>
        </w:rPr>
        <w:t>的安装调试，并交付使用(如由于采购人的原因造成合同延迟签订或验收的，时间顺延)。乙方逾期交付物品，则每迟交一周货物应向甲方支付货款总额5%违约金，不足一周按一周计算。</w:t>
      </w:r>
    </w:p>
    <w:p>
      <w:pPr>
        <w:keepNext w:val="0"/>
        <w:keepLines w:val="0"/>
        <w:pageBreakBefore w:val="0"/>
        <w:tabs>
          <w:tab w:val="left" w:pos="945"/>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⑵.根据所购货物情况，甲方确定是否在发货前对所供货物进行检查，以保证所发货物与合同一致。所需费用由乙方承担。</w:t>
      </w:r>
    </w:p>
    <w:p>
      <w:pPr>
        <w:keepNext w:val="0"/>
        <w:keepLines w:val="0"/>
        <w:pageBreakBefore w:val="0"/>
        <w:tabs>
          <w:tab w:val="left" w:pos="945"/>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⑶ 乙方交货地点：河南中医药大学指定地点。</w:t>
      </w:r>
    </w:p>
    <w:p>
      <w:pPr>
        <w:keepNext w:val="0"/>
        <w:keepLines w:val="0"/>
        <w:pageBreakBefore w:val="0"/>
        <w:tabs>
          <w:tab w:val="left" w:pos="945"/>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⑷ 合同货物抵达甲方后，由甲乙双方一同清点货物数量，开箱检验表面状况，核对规格型号。并负责解决开箱检验清点发现的问题和赔偿。</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⑸ 乙方应将合同货物的产品序列号、用户手册、技术资料（包括详细装箱单、质量证书、设备说明书、使用手册和其它相关技术资料）及配件、随机工具等一并交付给甲方。</w:t>
      </w:r>
    </w:p>
    <w:p>
      <w:pPr>
        <w:keepNext w:val="0"/>
        <w:keepLines w:val="0"/>
        <w:pageBreakBefore w:val="0"/>
        <w:tabs>
          <w:tab w:val="left" w:pos="945"/>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⑹ 专用工具及备品、备件应分别包装，并在包装箱外加以注明其用处。</w:t>
      </w:r>
    </w:p>
    <w:p>
      <w:pPr>
        <w:keepNext w:val="0"/>
        <w:keepLines w:val="0"/>
        <w:pageBreakBefore w:val="0"/>
        <w:kinsoku/>
        <w:wordWrap/>
        <w:overflowPunct/>
        <w:topLinePunct w:val="0"/>
        <w:autoSpaceDE/>
        <w:autoSpaceDN/>
        <w:bidi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四、合同货物的安装、调试</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 乙方负责合同项下货物的安装调试至能够正常开机使用，且与合同要求的各项技术指标一致，符合各项安全标准，一切费用由乙方负责。</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乙方安装时须对各安装场地内的其它设备、设施有良好保护措施。</w:t>
      </w:r>
    </w:p>
    <w:p>
      <w:pPr>
        <w:keepNext w:val="0"/>
        <w:keepLines w:val="0"/>
        <w:pageBreakBefore w:val="0"/>
        <w:kinsoku/>
        <w:wordWrap/>
        <w:overflowPunct/>
        <w:topLinePunct w:val="0"/>
        <w:autoSpaceDE/>
        <w:autoSpaceDN/>
        <w:bidi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五、安全责任</w:t>
      </w:r>
    </w:p>
    <w:p>
      <w:pPr>
        <w:keepNext w:val="0"/>
        <w:keepLines w:val="0"/>
        <w:pageBreakBefore w:val="0"/>
        <w:kinsoku/>
        <w:wordWrap/>
        <w:overflowPunct/>
        <w:topLinePunct w:val="0"/>
        <w:autoSpaceDE/>
        <w:autoSpaceDN/>
        <w:bidi w:val="0"/>
        <w:spacing w:line="360" w:lineRule="auto"/>
        <w:ind w:firstLine="411" w:firstLineChars="196"/>
        <w:rPr>
          <w:rFonts w:hint="eastAsia" w:ascii="宋体" w:hAnsi="宋体" w:eastAsia="宋体" w:cs="宋体"/>
          <w:sz w:val="21"/>
          <w:szCs w:val="21"/>
          <w:highlight w:val="none"/>
        </w:rPr>
      </w:pPr>
      <w:r>
        <w:rPr>
          <w:rFonts w:hint="eastAsia" w:ascii="宋体" w:hAnsi="宋体" w:eastAsia="宋体" w:cs="宋体"/>
          <w:sz w:val="21"/>
          <w:szCs w:val="21"/>
          <w:highlight w:val="none"/>
        </w:rPr>
        <w:t>乙方在安装、调试合同货物过程中要严格执行国家有关人身安全及防火安全的规定，做好各项防护措施，防止各类事故的发生，若造成人身伤害及货物损坏事故等，则由乙方负全部责任。</w:t>
      </w:r>
    </w:p>
    <w:p>
      <w:pPr>
        <w:keepNext w:val="0"/>
        <w:keepLines w:val="0"/>
        <w:pageBreakBefore w:val="0"/>
        <w:kinsoku/>
        <w:wordWrap/>
        <w:overflowPunct/>
        <w:topLinePunct w:val="0"/>
        <w:autoSpaceDE/>
        <w:autoSpaceDN/>
        <w:bidi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六、货物的验收</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 乙方提交货物验收申请函。</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合同货物验收报告</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 每台仪器设备制造厂商出具的明细装箱单。</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 每台仪器设备制造厂商出具的出厂质量证书。</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 每台仪器设备制造厂商出具的使用说明书。</w:t>
      </w:r>
    </w:p>
    <w:p>
      <w:pPr>
        <w:keepNext w:val="0"/>
        <w:keepLines w:val="0"/>
        <w:pageBreakBefore w:val="0"/>
        <w:kinsoku/>
        <w:wordWrap/>
        <w:overflowPunct/>
        <w:topLinePunct w:val="0"/>
        <w:autoSpaceDE/>
        <w:autoSpaceDN/>
        <w:bidi w:val="0"/>
        <w:spacing w:line="360" w:lineRule="auto"/>
        <w:ind w:right="-82" w:rightChars="-39"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 乙方应在甲方验收前，向甲方提供按本合同的技术规格、技术规范要求进行的测试报告和验收报告，验收以招投标文件、合同技术规格、产品相应的技术说明为标准。</w:t>
      </w:r>
    </w:p>
    <w:p>
      <w:pPr>
        <w:keepNext w:val="0"/>
        <w:keepLines w:val="0"/>
        <w:pageBreakBefore w:val="0"/>
        <w:kinsoku/>
        <w:wordWrap/>
        <w:overflowPunct/>
        <w:topLinePunct w:val="0"/>
        <w:autoSpaceDE/>
        <w:autoSpaceDN/>
        <w:bidi w:val="0"/>
        <w:spacing w:line="360" w:lineRule="auto"/>
        <w:ind w:right="-82" w:rightChars="-39"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 合同货物（系统）交货（完工）并完成操作培训、粘贴条码，且正常运行30天后，甲方使用单位组织验收。验收应在甲乙双方共同参加下进行。</w:t>
      </w:r>
    </w:p>
    <w:p>
      <w:pPr>
        <w:keepNext w:val="0"/>
        <w:keepLines w:val="0"/>
        <w:pageBreakBefore w:val="0"/>
        <w:kinsoku/>
        <w:wordWrap/>
        <w:overflowPunct/>
        <w:topLinePunct w:val="0"/>
        <w:autoSpaceDE/>
        <w:autoSpaceDN/>
        <w:bidi w:val="0"/>
        <w:spacing w:line="360" w:lineRule="auto"/>
        <w:ind w:right="-82" w:rightChars="-39"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8.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 如果合同货物运输和安装调试过程中因事故造成货物短缺、损坏，乙方应及时安排换装，以保证合同货物安装调试的成功完成。换货的相关费用由乙方承担。</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10. 国内</w:t>
      </w:r>
      <w:bookmarkStart w:id="13" w:name="q8"/>
      <w:r>
        <w:rPr>
          <w:rFonts w:hint="eastAsia" w:ascii="宋体" w:hAnsi="宋体" w:eastAsia="宋体" w:cs="宋体"/>
          <w:sz w:val="21"/>
          <w:szCs w:val="21"/>
          <w:highlight w:val="none"/>
        </w:rPr>
        <w:t>产品或合资厂的产品必须具备出厂合格证。</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11. 进口产品必须具备省级（或相当于省级）商检部门的检</w:t>
      </w:r>
      <w:bookmarkEnd w:id="13"/>
      <w:r>
        <w:rPr>
          <w:rFonts w:hint="eastAsia" w:ascii="宋体" w:hAnsi="宋体" w:eastAsia="宋体" w:cs="宋体"/>
          <w:sz w:val="21"/>
          <w:szCs w:val="21"/>
          <w:highlight w:val="none"/>
        </w:rPr>
        <w:t>验证明。</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12. 乙方保证合同项下提供的货物不侵犯任何第三方的专利、商标或版权。否则，乙方须承担对第三方的专利或版权的侵权责任并承担因此而发生的所有费用。</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13. 合同货物验收未能通过的，乙方负责及时整改。若整改后仍未能合格的，甲方依法追究其经济及法律责任。</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14. 验收合格后双方共同签署验收报告，验收合格日期以最后的签字日为准。</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七、培训</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11" w:firstLineChars="196"/>
        <w:rPr>
          <w:rFonts w:hint="eastAsia" w:ascii="宋体" w:hAnsi="宋体" w:eastAsia="宋体" w:cs="宋体"/>
          <w:sz w:val="21"/>
          <w:szCs w:val="21"/>
          <w:highlight w:val="none"/>
        </w:rPr>
      </w:pPr>
      <w:r>
        <w:rPr>
          <w:rFonts w:hint="eastAsia" w:ascii="宋体" w:hAnsi="宋体" w:eastAsia="宋体" w:cs="宋体"/>
          <w:sz w:val="21"/>
          <w:szCs w:val="21"/>
          <w:highlight w:val="none"/>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单价在40万以上或对培训有特殊要求的）。</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八、 付款方式</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 xml:space="preserve">1. </w:t>
      </w:r>
      <w:r>
        <w:rPr>
          <w:rFonts w:hint="eastAsia" w:ascii="宋体" w:hAnsi="宋体" w:eastAsia="宋体" w:cs="宋体"/>
          <w:color w:val="000000"/>
          <w:sz w:val="21"/>
          <w:szCs w:val="21"/>
          <w:highlight w:val="none"/>
        </w:rPr>
        <w:t>中标的货物安装调试，正常运行30天后，经中标方、招标方组织有关人员及使用单位联合验收后，验收合格，招标方向中标方支付合同总额的100%。</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本合同项下所有政府采购结算款全部支付至乙方</w:t>
      </w:r>
      <w:bookmarkStart w:id="14" w:name="OLE_LINK14"/>
      <w:r>
        <w:rPr>
          <w:rFonts w:hint="eastAsia" w:ascii="宋体" w:hAnsi="宋体" w:eastAsia="宋体" w:cs="宋体"/>
          <w:sz w:val="21"/>
          <w:szCs w:val="21"/>
          <w:highlight w:val="none"/>
          <w:lang w:val="en-US" w:eastAsia="zh-CN"/>
        </w:rPr>
        <w:t>郑州莲石信息科技</w:t>
      </w:r>
      <w:bookmarkEnd w:id="14"/>
      <w:r>
        <w:rPr>
          <w:rFonts w:hint="eastAsia" w:ascii="宋体" w:hAnsi="宋体" w:eastAsia="宋体" w:cs="宋体"/>
          <w:sz w:val="21"/>
          <w:szCs w:val="21"/>
          <w:highlight w:val="none"/>
        </w:rPr>
        <w:t>有限公司公司在</w:t>
      </w:r>
      <w:r>
        <w:rPr>
          <w:rFonts w:hint="eastAsia" w:ascii="宋体" w:hAnsi="宋体" w:eastAsia="宋体" w:cs="宋体"/>
          <w:sz w:val="21"/>
          <w:szCs w:val="21"/>
          <w:highlight w:val="none"/>
          <w:lang w:val="en-US" w:eastAsia="zh-CN"/>
        </w:rPr>
        <w:t>中国</w:t>
      </w:r>
      <w:r>
        <w:rPr>
          <w:rFonts w:hint="eastAsia" w:ascii="宋体" w:hAnsi="宋体" w:eastAsia="宋体" w:cs="宋体"/>
          <w:sz w:val="21"/>
          <w:szCs w:val="21"/>
          <w:highlight w:val="none"/>
        </w:rPr>
        <w:t>银行开立的账户，该回款账户未经</w:t>
      </w:r>
      <w:r>
        <w:rPr>
          <w:rFonts w:hint="eastAsia" w:ascii="宋体" w:hAnsi="宋体" w:eastAsia="宋体" w:cs="宋体"/>
          <w:sz w:val="21"/>
          <w:szCs w:val="21"/>
          <w:highlight w:val="none"/>
          <w:lang w:val="en-US" w:eastAsia="zh-CN"/>
        </w:rPr>
        <w:t>郑州莲石信息科技</w:t>
      </w:r>
      <w:r>
        <w:rPr>
          <w:rFonts w:hint="eastAsia" w:ascii="宋体" w:hAnsi="宋体" w:eastAsia="宋体" w:cs="宋体"/>
          <w:sz w:val="21"/>
          <w:szCs w:val="21"/>
          <w:highlight w:val="none"/>
        </w:rPr>
        <w:t>有限公司公司同意不得更改，具体账户信息如下：</w:t>
      </w:r>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账户名称：</w:t>
      </w:r>
      <w:r>
        <w:rPr>
          <w:rFonts w:hint="eastAsia" w:ascii="宋体" w:hAnsi="宋体" w:eastAsia="宋体" w:cs="宋体"/>
          <w:sz w:val="21"/>
          <w:szCs w:val="21"/>
          <w:highlight w:val="none"/>
          <w:lang w:val="en-US" w:eastAsia="zh-CN"/>
        </w:rPr>
        <w:t>郑州莲石信息科技</w:t>
      </w:r>
      <w:r>
        <w:rPr>
          <w:rFonts w:hint="eastAsia" w:ascii="宋体" w:hAnsi="宋体" w:eastAsia="宋体" w:cs="宋体"/>
          <w:sz w:val="21"/>
          <w:szCs w:val="21"/>
          <w:highlight w:val="none"/>
        </w:rPr>
        <w:t>有限公司</w:t>
      </w:r>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sz w:val="21"/>
          <w:szCs w:val="21"/>
          <w:highlight w:val="none"/>
        </w:rPr>
      </w:pPr>
      <w:bookmarkStart w:id="15" w:name="OLE_LINK15"/>
      <w:r>
        <w:rPr>
          <w:rFonts w:hint="eastAsia" w:ascii="宋体" w:hAnsi="宋体" w:eastAsia="宋体" w:cs="宋体"/>
          <w:sz w:val="21"/>
          <w:szCs w:val="21"/>
          <w:highlight w:val="none"/>
        </w:rPr>
        <w:t xml:space="preserve"> 账    号：</w:t>
      </w:r>
      <w:r>
        <w:rPr>
          <w:rFonts w:hint="eastAsia" w:ascii="宋体" w:hAnsi="宋体" w:eastAsia="宋体" w:cs="宋体"/>
          <w:sz w:val="21"/>
          <w:szCs w:val="21"/>
        </w:rPr>
        <w:t>248169425202</w:t>
      </w:r>
      <w:r>
        <w:rPr>
          <w:rFonts w:hint="eastAsia" w:ascii="宋体" w:hAnsi="宋体" w:eastAsia="宋体" w:cs="宋体"/>
          <w:sz w:val="21"/>
          <w:szCs w:val="21"/>
          <w:highlight w:val="none"/>
        </w:rPr>
        <w:t xml:space="preserve"> </w:t>
      </w:r>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开户银行：</w:t>
      </w:r>
      <w:r>
        <w:rPr>
          <w:rFonts w:hint="eastAsia" w:ascii="宋体" w:hAnsi="宋体" w:eastAsia="宋体" w:cs="宋体"/>
          <w:sz w:val="21"/>
          <w:szCs w:val="21"/>
        </w:rPr>
        <w:t>中国银行郑州三全中路支行</w:t>
      </w:r>
    </w:p>
    <w:bookmarkEnd w:id="15"/>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 具体支付办法如下：乙方开具抬头为甲方的发票, 并送交甲方→甲方填写《河南省省级政府采购资金支付申请书》→由甲方凭《资金支付申请书》到主管部门通过网上申请付款（正确填写合同编号）→确认网上申报后，由甲方将《资金支付申请书》送交至省财政国库支付中心→支付中心审核后,将款项划转至乙方账户；合同中涉及的自筹资金由甲方自行支付给乙方；财政性资金由省级国库直接支付给乙方。</w:t>
      </w:r>
    </w:p>
    <w:p>
      <w:pPr>
        <w:keepNext w:val="0"/>
        <w:keepLines w:val="0"/>
        <w:pageBreakBefore w:val="0"/>
        <w:kinsoku/>
        <w:wordWrap/>
        <w:overflowPunct/>
        <w:topLinePunct w:val="0"/>
        <w:autoSpaceDE/>
        <w:autoSpaceDN/>
        <w:bidi w:val="0"/>
        <w:spacing w:line="360" w:lineRule="auto"/>
        <w:ind w:left="1"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 乙方向甲方申请支付货款时需提供：</w:t>
      </w:r>
    </w:p>
    <w:p>
      <w:pPr>
        <w:keepNext w:val="0"/>
        <w:keepLines w:val="0"/>
        <w:pageBreakBefore w:val="0"/>
        <w:tabs>
          <w:tab w:val="left" w:pos="3265"/>
        </w:tabs>
        <w:kinsoku/>
        <w:wordWrap/>
        <w:overflowPunct/>
        <w:topLinePunct w:val="0"/>
        <w:autoSpaceDE/>
        <w:autoSpaceDN/>
        <w:bidi w:val="0"/>
        <w:spacing w:line="360" w:lineRule="auto"/>
        <w:ind w:left="1"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 中标通知书</w:t>
      </w:r>
    </w:p>
    <w:p>
      <w:pPr>
        <w:keepNext w:val="0"/>
        <w:keepLines w:val="0"/>
        <w:pageBreakBefore w:val="0"/>
        <w:tabs>
          <w:tab w:val="left" w:pos="3265"/>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合同书</w:t>
      </w:r>
    </w:p>
    <w:p>
      <w:pPr>
        <w:keepNext w:val="0"/>
        <w:keepLines w:val="0"/>
        <w:pageBreakBefore w:val="0"/>
        <w:tabs>
          <w:tab w:val="left" w:pos="3751"/>
        </w:tabs>
        <w:kinsoku/>
        <w:wordWrap/>
        <w:overflowPunct/>
        <w:topLinePunct w:val="0"/>
        <w:autoSpaceDE/>
        <w:autoSpaceDN/>
        <w:bidi w:val="0"/>
        <w:spacing w:line="360" w:lineRule="auto"/>
        <w:ind w:left="1"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 货物正式验收测试报告</w:t>
      </w:r>
      <w:r>
        <w:rPr>
          <w:rFonts w:hint="eastAsia" w:ascii="宋体" w:hAnsi="宋体" w:eastAsia="宋体" w:cs="宋体"/>
          <w:sz w:val="21"/>
          <w:szCs w:val="21"/>
          <w:highlight w:val="none"/>
        </w:rPr>
        <w:tab/>
      </w:r>
    </w:p>
    <w:p>
      <w:pPr>
        <w:keepNext w:val="0"/>
        <w:keepLines w:val="0"/>
        <w:pageBreakBefore w:val="0"/>
        <w:tabs>
          <w:tab w:val="left" w:pos="3265"/>
        </w:tabs>
        <w:kinsoku/>
        <w:wordWrap/>
        <w:overflowPunct/>
        <w:topLinePunct w:val="0"/>
        <w:autoSpaceDE/>
        <w:autoSpaceDN/>
        <w:bidi w:val="0"/>
        <w:spacing w:line="360" w:lineRule="auto"/>
        <w:ind w:left="1"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 正式全额发票</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九、</w:t>
      </w:r>
      <w:r>
        <w:rPr>
          <w:rFonts w:hint="eastAsia" w:ascii="宋体" w:hAnsi="宋体" w:eastAsia="宋体" w:cs="宋体"/>
          <w:b/>
          <w:sz w:val="21"/>
          <w:szCs w:val="21"/>
          <w:highlight w:val="none"/>
          <w:lang w:eastAsia="zh-CN"/>
        </w:rPr>
        <w:t>质量保证期</w:t>
      </w:r>
      <w:r>
        <w:rPr>
          <w:rFonts w:hint="eastAsia" w:ascii="宋体" w:hAnsi="宋体" w:eastAsia="宋体" w:cs="宋体"/>
          <w:b/>
          <w:sz w:val="21"/>
          <w:szCs w:val="21"/>
          <w:highlight w:val="none"/>
        </w:rPr>
        <w:t>限</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b/>
          <w:sz w:val="21"/>
          <w:szCs w:val="21"/>
          <w:highlight w:val="none"/>
        </w:rPr>
      </w:pPr>
      <w:r>
        <w:rPr>
          <w:rFonts w:hint="eastAsia" w:ascii="宋体" w:hAnsi="宋体" w:eastAsia="宋体" w:cs="宋体"/>
          <w:sz w:val="21"/>
          <w:szCs w:val="21"/>
          <w:highlight w:val="none"/>
        </w:rPr>
        <w:t>所有硬件设备免费质保五年，软件系统五年内免费维保服务。</w:t>
      </w:r>
      <w:r>
        <w:rPr>
          <w:rFonts w:hint="eastAsia" w:ascii="宋体" w:hAnsi="宋体" w:eastAsia="宋体" w:cs="宋体"/>
          <w:sz w:val="21"/>
          <w:szCs w:val="21"/>
          <w:highlight w:val="none"/>
          <w:lang w:eastAsia="zh-CN"/>
        </w:rPr>
        <w:t>质量保证期</w:t>
      </w:r>
      <w:r>
        <w:rPr>
          <w:rFonts w:hint="eastAsia" w:ascii="宋体" w:hAnsi="宋体" w:eastAsia="宋体" w:cs="宋体"/>
          <w:sz w:val="21"/>
          <w:szCs w:val="21"/>
          <w:highlight w:val="none"/>
        </w:rPr>
        <w:t>自甲乙双方在设备验收报告签字之日起计算。</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十、售后服务</w:t>
      </w:r>
      <w:r>
        <w:rPr>
          <w:rFonts w:hint="eastAsia" w:ascii="宋体" w:hAnsi="宋体" w:eastAsia="宋体" w:cs="宋体"/>
          <w:b/>
          <w:sz w:val="21"/>
          <w:szCs w:val="21"/>
          <w:highlight w:val="none"/>
        </w:rPr>
        <w:tab/>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 乙方须指派专人负责与甲方联系售后服务事宜（联系人：</w:t>
      </w:r>
      <w:r>
        <w:rPr>
          <w:rFonts w:hint="eastAsia" w:ascii="宋体" w:hAnsi="宋体" w:eastAsia="宋体" w:cs="宋体"/>
          <w:sz w:val="21"/>
          <w:szCs w:val="21"/>
          <w:highlight w:val="none"/>
          <w:lang w:val="en-US" w:eastAsia="zh-CN"/>
        </w:rPr>
        <w:t>时保山</w:t>
      </w:r>
      <w:r>
        <w:rPr>
          <w:rFonts w:hint="eastAsia" w:ascii="宋体" w:hAnsi="宋体" w:eastAsia="宋体" w:cs="宋体"/>
          <w:sz w:val="21"/>
          <w:szCs w:val="21"/>
          <w:highlight w:val="none"/>
        </w:rPr>
        <w:t>，电话：</w:t>
      </w:r>
      <w:bookmarkStart w:id="16" w:name="OLE_LINK18"/>
      <w:r>
        <w:rPr>
          <w:rFonts w:hint="eastAsia" w:ascii="宋体" w:hAnsi="宋体" w:eastAsia="宋体" w:cs="宋体"/>
          <w:sz w:val="21"/>
          <w:szCs w:val="21"/>
          <w:highlight w:val="none"/>
        </w:rPr>
        <w:t>13938210570</w:t>
      </w:r>
      <w:bookmarkEnd w:id="16"/>
      <w:r>
        <w:rPr>
          <w:rFonts w:hint="eastAsia" w:ascii="宋体" w:hAnsi="宋体" w:eastAsia="宋体" w:cs="宋体"/>
          <w:bCs/>
          <w:sz w:val="21"/>
          <w:szCs w:val="21"/>
          <w:highlight w:val="none"/>
        </w:rPr>
        <w:t>）。 </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 </w:t>
      </w:r>
      <w:r>
        <w:rPr>
          <w:rFonts w:hint="eastAsia" w:ascii="宋体" w:hAnsi="宋体" w:eastAsia="宋体" w:cs="宋体"/>
          <w:sz w:val="21"/>
          <w:szCs w:val="21"/>
          <w:highlight w:val="none"/>
          <w:lang w:eastAsia="zh-CN"/>
        </w:rPr>
        <w:t>质量保证期</w:t>
      </w:r>
      <w:r>
        <w:rPr>
          <w:rFonts w:hint="eastAsia" w:ascii="宋体" w:hAnsi="宋体" w:eastAsia="宋体" w:cs="宋体"/>
          <w:sz w:val="21"/>
          <w:szCs w:val="21"/>
          <w:highlight w:val="none"/>
        </w:rPr>
        <w:t>内，乙方负责对其提供的货物上门进行硬件维修、软件维护和升级等免费服务，甲方不再支付任何费用，但人为因素或自然灾害造成的损坏除外。</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3. </w:t>
      </w:r>
      <w:r>
        <w:rPr>
          <w:rFonts w:hint="eastAsia" w:ascii="宋体" w:hAnsi="宋体" w:eastAsia="宋体" w:cs="宋体"/>
          <w:sz w:val="21"/>
          <w:szCs w:val="21"/>
          <w:highlight w:val="none"/>
          <w:lang w:eastAsia="zh-CN"/>
        </w:rPr>
        <w:t>质量保证期</w:t>
      </w:r>
      <w:r>
        <w:rPr>
          <w:rFonts w:hint="eastAsia" w:ascii="宋体" w:hAnsi="宋体" w:eastAsia="宋体" w:cs="宋体"/>
          <w:sz w:val="21"/>
          <w:szCs w:val="21"/>
          <w:highlight w:val="none"/>
        </w:rPr>
        <w:t>内，乙方在接到甲方系统故障或问题告知后，2小时内赶到现场处理，24小时之内排除故障。</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4. </w:t>
      </w:r>
      <w:r>
        <w:rPr>
          <w:rFonts w:hint="eastAsia" w:ascii="宋体" w:hAnsi="宋体" w:eastAsia="宋体" w:cs="宋体"/>
          <w:sz w:val="21"/>
          <w:szCs w:val="21"/>
          <w:highlight w:val="none"/>
          <w:lang w:eastAsia="zh-CN"/>
        </w:rPr>
        <w:t>质量保证期</w:t>
      </w:r>
      <w:r>
        <w:rPr>
          <w:rFonts w:hint="eastAsia" w:ascii="宋体" w:hAnsi="宋体" w:eastAsia="宋体" w:cs="宋体"/>
          <w:sz w:val="21"/>
          <w:szCs w:val="21"/>
          <w:highlight w:val="none"/>
        </w:rPr>
        <w:t>满后，乙方负责终身维修，维修需要更换零配件时，按出厂价收取，不再收取其他费用。如出现设备故障，保证4小时之内赶到现场处理，24小时之内排除故障。乙方不定期免费提供仪器维护和进行软件升级和技术指导。</w:t>
      </w:r>
      <w:r>
        <w:rPr>
          <w:rFonts w:hint="eastAsia" w:ascii="宋体" w:hAnsi="宋体" w:eastAsia="宋体" w:cs="宋体"/>
          <w:sz w:val="21"/>
          <w:szCs w:val="21"/>
          <w:highlight w:val="none"/>
          <w:lang w:eastAsia="zh-CN"/>
        </w:rPr>
        <w:t>质量保证期</w:t>
      </w:r>
      <w:r>
        <w:rPr>
          <w:rFonts w:hint="eastAsia" w:ascii="宋体" w:hAnsi="宋体" w:eastAsia="宋体" w:cs="宋体"/>
          <w:sz w:val="21"/>
          <w:szCs w:val="21"/>
          <w:highlight w:val="none"/>
        </w:rPr>
        <w:t>满后，乙方根据用户需要提供使用人员继续培训服务，费用视情况而定。</w:t>
      </w:r>
    </w:p>
    <w:p>
      <w:pPr>
        <w:keepNext w:val="0"/>
        <w:keepLines w:val="0"/>
        <w:pageBreakBefore w:val="0"/>
        <w:kinsoku/>
        <w:wordWrap/>
        <w:overflowPunct/>
        <w:topLinePunct w:val="0"/>
        <w:autoSpaceDE/>
        <w:autoSpaceDN/>
        <w:bidi w:val="0"/>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十一、索赔</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 甲方如对乙方所提供的货物有异议，甲方有权根据有关检验结果向乙方提出索赔。</w:t>
      </w:r>
    </w:p>
    <w:p>
      <w:pPr>
        <w:keepNext w:val="0"/>
        <w:keepLines w:val="0"/>
        <w:pageBreakBefore w:val="0"/>
        <w:kinsoku/>
        <w:wordWrap/>
        <w:overflowPunct/>
        <w:topLinePunct w:val="0"/>
        <w:autoSpaceDE/>
        <w:autoSpaceDN/>
        <w:bidi w:val="0"/>
        <w:spacing w:line="360" w:lineRule="auto"/>
        <w:ind w:left="1"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在合同执行期间，如果乙方对甲方提出的索赔和差异负有责任，乙方应按照甲方同意的下列一种或多种方式解决索赔事宜：</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⑴ 乙方同意退货，并按合同规定的同种货币将货款退还给甲方，并承担由此发生的一切损失和费用。</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⑵ 根据货物低劣程度、损坏程度以及甲方所遭受损失的数额甲乙双方商定降低货物的价格。</w:t>
      </w:r>
    </w:p>
    <w:p>
      <w:pPr>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⑶ 用符合规格、质量和性能要求的新零件、部件或货物来更换有缺陷的部分或修补缺陷的部分，乙方应承担一切费用和风险并负有甲方所发生的一切直接费用。同时，延长质量保证期。</w:t>
      </w:r>
    </w:p>
    <w:p>
      <w:pPr>
        <w:keepNext w:val="0"/>
        <w:keepLines w:val="0"/>
        <w:pageBreakBefore w:val="0"/>
        <w:tabs>
          <w:tab w:val="left" w:pos="0"/>
        </w:tabs>
        <w:kinsoku/>
        <w:wordWrap/>
        <w:overflowPunct/>
        <w:topLinePunct w:val="0"/>
        <w:autoSpaceDE/>
        <w:autoSpaceDN/>
        <w:bidi w:val="0"/>
        <w:spacing w:line="360" w:lineRule="auto"/>
        <w:ind w:left="1"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 如果在甲方发出索赔通知后</w:t>
      </w:r>
      <w:r>
        <w:rPr>
          <w:rFonts w:hint="eastAsia" w:ascii="宋体" w:hAnsi="宋体" w:eastAsia="宋体" w:cs="宋体"/>
          <w:sz w:val="21"/>
          <w:szCs w:val="21"/>
          <w:highlight w:val="none"/>
          <w:shd w:val="clear" w:color="auto" w:fill="FFFFFF"/>
        </w:rPr>
        <w:t>30</w:t>
      </w:r>
      <w:r>
        <w:rPr>
          <w:rFonts w:hint="eastAsia" w:ascii="宋体" w:hAnsi="宋体" w:eastAsia="宋体" w:cs="宋体"/>
          <w:sz w:val="21"/>
          <w:szCs w:val="21"/>
          <w:highlight w:val="none"/>
        </w:rPr>
        <w:t>天内，乙方未作答复，上述索赔应视为已被乙方接受。甲方将从合同款项中扣回索赔金额。如果这些金额不足以补偿索赔金额，甲方有权向乙方提出不足部分的补偿。</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十二、违约责任</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1. </w:t>
      </w:r>
      <w:r>
        <w:rPr>
          <w:rFonts w:hint="eastAsia" w:ascii="宋体" w:hAnsi="宋体" w:eastAsia="宋体" w:cs="宋体"/>
          <w:sz w:val="21"/>
          <w:szCs w:val="21"/>
          <w:highlight w:val="none"/>
          <w:lang w:val="en-US"/>
        </w:rPr>
        <w:t>乙方未能交付货物，则向甲方支付合同总额20%的违约金，同时履约保证金不予退还</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val="en-US"/>
        </w:rPr>
        <w:t>对甲方造成其他损失的全额赔偿。</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乙方交付的货物与投标文件或合同不相符的，甲方有权拒收，乙方向甲方支付合同总额30%的违约金，同时履约保证金不予退还。</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 乙方标书中所投货物的技术指标要求为全部满足招标文件要求，若所供货物中有一项非（</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sz w:val="21"/>
          <w:szCs w:val="21"/>
          <w:highlight w:val="none"/>
        </w:rPr>
        <w:t>）号项不满足技术指标要求，则扣除该项货物货款的10%，有一项（</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sz w:val="21"/>
          <w:szCs w:val="21"/>
          <w:highlight w:val="none"/>
        </w:rPr>
        <w:t>）号项不满足技术指标要求，则扣除该项货物货款的30%，直至扣完该项货物的全部货款，同时履约保证金不予退还。</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 甲方无正当理由拒收货物，拒付货款的，则向乙方支付合同总额10%的违约金。</w:t>
      </w:r>
    </w:p>
    <w:p>
      <w:pPr>
        <w:pStyle w:val="10"/>
        <w:keepNext w:val="0"/>
        <w:keepLines w:val="0"/>
        <w:pageBreakBefore w:val="0"/>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 乙方逾期交付货物（货物经验收合格的，交付最终时间以甲方收到乙方提交的申请验收函之日为准；货物经验收不合格的，交付最终时间实际验收合格之日为准），则每迟交一周货物应向甲方支付货款总额5%违约金（不可抗力除外），违约金乙方同意从货款中扣除。迟交达四周，甲方有权解除合同，乙方应向甲方支付合同总额20%的违约金，同时履约保证金不予退还。</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 甲方逾期付款，则每延迟一周付款甲方应向乙方支付货款总额0.5%违约金，违约金总额不超过合同总价的5%（不可抗力除外）。</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8.若乙方提出换货，则按第十二条第2款执行。</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十三、争端的解决</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凡与本合同有关而引起的一切争执和分歧，甲乙双方通过友好协商解决或调解，如协商或调解不成，任何一方可以向郑州仲裁委员会申请仲裁裁决。</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2.在进行仲裁期间，除提交仲裁机构的事项外，合同其他部分应继续履行。</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十四、</w:t>
      </w:r>
      <w:r>
        <w:rPr>
          <w:rFonts w:hint="eastAsia" w:ascii="宋体" w:hAnsi="宋体" w:eastAsia="宋体" w:cs="宋体"/>
          <w:b/>
          <w:bCs/>
          <w:sz w:val="21"/>
          <w:szCs w:val="21"/>
          <w:highlight w:val="none"/>
        </w:rPr>
        <w:t>合同组成</w:t>
      </w:r>
    </w:p>
    <w:p>
      <w:pPr>
        <w:pStyle w:val="10"/>
        <w:keepNext w:val="0"/>
        <w:keepLines w:val="0"/>
        <w:pageBreakBefore w:val="0"/>
        <w:tabs>
          <w:tab w:val="left" w:pos="0"/>
          <w:tab w:val="left" w:pos="720"/>
        </w:tabs>
        <w:kinsoku/>
        <w:wordWrap/>
        <w:overflowPunct/>
        <w:topLinePunct w:val="0"/>
        <w:autoSpaceDE/>
        <w:autoSpaceDN/>
        <w:bidi w:val="0"/>
        <w:spacing w:line="480" w:lineRule="auto"/>
        <w:ind w:firstLine="415" w:firstLineChars="198"/>
        <w:rPr>
          <w:rFonts w:hint="eastAsia" w:ascii="宋体" w:hAnsi="宋体" w:eastAsia="宋体" w:cs="宋体"/>
          <w:sz w:val="21"/>
          <w:szCs w:val="21"/>
          <w:highlight w:val="none"/>
        </w:rPr>
      </w:pPr>
      <w:r>
        <w:rPr>
          <w:rFonts w:hint="eastAsia" w:ascii="宋体" w:hAnsi="宋体" w:eastAsia="宋体" w:cs="宋体"/>
          <w:bCs/>
          <w:sz w:val="21"/>
          <w:szCs w:val="21"/>
          <w:highlight w:val="none"/>
        </w:rPr>
        <w:t>本项目</w:t>
      </w:r>
      <w:r>
        <w:rPr>
          <w:rFonts w:hint="eastAsia" w:ascii="宋体" w:hAnsi="宋体" w:eastAsia="宋体" w:cs="宋体"/>
          <w:sz w:val="21"/>
          <w:szCs w:val="21"/>
          <w:highlight w:val="none"/>
        </w:rPr>
        <w:t>招标文件、投标文件及下列附件等均为本合同的有效组成部分，与本合同具有同样法律效力。</w:t>
      </w:r>
    </w:p>
    <w:p>
      <w:pPr>
        <w:pStyle w:val="10"/>
        <w:keepNext w:val="0"/>
        <w:keepLines w:val="0"/>
        <w:pageBreakBefore w:val="0"/>
        <w:kinsoku/>
        <w:wordWrap/>
        <w:overflowPunct/>
        <w:topLinePunct w:val="0"/>
        <w:autoSpaceDE/>
        <w:autoSpaceDN/>
        <w:bidi w:val="0"/>
        <w:spacing w:line="48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 中标通知书（附件1）</w:t>
      </w:r>
      <w:r>
        <w:rPr>
          <w:rFonts w:hint="eastAsia" w:hAnsi="宋体" w:eastAsia="宋体" w:cs="宋体"/>
          <w:sz w:val="21"/>
          <w:szCs w:val="21"/>
          <w:highlight w:val="none"/>
          <w:lang w:eastAsia="zh-CN"/>
        </w:rPr>
        <w:t>；</w:t>
      </w:r>
    </w:p>
    <w:p>
      <w:pPr>
        <w:pStyle w:val="10"/>
        <w:keepNext w:val="0"/>
        <w:keepLines w:val="0"/>
        <w:pageBreakBefore w:val="0"/>
        <w:kinsoku/>
        <w:wordWrap/>
        <w:overflowPunct/>
        <w:topLinePunct w:val="0"/>
        <w:autoSpaceDE/>
        <w:autoSpaceDN/>
        <w:bidi w:val="0"/>
        <w:spacing w:line="48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2. </w:t>
      </w:r>
      <w:r>
        <w:rPr>
          <w:rFonts w:hint="eastAsia" w:ascii="宋体" w:hAnsi="宋体" w:eastAsia="宋体" w:cs="宋体"/>
          <w:bCs/>
          <w:sz w:val="21"/>
          <w:szCs w:val="21"/>
          <w:highlight w:val="none"/>
        </w:rPr>
        <w:t>中标货物分项报价一览表</w:t>
      </w:r>
      <w:r>
        <w:rPr>
          <w:rFonts w:hint="eastAsia" w:ascii="宋体" w:hAnsi="宋体" w:eastAsia="宋体" w:cs="宋体"/>
          <w:sz w:val="21"/>
          <w:szCs w:val="21"/>
          <w:highlight w:val="none"/>
        </w:rPr>
        <w:t>（附件2）</w:t>
      </w:r>
      <w:r>
        <w:rPr>
          <w:rFonts w:hint="eastAsia" w:hAnsi="宋体" w:eastAsia="宋体" w:cs="宋体"/>
          <w:sz w:val="21"/>
          <w:szCs w:val="21"/>
          <w:highlight w:val="none"/>
          <w:lang w:eastAsia="zh-CN"/>
        </w:rPr>
        <w:t>；</w:t>
      </w:r>
    </w:p>
    <w:p>
      <w:pPr>
        <w:pStyle w:val="10"/>
        <w:keepNext w:val="0"/>
        <w:keepLines w:val="0"/>
        <w:pageBreakBefore w:val="0"/>
        <w:kinsoku/>
        <w:wordWrap/>
        <w:overflowPunct/>
        <w:topLinePunct w:val="0"/>
        <w:autoSpaceDE/>
        <w:autoSpaceDN/>
        <w:bidi w:val="0"/>
        <w:spacing w:line="48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 中标货物制造商</w:t>
      </w:r>
      <w:r>
        <w:rPr>
          <w:rFonts w:hint="eastAsia" w:ascii="宋体" w:hAnsi="宋体" w:eastAsia="宋体" w:cs="宋体"/>
          <w:bCs/>
          <w:sz w:val="21"/>
          <w:szCs w:val="21"/>
          <w:highlight w:val="none"/>
        </w:rPr>
        <w:t>配置清单</w:t>
      </w:r>
      <w:r>
        <w:rPr>
          <w:rFonts w:hint="eastAsia" w:ascii="宋体" w:hAnsi="宋体" w:eastAsia="宋体" w:cs="宋体"/>
          <w:sz w:val="21"/>
          <w:szCs w:val="21"/>
          <w:highlight w:val="none"/>
        </w:rPr>
        <w:t>（附件3）</w:t>
      </w:r>
      <w:r>
        <w:rPr>
          <w:rFonts w:hint="eastAsia" w:hAnsi="宋体" w:eastAsia="宋体" w:cs="宋体"/>
          <w:sz w:val="21"/>
          <w:szCs w:val="21"/>
          <w:highlight w:val="none"/>
          <w:lang w:eastAsia="zh-CN"/>
        </w:rPr>
        <w:t>；</w:t>
      </w:r>
    </w:p>
    <w:p>
      <w:pPr>
        <w:pStyle w:val="10"/>
        <w:keepNext w:val="0"/>
        <w:keepLines w:val="0"/>
        <w:pageBreakBefore w:val="0"/>
        <w:kinsoku/>
        <w:wordWrap/>
        <w:overflowPunct/>
        <w:topLinePunct w:val="0"/>
        <w:autoSpaceDE/>
        <w:autoSpaceDN/>
        <w:bidi w:val="0"/>
        <w:spacing w:line="48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4. 中标货物技术参数及配置表（附件4） </w:t>
      </w:r>
      <w:r>
        <w:rPr>
          <w:rFonts w:hint="eastAsia" w:hAnsi="宋体" w:eastAsia="宋体" w:cs="宋体"/>
          <w:sz w:val="21"/>
          <w:szCs w:val="21"/>
          <w:highlight w:val="none"/>
          <w:lang w:eastAsia="zh-CN"/>
        </w:rPr>
        <w:t>；</w:t>
      </w:r>
    </w:p>
    <w:p>
      <w:pPr>
        <w:pStyle w:val="10"/>
        <w:keepNext w:val="0"/>
        <w:keepLines w:val="0"/>
        <w:pageBreakBefore w:val="0"/>
        <w:kinsoku/>
        <w:wordWrap/>
        <w:overflowPunct/>
        <w:topLinePunct w:val="0"/>
        <w:autoSpaceDE/>
        <w:autoSpaceDN/>
        <w:bidi w:val="0"/>
        <w:spacing w:line="48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5. 供货商质量保障及服务表（附件5）</w:t>
      </w:r>
      <w:r>
        <w:rPr>
          <w:rFonts w:hint="eastAsia" w:hAnsi="宋体" w:eastAsia="宋体" w:cs="宋体"/>
          <w:sz w:val="21"/>
          <w:szCs w:val="21"/>
          <w:highlight w:val="none"/>
          <w:lang w:eastAsia="zh-CN"/>
        </w:rPr>
        <w:t>；</w:t>
      </w:r>
    </w:p>
    <w:p>
      <w:pPr>
        <w:keepNext w:val="0"/>
        <w:keepLines w:val="0"/>
        <w:pageBreakBefore w:val="0"/>
        <w:kinsoku/>
        <w:wordWrap/>
        <w:overflowPunct/>
        <w:topLinePunct w:val="0"/>
        <w:autoSpaceDE/>
        <w:autoSpaceDN/>
        <w:bidi w:val="0"/>
        <w:spacing w:line="48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6. 中标货物安装培训计划表（附件6）</w:t>
      </w:r>
      <w:r>
        <w:rPr>
          <w:rFonts w:hint="eastAsia" w:ascii="宋体" w:hAnsi="宋体" w:eastAsia="宋体" w:cs="宋体"/>
          <w:sz w:val="21"/>
          <w:szCs w:val="21"/>
          <w:highlight w:val="none"/>
          <w:lang w:eastAsia="zh-CN"/>
        </w:rPr>
        <w:t>；</w:t>
      </w:r>
    </w:p>
    <w:p>
      <w:pPr>
        <w:pStyle w:val="10"/>
        <w:keepNext w:val="0"/>
        <w:keepLines w:val="0"/>
        <w:pageBreakBefore w:val="0"/>
        <w:kinsoku/>
        <w:wordWrap/>
        <w:overflowPunct/>
        <w:topLinePunct w:val="0"/>
        <w:autoSpaceDE/>
        <w:autoSpaceDN/>
        <w:bidi w:val="0"/>
        <w:spacing w:line="48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7. 中标货物制造商售后服务承诺（附件7）</w:t>
      </w:r>
      <w:r>
        <w:rPr>
          <w:rFonts w:hint="eastAsia" w:hAnsi="宋体" w:eastAsia="宋体" w:cs="宋体"/>
          <w:sz w:val="21"/>
          <w:szCs w:val="21"/>
          <w:highlight w:val="none"/>
          <w:lang w:eastAsia="zh-CN"/>
        </w:rPr>
        <w:t>；</w:t>
      </w:r>
    </w:p>
    <w:p>
      <w:pPr>
        <w:pStyle w:val="10"/>
        <w:keepNext w:val="0"/>
        <w:keepLines w:val="0"/>
        <w:pageBreakBefore w:val="0"/>
        <w:kinsoku/>
        <w:wordWrap/>
        <w:overflowPunct/>
        <w:topLinePunct w:val="0"/>
        <w:autoSpaceDE/>
        <w:autoSpaceDN/>
        <w:bidi w:val="0"/>
        <w:spacing w:line="48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8. 数据保密协议（附件</w:t>
      </w:r>
      <w:r>
        <w:rPr>
          <w:rFonts w:hint="eastAsia" w:hAnsi="宋体" w:eastAsia="宋体" w:cs="宋体"/>
          <w:sz w:val="21"/>
          <w:szCs w:val="21"/>
          <w:highlight w:val="none"/>
          <w:lang w:val="en-US" w:eastAsia="zh-CN"/>
        </w:rPr>
        <w:t>8</w:t>
      </w:r>
      <w:r>
        <w:rPr>
          <w:rFonts w:hint="eastAsia" w:ascii="宋体" w:hAnsi="宋体" w:eastAsia="宋体" w:cs="宋体"/>
          <w:sz w:val="21"/>
          <w:szCs w:val="21"/>
          <w:highlight w:val="none"/>
        </w:rPr>
        <w:t>）</w:t>
      </w:r>
      <w:r>
        <w:rPr>
          <w:rFonts w:hint="eastAsia" w:hAnsi="宋体" w:eastAsia="宋体" w:cs="宋体"/>
          <w:sz w:val="21"/>
          <w:szCs w:val="21"/>
          <w:highlight w:val="none"/>
          <w:lang w:eastAsia="zh-CN"/>
        </w:rPr>
        <w:t>。</w:t>
      </w:r>
    </w:p>
    <w:p>
      <w:pPr>
        <w:pStyle w:val="10"/>
        <w:keepNext w:val="0"/>
        <w:keepLines w:val="0"/>
        <w:pageBreakBefore w:val="0"/>
        <w:tabs>
          <w:tab w:val="left" w:pos="0"/>
          <w:tab w:val="left" w:pos="720"/>
        </w:tabs>
        <w:kinsoku/>
        <w:wordWrap/>
        <w:overflowPunct/>
        <w:topLinePunct w:val="0"/>
        <w:autoSpaceDE/>
        <w:autoSpaceDN/>
        <w:bidi w:val="0"/>
        <w:spacing w:line="48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十五、合同解除和终止</w:t>
      </w:r>
    </w:p>
    <w:p>
      <w:pPr>
        <w:pStyle w:val="10"/>
        <w:keepNext w:val="0"/>
        <w:keepLines w:val="0"/>
        <w:pageBreakBefore w:val="0"/>
        <w:tabs>
          <w:tab w:val="left" w:pos="0"/>
          <w:tab w:val="left" w:pos="720"/>
        </w:tabs>
        <w:kinsoku/>
        <w:wordWrap/>
        <w:overflowPunct/>
        <w:topLinePunct w:val="0"/>
        <w:autoSpaceDE/>
        <w:autoSpaceDN/>
        <w:bidi w:val="0"/>
        <w:spacing w:line="48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 甲乙双方各自完成合同规定的责任和义务，合同自然终止。</w:t>
      </w:r>
    </w:p>
    <w:p>
      <w:pPr>
        <w:keepNext w:val="0"/>
        <w:keepLines w:val="0"/>
        <w:pageBreakBefore w:val="0"/>
        <w:kinsoku/>
        <w:wordWrap/>
        <w:overflowPunct/>
        <w:topLinePunct w:val="0"/>
        <w:autoSpaceDE/>
        <w:autoSpaceDN/>
        <w:bidi w:val="0"/>
        <w:spacing w:line="480" w:lineRule="auto"/>
        <w:ind w:firstLine="428" w:firstLineChars="204"/>
        <w:rPr>
          <w:rFonts w:hint="eastAsia" w:ascii="宋体" w:hAnsi="宋体" w:eastAsia="宋体" w:cs="宋体"/>
          <w:sz w:val="21"/>
          <w:szCs w:val="21"/>
          <w:highlight w:val="none"/>
        </w:rPr>
      </w:pPr>
      <w:r>
        <w:rPr>
          <w:rFonts w:hint="eastAsia" w:ascii="宋体" w:hAnsi="宋体" w:eastAsia="宋体" w:cs="宋体"/>
          <w:sz w:val="21"/>
          <w:szCs w:val="21"/>
          <w:highlight w:val="none"/>
        </w:rPr>
        <w:t>2. 如果一方严重违反合同，并在收到对方违约通知书后在</w:t>
      </w:r>
      <w:r>
        <w:rPr>
          <w:rFonts w:hint="eastAsia" w:ascii="宋体" w:hAnsi="宋体" w:eastAsia="宋体" w:cs="宋体"/>
          <w:sz w:val="21"/>
          <w:szCs w:val="21"/>
          <w:highlight w:val="none"/>
          <w:shd w:val="clear" w:color="auto" w:fill="FFFFFF"/>
        </w:rPr>
        <w:t>30</w:t>
      </w:r>
      <w:r>
        <w:rPr>
          <w:rFonts w:hint="eastAsia" w:ascii="宋体" w:hAnsi="宋体" w:eastAsia="宋体" w:cs="宋体"/>
          <w:sz w:val="21"/>
          <w:szCs w:val="21"/>
          <w:highlight w:val="none"/>
        </w:rPr>
        <w:t>天内或在指定期限内仍未能改正违约的，另一方可立即终止本合同。</w:t>
      </w:r>
    </w:p>
    <w:p>
      <w:pPr>
        <w:pStyle w:val="10"/>
        <w:keepNext w:val="0"/>
        <w:keepLines w:val="0"/>
        <w:pageBreakBefore w:val="0"/>
        <w:tabs>
          <w:tab w:val="left" w:pos="0"/>
          <w:tab w:val="left" w:pos="720"/>
        </w:tabs>
        <w:kinsoku/>
        <w:wordWrap/>
        <w:overflowPunct/>
        <w:topLinePunct w:val="0"/>
        <w:autoSpaceDE/>
        <w:autoSpaceDN/>
        <w:bidi w:val="0"/>
        <w:spacing w:line="48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十六、其它</w:t>
      </w:r>
    </w:p>
    <w:p>
      <w:pPr>
        <w:pStyle w:val="10"/>
        <w:keepNext w:val="0"/>
        <w:keepLines w:val="0"/>
        <w:pageBreakBefore w:val="0"/>
        <w:tabs>
          <w:tab w:val="left" w:pos="0"/>
          <w:tab w:val="left" w:pos="720"/>
        </w:tabs>
        <w:kinsoku/>
        <w:wordWrap/>
        <w:overflowPunct/>
        <w:topLinePunct w:val="0"/>
        <w:autoSpaceDE/>
        <w:autoSpaceDN/>
        <w:bidi w:val="0"/>
        <w:spacing w:line="48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 本合同乙方不得将本合同全部或部分分包给他人。乙方在任何情况下都不得全部或部分转让其应履行的合同义务。</w:t>
      </w:r>
    </w:p>
    <w:p>
      <w:pPr>
        <w:pStyle w:val="10"/>
        <w:keepNext w:val="0"/>
        <w:keepLines w:val="0"/>
        <w:pageBreakBefore w:val="0"/>
        <w:tabs>
          <w:tab w:val="left" w:pos="0"/>
          <w:tab w:val="left" w:pos="720"/>
        </w:tabs>
        <w:kinsoku/>
        <w:wordWrap/>
        <w:overflowPunct/>
        <w:topLinePunct w:val="0"/>
        <w:autoSpaceDE/>
        <w:autoSpaceDN/>
        <w:bidi w:val="0"/>
        <w:spacing w:line="48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合同若有变更须经甲乙双方签字确认。</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在执行本合同的过程中，所有经双方签署确认的文件（包括会议纪要、补充协议、合同修改书、往来信函等）均为本合同的有效组成部分。</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4. </w:t>
      </w:r>
      <w:r>
        <w:rPr>
          <w:rFonts w:hint="eastAsia" w:ascii="宋体" w:hAnsi="宋体" w:eastAsia="宋体" w:cs="宋体"/>
          <w:sz w:val="21"/>
          <w:szCs w:val="21"/>
          <w:highlight w:val="none"/>
          <w:lang w:val="en-US" w:eastAsia="zh-CN"/>
        </w:rPr>
        <w:t>本合同经甲方、乙方法定代表人或授权代理人签字、盖章后生效。</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5.乙方承诺负责本合同货物的报废回收事宜。</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6. </w:t>
      </w:r>
      <w:r>
        <w:rPr>
          <w:rFonts w:hint="eastAsia" w:ascii="宋体" w:hAnsi="宋体" w:eastAsia="宋体" w:cs="宋体"/>
          <w:sz w:val="21"/>
          <w:szCs w:val="21"/>
          <w:highlight w:val="none"/>
          <w:lang w:val="en-US" w:eastAsia="zh-CN"/>
        </w:rPr>
        <w:t>本合同一式陆份，其中甲方</w:t>
      </w:r>
      <w:r>
        <w:rPr>
          <w:rFonts w:hint="eastAsia" w:hAnsi="宋体" w:eastAsia="宋体" w:cs="宋体"/>
          <w:sz w:val="21"/>
          <w:szCs w:val="21"/>
          <w:highlight w:val="none"/>
          <w:lang w:val="en-US" w:eastAsia="zh-CN"/>
        </w:rPr>
        <w:t>肆</w:t>
      </w:r>
      <w:r>
        <w:rPr>
          <w:rFonts w:hint="eastAsia" w:ascii="宋体" w:hAnsi="宋体" w:eastAsia="宋体" w:cs="宋体"/>
          <w:sz w:val="21"/>
          <w:szCs w:val="21"/>
          <w:highlight w:val="none"/>
          <w:lang w:val="en-US" w:eastAsia="zh-CN"/>
        </w:rPr>
        <w:t>份、乙方贰份。</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 本合同合计</w:t>
      </w:r>
      <w:r>
        <w:rPr>
          <w:rFonts w:hint="eastAsia" w:ascii="宋体" w:hAnsi="宋体" w:eastAsia="宋体" w:cs="宋体"/>
          <w:sz w:val="21"/>
          <w:szCs w:val="21"/>
          <w:highlight w:val="none"/>
          <w:u w:val="single"/>
          <w:lang w:val="en-US"/>
        </w:rPr>
        <w:t xml:space="preserve">   </w:t>
      </w:r>
      <w:r>
        <w:rPr>
          <w:rFonts w:hint="eastAsia" w:ascii="宋体" w:hAnsi="宋体" w:eastAsia="宋体" w:cs="宋体"/>
          <w:sz w:val="21"/>
          <w:szCs w:val="21"/>
          <w:highlight w:val="none"/>
        </w:rPr>
        <w:t>页A4纸张，缺页、缺签字日期之合同为无效合同。</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 xml:space="preserve">8. </w:t>
      </w:r>
      <w:r>
        <w:rPr>
          <w:rFonts w:hint="eastAsia" w:ascii="宋体" w:hAnsi="宋体" w:eastAsia="宋体" w:cs="宋体"/>
          <w:sz w:val="21"/>
          <w:szCs w:val="21"/>
          <w:highlight w:val="none"/>
          <w:lang w:val="en-US" w:eastAsia="zh-CN"/>
        </w:rPr>
        <w:t>合同正式签订后，乙方应在两日内向甲方提供合同网络备案所需要的电子和纸质文档资料各壹份，否则影响货款支付，后果自负。</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9. 合同金额在60万元以上，货物验收前请提供河南省省级政府采购资金支付申请书。</w:t>
      </w:r>
    </w:p>
    <w:p>
      <w:pPr>
        <w:pStyle w:val="10"/>
        <w:keepNext w:val="0"/>
        <w:keepLines w:val="0"/>
        <w:pageBreakBefore w:val="0"/>
        <w:tabs>
          <w:tab w:val="left" w:pos="0"/>
          <w:tab w:val="left" w:pos="720"/>
        </w:tabs>
        <w:kinsoku/>
        <w:wordWrap/>
        <w:overflowPunct/>
        <w:topLinePunct w:val="0"/>
        <w:autoSpaceDE/>
        <w:autoSpaceDN/>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10. 未详尽之处双方协商解决。</w:t>
      </w:r>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sz w:val="21"/>
          <w:szCs w:val="21"/>
          <w:highlight w:val="none"/>
        </w:rPr>
      </w:pPr>
    </w:p>
    <w:p>
      <w:pPr>
        <w:keepNext w:val="0"/>
        <w:keepLines w:val="0"/>
        <w:pageBreakBefore w:val="0"/>
        <w:kinsoku/>
        <w:wordWrap/>
        <w:overflowPunct/>
        <w:topLinePunct w:val="0"/>
        <w:autoSpaceDE/>
        <w:autoSpaceDN/>
        <w:bidi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甲方：河南中医药大学</w:t>
      </w:r>
      <w:r>
        <w:rPr>
          <w:rFonts w:hint="eastAsia" w:ascii="宋体" w:hAnsi="宋体" w:eastAsia="宋体" w:cs="宋体"/>
          <w:sz w:val="21"/>
          <w:szCs w:val="21"/>
          <w:highlight w:val="none"/>
        </w:rPr>
        <w:tab/>
      </w:r>
      <w:r>
        <w:rPr>
          <w:rFonts w:hint="eastAsia" w:ascii="宋体" w:hAnsi="宋体" w:eastAsia="宋体" w:cs="宋体"/>
          <w:sz w:val="21"/>
          <w:szCs w:val="21"/>
          <w:highlight w:val="none"/>
        </w:rPr>
        <w:t xml:space="preserve">                      乙方：</w:t>
      </w:r>
      <w:bookmarkStart w:id="17" w:name="OLE_LINK16"/>
      <w:r>
        <w:rPr>
          <w:rFonts w:hint="eastAsia" w:ascii="宋体" w:hAnsi="宋体" w:eastAsia="宋体" w:cs="宋体"/>
          <w:sz w:val="21"/>
          <w:szCs w:val="21"/>
          <w:lang w:val="en-US" w:eastAsia="zh-CN"/>
        </w:rPr>
        <w:t>郑州</w:t>
      </w:r>
      <w:bookmarkEnd w:id="17"/>
      <w:r>
        <w:rPr>
          <w:rFonts w:hint="eastAsia" w:ascii="宋体" w:hAnsi="宋体" w:eastAsia="宋体" w:cs="宋体"/>
          <w:sz w:val="21"/>
          <w:szCs w:val="21"/>
          <w:lang w:val="en-US" w:eastAsia="zh-CN"/>
        </w:rPr>
        <w:t>莲石信息科技有限公司</w:t>
      </w:r>
    </w:p>
    <w:p>
      <w:pPr>
        <w:pStyle w:val="10"/>
        <w:keepNext w:val="0"/>
        <w:keepLines w:val="0"/>
        <w:pageBreakBefore w:val="0"/>
        <w:tabs>
          <w:tab w:val="left" w:pos="0"/>
          <w:tab w:val="left" w:pos="720"/>
        </w:tabs>
        <w:kinsoku/>
        <w:wordWrap/>
        <w:overflowPunct/>
        <w:topLinePunct w:val="0"/>
        <w:autoSpaceDE/>
        <w:autoSpaceDN/>
        <w:bidi w:val="0"/>
        <w:spacing w:line="360" w:lineRule="auto"/>
        <w:ind w:left="6240" w:hanging="5460" w:hangingChars="26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地址：河南省郑州市郑东新区金水东路156号      地址：</w:t>
      </w:r>
      <w:bookmarkStart w:id="18" w:name="OLE_LINK38"/>
      <w:r>
        <w:rPr>
          <w:rFonts w:hint="eastAsia" w:ascii="宋体" w:hAnsi="宋体" w:eastAsia="宋体" w:cs="宋体"/>
          <w:sz w:val="21"/>
          <w:szCs w:val="21"/>
          <w:highlight w:val="none"/>
          <w:lang w:val="en-US" w:eastAsia="zh-CN"/>
        </w:rPr>
        <w:t>郑州高新区西三环路大学科技园12号楼14层</w:t>
      </w:r>
      <w:bookmarkEnd w:id="18"/>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项目组织实施单位负责人签字：    </w:t>
      </w:r>
      <w:r>
        <w:rPr>
          <w:rFonts w:hint="eastAsia" w:ascii="宋体" w:hAnsi="宋体" w:eastAsia="宋体" w:cs="宋体"/>
          <w:sz w:val="21"/>
          <w:szCs w:val="21"/>
          <w:highlight w:val="none"/>
        </w:rPr>
        <w:tab/>
      </w:r>
      <w:r>
        <w:rPr>
          <w:rFonts w:hint="eastAsia" w:ascii="宋体" w:hAnsi="宋体" w:eastAsia="宋体" w:cs="宋体"/>
          <w:sz w:val="21"/>
          <w:szCs w:val="21"/>
          <w:highlight w:val="none"/>
        </w:rPr>
        <w:t xml:space="preserve">           </w:t>
      </w:r>
      <w:r>
        <w:rPr>
          <w:rFonts w:hint="eastAsia" w:hAnsi="宋体" w:eastAsia="宋体" w:cs="宋体"/>
          <w:sz w:val="21"/>
          <w:szCs w:val="21"/>
          <w:highlight w:val="none"/>
          <w:lang w:val="en-US" w:eastAsia="zh-CN"/>
        </w:rPr>
        <w:t xml:space="preserve"> </w:t>
      </w:r>
      <w:r>
        <w:rPr>
          <w:rFonts w:hint="eastAsia" w:ascii="宋体" w:hAnsi="宋体" w:eastAsia="宋体" w:cs="宋体"/>
          <w:sz w:val="21"/>
          <w:szCs w:val="21"/>
          <w:highlight w:val="none"/>
        </w:rPr>
        <w:t>企业法人签字：</w:t>
      </w:r>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sz w:val="21"/>
          <w:szCs w:val="21"/>
          <w:highlight w:val="none"/>
        </w:rPr>
      </w:pPr>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项目主管校领导签字：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被授权人签字：</w:t>
      </w:r>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sz w:val="21"/>
          <w:szCs w:val="21"/>
          <w:highlight w:val="none"/>
        </w:rPr>
      </w:pPr>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学校印章: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单位印章:</w:t>
      </w:r>
    </w:p>
    <w:p>
      <w:pPr>
        <w:pStyle w:val="10"/>
        <w:keepNext w:val="0"/>
        <w:keepLines w:val="0"/>
        <w:pageBreakBefore w:val="0"/>
        <w:tabs>
          <w:tab w:val="left" w:pos="0"/>
          <w:tab w:val="left" w:pos="720"/>
        </w:tabs>
        <w:kinsoku/>
        <w:wordWrap/>
        <w:overflowPunct/>
        <w:topLinePunct w:val="0"/>
        <w:autoSpaceDE/>
        <w:autoSpaceDN/>
        <w:bidi w:val="0"/>
        <w:spacing w:line="360" w:lineRule="auto"/>
        <w:ind w:left="6960" w:hanging="6090" w:hangingChars="29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开户银行:</w:t>
      </w:r>
      <w:r>
        <w:rPr>
          <w:rFonts w:hint="eastAsia" w:ascii="宋体" w:hAnsi="宋体" w:eastAsia="宋体" w:cs="宋体"/>
          <w:sz w:val="21"/>
          <w:szCs w:val="21"/>
        </w:rPr>
        <w:t>中国银行郑州三全中路支行</w:t>
      </w:r>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帐    号:  </w:t>
      </w:r>
      <w:r>
        <w:rPr>
          <w:rFonts w:hint="eastAsia" w:ascii="宋体" w:hAnsi="宋体" w:eastAsia="宋体" w:cs="宋体"/>
          <w:sz w:val="21"/>
          <w:szCs w:val="21"/>
        </w:rPr>
        <w:t>248169425202</w:t>
      </w:r>
    </w:p>
    <w:p>
      <w:pPr>
        <w:adjustRightInd w:val="0"/>
        <w:snapToGrid w:val="0"/>
        <w:spacing w:line="360" w:lineRule="auto"/>
        <w:ind w:left="6960" w:hanging="6090" w:hangingChars="29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名    称：</w:t>
      </w:r>
      <w:bookmarkStart w:id="19" w:name="OLE_LINK17"/>
      <w:r>
        <w:rPr>
          <w:rFonts w:hint="eastAsia" w:ascii="宋体" w:hAnsi="宋体" w:eastAsia="宋体" w:cs="宋体"/>
          <w:sz w:val="21"/>
          <w:szCs w:val="21"/>
          <w:lang w:val="en-US" w:eastAsia="zh-CN"/>
        </w:rPr>
        <w:t>郑州莲石信息科技有限公司</w:t>
      </w:r>
      <w:bookmarkEnd w:id="19"/>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 xml:space="preserve">电    话：0371-65962530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电    话：</w:t>
      </w:r>
      <w:r>
        <w:rPr>
          <w:rFonts w:hint="eastAsia" w:ascii="宋体" w:hAnsi="宋体" w:eastAsia="宋体" w:cs="宋体"/>
          <w:sz w:val="21"/>
          <w:szCs w:val="21"/>
          <w:highlight w:val="none"/>
          <w:lang w:val="en-US" w:eastAsia="zh-CN"/>
        </w:rPr>
        <w:t>037166707310</w:t>
      </w:r>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传    真：0371-65962530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联系人手机：</w:t>
      </w:r>
      <w:bookmarkStart w:id="20" w:name="OLE_LINK36"/>
      <w:r>
        <w:rPr>
          <w:rFonts w:hint="eastAsia" w:ascii="宋体" w:hAnsi="宋体" w:eastAsia="宋体" w:cs="宋体"/>
          <w:sz w:val="21"/>
          <w:szCs w:val="21"/>
          <w:highlight w:val="none"/>
        </w:rPr>
        <w:t xml:space="preserve">13938210570 </w:t>
      </w:r>
      <w:bookmarkEnd w:id="20"/>
      <w:r>
        <w:rPr>
          <w:rFonts w:hint="eastAsia" w:ascii="宋体" w:hAnsi="宋体" w:eastAsia="宋体" w:cs="宋体"/>
          <w:sz w:val="21"/>
          <w:szCs w:val="21"/>
          <w:highlight w:val="none"/>
        </w:rPr>
        <w:t xml:space="preserve">   </w:t>
      </w:r>
    </w:p>
    <w:p>
      <w:pPr>
        <w:pStyle w:val="10"/>
        <w:keepNext w:val="0"/>
        <w:keepLines w:val="0"/>
        <w:pageBreakBefore w:val="0"/>
        <w:tabs>
          <w:tab w:val="left" w:pos="0"/>
          <w:tab w:val="left" w:pos="720"/>
        </w:tabs>
        <w:kinsoku/>
        <w:wordWrap/>
        <w:overflowPunct/>
        <w:topLinePunct w:val="0"/>
        <w:autoSpaceDE/>
        <w:autoSpaceDN/>
        <w:bidi w:val="0"/>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签字日期：  年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月</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日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签字日期：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 年  </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lang w:val="en-US" w:eastAsia="zh-CN"/>
        </w:rPr>
        <w:t xml:space="preserve">  </w:t>
      </w:r>
      <w:r>
        <w:rPr>
          <w:rFonts w:hint="eastAsia" w:hAnsi="宋体" w:eastAsia="宋体" w:cs="宋体"/>
          <w:sz w:val="21"/>
          <w:szCs w:val="21"/>
          <w:highlight w:val="none"/>
          <w:lang w:val="en-US" w:eastAsia="zh-CN"/>
        </w:rPr>
        <w:t xml:space="preserve"> </w:t>
      </w:r>
      <w:r>
        <w:rPr>
          <w:rFonts w:hint="eastAsia" w:ascii="宋体" w:hAnsi="宋体" w:eastAsia="宋体" w:cs="宋体"/>
          <w:sz w:val="21"/>
          <w:szCs w:val="21"/>
          <w:highlight w:val="none"/>
        </w:rPr>
        <w:t xml:space="preserve">日  </w:t>
      </w:r>
    </w:p>
    <w:p>
      <w:pPr>
        <w:rPr>
          <w:rFonts w:hint="eastAsia" w:ascii="宋体" w:hAnsi="宋体" w:eastAsia="宋体" w:cs="宋体"/>
          <w:b/>
          <w:sz w:val="21"/>
          <w:szCs w:val="21"/>
          <w:highlight w:val="none"/>
        </w:rPr>
      </w:pPr>
      <w:r>
        <w:rPr>
          <w:rFonts w:hint="eastAsia" w:ascii="宋体" w:hAnsi="宋体" w:eastAsia="宋体" w:cs="宋体"/>
          <w:b/>
          <w:sz w:val="21"/>
          <w:szCs w:val="21"/>
          <w:highlight w:val="none"/>
        </w:rPr>
        <w:br w:type="page"/>
      </w:r>
    </w:p>
    <w:p>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附件1：</w:t>
      </w:r>
    </w:p>
    <w:p>
      <w:pPr>
        <w:spacing w:line="360" w:lineRule="auto"/>
        <w:ind w:firstLine="2789" w:firstLineChars="1323"/>
        <w:rPr>
          <w:rFonts w:hint="eastAsia" w:ascii="宋体" w:hAnsi="宋体" w:eastAsia="宋体" w:cs="宋体"/>
          <w:b/>
          <w:sz w:val="21"/>
          <w:szCs w:val="21"/>
          <w:highlight w:val="none"/>
        </w:rPr>
      </w:pPr>
      <w:r>
        <w:rPr>
          <w:rFonts w:hint="eastAsia" w:ascii="宋体" w:hAnsi="宋体" w:eastAsia="宋体" w:cs="宋体"/>
          <w:b/>
          <w:sz w:val="21"/>
          <w:szCs w:val="21"/>
          <w:highlight w:val="none"/>
        </w:rPr>
        <w:t>中标通知书（扫描）</w:t>
      </w:r>
    </w:p>
    <w:p>
      <w:pPr>
        <w:rPr>
          <w:rFonts w:hint="eastAsia" w:ascii="宋体" w:hAnsi="宋体" w:eastAsia="宋体" w:cs="宋体"/>
          <w:b/>
          <w:sz w:val="21"/>
          <w:szCs w:val="21"/>
          <w:highlight w:val="none"/>
        </w:rPr>
      </w:pPr>
      <w:r>
        <w:rPr>
          <w:rFonts w:hint="eastAsia" w:ascii="宋体" w:hAnsi="宋体" w:eastAsia="宋体" w:cs="宋体"/>
          <w:sz w:val="21"/>
          <w:szCs w:val="21"/>
        </w:rPr>
        <w:drawing>
          <wp:inline distT="0" distB="0" distL="114300" distR="114300">
            <wp:extent cx="5273040" cy="7440295"/>
            <wp:effectExtent l="0" t="0" r="1016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3040" cy="7440295"/>
                    </a:xfrm>
                    <a:prstGeom prst="rect">
                      <a:avLst/>
                    </a:prstGeom>
                    <a:noFill/>
                    <a:ln>
                      <a:noFill/>
                    </a:ln>
                  </pic:spPr>
                </pic:pic>
              </a:graphicData>
            </a:graphic>
          </wp:inline>
        </w:drawing>
      </w:r>
      <w:r>
        <w:rPr>
          <w:rFonts w:hint="eastAsia" w:ascii="宋体" w:hAnsi="宋体" w:eastAsia="宋体" w:cs="宋体"/>
          <w:b/>
          <w:sz w:val="21"/>
          <w:szCs w:val="21"/>
          <w:highlight w:val="none"/>
        </w:rPr>
        <w:br w:type="page"/>
      </w:r>
    </w:p>
    <w:p>
      <w:pPr>
        <w:spacing w:line="360" w:lineRule="auto"/>
        <w:ind w:firstLine="2789" w:firstLineChars="1323"/>
        <w:rPr>
          <w:rFonts w:hint="eastAsia" w:ascii="宋体" w:hAnsi="宋体" w:eastAsia="宋体" w:cs="宋体"/>
          <w:b/>
          <w:sz w:val="21"/>
          <w:szCs w:val="21"/>
          <w:highlight w:val="none"/>
        </w:rPr>
      </w:pPr>
    </w:p>
    <w:p>
      <w:pPr>
        <w:spacing w:line="360" w:lineRule="auto"/>
        <w:rPr>
          <w:rFonts w:hint="eastAsia" w:ascii="宋体" w:hAnsi="宋体" w:eastAsia="宋体" w:cs="宋体"/>
          <w:b/>
          <w:sz w:val="21"/>
          <w:szCs w:val="21"/>
          <w:highlight w:val="none"/>
        </w:rPr>
      </w:pPr>
    </w:p>
    <w:p>
      <w:pPr>
        <w:spacing w:line="360" w:lineRule="auto"/>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rPr>
        <w:t>附件2</w:t>
      </w:r>
      <w:r>
        <w:rPr>
          <w:rFonts w:hint="eastAsia" w:ascii="宋体" w:hAnsi="宋体" w:eastAsia="宋体" w:cs="宋体"/>
          <w:b/>
          <w:sz w:val="21"/>
          <w:szCs w:val="21"/>
          <w:highlight w:val="none"/>
          <w:lang w:eastAsia="zh-CN"/>
        </w:rPr>
        <w:t>：</w:t>
      </w:r>
    </w:p>
    <w:p>
      <w:pPr>
        <w:pStyle w:val="10"/>
        <w:tabs>
          <w:tab w:val="left" w:pos="0"/>
          <w:tab w:val="left" w:pos="720"/>
        </w:tabs>
        <w:spacing w:line="440" w:lineRule="exact"/>
        <w:ind w:firstLine="2741" w:firstLineChars="13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投标货物分项报价一览表</w:t>
      </w:r>
    </w:p>
    <w:tbl>
      <w:tblPr>
        <w:tblStyle w:val="14"/>
        <w:tblW w:w="9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60"/>
        <w:gridCol w:w="1220"/>
        <w:gridCol w:w="850"/>
        <w:gridCol w:w="350"/>
        <w:gridCol w:w="450"/>
        <w:gridCol w:w="540"/>
        <w:gridCol w:w="750"/>
        <w:gridCol w:w="710"/>
        <w:gridCol w:w="510"/>
        <w:gridCol w:w="570"/>
        <w:gridCol w:w="480"/>
        <w:gridCol w:w="600"/>
        <w:gridCol w:w="988"/>
        <w:gridCol w:w="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423" w:type="dxa"/>
            <w:vAlign w:val="center"/>
          </w:tcPr>
          <w:p>
            <w:pPr>
              <w:pStyle w:val="10"/>
              <w:tabs>
                <w:tab w:val="left" w:pos="0"/>
                <w:tab w:val="left" w:pos="720"/>
              </w:tabs>
              <w:spacing w:line="44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86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货物名称</w:t>
            </w:r>
          </w:p>
        </w:tc>
        <w:tc>
          <w:tcPr>
            <w:tcW w:w="1220" w:type="dxa"/>
            <w:vAlign w:val="center"/>
          </w:tcPr>
          <w:p>
            <w:pPr>
              <w:widowControl/>
              <w:jc w:val="center"/>
              <w:rPr>
                <w:rFonts w:hint="eastAsia" w:ascii="宋体" w:hAnsi="宋体" w:eastAsia="宋体" w:cs="宋体"/>
                <w:kern w:val="0"/>
                <w:sz w:val="21"/>
                <w:szCs w:val="21"/>
                <w:highlight w:val="none"/>
              </w:rPr>
            </w:pPr>
            <w:r>
              <w:rPr>
                <w:rFonts w:hint="eastAsia" w:ascii="宋体" w:hAnsi="宋体" w:eastAsia="宋体" w:cs="宋体"/>
                <w:sz w:val="21"/>
                <w:szCs w:val="21"/>
                <w:highlight w:val="none"/>
              </w:rPr>
              <w:t>型号规格</w:t>
            </w:r>
          </w:p>
        </w:tc>
        <w:tc>
          <w:tcPr>
            <w:tcW w:w="850" w:type="dxa"/>
            <w:vAlign w:val="center"/>
          </w:tcPr>
          <w:p>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制造商</w:t>
            </w:r>
          </w:p>
        </w:tc>
        <w:tc>
          <w:tcPr>
            <w:tcW w:w="350" w:type="dxa"/>
            <w:vAlign w:val="center"/>
          </w:tcPr>
          <w:p>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产</w:t>
            </w:r>
          </w:p>
          <w:p>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地</w:t>
            </w:r>
          </w:p>
        </w:tc>
        <w:tc>
          <w:tcPr>
            <w:tcW w:w="45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位</w:t>
            </w:r>
          </w:p>
        </w:tc>
        <w:tc>
          <w:tcPr>
            <w:tcW w:w="54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c>
          <w:tcPr>
            <w:tcW w:w="75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单价（RMB）</w:t>
            </w:r>
          </w:p>
        </w:tc>
        <w:tc>
          <w:tcPr>
            <w:tcW w:w="71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小计（RMB）</w:t>
            </w:r>
          </w:p>
        </w:tc>
        <w:tc>
          <w:tcPr>
            <w:tcW w:w="510" w:type="dxa"/>
            <w:vAlign w:val="center"/>
          </w:tcPr>
          <w:p>
            <w:pPr>
              <w:ind w:left="-107" w:leftChars="-51" w:right="-107" w:rightChars="-51"/>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运输及</w:t>
            </w:r>
          </w:p>
          <w:p>
            <w:pPr>
              <w:ind w:left="-107" w:leftChars="-51" w:right="-107" w:rightChars="-51"/>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保险费</w:t>
            </w:r>
          </w:p>
        </w:tc>
        <w:tc>
          <w:tcPr>
            <w:tcW w:w="570" w:type="dxa"/>
            <w:vAlign w:val="center"/>
          </w:tcPr>
          <w:p>
            <w:pPr>
              <w:ind w:left="-107" w:leftChars="-51" w:right="-107" w:rightChars="-51"/>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技术</w:t>
            </w:r>
          </w:p>
          <w:p>
            <w:pPr>
              <w:ind w:left="-107" w:leftChars="-51" w:right="-107" w:rightChars="-51"/>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服务费</w:t>
            </w:r>
          </w:p>
        </w:tc>
        <w:tc>
          <w:tcPr>
            <w:tcW w:w="48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税费</w:t>
            </w:r>
          </w:p>
        </w:tc>
        <w:tc>
          <w:tcPr>
            <w:tcW w:w="60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交货日期</w:t>
            </w:r>
          </w:p>
        </w:tc>
        <w:tc>
          <w:tcPr>
            <w:tcW w:w="988"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交货地（港）</w:t>
            </w:r>
          </w:p>
        </w:tc>
        <w:tc>
          <w:tcPr>
            <w:tcW w:w="43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423" w:type="dxa"/>
            <w:vAlign w:val="center"/>
          </w:tcPr>
          <w:p>
            <w:pPr>
              <w:jc w:val="center"/>
              <w:rPr>
                <w:rFonts w:hint="eastAsia" w:ascii="宋体" w:hAnsi="宋体" w:eastAsia="宋体" w:cs="宋体"/>
                <w:sz w:val="21"/>
                <w:szCs w:val="21"/>
                <w:highlight w:val="none"/>
              </w:rPr>
            </w:pPr>
            <w:bookmarkStart w:id="21" w:name="OLE_LINK22" w:colFirst="3" w:colLast="13"/>
            <w:bookmarkStart w:id="22" w:name="OLE_LINK21" w:colFirst="4" w:colLast="13"/>
            <w:r>
              <w:rPr>
                <w:rFonts w:hint="eastAsia" w:ascii="宋体" w:hAnsi="宋体" w:eastAsia="宋体" w:cs="宋体"/>
                <w:sz w:val="21"/>
                <w:szCs w:val="21"/>
                <w:highlight w:val="none"/>
              </w:rPr>
              <w:t>1</w:t>
            </w:r>
          </w:p>
        </w:tc>
        <w:tc>
          <w:tcPr>
            <w:tcW w:w="860" w:type="dxa"/>
            <w:vAlign w:val="center"/>
          </w:tcPr>
          <w:p>
            <w:pPr>
              <w:pStyle w:val="10"/>
              <w:tabs>
                <w:tab w:val="left" w:pos="0"/>
                <w:tab w:val="left" w:pos="720"/>
              </w:tabs>
              <w:spacing w:line="440" w:lineRule="exact"/>
              <w:jc w:val="center"/>
              <w:rPr>
                <w:rFonts w:hint="eastAsia" w:ascii="宋体" w:hAnsi="宋体" w:eastAsia="宋体" w:cs="宋体"/>
                <w:b/>
                <w:sz w:val="21"/>
                <w:szCs w:val="21"/>
                <w:highlight w:val="none"/>
              </w:rPr>
            </w:pPr>
            <w:bookmarkStart w:id="23" w:name="OLE_LINK29"/>
            <w:r>
              <w:rPr>
                <w:rFonts w:hint="eastAsia" w:ascii="宋体" w:hAnsi="宋体" w:eastAsia="宋体" w:cs="宋体"/>
                <w:color w:val="auto"/>
                <w:kern w:val="0"/>
                <w:sz w:val="21"/>
                <w:szCs w:val="21"/>
                <w:highlight w:val="none"/>
                <w:lang w:val="en-US" w:eastAsia="zh-CN"/>
              </w:rPr>
              <w:t>智慧教学综合分析系统</w:t>
            </w:r>
            <w:bookmarkEnd w:id="23"/>
          </w:p>
        </w:tc>
        <w:tc>
          <w:tcPr>
            <w:tcW w:w="1220" w:type="dxa"/>
            <w:vAlign w:val="center"/>
          </w:tcPr>
          <w:p>
            <w:pPr>
              <w:pStyle w:val="10"/>
              <w:tabs>
                <w:tab w:val="left" w:pos="0"/>
                <w:tab w:val="left" w:pos="720"/>
              </w:tabs>
              <w:spacing w:line="440" w:lineRule="exact"/>
              <w:jc w:val="center"/>
              <w:rPr>
                <w:rFonts w:hint="eastAsia" w:ascii="宋体" w:hAnsi="宋体" w:eastAsia="宋体" w:cs="宋体"/>
                <w:b/>
                <w:kern w:val="0"/>
                <w:sz w:val="21"/>
                <w:szCs w:val="21"/>
                <w:highlight w:val="none"/>
              </w:rPr>
            </w:pPr>
            <w:r>
              <w:rPr>
                <w:rFonts w:hint="eastAsia" w:ascii="宋体" w:hAnsi="宋体" w:eastAsia="宋体" w:cs="宋体"/>
                <w:b w:val="0"/>
                <w:bCs/>
                <w:sz w:val="21"/>
                <w:szCs w:val="21"/>
                <w:lang w:val="en-US" w:eastAsia="zh-CN"/>
              </w:rPr>
              <w:t>莲石教学管理大数据分析平台V1.0</w:t>
            </w:r>
          </w:p>
        </w:tc>
        <w:tc>
          <w:tcPr>
            <w:tcW w:w="850" w:type="dxa"/>
            <w:vAlign w:val="center"/>
          </w:tcPr>
          <w:p>
            <w:pPr>
              <w:jc w:val="center"/>
              <w:rPr>
                <w:rFonts w:hint="eastAsia" w:ascii="宋体" w:hAnsi="宋体" w:eastAsia="宋体" w:cs="宋体"/>
                <w:b/>
                <w:sz w:val="21"/>
                <w:szCs w:val="21"/>
                <w:highlight w:val="none"/>
                <w:lang w:val="en-US" w:eastAsia="zh-CN"/>
              </w:rPr>
            </w:pPr>
            <w:bookmarkStart w:id="24" w:name="OLE_LINK19"/>
            <w:r>
              <w:rPr>
                <w:rFonts w:hint="eastAsia" w:ascii="宋体" w:hAnsi="宋体" w:eastAsia="宋体" w:cs="宋体"/>
                <w:b w:val="0"/>
                <w:bCs/>
                <w:sz w:val="21"/>
                <w:szCs w:val="21"/>
                <w:highlight w:val="none"/>
                <w:lang w:val="en-US" w:eastAsia="zh-CN"/>
              </w:rPr>
              <w:t>郑州莲石信息科技有限公司</w:t>
            </w:r>
            <w:bookmarkEnd w:id="24"/>
          </w:p>
        </w:tc>
        <w:tc>
          <w:tcPr>
            <w:tcW w:w="350" w:type="dxa"/>
            <w:vAlign w:val="center"/>
          </w:tcPr>
          <w:p>
            <w:pPr>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中国</w:t>
            </w:r>
          </w:p>
        </w:tc>
        <w:tc>
          <w:tcPr>
            <w:tcW w:w="450" w:type="dxa"/>
            <w:vAlign w:val="center"/>
          </w:tcPr>
          <w:p>
            <w:pPr>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套</w:t>
            </w:r>
          </w:p>
        </w:tc>
        <w:tc>
          <w:tcPr>
            <w:tcW w:w="540" w:type="dxa"/>
            <w:vAlign w:val="center"/>
          </w:tcPr>
          <w:p>
            <w:pPr>
              <w:pStyle w:val="10"/>
              <w:tabs>
                <w:tab w:val="left" w:pos="0"/>
                <w:tab w:val="left" w:pos="720"/>
              </w:tabs>
              <w:spacing w:line="440" w:lineRule="exact"/>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1</w:t>
            </w:r>
          </w:p>
        </w:tc>
        <w:tc>
          <w:tcPr>
            <w:tcW w:w="750" w:type="dxa"/>
            <w:vAlign w:val="center"/>
          </w:tcPr>
          <w:p>
            <w:pPr>
              <w:pStyle w:val="10"/>
              <w:tabs>
                <w:tab w:val="left" w:pos="0"/>
                <w:tab w:val="left" w:pos="720"/>
              </w:tabs>
              <w:spacing w:line="440" w:lineRule="exact"/>
              <w:jc w:val="center"/>
              <w:rPr>
                <w:rFonts w:hint="eastAsia" w:ascii="宋体" w:hAnsi="宋体" w:eastAsia="宋体" w:cs="宋体"/>
                <w:b w:val="0"/>
                <w:bCs/>
                <w:kern w:val="0"/>
                <w:sz w:val="21"/>
                <w:szCs w:val="21"/>
                <w:highlight w:val="none"/>
              </w:rPr>
            </w:pPr>
            <w:r>
              <w:rPr>
                <w:rFonts w:hint="eastAsia" w:ascii="宋体" w:hAnsi="宋体" w:eastAsia="宋体" w:cs="宋体"/>
                <w:b w:val="0"/>
                <w:bCs/>
                <w:sz w:val="21"/>
                <w:szCs w:val="21"/>
                <w:lang w:val="en-US" w:eastAsia="zh-CN"/>
              </w:rPr>
              <w:t>390000.00</w:t>
            </w:r>
          </w:p>
        </w:tc>
        <w:tc>
          <w:tcPr>
            <w:tcW w:w="710" w:type="dxa"/>
            <w:vAlign w:val="center"/>
          </w:tcPr>
          <w:p>
            <w:pPr>
              <w:pStyle w:val="10"/>
              <w:tabs>
                <w:tab w:val="left" w:pos="0"/>
                <w:tab w:val="left" w:pos="720"/>
              </w:tabs>
              <w:spacing w:line="440" w:lineRule="exact"/>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lang w:val="en-US" w:eastAsia="zh-CN"/>
              </w:rPr>
              <w:t>390000.00</w:t>
            </w:r>
          </w:p>
        </w:tc>
        <w:tc>
          <w:tcPr>
            <w:tcW w:w="510" w:type="dxa"/>
            <w:vAlign w:val="center"/>
          </w:tcPr>
          <w:p>
            <w:pPr>
              <w:ind w:left="-107" w:leftChars="-51" w:right="-107" w:rightChars="-51"/>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0</w:t>
            </w:r>
          </w:p>
        </w:tc>
        <w:tc>
          <w:tcPr>
            <w:tcW w:w="570" w:type="dxa"/>
            <w:vAlign w:val="center"/>
          </w:tcPr>
          <w:p>
            <w:pPr>
              <w:ind w:left="-107" w:leftChars="-51" w:right="-107" w:rightChars="-51"/>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0</w:t>
            </w:r>
          </w:p>
        </w:tc>
        <w:tc>
          <w:tcPr>
            <w:tcW w:w="480" w:type="dxa"/>
            <w:vAlign w:val="center"/>
          </w:tcPr>
          <w:p>
            <w:pPr>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1%</w:t>
            </w:r>
          </w:p>
        </w:tc>
        <w:tc>
          <w:tcPr>
            <w:tcW w:w="600" w:type="dxa"/>
            <w:vAlign w:val="center"/>
          </w:tcPr>
          <w:p>
            <w:pPr>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val="en-US" w:eastAsia="zh-CN"/>
              </w:rPr>
              <w:t>150日历天</w:t>
            </w:r>
          </w:p>
        </w:tc>
        <w:tc>
          <w:tcPr>
            <w:tcW w:w="988" w:type="dxa"/>
            <w:vAlign w:val="center"/>
          </w:tcPr>
          <w:p>
            <w:pPr>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郑东新区河南中医药大学</w:t>
            </w:r>
          </w:p>
        </w:tc>
        <w:tc>
          <w:tcPr>
            <w:tcW w:w="430" w:type="dxa"/>
            <w:vAlign w:val="center"/>
          </w:tcPr>
          <w:p>
            <w:pPr>
              <w:jc w:val="center"/>
              <w:rPr>
                <w:rFonts w:hint="eastAsia" w:ascii="宋体" w:hAnsi="宋体" w:eastAsia="宋体" w:cs="宋体"/>
                <w:sz w:val="21"/>
                <w:szCs w:val="21"/>
                <w:highlight w:val="none"/>
              </w:rPr>
            </w:pPr>
          </w:p>
        </w:tc>
      </w:tr>
      <w:bookmarkEnd w:id="21"/>
      <w:bookmarkEnd w:id="2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423" w:type="dxa"/>
            <w:vAlign w:val="center"/>
          </w:tcPr>
          <w:p>
            <w:pPr>
              <w:jc w:val="center"/>
              <w:rPr>
                <w:rFonts w:hint="eastAsia" w:ascii="宋体" w:hAnsi="宋体" w:eastAsia="宋体" w:cs="宋体"/>
                <w:sz w:val="21"/>
                <w:szCs w:val="21"/>
                <w:highlight w:val="none"/>
                <w:lang w:val="en-US" w:eastAsia="zh-CN"/>
              </w:rPr>
            </w:pPr>
            <w:bookmarkStart w:id="25" w:name="OLE_LINK23" w:colFirst="3" w:colLast="13"/>
            <w:r>
              <w:rPr>
                <w:rFonts w:hint="eastAsia" w:ascii="宋体" w:hAnsi="宋体" w:eastAsia="宋体" w:cs="宋体"/>
                <w:sz w:val="21"/>
                <w:szCs w:val="21"/>
                <w:highlight w:val="none"/>
                <w:lang w:val="en-US" w:eastAsia="zh-CN"/>
              </w:rPr>
              <w:t>2</w:t>
            </w:r>
          </w:p>
        </w:tc>
        <w:tc>
          <w:tcPr>
            <w:tcW w:w="860" w:type="dxa"/>
            <w:vAlign w:val="center"/>
          </w:tcPr>
          <w:p>
            <w:pPr>
              <w:pStyle w:val="10"/>
              <w:tabs>
                <w:tab w:val="left" w:pos="0"/>
                <w:tab w:val="left" w:pos="720"/>
              </w:tabs>
              <w:spacing w:line="440" w:lineRule="exact"/>
              <w:jc w:val="center"/>
              <w:rPr>
                <w:rFonts w:hint="eastAsia" w:ascii="宋体" w:hAnsi="宋体" w:eastAsia="宋体" w:cs="宋体"/>
                <w:b/>
                <w:sz w:val="21"/>
                <w:szCs w:val="21"/>
                <w:highlight w:val="none"/>
              </w:rPr>
            </w:pPr>
            <w:r>
              <w:rPr>
                <w:rFonts w:hint="eastAsia" w:ascii="宋体" w:hAnsi="宋体" w:eastAsia="宋体" w:cs="宋体"/>
                <w:color w:val="auto"/>
                <w:kern w:val="0"/>
                <w:sz w:val="21"/>
                <w:szCs w:val="21"/>
                <w:highlight w:val="none"/>
                <w:lang w:val="en-US" w:eastAsia="zh-CN"/>
              </w:rPr>
              <w:t>心理监测预警系统</w:t>
            </w:r>
          </w:p>
        </w:tc>
        <w:tc>
          <w:tcPr>
            <w:tcW w:w="1220" w:type="dxa"/>
            <w:vAlign w:val="center"/>
          </w:tcPr>
          <w:p>
            <w:pPr>
              <w:pStyle w:val="10"/>
              <w:tabs>
                <w:tab w:val="left" w:pos="0"/>
                <w:tab w:val="left" w:pos="720"/>
              </w:tabs>
              <w:spacing w:line="440" w:lineRule="exact"/>
              <w:jc w:val="center"/>
              <w:rPr>
                <w:rFonts w:hint="eastAsia" w:ascii="宋体" w:hAnsi="宋体" w:eastAsia="宋体" w:cs="宋体"/>
                <w:b/>
                <w:kern w:val="0"/>
                <w:sz w:val="21"/>
                <w:szCs w:val="21"/>
                <w:highlight w:val="none"/>
              </w:rPr>
            </w:pPr>
            <w:bookmarkStart w:id="26" w:name="OLE_LINK32"/>
            <w:r>
              <w:rPr>
                <w:rFonts w:hint="eastAsia" w:ascii="宋体" w:hAnsi="宋体" w:eastAsia="宋体" w:cs="宋体"/>
                <w:b w:val="0"/>
                <w:bCs/>
                <w:sz w:val="21"/>
                <w:szCs w:val="21"/>
                <w:lang w:val="en-US" w:eastAsia="zh-CN"/>
              </w:rPr>
              <w:t>基于大数据的心理危机预警系统V1.0</w:t>
            </w:r>
            <w:bookmarkEnd w:id="26"/>
          </w:p>
        </w:tc>
        <w:tc>
          <w:tcPr>
            <w:tcW w:w="850" w:type="dxa"/>
            <w:vAlign w:val="center"/>
          </w:tcPr>
          <w:p>
            <w:pPr>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郑州莲石信息科技有限公司</w:t>
            </w:r>
          </w:p>
        </w:tc>
        <w:tc>
          <w:tcPr>
            <w:tcW w:w="350" w:type="dxa"/>
            <w:vAlign w:val="center"/>
          </w:tcPr>
          <w:p>
            <w:pPr>
              <w:jc w:val="center"/>
              <w:rPr>
                <w:rFonts w:hint="eastAsia" w:ascii="宋体" w:hAnsi="宋体" w:eastAsia="宋体" w:cs="宋体"/>
                <w:b/>
                <w:sz w:val="21"/>
                <w:szCs w:val="21"/>
                <w:highlight w:val="none"/>
                <w:lang w:val="en-US" w:eastAsia="zh-CN"/>
              </w:rPr>
            </w:pPr>
            <w:r>
              <w:rPr>
                <w:rFonts w:hint="eastAsia" w:ascii="宋体" w:hAnsi="宋体" w:eastAsia="宋体" w:cs="宋体"/>
                <w:b w:val="0"/>
                <w:bCs/>
                <w:sz w:val="21"/>
                <w:szCs w:val="21"/>
                <w:highlight w:val="none"/>
                <w:lang w:val="en-US" w:eastAsia="zh-CN"/>
              </w:rPr>
              <w:t>中国</w:t>
            </w:r>
          </w:p>
        </w:tc>
        <w:tc>
          <w:tcPr>
            <w:tcW w:w="450" w:type="dxa"/>
            <w:vAlign w:val="center"/>
          </w:tcPr>
          <w:p>
            <w:pPr>
              <w:jc w:val="center"/>
              <w:rPr>
                <w:rFonts w:hint="eastAsia" w:ascii="宋体" w:hAnsi="宋体" w:eastAsia="宋体" w:cs="宋体"/>
                <w:b/>
                <w:sz w:val="21"/>
                <w:szCs w:val="21"/>
                <w:highlight w:val="none"/>
                <w:lang w:val="en-US" w:eastAsia="zh-CN"/>
              </w:rPr>
            </w:pPr>
            <w:r>
              <w:rPr>
                <w:rFonts w:hint="eastAsia" w:ascii="宋体" w:hAnsi="宋体" w:eastAsia="宋体" w:cs="宋体"/>
                <w:b w:val="0"/>
                <w:bCs/>
                <w:sz w:val="21"/>
                <w:szCs w:val="21"/>
                <w:highlight w:val="none"/>
                <w:lang w:val="en-US" w:eastAsia="zh-CN"/>
              </w:rPr>
              <w:t>套</w:t>
            </w:r>
          </w:p>
        </w:tc>
        <w:tc>
          <w:tcPr>
            <w:tcW w:w="540" w:type="dxa"/>
            <w:vAlign w:val="center"/>
          </w:tcPr>
          <w:p>
            <w:pPr>
              <w:pStyle w:val="10"/>
              <w:tabs>
                <w:tab w:val="left" w:pos="0"/>
                <w:tab w:val="left" w:pos="720"/>
              </w:tabs>
              <w:spacing w:line="440" w:lineRule="exact"/>
              <w:jc w:val="center"/>
              <w:rPr>
                <w:rFonts w:hint="eastAsia" w:ascii="宋体" w:hAnsi="宋体" w:eastAsia="宋体" w:cs="宋体"/>
                <w:b/>
                <w:sz w:val="21"/>
                <w:szCs w:val="21"/>
                <w:highlight w:val="none"/>
                <w:lang w:val="en-US" w:eastAsia="zh-CN"/>
              </w:rPr>
            </w:pPr>
            <w:r>
              <w:rPr>
                <w:rFonts w:hint="eastAsia" w:ascii="宋体" w:hAnsi="宋体" w:eastAsia="宋体" w:cs="宋体"/>
                <w:b w:val="0"/>
                <w:bCs/>
                <w:sz w:val="21"/>
                <w:szCs w:val="21"/>
                <w:highlight w:val="none"/>
                <w:lang w:val="en-US" w:eastAsia="zh-CN"/>
              </w:rPr>
              <w:t>1</w:t>
            </w:r>
          </w:p>
        </w:tc>
        <w:tc>
          <w:tcPr>
            <w:tcW w:w="750" w:type="dxa"/>
            <w:vAlign w:val="center"/>
          </w:tcPr>
          <w:p>
            <w:pPr>
              <w:pStyle w:val="10"/>
              <w:tabs>
                <w:tab w:val="left" w:pos="0"/>
                <w:tab w:val="left" w:pos="720"/>
              </w:tabs>
              <w:spacing w:line="440" w:lineRule="exact"/>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260000.00</w:t>
            </w:r>
          </w:p>
        </w:tc>
        <w:tc>
          <w:tcPr>
            <w:tcW w:w="710" w:type="dxa"/>
            <w:vAlign w:val="center"/>
          </w:tcPr>
          <w:p>
            <w:pPr>
              <w:pStyle w:val="10"/>
              <w:tabs>
                <w:tab w:val="left" w:pos="0"/>
                <w:tab w:val="left" w:pos="720"/>
              </w:tabs>
              <w:spacing w:line="440" w:lineRule="exact"/>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260000.00</w:t>
            </w:r>
          </w:p>
        </w:tc>
        <w:tc>
          <w:tcPr>
            <w:tcW w:w="510" w:type="dxa"/>
            <w:vAlign w:val="center"/>
          </w:tcPr>
          <w:p>
            <w:pPr>
              <w:ind w:left="-107" w:leftChars="-51" w:right="-107" w:rightChars="-51"/>
              <w:jc w:val="center"/>
              <w:rPr>
                <w:rFonts w:hint="eastAsia" w:ascii="宋体" w:hAnsi="宋体" w:eastAsia="宋体" w:cs="宋体"/>
                <w:bCs/>
                <w:sz w:val="21"/>
                <w:szCs w:val="21"/>
                <w:highlight w:val="none"/>
                <w:lang w:val="en-US" w:eastAsia="zh-CN"/>
              </w:rPr>
            </w:pPr>
            <w:r>
              <w:rPr>
                <w:rFonts w:hint="eastAsia" w:ascii="宋体" w:hAnsi="宋体" w:eastAsia="宋体" w:cs="宋体"/>
                <w:b w:val="0"/>
                <w:bCs/>
                <w:sz w:val="21"/>
                <w:szCs w:val="21"/>
                <w:highlight w:val="none"/>
                <w:lang w:val="en-US" w:eastAsia="zh-CN"/>
              </w:rPr>
              <w:t>0</w:t>
            </w:r>
          </w:p>
        </w:tc>
        <w:tc>
          <w:tcPr>
            <w:tcW w:w="570" w:type="dxa"/>
            <w:vAlign w:val="center"/>
          </w:tcPr>
          <w:p>
            <w:pPr>
              <w:ind w:left="-107" w:leftChars="-51" w:right="-107" w:rightChars="-51"/>
              <w:jc w:val="center"/>
              <w:rPr>
                <w:rFonts w:hint="eastAsia" w:ascii="宋体" w:hAnsi="宋体" w:eastAsia="宋体" w:cs="宋体"/>
                <w:bCs/>
                <w:sz w:val="21"/>
                <w:szCs w:val="21"/>
                <w:highlight w:val="none"/>
                <w:lang w:val="en-US" w:eastAsia="zh-CN"/>
              </w:rPr>
            </w:pPr>
            <w:r>
              <w:rPr>
                <w:rFonts w:hint="eastAsia" w:ascii="宋体" w:hAnsi="宋体" w:eastAsia="宋体" w:cs="宋体"/>
                <w:b w:val="0"/>
                <w:bCs/>
                <w:sz w:val="21"/>
                <w:szCs w:val="21"/>
                <w:highlight w:val="none"/>
                <w:lang w:val="en-US" w:eastAsia="zh-CN"/>
              </w:rPr>
              <w:t>0</w:t>
            </w:r>
          </w:p>
        </w:tc>
        <w:tc>
          <w:tcPr>
            <w:tcW w:w="480" w:type="dxa"/>
            <w:vAlign w:val="center"/>
          </w:tcPr>
          <w:p>
            <w:pPr>
              <w:jc w:val="center"/>
              <w:rPr>
                <w:rFonts w:hint="eastAsia" w:ascii="宋体" w:hAnsi="宋体" w:eastAsia="宋体" w:cs="宋体"/>
                <w:bCs/>
                <w:sz w:val="21"/>
                <w:szCs w:val="21"/>
                <w:highlight w:val="none"/>
                <w:lang w:val="en-US" w:eastAsia="zh-CN"/>
              </w:rPr>
            </w:pPr>
            <w:r>
              <w:rPr>
                <w:rFonts w:hint="eastAsia" w:ascii="宋体" w:hAnsi="宋体" w:eastAsia="宋体" w:cs="宋体"/>
                <w:b w:val="0"/>
                <w:bCs/>
                <w:sz w:val="21"/>
                <w:szCs w:val="21"/>
                <w:highlight w:val="none"/>
                <w:lang w:val="en-US" w:eastAsia="zh-CN"/>
              </w:rPr>
              <w:t>1%</w:t>
            </w:r>
          </w:p>
        </w:tc>
        <w:tc>
          <w:tcPr>
            <w:tcW w:w="600" w:type="dxa"/>
            <w:vAlign w:val="center"/>
          </w:tcPr>
          <w:p>
            <w:pPr>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sz w:val="21"/>
                <w:szCs w:val="21"/>
                <w:highlight w:val="none"/>
                <w:lang w:val="en-US" w:eastAsia="zh-CN"/>
              </w:rPr>
              <w:t>150日历天</w:t>
            </w:r>
          </w:p>
        </w:tc>
        <w:tc>
          <w:tcPr>
            <w:tcW w:w="988" w:type="dxa"/>
            <w:vAlign w:val="center"/>
          </w:tcPr>
          <w:p>
            <w:pPr>
              <w:jc w:val="center"/>
              <w:rPr>
                <w:rFonts w:hint="eastAsia" w:ascii="宋体" w:hAnsi="宋体" w:eastAsia="宋体" w:cs="宋体"/>
                <w:sz w:val="21"/>
                <w:szCs w:val="21"/>
                <w:highlight w:val="none"/>
              </w:rPr>
            </w:pPr>
            <w:r>
              <w:rPr>
                <w:rFonts w:hint="eastAsia" w:ascii="宋体" w:hAnsi="宋体" w:eastAsia="宋体" w:cs="宋体"/>
                <w:b w:val="0"/>
                <w:bCs/>
                <w:sz w:val="21"/>
                <w:szCs w:val="21"/>
                <w:highlight w:val="none"/>
              </w:rPr>
              <w:t>郑东新区河南中医药大学</w:t>
            </w:r>
          </w:p>
        </w:tc>
        <w:tc>
          <w:tcPr>
            <w:tcW w:w="430" w:type="dxa"/>
            <w:vAlign w:val="center"/>
          </w:tcPr>
          <w:p>
            <w:pPr>
              <w:jc w:val="center"/>
              <w:rPr>
                <w:rFonts w:hint="eastAsia" w:ascii="宋体" w:hAnsi="宋体" w:eastAsia="宋体" w:cs="宋体"/>
                <w:sz w:val="21"/>
                <w:szCs w:val="21"/>
                <w:highlight w:val="none"/>
              </w:rPr>
            </w:pPr>
          </w:p>
        </w:tc>
      </w:tr>
      <w:bookmarkEnd w:id="2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423" w:type="dxa"/>
            <w:vAlign w:val="center"/>
          </w:tcPr>
          <w:p>
            <w:pPr>
              <w:jc w:val="center"/>
              <w:rPr>
                <w:rFonts w:hint="eastAsia" w:ascii="宋体" w:hAnsi="宋体" w:eastAsia="宋体" w:cs="宋体"/>
                <w:sz w:val="21"/>
                <w:szCs w:val="21"/>
                <w:highlight w:val="none"/>
                <w:lang w:val="en-US" w:eastAsia="zh-CN"/>
              </w:rPr>
            </w:pPr>
            <w:bookmarkStart w:id="27" w:name="OLE_LINK24" w:colFirst="3" w:colLast="13"/>
            <w:r>
              <w:rPr>
                <w:rFonts w:hint="eastAsia" w:ascii="宋体" w:hAnsi="宋体" w:eastAsia="宋体" w:cs="宋体"/>
                <w:sz w:val="21"/>
                <w:szCs w:val="21"/>
                <w:highlight w:val="none"/>
                <w:lang w:val="en-US" w:eastAsia="zh-CN"/>
              </w:rPr>
              <w:t>3</w:t>
            </w:r>
          </w:p>
        </w:tc>
        <w:tc>
          <w:tcPr>
            <w:tcW w:w="860" w:type="dxa"/>
            <w:vAlign w:val="center"/>
          </w:tcPr>
          <w:p>
            <w:pPr>
              <w:pStyle w:val="10"/>
              <w:tabs>
                <w:tab w:val="left" w:pos="0"/>
                <w:tab w:val="left" w:pos="720"/>
              </w:tabs>
              <w:spacing w:line="440" w:lineRule="exact"/>
              <w:jc w:val="center"/>
              <w:rPr>
                <w:rFonts w:hint="eastAsia" w:ascii="宋体" w:hAnsi="宋体" w:eastAsia="宋体" w:cs="宋体"/>
                <w:b/>
                <w:sz w:val="21"/>
                <w:szCs w:val="21"/>
                <w:highlight w:val="none"/>
              </w:rPr>
            </w:pPr>
            <w:bookmarkStart w:id="28" w:name="OLE_LINK30"/>
            <w:r>
              <w:rPr>
                <w:rFonts w:hint="eastAsia" w:ascii="宋体" w:hAnsi="宋体" w:eastAsia="宋体" w:cs="宋体"/>
                <w:color w:val="auto"/>
                <w:kern w:val="0"/>
                <w:sz w:val="21"/>
                <w:szCs w:val="21"/>
                <w:highlight w:val="none"/>
                <w:lang w:val="en-US" w:eastAsia="zh-CN"/>
              </w:rPr>
              <w:t>精准思政预警系统</w:t>
            </w:r>
            <w:bookmarkEnd w:id="28"/>
          </w:p>
        </w:tc>
        <w:tc>
          <w:tcPr>
            <w:tcW w:w="1220" w:type="dxa"/>
            <w:vAlign w:val="center"/>
          </w:tcPr>
          <w:p>
            <w:pPr>
              <w:pStyle w:val="10"/>
              <w:tabs>
                <w:tab w:val="left" w:pos="0"/>
                <w:tab w:val="left" w:pos="720"/>
              </w:tabs>
              <w:spacing w:line="440" w:lineRule="exact"/>
              <w:jc w:val="center"/>
              <w:rPr>
                <w:rFonts w:hint="eastAsia" w:ascii="宋体" w:hAnsi="宋体" w:eastAsia="宋体" w:cs="宋体"/>
                <w:b/>
                <w:kern w:val="0"/>
                <w:sz w:val="21"/>
                <w:szCs w:val="21"/>
                <w:highlight w:val="none"/>
              </w:rPr>
            </w:pPr>
            <w:r>
              <w:rPr>
                <w:rFonts w:hint="eastAsia" w:ascii="宋体" w:hAnsi="宋体" w:eastAsia="宋体" w:cs="宋体"/>
                <w:b w:val="0"/>
                <w:bCs/>
                <w:sz w:val="21"/>
                <w:szCs w:val="21"/>
                <w:lang w:val="en-US" w:eastAsia="zh-CN"/>
              </w:rPr>
              <w:t>基于大数据的精准思政预警系统V1.0</w:t>
            </w:r>
          </w:p>
        </w:tc>
        <w:tc>
          <w:tcPr>
            <w:tcW w:w="850" w:type="dxa"/>
            <w:vAlign w:val="center"/>
          </w:tcPr>
          <w:p>
            <w:pPr>
              <w:jc w:val="center"/>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郑州莲石信息科技有限公司</w:t>
            </w:r>
          </w:p>
        </w:tc>
        <w:tc>
          <w:tcPr>
            <w:tcW w:w="350" w:type="dxa"/>
            <w:vAlign w:val="center"/>
          </w:tcPr>
          <w:p>
            <w:pPr>
              <w:jc w:val="center"/>
              <w:rPr>
                <w:rFonts w:hint="eastAsia" w:ascii="宋体" w:hAnsi="宋体" w:eastAsia="宋体" w:cs="宋体"/>
                <w:b/>
                <w:sz w:val="21"/>
                <w:szCs w:val="21"/>
                <w:highlight w:val="none"/>
                <w:lang w:val="en-US" w:eastAsia="zh-CN"/>
              </w:rPr>
            </w:pPr>
            <w:r>
              <w:rPr>
                <w:rFonts w:hint="eastAsia" w:ascii="宋体" w:hAnsi="宋体" w:eastAsia="宋体" w:cs="宋体"/>
                <w:b w:val="0"/>
                <w:bCs/>
                <w:sz w:val="21"/>
                <w:szCs w:val="21"/>
                <w:highlight w:val="none"/>
                <w:lang w:val="en-US" w:eastAsia="zh-CN"/>
              </w:rPr>
              <w:t>中国</w:t>
            </w:r>
          </w:p>
        </w:tc>
        <w:tc>
          <w:tcPr>
            <w:tcW w:w="450" w:type="dxa"/>
            <w:vAlign w:val="center"/>
          </w:tcPr>
          <w:p>
            <w:pPr>
              <w:jc w:val="center"/>
              <w:rPr>
                <w:rFonts w:hint="eastAsia" w:ascii="宋体" w:hAnsi="宋体" w:eastAsia="宋体" w:cs="宋体"/>
                <w:b/>
                <w:sz w:val="21"/>
                <w:szCs w:val="21"/>
                <w:highlight w:val="none"/>
                <w:lang w:val="en-US" w:eastAsia="zh-CN"/>
              </w:rPr>
            </w:pPr>
            <w:r>
              <w:rPr>
                <w:rFonts w:hint="eastAsia" w:ascii="宋体" w:hAnsi="宋体" w:eastAsia="宋体" w:cs="宋体"/>
                <w:b w:val="0"/>
                <w:bCs/>
                <w:sz w:val="21"/>
                <w:szCs w:val="21"/>
                <w:highlight w:val="none"/>
                <w:lang w:val="en-US" w:eastAsia="zh-CN"/>
              </w:rPr>
              <w:t>套</w:t>
            </w:r>
          </w:p>
        </w:tc>
        <w:tc>
          <w:tcPr>
            <w:tcW w:w="540" w:type="dxa"/>
            <w:vAlign w:val="center"/>
          </w:tcPr>
          <w:p>
            <w:pPr>
              <w:pStyle w:val="10"/>
              <w:tabs>
                <w:tab w:val="left" w:pos="0"/>
                <w:tab w:val="left" w:pos="720"/>
              </w:tabs>
              <w:spacing w:line="440" w:lineRule="exact"/>
              <w:jc w:val="center"/>
              <w:rPr>
                <w:rFonts w:hint="eastAsia" w:ascii="宋体" w:hAnsi="宋体" w:eastAsia="宋体" w:cs="宋体"/>
                <w:b/>
                <w:sz w:val="21"/>
                <w:szCs w:val="21"/>
                <w:highlight w:val="none"/>
                <w:lang w:val="en-US" w:eastAsia="zh-CN"/>
              </w:rPr>
            </w:pPr>
            <w:r>
              <w:rPr>
                <w:rFonts w:hint="eastAsia" w:ascii="宋体" w:hAnsi="宋体" w:eastAsia="宋体" w:cs="宋体"/>
                <w:b w:val="0"/>
                <w:bCs/>
                <w:sz w:val="21"/>
                <w:szCs w:val="21"/>
                <w:highlight w:val="none"/>
                <w:lang w:val="en-US" w:eastAsia="zh-CN"/>
              </w:rPr>
              <w:t>1</w:t>
            </w:r>
          </w:p>
        </w:tc>
        <w:tc>
          <w:tcPr>
            <w:tcW w:w="750" w:type="dxa"/>
            <w:vAlign w:val="center"/>
          </w:tcPr>
          <w:p>
            <w:pPr>
              <w:pStyle w:val="10"/>
              <w:tabs>
                <w:tab w:val="left" w:pos="0"/>
                <w:tab w:val="left" w:pos="720"/>
              </w:tabs>
              <w:spacing w:line="440" w:lineRule="exact"/>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138000.00</w:t>
            </w:r>
          </w:p>
        </w:tc>
        <w:tc>
          <w:tcPr>
            <w:tcW w:w="710" w:type="dxa"/>
            <w:vAlign w:val="center"/>
          </w:tcPr>
          <w:p>
            <w:pPr>
              <w:pStyle w:val="10"/>
              <w:tabs>
                <w:tab w:val="left" w:pos="0"/>
                <w:tab w:val="left" w:pos="720"/>
              </w:tabs>
              <w:spacing w:line="440" w:lineRule="exact"/>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138000.00</w:t>
            </w:r>
          </w:p>
        </w:tc>
        <w:tc>
          <w:tcPr>
            <w:tcW w:w="510" w:type="dxa"/>
            <w:vAlign w:val="center"/>
          </w:tcPr>
          <w:p>
            <w:pPr>
              <w:ind w:left="-107" w:leftChars="-51" w:right="-107" w:rightChars="-51"/>
              <w:jc w:val="center"/>
              <w:rPr>
                <w:rFonts w:hint="eastAsia" w:ascii="宋体" w:hAnsi="宋体" w:eastAsia="宋体" w:cs="宋体"/>
                <w:bCs/>
                <w:sz w:val="21"/>
                <w:szCs w:val="21"/>
                <w:highlight w:val="none"/>
                <w:lang w:val="en-US" w:eastAsia="zh-CN"/>
              </w:rPr>
            </w:pPr>
            <w:r>
              <w:rPr>
                <w:rFonts w:hint="eastAsia" w:ascii="宋体" w:hAnsi="宋体" w:eastAsia="宋体" w:cs="宋体"/>
                <w:b w:val="0"/>
                <w:bCs/>
                <w:sz w:val="21"/>
                <w:szCs w:val="21"/>
                <w:highlight w:val="none"/>
                <w:lang w:val="en-US" w:eastAsia="zh-CN"/>
              </w:rPr>
              <w:t>0</w:t>
            </w:r>
          </w:p>
        </w:tc>
        <w:tc>
          <w:tcPr>
            <w:tcW w:w="570" w:type="dxa"/>
            <w:vAlign w:val="center"/>
          </w:tcPr>
          <w:p>
            <w:pPr>
              <w:ind w:left="-107" w:leftChars="-51" w:right="-107" w:rightChars="-51"/>
              <w:jc w:val="center"/>
              <w:rPr>
                <w:rFonts w:hint="eastAsia" w:ascii="宋体" w:hAnsi="宋体" w:eastAsia="宋体" w:cs="宋体"/>
                <w:bCs/>
                <w:sz w:val="21"/>
                <w:szCs w:val="21"/>
                <w:highlight w:val="none"/>
                <w:lang w:val="en-US" w:eastAsia="zh-CN"/>
              </w:rPr>
            </w:pPr>
            <w:r>
              <w:rPr>
                <w:rFonts w:hint="eastAsia" w:ascii="宋体" w:hAnsi="宋体" w:eastAsia="宋体" w:cs="宋体"/>
                <w:b w:val="0"/>
                <w:bCs/>
                <w:sz w:val="21"/>
                <w:szCs w:val="21"/>
                <w:highlight w:val="none"/>
                <w:lang w:val="en-US" w:eastAsia="zh-CN"/>
              </w:rPr>
              <w:t>0</w:t>
            </w:r>
          </w:p>
        </w:tc>
        <w:tc>
          <w:tcPr>
            <w:tcW w:w="480" w:type="dxa"/>
            <w:vAlign w:val="center"/>
          </w:tcPr>
          <w:p>
            <w:pPr>
              <w:jc w:val="center"/>
              <w:rPr>
                <w:rFonts w:hint="eastAsia" w:ascii="宋体" w:hAnsi="宋体" w:eastAsia="宋体" w:cs="宋体"/>
                <w:bCs/>
                <w:sz w:val="21"/>
                <w:szCs w:val="21"/>
                <w:highlight w:val="none"/>
                <w:lang w:val="en-US" w:eastAsia="zh-CN"/>
              </w:rPr>
            </w:pPr>
            <w:r>
              <w:rPr>
                <w:rFonts w:hint="eastAsia" w:ascii="宋体" w:hAnsi="宋体" w:eastAsia="宋体" w:cs="宋体"/>
                <w:b w:val="0"/>
                <w:bCs/>
                <w:sz w:val="21"/>
                <w:szCs w:val="21"/>
                <w:highlight w:val="none"/>
                <w:lang w:val="en-US" w:eastAsia="zh-CN"/>
              </w:rPr>
              <w:t>1%</w:t>
            </w:r>
          </w:p>
        </w:tc>
        <w:tc>
          <w:tcPr>
            <w:tcW w:w="600" w:type="dxa"/>
            <w:vAlign w:val="center"/>
          </w:tcPr>
          <w:p>
            <w:pPr>
              <w:jc w:val="center"/>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sz w:val="21"/>
                <w:szCs w:val="21"/>
                <w:highlight w:val="none"/>
                <w:lang w:val="en-US" w:eastAsia="zh-CN"/>
              </w:rPr>
              <w:t>150日历天</w:t>
            </w:r>
          </w:p>
        </w:tc>
        <w:tc>
          <w:tcPr>
            <w:tcW w:w="988" w:type="dxa"/>
            <w:vAlign w:val="center"/>
          </w:tcPr>
          <w:p>
            <w:pPr>
              <w:jc w:val="center"/>
              <w:rPr>
                <w:rFonts w:hint="eastAsia" w:ascii="宋体" w:hAnsi="宋体" w:eastAsia="宋体" w:cs="宋体"/>
                <w:sz w:val="21"/>
                <w:szCs w:val="21"/>
                <w:highlight w:val="none"/>
              </w:rPr>
            </w:pPr>
            <w:r>
              <w:rPr>
                <w:rFonts w:hint="eastAsia" w:ascii="宋体" w:hAnsi="宋体" w:eastAsia="宋体" w:cs="宋体"/>
                <w:b w:val="0"/>
                <w:bCs/>
                <w:sz w:val="21"/>
                <w:szCs w:val="21"/>
                <w:highlight w:val="none"/>
              </w:rPr>
              <w:t>郑东新区河南中医药大学</w:t>
            </w:r>
          </w:p>
        </w:tc>
        <w:tc>
          <w:tcPr>
            <w:tcW w:w="430" w:type="dxa"/>
            <w:vAlign w:val="center"/>
          </w:tcPr>
          <w:p>
            <w:pPr>
              <w:jc w:val="center"/>
              <w:rPr>
                <w:rFonts w:hint="eastAsia" w:ascii="宋体" w:hAnsi="宋体" w:eastAsia="宋体" w:cs="宋体"/>
                <w:sz w:val="21"/>
                <w:szCs w:val="21"/>
                <w:highlight w:val="none"/>
              </w:rPr>
            </w:pPr>
          </w:p>
        </w:tc>
      </w:tr>
      <w:bookmarkEnd w:id="2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3" w:type="dxa"/>
            <w:vAlign w:val="center"/>
          </w:tcPr>
          <w:p>
            <w:pPr>
              <w:jc w:val="center"/>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val="en-US" w:eastAsia="zh-CN"/>
              </w:rPr>
              <w:t>4</w:t>
            </w:r>
          </w:p>
        </w:tc>
        <w:tc>
          <w:tcPr>
            <w:tcW w:w="860" w:type="dxa"/>
            <w:vAlign w:val="center"/>
          </w:tcPr>
          <w:p>
            <w:pPr>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备品备件</w:t>
            </w:r>
          </w:p>
          <w:p>
            <w:pPr>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及其他</w:t>
            </w:r>
          </w:p>
        </w:tc>
        <w:tc>
          <w:tcPr>
            <w:tcW w:w="2070" w:type="dxa"/>
            <w:gridSpan w:val="2"/>
            <w:vAlign w:val="center"/>
          </w:tcPr>
          <w:p>
            <w:pPr>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配件</w:t>
            </w:r>
          </w:p>
          <w:p>
            <w:pPr>
              <w:jc w:val="center"/>
              <w:rPr>
                <w:rFonts w:hint="eastAsia" w:ascii="宋体" w:hAnsi="宋体" w:eastAsia="宋体" w:cs="宋体"/>
                <w:b w:val="0"/>
                <w:bCs w:val="0"/>
                <w:kern w:val="0"/>
                <w:sz w:val="21"/>
                <w:szCs w:val="21"/>
                <w:highlight w:val="none"/>
              </w:rPr>
            </w:pPr>
            <w:r>
              <w:rPr>
                <w:rFonts w:hint="eastAsia" w:ascii="宋体" w:hAnsi="宋体" w:eastAsia="宋体" w:cs="宋体"/>
                <w:b w:val="0"/>
                <w:bCs w:val="0"/>
                <w:kern w:val="0"/>
                <w:sz w:val="21"/>
                <w:szCs w:val="21"/>
                <w:highlight w:val="none"/>
              </w:rPr>
              <w:t>消耗品</w:t>
            </w:r>
          </w:p>
          <w:p>
            <w:pPr>
              <w:jc w:val="center"/>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维护工具盒：</w:t>
            </w:r>
          </w:p>
        </w:tc>
        <w:tc>
          <w:tcPr>
            <w:tcW w:w="350" w:type="dxa"/>
            <w:vAlign w:val="center"/>
          </w:tcPr>
          <w:p>
            <w:pPr>
              <w:jc w:val="center"/>
              <w:rPr>
                <w:rFonts w:hint="eastAsia" w:ascii="宋体" w:hAnsi="宋体" w:eastAsia="宋体" w:cs="宋体"/>
                <w:b/>
                <w:sz w:val="21"/>
                <w:szCs w:val="21"/>
                <w:highlight w:val="none"/>
                <w:lang w:val="en-US" w:eastAsia="zh-CN"/>
              </w:rPr>
            </w:pPr>
            <w:bookmarkStart w:id="29" w:name="OLE_LINK37"/>
            <w:r>
              <w:rPr>
                <w:rFonts w:hint="eastAsia" w:ascii="宋体" w:hAnsi="宋体" w:eastAsia="宋体" w:cs="宋体"/>
                <w:b/>
                <w:sz w:val="21"/>
                <w:szCs w:val="21"/>
                <w:highlight w:val="none"/>
                <w:lang w:val="en-US" w:eastAsia="zh-CN"/>
              </w:rPr>
              <w:t>-</w:t>
            </w:r>
            <w:bookmarkEnd w:id="29"/>
          </w:p>
        </w:tc>
        <w:tc>
          <w:tcPr>
            <w:tcW w:w="450" w:type="dxa"/>
            <w:vAlign w:val="center"/>
          </w:tcPr>
          <w:p>
            <w:pPr>
              <w:spacing w:line="440" w:lineRule="exact"/>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w:t>
            </w:r>
          </w:p>
        </w:tc>
        <w:tc>
          <w:tcPr>
            <w:tcW w:w="540" w:type="dxa"/>
            <w:vAlign w:val="center"/>
          </w:tcPr>
          <w:p>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w:t>
            </w:r>
          </w:p>
        </w:tc>
        <w:tc>
          <w:tcPr>
            <w:tcW w:w="750" w:type="dxa"/>
            <w:vAlign w:val="center"/>
          </w:tcPr>
          <w:p>
            <w:pPr>
              <w:widowControl/>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w:t>
            </w:r>
          </w:p>
        </w:tc>
        <w:tc>
          <w:tcPr>
            <w:tcW w:w="710" w:type="dxa"/>
            <w:vAlign w:val="center"/>
          </w:tcPr>
          <w:p>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w:t>
            </w:r>
          </w:p>
        </w:tc>
        <w:tc>
          <w:tcPr>
            <w:tcW w:w="510" w:type="dxa"/>
            <w:vAlign w:val="center"/>
          </w:tcPr>
          <w:p>
            <w:pPr>
              <w:ind w:left="-107" w:leftChars="-51" w:right="-107" w:rightChars="-51"/>
              <w:jc w:val="center"/>
              <w:rPr>
                <w:rFonts w:hint="eastAsia" w:ascii="宋体" w:hAnsi="宋体" w:eastAsia="宋体" w:cs="宋体"/>
                <w:bCs/>
                <w:sz w:val="21"/>
                <w:szCs w:val="21"/>
                <w:highlight w:val="none"/>
              </w:rPr>
            </w:pPr>
            <w:r>
              <w:rPr>
                <w:rFonts w:hint="eastAsia" w:ascii="宋体" w:hAnsi="宋体" w:eastAsia="宋体" w:cs="宋体"/>
                <w:b/>
                <w:sz w:val="21"/>
                <w:szCs w:val="21"/>
                <w:highlight w:val="none"/>
                <w:lang w:val="en-US" w:eastAsia="zh-CN"/>
              </w:rPr>
              <w:t>-</w:t>
            </w:r>
          </w:p>
        </w:tc>
        <w:tc>
          <w:tcPr>
            <w:tcW w:w="570" w:type="dxa"/>
            <w:vAlign w:val="center"/>
          </w:tcPr>
          <w:p>
            <w:pPr>
              <w:ind w:left="-107" w:leftChars="-51" w:right="-107" w:rightChars="-51"/>
              <w:jc w:val="center"/>
              <w:rPr>
                <w:rFonts w:hint="eastAsia" w:ascii="宋体" w:hAnsi="宋体" w:eastAsia="宋体" w:cs="宋体"/>
                <w:bCs/>
                <w:sz w:val="21"/>
                <w:szCs w:val="21"/>
                <w:highlight w:val="none"/>
              </w:rPr>
            </w:pPr>
            <w:r>
              <w:rPr>
                <w:rFonts w:hint="eastAsia" w:ascii="宋体" w:hAnsi="宋体" w:eastAsia="宋体" w:cs="宋体"/>
                <w:b/>
                <w:sz w:val="21"/>
                <w:szCs w:val="21"/>
                <w:highlight w:val="none"/>
                <w:lang w:val="en-US" w:eastAsia="zh-CN"/>
              </w:rPr>
              <w:t>-</w:t>
            </w:r>
          </w:p>
        </w:tc>
        <w:tc>
          <w:tcPr>
            <w:tcW w:w="480" w:type="dxa"/>
            <w:vAlign w:val="center"/>
          </w:tcPr>
          <w:p>
            <w:pPr>
              <w:jc w:val="center"/>
              <w:rPr>
                <w:rFonts w:hint="eastAsia" w:ascii="宋体" w:hAnsi="宋体" w:eastAsia="宋体" w:cs="宋体"/>
                <w:bCs/>
                <w:sz w:val="21"/>
                <w:szCs w:val="21"/>
                <w:highlight w:val="none"/>
              </w:rPr>
            </w:pPr>
            <w:r>
              <w:rPr>
                <w:rFonts w:hint="eastAsia" w:ascii="宋体" w:hAnsi="宋体" w:eastAsia="宋体" w:cs="宋体"/>
                <w:b/>
                <w:sz w:val="21"/>
                <w:szCs w:val="21"/>
                <w:highlight w:val="none"/>
                <w:lang w:val="en-US" w:eastAsia="zh-CN"/>
              </w:rPr>
              <w:t>-</w:t>
            </w:r>
          </w:p>
        </w:tc>
        <w:tc>
          <w:tcPr>
            <w:tcW w:w="600" w:type="dxa"/>
            <w:vAlign w:val="center"/>
          </w:tcPr>
          <w:p>
            <w:pPr>
              <w:jc w:val="center"/>
              <w:rPr>
                <w:rFonts w:hint="eastAsia" w:ascii="宋体" w:hAnsi="宋体" w:eastAsia="宋体" w:cs="宋体"/>
                <w:sz w:val="21"/>
                <w:szCs w:val="21"/>
                <w:highlight w:val="none"/>
              </w:rPr>
            </w:pPr>
            <w:r>
              <w:rPr>
                <w:rFonts w:hint="eastAsia" w:ascii="宋体" w:hAnsi="宋体" w:eastAsia="宋体" w:cs="宋体"/>
                <w:b/>
                <w:sz w:val="21"/>
                <w:szCs w:val="21"/>
                <w:highlight w:val="none"/>
                <w:lang w:val="en-US" w:eastAsia="zh-CN"/>
              </w:rPr>
              <w:t>-</w:t>
            </w:r>
          </w:p>
        </w:tc>
        <w:tc>
          <w:tcPr>
            <w:tcW w:w="988" w:type="dxa"/>
            <w:vAlign w:val="center"/>
          </w:tcPr>
          <w:p>
            <w:pPr>
              <w:jc w:val="center"/>
              <w:rPr>
                <w:rFonts w:hint="eastAsia" w:ascii="宋体" w:hAnsi="宋体" w:eastAsia="宋体" w:cs="宋体"/>
                <w:sz w:val="21"/>
                <w:szCs w:val="21"/>
                <w:highlight w:val="none"/>
              </w:rPr>
            </w:pPr>
            <w:r>
              <w:rPr>
                <w:rFonts w:hint="eastAsia" w:ascii="宋体" w:hAnsi="宋体" w:eastAsia="宋体" w:cs="宋体"/>
                <w:b/>
                <w:sz w:val="21"/>
                <w:szCs w:val="21"/>
                <w:highlight w:val="none"/>
                <w:lang w:val="en-US" w:eastAsia="zh-CN"/>
              </w:rPr>
              <w:t>-</w:t>
            </w:r>
          </w:p>
        </w:tc>
        <w:tc>
          <w:tcPr>
            <w:tcW w:w="430" w:type="dxa"/>
            <w:vAlign w:val="center"/>
          </w:tcPr>
          <w:p>
            <w:pPr>
              <w:jc w:val="center"/>
              <w:rPr>
                <w:rFonts w:hint="eastAsia" w:ascii="宋体" w:hAnsi="宋体" w:eastAsia="宋体" w:cs="宋体"/>
                <w:sz w:val="21"/>
                <w:szCs w:val="21"/>
                <w:highlight w:val="none"/>
              </w:rPr>
            </w:pPr>
            <w:r>
              <w:rPr>
                <w:rFonts w:hint="eastAsia" w:ascii="宋体" w:hAnsi="宋体" w:eastAsia="宋体" w:cs="宋体"/>
                <w:b/>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23" w:type="dxa"/>
            <w:vAlign w:val="center"/>
          </w:tcPr>
          <w:p>
            <w:pPr>
              <w:jc w:val="center"/>
              <w:rPr>
                <w:rFonts w:hint="eastAsia" w:ascii="宋体" w:hAnsi="宋体" w:eastAsia="宋体" w:cs="宋体"/>
                <w:sz w:val="21"/>
                <w:szCs w:val="21"/>
                <w:highlight w:val="none"/>
              </w:rPr>
            </w:pPr>
          </w:p>
        </w:tc>
        <w:tc>
          <w:tcPr>
            <w:tcW w:w="860"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合计</w:t>
            </w:r>
          </w:p>
        </w:tc>
        <w:tc>
          <w:tcPr>
            <w:tcW w:w="2070" w:type="dxa"/>
            <w:gridSpan w:val="2"/>
            <w:vAlign w:val="center"/>
          </w:tcPr>
          <w:p>
            <w:pPr>
              <w:jc w:val="center"/>
              <w:rPr>
                <w:rFonts w:hint="eastAsia" w:ascii="宋体" w:hAnsi="宋体" w:eastAsia="宋体" w:cs="宋体"/>
                <w:bCs/>
                <w:kern w:val="0"/>
                <w:sz w:val="21"/>
                <w:szCs w:val="21"/>
                <w:highlight w:val="none"/>
              </w:rPr>
            </w:pPr>
            <w:bookmarkStart w:id="30" w:name="OLE_LINK25"/>
            <w:r>
              <w:rPr>
                <w:rFonts w:hint="eastAsia" w:ascii="宋体" w:hAnsi="宋体" w:eastAsia="宋体" w:cs="宋体"/>
                <w:b w:val="0"/>
                <w:bCs/>
                <w:sz w:val="21"/>
                <w:szCs w:val="21"/>
                <w:lang w:val="en-US" w:eastAsia="zh-CN"/>
              </w:rPr>
              <w:t>788000.00</w:t>
            </w:r>
            <w:bookmarkEnd w:id="30"/>
          </w:p>
        </w:tc>
        <w:tc>
          <w:tcPr>
            <w:tcW w:w="350" w:type="dxa"/>
            <w:vAlign w:val="center"/>
          </w:tcPr>
          <w:p>
            <w:pPr>
              <w:jc w:val="center"/>
              <w:rPr>
                <w:rFonts w:hint="eastAsia" w:ascii="宋体" w:hAnsi="宋体" w:eastAsia="宋体" w:cs="宋体"/>
                <w:bCs/>
                <w:sz w:val="21"/>
                <w:szCs w:val="21"/>
                <w:highlight w:val="none"/>
              </w:rPr>
            </w:pPr>
          </w:p>
        </w:tc>
        <w:tc>
          <w:tcPr>
            <w:tcW w:w="450" w:type="dxa"/>
            <w:vAlign w:val="center"/>
          </w:tcPr>
          <w:p>
            <w:pPr>
              <w:jc w:val="center"/>
              <w:rPr>
                <w:rFonts w:hint="eastAsia" w:ascii="宋体" w:hAnsi="宋体" w:eastAsia="宋体" w:cs="宋体"/>
                <w:sz w:val="21"/>
                <w:szCs w:val="21"/>
                <w:highlight w:val="none"/>
              </w:rPr>
            </w:pPr>
          </w:p>
        </w:tc>
        <w:tc>
          <w:tcPr>
            <w:tcW w:w="540" w:type="dxa"/>
            <w:vAlign w:val="center"/>
          </w:tcPr>
          <w:p>
            <w:pPr>
              <w:jc w:val="center"/>
              <w:rPr>
                <w:rFonts w:hint="eastAsia" w:ascii="宋体" w:hAnsi="宋体" w:eastAsia="宋体" w:cs="宋体"/>
                <w:sz w:val="21"/>
                <w:szCs w:val="21"/>
                <w:highlight w:val="none"/>
              </w:rPr>
            </w:pPr>
          </w:p>
        </w:tc>
        <w:tc>
          <w:tcPr>
            <w:tcW w:w="750" w:type="dxa"/>
            <w:vAlign w:val="center"/>
          </w:tcPr>
          <w:p>
            <w:pPr>
              <w:widowControl/>
              <w:jc w:val="center"/>
              <w:rPr>
                <w:rFonts w:hint="eastAsia" w:ascii="宋体" w:hAnsi="宋体" w:eastAsia="宋体" w:cs="宋体"/>
                <w:sz w:val="21"/>
                <w:szCs w:val="21"/>
                <w:highlight w:val="none"/>
              </w:rPr>
            </w:pPr>
          </w:p>
        </w:tc>
        <w:tc>
          <w:tcPr>
            <w:tcW w:w="710" w:type="dxa"/>
            <w:vAlign w:val="center"/>
          </w:tcPr>
          <w:p>
            <w:pPr>
              <w:jc w:val="center"/>
              <w:rPr>
                <w:rFonts w:hint="eastAsia" w:ascii="宋体" w:hAnsi="宋体" w:eastAsia="宋体" w:cs="宋体"/>
                <w:sz w:val="21"/>
                <w:szCs w:val="21"/>
                <w:highlight w:val="none"/>
              </w:rPr>
            </w:pPr>
          </w:p>
        </w:tc>
        <w:tc>
          <w:tcPr>
            <w:tcW w:w="510" w:type="dxa"/>
            <w:vAlign w:val="center"/>
          </w:tcPr>
          <w:p>
            <w:pPr>
              <w:ind w:left="-107" w:leftChars="-51" w:right="-107" w:rightChars="-51"/>
              <w:jc w:val="center"/>
              <w:rPr>
                <w:rFonts w:hint="eastAsia" w:ascii="宋体" w:hAnsi="宋体" w:eastAsia="宋体" w:cs="宋体"/>
                <w:bCs/>
                <w:sz w:val="21"/>
                <w:szCs w:val="21"/>
                <w:highlight w:val="none"/>
              </w:rPr>
            </w:pPr>
          </w:p>
        </w:tc>
        <w:tc>
          <w:tcPr>
            <w:tcW w:w="570" w:type="dxa"/>
            <w:vAlign w:val="center"/>
          </w:tcPr>
          <w:p>
            <w:pPr>
              <w:ind w:left="-107" w:leftChars="-51" w:right="-107" w:rightChars="-51"/>
              <w:jc w:val="center"/>
              <w:rPr>
                <w:rFonts w:hint="eastAsia" w:ascii="宋体" w:hAnsi="宋体" w:eastAsia="宋体" w:cs="宋体"/>
                <w:bCs/>
                <w:sz w:val="21"/>
                <w:szCs w:val="21"/>
                <w:highlight w:val="none"/>
              </w:rPr>
            </w:pPr>
          </w:p>
        </w:tc>
        <w:tc>
          <w:tcPr>
            <w:tcW w:w="480" w:type="dxa"/>
            <w:vAlign w:val="center"/>
          </w:tcPr>
          <w:p>
            <w:pPr>
              <w:jc w:val="center"/>
              <w:rPr>
                <w:rFonts w:hint="eastAsia" w:ascii="宋体" w:hAnsi="宋体" w:eastAsia="宋体" w:cs="宋体"/>
                <w:bCs/>
                <w:sz w:val="21"/>
                <w:szCs w:val="21"/>
                <w:highlight w:val="none"/>
              </w:rPr>
            </w:pPr>
          </w:p>
        </w:tc>
        <w:tc>
          <w:tcPr>
            <w:tcW w:w="600" w:type="dxa"/>
            <w:vAlign w:val="center"/>
          </w:tcPr>
          <w:p>
            <w:pPr>
              <w:jc w:val="center"/>
              <w:rPr>
                <w:rFonts w:hint="eastAsia" w:ascii="宋体" w:hAnsi="宋体" w:eastAsia="宋体" w:cs="宋体"/>
                <w:sz w:val="21"/>
                <w:szCs w:val="21"/>
                <w:highlight w:val="none"/>
              </w:rPr>
            </w:pPr>
          </w:p>
        </w:tc>
        <w:tc>
          <w:tcPr>
            <w:tcW w:w="988" w:type="dxa"/>
            <w:vAlign w:val="center"/>
          </w:tcPr>
          <w:p>
            <w:pPr>
              <w:jc w:val="center"/>
              <w:rPr>
                <w:rFonts w:hint="eastAsia" w:ascii="宋体" w:hAnsi="宋体" w:eastAsia="宋体" w:cs="宋体"/>
                <w:sz w:val="21"/>
                <w:szCs w:val="21"/>
                <w:highlight w:val="none"/>
              </w:rPr>
            </w:pPr>
          </w:p>
        </w:tc>
        <w:tc>
          <w:tcPr>
            <w:tcW w:w="430" w:type="dxa"/>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83" w:type="dxa"/>
            <w:gridSpan w:val="2"/>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人民币总价</w:t>
            </w:r>
          </w:p>
        </w:tc>
        <w:tc>
          <w:tcPr>
            <w:tcW w:w="8448" w:type="dxa"/>
            <w:gridSpan w:val="13"/>
            <w:vAlign w:val="center"/>
          </w:tcPr>
          <w:p>
            <w:pPr>
              <w:jc w:val="both"/>
              <w:rPr>
                <w:rFonts w:hint="eastAsia" w:ascii="宋体" w:hAnsi="宋体" w:eastAsia="宋体" w:cs="宋体"/>
                <w:sz w:val="21"/>
                <w:szCs w:val="21"/>
                <w:highlight w:val="none"/>
              </w:rPr>
            </w:pPr>
            <w:bookmarkStart w:id="31" w:name="OLE_LINK26"/>
            <w:r>
              <w:rPr>
                <w:rFonts w:hint="eastAsia" w:ascii="宋体" w:hAnsi="宋体" w:eastAsia="宋体" w:cs="宋体"/>
                <w:b w:val="0"/>
                <w:bCs w:val="0"/>
                <w:color w:val="auto"/>
                <w:sz w:val="21"/>
                <w:szCs w:val="21"/>
                <w:highlight w:val="none"/>
                <w:u w:val="none"/>
                <w:lang w:val="en-US" w:eastAsia="zh-CN"/>
              </w:rPr>
              <w:t>柒拾捌万捌仟元整</w:t>
            </w:r>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83" w:type="dxa"/>
            <w:gridSpan w:val="2"/>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c>
          <w:tcPr>
            <w:tcW w:w="8448" w:type="dxa"/>
            <w:gridSpan w:val="13"/>
            <w:vAlign w:val="center"/>
          </w:tcPr>
          <w:p>
            <w:pPr>
              <w:jc w:val="center"/>
              <w:rPr>
                <w:rFonts w:hint="eastAsia" w:ascii="宋体" w:hAnsi="宋体" w:eastAsia="宋体" w:cs="宋体"/>
                <w:sz w:val="21"/>
                <w:szCs w:val="21"/>
                <w:highlight w:val="none"/>
              </w:rPr>
            </w:pPr>
          </w:p>
        </w:tc>
      </w:tr>
    </w:tbl>
    <w:p>
      <w:pPr>
        <w:rPr>
          <w:rFonts w:hint="eastAsia" w:ascii="宋体" w:hAnsi="宋体" w:eastAsia="宋体" w:cs="宋体"/>
          <w:b/>
          <w:sz w:val="21"/>
          <w:szCs w:val="21"/>
          <w:highlight w:val="none"/>
        </w:rPr>
      </w:pPr>
      <w:r>
        <w:rPr>
          <w:rFonts w:hint="eastAsia" w:ascii="宋体" w:hAnsi="宋体" w:eastAsia="宋体" w:cs="宋体"/>
          <w:b/>
          <w:sz w:val="21"/>
          <w:szCs w:val="21"/>
          <w:highlight w:val="none"/>
        </w:rPr>
        <w:br w:type="page"/>
      </w:r>
    </w:p>
    <w:p>
      <w:pPr>
        <w:spacing w:line="360" w:lineRule="auto"/>
        <w:rPr>
          <w:rFonts w:hint="eastAsia" w:ascii="宋体" w:hAnsi="宋体" w:eastAsia="宋体" w:cs="宋体"/>
          <w:b/>
          <w:sz w:val="21"/>
          <w:szCs w:val="21"/>
          <w:highlight w:val="none"/>
        </w:rPr>
      </w:pPr>
    </w:p>
    <w:p>
      <w:pPr>
        <w:rPr>
          <w:rFonts w:hint="eastAsia" w:ascii="宋体" w:hAnsi="宋体" w:eastAsia="宋体" w:cs="宋体"/>
          <w:b/>
          <w:sz w:val="21"/>
          <w:szCs w:val="21"/>
          <w:highlight w:val="none"/>
        </w:rPr>
      </w:pPr>
      <w:r>
        <w:rPr>
          <w:rFonts w:hint="eastAsia" w:ascii="宋体" w:hAnsi="宋体" w:eastAsia="宋体" w:cs="宋体"/>
          <w:b/>
          <w:kern w:val="0"/>
          <w:sz w:val="21"/>
          <w:szCs w:val="21"/>
          <w:highlight w:val="none"/>
        </w:rPr>
        <w:t>附件3：制造商</w:t>
      </w:r>
      <w:r>
        <w:rPr>
          <w:rFonts w:hint="eastAsia" w:ascii="宋体" w:hAnsi="宋体" w:eastAsia="宋体" w:cs="宋体"/>
          <w:b/>
          <w:sz w:val="21"/>
          <w:szCs w:val="21"/>
          <w:highlight w:val="none"/>
        </w:rPr>
        <w:t>：</w:t>
      </w:r>
    </w:p>
    <w:p>
      <w:pPr>
        <w:pStyle w:val="17"/>
        <w:rPr>
          <w:rFonts w:hint="eastAsia" w:ascii="宋体" w:hAnsi="宋体" w:eastAsia="宋体" w:cs="宋体"/>
          <w:sz w:val="21"/>
          <w:szCs w:val="21"/>
          <w:highlight w:val="none"/>
        </w:rPr>
      </w:pPr>
    </w:p>
    <w:p>
      <w:pPr>
        <w:jc w:val="center"/>
        <w:rPr>
          <w:rFonts w:hint="eastAsia" w:ascii="宋体" w:hAnsi="宋体" w:eastAsia="宋体" w:cs="宋体"/>
          <w:b/>
          <w:sz w:val="21"/>
          <w:szCs w:val="21"/>
          <w:highlight w:val="none"/>
        </w:rPr>
      </w:pPr>
      <w:r>
        <w:rPr>
          <w:rFonts w:hint="eastAsia" w:ascii="宋体" w:hAnsi="宋体" w:eastAsia="宋体" w:cs="宋体"/>
          <w:color w:val="auto"/>
          <w:sz w:val="21"/>
          <w:szCs w:val="21"/>
          <w:highlight w:val="none"/>
          <w:lang w:eastAsia="zh-CN"/>
        </w:rPr>
        <w:t>河南中医药大学数字化转型基础数据建设项目</w:t>
      </w:r>
      <w:r>
        <w:rPr>
          <w:rFonts w:hint="eastAsia" w:ascii="宋体" w:hAnsi="宋体" w:eastAsia="宋体" w:cs="宋体"/>
          <w:color w:val="auto"/>
          <w:sz w:val="21"/>
          <w:szCs w:val="21"/>
          <w:highlight w:val="none"/>
          <w:lang w:val="en-US" w:eastAsia="zh-CN"/>
        </w:rPr>
        <w:t>C包</w:t>
      </w:r>
      <w:bookmarkStart w:id="32" w:name="OLE_LINK27"/>
      <w:r>
        <w:rPr>
          <w:rFonts w:hint="eastAsia" w:ascii="宋体" w:hAnsi="宋体" w:eastAsia="宋体" w:cs="宋体"/>
          <w:bCs/>
          <w:sz w:val="21"/>
          <w:szCs w:val="21"/>
          <w:highlight w:val="none"/>
        </w:rPr>
        <w:t>项目货物配置清单</w:t>
      </w:r>
      <w:bookmarkEnd w:id="32"/>
    </w:p>
    <w:p>
      <w:pPr>
        <w:rPr>
          <w:rFonts w:hint="eastAsia" w:ascii="宋体" w:hAnsi="宋体" w:eastAsia="宋体" w:cs="宋体"/>
          <w:b/>
          <w:sz w:val="21"/>
          <w:szCs w:val="21"/>
          <w:highlight w:val="none"/>
        </w:rPr>
      </w:pPr>
    </w:p>
    <w:tbl>
      <w:tblPr>
        <w:tblStyle w:val="14"/>
        <w:tblW w:w="9258" w:type="dxa"/>
        <w:jc w:val="center"/>
        <w:tblLayout w:type="fixed"/>
        <w:tblCellMar>
          <w:top w:w="0" w:type="dxa"/>
          <w:left w:w="108" w:type="dxa"/>
          <w:bottom w:w="0" w:type="dxa"/>
          <w:right w:w="108" w:type="dxa"/>
        </w:tblCellMar>
      </w:tblPr>
      <w:tblGrid>
        <w:gridCol w:w="888"/>
        <w:gridCol w:w="3255"/>
        <w:gridCol w:w="1680"/>
        <w:gridCol w:w="1215"/>
        <w:gridCol w:w="2220"/>
      </w:tblGrid>
      <w:tr>
        <w:tblPrEx>
          <w:tblCellMar>
            <w:top w:w="0" w:type="dxa"/>
            <w:left w:w="108" w:type="dxa"/>
            <w:bottom w:w="0" w:type="dxa"/>
            <w:right w:w="108" w:type="dxa"/>
          </w:tblCellMar>
        </w:tblPrEx>
        <w:trPr>
          <w:trHeight w:val="560" w:hRule="atLeast"/>
          <w:jc w:val="center"/>
        </w:trPr>
        <w:tc>
          <w:tcPr>
            <w:tcW w:w="8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序号</w:t>
            </w:r>
          </w:p>
        </w:tc>
        <w:tc>
          <w:tcPr>
            <w:tcW w:w="325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配置名称</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品牌</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单位</w:t>
            </w:r>
          </w:p>
        </w:tc>
        <w:tc>
          <w:tcPr>
            <w:tcW w:w="22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数量</w:t>
            </w:r>
          </w:p>
        </w:tc>
      </w:tr>
      <w:tr>
        <w:tblPrEx>
          <w:tblCellMar>
            <w:top w:w="0" w:type="dxa"/>
            <w:left w:w="108" w:type="dxa"/>
            <w:bottom w:w="0" w:type="dxa"/>
            <w:right w:w="108" w:type="dxa"/>
          </w:tblCellMar>
        </w:tblPrEx>
        <w:trPr>
          <w:trHeight w:val="560" w:hRule="atLeast"/>
          <w:jc w:val="center"/>
        </w:trPr>
        <w:tc>
          <w:tcPr>
            <w:tcW w:w="8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w:t>
            </w:r>
          </w:p>
        </w:tc>
        <w:tc>
          <w:tcPr>
            <w:tcW w:w="3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auto"/>
                <w:kern w:val="0"/>
                <w:sz w:val="21"/>
                <w:szCs w:val="21"/>
                <w:highlight w:val="none"/>
                <w:lang w:val="en-US" w:eastAsia="zh-CN"/>
              </w:rPr>
              <w:t>智慧教学综合分析系统</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lang w:val="en-US" w:eastAsia="zh-CN"/>
              </w:rPr>
            </w:pPr>
            <w:bookmarkStart w:id="33" w:name="OLE_LINK28"/>
            <w:r>
              <w:rPr>
                <w:rFonts w:hint="eastAsia" w:ascii="宋体" w:hAnsi="宋体" w:eastAsia="宋体" w:cs="宋体"/>
                <w:color w:val="000000"/>
                <w:sz w:val="21"/>
                <w:szCs w:val="21"/>
                <w:highlight w:val="none"/>
                <w:lang w:val="en-US" w:eastAsia="zh-CN"/>
              </w:rPr>
              <w:t>莲石</w:t>
            </w:r>
            <w:bookmarkEnd w:id="33"/>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套</w:t>
            </w:r>
          </w:p>
        </w:tc>
        <w:tc>
          <w:tcPr>
            <w:tcW w:w="22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w:t>
            </w:r>
          </w:p>
        </w:tc>
      </w:tr>
      <w:tr>
        <w:tblPrEx>
          <w:tblCellMar>
            <w:top w:w="0" w:type="dxa"/>
            <w:left w:w="108" w:type="dxa"/>
            <w:bottom w:w="0" w:type="dxa"/>
            <w:right w:w="108" w:type="dxa"/>
          </w:tblCellMar>
        </w:tblPrEx>
        <w:trPr>
          <w:trHeight w:val="560" w:hRule="atLeast"/>
          <w:jc w:val="center"/>
        </w:trPr>
        <w:tc>
          <w:tcPr>
            <w:tcW w:w="8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w:t>
            </w:r>
          </w:p>
        </w:tc>
        <w:tc>
          <w:tcPr>
            <w:tcW w:w="3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color w:val="auto"/>
                <w:kern w:val="0"/>
                <w:sz w:val="21"/>
                <w:szCs w:val="21"/>
                <w:highlight w:val="none"/>
                <w:lang w:val="en-US" w:eastAsia="zh-CN"/>
              </w:rPr>
              <w:t>心理监测预警系统</w:t>
            </w:r>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莲石</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套</w:t>
            </w:r>
          </w:p>
        </w:tc>
        <w:tc>
          <w:tcPr>
            <w:tcW w:w="22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w:t>
            </w:r>
          </w:p>
        </w:tc>
      </w:tr>
      <w:tr>
        <w:tblPrEx>
          <w:tblCellMar>
            <w:top w:w="0" w:type="dxa"/>
            <w:left w:w="108" w:type="dxa"/>
            <w:bottom w:w="0" w:type="dxa"/>
            <w:right w:w="108" w:type="dxa"/>
          </w:tblCellMar>
        </w:tblPrEx>
        <w:trPr>
          <w:trHeight w:val="560" w:hRule="atLeast"/>
          <w:jc w:val="center"/>
        </w:trPr>
        <w:tc>
          <w:tcPr>
            <w:tcW w:w="8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w:t>
            </w:r>
          </w:p>
        </w:tc>
        <w:tc>
          <w:tcPr>
            <w:tcW w:w="325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宋体" w:hAnsi="宋体" w:eastAsia="宋体" w:cs="宋体"/>
                <w:color w:val="000000"/>
                <w:sz w:val="21"/>
                <w:szCs w:val="21"/>
                <w:highlight w:val="none"/>
              </w:rPr>
            </w:pPr>
            <w:bookmarkStart w:id="34" w:name="OLE_LINK31"/>
            <w:r>
              <w:rPr>
                <w:rFonts w:hint="eastAsia" w:ascii="宋体" w:hAnsi="宋体" w:eastAsia="宋体" w:cs="宋体"/>
                <w:color w:val="auto"/>
                <w:kern w:val="0"/>
                <w:sz w:val="21"/>
                <w:szCs w:val="21"/>
                <w:highlight w:val="none"/>
                <w:lang w:val="en-US" w:eastAsia="zh-CN"/>
              </w:rPr>
              <w:t>精准思政预警系统</w:t>
            </w:r>
            <w:bookmarkEnd w:id="34"/>
          </w:p>
        </w:tc>
        <w:tc>
          <w:tcPr>
            <w:tcW w:w="16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莲石</w:t>
            </w:r>
          </w:p>
        </w:tc>
        <w:tc>
          <w:tcPr>
            <w:tcW w:w="12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套</w:t>
            </w:r>
          </w:p>
        </w:tc>
        <w:tc>
          <w:tcPr>
            <w:tcW w:w="22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w:t>
            </w:r>
          </w:p>
        </w:tc>
      </w:tr>
    </w:tbl>
    <w:p>
      <w:pPr>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p>
    <w:p>
      <w:pPr>
        <w:rPr>
          <w:rFonts w:hint="eastAsia" w:ascii="宋体" w:hAnsi="宋体" w:eastAsia="宋体" w:cs="宋体"/>
          <w:sz w:val="21"/>
          <w:szCs w:val="21"/>
        </w:rPr>
      </w:pPr>
    </w:p>
    <w:p>
      <w:pPr>
        <w:rPr>
          <w:rFonts w:hint="eastAsia" w:ascii="宋体" w:hAnsi="宋体" w:eastAsia="宋体" w:cs="宋体"/>
          <w:sz w:val="21"/>
          <w:szCs w:val="21"/>
          <w:highlight w:val="none"/>
        </w:rPr>
      </w:pPr>
    </w:p>
    <w:p>
      <w:pPr>
        <w:rPr>
          <w:rFonts w:hint="eastAsia" w:ascii="宋体" w:hAnsi="宋体" w:eastAsia="宋体" w:cs="宋体"/>
          <w:b/>
          <w:sz w:val="21"/>
          <w:szCs w:val="21"/>
          <w:highlight w:val="none"/>
        </w:rPr>
      </w:pPr>
      <w:r>
        <w:rPr>
          <w:rFonts w:hint="eastAsia" w:ascii="宋体" w:hAnsi="宋体" w:eastAsia="宋体" w:cs="宋体"/>
          <w:b/>
          <w:sz w:val="21"/>
          <w:szCs w:val="21"/>
          <w:highlight w:val="none"/>
        </w:rPr>
        <w:t>附件4：</w:t>
      </w:r>
    </w:p>
    <w:p>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货物技术参数及配置表</w:t>
      </w:r>
    </w:p>
    <w:tbl>
      <w:tblPr>
        <w:tblStyle w:val="14"/>
        <w:tblW w:w="101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4"/>
        <w:gridCol w:w="575"/>
        <w:gridCol w:w="408"/>
        <w:gridCol w:w="540"/>
        <w:gridCol w:w="6864"/>
        <w:gridCol w:w="432"/>
        <w:gridCol w:w="480"/>
        <w:gridCol w:w="3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序号</w:t>
            </w:r>
          </w:p>
        </w:tc>
        <w:tc>
          <w:tcPr>
            <w:tcW w:w="5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货物或配置名称</w:t>
            </w:r>
          </w:p>
        </w:tc>
        <w:tc>
          <w:tcPr>
            <w:tcW w:w="40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图片</w:t>
            </w:r>
          </w:p>
        </w:tc>
        <w:tc>
          <w:tcPr>
            <w:tcW w:w="54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型号规格</w:t>
            </w:r>
          </w:p>
        </w:tc>
        <w:tc>
          <w:tcPr>
            <w:tcW w:w="68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规格参数</w:t>
            </w:r>
          </w:p>
        </w:tc>
        <w:tc>
          <w:tcPr>
            <w:tcW w:w="43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数量</w:t>
            </w:r>
          </w:p>
        </w:tc>
        <w:tc>
          <w:tcPr>
            <w:tcW w:w="480" w:type="dxa"/>
            <w:tcBorders>
              <w:top w:val="single" w:color="auto" w:sz="4" w:space="0"/>
              <w:left w:val="single" w:color="auto" w:sz="4" w:space="0"/>
              <w:bottom w:val="single" w:color="auto" w:sz="4" w:space="0"/>
              <w:right w:val="single" w:color="auto" w:sz="4" w:space="0"/>
            </w:tcBorders>
            <w:vAlign w:val="center"/>
          </w:tcPr>
          <w:p>
            <w:pPr>
              <w:ind w:left="-107" w:leftChars="-51" w:right="-107" w:rightChars="-51"/>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制造厂(商)</w:t>
            </w:r>
          </w:p>
        </w:tc>
        <w:tc>
          <w:tcPr>
            <w:tcW w:w="369" w:type="dxa"/>
            <w:tcBorders>
              <w:top w:val="single" w:color="auto" w:sz="4" w:space="0"/>
              <w:left w:val="single" w:color="auto" w:sz="4" w:space="0"/>
              <w:bottom w:val="single" w:color="auto" w:sz="4" w:space="0"/>
              <w:right w:val="single" w:color="auto" w:sz="4" w:space="0"/>
            </w:tcBorders>
            <w:vAlign w:val="center"/>
          </w:tcPr>
          <w:p>
            <w:pPr>
              <w:ind w:left="-107" w:leftChars="-51" w:right="-107" w:rightChars="-51"/>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原产地</w:t>
            </w:r>
          </w:p>
          <w:p>
            <w:pPr>
              <w:ind w:left="-107" w:leftChars="-51" w:right="-107" w:rightChars="-51"/>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7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宋体" w:hAnsi="宋体" w:eastAsia="宋体" w:cs="宋体"/>
                <w:sz w:val="21"/>
                <w:szCs w:val="21"/>
                <w:highlight w:val="none"/>
              </w:rPr>
            </w:pPr>
            <w:r>
              <w:rPr>
                <w:rFonts w:hint="eastAsia" w:ascii="宋体" w:hAnsi="宋体" w:eastAsia="宋体" w:cs="宋体"/>
                <w:color w:val="auto"/>
                <w:kern w:val="0"/>
                <w:sz w:val="21"/>
                <w:szCs w:val="21"/>
                <w:highlight w:val="none"/>
                <w:lang w:val="en-US" w:eastAsia="zh-CN"/>
              </w:rPr>
              <w:t>智慧教学综合分析系统</w:t>
            </w:r>
          </w:p>
        </w:tc>
        <w:tc>
          <w:tcPr>
            <w:tcW w:w="408"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eastAsia" w:ascii="宋体" w:hAnsi="宋体" w:eastAsia="宋体" w:cs="宋体"/>
                <w:sz w:val="21"/>
                <w:szCs w:val="21"/>
                <w:highlight w:val="none"/>
              </w:rPr>
            </w:pPr>
            <w:r>
              <w:rPr>
                <w:rFonts w:hint="eastAsia" w:ascii="宋体" w:hAnsi="宋体" w:eastAsia="宋体" w:cs="宋体"/>
                <w:b w:val="0"/>
                <w:bCs/>
                <w:sz w:val="21"/>
                <w:szCs w:val="21"/>
                <w:lang w:val="en-US" w:eastAsia="zh-CN"/>
              </w:rPr>
              <w:t>莲石教学管理大数据分析平台V1.0</w:t>
            </w:r>
          </w:p>
        </w:tc>
        <w:tc>
          <w:tcPr>
            <w:tcW w:w="686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1.学生培养驾驶舱</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通过动态数据实时展示学校在校生学业质量水平及培</w:t>
            </w:r>
            <w:r>
              <w:rPr>
                <w:rFonts w:hint="eastAsia" w:ascii="宋体" w:hAnsi="宋体" w:eastAsia="宋体" w:cs="宋体"/>
                <w:sz w:val="21"/>
                <w:szCs w:val="21"/>
                <w:highlight w:val="none"/>
                <w:lang w:val="en-US" w:eastAsia="zh-CN"/>
              </w:rPr>
              <w:t>养进度，在培养过程中出现的问题，辅助学校调整思路和精准帮扶目标，从而提升学校整体的教学水平。功能要有在校生人数分析，在校生性别分布，在籍学生人数分析，当年将要毕业的学生分析；上个学期学生学业质量及与前五个学期学业质量的对比分析，反映学校学业质量的走势；在校生挂科门数的区间分布，辅助学校帮扶；各年级招生人数趋势分析，分析本科在校生规模走势；分析各年级学业进度，给出具体的进度区间范围学分值；在校生学业预警分布，分析在校生处于不同预警级别的人数；毕业生挂科课程人数排行，毕业生挂科门数区间分布，毕业生学业预警分析等。</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▲1.1学生培养驾驶舱要包含动态分析6个学期的学业质量趋势分析功能。提供截图证明。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▲1.2要包含在校生学业预警分布功能。提供截图证明。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▲1.3学生培养驾驶舱要包含各个年级学业进展分析功能。提供截图证明。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▲1.4学生培养驾驶舱预毕业学生挂课课程排行榜功能。提供截图证明。</w:t>
            </w:r>
          </w:p>
          <w:p>
            <w:pPr>
              <w:pStyle w:val="3"/>
              <w:numPr>
                <w:ilvl w:val="0"/>
                <w:numId w:val="1"/>
              </w:numPr>
              <w:ind w:left="425" w:leftChars="0" w:hanging="425" w:firstLineChars="0"/>
              <w:rPr>
                <w:rFonts w:hint="eastAsia" w:asciiTheme="minorEastAsia" w:hAnsi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教学任务</w:t>
            </w:r>
            <w:r>
              <w:rPr>
                <w:rFonts w:hint="eastAsia" w:asciiTheme="minorEastAsia" w:hAnsiTheme="minorEastAsia" w:cstheme="minorEastAsia"/>
                <w:color w:val="auto"/>
                <w:kern w:val="0"/>
                <w:sz w:val="21"/>
                <w:szCs w:val="21"/>
                <w:highlight w:val="none"/>
                <w:lang w:val="en-US" w:eastAsia="zh-CN"/>
              </w:rPr>
              <w:t>驾驶舱</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实时分析学校当前学期教学任务进展以及每天教学任务变化，为学校教学管理提供决策支持。功能要有：在校生人数、专任教师、生师比、课程数、课头数、副高及以上专任教师、副高及以上占比；学期教学任务进度分析，至少要从三个维度实时分析学期教学进度；前后5日学校课程安排，学校各单位教学任务分析，包括每个单位有多少个专业、多少门课程、人均学时、每日授课老师；近4个学期调课对比分析，包括当前学期的调课分析；当天学校教学运行情况，包括每天共多少课头、上课学生、授课老师及每个节次的情况等。</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▲2.1教学任务驾驶舱要有实时分析各个单位教学任务功能。</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▲2.2教学任务驾驶舱要有实时当日教学运行情况功能，包括每个节次的课头数、上课人数以及总的课头数、上课人数和教师数等。</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▲2.3教学任务驾驶舱要有近10日的课程安排对比功能。</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w:t>
            </w:r>
            <w:r>
              <w:rPr>
                <w:rFonts w:hint="eastAsia" w:ascii="宋体" w:hAnsi="宋体" w:eastAsia="宋体" w:cs="宋体"/>
                <w:kern w:val="0"/>
                <w:sz w:val="21"/>
                <w:szCs w:val="21"/>
                <w:highlight w:val="none"/>
                <w:lang w:val="en-US" w:eastAsia="zh-CN" w:bidi="ar-SA"/>
              </w:rPr>
              <w:t>2.4教学任务驾驶舱要有至少三个维度的当前学期教学任务进度分析功能。提供截图证明。</w:t>
            </w:r>
          </w:p>
          <w:p>
            <w:pPr>
              <w:pStyle w:val="3"/>
              <w:numPr>
                <w:ilvl w:val="0"/>
                <w:numId w:val="1"/>
              </w:numPr>
              <w:ind w:left="425" w:leftChars="0" w:hanging="425" w:firstLine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教室使用指导大数据</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教室使用大数据帮助学生快速定位到适合自己的空闲教室，方便学生学习，同时也辅助学校掌握每天教室资源的利用情况，从而合理的最大化的使用教室资源。功能要有当天和第二天全天空闲教室数量、当前空闲教室数量及单节空闲教室数量；要有教学楼空闲排行榜功能，包括上午一直空闲、1-2节空闲、3-5节空闲、下午一直空闲、6-7节空闲、8-9节空闲及晚上空闲的细分排行榜功能；要有学校所有校区教学楼上午一直空闲、1-2节空闲、3-5节空闲、下午一直空闲、6-7节空闲、8-9节空闲及晚上空闲教室楼宇分布分析功能；要有全校所有教学楼上午一直空闲、1-2节空闲、3-5节空闲、下午一直空闲、6-7节空闲、8-9节空闲的具体教室，方便学生快速定位适合自己的空闲教室。</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▲3.1要有全天空闲、当前空闲、当日单节空闲分析功能。</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▲3.2空闲教室使用指导大数据要具有分校区功能。</w:t>
            </w:r>
            <w:r>
              <w:rPr>
                <w:rFonts w:hint="eastAsia" w:ascii="宋体" w:hAnsi="宋体" w:eastAsia="宋体" w:cs="宋体"/>
                <w:sz w:val="21"/>
                <w:szCs w:val="21"/>
                <w:highlight w:val="none"/>
                <w:lang w:val="en-US" w:eastAsia="zh-CN"/>
              </w:rPr>
              <w:t>提供截图证明。</w:t>
            </w:r>
          </w:p>
          <w:p>
            <w:pPr>
              <w:pStyle w:val="3"/>
              <w:numPr>
                <w:ilvl w:val="0"/>
                <w:numId w:val="0"/>
              </w:numPr>
              <w:ind w:left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▲3.3空闲教室使用二维交叉表形式展示当前各个楼具体的空闲教室，方便学生快速定位。</w:t>
            </w:r>
            <w:r>
              <w:rPr>
                <w:rFonts w:hint="eastAsia" w:ascii="宋体" w:hAnsi="宋体" w:eastAsia="宋体" w:cs="宋体"/>
                <w:sz w:val="21"/>
                <w:szCs w:val="21"/>
                <w:highlight w:val="none"/>
                <w:lang w:val="en-US" w:eastAsia="zh-CN"/>
              </w:rPr>
              <w:t>提供截图证明。</w:t>
            </w:r>
          </w:p>
          <w:p>
            <w:pPr>
              <w:pStyle w:val="3"/>
              <w:numPr>
                <w:ilvl w:val="0"/>
                <w:numId w:val="1"/>
              </w:numPr>
              <w:ind w:left="425" w:leftChars="0" w:hanging="425" w:firstLine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师资队伍</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师资队伍主要围绕学校专任教学的群体画像、教学任务进行综合挖掘分析，辅助学校掌握不同特征的老师教学过程及教学结果等，合理安排学校的师资以及为引进人才提供决策支持。功能要有：总的教师人数以及教师信息明细，并可查看每位老师近8个学期带班课趋势，近8个学期代课门数趋势，近8个学期授课平均成绩，近8个学期教学评价趋势，近8个学期授课学时趋势，老师授课明细；当前学期专任教师数量分析，当前学期学校的师生比；近8个学期学校专任教师人数趋势分析，可查看师生比院系分布，并可与国家标准进行对比，专业师生比，并可与国家标准进行对比；师资人数院系分布分析，并可查看指定院系总人数、专任教师人数、师生比分析，专任教师职称分布分析、并可与国家标准进行对比，非专任教师职称分布分析、专任教师年龄分布分析、非专任教师年龄分布分析、专任教师性别分布分析、专任教师学历分布分析、生师比专业分布分析；专任教师职称分布分析，并可与国家标准进行对比。专任教师学历分布、非专任教师学历分布分析、专任教师年龄分布分析，不同年龄段职称分析，教师年龄段分析。近8个学期带班课分析，并可查看带班课院系分析、带班课职称分析、带班课年龄分析、代课门数职称分析、代课门数年龄分析。教师授课安排分析，可以查看每个院系每个老师的上课安排。</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▲4.1教师授课安排，图形化呈现当日有多少老师上课，授课老师单位分布及各个单位授课老师职称分布和授课明细。</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▲4.2授课明细要包含上课教学楼、上课教室、教学班，要能看到教学班的物理班分布和上课人数。</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▲4.3要有近8个学期的专任教师人数趋势，能看每个学期专任教师院系分布、生师比分布。</w:t>
            </w:r>
            <w:r>
              <w:rPr>
                <w:rFonts w:hint="eastAsia" w:ascii="宋体" w:hAnsi="宋体" w:eastAsia="宋体" w:cs="宋体"/>
                <w:sz w:val="21"/>
                <w:szCs w:val="21"/>
                <w:highlight w:val="none"/>
                <w:lang w:val="en-US" w:eastAsia="zh-CN"/>
              </w:rPr>
              <w:t>提供截图证明。</w:t>
            </w:r>
          </w:p>
          <w:p>
            <w:pPr>
              <w:pStyle w:val="3"/>
              <w:numPr>
                <w:ilvl w:val="0"/>
                <w:numId w:val="0"/>
              </w:numPr>
              <w:ind w:left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▲4.4要有专任教师上课分析，并生成一定的格式可导出上报。</w:t>
            </w:r>
            <w:r>
              <w:rPr>
                <w:rFonts w:hint="eastAsia" w:ascii="宋体" w:hAnsi="宋体" w:eastAsia="宋体" w:cs="宋体"/>
                <w:sz w:val="21"/>
                <w:szCs w:val="21"/>
                <w:highlight w:val="none"/>
                <w:lang w:val="en-US" w:eastAsia="zh-CN"/>
              </w:rPr>
              <w:t>提供截图证明。</w:t>
            </w:r>
          </w:p>
          <w:p>
            <w:pPr>
              <w:pStyle w:val="3"/>
              <w:numPr>
                <w:ilvl w:val="0"/>
                <w:numId w:val="1"/>
              </w:numPr>
              <w:ind w:left="425" w:leftChars="0" w:hanging="425" w:firstLine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课程开设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课程开设围绕每个学期开设课程资源进行综合的横向和纵向分析，帮助学校分析课程开设是否合理，课程建设资源差异，为学校提高课程建设提供决策支持。功能要有：分析课程总数量，理论课程和实践课程数量分析。可查看课程院系分布分析和课程明细，课程开设中的异常预警，教学总进度，可查看教学进度院系分布分析及专业进度分析。近8个学期开课数量趋势分析，可查看课程类别分布分析及某一类型的院系分布分析、专业分布分析、年级分布分析、近8个学期趋势分析。课程性质分布分析，可查看某一性质院系分布分析、专业分布分析、年级分布分析和近8个学期趋势分析。开课门数院系分布分析，可查看课程类型分布分析，课程性质分布分析，年级分布分析，专业分布分析。人均学时院系分布分析，可查看学时课程类型分布，学时课程性质分布，学时专业分布，学时年级分布。课程开设一览表分析，可查看学年学期，课程代码课程名称，开课单位数，开课专业数，开课班级数，计划覆盖人数，授课教师数，教授数量，选课率。可查看某一门课程的开课院系分布，开课专业分布，开课年级分布，教学任务明细，近8个学期平均成绩趋势，近8个学期学业质量，近8个学期学生人数，课程开课明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▲5.1要有课程预警分析，并可查看预警类型分布。</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▲5.2可查看近8个学期任一学期课程开始数和人均学时院系分布。</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▲5.3具有阶段教学任务分析功能，分析要包含课程数、课头数、授课 教师数、上课学生数、上课专业数、上课班级数等，并可查看详情。</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▲5.4具有课程开始一览功能，要包含选课上限人数、选课率上限百分比、选课率计划百分比等功能。提供截图证明。</w:t>
            </w:r>
          </w:p>
          <w:p>
            <w:pPr>
              <w:pStyle w:val="3"/>
              <w:numPr>
                <w:ilvl w:val="0"/>
                <w:numId w:val="1"/>
              </w:numPr>
              <w:ind w:left="425" w:leftChars="0" w:hanging="425" w:firstLine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专业培养</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围绕学校专业分析专业生源、学生、教师、课程、教学等等，对专业进行横向趋势分析和纵向对比分析。为学校的专业建设提供决策支持。功能要有：近8学年开设专业数量趋势，可查看专业院系分布，开设专业教学进度、专业教学信息、师生比、授课教师人数、已完成课程、未完成课程、修得最高学分、修得最低学分、80%学生修得学分、具有不及格人数、最高不及格门数、关停时间。专业开设情况，如：专业编号、专业名称、开设状态、所属院系、师生比、学生人数、男女比、教师人数、高级职称占比、研究生以上学历占比、人均授课学时、人均周课时、人均课程数。可查看每个专业的教学进展及教学质量情况，如：近8个学年招生人数，近8个学期专任教师人数趋势，近8个学期专任教师高级职称占比趋势，近8个学期专任教师研究生以上学历占比趋势，近8个学期人均授课学时趋势，近8个学期人均授课周学时趋势，近8个学期人均课程数趋势，近8个学期生师比趋势，近8个学年课程开设数量，近8个学年要求最低学分趋势，近8个学期平均分趋势，近8个学期及格率趋势，近8个学期学业质量趋势，近8个学期绩点趋势，近8个学期教学评价趋势，近8个学期转入转出趋势，近8个学期学籍异动趋势分析。</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▲6.1要有专业开设一览功能，要包含人均授课学时、人均授课周学时、人均课程数。</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▲6.2针对指定的专业要能至少具有8个维度的图形化的8个学期的趋势分析功能。</w:t>
            </w:r>
            <w:r>
              <w:rPr>
                <w:rFonts w:hint="eastAsia" w:ascii="宋体" w:hAnsi="宋体" w:eastAsia="宋体" w:cs="宋体"/>
                <w:sz w:val="21"/>
                <w:szCs w:val="21"/>
                <w:highlight w:val="none"/>
                <w:lang w:val="en-US" w:eastAsia="zh-CN"/>
              </w:rPr>
              <w:t>提供截图证明。</w:t>
            </w:r>
          </w:p>
          <w:p>
            <w:pPr>
              <w:pStyle w:val="3"/>
              <w:numPr>
                <w:ilvl w:val="0"/>
                <w:numId w:val="1"/>
              </w:numPr>
              <w:ind w:left="425" w:leftChars="0" w:hanging="425" w:firstLine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学情分析</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主要分析学校、院系、专业、班级和个人的学习情况报告。呈现形式要求分为PC端和手机端两种形式。手机端可推送给教务处指定的任何一种角色。功能具有学期学情概览，包括近8个学期总人数、不及格人数、学霸人数、学业预警人数分布，总人数、不及格人数、学霸人数、学业预警人数、优良中差及格占比院系分布、年级和性别分布；人员明细，要能查看个人学业。当前学情分析，包括全优、良及以上、中及以上、及格及以上、1门不及格、多门不及格分布及院系、年级、性别分布和成绩水平人员明细。挂科分析，包括一科、二科、三科、四可及五科以上分布及院系、年级、性别分布和挂科人员明细及挂科课程名称。近8学期预警类型趋势，包括黄、橙、红色预警趋势及院系、年级、性别、预警原因分布和预警人员明细。近8学期开课趋势，包括公共课、专业课、通识教育课等不同类型数量分布及院系、年级分布和教师授课、开课院系、开课专业排行榜。近8学期教师资源趋势分析，包括正高、副高、中级、助理级人数趋势及院系、年级分布和院系教授、专业教授排行。功能要包含近8个学期的总人数、不及格人数、学霸人数、学业预警人数的对比分析。下钻要能分析每个院系的优、良、中、及格和不及格占比，以及预警人数、学霸人数分布；同时还要能看到本学期学业分析。要具有学校当前学期分析，包括全优、良及以上、中及以上、及格及以上、一门不及格及以上、多门不及格及以上等分布。钻取要能查看院系分布、年级分布、性别分布及人员明细。要具有授课教师资源近8个学期的对比分析，分析各个教师职称的分布趋势以及各个院系分布，各种排行榜等。要有手机端学情分析报告功能，要有总体概况、课程排行、学业预警、挂科分析等等。</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▲7.1可查看近4个学期学生人数趋势，并具有任何一个学期授课教师、开设专业、开始课程分析功能。</w:t>
            </w:r>
            <w:r>
              <w:rPr>
                <w:rFonts w:hint="eastAsia" w:ascii="宋体" w:hAnsi="宋体" w:eastAsia="宋体" w:cs="宋体"/>
                <w:sz w:val="21"/>
                <w:szCs w:val="21"/>
                <w:highlight w:val="none"/>
                <w:lang w:val="en-US" w:eastAsia="zh-CN"/>
              </w:rPr>
              <w:t>提供截图证明。</w:t>
            </w:r>
          </w:p>
          <w:p>
            <w:pPr>
              <w:pStyle w:val="3"/>
              <w:numPr>
                <w:ilvl w:val="0"/>
                <w:numId w:val="0"/>
              </w:numPr>
              <w:ind w:left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▲7.2可查看任意一个学期学业质量对比分析功能。</w:t>
            </w:r>
            <w:r>
              <w:rPr>
                <w:rFonts w:hint="eastAsia" w:ascii="宋体" w:hAnsi="宋体" w:eastAsia="宋体" w:cs="宋体"/>
                <w:sz w:val="21"/>
                <w:szCs w:val="21"/>
                <w:highlight w:val="none"/>
                <w:lang w:val="en-US" w:eastAsia="zh-CN"/>
              </w:rPr>
              <w:t>提供截图证明。</w:t>
            </w:r>
          </w:p>
          <w:p>
            <w:pPr>
              <w:pStyle w:val="3"/>
              <w:numPr>
                <w:ilvl w:val="0"/>
                <w:numId w:val="1"/>
              </w:numPr>
              <w:ind w:left="425" w:leftChars="0" w:hanging="425" w:firstLine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成绩盘点</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从学校整体成绩分析到院系、专业、班级、课程、年级纵向分析，同时还要支持整体成绩的横向分析，把握近几年学校学业成果趋势。还要有对学霸、课程学霸、课程详细成绩深入的分析。功能要有成绩异常分析，学校近8个学期学业质量趋势，学业质量院系分布分析，学业质量专业分布分析，学业质量年级分布分析，学业质量性别分布分析，学业质量专业排行，课程类型学业质量分布分析，不同职称教师学业质量分布分析。近8学期平均成绩趋势分析，可查看院系分布分析，专业分布分析，年级分布分析，性别分布分析，不及格门数分布分析，不及格门数等级的院系分布分析、年级分布分析、性别分布分析。毕业生不及格门数分布分析，学霸年级分布分析，学霸院系分布，学霸专业分布，学霸性别分布，学霸专业排行和学霸明细。不同职称教师平均成绩分布分析，不同年龄教师平均成绩分布分析，学生成绩明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▲8.1具有对成绩信息的预警功能，方便学校发现成绩问题。</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▲8.2有图形化学校各个学期学业质量趋势分析，并可查看各个院系学院质量对比、各个职称学业质量对比功能。</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▲8.3可以看到各个课程计划人数、修读人数、优秀占比、补考人数、重修人数。</w:t>
            </w:r>
            <w:r>
              <w:rPr>
                <w:rFonts w:hint="eastAsia" w:ascii="宋体" w:hAnsi="宋体" w:eastAsia="宋体" w:cs="宋体"/>
                <w:sz w:val="21"/>
                <w:szCs w:val="21"/>
                <w:highlight w:val="none"/>
                <w:lang w:val="en-US" w:eastAsia="zh-CN"/>
              </w:rPr>
              <w:t>提供截图证明。</w:t>
            </w:r>
          </w:p>
          <w:p>
            <w:pPr>
              <w:pStyle w:val="3"/>
              <w:numPr>
                <w:ilvl w:val="0"/>
                <w:numId w:val="1"/>
              </w:numPr>
              <w:ind w:left="425" w:leftChars="0" w:hanging="425" w:firstLine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学业预警</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学业预警管理是基于学校学业预警条件，每个学期自动生成温馨的学业预警功能。功能为“黄、橙、红”三种预警级别，可掌握当前学业预警情况、近8个学期预警趋势、预警院系、专业、年级等分布情况。具体功能包括黄、橙、红预警人数及预警原因分布、院系分布、性别分布、年级分布、预警人员明细。近8学期预警类型趋势分析，包括黄、橙、红预警人员趋势及院系、年级、预警原因分布。还有预警年级、预警次数分析功能。当前预警类型院系分布及预警原因分布和预警人员明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▲9.1图形化直观看出不同级别的预警人数及预警原因。</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▲9.2能清楚看到预警学生预警几种类型，最高预警是哪种预警。</w:t>
            </w:r>
            <w:r>
              <w:rPr>
                <w:rFonts w:hint="eastAsia" w:ascii="宋体" w:hAnsi="宋体" w:eastAsia="宋体" w:cs="宋体"/>
                <w:sz w:val="21"/>
                <w:szCs w:val="21"/>
                <w:highlight w:val="none"/>
                <w:lang w:val="en-US" w:eastAsia="zh-CN"/>
              </w:rPr>
              <w:t>提供截图证明。</w:t>
            </w:r>
          </w:p>
          <w:p>
            <w:pPr>
              <w:pStyle w:val="3"/>
              <w:numPr>
                <w:ilvl w:val="0"/>
                <w:numId w:val="1"/>
              </w:numPr>
              <w:ind w:left="425" w:leftChars="0" w:hanging="425" w:firstLine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教学评价</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微软雅黑 Light" w:hAnsi="微软雅黑 Light" w:eastAsia="微软雅黑 Light" w:cs="微软雅黑 Light"/>
                <w:kern w:val="0"/>
                <w:sz w:val="21"/>
                <w:szCs w:val="21"/>
                <w:highlight w:val="none"/>
                <w:lang w:val="en-US" w:eastAsia="zh-CN"/>
              </w:rPr>
              <w:t>通</w:t>
            </w:r>
            <w:r>
              <w:rPr>
                <w:rFonts w:hint="eastAsia" w:ascii="宋体" w:hAnsi="宋体" w:eastAsia="宋体" w:cs="宋体"/>
                <w:kern w:val="0"/>
                <w:sz w:val="21"/>
                <w:szCs w:val="21"/>
                <w:highlight w:val="none"/>
                <w:lang w:val="en-US" w:eastAsia="zh-CN"/>
              </w:rPr>
              <w:t>过学生对教师的评价，分析学生对教师教学的认可程度。通过教师的自评，分析教师对自己教学过程的全面认识。通过横向和纵向的分析，分析教师教学优势、不足以及教学的变化。为学校精准帮扶及教师教学改进提供决策支持。功能包括：评价预警分析，包括缺学生评价专任教师数量；学生评价不足一半教师数量；三、缺自评教师数量；四、学生评价与教师自评差异大教师数量。教学（学生）评价分析，分析每个学期不同等级的教师人数等级分布，分值范围60以下，60-80，80-90,90及以上。纵向分析单位分布，职称分布、年龄分布、性别分布、异常提示，最低分课程排行榜及教师评价明细。教师自评分析，分析每个学期教师自评分数区间人数分布，分值范围60以下，60-80，80-90,90及以上。纵向分析单位分布、年龄分布、性别分布、职称分布、异常提示、最高分教师排行榜、最低分教师排行榜及教师评价明细，可查看教师近8个学期自评分数、学生评价分数趋势；学生评价人数分析；学生评价明细；教学班评价汇总；课程评价汇总。为了让教学评价更加客观公正以及科学合理，要有对教学评价数据异常的分析功能。至少提供四大类异常及异常明细。具有近8个学期评价差异化分析趋势，并能查看每个学期哪些老师的评价出现差异化。</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▲10.1具有教学班评价异常分析功能，并能查看异常记录明细。</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▲10.2具有自评异常分析功能，并能查看异常记录明细。</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▲10.3可图形化查看每一位教师近8个学期的评价结果。</w:t>
            </w:r>
            <w:r>
              <w:rPr>
                <w:rFonts w:hint="eastAsia" w:ascii="宋体" w:hAnsi="宋体" w:eastAsia="宋体" w:cs="宋体"/>
                <w:sz w:val="21"/>
                <w:szCs w:val="21"/>
                <w:highlight w:val="none"/>
                <w:lang w:val="en-US" w:eastAsia="zh-CN"/>
              </w:rPr>
              <w:t>提供截图证明。</w:t>
            </w:r>
          </w:p>
          <w:p>
            <w:pPr>
              <w:pStyle w:val="3"/>
              <w:numPr>
                <w:ilvl w:val="0"/>
                <w:numId w:val="1"/>
              </w:numPr>
              <w:ind w:left="425" w:leftChars="0" w:hanging="425" w:firstLine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学籍异动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学籍异动是从横向和纵向的角度针对学校学年、学期学生学籍发生异动的情况进行综合分析，并分析学籍异动的原因。辅助学校对学籍异动业务办理及发生异常学生的管理。功能要有学籍异动原因趋势分析，包括各种异动原因近8个学期的趋势分析及院系分布、年级分布、年级分布、专业分布及异动人员明细。本学期异动原因分布，包括各种异动原因人数分布及具有原因人数的院系分布、专业、年级、性别分布。异动人数及占比的院系分布及异动原因分布。当前异动人员专业分布及异动原因分布。具有学籍异动原因分布分析功能，在一个图表中不但要能直观的看出总的异动人数，还要能直观的看出每种异动原因多少人。对于每一位发生学籍异动的学生，不但要有异动的类型，还要有异动说明信息。</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▲11.1具有学籍异动预警功能，并可查看预警的人员和原因。</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▲11.2具有学籍异动提醒功能，并可查看提醒的人员和提醒的原因。</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▲11.3具有图形化近8个学期各个学籍异动类型的对比和趋势分析功能。</w:t>
            </w:r>
            <w:r>
              <w:rPr>
                <w:rFonts w:hint="eastAsia" w:ascii="宋体" w:hAnsi="宋体" w:eastAsia="宋体" w:cs="宋体"/>
                <w:sz w:val="21"/>
                <w:szCs w:val="21"/>
                <w:highlight w:val="none"/>
                <w:lang w:val="en-US" w:eastAsia="zh-CN"/>
              </w:rPr>
              <w:t>提供截图证明。</w:t>
            </w:r>
          </w:p>
          <w:p>
            <w:pPr>
              <w:pStyle w:val="3"/>
              <w:numPr>
                <w:ilvl w:val="0"/>
                <w:numId w:val="1"/>
              </w:numPr>
              <w:ind w:left="425" w:leftChars="0" w:hanging="425" w:firstLineChars="0"/>
              <w:rPr>
                <w:rFonts w:hint="eastAsia"/>
                <w:highlight w:val="none"/>
                <w:lang w:val="en-US" w:eastAsia="zh-CN"/>
              </w:rPr>
            </w:pPr>
            <w:r>
              <w:rPr>
                <w:rFonts w:hint="eastAsia"/>
                <w:highlight w:val="none"/>
                <w:lang w:val="en-US" w:eastAsia="zh-CN"/>
              </w:rPr>
              <w:t>个人学业中心</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以学生学业为中心，分析每一位学生的学业进展、学业质量以及学业所处的位置，为学校精准化管理提供数据支撑。根据学生所有学期成绩、学分、绩点进行总结分析，让学生清楚知道自己学业所处的位置及进展，有哪些不足，后续怎么改进。功能要有学生课程进度，可查看学生每个学期总学课程、及格课程、不及格课程、以及与同专业同年级平均及格门数对比分析。学生学个学期总学分、取得学分、同专业同年级平均取得学分、学分明细。学习能力与质量分析，并对比同班级、同专业同年级、同专业、同院系及学校整体。学业水平分析、学分与同班级、同年级同专业，同专业，同年级，同院系，全校整体的对比分析等。</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▲12.1具体在学校期间必修总课程、最低毕业学分和选修课要求学分分析功能。</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▲12.2具体四六级成绩的分析功能，能清楚的知道四级成绩及获得时间和六级成绩。</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▲12.3图形化分析每一个学生课程进度，包括整体进度及各个学期的进度。</w:t>
            </w:r>
            <w:r>
              <w:rPr>
                <w:rFonts w:hint="eastAsia" w:ascii="宋体" w:hAnsi="宋体" w:eastAsia="宋体" w:cs="宋体"/>
                <w:sz w:val="21"/>
                <w:szCs w:val="21"/>
                <w:highlight w:val="none"/>
                <w:lang w:val="en-US" w:eastAsia="zh-CN"/>
              </w:rPr>
              <w:t>提供截图证明。</w:t>
            </w:r>
          </w:p>
          <w:p>
            <w:pPr>
              <w:pStyle w:val="3"/>
              <w:numPr>
                <w:ilvl w:val="0"/>
                <w:numId w:val="0"/>
              </w:numPr>
              <w:ind w:left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▲12.4图形化分析每一位学生学业质量及与同年级、同院系、同专业、同班级的对比功能。</w:t>
            </w:r>
            <w:r>
              <w:rPr>
                <w:rFonts w:hint="eastAsia" w:ascii="宋体" w:hAnsi="宋体" w:eastAsia="宋体" w:cs="宋体"/>
                <w:sz w:val="21"/>
                <w:szCs w:val="21"/>
                <w:highlight w:val="none"/>
                <w:lang w:val="en-US" w:eastAsia="zh-CN"/>
              </w:rPr>
              <w:t>提供截图证明。</w:t>
            </w:r>
          </w:p>
          <w:p>
            <w:pPr>
              <w:pStyle w:val="3"/>
              <w:numPr>
                <w:ilvl w:val="0"/>
                <w:numId w:val="1"/>
              </w:numPr>
              <w:ind w:left="425" w:leftChars="0" w:hanging="425" w:firstLine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教室资源</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对学校的教室资源进行综合分析，辅助学校提升教室资源的使用率。功能要有各时段空闲教室数量分布，展示上午一直空闲、上午1-2节空闲、上午3-5节空闲、下午一直空闲、下午6-7节空闲、下午8-9节空闲、晚上空闲各个时段空闲教室数量，以及时段空闲教室教学楼分布及空闲教室明细（包括校区、教学楼、房间、使用时长、使用率、空闲时长、学期空闲天数）。近8个学期教室资源使用率趋势，展示每个学期教室使用率及每个教学楼教室使用率和教学楼的教室数量、教学楼教室的使用情况，校区、教学楼、房间、使用时长、使用率、空闲时长、学期空闲天数；上午一直空闲、上午1-2节空闲、上午3-5节空闲、下午一直空闲、下午6-7节空闲、下午8-9节空闲、晚上空闲教室时长分布；教室空闲时长排行榜TOP10。各教学楼空闲教室类型分布，包括未排课教室，空闲10日内教室，空闲10日以上教室。计算时根据校历，排除周末两天及节假日。教室空闲时长排行，包含使用率、此教室基本信息及排课安排。教室使用时长排行，包含使用率、此教室基本信息及排课安排。</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▲13.1 图形化展示学校综合教室利用率、最高教室利用率、最低教室利用率、教室个人分析功能。</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▲13.2 具有学校教室每日利用率趋势分析功能。</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14.学生群体画像</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对学校学生群体属性进行图形化分析，并以属性为主题进行分布分析。功能包括性别分布及通过性别分布钻取可查看以性别为维度的年级分布、年龄分布、政治面貌分布、民族分布、婚姻分布、星座分布、生源地分布、入学年份、年级分布、毕业年份分布、学生类别分布、学制分布、院系分布等；年龄分布及通过年龄分布分布钻取可查看以年龄为维度的年级分布、性别分布、政治面貌分布、民族分布、婚姻分布、星座分布、生源地分布、入学年份、年级分布、毕业年份分布、学生类别分布、学制分布、院系分布；政治面貌分布及通过政治面貌分布分布钻取可查看以政治面貌为维度的年级分布、性别分布、年龄分布、民族分布、婚姻分布、星座分布、生源地分布、入学年份、年级分布、毕业年份分布、学生类别分布、学制分布、院系分布；民族分布及通过民族分布钻取可查看以民族为维度的年级分布、性别分布、年龄分布、政治面貌分布、婚姻分布、星座分布、生源地分布、入学年份、年级分布、毕业年份分布、学生类别分布、学制分布、院系分布；婚姻分布、星座分布、生源地分布、入学年份分布、年级分布、毕业年份分布、学生类型分布、学制分布、专业排行、院系分布。</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也可分别以婚姻、生源地、入学年份、年级、毕业年份、院系等为维度进行扩展分析。</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▲14.1 性别分布不但要有图形化的展示，在图形中还要有文字的总结内容，方便数据信息阅读。</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▲14.2 具有院系分布同时随意点击哪个院系可以查看此院系近5年人数分布、性别分布、年龄分布、政治面貌分布、民族分布、婚姻分布、星座分布、生源地分布、入学年份分布、年级分布等不少于12种维度的图形化分析功能。</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▲14.3 生源地分布不但要有各个生源省区的图形化对比分析，还要有生源最多的前三省总结文字。</w:t>
            </w:r>
            <w:r>
              <w:rPr>
                <w:rFonts w:hint="eastAsia" w:ascii="宋体" w:hAnsi="宋体" w:eastAsia="宋体" w:cs="宋体"/>
                <w:sz w:val="21"/>
                <w:szCs w:val="21"/>
                <w:highlight w:val="none"/>
                <w:lang w:val="en-US" w:eastAsia="zh-CN"/>
              </w:rPr>
              <w:t>提供截图证明。</w:t>
            </w:r>
          </w:p>
          <w:p>
            <w:pPr>
              <w:pStyle w:val="3"/>
              <w:numPr>
                <w:ilvl w:val="0"/>
                <w:numId w:val="0"/>
              </w:numPr>
              <w:ind w:left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15.教学运营指导</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可图形化查询当日或指定日期学校学生上课人数、上课教师人数、上课专业数和上课班级人数，并可查看上课运行汇总结果。还要有学校近7日课程安排，包括每日上课门数、上课门次、上课学生数和上课教师数，同时还要可查看跨校区上课情况及每日上午、下午夸校区上课情况。为了方便各个单位借用教室方便，还要有当日每个节次空闲教室的总数及明细。另外还要有当前学期学校的开课明细，方便日常运营管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▲15.1 提供当日图形化各个节次教学安排的对比关系分析。</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▲15.2 提供当日图形化各个节次空闲教室对比关系图和空闲教室明细。</w:t>
            </w:r>
            <w:r>
              <w:rPr>
                <w:rFonts w:hint="eastAsia" w:ascii="宋体" w:hAnsi="宋体" w:eastAsia="宋体" w:cs="宋体"/>
                <w:sz w:val="21"/>
                <w:szCs w:val="21"/>
                <w:highlight w:val="none"/>
                <w:lang w:val="en-US" w:eastAsia="zh-CN"/>
              </w:rPr>
              <w:t>提供截图证明。</w:t>
            </w:r>
          </w:p>
          <w:p>
            <w:pPr>
              <w:pStyle w:val="3"/>
              <w:numPr>
                <w:ilvl w:val="0"/>
                <w:numId w:val="2"/>
              </w:numPr>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考试安排</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提供指定学期学校开设安排进度，图形化呈现总得考试安排进度和各个校区考试安排进度。根据进度图形化展示考试计划，要能直观的展示每日的考试安排计划。同时需要分析夸校区考试情况以及具体的夸校区考试学生信息。可查看各个课程考试完成情况，包括课程对应的教学班、已安排教学部、完成率等等。具体考试安排详细的查询功能，要包括没门课程考试的轮次、时间、地点、考试人数、教学班数等。</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▲16.1 提供图形化夸校区人数及各个校区人数，并能查看具体的跨校区学生信息。</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▲16.2 提供图形化夸校区考试安排进度功能。</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17.成绩质量报告</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具有学期开门门数及必修课、选修课门数分析功能，学期成绩调试分析和异常条数分析功能。要有近4个学期异常课程门数的对比趋势分析，以及每个学期异常类型对比分析功能。具有异常记录院系分布功能，展示每个院校异常记录数量，督促院校修改完善。具有各个学期异常对比分析功能，并可查看任何一个学期异常记录明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▲17.1 具有图形化的异常记录分析功能和覆盖多少课程和学生。</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▲17.2 具有各学期异常分析功能，可查看所有异常记录及各个异常类型的异常记录。</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▲17.3 提供不少于12种异常类型的功能截图，异常类型要和成绩相关。</w:t>
            </w:r>
            <w:r>
              <w:rPr>
                <w:rFonts w:hint="eastAsia" w:ascii="宋体" w:hAnsi="宋体" w:eastAsia="宋体" w:cs="宋体"/>
                <w:sz w:val="21"/>
                <w:szCs w:val="21"/>
                <w:highlight w:val="none"/>
                <w:lang w:val="en-US" w:eastAsia="zh-CN"/>
              </w:rPr>
              <w:t>提供截图证明。</w:t>
            </w:r>
          </w:p>
          <w:p>
            <w:pPr>
              <w:pStyle w:val="3"/>
              <w:numPr>
                <w:ilvl w:val="0"/>
                <w:numId w:val="0"/>
              </w:numPr>
              <w:ind w:leftChars="0"/>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18.学业监测中心</w:t>
            </w:r>
          </w:p>
          <w:p>
            <w:pPr>
              <w:spacing w:line="360" w:lineRule="auto"/>
              <w:rPr>
                <w:highlight w:val="none"/>
              </w:rPr>
            </w:pPr>
            <w:r>
              <w:rPr>
                <w:rFonts w:hint="eastAsia"/>
                <w:highlight w:val="none"/>
                <w:lang w:val="en-US" w:eastAsia="zh-CN"/>
              </w:rPr>
              <w:t>功能包括：</w:t>
            </w:r>
            <w:r>
              <w:rPr>
                <w:rFonts w:hint="eastAsia"/>
                <w:highlight w:val="none"/>
              </w:rPr>
              <w:t>重点人群预警，可直观查看预警人数。对于大三学生没有通过英语四级、挂科多、触发学业预警学生进行预警。能查看预警原因分布、预警学生院系分布和具体的预警学生信息。辅修学生预警，并能查看预警人群院系分布和预警学生明细。预毕业学生学业预警分布，可查看预警学生院系分布和预警学生明细。在校生学业预警分布，可查看预警人像院系分布和预警学生明细。预毕业学生挂科门数分布分析，可查看各院系挂科门数人数分布和挂科学生明细。在校生挂科门数分布分析，可查看各院系挂科门数人数分布和挂科学生明细。近8个学期学霸分布分析，可查看学霸院系分布、学霸年级分布、学霸性别分布和学霸学生明细。监测异常学生明细，并可查看此学生的个人学业中心。</w:t>
            </w:r>
          </w:p>
          <w:p>
            <w:pPr>
              <w:spacing w:line="360" w:lineRule="auto"/>
              <w:rPr>
                <w:highlight w:val="none"/>
              </w:rPr>
            </w:pPr>
            <w:r>
              <w:rPr>
                <w:rFonts w:hint="eastAsia"/>
                <w:highlight w:val="none"/>
              </w:rPr>
              <w:t>学生成长报告</w:t>
            </w:r>
          </w:p>
          <w:p>
            <w:pPr>
              <w:spacing w:line="360" w:lineRule="auto"/>
              <w:rPr>
                <w:rFonts w:hint="eastAsia"/>
                <w:highlight w:val="none"/>
              </w:rPr>
            </w:pPr>
            <w:r>
              <w:rPr>
                <w:rFonts w:hint="eastAsia"/>
                <w:highlight w:val="none"/>
              </w:rPr>
              <w:t>每个学期总结学生生活和学习的手机端移动报告，并推送给学生。具体要有以下功能：过去一个学期一共消费了多少次、多少钱，全校排名、院系排名、同性别排名。通过雷达图形式展示个人在淋浴、餐饮、购水、网络、购物方面与学校平均水平的比较分析。分析个人一个学期餐饮就餐天数、消费金额分析，同时还分析与全校、同院系、同性别的排名分析。分析个人一个需求淋浴洗澡次数、消费金额、全校排名、同院系排名、同性别排名。总结学期共学了多少门课程、必修多少、选修多少，考试成绩怎么样。总结学期所得多少绩点，与同年级专业和班级进行比较分析。对个人进行学业排名分析，与上个学期进行比较，同时还与同同专业、同班级进行比较分析。个人学业竞争力指数分析，通过对多种维度的对比分析，给出学生的竞争力指数值。</w:t>
            </w:r>
          </w:p>
          <w:p>
            <w:pPr>
              <w:spacing w:line="360" w:lineRule="auto"/>
              <w:rPr>
                <w:highlight w:val="none"/>
              </w:rPr>
            </w:pPr>
            <w:r>
              <w:rPr>
                <w:rFonts w:hint="eastAsia"/>
                <w:highlight w:val="none"/>
                <w:lang w:val="en-US" w:eastAsia="zh-CN"/>
              </w:rPr>
              <w:t>18.1</w:t>
            </w:r>
            <w:r>
              <w:rPr>
                <w:rFonts w:hint="eastAsia"/>
                <w:highlight w:val="none"/>
                <w:lang w:eastAsia="zh-CN"/>
              </w:rPr>
              <w:t>▲</w:t>
            </w:r>
            <w:r>
              <w:rPr>
                <w:rFonts w:hint="eastAsia"/>
                <w:highlight w:val="none"/>
              </w:rPr>
              <w:t>总结学期共学了多少门课程、必修多少、选修多少，考试成绩怎么样。</w:t>
            </w:r>
            <w:r>
              <w:rPr>
                <w:rFonts w:hint="eastAsia" w:ascii="宋体" w:hAnsi="宋体" w:eastAsia="宋体" w:cs="宋体"/>
                <w:sz w:val="21"/>
                <w:szCs w:val="21"/>
                <w:highlight w:val="none"/>
                <w:lang w:val="en-US" w:eastAsia="zh-CN"/>
              </w:rPr>
              <w:t>提供截图证明。</w:t>
            </w:r>
          </w:p>
          <w:p>
            <w:pPr>
              <w:spacing w:line="360" w:lineRule="auto"/>
              <w:rPr>
                <w:highlight w:val="none"/>
              </w:rPr>
            </w:pPr>
            <w:r>
              <w:rPr>
                <w:rFonts w:hint="eastAsia"/>
                <w:highlight w:val="none"/>
                <w:lang w:val="en-US" w:eastAsia="zh-CN"/>
              </w:rPr>
              <w:t>18.2</w:t>
            </w:r>
            <w:r>
              <w:rPr>
                <w:rFonts w:hint="eastAsia"/>
                <w:highlight w:val="none"/>
                <w:lang w:eastAsia="zh-CN"/>
              </w:rPr>
              <w:t>▲</w:t>
            </w:r>
            <w:r>
              <w:rPr>
                <w:rFonts w:hint="eastAsia"/>
                <w:highlight w:val="none"/>
              </w:rPr>
              <w:t>总结学期所得多少绩点，与同年级专业和班级进行比较分析。</w:t>
            </w:r>
            <w:r>
              <w:rPr>
                <w:rFonts w:hint="eastAsia" w:ascii="宋体" w:hAnsi="宋体" w:eastAsia="宋体" w:cs="宋体"/>
                <w:sz w:val="21"/>
                <w:szCs w:val="21"/>
                <w:highlight w:val="none"/>
                <w:lang w:val="en-US" w:eastAsia="zh-CN"/>
              </w:rPr>
              <w:t>提供截图证明。</w:t>
            </w:r>
          </w:p>
          <w:p>
            <w:pPr>
              <w:spacing w:line="360" w:lineRule="auto"/>
              <w:rPr>
                <w:rFonts w:hint="eastAsia"/>
                <w:highlight w:val="none"/>
                <w:lang w:val="en-US" w:eastAsia="zh-CN"/>
              </w:rPr>
            </w:pPr>
            <w:r>
              <w:rPr>
                <w:rFonts w:hint="eastAsia"/>
                <w:highlight w:val="none"/>
                <w:lang w:val="en-US" w:eastAsia="zh-CN"/>
              </w:rPr>
              <w:t>18.3</w:t>
            </w:r>
            <w:r>
              <w:rPr>
                <w:rFonts w:hint="eastAsia"/>
                <w:highlight w:val="none"/>
                <w:lang w:eastAsia="zh-CN"/>
              </w:rPr>
              <w:t>▲</w:t>
            </w:r>
            <w:r>
              <w:rPr>
                <w:rFonts w:hint="eastAsia"/>
                <w:highlight w:val="none"/>
              </w:rPr>
              <w:t>对个人进行学业排名分析，与上个学期进行比较，同</w:t>
            </w:r>
            <w:r>
              <w:rPr>
                <w:rFonts w:hint="eastAsia"/>
                <w:highlight w:val="none"/>
                <w:lang w:val="en-US" w:eastAsia="zh-CN"/>
              </w:rPr>
              <w:t>时还与同同专业、同班级进行比较分析。</w:t>
            </w:r>
            <w:r>
              <w:rPr>
                <w:rFonts w:hint="eastAsia" w:ascii="宋体" w:hAnsi="宋体" w:eastAsia="宋体" w:cs="宋体"/>
                <w:sz w:val="21"/>
                <w:szCs w:val="21"/>
                <w:highlight w:val="none"/>
                <w:lang w:val="en-US" w:eastAsia="zh-CN"/>
              </w:rPr>
              <w:t>提供截图证明。</w:t>
            </w:r>
          </w:p>
          <w:p>
            <w:pPr>
              <w:spacing w:line="360" w:lineRule="auto"/>
              <w:rPr>
                <w:rFonts w:hint="eastAsia"/>
                <w:highlight w:val="none"/>
                <w:lang w:val="en-US" w:eastAsia="zh-CN"/>
              </w:rPr>
            </w:pPr>
            <w:r>
              <w:rPr>
                <w:rFonts w:hint="eastAsia"/>
                <w:highlight w:val="none"/>
                <w:lang w:val="en-US" w:eastAsia="zh-CN"/>
              </w:rPr>
              <w:t>18.4▲个人学业竞争力指数分析，通过对多种维度的对比分析，给出学生的竞争力指数值。</w:t>
            </w:r>
            <w:r>
              <w:rPr>
                <w:rFonts w:hint="eastAsia" w:ascii="宋体" w:hAnsi="宋体" w:eastAsia="宋体" w:cs="宋体"/>
                <w:sz w:val="21"/>
                <w:szCs w:val="21"/>
                <w:highlight w:val="none"/>
                <w:lang w:val="en-US" w:eastAsia="zh-CN"/>
              </w:rPr>
              <w:t>提供截图证明。</w:t>
            </w:r>
          </w:p>
          <w:p>
            <w:pPr>
              <w:spacing w:line="360" w:lineRule="auto"/>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18.5</w:t>
            </w:r>
            <w:r>
              <w:rPr>
                <w:rFonts w:hint="eastAsia" w:cstheme="minorBidi"/>
                <w:kern w:val="2"/>
                <w:sz w:val="21"/>
                <w:szCs w:val="24"/>
                <w:highlight w:val="none"/>
                <w:lang w:val="en-US" w:eastAsia="zh-CN" w:bidi="ar-SA"/>
              </w:rPr>
              <w:t>▲</w:t>
            </w:r>
            <w:r>
              <w:rPr>
                <w:rFonts w:hint="eastAsia" w:asciiTheme="minorHAnsi" w:hAnsiTheme="minorHAnsi" w:eastAsiaTheme="minorEastAsia" w:cstheme="minorBidi"/>
                <w:kern w:val="2"/>
                <w:sz w:val="21"/>
                <w:szCs w:val="24"/>
                <w:highlight w:val="none"/>
                <w:lang w:val="en-US" w:eastAsia="zh-CN" w:bidi="ar-SA"/>
              </w:rPr>
              <w:t>重点人群预警，可直观查看预警人数。对于大三学生没有通过英语四级、挂科多、触发学业预警学生进行预警。能查看预警原因分布、预警学生院系分布和具体的预警学生信息。</w:t>
            </w:r>
            <w:r>
              <w:rPr>
                <w:rFonts w:hint="eastAsia" w:ascii="宋体" w:hAnsi="宋体" w:eastAsia="宋体" w:cs="宋体"/>
                <w:sz w:val="21"/>
                <w:szCs w:val="21"/>
                <w:highlight w:val="none"/>
                <w:lang w:val="en-US" w:eastAsia="zh-CN"/>
              </w:rPr>
              <w:t>提供截图证明。</w:t>
            </w:r>
          </w:p>
          <w:p>
            <w:pPr>
              <w:pStyle w:val="3"/>
              <w:numPr>
                <w:ilvl w:val="0"/>
                <w:numId w:val="3"/>
              </w:numPr>
              <w:rPr>
                <w:rFonts w:hint="eastAsia" w:cstheme="minorBidi"/>
                <w:kern w:val="2"/>
                <w:sz w:val="21"/>
                <w:szCs w:val="24"/>
                <w:highlight w:val="none"/>
                <w:lang w:val="en-US" w:eastAsia="zh-CN" w:bidi="ar-SA"/>
              </w:rPr>
            </w:pPr>
            <w:r>
              <w:rPr>
                <w:rFonts w:hint="eastAsia" w:cstheme="minorBidi"/>
                <w:kern w:val="2"/>
                <w:sz w:val="21"/>
                <w:szCs w:val="24"/>
                <w:highlight w:val="none"/>
                <w:lang w:val="en-US" w:eastAsia="zh-CN" w:bidi="ar-SA"/>
              </w:rPr>
              <w:t>时点数据</w:t>
            </w:r>
          </w:p>
          <w:p>
            <w:pPr>
              <w:spacing w:line="360" w:lineRule="auto"/>
              <w:rPr>
                <w:rFonts w:hint="eastAsia" w:asciiTheme="minorHAnsi" w:hAnsiTheme="minorHAnsi" w:eastAsiaTheme="minorEastAsia" w:cstheme="minorBidi"/>
                <w:kern w:val="2"/>
                <w:sz w:val="21"/>
                <w:szCs w:val="24"/>
                <w:highlight w:val="none"/>
                <w:lang w:val="en-US" w:eastAsia="zh-CN" w:bidi="ar-SA"/>
              </w:rPr>
            </w:pPr>
            <w:r>
              <w:rPr>
                <w:rFonts w:hint="eastAsia" w:ascii="宋体" w:hAnsi="宋体" w:eastAsia="宋体" w:cs="宋体"/>
                <w:kern w:val="0"/>
                <w:sz w:val="21"/>
                <w:szCs w:val="21"/>
                <w:highlight w:val="none"/>
                <w:lang w:val="en-US" w:eastAsia="zh-CN"/>
              </w:rPr>
              <w:t>具有学生信息、应届毕业生、应届毕业生四六级、师资及授</w:t>
            </w:r>
            <w:r>
              <w:rPr>
                <w:rFonts w:hint="eastAsia" w:asciiTheme="minorHAnsi" w:hAnsiTheme="minorHAnsi" w:eastAsiaTheme="minorEastAsia" w:cstheme="minorBidi"/>
                <w:kern w:val="2"/>
                <w:sz w:val="21"/>
                <w:szCs w:val="24"/>
                <w:highlight w:val="none"/>
                <w:lang w:val="en-US" w:eastAsia="zh-CN" w:bidi="ar-SA"/>
              </w:rPr>
              <w:t>课等类型的时间数据分析功能。具有图形化的分析功能和学生明细。应届毕业生四六级要有每个专业人数、四级通过人数、一次通过率、多次通过率、六级通过人数等。</w:t>
            </w:r>
          </w:p>
          <w:p>
            <w:pPr>
              <w:spacing w:line="360" w:lineRule="auto"/>
              <w:rPr>
                <w:rFonts w:hint="eastAsia" w:asciiTheme="minorHAnsi" w:hAnsiTheme="minorHAnsi" w:eastAsiaTheme="minorEastAsia" w:cstheme="minorBidi"/>
                <w:kern w:val="2"/>
                <w:sz w:val="21"/>
                <w:szCs w:val="24"/>
                <w:highlight w:val="none"/>
                <w:lang w:val="en-US" w:eastAsia="zh-CN" w:bidi="ar-SA"/>
              </w:rPr>
            </w:pPr>
            <w:r>
              <w:rPr>
                <w:rFonts w:hint="eastAsia" w:cstheme="minorBidi"/>
                <w:kern w:val="2"/>
                <w:sz w:val="21"/>
                <w:szCs w:val="24"/>
                <w:highlight w:val="none"/>
                <w:lang w:val="en-US" w:eastAsia="zh-CN" w:bidi="ar-SA"/>
              </w:rPr>
              <w:t>19</w:t>
            </w:r>
            <w:r>
              <w:rPr>
                <w:rFonts w:hint="eastAsia" w:asciiTheme="minorHAnsi" w:hAnsiTheme="minorHAnsi" w:eastAsiaTheme="minorEastAsia" w:cstheme="minorBidi"/>
                <w:kern w:val="2"/>
                <w:sz w:val="21"/>
                <w:szCs w:val="24"/>
                <w:highlight w:val="none"/>
                <w:lang w:val="en-US" w:eastAsia="zh-CN" w:bidi="ar-SA"/>
              </w:rPr>
              <w:t>.1</w:t>
            </w:r>
            <w:r>
              <w:rPr>
                <w:rFonts w:hint="eastAsia" w:cstheme="minorBidi"/>
                <w:kern w:val="2"/>
                <w:sz w:val="21"/>
                <w:szCs w:val="24"/>
                <w:highlight w:val="none"/>
                <w:lang w:val="en-US" w:eastAsia="zh-CN" w:bidi="ar-SA"/>
              </w:rPr>
              <w:t>▲</w:t>
            </w:r>
            <w:r>
              <w:rPr>
                <w:rFonts w:hint="eastAsia" w:asciiTheme="minorHAnsi" w:hAnsiTheme="minorHAnsi" w:eastAsiaTheme="minorEastAsia" w:cstheme="minorBidi"/>
                <w:kern w:val="2"/>
                <w:sz w:val="21"/>
                <w:szCs w:val="24"/>
                <w:highlight w:val="none"/>
                <w:lang w:val="en-US" w:eastAsia="zh-CN" w:bidi="ar-SA"/>
              </w:rPr>
              <w:t>师资及授课时点要具有分析每年在岗人数、专任教师人数、副高及以上人数、副高及以上任课人数等不少于10个指标的数据分析功能。</w:t>
            </w:r>
            <w:r>
              <w:rPr>
                <w:rFonts w:hint="eastAsia" w:ascii="宋体" w:hAnsi="宋体" w:eastAsia="宋体" w:cs="宋体"/>
                <w:sz w:val="21"/>
                <w:szCs w:val="21"/>
                <w:highlight w:val="none"/>
                <w:lang w:val="en-US" w:eastAsia="zh-CN"/>
              </w:rPr>
              <w:t>提供截图证明。</w:t>
            </w:r>
          </w:p>
          <w:p>
            <w:pPr>
              <w:pStyle w:val="3"/>
              <w:numPr>
                <w:ilvl w:val="0"/>
                <w:numId w:val="3"/>
              </w:numPr>
              <w:ind w:left="0" w:leftChars="0" w:firstLine="0" w:firstLineChars="0"/>
              <w:rPr>
                <w:rFonts w:hint="eastAsia" w:cstheme="minorBidi"/>
                <w:kern w:val="2"/>
                <w:sz w:val="21"/>
                <w:szCs w:val="24"/>
                <w:highlight w:val="none"/>
                <w:lang w:val="en-US" w:eastAsia="zh-CN" w:bidi="ar-SA"/>
              </w:rPr>
            </w:pPr>
            <w:r>
              <w:rPr>
                <w:rFonts w:hint="eastAsia" w:cstheme="minorBidi"/>
                <w:kern w:val="2"/>
                <w:sz w:val="21"/>
                <w:szCs w:val="24"/>
                <w:highlight w:val="none"/>
                <w:lang w:val="en-US" w:eastAsia="zh-CN" w:bidi="ar-SA"/>
              </w:rPr>
              <w:t>数据治理报告</w:t>
            </w:r>
          </w:p>
          <w:p>
            <w:pPr>
              <w:spacing w:line="360" w:lineRule="auto"/>
              <w:rPr>
                <w:rFonts w:hint="eastAsia" w:cstheme="minorBidi"/>
                <w:kern w:val="2"/>
                <w:sz w:val="21"/>
                <w:szCs w:val="24"/>
                <w:highlight w:val="none"/>
                <w:lang w:val="en-US" w:eastAsia="zh-CN" w:bidi="ar-SA"/>
              </w:rPr>
            </w:pPr>
            <w:r>
              <w:rPr>
                <w:rFonts w:hint="eastAsia" w:cstheme="minorBidi"/>
                <w:kern w:val="2"/>
                <w:sz w:val="21"/>
                <w:szCs w:val="24"/>
                <w:highlight w:val="none"/>
                <w:lang w:val="en-US" w:eastAsia="zh-CN" w:bidi="ar-SA"/>
              </w:rPr>
              <w:t>对教学数据进行清洗质量，功能包括治理结果的异常类型分布，分析对象分布、异常信息展示等功能。</w:t>
            </w:r>
          </w:p>
          <w:p>
            <w:pPr>
              <w:adjustRightInd w:val="0"/>
              <w:snapToGrid w:val="0"/>
              <w:spacing w:line="260" w:lineRule="exact"/>
              <w:rPr>
                <w:rFonts w:hint="eastAsia" w:ascii="宋体" w:hAnsi="宋体" w:eastAsia="宋体" w:cs="宋体"/>
                <w:sz w:val="21"/>
                <w:szCs w:val="21"/>
                <w:highlight w:val="none"/>
                <w:lang w:val="en-US" w:eastAsia="zh-CN"/>
              </w:rPr>
            </w:pPr>
            <w:r>
              <w:rPr>
                <w:rFonts w:hint="eastAsia" w:cstheme="minorBidi"/>
                <w:kern w:val="2"/>
                <w:sz w:val="21"/>
                <w:szCs w:val="24"/>
                <w:highlight w:val="none"/>
                <w:lang w:val="en-US" w:eastAsia="zh-CN" w:bidi="ar-SA"/>
              </w:rPr>
              <w:t>20.1▲具有逻辑错误的数据治理功能，可以分析教学数据中逻辑错误。并可查看具体逻辑错误的教学数据记录。</w:t>
            </w:r>
            <w:r>
              <w:rPr>
                <w:rFonts w:hint="eastAsia" w:ascii="宋体" w:hAnsi="宋体" w:eastAsia="宋体" w:cs="宋体"/>
                <w:sz w:val="21"/>
                <w:szCs w:val="21"/>
                <w:highlight w:val="none"/>
                <w:lang w:val="en-US" w:eastAsia="zh-CN"/>
              </w:rPr>
              <w:t>提供截图证明。</w:t>
            </w:r>
          </w:p>
        </w:tc>
        <w:tc>
          <w:tcPr>
            <w:tcW w:w="4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4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bCs/>
                <w:kern w:val="0"/>
                <w:sz w:val="21"/>
                <w:szCs w:val="21"/>
                <w:highlight w:val="none"/>
                <w:lang w:val="en-US" w:eastAsia="zh-CN"/>
              </w:rPr>
            </w:pPr>
            <w:bookmarkStart w:id="35" w:name="OLE_LINK35"/>
            <w:r>
              <w:rPr>
                <w:rFonts w:hint="eastAsia" w:ascii="宋体" w:hAnsi="宋体" w:eastAsia="宋体" w:cs="宋体"/>
                <w:bCs/>
                <w:kern w:val="0"/>
                <w:sz w:val="21"/>
                <w:szCs w:val="21"/>
                <w:highlight w:val="none"/>
                <w:lang w:val="en-US" w:eastAsia="zh-CN"/>
              </w:rPr>
              <w:t>郑州莲石信息科技有限公司</w:t>
            </w:r>
            <w:bookmarkEnd w:id="35"/>
          </w:p>
        </w:tc>
        <w:tc>
          <w:tcPr>
            <w:tcW w:w="3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lang w:val="en-US" w:eastAsia="zh-CN"/>
              </w:rPr>
            </w:pPr>
            <w:bookmarkStart w:id="36" w:name="OLE_LINK34"/>
            <w:r>
              <w:rPr>
                <w:rFonts w:hint="eastAsia" w:ascii="宋体" w:hAnsi="宋体" w:eastAsia="宋体" w:cs="宋体"/>
                <w:sz w:val="21"/>
                <w:szCs w:val="21"/>
                <w:highlight w:val="none"/>
                <w:lang w:val="en-US" w:eastAsia="zh-CN"/>
              </w:rPr>
              <w:t>中国</w:t>
            </w:r>
            <w:bookmarkEnd w:id="36"/>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57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心理监测预警系统</w:t>
            </w:r>
          </w:p>
        </w:tc>
        <w:tc>
          <w:tcPr>
            <w:tcW w:w="408"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eastAsia" w:ascii="宋体" w:hAnsi="宋体" w:eastAsia="宋体" w:cs="宋体"/>
                <w:sz w:val="21"/>
                <w:szCs w:val="21"/>
                <w:highlight w:val="none"/>
              </w:rPr>
            </w:pPr>
            <w:r>
              <w:rPr>
                <w:rFonts w:hint="eastAsia" w:ascii="宋体" w:hAnsi="宋体" w:eastAsia="宋体" w:cs="宋体"/>
                <w:b w:val="0"/>
                <w:bCs/>
                <w:sz w:val="21"/>
                <w:szCs w:val="21"/>
                <w:lang w:val="en-US" w:eastAsia="zh-CN"/>
              </w:rPr>
              <w:t>基于大数据的心理危机预警系统V1.0</w:t>
            </w:r>
          </w:p>
        </w:tc>
        <w:tc>
          <w:tcPr>
            <w:tcW w:w="6864"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default"/>
                <w:highlight w:val="none"/>
                <w:lang w:val="en-US" w:eastAsia="zh-CN"/>
              </w:rPr>
            </w:pPr>
            <w:r>
              <w:rPr>
                <w:rFonts w:hint="eastAsia"/>
                <w:highlight w:val="none"/>
                <w:lang w:val="en-US" w:eastAsia="zh-CN"/>
              </w:rPr>
              <w:t>21.1▲分析当前预警初现、疑似、高危的人数，同时可查看具体的人员明细。基于人员明细可查看此学生的访问详情和心理画像，辅助学校管理。</w:t>
            </w:r>
            <w:r>
              <w:rPr>
                <w:rFonts w:hint="eastAsia" w:ascii="宋体" w:hAnsi="宋体" w:eastAsia="宋体" w:cs="宋体"/>
                <w:sz w:val="21"/>
                <w:szCs w:val="21"/>
                <w:highlight w:val="none"/>
                <w:lang w:val="en-US" w:eastAsia="zh-CN"/>
              </w:rPr>
              <w:t>提供截图证明。</w:t>
            </w:r>
          </w:p>
          <w:p>
            <w:pPr>
              <w:spacing w:line="360" w:lineRule="auto"/>
              <w:jc w:val="both"/>
              <w:rPr>
                <w:rFonts w:hint="default"/>
                <w:highlight w:val="none"/>
                <w:lang w:val="en-US" w:eastAsia="zh-CN"/>
              </w:rPr>
            </w:pPr>
            <w:r>
              <w:rPr>
                <w:rFonts w:hint="eastAsia"/>
                <w:highlight w:val="none"/>
                <w:lang w:val="en-US" w:eastAsia="zh-CN"/>
              </w:rPr>
              <w:t>21.2▲分析预警累计初现、疑似和高危人数。</w:t>
            </w:r>
            <w:r>
              <w:rPr>
                <w:rFonts w:hint="eastAsia" w:ascii="宋体" w:hAnsi="宋体" w:eastAsia="宋体" w:cs="宋体"/>
                <w:sz w:val="21"/>
                <w:szCs w:val="21"/>
                <w:highlight w:val="none"/>
                <w:lang w:val="en-US" w:eastAsia="zh-CN"/>
              </w:rPr>
              <w:t>提供截图证明。</w:t>
            </w:r>
          </w:p>
          <w:p>
            <w:pPr>
              <w:spacing w:line="360" w:lineRule="auto"/>
              <w:jc w:val="both"/>
              <w:rPr>
                <w:rFonts w:hint="default"/>
                <w:highlight w:val="none"/>
                <w:lang w:val="en-US" w:eastAsia="zh-CN"/>
              </w:rPr>
            </w:pPr>
            <w:r>
              <w:rPr>
                <w:rFonts w:hint="eastAsia"/>
                <w:highlight w:val="none"/>
                <w:lang w:val="en-US" w:eastAsia="zh-CN"/>
              </w:rPr>
              <w:t>21.3▲默认近15日预警人员趋势分析，可查看其它日期范围。根据每日预警人数可查看具体的院系分布、年级分布和具体人员明细，基于人员明细可查看人员访问详情。</w:t>
            </w:r>
            <w:r>
              <w:rPr>
                <w:rFonts w:hint="eastAsia" w:ascii="宋体" w:hAnsi="宋体" w:eastAsia="宋体" w:cs="宋体"/>
                <w:sz w:val="21"/>
                <w:szCs w:val="21"/>
                <w:highlight w:val="none"/>
                <w:lang w:val="en-US" w:eastAsia="zh-CN"/>
              </w:rPr>
              <w:t>提供截图证明。</w:t>
            </w:r>
          </w:p>
          <w:p>
            <w:pPr>
              <w:spacing w:line="360" w:lineRule="auto"/>
              <w:jc w:val="both"/>
              <w:rPr>
                <w:rFonts w:hint="default"/>
                <w:highlight w:val="none"/>
                <w:lang w:val="en-US" w:eastAsia="zh-CN"/>
              </w:rPr>
            </w:pPr>
            <w:r>
              <w:rPr>
                <w:rFonts w:hint="eastAsia"/>
                <w:highlight w:val="none"/>
                <w:lang w:val="en-US" w:eastAsia="zh-CN"/>
              </w:rPr>
              <w:t>21.4▲预警人数院系分布分析，可查看每个院系预警人数及人员明细、级别和预警原因。</w:t>
            </w:r>
            <w:r>
              <w:rPr>
                <w:rFonts w:hint="eastAsia" w:ascii="宋体" w:hAnsi="宋体" w:eastAsia="宋体" w:cs="宋体"/>
                <w:sz w:val="21"/>
                <w:szCs w:val="21"/>
                <w:highlight w:val="none"/>
                <w:lang w:val="en-US" w:eastAsia="zh-CN"/>
              </w:rPr>
              <w:t>提供截图证明。</w:t>
            </w:r>
          </w:p>
          <w:p>
            <w:pPr>
              <w:spacing w:line="360" w:lineRule="auto"/>
              <w:jc w:val="both"/>
              <w:rPr>
                <w:rFonts w:hint="default"/>
                <w:highlight w:val="none"/>
                <w:lang w:val="en-US" w:eastAsia="zh-CN"/>
              </w:rPr>
            </w:pPr>
            <w:r>
              <w:rPr>
                <w:rFonts w:hint="eastAsia"/>
                <w:highlight w:val="none"/>
                <w:lang w:val="en-US" w:eastAsia="zh-CN"/>
              </w:rPr>
              <w:t>21.5▲热门访问排行榜，分析学生喜欢范围哪些和心理异常相关的内容，并可查看具体的访问学生。</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21.6▲清洗规则具有自动记忆功能，体现功能更加智能，操作更加简单。</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21.7▲异常访问日趋势，分析近15日有哪些学生进行异常访问并可查看具体的学生信息和学生的心理画像。</w:t>
            </w:r>
            <w:r>
              <w:rPr>
                <w:rFonts w:hint="eastAsia" w:ascii="宋体" w:hAnsi="宋体" w:eastAsia="宋体" w:cs="宋体"/>
                <w:sz w:val="21"/>
                <w:szCs w:val="21"/>
                <w:highlight w:val="none"/>
                <w:lang w:val="en-US" w:eastAsia="zh-CN"/>
              </w:rPr>
              <w:t>提供截图证明。</w:t>
            </w:r>
          </w:p>
          <w:p>
            <w:pPr>
              <w:spacing w:line="360" w:lineRule="auto"/>
              <w:jc w:val="both"/>
              <w:rPr>
                <w:rFonts w:hint="default"/>
                <w:highlight w:val="none"/>
                <w:lang w:val="en-US" w:eastAsia="zh-CN"/>
              </w:rPr>
            </w:pPr>
            <w:r>
              <w:rPr>
                <w:rFonts w:hint="eastAsia"/>
                <w:highlight w:val="none"/>
                <w:lang w:val="en-US" w:eastAsia="zh-CN"/>
              </w:rPr>
              <w:t>21.8 ▲分析记录日趋势，分析每天平台分析多少条记录，辅助学校判断源数据是否有问题。</w:t>
            </w:r>
            <w:r>
              <w:rPr>
                <w:rFonts w:hint="eastAsia" w:ascii="宋体" w:hAnsi="宋体" w:eastAsia="宋体" w:cs="宋体"/>
                <w:sz w:val="21"/>
                <w:szCs w:val="21"/>
                <w:highlight w:val="none"/>
                <w:lang w:val="en-US" w:eastAsia="zh-CN"/>
              </w:rPr>
              <w:t>提供截图证明。</w:t>
            </w:r>
          </w:p>
          <w:p>
            <w:pPr>
              <w:pStyle w:val="4"/>
              <w:rPr>
                <w:rFonts w:hint="eastAsia" w:ascii="Times New Roman" w:hAnsi="Times New Roman" w:eastAsia="宋体" w:cs="Times New Roman"/>
                <w:kern w:val="2"/>
                <w:sz w:val="21"/>
                <w:szCs w:val="24"/>
                <w:highlight w:val="none"/>
                <w:lang w:val="en-US" w:eastAsia="zh-CN" w:bidi="ar-SA"/>
              </w:rPr>
            </w:pPr>
            <w:r>
              <w:rPr>
                <w:rFonts w:hint="eastAsia" w:asciiTheme="minorHAnsi" w:hAnsiTheme="minorHAnsi" w:eastAsiaTheme="minorEastAsia" w:cstheme="minorBidi"/>
                <w:kern w:val="2"/>
                <w:sz w:val="21"/>
                <w:szCs w:val="22"/>
                <w:highlight w:val="none"/>
                <w:lang w:val="en-US" w:eastAsia="zh-CN" w:bidi="ar-SA"/>
              </w:rPr>
              <w:t>21.9</w:t>
            </w:r>
            <w:r>
              <w:rPr>
                <w:rFonts w:hint="eastAsia" w:ascii="Times New Roman" w:hAnsi="Times New Roman" w:eastAsia="宋体" w:cs="Times New Roman"/>
                <w:kern w:val="2"/>
                <w:sz w:val="21"/>
                <w:szCs w:val="24"/>
                <w:highlight w:val="none"/>
                <w:lang w:val="en-US" w:eastAsia="zh-CN" w:bidi="ar-SA"/>
              </w:rPr>
              <w:t>▲当前学生预警明细分析，并可查看预警学生的预警级别。同时可查看预警学生的预警原因分析。另外对于没有问题的学生可进行解除操作，需要输入解除日期范围和原因。</w:t>
            </w:r>
          </w:p>
          <w:p>
            <w:pPr>
              <w:spacing w:line="360" w:lineRule="auto"/>
              <w:jc w:val="both"/>
              <w:rPr>
                <w:rFonts w:hint="eastAsia" w:ascii="宋体" w:hAnsi="宋体" w:eastAsia="宋体" w:cs="宋体"/>
                <w:sz w:val="21"/>
                <w:szCs w:val="21"/>
                <w:highlight w:val="none"/>
                <w:lang w:val="en-US" w:eastAsia="zh-CN"/>
              </w:rPr>
            </w:pPr>
            <w:r>
              <w:rPr>
                <w:rFonts w:hint="eastAsia"/>
                <w:highlight w:val="none"/>
                <w:lang w:val="en-US" w:eastAsia="zh-CN"/>
              </w:rPr>
              <w:t>对学生预约信息进行管理，权限支持学校和院系两级权限。</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ascii="宋体" w:hAnsi="宋体" w:eastAsia="宋体" w:cs="宋体"/>
                <w:sz w:val="21"/>
                <w:szCs w:val="21"/>
                <w:highlight w:val="none"/>
                <w:lang w:val="en-US" w:eastAsia="zh-CN"/>
              </w:rPr>
              <w:t>预约管理</w:t>
            </w:r>
            <w:r>
              <w:rPr>
                <w:rFonts w:hint="eastAsia"/>
                <w:highlight w:val="none"/>
                <w:lang w:val="en-US" w:eastAsia="zh-CN"/>
              </w:rPr>
              <w:t>具体要求如下：</w:t>
            </w:r>
          </w:p>
          <w:p>
            <w:pPr>
              <w:spacing w:line="360" w:lineRule="auto"/>
              <w:jc w:val="both"/>
              <w:rPr>
                <w:rFonts w:hint="eastAsia"/>
                <w:highlight w:val="none"/>
                <w:lang w:val="en-US" w:eastAsia="zh-CN"/>
              </w:rPr>
            </w:pPr>
            <w:r>
              <w:rPr>
                <w:rFonts w:hint="eastAsia"/>
                <w:highlight w:val="none"/>
                <w:lang w:val="en-US" w:eastAsia="zh-CN"/>
              </w:rPr>
              <w:t>21.10可以查看学生预约信息，包括但不限于咨询状态、是否重点关注、学号、姓名、预约时间、咨询师等。</w:t>
            </w:r>
          </w:p>
          <w:p>
            <w:pPr>
              <w:spacing w:line="360" w:lineRule="auto"/>
              <w:jc w:val="both"/>
              <w:rPr>
                <w:rFonts w:hint="eastAsia"/>
                <w:highlight w:val="none"/>
                <w:lang w:val="en-US" w:eastAsia="zh-CN"/>
              </w:rPr>
            </w:pPr>
            <w:r>
              <w:rPr>
                <w:rFonts w:hint="eastAsia"/>
                <w:highlight w:val="none"/>
                <w:lang w:val="en-US" w:eastAsia="zh-CN"/>
              </w:rPr>
              <w:t>21.11▲管理老师可以添加预约信息，包括添加学生、选择咨询师、输入预约时间等即可。</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21.12▲管理老师具有预约调整功能权限，为临时有事的情况调整预约信息。</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21.13▲在咨询过程中，可以对咨询的过程进行记录留档。</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21.14▲可以查看学生的每一次的咨询档案记录。</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21.15▲通过卡片图方式呈现总咨询人次及咨询记录的状态分布。</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21.16▲展示重点关注人数并能查看具体的人员信息。</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21.17▲心理咨询业务趋势分析，图形化分析每天未进行、完成和失约预约记录数。</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21.18▲图形化分析每个学期咨询预约业务趋势，并能查看每个学期具体的状态分布、咨询方式分布、性别分布、年级分布、业务量分布、院系分布。</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21.19▲可以查看学生咨询预约概览，分析学生总预约次数、未进行次数、完成次数、失约次数等。并能查看具体的预约记录。</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对学校心理咨询师信息及排版进行管理。功能要求如下：</w:t>
            </w:r>
          </w:p>
          <w:p>
            <w:pPr>
              <w:spacing w:line="360" w:lineRule="auto"/>
              <w:jc w:val="both"/>
              <w:rPr>
                <w:rFonts w:hint="eastAsia"/>
                <w:highlight w:val="none"/>
                <w:lang w:val="en-US" w:eastAsia="zh-CN"/>
              </w:rPr>
            </w:pPr>
            <w:r>
              <w:rPr>
                <w:rFonts w:hint="eastAsia"/>
                <w:highlight w:val="none"/>
                <w:lang w:val="en-US" w:eastAsia="zh-CN"/>
              </w:rPr>
              <w:t>21.20▲添加咨询师功能。包括保存咨询师基本信息和咨询师排班信息。</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21.21咨询师信息的修改、删除功能。要具有对咨询师信息修改和删除的功能。</w:t>
            </w:r>
          </w:p>
          <w:p>
            <w:pPr>
              <w:spacing w:line="360" w:lineRule="auto"/>
              <w:jc w:val="both"/>
              <w:rPr>
                <w:rFonts w:hint="eastAsia"/>
                <w:highlight w:val="none"/>
                <w:lang w:val="en-US" w:eastAsia="zh-CN"/>
              </w:rPr>
            </w:pPr>
            <w:r>
              <w:rPr>
                <w:rFonts w:hint="eastAsia"/>
                <w:highlight w:val="none"/>
                <w:lang w:val="en-US" w:eastAsia="zh-CN"/>
              </w:rPr>
              <w:t>21.22通过一定的模型来分析每一位咨询师业务是否饱满，对于调整业务提供辅助功能。</w:t>
            </w:r>
          </w:p>
          <w:p>
            <w:pPr>
              <w:spacing w:line="360" w:lineRule="auto"/>
              <w:jc w:val="both"/>
              <w:rPr>
                <w:rFonts w:hint="eastAsia"/>
                <w:highlight w:val="none"/>
                <w:lang w:val="en-US" w:eastAsia="zh-CN"/>
              </w:rPr>
            </w:pPr>
            <w:r>
              <w:rPr>
                <w:rFonts w:hint="eastAsia"/>
                <w:highlight w:val="none"/>
                <w:lang w:val="en-US" w:eastAsia="zh-CN"/>
              </w:rPr>
              <w:t>21.23▲通过图形化的方式分析每一位咨询师的业务量情况，为心理健康中心调整咨询业务提供决策支持。</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为学生提供手机端功能，通过手机即可进行咨询预约。要求如下：</w:t>
            </w:r>
          </w:p>
          <w:p>
            <w:pPr>
              <w:spacing w:line="360" w:lineRule="auto"/>
              <w:jc w:val="both"/>
              <w:rPr>
                <w:rFonts w:hint="eastAsia"/>
                <w:highlight w:val="none"/>
                <w:lang w:val="en-US" w:eastAsia="zh-CN"/>
              </w:rPr>
            </w:pPr>
            <w:r>
              <w:rPr>
                <w:rFonts w:hint="eastAsia"/>
                <w:highlight w:val="none"/>
                <w:lang w:val="en-US" w:eastAsia="zh-CN"/>
              </w:rPr>
              <w:t>21.24▲学生登录以后，可以直接操作预约功能和查看自己近期预约的记录。预约记录要包括预约时间、预约地点、咨询问题、咨询师等。</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21.25▲学生点击预约后，可以选择想预约的时间、校区，系统自动匹配合适的咨询师，选择要预约的咨询师和预约方式即可完成预约。</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21.26▲完成预约后，要向咨询师推送一条信息。让咨询师了解预约情况。</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21.27▲预约成功以后，如果有事也可以取消预约。</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21.28▲学生登录以后，也可以查看自己所有的预约记录。</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21.29学生在手机端可以查看咨询师的相关信息。</w:t>
            </w:r>
          </w:p>
          <w:p>
            <w:pPr>
              <w:spacing w:line="360" w:lineRule="auto"/>
              <w:jc w:val="both"/>
              <w:rPr>
                <w:rFonts w:hint="eastAsia"/>
                <w:highlight w:val="none"/>
                <w:lang w:val="en-US" w:eastAsia="zh-CN"/>
              </w:rPr>
            </w:pPr>
            <w:r>
              <w:rPr>
                <w:rFonts w:hint="eastAsia"/>
                <w:highlight w:val="none"/>
                <w:lang w:val="en-US" w:eastAsia="zh-CN"/>
              </w:rPr>
              <w:t>21.30▲支持辅导员及带班信息批量导入。</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21.31提供标准导入模板。</w:t>
            </w:r>
          </w:p>
          <w:p>
            <w:pPr>
              <w:spacing w:line="360" w:lineRule="auto"/>
              <w:jc w:val="both"/>
              <w:rPr>
                <w:rFonts w:hint="eastAsia"/>
                <w:highlight w:val="none"/>
                <w:lang w:val="en-US" w:eastAsia="zh-CN"/>
              </w:rPr>
            </w:pPr>
            <w:r>
              <w:rPr>
                <w:rFonts w:hint="eastAsia"/>
                <w:highlight w:val="none"/>
                <w:lang w:val="en-US" w:eastAsia="zh-CN"/>
              </w:rPr>
              <w:t>21.32支持自动从学工系统同步。</w:t>
            </w:r>
          </w:p>
          <w:p>
            <w:pPr>
              <w:spacing w:line="360" w:lineRule="auto"/>
              <w:jc w:val="both"/>
              <w:rPr>
                <w:rFonts w:hint="eastAsia"/>
                <w:highlight w:val="none"/>
                <w:lang w:val="en-US" w:eastAsia="zh-CN"/>
              </w:rPr>
            </w:pPr>
            <w:r>
              <w:rPr>
                <w:rFonts w:hint="eastAsia"/>
                <w:highlight w:val="none"/>
                <w:lang w:val="en-US" w:eastAsia="zh-CN"/>
              </w:rPr>
              <w:t>21.33▲查看辅导员带班信息。</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21.34数据采集:针对项目需求，制定数据采集范围和手段，能够收集日常管理产生的各类数据，将各种结构化和非结构化数据进行整合，为大数据的分析提供支撑。本产品集可采集各种类型的软件、硬件设备、互联网等海量分散数据。采集方式支持Http、Ftp、数据库、Socket、Syslog、Json、Xml等等。可采集的数据类型包括分布式数据、关系数据库中结构化数据、半结构化或非结构化的数据。可整体监控不同的业务系统的数据抽取情况，形成采集报告，展示数据采集情况。如：提供采集开始时间，结束时间，采集状态，并可查看采集日志等。提供采集策略管理，能根据采集工具及数据源类型，定制采集方式，采集频率等。</w:t>
            </w:r>
          </w:p>
          <w:p>
            <w:pPr>
              <w:spacing w:line="360" w:lineRule="auto"/>
              <w:jc w:val="both"/>
              <w:rPr>
                <w:rFonts w:hint="eastAsia"/>
                <w:highlight w:val="none"/>
                <w:lang w:val="en-US" w:eastAsia="zh-CN"/>
              </w:rPr>
            </w:pPr>
            <w:r>
              <w:rPr>
                <w:rFonts w:hint="eastAsia"/>
                <w:highlight w:val="none"/>
                <w:lang w:val="en-US" w:eastAsia="zh-CN"/>
              </w:rPr>
              <w:t>21.35存储分析:对多源异构数据类型数据进行整合、归类和标准化，构建分布式数据仓库，生成数据集市和应用模型主题库，为最终的分析计算提供数据支撑。依据分布式数据仓库建设规范结合大数据数据存储与计算特点，合理设定数据存储方式和规范，搭建具备吞吐 PB 级数据存储和计算的分布式架构，使用集中式存储（以主数据为主）与分布式存储并存的方式进行数据存储，确保数据快速和安全的采集、传输与存储。同时支持内存计算和流数据处理的业务需求。提供原始数据全量备份功能，在磁盘故障后，将丢失的数据找回。原始库中存储互联网数据、业务系统等原始数据；原始库中的数据做清洗、标准化后形成标准库；标准库中的数据做聚合建模分析后，形成模型库。支持采用Hadoop分布式存储方式，采用Hive、HBase、HDFS三种分布式存储技术对大数据仓库中的数据分类存储。对静态数据，即对于计算实时性要求不高，主要用于计算数据的趋势和预测的数据，基础数据和历史数据的存储和分析采用Hive存储，并提供标准的SQL语言查询功能。对于实时性要求较高，数据体量大的数据分析，如网络数据等采用HBase存储，以满足实时性要求较高的数据计算。对于文本或表格等数据，采用HDFS存储方式存储。提供对数据中心的全量数据、标准化数据以及模型数据的高效检索功能，要求平台对单条记录查询响应小于1秒，在10亿以上的日志库中检索响应时间小于3秒。模型库需支持分布式集群数据库，满足应用分析访问需求，同时满足高并发访问的要求。</w:t>
            </w:r>
          </w:p>
          <w:p>
            <w:pPr>
              <w:spacing w:line="360" w:lineRule="auto"/>
              <w:jc w:val="both"/>
              <w:rPr>
                <w:rFonts w:hint="eastAsia"/>
                <w:highlight w:val="none"/>
                <w:lang w:val="en-US" w:eastAsia="zh-CN"/>
              </w:rPr>
            </w:pPr>
            <w:r>
              <w:rPr>
                <w:rFonts w:hint="eastAsia"/>
                <w:highlight w:val="none"/>
                <w:lang w:val="en-US" w:eastAsia="zh-CN"/>
              </w:rPr>
              <w:t>21.36实时计算:对于实时性高的数据服务需求或场景，提供实时采集、实时计算、实时展示功能。采用基于Flume对比如日志的实时流数据进行采集，通过Kafka消息队列实现实时流调度处理，接入Spark Stream实现实时流计算功能，将实时计算的结果做相对应的展示，从而实现大数据实时计算与展示能力。支持流式数据批量处理功能，将流式的实时数据分解到计算节点批量处理。</w:t>
            </w:r>
          </w:p>
          <w:p>
            <w:pPr>
              <w:spacing w:line="360" w:lineRule="auto"/>
              <w:jc w:val="both"/>
              <w:rPr>
                <w:rFonts w:hint="eastAsia"/>
                <w:highlight w:val="none"/>
                <w:lang w:val="en-US" w:eastAsia="zh-CN"/>
              </w:rPr>
            </w:pPr>
            <w:r>
              <w:rPr>
                <w:rFonts w:hint="eastAsia"/>
                <w:highlight w:val="none"/>
                <w:lang w:val="en-US" w:eastAsia="zh-CN"/>
              </w:rPr>
              <w:t>21.37挖掘算法：针对大数据研发任务，基于基础应用模型采用如聚类、实时流计算、协同过滤等算法，对存储于大数据平台及关系型数据库中的数据进行深度分析，提供包含线性代数、微积分、分类算法、线性回归算法、逻辑回归算法、支持向量机聚类算法、降纬算法、协同过滤、EM算法、Python等机器学习知识库。提供算法分布式执行引擎系统，以保证数据计算过程的高效性，同时保障数据计算时能在计算节点并发运行。提供整体的Hadoop及与其生态兼容的大数据系列的算法产品及插件，支持使用Python语言和IDE开发环境来自定义算法及挖掘工具开发。</w:t>
            </w:r>
          </w:p>
          <w:p>
            <w:pPr>
              <w:spacing w:line="360" w:lineRule="auto"/>
              <w:jc w:val="both"/>
              <w:rPr>
                <w:rFonts w:hint="eastAsia"/>
                <w:highlight w:val="none"/>
                <w:lang w:val="en-US" w:eastAsia="zh-CN"/>
              </w:rPr>
            </w:pPr>
            <w:r>
              <w:rPr>
                <w:rFonts w:hint="eastAsia"/>
                <w:highlight w:val="none"/>
                <w:lang w:val="en-US" w:eastAsia="zh-CN"/>
              </w:rPr>
              <w:t>21.38大数据运维管理：提供对大数据平台及数据仓库的图形化安全管理及配置等功能。可以对底层架构组件进行运维管理。 提供用户的账号、类型、权限、邮箱等基础信息提供全方位的管理功能，并以角色权限的控制方式控制用户对数据平台的访问。提供大数据平台的图形化配置功能，包含服务器管理，数据库节点及服务管理等功能。提供大数据平台服务进程监控功能，如hive、HDFS、spark等服务进程的监控，保证分布式部署下服务的效率和可靠性。提供对大数据计算存储节点及服务节点的群集的管理功能，如添加、删除等操作。提供大数据平台集群和服务的自动化部署和故障诊断功能。支持邮件告警功能，能根据配置的邮件地址发送告警邮件。支持对集群主机及组件的运行性能监控和管理，包括但不限于Hadoop生态的组件如：HDFS、Hive、HBase、Hue、Impala、Spark、Sqoop、Yarn、Zookeeper等。提供元数据管理功能，针对每个原数据进行数据字段、类型、注释、创建时间、大小、存储信息等进行管理。</w:t>
            </w:r>
          </w:p>
          <w:p>
            <w:pPr>
              <w:spacing w:line="360" w:lineRule="auto"/>
              <w:jc w:val="both"/>
              <w:rPr>
                <w:rFonts w:hint="eastAsia"/>
                <w:highlight w:val="none"/>
                <w:lang w:val="en-US" w:eastAsia="zh-CN"/>
              </w:rPr>
            </w:pPr>
            <w:r>
              <w:rPr>
                <w:rFonts w:hint="eastAsia"/>
                <w:highlight w:val="none"/>
                <w:lang w:val="en-US" w:eastAsia="zh-CN"/>
              </w:rPr>
              <w:t>21.39大数据平台监控大屏系统：为了方便管理，实时掌握大数据平台运行情况，需要具有大数据平台监控大屏系统。功能包括集群状态实时监测，集群整体使用率实时监测，集群服务器运行实时监测，大数据平台日采集量、共采集数据量、占了多少存储，大数据平台数据池数据实时监测，大数据平台任务运行状态实时监测，总离线任务的运行时间分析等。</w:t>
            </w:r>
          </w:p>
          <w:p>
            <w:pPr>
              <w:spacing w:line="360" w:lineRule="auto"/>
              <w:jc w:val="both"/>
              <w:rPr>
                <w:rFonts w:hint="eastAsia"/>
                <w:highlight w:val="none"/>
                <w:lang w:val="en-US" w:eastAsia="zh-CN"/>
              </w:rPr>
            </w:pPr>
            <w:r>
              <w:rPr>
                <w:rFonts w:hint="eastAsia"/>
                <w:highlight w:val="none"/>
                <w:lang w:val="en-US" w:eastAsia="zh-CN"/>
              </w:rPr>
              <w:t>21.40开发语言：数据计算组件要求支持Python、Scala、Java等主流编程语言。前端页面要求采用Python、Java等主流开发语言进行逻辑层、视图层开发。</w:t>
            </w:r>
          </w:p>
          <w:p>
            <w:pPr>
              <w:spacing w:line="360" w:lineRule="auto"/>
              <w:jc w:val="both"/>
              <w:rPr>
                <w:rFonts w:hint="eastAsia"/>
                <w:highlight w:val="none"/>
                <w:lang w:val="en-US" w:eastAsia="zh-CN"/>
              </w:rPr>
            </w:pPr>
            <w:r>
              <w:rPr>
                <w:rFonts w:hint="eastAsia"/>
                <w:highlight w:val="none"/>
                <w:lang w:val="en-US" w:eastAsia="zh-CN"/>
              </w:rPr>
              <w:t>21.41平台技术生态要求：采用关系型数据库与Hadoop集群的融合架构，支持弹性集群扩展。基于Hadoop集群环境，集成flume、kafka、Spark Streaming、Sqoop、Hbase、Hive、Hdfs、Yarn、Hue、Impala、Isilon、Kudu、Oozie、Solr等高性能组件作为处理引擎。</w:t>
            </w:r>
          </w:p>
          <w:p>
            <w:pPr>
              <w:spacing w:line="360" w:lineRule="auto"/>
              <w:jc w:val="both"/>
              <w:rPr>
                <w:rFonts w:hint="eastAsia"/>
                <w:highlight w:val="none"/>
                <w:lang w:val="en-US" w:eastAsia="zh-CN"/>
              </w:rPr>
            </w:pPr>
            <w:r>
              <w:rPr>
                <w:rFonts w:hint="eastAsia"/>
                <w:highlight w:val="none"/>
                <w:lang w:val="en-US" w:eastAsia="zh-CN"/>
              </w:rPr>
              <w:t>21.42挖掘技术要求：支持Mahout进行数据分析，支持Hive进行数据分析，支持Spark进行数据分析。</w:t>
            </w:r>
          </w:p>
          <w:p>
            <w:pPr>
              <w:spacing w:line="360" w:lineRule="auto"/>
              <w:jc w:val="both"/>
              <w:rPr>
                <w:rFonts w:hint="eastAsia"/>
                <w:highlight w:val="none"/>
                <w:lang w:val="en-US" w:eastAsia="zh-CN"/>
              </w:rPr>
            </w:pPr>
            <w:r>
              <w:rPr>
                <w:rFonts w:hint="eastAsia"/>
                <w:highlight w:val="none"/>
                <w:lang w:val="en-US" w:eastAsia="zh-CN"/>
              </w:rPr>
              <w:t>对不需要防控的学生进行白名单管理。功能包括：</w:t>
            </w:r>
          </w:p>
          <w:p>
            <w:pPr>
              <w:spacing w:line="360" w:lineRule="auto"/>
              <w:jc w:val="both"/>
              <w:rPr>
                <w:rFonts w:hint="eastAsia"/>
                <w:highlight w:val="none"/>
                <w:lang w:val="en-US" w:eastAsia="zh-CN"/>
              </w:rPr>
            </w:pPr>
            <w:r>
              <w:rPr>
                <w:rFonts w:hint="eastAsia"/>
                <w:highlight w:val="none"/>
                <w:lang w:val="en-US" w:eastAsia="zh-CN"/>
              </w:rPr>
              <w:t>21.43▲添加白名单，选择需要填写的学生，为了减轻工作操作复杂度，学生信息不需要输入。在选择的同时可以了解学生的详细信息。输入时间范围和原因即可。</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21.44删除白名单。选择需要删除的白名单信息，删除即可。</w:t>
            </w:r>
          </w:p>
          <w:p>
            <w:pPr>
              <w:adjustRightInd w:val="0"/>
              <w:snapToGrid w:val="0"/>
              <w:spacing w:line="260" w:lineRule="exact"/>
              <w:rPr>
                <w:rFonts w:hint="eastAsia" w:ascii="宋体" w:hAnsi="宋体" w:eastAsia="宋体" w:cs="宋体"/>
                <w:sz w:val="21"/>
                <w:szCs w:val="21"/>
                <w:highlight w:val="none"/>
              </w:rPr>
            </w:pPr>
            <w:r>
              <w:rPr>
                <w:rFonts w:hint="eastAsia"/>
                <w:highlight w:val="none"/>
                <w:lang w:val="en-US" w:eastAsia="zh-CN"/>
              </w:rPr>
              <w:t>21.45编辑白名单。选择需要修改的白名单信息，进行修改保存即可。</w:t>
            </w:r>
          </w:p>
        </w:tc>
        <w:tc>
          <w:tcPr>
            <w:tcW w:w="4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4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lang w:val="en-US" w:eastAsia="zh-CN"/>
              </w:rPr>
              <w:t>郑州莲石信息科技有限公司</w:t>
            </w:r>
          </w:p>
        </w:tc>
        <w:tc>
          <w:tcPr>
            <w:tcW w:w="3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中国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57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精准思政预警系统</w:t>
            </w:r>
          </w:p>
        </w:tc>
        <w:tc>
          <w:tcPr>
            <w:tcW w:w="408"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21"/>
                <w:szCs w:val="21"/>
                <w:highlight w:val="none"/>
              </w:rPr>
            </w:pPr>
          </w:p>
        </w:tc>
        <w:tc>
          <w:tcPr>
            <w:tcW w:w="5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eastAsia" w:ascii="宋体" w:hAnsi="宋体" w:eastAsia="宋体" w:cs="宋体"/>
                <w:sz w:val="21"/>
                <w:szCs w:val="21"/>
                <w:highlight w:val="none"/>
              </w:rPr>
            </w:pPr>
            <w:r>
              <w:rPr>
                <w:rFonts w:hint="eastAsia" w:ascii="宋体" w:hAnsi="宋体" w:eastAsia="宋体" w:cs="宋体"/>
                <w:b w:val="0"/>
                <w:bCs/>
                <w:sz w:val="21"/>
                <w:szCs w:val="21"/>
                <w:lang w:val="en-US" w:eastAsia="zh-CN"/>
              </w:rPr>
              <w:t>基于大数据的精准思政预警系统V1.0</w:t>
            </w:r>
          </w:p>
        </w:tc>
        <w:tc>
          <w:tcPr>
            <w:tcW w:w="68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精准思政预警驾驶舱</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21.1▲实时展示触发各种预警类型的人数。</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21.2▲实时分析各预警事件院系分布。</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21.3▲分析同时触发两种、三种、四种、五种及五种以上人员分布情况。</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21.4▲采用轮动方式展示预警人员名单，方便学校的管理。</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21.5▲实时分析预警学生群体年级分布情况。</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21.6▲实时分析预警学生群体性别分布情况。</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21.7▲分析近7日预警事件趋势情况。</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反动行为预警</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22.1具体反动敏感词库管理和分析功能</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22.2针对反动敏感词预警具有不同等级预警功能，同时可查看具体的预警学生信息。</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22.3具有关注反动敏感词类型分布分析，并可查看关注的具体学生信息。</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22.4具有异常人员排行榜分析功能。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疑似不在校预警</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23.1不在校预警需要基于学生使用一卡通、门禁、门锁、通道、网络产生的记录（如吃饭、购物、洗澡、买电、用水、充值、挂失、上网等），在正常教学期间（系统可设定排除假期、国家规定的节假日）形成学生在校生活、学习模型，对于在正常教学期间发现无轨迹学生即触发预警。预警信息实时通过驾驶舱实时体现；预警信息可通过微信、钉钉、邮件、短信、APP进行推送预警（不同的预警信息可指定推送人员）；有详细的失联预警分析和管理功能，可设定白名单。对预警人员有趋势、年级、院系分布的分析。疑似失联人员有定位到明细，并具有解除预警功能。</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23.2▲失联预警要具有白名单功能，方便对学生的管理。对预警人员要有趋势、年级、院系分布的分析。</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highlight w:val="none"/>
                <w:lang w:val="en-US" w:eastAsia="zh-CN"/>
              </w:rPr>
            </w:pPr>
            <w:r>
              <w:rPr>
                <w:rFonts w:hint="eastAsia"/>
                <w:highlight w:val="none"/>
                <w:lang w:val="en-US" w:eastAsia="zh-CN"/>
              </w:rPr>
              <w:t>23.3▲疑似失联人员要能定位到明细，并可查看此学生近7日的轨迹信息。</w:t>
            </w:r>
            <w:r>
              <w:rPr>
                <w:rFonts w:hint="eastAsia" w:ascii="宋体" w:hAnsi="宋体" w:eastAsia="宋体" w:cs="宋体"/>
                <w:sz w:val="21"/>
                <w:szCs w:val="21"/>
                <w:highlight w:val="none"/>
                <w:lang w:val="en-US" w:eastAsia="zh-CN"/>
              </w:rPr>
              <w:t>提供截图证明。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24.网贷行为防控</w:t>
            </w:r>
          </w:p>
          <w:p>
            <w:pPr>
              <w:spacing w:line="360" w:lineRule="auto"/>
              <w:jc w:val="both"/>
              <w:rPr>
                <w:rFonts w:hint="eastAsia"/>
                <w:highlight w:val="none"/>
                <w:lang w:val="en-US" w:eastAsia="zh-CN"/>
              </w:rPr>
            </w:pPr>
            <w:r>
              <w:rPr>
                <w:rFonts w:hint="eastAsia"/>
                <w:highlight w:val="none"/>
                <w:lang w:val="en-US" w:eastAsia="zh-CN"/>
              </w:rPr>
              <w:t>24.1</w:t>
            </w:r>
            <w:r>
              <w:rPr>
                <w:rFonts w:hint="eastAsia" w:ascii="Times New Roman" w:hAnsi="Times New Roman" w:eastAsia="宋体" w:cs="Times New Roman"/>
                <w:kern w:val="2"/>
                <w:sz w:val="21"/>
                <w:szCs w:val="24"/>
                <w:highlight w:val="none"/>
                <w:lang w:val="en-US" w:eastAsia="zh-CN" w:bidi="ar-SA"/>
              </w:rPr>
              <w:t>▲</w:t>
            </w:r>
            <w:r>
              <w:rPr>
                <w:rFonts w:hint="eastAsia"/>
                <w:highlight w:val="none"/>
                <w:lang w:val="en-US" w:eastAsia="zh-CN"/>
              </w:rPr>
              <w:t>通过卡片图形式展示不同预警级别的人数，并可查看每种级别人员信息。</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24.2</w:t>
            </w:r>
            <w:r>
              <w:rPr>
                <w:rFonts w:hint="eastAsia" w:ascii="Times New Roman" w:hAnsi="Times New Roman" w:eastAsia="宋体" w:cs="Times New Roman"/>
                <w:kern w:val="2"/>
                <w:sz w:val="21"/>
                <w:szCs w:val="24"/>
                <w:highlight w:val="none"/>
                <w:lang w:val="en-US" w:eastAsia="zh-CN" w:bidi="ar-SA"/>
              </w:rPr>
              <w:t>▲</w:t>
            </w:r>
            <w:r>
              <w:rPr>
                <w:rFonts w:hint="eastAsia"/>
                <w:highlight w:val="none"/>
                <w:lang w:val="en-US" w:eastAsia="zh-CN"/>
              </w:rPr>
              <w:t>可查看每种级别预警人员的图形化累计人数。</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24.3</w:t>
            </w:r>
            <w:r>
              <w:rPr>
                <w:rFonts w:hint="eastAsia" w:ascii="Times New Roman" w:hAnsi="Times New Roman" w:eastAsia="宋体" w:cs="Times New Roman"/>
                <w:kern w:val="2"/>
                <w:sz w:val="21"/>
                <w:szCs w:val="24"/>
                <w:highlight w:val="none"/>
                <w:lang w:val="en-US" w:eastAsia="zh-CN" w:bidi="ar-SA"/>
              </w:rPr>
              <w:t>▲</w:t>
            </w:r>
            <w:r>
              <w:rPr>
                <w:rFonts w:hint="eastAsia"/>
                <w:highlight w:val="none"/>
                <w:lang w:val="en-US" w:eastAsia="zh-CN"/>
              </w:rPr>
              <w:t>可查看触发网贷预警的每日异常人数，并可查看预警人员明细信息。</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24.4基于模型展示近7日预警人数趋势，可根据日期范围进行查询，并可查看预警人像的院系分布和年级分布等。</w:t>
            </w:r>
          </w:p>
          <w:p>
            <w:pPr>
              <w:spacing w:line="360" w:lineRule="auto"/>
              <w:jc w:val="both"/>
              <w:rPr>
                <w:rFonts w:hint="eastAsia"/>
                <w:highlight w:val="none"/>
                <w:lang w:val="en-US" w:eastAsia="zh-CN"/>
              </w:rPr>
            </w:pPr>
            <w:r>
              <w:rPr>
                <w:rFonts w:hint="eastAsia"/>
                <w:highlight w:val="none"/>
                <w:lang w:val="en-US" w:eastAsia="zh-CN"/>
              </w:rPr>
              <w:t>24.5</w:t>
            </w:r>
            <w:r>
              <w:rPr>
                <w:rFonts w:hint="eastAsia" w:ascii="Times New Roman" w:hAnsi="Times New Roman" w:eastAsia="宋体" w:cs="Times New Roman"/>
                <w:kern w:val="2"/>
                <w:sz w:val="21"/>
                <w:szCs w:val="24"/>
                <w:highlight w:val="none"/>
                <w:lang w:val="en-US" w:eastAsia="zh-CN" w:bidi="ar-SA"/>
              </w:rPr>
              <w:t>▲</w:t>
            </w:r>
            <w:r>
              <w:rPr>
                <w:rFonts w:hint="eastAsia"/>
                <w:highlight w:val="none"/>
                <w:lang w:val="en-US" w:eastAsia="zh-CN"/>
              </w:rPr>
              <w:t>网贷预警原因分析，分析异常具有网贷的学生为什么要网贷，网贷的钱干什么用了。</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24.6</w:t>
            </w:r>
            <w:r>
              <w:rPr>
                <w:rFonts w:hint="eastAsia" w:ascii="Times New Roman" w:hAnsi="Times New Roman" w:eastAsia="宋体" w:cs="Times New Roman"/>
                <w:kern w:val="2"/>
                <w:sz w:val="21"/>
                <w:szCs w:val="24"/>
                <w:highlight w:val="none"/>
                <w:lang w:val="en-US" w:eastAsia="zh-CN" w:bidi="ar-SA"/>
              </w:rPr>
              <w:t>▲</w:t>
            </w:r>
            <w:r>
              <w:rPr>
                <w:rFonts w:hint="eastAsia"/>
                <w:highlight w:val="none"/>
                <w:lang w:val="en-US" w:eastAsia="zh-CN"/>
              </w:rPr>
              <w:t>网贷热门访问排行榜，掌握学生喜欢使用什么网贷平台。并可查看访问每种网贷平台的是哪些学生。</w:t>
            </w:r>
            <w:r>
              <w:rPr>
                <w:rFonts w:hint="eastAsia" w:ascii="宋体" w:hAnsi="宋体" w:eastAsia="宋体" w:cs="宋体"/>
                <w:sz w:val="21"/>
                <w:szCs w:val="21"/>
                <w:highlight w:val="none"/>
                <w:lang w:val="en-US" w:eastAsia="zh-CN"/>
              </w:rPr>
              <w:t>提供截图证明。</w:t>
            </w:r>
          </w:p>
          <w:p>
            <w:pPr>
              <w:spacing w:line="360" w:lineRule="auto"/>
              <w:jc w:val="both"/>
              <w:rPr>
                <w:rFonts w:hint="eastAsia"/>
                <w:highlight w:val="none"/>
                <w:lang w:val="en-US" w:eastAsia="zh-CN"/>
              </w:rPr>
            </w:pPr>
            <w:r>
              <w:rPr>
                <w:rFonts w:hint="eastAsia"/>
                <w:highlight w:val="none"/>
                <w:lang w:val="en-US" w:eastAsia="zh-CN"/>
              </w:rPr>
              <w:t>24.7预警学生明细，展示当前在预警范围的学生信息。</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0" w:firstLineChars="0"/>
              <w:textAlignment w:val="auto"/>
              <w:rPr>
                <w:rFonts w:hint="eastAsia"/>
                <w:highlight w:val="none"/>
                <w:lang w:val="en-US" w:eastAsia="zh-CN"/>
              </w:rPr>
            </w:pPr>
            <w:r>
              <w:rPr>
                <w:rFonts w:hint="eastAsia"/>
                <w:highlight w:val="none"/>
                <w:lang w:val="en-US" w:eastAsia="zh-CN"/>
              </w:rPr>
              <w:t>传染病预警</w:t>
            </w:r>
          </w:p>
          <w:p>
            <w:pPr>
              <w:spacing w:line="360" w:lineRule="auto"/>
              <w:rPr>
                <w:highlight w:val="none"/>
              </w:rPr>
            </w:pPr>
            <w:r>
              <w:rPr>
                <w:rFonts w:hint="eastAsia"/>
                <w:highlight w:val="none"/>
                <w:lang w:val="en-US" w:eastAsia="zh-CN"/>
              </w:rPr>
              <w:t>25</w:t>
            </w:r>
            <w:r>
              <w:rPr>
                <w:rFonts w:hint="eastAsia"/>
                <w:highlight w:val="none"/>
              </w:rPr>
              <w:t>.1</w:t>
            </w:r>
            <w:r>
              <w:rPr>
                <w:rFonts w:hint="eastAsia"/>
                <w:highlight w:val="none"/>
                <w:lang w:eastAsia="zh-CN"/>
              </w:rPr>
              <w:t>▲</w:t>
            </w:r>
            <w:r>
              <w:rPr>
                <w:rFonts w:hint="eastAsia"/>
                <w:highlight w:val="none"/>
              </w:rPr>
              <w:t>具有传染病预警等级功能，并可查看每种等级预警人数和学生明细。</w:t>
            </w:r>
            <w:r>
              <w:rPr>
                <w:rFonts w:hint="eastAsia" w:ascii="宋体" w:hAnsi="宋体" w:eastAsia="宋体" w:cs="宋体"/>
                <w:sz w:val="21"/>
                <w:szCs w:val="21"/>
                <w:highlight w:val="none"/>
                <w:lang w:val="en-US" w:eastAsia="zh-CN"/>
              </w:rPr>
              <w:t>提供截图证明。</w:t>
            </w:r>
          </w:p>
          <w:p>
            <w:pPr>
              <w:spacing w:line="360" w:lineRule="auto"/>
              <w:rPr>
                <w:highlight w:val="none"/>
              </w:rPr>
            </w:pPr>
            <w:r>
              <w:rPr>
                <w:rFonts w:hint="eastAsia"/>
                <w:highlight w:val="none"/>
                <w:lang w:val="en-US" w:eastAsia="zh-CN"/>
              </w:rPr>
              <w:t>25</w:t>
            </w:r>
            <w:r>
              <w:rPr>
                <w:rFonts w:hint="eastAsia"/>
                <w:highlight w:val="none"/>
              </w:rPr>
              <w:t>.2</w:t>
            </w:r>
            <w:r>
              <w:rPr>
                <w:rFonts w:hint="eastAsia"/>
                <w:highlight w:val="none"/>
                <w:lang w:eastAsia="zh-CN"/>
              </w:rPr>
              <w:t>▲</w:t>
            </w:r>
            <w:r>
              <w:rPr>
                <w:rFonts w:hint="eastAsia"/>
                <w:highlight w:val="none"/>
              </w:rPr>
              <w:t>具有近期疾病爆发的可能性分析功能，并可查看疾病名称和原因分析。</w:t>
            </w:r>
            <w:r>
              <w:rPr>
                <w:rFonts w:hint="eastAsia" w:ascii="宋体" w:hAnsi="宋体" w:eastAsia="宋体" w:cs="宋体"/>
                <w:sz w:val="21"/>
                <w:szCs w:val="21"/>
                <w:highlight w:val="none"/>
                <w:lang w:val="en-US" w:eastAsia="zh-CN"/>
              </w:rPr>
              <w:t>提供截图证明。</w:t>
            </w:r>
          </w:p>
          <w:p>
            <w:pPr>
              <w:spacing w:line="360" w:lineRule="auto"/>
              <w:rPr>
                <w:rFonts w:hint="eastAsia"/>
                <w:highlight w:val="none"/>
              </w:rPr>
            </w:pPr>
            <w:r>
              <w:rPr>
                <w:rFonts w:hint="eastAsia"/>
                <w:highlight w:val="none"/>
                <w:lang w:val="en-US" w:eastAsia="zh-CN"/>
              </w:rPr>
              <w:t>25</w:t>
            </w:r>
            <w:r>
              <w:rPr>
                <w:rFonts w:hint="eastAsia"/>
                <w:highlight w:val="none"/>
              </w:rPr>
              <w:t>.3</w:t>
            </w:r>
            <w:r>
              <w:rPr>
                <w:rFonts w:hint="eastAsia"/>
                <w:highlight w:val="none"/>
                <w:lang w:eastAsia="zh-CN"/>
              </w:rPr>
              <w:t>▲</w:t>
            </w:r>
            <w:r>
              <w:rPr>
                <w:rFonts w:hint="eastAsia"/>
                <w:highlight w:val="none"/>
                <w:lang w:val="en-US" w:eastAsia="zh-CN"/>
              </w:rPr>
              <w:t>异常行为每日关注，有哪些学生进行异常访问并可查看具体的学生信息</w:t>
            </w:r>
            <w:r>
              <w:rPr>
                <w:rFonts w:hint="eastAsia"/>
                <w:highlight w:val="none"/>
              </w:rPr>
              <w:t>。</w:t>
            </w:r>
            <w:r>
              <w:rPr>
                <w:rFonts w:hint="eastAsia" w:ascii="宋体" w:hAnsi="宋体" w:eastAsia="宋体" w:cs="宋体"/>
                <w:sz w:val="21"/>
                <w:szCs w:val="21"/>
                <w:highlight w:val="none"/>
                <w:lang w:val="en-US" w:eastAsia="zh-CN"/>
              </w:rPr>
              <w:t>提供截图证明。</w:t>
            </w:r>
          </w:p>
          <w:p>
            <w:pPr>
              <w:spacing w:line="360" w:lineRule="auto"/>
              <w:rPr>
                <w:rFonts w:hint="eastAsia"/>
                <w:highlight w:val="none"/>
                <w:lang w:val="en-US" w:eastAsia="zh-CN"/>
              </w:rPr>
            </w:pPr>
            <w:r>
              <w:rPr>
                <w:rFonts w:hint="eastAsia"/>
                <w:highlight w:val="none"/>
                <w:lang w:val="en-US" w:eastAsia="zh-CN"/>
              </w:rPr>
              <w:t>25.4</w:t>
            </w:r>
            <w:r>
              <w:rPr>
                <w:rFonts w:hint="eastAsia"/>
                <w:highlight w:val="none"/>
                <w:lang w:eastAsia="zh-CN"/>
              </w:rPr>
              <w:t>▲</w:t>
            </w:r>
            <w:r>
              <w:rPr>
                <w:rFonts w:hint="eastAsia"/>
                <w:highlight w:val="none"/>
                <w:lang w:val="en-US" w:eastAsia="zh-CN"/>
              </w:rPr>
              <w:t>预警人员趋势分析，可查看其它日期范围。根据每日预警人数可查看具体的院系分布、年级分布和具体人员明细。</w:t>
            </w:r>
            <w:r>
              <w:rPr>
                <w:rFonts w:hint="eastAsia" w:ascii="宋体" w:hAnsi="宋体" w:eastAsia="宋体" w:cs="宋体"/>
                <w:sz w:val="21"/>
                <w:szCs w:val="21"/>
                <w:highlight w:val="none"/>
                <w:lang w:val="en-US" w:eastAsia="zh-CN"/>
              </w:rPr>
              <w:t>提供截图证明。</w:t>
            </w:r>
          </w:p>
          <w:p>
            <w:pPr>
              <w:spacing w:line="360" w:lineRule="auto"/>
              <w:jc w:val="both"/>
              <w:rPr>
                <w:rFonts w:hint="default"/>
                <w:highlight w:val="none"/>
                <w:lang w:val="en-US" w:eastAsia="zh-CN"/>
              </w:rPr>
            </w:pPr>
            <w:r>
              <w:rPr>
                <w:rFonts w:hint="eastAsia"/>
                <w:highlight w:val="none"/>
                <w:lang w:val="en-US" w:eastAsia="zh-CN"/>
              </w:rPr>
              <w:t>25.5▲预警人数院系分布分析，可查看每个院系预警人数及人员明细、级别和预警原因。</w:t>
            </w:r>
            <w:r>
              <w:rPr>
                <w:rFonts w:hint="eastAsia" w:ascii="宋体" w:hAnsi="宋体" w:eastAsia="宋体" w:cs="宋体"/>
                <w:sz w:val="21"/>
                <w:szCs w:val="21"/>
                <w:highlight w:val="none"/>
                <w:lang w:val="en-US" w:eastAsia="zh-CN"/>
              </w:rPr>
              <w:t>提供截图证明。</w:t>
            </w:r>
          </w:p>
          <w:p>
            <w:pPr>
              <w:spacing w:line="360" w:lineRule="auto"/>
              <w:rPr>
                <w:rFonts w:hint="eastAsia"/>
                <w:highlight w:val="none"/>
              </w:rPr>
            </w:pPr>
            <w:r>
              <w:rPr>
                <w:rFonts w:hint="eastAsia"/>
                <w:highlight w:val="none"/>
                <w:lang w:val="en-US" w:eastAsia="zh-CN"/>
              </w:rPr>
              <w:t>25</w:t>
            </w:r>
            <w:r>
              <w:rPr>
                <w:rFonts w:hint="eastAsia"/>
                <w:highlight w:val="none"/>
              </w:rPr>
              <w:t>.</w:t>
            </w:r>
            <w:r>
              <w:rPr>
                <w:rFonts w:hint="eastAsia"/>
                <w:highlight w:val="none"/>
                <w:lang w:val="en-US" w:eastAsia="zh-CN"/>
              </w:rPr>
              <w:t>6</w:t>
            </w:r>
            <w:r>
              <w:rPr>
                <w:rFonts w:hint="eastAsia"/>
                <w:highlight w:val="none"/>
                <w:lang w:eastAsia="zh-CN"/>
              </w:rPr>
              <w:t>▲</w:t>
            </w:r>
            <w:r>
              <w:rPr>
                <w:rFonts w:hint="eastAsia"/>
                <w:highlight w:val="none"/>
              </w:rPr>
              <w:t>具有传染病关注排行分析，可查看具体的关注学生。</w:t>
            </w:r>
            <w:r>
              <w:rPr>
                <w:rFonts w:hint="eastAsia" w:ascii="宋体" w:hAnsi="宋体" w:eastAsia="宋体" w:cs="宋体"/>
                <w:sz w:val="21"/>
                <w:szCs w:val="21"/>
                <w:highlight w:val="none"/>
                <w:lang w:val="en-US" w:eastAsia="zh-CN"/>
              </w:rPr>
              <w:t>提供截图证明。</w:t>
            </w:r>
          </w:p>
          <w:p>
            <w:pPr>
              <w:spacing w:line="360" w:lineRule="auto"/>
              <w:rPr>
                <w:rFonts w:hint="eastAsia"/>
                <w:highlight w:val="none"/>
                <w:lang w:val="en-US" w:eastAsia="zh-CN"/>
              </w:rPr>
            </w:pPr>
            <w:r>
              <w:rPr>
                <w:rFonts w:hint="eastAsia"/>
                <w:highlight w:val="none"/>
                <w:lang w:val="en-US" w:eastAsia="zh-CN"/>
              </w:rPr>
              <w:t>25</w:t>
            </w:r>
            <w:r>
              <w:rPr>
                <w:rFonts w:hint="eastAsia"/>
                <w:highlight w:val="none"/>
              </w:rPr>
              <w:t>.</w:t>
            </w:r>
            <w:r>
              <w:rPr>
                <w:rFonts w:hint="eastAsia"/>
                <w:highlight w:val="none"/>
                <w:lang w:val="en-US" w:eastAsia="zh-CN"/>
              </w:rPr>
              <w:t>7预警人数性别分布，可查看具体的预警人员信息。</w:t>
            </w:r>
          </w:p>
          <w:p>
            <w:pPr>
              <w:spacing w:line="360" w:lineRule="auto"/>
              <w:rPr>
                <w:rFonts w:hint="default"/>
                <w:highlight w:val="none"/>
                <w:lang w:val="en-US" w:eastAsia="zh-CN"/>
              </w:rPr>
            </w:pPr>
            <w:r>
              <w:rPr>
                <w:rFonts w:hint="eastAsia"/>
                <w:highlight w:val="none"/>
                <w:lang w:val="en-US" w:eastAsia="zh-CN"/>
              </w:rPr>
              <w:t>25</w:t>
            </w:r>
            <w:r>
              <w:rPr>
                <w:rFonts w:hint="eastAsia"/>
                <w:highlight w:val="none"/>
              </w:rPr>
              <w:t>.</w:t>
            </w:r>
            <w:r>
              <w:rPr>
                <w:rFonts w:hint="eastAsia"/>
                <w:highlight w:val="none"/>
                <w:lang w:val="en-US" w:eastAsia="zh-CN"/>
              </w:rPr>
              <w:t>8预警人数年级分布，可查看具体的预警人员信息。</w:t>
            </w:r>
          </w:p>
          <w:p>
            <w:pPr>
              <w:spacing w:line="360" w:lineRule="auto"/>
              <w:rPr>
                <w:rFonts w:hint="eastAsia"/>
                <w:highlight w:val="none"/>
                <w:lang w:val="en-US" w:eastAsia="zh-CN"/>
              </w:rPr>
            </w:pPr>
            <w:r>
              <w:rPr>
                <w:rFonts w:hint="eastAsia"/>
                <w:highlight w:val="none"/>
                <w:lang w:val="en-US" w:eastAsia="zh-CN"/>
              </w:rPr>
              <w:t>25.9具有白名单管理功能，白名单的学生可不进行预警。</w:t>
            </w:r>
          </w:p>
          <w:p>
            <w:pPr>
              <w:pStyle w:val="11"/>
              <w:numPr>
                <w:ilvl w:val="0"/>
                <w:numId w:val="4"/>
              </w:numPr>
              <w:ind w:left="0" w:leftChars="0" w:firstLine="0" w:firstLineChars="0"/>
              <w:rPr>
                <w:rFonts w:hint="eastAsia" w:asciiTheme="minorHAnsi" w:hAnsiTheme="minorHAnsi" w:eastAsiaTheme="minorEastAsia" w:cstheme="minorBidi"/>
                <w:kern w:val="2"/>
                <w:sz w:val="21"/>
                <w:szCs w:val="24"/>
                <w:highlight w:val="none"/>
                <w:lang w:val="en-US" w:eastAsia="zh-CN" w:bidi="ar-SA"/>
              </w:rPr>
            </w:pPr>
            <w:r>
              <w:rPr>
                <w:rFonts w:hint="eastAsia" w:asciiTheme="minorHAnsi" w:hAnsiTheme="minorHAnsi" w:eastAsiaTheme="minorEastAsia" w:cstheme="minorBidi"/>
                <w:kern w:val="2"/>
                <w:sz w:val="21"/>
                <w:szCs w:val="24"/>
                <w:highlight w:val="none"/>
                <w:lang w:val="en-US" w:eastAsia="zh-CN" w:bidi="ar-SA"/>
              </w:rPr>
              <w:t>思政预警助手</w:t>
            </w:r>
          </w:p>
          <w:p>
            <w:pPr>
              <w:spacing w:line="360" w:lineRule="auto"/>
              <w:jc w:val="both"/>
              <w:rPr>
                <w:rFonts w:hint="default"/>
                <w:highlight w:val="none"/>
                <w:lang w:val="en-US" w:eastAsia="zh-CN"/>
              </w:rPr>
            </w:pPr>
            <w:r>
              <w:rPr>
                <w:rFonts w:hint="eastAsia"/>
                <w:highlight w:val="none"/>
                <w:lang w:val="en-US" w:eastAsia="zh-CN"/>
              </w:rPr>
              <w:t>26.1支持针对学生处、院系、辅导员异常提醒功能。</w:t>
            </w:r>
          </w:p>
          <w:p>
            <w:pPr>
              <w:spacing w:line="360" w:lineRule="auto"/>
              <w:jc w:val="both"/>
              <w:rPr>
                <w:rFonts w:hint="eastAsia"/>
                <w:highlight w:val="none"/>
                <w:lang w:val="en-US" w:eastAsia="zh-CN"/>
              </w:rPr>
            </w:pPr>
            <w:r>
              <w:rPr>
                <w:rFonts w:hint="eastAsia"/>
                <w:highlight w:val="none"/>
                <w:lang w:val="en-US" w:eastAsia="zh-CN"/>
              </w:rPr>
              <w:t>26.2出现初现或异常行为提醒辅导员，出现疑似或高危则提醒院系和学生处。</w:t>
            </w:r>
          </w:p>
          <w:p>
            <w:pPr>
              <w:spacing w:line="360" w:lineRule="auto"/>
              <w:jc w:val="both"/>
              <w:rPr>
                <w:rFonts w:hint="eastAsia"/>
                <w:highlight w:val="none"/>
                <w:lang w:val="en-US" w:eastAsia="zh-CN"/>
              </w:rPr>
            </w:pPr>
            <w:r>
              <w:rPr>
                <w:rFonts w:hint="eastAsia"/>
                <w:highlight w:val="none"/>
                <w:lang w:val="en-US" w:eastAsia="zh-CN"/>
              </w:rPr>
              <w:t>26.3提醒内容可根据学校需求进行进行定制。</w:t>
            </w:r>
          </w:p>
          <w:p>
            <w:pPr>
              <w:spacing w:line="360" w:lineRule="auto"/>
              <w:jc w:val="both"/>
              <w:rPr>
                <w:rFonts w:hint="eastAsia"/>
                <w:highlight w:val="none"/>
                <w:lang w:val="en-US" w:eastAsia="zh-CN"/>
              </w:rPr>
            </w:pPr>
            <w:r>
              <w:rPr>
                <w:rFonts w:hint="eastAsia"/>
                <w:highlight w:val="none"/>
                <w:lang w:val="en-US" w:eastAsia="zh-CN"/>
              </w:rPr>
              <w:t>26.4服务项目包括辅导员、院系、学生处。</w:t>
            </w:r>
          </w:p>
          <w:p>
            <w:pPr>
              <w:spacing w:line="360" w:lineRule="auto"/>
              <w:jc w:val="both"/>
              <w:rPr>
                <w:rFonts w:hint="eastAsia"/>
                <w:highlight w:val="none"/>
                <w:lang w:val="en-US" w:eastAsia="zh-CN"/>
              </w:rPr>
            </w:pPr>
            <w:r>
              <w:rPr>
                <w:rFonts w:hint="eastAsia"/>
                <w:highlight w:val="none"/>
                <w:lang w:val="en-US" w:eastAsia="zh-CN"/>
              </w:rPr>
              <w:t>26.5可对每个服务项目进行是否启用设置。</w:t>
            </w:r>
          </w:p>
          <w:p>
            <w:pPr>
              <w:spacing w:line="360" w:lineRule="auto"/>
              <w:jc w:val="both"/>
              <w:rPr>
                <w:rFonts w:hint="eastAsia"/>
                <w:highlight w:val="none"/>
                <w:lang w:val="en-US" w:eastAsia="zh-CN"/>
              </w:rPr>
            </w:pPr>
            <w:r>
              <w:rPr>
                <w:rFonts w:hint="eastAsia"/>
                <w:highlight w:val="none"/>
                <w:lang w:val="en-US" w:eastAsia="zh-CN"/>
              </w:rPr>
              <w:t>26.6可设置提醒时间和提醒名单。</w:t>
            </w:r>
          </w:p>
          <w:p>
            <w:pPr>
              <w:spacing w:line="360" w:lineRule="auto"/>
              <w:jc w:val="both"/>
              <w:rPr>
                <w:rFonts w:hint="eastAsia"/>
                <w:highlight w:val="none"/>
                <w:lang w:val="en-US" w:eastAsia="zh-CN"/>
              </w:rPr>
            </w:pPr>
            <w:r>
              <w:rPr>
                <w:rFonts w:hint="eastAsia"/>
                <w:highlight w:val="none"/>
                <w:lang w:val="en-US" w:eastAsia="zh-CN"/>
              </w:rPr>
              <w:t>26.7提醒途径支持微信公众号、钉钉、企业微信、邮箱等。</w:t>
            </w:r>
          </w:p>
          <w:p>
            <w:pPr>
              <w:spacing w:line="360" w:lineRule="auto"/>
              <w:jc w:val="both"/>
              <w:rPr>
                <w:rFonts w:hint="eastAsia" w:asciiTheme="minorHAnsi" w:hAnsiTheme="minorHAnsi" w:eastAsiaTheme="minorEastAsia" w:cstheme="minorBidi"/>
                <w:kern w:val="2"/>
                <w:sz w:val="21"/>
                <w:szCs w:val="24"/>
                <w:highlight w:val="none"/>
                <w:lang w:val="en-US" w:eastAsia="zh-CN" w:bidi="ar-SA"/>
              </w:rPr>
            </w:pPr>
            <w:r>
              <w:rPr>
                <w:rFonts w:hint="eastAsia"/>
                <w:highlight w:val="none"/>
                <w:lang w:val="en-US" w:eastAsia="zh-CN"/>
              </w:rPr>
              <w:t>26.8分析提醒覆盖人数和提醒内容数量。</w:t>
            </w:r>
          </w:p>
        </w:tc>
        <w:tc>
          <w:tcPr>
            <w:tcW w:w="4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4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lang w:val="en-US" w:eastAsia="zh-CN"/>
              </w:rPr>
              <w:t>郑州莲石信息科技有限公司</w:t>
            </w:r>
          </w:p>
        </w:tc>
        <w:tc>
          <w:tcPr>
            <w:tcW w:w="3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中国</w:t>
            </w:r>
          </w:p>
        </w:tc>
      </w:tr>
    </w:tbl>
    <w:p>
      <w:pPr>
        <w:rPr>
          <w:rFonts w:hint="eastAsia" w:ascii="宋体" w:hAnsi="宋体" w:eastAsia="宋体" w:cs="宋体"/>
          <w:b/>
          <w:sz w:val="21"/>
          <w:szCs w:val="21"/>
          <w:highlight w:val="none"/>
        </w:rPr>
      </w:pPr>
      <w:r>
        <w:rPr>
          <w:rFonts w:hint="eastAsia" w:ascii="宋体" w:hAnsi="宋体" w:eastAsia="宋体" w:cs="宋体"/>
          <w:b/>
          <w:sz w:val="21"/>
          <w:szCs w:val="21"/>
          <w:highlight w:val="none"/>
        </w:rPr>
        <w:br w:type="page"/>
      </w:r>
    </w:p>
    <w:p>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 xml:space="preserve">附件5：            </w:t>
      </w:r>
    </w:p>
    <w:p>
      <w:pPr>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供货商：</w:t>
      </w:r>
      <w:r>
        <w:rPr>
          <w:rFonts w:hint="eastAsia" w:ascii="宋体" w:hAnsi="宋体" w:eastAsia="宋体" w:cs="宋体"/>
          <w:b/>
          <w:sz w:val="21"/>
          <w:szCs w:val="21"/>
          <w:highlight w:val="none"/>
          <w:lang w:val="en-US" w:eastAsia="zh-CN"/>
        </w:rPr>
        <w:t>郑州莲石信息科技</w:t>
      </w:r>
      <w:r>
        <w:rPr>
          <w:rFonts w:hint="eastAsia" w:ascii="宋体" w:hAnsi="宋体" w:eastAsia="宋体" w:cs="宋体"/>
          <w:b/>
          <w:sz w:val="21"/>
          <w:szCs w:val="21"/>
          <w:highlight w:val="none"/>
        </w:rPr>
        <w:t>有限公司质量保障及服务表</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致：河南中医药大学： </w:t>
      </w:r>
    </w:p>
    <w:p>
      <w:pPr>
        <w:keepNext w:val="0"/>
        <w:keepLines w:val="0"/>
        <w:pageBreakBefore w:val="0"/>
        <w:widowControl/>
        <w:kinsoku/>
        <w:overflowPunct/>
        <w:topLinePunct w:val="0"/>
        <w:autoSpaceDE/>
        <w:autoSpaceDN/>
        <w:bidi w:val="0"/>
        <w:adjustRightInd w:val="0"/>
        <w:snapToGrid w:val="0"/>
        <w:spacing w:line="360" w:lineRule="auto"/>
        <w:ind w:firstLine="420" w:firstLineChars="200"/>
        <w:jc w:val="left"/>
        <w:rPr>
          <w:rFonts w:hint="eastAsia" w:ascii="宋体" w:hAnsi="宋体" w:eastAsia="宋体" w:cs="宋体"/>
          <w:b/>
          <w:sz w:val="21"/>
          <w:szCs w:val="21"/>
          <w:highlight w:val="none"/>
        </w:rPr>
      </w:pPr>
      <w:r>
        <w:rPr>
          <w:rFonts w:hint="eastAsia" w:ascii="宋体" w:hAnsi="宋体" w:eastAsia="宋体" w:cs="宋体"/>
          <w:sz w:val="21"/>
          <w:szCs w:val="21"/>
          <w:highlight w:val="none"/>
        </w:rPr>
        <w:t>根据贵方招标编号为</w:t>
      </w:r>
      <w:r>
        <w:rPr>
          <w:rFonts w:hint="eastAsia" w:ascii="宋体" w:hAnsi="宋体" w:eastAsia="宋体" w:cs="宋体"/>
          <w:color w:val="auto"/>
          <w:kern w:val="0"/>
          <w:sz w:val="21"/>
          <w:szCs w:val="21"/>
          <w:highlight w:val="none"/>
        </w:rPr>
        <w:t>豫财招标采购-2024-862</w:t>
      </w:r>
      <w:r>
        <w:rPr>
          <w:rFonts w:hint="eastAsia" w:ascii="宋体" w:hAnsi="宋体" w:eastAsia="宋体" w:cs="宋体"/>
          <w:color w:val="auto"/>
          <w:kern w:val="0"/>
          <w:sz w:val="21"/>
          <w:szCs w:val="21"/>
          <w:highlight w:val="none"/>
          <w:lang w:val="en-US" w:eastAsia="zh-CN"/>
        </w:rPr>
        <w:t xml:space="preserve"> C包</w:t>
      </w:r>
      <w:r>
        <w:rPr>
          <w:rFonts w:hint="eastAsia" w:ascii="宋体" w:hAnsi="宋体" w:eastAsia="宋体" w:cs="宋体"/>
          <w:sz w:val="21"/>
          <w:szCs w:val="21"/>
          <w:highlight w:val="none"/>
        </w:rPr>
        <w:t>的货物（具体货物见附件4），我公司对该项目售后产品做出如下质保及售后服务承诺：</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vAlign w:val="center"/>
          </w:tcPr>
          <w:p>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3758" w:type="dxa"/>
            <w:vAlign w:val="center"/>
          </w:tcPr>
          <w:p>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质量保障措施及服务内容</w:t>
            </w:r>
          </w:p>
        </w:tc>
        <w:tc>
          <w:tcPr>
            <w:tcW w:w="4016" w:type="dxa"/>
            <w:vAlign w:val="center"/>
          </w:tcPr>
          <w:p>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承诺</w:t>
            </w:r>
          </w:p>
        </w:tc>
        <w:tc>
          <w:tcPr>
            <w:tcW w:w="878" w:type="dxa"/>
            <w:vAlign w:val="center"/>
          </w:tcPr>
          <w:p>
            <w:pPr>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整机保修</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五年</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随机标准配件</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五年</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加购选配件</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五年</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随机资料、光盘介质、软盘介质、连接线、指示灯、电源线、随机工具等。</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随机配置见随机装箱清单</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运输方式</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免费送货上门</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交货时间</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Times New Roman"/>
                <w:sz w:val="21"/>
                <w:szCs w:val="21"/>
              </w:rPr>
              <w:t>合同签订后</w:t>
            </w:r>
            <w:r>
              <w:rPr>
                <w:rFonts w:hint="eastAsia" w:ascii="宋体" w:hAnsi="宋体" w:eastAsia="宋体" w:cs="Times New Roman"/>
                <w:sz w:val="21"/>
                <w:szCs w:val="21"/>
                <w:lang w:val="en-US" w:eastAsia="zh-CN"/>
              </w:rPr>
              <w:t>15</w:t>
            </w:r>
            <w:r>
              <w:rPr>
                <w:rFonts w:hint="eastAsia" w:ascii="宋体" w:hAnsi="宋体" w:eastAsia="宋体" w:cs="Times New Roman"/>
                <w:sz w:val="21"/>
                <w:szCs w:val="21"/>
              </w:rPr>
              <w:t>0日内</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安装、调试服务 </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免费安装调试</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整机免费换货期限</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60个月</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免费上门服务期</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终身。提供随叫随到上门服务，全天候24小时响应（包括节假日如春节、国庆节、五一节等），</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质量保证期</w:t>
            </w:r>
            <w:r>
              <w:rPr>
                <w:rFonts w:hint="eastAsia" w:ascii="宋体" w:hAnsi="宋体" w:eastAsia="宋体" w:cs="宋体"/>
                <w:sz w:val="21"/>
                <w:szCs w:val="21"/>
                <w:highlight w:val="none"/>
              </w:rPr>
              <w:t>内产品故障服务响应时限</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2个小时内响应</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服务时间</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24小时（包括节假日如春节、国庆节、五一节等）</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上门时间</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2小时内响应及时上门</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13</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故障修复时限</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8个小时内修复</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14</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备品配件供应响应时限</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1个工作日内</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保质期满后的保修服务费用</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详见开标一览表</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16</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免费技术支持</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终身</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17</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客户操作人员技术培训</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免费技术培训至少2名操作人员，操作和简单故障处理。</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18</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郑州维修部地址</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郑州高新区西三环路大学科技园12号楼14层</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19</w:t>
            </w:r>
          </w:p>
        </w:tc>
        <w:tc>
          <w:tcPr>
            <w:tcW w:w="3758" w:type="dxa"/>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联系人</w:t>
            </w:r>
          </w:p>
        </w:tc>
        <w:tc>
          <w:tcPr>
            <w:tcW w:w="4016" w:type="dxa"/>
            <w:vAlign w:val="center"/>
          </w:tcPr>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时保山</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3758" w:type="dxa"/>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联系电话</w:t>
            </w:r>
          </w:p>
        </w:tc>
        <w:tc>
          <w:tcPr>
            <w:tcW w:w="4016" w:type="dxa"/>
            <w:vAlign w:val="center"/>
          </w:tcPr>
          <w:p>
            <w:pPr>
              <w:rPr>
                <w:rFonts w:hint="eastAsia" w:ascii="宋体" w:hAnsi="宋体" w:eastAsia="宋体" w:cs="宋体"/>
                <w:sz w:val="21"/>
                <w:szCs w:val="21"/>
                <w:highlight w:val="none"/>
              </w:rPr>
            </w:pPr>
            <w:bookmarkStart w:id="37" w:name="OLE_LINK39"/>
            <w:r>
              <w:rPr>
                <w:rFonts w:hint="eastAsia" w:ascii="宋体" w:hAnsi="宋体" w:eastAsia="宋体" w:cs="宋体"/>
                <w:sz w:val="21"/>
                <w:szCs w:val="21"/>
                <w:highlight w:val="none"/>
              </w:rPr>
              <w:t xml:space="preserve">13938210570 </w:t>
            </w:r>
            <w:bookmarkEnd w:id="37"/>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21</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维修服务热线</w:t>
            </w:r>
          </w:p>
        </w:tc>
        <w:tc>
          <w:tcPr>
            <w:tcW w:w="4016" w:type="dxa"/>
            <w:vAlign w:val="center"/>
          </w:tcPr>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037166707310</w:t>
            </w:r>
          </w:p>
        </w:tc>
        <w:tc>
          <w:tcPr>
            <w:tcW w:w="878" w:type="dxa"/>
            <w:vAlign w:val="center"/>
          </w:tcPr>
          <w:p>
            <w:pP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0"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22</w:t>
            </w:r>
          </w:p>
        </w:tc>
        <w:tc>
          <w:tcPr>
            <w:tcW w:w="3758"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其他承诺</w:t>
            </w:r>
          </w:p>
        </w:tc>
        <w:tc>
          <w:tcPr>
            <w:tcW w:w="4016"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无</w:t>
            </w:r>
          </w:p>
        </w:tc>
        <w:tc>
          <w:tcPr>
            <w:tcW w:w="878" w:type="dxa"/>
            <w:vAlign w:val="center"/>
          </w:tcPr>
          <w:p>
            <w:pPr>
              <w:rPr>
                <w:rFonts w:hint="eastAsia" w:ascii="宋体" w:hAnsi="宋体" w:eastAsia="宋体" w:cs="宋体"/>
                <w:sz w:val="21"/>
                <w:szCs w:val="21"/>
                <w:highlight w:val="none"/>
              </w:rPr>
            </w:pPr>
          </w:p>
        </w:tc>
      </w:tr>
    </w:tbl>
    <w:p>
      <w:pPr>
        <w:spacing w:line="360" w:lineRule="auto"/>
        <w:ind w:firstLine="315" w:firstLineChars="15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承诺公司签字（盖章）：</w:t>
      </w:r>
      <w:r>
        <w:rPr>
          <w:rFonts w:hint="eastAsia" w:ascii="宋体" w:hAnsi="宋体" w:eastAsia="宋体" w:cs="宋体"/>
          <w:b w:val="0"/>
          <w:bCs w:val="0"/>
          <w:sz w:val="21"/>
          <w:szCs w:val="21"/>
          <w:highlight w:val="none"/>
          <w:lang w:val="en-US" w:eastAsia="zh-CN"/>
        </w:rPr>
        <w:t>郑州莲石信息科技</w:t>
      </w:r>
      <w:r>
        <w:rPr>
          <w:rFonts w:hint="eastAsia" w:ascii="宋体" w:hAnsi="宋体" w:eastAsia="宋体" w:cs="宋体"/>
          <w:b w:val="0"/>
          <w:bCs w:val="0"/>
          <w:sz w:val="21"/>
          <w:szCs w:val="21"/>
          <w:highlight w:val="none"/>
        </w:rPr>
        <w:t>有限公司</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p>
    <w:p>
      <w:pPr>
        <w:spacing w:line="360" w:lineRule="auto"/>
        <w:rPr>
          <w:rFonts w:hint="eastAsia" w:ascii="宋体" w:hAnsi="宋体" w:eastAsia="宋体" w:cs="宋体"/>
          <w:b/>
          <w:sz w:val="21"/>
          <w:szCs w:val="21"/>
          <w:highlight w:val="none"/>
        </w:rPr>
      </w:pPr>
    </w:p>
    <w:p>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附件6：</w:t>
      </w:r>
    </w:p>
    <w:p>
      <w:pPr>
        <w:jc w:val="center"/>
        <w:rPr>
          <w:rFonts w:hint="eastAsia" w:ascii="宋体" w:hAnsi="宋体" w:eastAsia="宋体" w:cs="宋体"/>
          <w:bCs/>
          <w:sz w:val="21"/>
          <w:szCs w:val="21"/>
          <w:highlight w:val="none"/>
        </w:rPr>
      </w:pPr>
      <w:r>
        <w:rPr>
          <w:rFonts w:hint="eastAsia" w:ascii="宋体" w:hAnsi="宋体" w:eastAsia="宋体" w:cs="宋体"/>
          <w:color w:val="000000" w:themeColor="text1"/>
          <w:szCs w:val="21"/>
          <w14:textFill>
            <w14:solidFill>
              <w14:schemeClr w14:val="tx1"/>
            </w14:solidFill>
          </w14:textFill>
        </w:rPr>
        <w:t>豫财招标采购-2024-862</w:t>
      </w:r>
      <w:r>
        <w:rPr>
          <w:rFonts w:hint="eastAsia" w:ascii="宋体" w:hAnsi="宋体" w:eastAsia="宋体" w:cs="宋体"/>
          <w:color w:val="000000" w:themeColor="text1"/>
          <w:szCs w:val="21"/>
          <w:lang w:val="en-US" w:eastAsia="zh-CN"/>
          <w14:textFill>
            <w14:solidFill>
              <w14:schemeClr w14:val="tx1"/>
            </w14:solidFill>
          </w14:textFill>
        </w:rPr>
        <w:t>-B</w:t>
      </w:r>
      <w:r>
        <w:rPr>
          <w:rFonts w:hint="eastAsia" w:ascii="宋体" w:hAnsi="宋体" w:eastAsia="宋体" w:cs="宋体"/>
          <w:bCs/>
          <w:sz w:val="21"/>
          <w:szCs w:val="21"/>
          <w:highlight w:val="none"/>
        </w:rPr>
        <w:t>号合同安装培训计划表</w:t>
      </w:r>
    </w:p>
    <w:p>
      <w:pPr>
        <w:jc w:val="center"/>
        <w:rPr>
          <w:rFonts w:hint="eastAsia" w:ascii="宋体" w:hAnsi="宋体" w:eastAsia="宋体" w:cs="宋体"/>
          <w:bCs/>
          <w:sz w:val="21"/>
          <w:szCs w:val="21"/>
          <w:highlight w:val="none"/>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2126"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w:t>
            </w:r>
          </w:p>
        </w:tc>
        <w:tc>
          <w:tcPr>
            <w:tcW w:w="6407" w:type="dxa"/>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89"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w:t>
            </w:r>
          </w:p>
        </w:tc>
        <w:tc>
          <w:tcPr>
            <w:tcW w:w="2126"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培训所要达到的目标</w:t>
            </w:r>
          </w:p>
        </w:tc>
        <w:tc>
          <w:tcPr>
            <w:tcW w:w="6407" w:type="dxa"/>
            <w:vAlign w:val="center"/>
          </w:tcPr>
          <w:p>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用户掌握系统维护、使用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89"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二</w:t>
            </w:r>
          </w:p>
        </w:tc>
        <w:tc>
          <w:tcPr>
            <w:tcW w:w="2126"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培训内容</w:t>
            </w:r>
          </w:p>
        </w:tc>
        <w:tc>
          <w:tcPr>
            <w:tcW w:w="6407" w:type="dxa"/>
            <w:vAlign w:val="center"/>
          </w:tcPr>
          <w:p>
            <w:pPr>
              <w:pStyle w:val="18"/>
              <w:autoSpaceDE/>
              <w:autoSpaceDN/>
              <w:spacing w:before="0" w:after="156" w:afterLines="50" w:line="240" w:lineRule="auto"/>
              <w:ind w:left="0" w:leftChars="0" w:firstLine="0" w:firstLineChars="0"/>
              <w:jc w:val="both"/>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系统使用方法和技巧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89"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三</w:t>
            </w:r>
          </w:p>
        </w:tc>
        <w:tc>
          <w:tcPr>
            <w:tcW w:w="2126"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培训标准</w:t>
            </w:r>
          </w:p>
        </w:tc>
        <w:tc>
          <w:tcPr>
            <w:tcW w:w="6407" w:type="dxa"/>
            <w:vAlign w:val="center"/>
          </w:tcPr>
          <w:p>
            <w:pPr>
              <w:spacing w:after="156" w:afterLines="5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正常标准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89"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四</w:t>
            </w:r>
          </w:p>
        </w:tc>
        <w:tc>
          <w:tcPr>
            <w:tcW w:w="2126"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培训时间</w:t>
            </w:r>
          </w:p>
        </w:tc>
        <w:tc>
          <w:tcPr>
            <w:tcW w:w="6407"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由客户确定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89"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五</w:t>
            </w:r>
          </w:p>
        </w:tc>
        <w:tc>
          <w:tcPr>
            <w:tcW w:w="2126"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培训人数</w:t>
            </w:r>
          </w:p>
        </w:tc>
        <w:tc>
          <w:tcPr>
            <w:tcW w:w="6407"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由客户确定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89"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六</w:t>
            </w:r>
          </w:p>
        </w:tc>
        <w:tc>
          <w:tcPr>
            <w:tcW w:w="2126"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培训费用</w:t>
            </w:r>
          </w:p>
        </w:tc>
        <w:tc>
          <w:tcPr>
            <w:tcW w:w="6407"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89"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七</w:t>
            </w:r>
          </w:p>
        </w:tc>
        <w:tc>
          <w:tcPr>
            <w:tcW w:w="2126"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培训地点</w:t>
            </w:r>
          </w:p>
        </w:tc>
        <w:tc>
          <w:tcPr>
            <w:tcW w:w="6407" w:type="dxa"/>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用户现场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89"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八</w:t>
            </w:r>
          </w:p>
        </w:tc>
        <w:tc>
          <w:tcPr>
            <w:tcW w:w="2126"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其他优惠政策</w:t>
            </w:r>
          </w:p>
        </w:tc>
        <w:tc>
          <w:tcPr>
            <w:tcW w:w="6407" w:type="dxa"/>
            <w:vAlign w:val="center"/>
          </w:tcPr>
          <w:p>
            <w:pPr>
              <w:spacing w:line="40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无</w:t>
            </w:r>
          </w:p>
        </w:tc>
      </w:tr>
    </w:tbl>
    <w:p>
      <w:pPr>
        <w:spacing w:line="360" w:lineRule="auto"/>
        <w:rPr>
          <w:rFonts w:hint="eastAsia" w:ascii="宋体" w:hAnsi="宋体" w:eastAsia="宋体" w:cs="宋体"/>
          <w:b w:val="0"/>
          <w:bCs w:val="0"/>
          <w:sz w:val="21"/>
          <w:szCs w:val="21"/>
          <w:highlight w:val="none"/>
        </w:rPr>
      </w:pPr>
      <w:r>
        <w:rPr>
          <w:rFonts w:hint="eastAsia" w:ascii="宋体" w:hAnsi="宋体" w:eastAsia="宋体" w:cs="宋体"/>
          <w:sz w:val="21"/>
          <w:szCs w:val="21"/>
          <w:highlight w:val="none"/>
        </w:rPr>
        <w:t>承诺公司签字（盖章）：</w:t>
      </w:r>
      <w:r>
        <w:rPr>
          <w:rFonts w:hint="eastAsia" w:ascii="宋体" w:hAnsi="宋体" w:eastAsia="宋体" w:cs="宋体"/>
          <w:b w:val="0"/>
          <w:bCs w:val="0"/>
          <w:sz w:val="21"/>
          <w:szCs w:val="21"/>
          <w:highlight w:val="none"/>
        </w:rPr>
        <w:t xml:space="preserve"> </w:t>
      </w:r>
      <w:r>
        <w:rPr>
          <w:rFonts w:hint="eastAsia" w:ascii="宋体" w:hAnsi="宋体" w:eastAsia="宋体" w:cs="宋体"/>
          <w:b w:val="0"/>
          <w:bCs w:val="0"/>
          <w:sz w:val="21"/>
          <w:szCs w:val="21"/>
          <w:highlight w:val="none"/>
          <w:lang w:val="en-US" w:eastAsia="zh-CN"/>
        </w:rPr>
        <w:t>郑州莲石信息科技</w:t>
      </w:r>
      <w:r>
        <w:rPr>
          <w:rFonts w:hint="eastAsia" w:ascii="宋体" w:hAnsi="宋体" w:eastAsia="宋体" w:cs="宋体"/>
          <w:b w:val="0"/>
          <w:bCs w:val="0"/>
          <w:sz w:val="21"/>
          <w:szCs w:val="21"/>
          <w:highlight w:val="none"/>
        </w:rPr>
        <w:t>有限公司</w:t>
      </w:r>
    </w:p>
    <w:p>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 xml:space="preserve">联 系 人： </w:t>
      </w:r>
      <w:r>
        <w:rPr>
          <w:rFonts w:hint="eastAsia" w:ascii="宋体" w:hAnsi="宋体" w:eastAsia="宋体" w:cs="宋体"/>
          <w:sz w:val="21"/>
          <w:szCs w:val="21"/>
          <w:highlight w:val="none"/>
          <w:lang w:val="en-US" w:eastAsia="zh-CN"/>
        </w:rPr>
        <w:t>时保山</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联系电话： 13938210570 </w:t>
      </w:r>
    </w:p>
    <w:p>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 xml:space="preserve">维修服务热线： </w:t>
      </w:r>
      <w:r>
        <w:rPr>
          <w:rFonts w:hint="eastAsia" w:ascii="宋体" w:hAnsi="宋体" w:eastAsia="宋体" w:cs="宋体"/>
          <w:sz w:val="21"/>
          <w:szCs w:val="21"/>
          <w:highlight w:val="none"/>
          <w:lang w:val="en-US" w:eastAsia="zh-CN"/>
        </w:rPr>
        <w:t>0371-66707310</w:t>
      </w: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附件7：              产品制造商售后服务承诺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u w:val="single"/>
          <w:lang w:val="en-US" w:eastAsia="zh-CN"/>
        </w:rPr>
      </w:pPr>
      <w:r>
        <w:rPr>
          <w:rFonts w:hint="eastAsia" w:ascii="宋体" w:hAnsi="宋体" w:eastAsia="宋体" w:cs="宋体"/>
          <w:sz w:val="21"/>
          <w:szCs w:val="21"/>
        </w:rPr>
        <w:t>致：</w:t>
      </w:r>
      <w:r>
        <w:rPr>
          <w:rFonts w:hint="eastAsia" w:ascii="宋体" w:hAnsi="宋体" w:eastAsia="宋体" w:cs="宋体"/>
          <w:sz w:val="21"/>
          <w:szCs w:val="21"/>
          <w:u w:val="single"/>
        </w:rPr>
        <w:t xml:space="preserve"> </w:t>
      </w:r>
      <w:r>
        <w:rPr>
          <w:rFonts w:hint="eastAsia" w:ascii="宋体" w:hAnsi="宋体" w:eastAsia="宋体" w:cs="宋体"/>
          <w:color w:val="000000" w:themeColor="text1"/>
          <w:kern w:val="0"/>
          <w:sz w:val="21"/>
          <w:szCs w:val="21"/>
          <w:highlight w:val="none"/>
          <w:u w:val="single"/>
          <w:lang w:val="zh-CN"/>
          <w14:textFill>
            <w14:solidFill>
              <w14:schemeClr w14:val="tx1"/>
            </w14:solidFill>
          </w14:textFill>
        </w:rPr>
        <w:t>河南中医药大学</w:t>
      </w:r>
      <w:r>
        <w:rPr>
          <w:rFonts w:hint="eastAsia" w:ascii="宋体" w:hAnsi="宋体" w:eastAsia="宋体" w:cs="宋体"/>
          <w:sz w:val="21"/>
          <w:szCs w:val="21"/>
          <w:u w:val="single"/>
        </w:rPr>
        <w:t xml:space="preserve"> </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对本项目，我公司承诺售后服务如下：</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一、我公司承诺为本项目建立健全的售后服务体系，提供完善的售后服务</w:t>
      </w:r>
      <w:r>
        <w:rPr>
          <w:rFonts w:hint="eastAsia" w:ascii="宋体" w:hAnsi="宋体" w:eastAsia="宋体" w:cs="宋体"/>
          <w:sz w:val="21"/>
          <w:szCs w:val="21"/>
          <w:lang w:val="en-US" w:eastAsia="zh-CN"/>
        </w:rPr>
        <w:t>内容</w:t>
      </w:r>
      <w:r>
        <w:rPr>
          <w:rFonts w:hint="eastAsia" w:ascii="宋体" w:hAnsi="宋体" w:eastAsia="宋体" w:cs="宋体"/>
          <w:sz w:val="21"/>
          <w:szCs w:val="21"/>
        </w:rPr>
        <w:t>，确保系统正常运行。</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二、我公司承诺本项目的售后服务期限为自项目验收合格之日起</w:t>
      </w:r>
      <w:r>
        <w:rPr>
          <w:rFonts w:hint="eastAsia" w:ascii="宋体" w:hAnsi="宋体" w:eastAsia="宋体" w:cs="宋体"/>
          <w:color w:val="auto"/>
          <w:sz w:val="21"/>
          <w:szCs w:val="21"/>
          <w:lang w:val="en-US" w:eastAsia="zh-CN"/>
        </w:rPr>
        <w:t>5</w:t>
      </w:r>
      <w:r>
        <w:rPr>
          <w:rFonts w:hint="eastAsia" w:ascii="宋体" w:hAnsi="宋体" w:eastAsia="宋体" w:cs="宋体"/>
          <w:sz w:val="21"/>
          <w:szCs w:val="21"/>
        </w:rPr>
        <w:t>年，售后服务包含以下内容：</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（1）我公司承诺定期对系统的软件</w:t>
      </w:r>
      <w:r>
        <w:rPr>
          <w:rFonts w:hint="eastAsia" w:ascii="宋体" w:hAnsi="宋体" w:eastAsia="宋体" w:cs="宋体"/>
          <w:sz w:val="21"/>
          <w:szCs w:val="21"/>
          <w:lang w:val="en-US" w:eastAsia="zh-CN"/>
        </w:rPr>
        <w:t>运行情况</w:t>
      </w:r>
      <w:r>
        <w:rPr>
          <w:rFonts w:hint="eastAsia" w:ascii="宋体" w:hAnsi="宋体" w:eastAsia="宋体" w:cs="宋体"/>
          <w:sz w:val="21"/>
          <w:szCs w:val="21"/>
        </w:rPr>
        <w:t>进行检测，发现故障，排除隐患，提出改进</w:t>
      </w:r>
      <w:r>
        <w:rPr>
          <w:rFonts w:hint="eastAsia" w:ascii="宋体" w:hAnsi="宋体" w:eastAsia="宋体" w:cs="宋体"/>
          <w:sz w:val="21"/>
          <w:szCs w:val="21"/>
          <w:lang w:val="en-US" w:eastAsia="zh-CN"/>
        </w:rPr>
        <w:t>建议</w:t>
      </w:r>
      <w:r>
        <w:rPr>
          <w:rFonts w:hint="eastAsia" w:ascii="宋体" w:hAnsi="宋体" w:eastAsia="宋体" w:cs="宋体"/>
          <w:sz w:val="21"/>
          <w:szCs w:val="21"/>
          <w:lang w:eastAsia="zh-CN"/>
        </w:rPr>
        <w:t>。</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）质保期内，自接到用户报修后，</w:t>
      </w:r>
      <w:r>
        <w:rPr>
          <w:rFonts w:hint="eastAsia" w:ascii="宋体" w:hAnsi="宋体" w:eastAsia="宋体" w:cs="宋体"/>
          <w:sz w:val="21"/>
          <w:szCs w:val="21"/>
          <w:lang w:val="en-US" w:eastAsia="zh-CN"/>
        </w:rPr>
        <w:t>15</w:t>
      </w:r>
      <w:r>
        <w:rPr>
          <w:rFonts w:hint="eastAsia" w:ascii="宋体" w:hAnsi="宋体" w:eastAsia="宋体" w:cs="宋体"/>
          <w:sz w:val="21"/>
          <w:szCs w:val="21"/>
        </w:rPr>
        <w:t>分钟内响应，</w:t>
      </w:r>
      <w:r>
        <w:rPr>
          <w:rFonts w:hint="eastAsia" w:ascii="宋体" w:hAnsi="宋体" w:eastAsia="宋体" w:cs="宋体"/>
          <w:sz w:val="21"/>
          <w:szCs w:val="21"/>
          <w:lang w:val="en-US" w:eastAsia="zh-CN"/>
        </w:rPr>
        <w:t>1</w:t>
      </w:r>
      <w:r>
        <w:rPr>
          <w:rFonts w:hint="eastAsia" w:ascii="宋体" w:hAnsi="宋体" w:eastAsia="宋体" w:cs="宋体"/>
          <w:sz w:val="21"/>
          <w:szCs w:val="21"/>
        </w:rPr>
        <w:t>小时内到达用户现场并解决问题，如不能及时解决问题要提供备份还原服务；在质量保证期内,凡因正常使用出现的质量问题，我公司将提供免费系统升级。</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）安装调试：我公司中标后派出技术人员到最终用户现场免费安装调试。</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4</w:t>
      </w:r>
      <w:r>
        <w:rPr>
          <w:rFonts w:hint="eastAsia" w:ascii="宋体" w:hAnsi="宋体" w:eastAsia="宋体" w:cs="宋体"/>
          <w:sz w:val="21"/>
          <w:szCs w:val="21"/>
        </w:rPr>
        <w:t>）技术培训：我公司在</w:t>
      </w:r>
      <w:r>
        <w:rPr>
          <w:rFonts w:hint="eastAsia" w:ascii="宋体" w:hAnsi="宋体" w:eastAsia="宋体" w:cs="宋体"/>
          <w:sz w:val="21"/>
          <w:szCs w:val="21"/>
          <w:lang w:val="en-US" w:eastAsia="zh-CN"/>
        </w:rPr>
        <w:t>客户</w:t>
      </w:r>
      <w:r>
        <w:rPr>
          <w:rFonts w:hint="eastAsia" w:ascii="宋体" w:hAnsi="宋体" w:eastAsia="宋体" w:cs="宋体"/>
          <w:sz w:val="21"/>
          <w:szCs w:val="21"/>
        </w:rPr>
        <w:t>现场免费为</w:t>
      </w:r>
      <w:r>
        <w:rPr>
          <w:rFonts w:hint="eastAsia" w:ascii="宋体" w:hAnsi="宋体" w:eastAsia="宋体" w:cs="宋体"/>
          <w:sz w:val="21"/>
          <w:szCs w:val="21"/>
          <w:lang w:val="en-US" w:eastAsia="zh-CN"/>
        </w:rPr>
        <w:t>客户</w:t>
      </w:r>
      <w:r>
        <w:rPr>
          <w:rFonts w:hint="eastAsia" w:ascii="宋体" w:hAnsi="宋体" w:eastAsia="宋体" w:cs="宋体"/>
          <w:sz w:val="21"/>
          <w:szCs w:val="21"/>
        </w:rPr>
        <w:t>培训1-2名技术人员，使</w:t>
      </w:r>
      <w:r>
        <w:rPr>
          <w:rFonts w:hint="eastAsia" w:ascii="宋体" w:hAnsi="宋体" w:eastAsia="宋体" w:cs="宋体"/>
          <w:sz w:val="21"/>
          <w:szCs w:val="21"/>
          <w:lang w:val="en-US" w:eastAsia="zh-CN"/>
        </w:rPr>
        <w:t>被</w:t>
      </w:r>
      <w:r>
        <w:rPr>
          <w:rFonts w:hint="eastAsia" w:ascii="宋体" w:hAnsi="宋体" w:eastAsia="宋体" w:cs="宋体"/>
          <w:sz w:val="21"/>
          <w:szCs w:val="21"/>
        </w:rPr>
        <w:t>培训人员达到熟练掌握、灵活应用的程度；被培训者要能依据操作的基本规则对产品进行正常工作使用条件下的独立操作。对于有可能遇到的特殊工作使用条件和任务，我公司在培训期间会将这部分内容进行强调说明。</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）售后</w:t>
      </w:r>
      <w:r>
        <w:rPr>
          <w:rFonts w:hint="eastAsia" w:ascii="宋体" w:hAnsi="宋体" w:eastAsia="宋体" w:cs="宋体"/>
          <w:sz w:val="21"/>
          <w:szCs w:val="21"/>
          <w:lang w:val="en-US" w:eastAsia="zh-CN"/>
        </w:rPr>
        <w:t>服务</w:t>
      </w:r>
      <w:r>
        <w:rPr>
          <w:rFonts w:hint="eastAsia" w:ascii="宋体" w:hAnsi="宋体" w:eastAsia="宋体" w:cs="宋体"/>
          <w:sz w:val="21"/>
          <w:szCs w:val="21"/>
        </w:rPr>
        <w:t>方式：</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提供</w:t>
      </w:r>
      <w:bookmarkStart w:id="38" w:name="_Hlk79047000"/>
      <w:r>
        <w:rPr>
          <w:rFonts w:hint="eastAsia" w:ascii="宋体" w:hAnsi="宋体" w:eastAsia="宋体" w:cs="宋体"/>
          <w:sz w:val="21"/>
          <w:szCs w:val="21"/>
        </w:rPr>
        <w:t>7×24小时</w:t>
      </w:r>
      <w:bookmarkEnd w:id="38"/>
      <w:r>
        <w:rPr>
          <w:rFonts w:hint="eastAsia" w:ascii="宋体" w:hAnsi="宋体" w:eastAsia="宋体" w:cs="宋体"/>
          <w:sz w:val="21"/>
          <w:szCs w:val="21"/>
        </w:rPr>
        <w:t>热线服务；提供INTERNET远程技术支持服务；远程软件升级与更新服务；</w:t>
      </w:r>
      <w:r>
        <w:rPr>
          <w:rFonts w:hint="eastAsia" w:ascii="宋体" w:hAnsi="宋体" w:eastAsia="宋体" w:cs="宋体"/>
          <w:sz w:val="21"/>
          <w:szCs w:val="21"/>
          <w:lang w:val="en-US" w:eastAsia="zh-CN"/>
        </w:rPr>
        <w:t>现场支持服务</w:t>
      </w:r>
      <w:r>
        <w:rPr>
          <w:rFonts w:hint="eastAsia" w:ascii="宋体" w:hAnsi="宋体" w:eastAsia="宋体" w:cs="宋体"/>
          <w:sz w:val="21"/>
          <w:szCs w:val="21"/>
        </w:rPr>
        <w:t>等。</w:t>
      </w:r>
    </w:p>
    <w:p>
      <w:pPr>
        <w:pStyle w:val="19"/>
        <w:keepNext w:val="0"/>
        <w:keepLines w:val="0"/>
        <w:pageBreakBefore w:val="0"/>
        <w:widowControl w:val="0"/>
        <w:numPr>
          <w:ilvl w:val="0"/>
          <w:numId w:val="5"/>
        </w:numPr>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服</w:t>
      </w:r>
      <w:r>
        <w:rPr>
          <w:rFonts w:hint="eastAsia" w:ascii="宋体" w:hAnsi="宋体" w:eastAsia="宋体" w:cs="宋体"/>
          <w:sz w:val="21"/>
          <w:szCs w:val="21"/>
        </w:rPr>
        <w:t>务期结束后，仍负责售后服务，与客户协调每年收取合理费用。响应时间不超过</w:t>
      </w:r>
      <w:r>
        <w:rPr>
          <w:rFonts w:hint="eastAsia" w:ascii="宋体" w:hAnsi="宋体" w:eastAsia="宋体" w:cs="宋体"/>
          <w:sz w:val="21"/>
          <w:szCs w:val="21"/>
          <w:lang w:val="en-US" w:eastAsia="zh-CN"/>
        </w:rPr>
        <w:t>15</w:t>
      </w:r>
      <w:r>
        <w:rPr>
          <w:rFonts w:hint="eastAsia" w:ascii="宋体" w:hAnsi="宋体" w:eastAsia="宋体" w:cs="宋体"/>
          <w:sz w:val="21"/>
          <w:szCs w:val="21"/>
        </w:rPr>
        <w:t>分钟，解决问题时间不超过</w:t>
      </w:r>
      <w:r>
        <w:rPr>
          <w:rFonts w:hint="eastAsia" w:ascii="宋体" w:hAnsi="宋体" w:eastAsia="宋体" w:cs="宋体"/>
          <w:sz w:val="21"/>
          <w:szCs w:val="21"/>
          <w:lang w:val="en-US" w:eastAsia="zh-CN"/>
        </w:rPr>
        <w:t>2</w:t>
      </w:r>
      <w:r>
        <w:rPr>
          <w:rFonts w:hint="eastAsia" w:ascii="宋体" w:hAnsi="宋体" w:eastAsia="宋体" w:cs="宋体"/>
          <w:sz w:val="21"/>
          <w:szCs w:val="21"/>
        </w:rPr>
        <w:t>小时。</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sz w:val="21"/>
          <w:szCs w:val="21"/>
        </w:rPr>
      </w:pP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供应商名称(盖单位章)：</w:t>
      </w:r>
      <w:r>
        <w:rPr>
          <w:rFonts w:hint="eastAsia" w:ascii="宋体" w:hAnsi="宋体" w:eastAsia="宋体" w:cs="宋体"/>
          <w:sz w:val="21"/>
          <w:szCs w:val="21"/>
          <w:u w:val="single"/>
        </w:rPr>
        <w:t>郑州莲石信息科技有限公司</w:t>
      </w: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br w:type="page"/>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2" w:firstLineChars="200"/>
        <w:textAlignment w:val="auto"/>
        <w:rPr>
          <w:rFonts w:hint="eastAsia" w:ascii="宋体" w:hAnsi="宋体" w:eastAsia="宋体" w:cs="宋体"/>
          <w:sz w:val="21"/>
          <w:szCs w:val="21"/>
        </w:rPr>
      </w:pPr>
      <w:r>
        <w:rPr>
          <w:rFonts w:hint="eastAsia" w:ascii="宋体" w:hAnsi="宋体" w:eastAsia="宋体" w:cs="宋体"/>
          <w:b/>
          <w:bCs/>
          <w:sz w:val="21"/>
          <w:szCs w:val="21"/>
        </w:rPr>
        <w:t>附件</w:t>
      </w:r>
      <w:r>
        <w:rPr>
          <w:rFonts w:hint="eastAsia" w:ascii="宋体" w:hAnsi="宋体" w:eastAsia="宋体" w:cs="宋体"/>
          <w:b/>
          <w:bCs/>
          <w:sz w:val="21"/>
          <w:szCs w:val="21"/>
          <w:lang w:val="en-US" w:eastAsia="zh-CN"/>
        </w:rPr>
        <w:t>8</w:t>
      </w:r>
      <w:r>
        <w:rPr>
          <w:rFonts w:hint="eastAsia" w:ascii="宋体" w:hAnsi="宋体" w:eastAsia="宋体" w:cs="宋体"/>
          <w:b/>
          <w:bCs/>
          <w:sz w:val="21"/>
          <w:szCs w:val="21"/>
        </w:rPr>
        <w:t xml:space="preserve">：              </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数据保密协议</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本协议适用于</w:t>
      </w:r>
      <w:r>
        <w:rPr>
          <w:rFonts w:hint="eastAsia" w:ascii="宋体" w:hAnsi="宋体" w:eastAsia="宋体" w:cs="宋体"/>
          <w:sz w:val="21"/>
          <w:szCs w:val="21"/>
          <w:lang w:val="en-US" w:eastAsia="zh-CN"/>
        </w:rPr>
        <w:t>河南中医药大学</w:t>
      </w:r>
      <w:r>
        <w:rPr>
          <w:rFonts w:hint="eastAsia" w:ascii="宋体" w:hAnsi="宋体" w:eastAsia="宋体" w:cs="宋体"/>
          <w:sz w:val="21"/>
          <w:szCs w:val="21"/>
        </w:rPr>
        <w:t>校内各单位与校外信息服务提供方。</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第一条 乙方必须严格遵守</w:t>
      </w:r>
      <w:r>
        <w:rPr>
          <w:rFonts w:hint="eastAsia" w:ascii="宋体" w:hAnsi="宋体" w:eastAsia="宋体" w:cs="宋体"/>
          <w:sz w:val="21"/>
          <w:szCs w:val="21"/>
          <w:lang w:val="en-US" w:eastAsia="zh-CN"/>
        </w:rPr>
        <w:t>学校</w:t>
      </w:r>
      <w:r>
        <w:rPr>
          <w:rFonts w:hint="eastAsia" w:ascii="宋体" w:hAnsi="宋体" w:eastAsia="宋体" w:cs="宋体"/>
          <w:sz w:val="21"/>
          <w:szCs w:val="21"/>
        </w:rPr>
        <w:t>相关管理规定，合理、规范、安全地使用计算机、网络、数据和信息资源。乙方承诺在管理、 开发、实施项目的过程中，视所接触到的资料、数据和项目信息为保密内容，承担保密责任。</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第二条 来源于</w:t>
      </w:r>
      <w:r>
        <w:rPr>
          <w:rFonts w:hint="eastAsia" w:ascii="宋体" w:hAnsi="宋体" w:eastAsia="宋体" w:cs="宋体"/>
          <w:sz w:val="21"/>
          <w:szCs w:val="21"/>
          <w:lang w:val="en-US" w:eastAsia="zh-CN"/>
        </w:rPr>
        <w:t>学校</w:t>
      </w:r>
      <w:r>
        <w:rPr>
          <w:rFonts w:hint="eastAsia" w:ascii="宋体" w:hAnsi="宋体" w:eastAsia="宋体" w:cs="宋体"/>
          <w:sz w:val="21"/>
          <w:szCs w:val="21"/>
        </w:rPr>
        <w:t>的所有资料、数据和项目信息， 包括但不限于教职工、学生个人身份信息、</w:t>
      </w:r>
      <w:r>
        <w:rPr>
          <w:rFonts w:hint="eastAsia" w:ascii="宋体" w:hAnsi="宋体" w:eastAsia="宋体" w:cs="宋体"/>
          <w:sz w:val="21"/>
          <w:szCs w:val="21"/>
          <w:lang w:val="en-US" w:eastAsia="zh-CN"/>
        </w:rPr>
        <w:t>学校</w:t>
      </w:r>
      <w:r>
        <w:rPr>
          <w:rFonts w:hint="eastAsia" w:ascii="宋体" w:hAnsi="宋体" w:eastAsia="宋体" w:cs="宋体"/>
          <w:sz w:val="21"/>
          <w:szCs w:val="21"/>
        </w:rPr>
        <w:t>组织架构信息、教学、科研、管理、服务等相关业务信息，以及项目建设内部文件、建设规划和建设方案资料。</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第三条 乙方未经</w:t>
      </w:r>
      <w:r>
        <w:rPr>
          <w:rFonts w:hint="eastAsia" w:ascii="宋体" w:hAnsi="宋体" w:eastAsia="宋体" w:cs="宋体"/>
          <w:sz w:val="21"/>
          <w:szCs w:val="21"/>
          <w:lang w:val="en-US" w:eastAsia="zh-CN"/>
        </w:rPr>
        <w:t>学校</w:t>
      </w:r>
      <w:r>
        <w:rPr>
          <w:rFonts w:hint="eastAsia" w:ascii="宋体" w:hAnsi="宋体" w:eastAsia="宋体" w:cs="宋体"/>
          <w:sz w:val="21"/>
          <w:szCs w:val="21"/>
        </w:rPr>
        <w:t>允许，不得访问、删除、修改、增加、复制、备份、摄录、摘抄、打印数据和资料，不擅</w:t>
      </w:r>
      <w:r>
        <w:rPr>
          <w:rFonts w:hint="eastAsia" w:ascii="宋体" w:hAnsi="宋体" w:eastAsia="宋体" w:cs="宋体"/>
          <w:sz w:val="21"/>
          <w:szCs w:val="21"/>
          <w:lang w:val="en-US" w:eastAsia="zh-CN"/>
        </w:rPr>
        <w:t>自</w:t>
      </w:r>
      <w:r>
        <w:rPr>
          <w:rFonts w:hint="eastAsia" w:ascii="宋体" w:hAnsi="宋体" w:eastAsia="宋体" w:cs="宋体"/>
          <w:sz w:val="21"/>
          <w:szCs w:val="21"/>
        </w:rPr>
        <w:t>传播保密信息。</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第四条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乙方保存数据、资料的存储介质(云盘、U盘、终端存储等)不可交由其他人使用，或作其它用途，必须妥善保管，严防丢失。</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第五条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乙方未经允许，不得进行影响系统运行的操作，如关闭主机(设备)、关闭关键服务、大量数据查询、修改数据库、修改系统配置等。</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第六条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乙方对自己使用及管理的账号，要做到实人使用，且必须加强密码管理，要求管理员账号使用字符、数字、符号组合的复杂密码，长度不小于8位，口令30天定期更换。</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第七条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存有保密信息的介质(硬盘、U盘、磁盘、闪存、光盘等)如需送到单位外维修时，要将涉密资料备份后，对介质进行技术处理(如低级格式化、写零处理等),以防泄密。</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第八条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乙方在承担项目工作完成以后，不得保留保密信息的副本,一切关于保密信息的资料销毁或返还信息提供部门，保证信息不会外流；乙方承诺若中途不再从事项目有关工作，仍对保密信息承担保密责任。</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第九条</w:t>
      </w:r>
      <w:r>
        <w:rPr>
          <w:rFonts w:hint="eastAsia" w:ascii="宋体" w:hAnsi="宋体" w:eastAsia="宋体" w:cs="宋体"/>
          <w:sz w:val="21"/>
          <w:szCs w:val="21"/>
          <w:lang w:val="en-US" w:eastAsia="zh-CN"/>
        </w:rPr>
        <w:t xml:space="preserve"> 乙方</w:t>
      </w:r>
      <w:r>
        <w:rPr>
          <w:rFonts w:hint="eastAsia" w:ascii="宋体" w:hAnsi="宋体" w:eastAsia="宋体" w:cs="宋体"/>
          <w:sz w:val="21"/>
          <w:szCs w:val="21"/>
        </w:rPr>
        <w:t>若违反本承诺书内容，一经发现，</w:t>
      </w:r>
      <w:r>
        <w:rPr>
          <w:rFonts w:hint="eastAsia" w:ascii="宋体" w:hAnsi="宋体" w:eastAsia="宋体" w:cs="宋体"/>
          <w:sz w:val="21"/>
          <w:szCs w:val="21"/>
          <w:lang w:val="en-US" w:eastAsia="zh-CN"/>
        </w:rPr>
        <w:t>校方</w:t>
      </w:r>
      <w:r>
        <w:rPr>
          <w:rFonts w:hint="eastAsia" w:ascii="宋体" w:hAnsi="宋体" w:eastAsia="宋体" w:cs="宋体"/>
          <w:sz w:val="21"/>
          <w:szCs w:val="21"/>
        </w:rPr>
        <w:t>可视行为严重程度进行行政处分或经济处罚。后果严重者，</w:t>
      </w:r>
      <w:r>
        <w:rPr>
          <w:rFonts w:hint="eastAsia" w:ascii="宋体" w:hAnsi="宋体" w:eastAsia="宋体" w:cs="宋体"/>
          <w:sz w:val="21"/>
          <w:szCs w:val="21"/>
          <w:lang w:val="en-US" w:eastAsia="zh-CN"/>
        </w:rPr>
        <w:t>校方</w:t>
      </w:r>
      <w:r>
        <w:rPr>
          <w:rFonts w:hint="eastAsia" w:ascii="宋体" w:hAnsi="宋体" w:eastAsia="宋体" w:cs="宋体"/>
          <w:sz w:val="21"/>
          <w:szCs w:val="21"/>
        </w:rPr>
        <w:t>将通过法律途径向乙方索赔，或向司法机关报案处理。</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第十条</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乙方的保密义务自本协议盖章之日起开始生效，至保密信息公开或被公众知悉时止。乙方的保密义务并不因双方合作关系的解除而免除。</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第十一条 凡与</w:t>
      </w:r>
      <w:r>
        <w:rPr>
          <w:rFonts w:hint="eastAsia" w:ascii="宋体" w:hAnsi="宋体" w:eastAsia="宋体" w:cs="宋体"/>
          <w:sz w:val="21"/>
          <w:szCs w:val="21"/>
          <w:lang w:val="en-US" w:eastAsia="zh-CN"/>
        </w:rPr>
        <w:t>校方</w:t>
      </w:r>
      <w:r>
        <w:rPr>
          <w:rFonts w:hint="eastAsia" w:ascii="宋体" w:hAnsi="宋体" w:eastAsia="宋体" w:cs="宋体"/>
          <w:sz w:val="21"/>
          <w:szCs w:val="21"/>
        </w:rPr>
        <w:t>发生的相关涉及数据安全的业务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包括使用的APP，小程序，企业微信，PC端系统平台等）</w:t>
      </w:r>
      <w:r>
        <w:rPr>
          <w:rFonts w:hint="eastAsia" w:ascii="宋体" w:hAnsi="宋体" w:eastAsia="宋体" w:cs="宋体"/>
          <w:sz w:val="21"/>
          <w:szCs w:val="21"/>
        </w:rPr>
        <w:t>，均须签订本责任书。</w:t>
      </w: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eastAsia="宋体" w:cs="宋体"/>
          <w:b/>
          <w:sz w:val="21"/>
          <w:szCs w:val="21"/>
          <w:highlight w:val="none"/>
        </w:rPr>
        <w:t>乙方 (盖章)</w:t>
      </w:r>
      <w:r>
        <w:rPr>
          <w:rFonts w:hint="eastAsia" w:ascii="宋体" w:hAnsi="宋体" w:eastAsia="宋体" w:cs="宋体"/>
          <w:sz w:val="21"/>
          <w:szCs w:val="21"/>
        </w:rPr>
        <w:t>：</w:t>
      </w:r>
      <w:r>
        <w:rPr>
          <w:rFonts w:hint="eastAsia" w:ascii="宋体" w:hAnsi="宋体" w:eastAsia="宋体" w:cs="宋体"/>
          <w:sz w:val="21"/>
          <w:szCs w:val="21"/>
          <w:u w:val="single"/>
        </w:rPr>
        <w:t>郑州莲石信息科技有限公司</w:t>
      </w:r>
    </w:p>
    <w:p>
      <w:pPr>
        <w:rPr>
          <w:rFonts w:hint="eastAsia" w:ascii="宋体" w:hAnsi="宋体" w:eastAsia="宋体" w:cs="宋体"/>
          <w:sz w:val="21"/>
          <w:szCs w:val="21"/>
        </w:rPr>
      </w:pPr>
    </w:p>
    <w:sectPr>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1354D0"/>
    <w:multiLevelType w:val="singleLevel"/>
    <w:tmpl w:val="B81354D0"/>
    <w:lvl w:ilvl="0" w:tentative="0">
      <w:start w:val="16"/>
      <w:numFmt w:val="decimal"/>
      <w:lvlText w:val="%1."/>
      <w:lvlJc w:val="left"/>
      <w:pPr>
        <w:tabs>
          <w:tab w:val="left" w:pos="312"/>
        </w:tabs>
      </w:pPr>
    </w:lvl>
  </w:abstractNum>
  <w:abstractNum w:abstractNumId="1">
    <w:nsid w:val="11B83184"/>
    <w:multiLevelType w:val="singleLevel"/>
    <w:tmpl w:val="11B83184"/>
    <w:lvl w:ilvl="0" w:tentative="0">
      <w:start w:val="19"/>
      <w:numFmt w:val="decimal"/>
      <w:lvlText w:val="%1."/>
      <w:lvlJc w:val="left"/>
      <w:pPr>
        <w:tabs>
          <w:tab w:val="left" w:pos="312"/>
        </w:tabs>
      </w:pPr>
    </w:lvl>
  </w:abstractNum>
  <w:abstractNum w:abstractNumId="2">
    <w:nsid w:val="12056514"/>
    <w:multiLevelType w:val="singleLevel"/>
    <w:tmpl w:val="12056514"/>
    <w:lvl w:ilvl="0" w:tentative="0">
      <w:start w:val="25"/>
      <w:numFmt w:val="decimal"/>
      <w:lvlText w:val="%1."/>
      <w:lvlJc w:val="left"/>
      <w:pPr>
        <w:tabs>
          <w:tab w:val="left" w:pos="312"/>
        </w:tabs>
      </w:pPr>
    </w:lvl>
  </w:abstractNum>
  <w:abstractNum w:abstractNumId="3">
    <w:nsid w:val="488E76F0"/>
    <w:multiLevelType w:val="multilevel"/>
    <w:tmpl w:val="488E76F0"/>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5291CF16"/>
    <w:multiLevelType w:val="singleLevel"/>
    <w:tmpl w:val="5291CF16"/>
    <w:lvl w:ilvl="0" w:tentative="0">
      <w:start w:val="6"/>
      <w:numFmt w:val="decimal"/>
      <w:suff w:val="nothing"/>
      <w:lvlText w:val="（%1）"/>
      <w:lvlJc w:val="left"/>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zMjUwMDNmZTNmMWI2OTkxZTZiMThhZGM0MjkxNTkifQ=="/>
  </w:docVars>
  <w:rsids>
    <w:rsidRoot w:val="00000000"/>
    <w:rsid w:val="013C690E"/>
    <w:rsid w:val="01AA5217"/>
    <w:rsid w:val="0227311A"/>
    <w:rsid w:val="0C1073CB"/>
    <w:rsid w:val="1637080D"/>
    <w:rsid w:val="163E52F6"/>
    <w:rsid w:val="20B65EF7"/>
    <w:rsid w:val="24577437"/>
    <w:rsid w:val="255F0BF7"/>
    <w:rsid w:val="26E74CBE"/>
    <w:rsid w:val="281B7DE6"/>
    <w:rsid w:val="2A2D2081"/>
    <w:rsid w:val="2B586786"/>
    <w:rsid w:val="2B616314"/>
    <w:rsid w:val="2D2C471D"/>
    <w:rsid w:val="31E3055C"/>
    <w:rsid w:val="32716E11"/>
    <w:rsid w:val="34E06A61"/>
    <w:rsid w:val="3B0D7550"/>
    <w:rsid w:val="3DA212CB"/>
    <w:rsid w:val="45D71D2E"/>
    <w:rsid w:val="47B71E17"/>
    <w:rsid w:val="4AC905F7"/>
    <w:rsid w:val="4E8E6A70"/>
    <w:rsid w:val="522C14E2"/>
    <w:rsid w:val="5B8E299B"/>
    <w:rsid w:val="5E4E693A"/>
    <w:rsid w:val="5ECB4A75"/>
    <w:rsid w:val="5F2931A3"/>
    <w:rsid w:val="648A3E9D"/>
    <w:rsid w:val="6CC83FFB"/>
    <w:rsid w:val="6F153CD3"/>
    <w:rsid w:val="6F2474E3"/>
    <w:rsid w:val="736B3932"/>
    <w:rsid w:val="740C620C"/>
    <w:rsid w:val="77EF50EB"/>
    <w:rsid w:val="7B8E05AC"/>
    <w:rsid w:val="7EC00F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3">
    <w:name w:val="Normal Indent"/>
    <w:basedOn w:val="1"/>
    <w:autoRedefine/>
    <w:unhideWhenUsed/>
    <w:qFormat/>
    <w:uiPriority w:val="0"/>
    <w:pPr>
      <w:ind w:firstLine="420" w:firstLineChars="200"/>
    </w:pPr>
  </w:style>
  <w:style w:type="paragraph" w:styleId="4">
    <w:name w:val="Body Text"/>
    <w:basedOn w:val="1"/>
    <w:next w:val="5"/>
    <w:autoRedefine/>
    <w:qFormat/>
    <w:uiPriority w:val="0"/>
    <w:pPr>
      <w:jc w:val="center"/>
    </w:pPr>
  </w:style>
  <w:style w:type="paragraph" w:customStyle="1" w:styleId="5">
    <w:name w:val="Default"/>
    <w:next w:val="6"/>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6">
    <w:name w:val="Char Char10 Char Char Char Char"/>
    <w:basedOn w:val="1"/>
    <w:next w:val="7"/>
    <w:autoRedefine/>
    <w:qFormat/>
    <w:uiPriority w:val="0"/>
    <w:rPr>
      <w:rFonts w:ascii="Calibri" w:hAnsi="Calibri"/>
      <w:kern w:val="0"/>
    </w:rPr>
  </w:style>
  <w:style w:type="paragraph" w:customStyle="1" w:styleId="7">
    <w:name w:val="xl87"/>
    <w:basedOn w:val="1"/>
    <w:next w:val="8"/>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cs="宋体"/>
      <w:color w:val="FF0000"/>
      <w:kern w:val="0"/>
      <w:sz w:val="20"/>
      <w:szCs w:val="20"/>
    </w:rPr>
  </w:style>
  <w:style w:type="paragraph" w:customStyle="1" w:styleId="8">
    <w:name w:val="xl72"/>
    <w:basedOn w:val="1"/>
    <w:next w:val="9"/>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styleId="9">
    <w:name w:val="Date"/>
    <w:basedOn w:val="1"/>
    <w:next w:val="1"/>
    <w:autoRedefine/>
    <w:semiHidden/>
    <w:unhideWhenUsed/>
    <w:qFormat/>
    <w:uiPriority w:val="99"/>
    <w:pPr>
      <w:ind w:left="100" w:leftChars="2500"/>
    </w:pPr>
  </w:style>
  <w:style w:type="paragraph" w:styleId="10">
    <w:name w:val="Plain Text"/>
    <w:basedOn w:val="1"/>
    <w:autoRedefine/>
    <w:qFormat/>
    <w:uiPriority w:val="0"/>
    <w:rPr>
      <w:rFonts w:ascii="宋体" w:hAnsi="Courier New"/>
    </w:rPr>
  </w:style>
  <w:style w:type="paragraph" w:styleId="11">
    <w:name w:val="Body Text Indent 2"/>
    <w:basedOn w:val="1"/>
    <w:autoRedefine/>
    <w:qFormat/>
    <w:uiPriority w:val="0"/>
    <w:pPr>
      <w:ind w:left="424" w:leftChars="202"/>
    </w:pPr>
    <w:rPr>
      <w:rFonts w:ascii="Times New Roman" w:hAnsi="Times New Roman" w:eastAsia="楷体_GB2312" w:cs="Times New Roman"/>
      <w:sz w:val="28"/>
    </w:rPr>
  </w:style>
  <w:style w:type="paragraph" w:styleId="12">
    <w:name w:val="Body Text 2"/>
    <w:basedOn w:val="1"/>
    <w:next w:val="4"/>
    <w:autoRedefine/>
    <w:qFormat/>
    <w:uiPriority w:val="0"/>
    <w:pPr>
      <w:spacing w:after="120" w:line="480" w:lineRule="auto"/>
    </w:pPr>
  </w:style>
  <w:style w:type="paragraph" w:styleId="13">
    <w:name w:val="Body Text First Indent"/>
    <w:basedOn w:val="4"/>
    <w:next w:val="1"/>
    <w:autoRedefine/>
    <w:qFormat/>
    <w:uiPriority w:val="0"/>
    <w:pPr>
      <w:spacing w:line="520" w:lineRule="exact"/>
      <w:ind w:firstLine="420" w:firstLineChars="100"/>
    </w:pPr>
    <w:rPr>
      <w:rFonts w:hint="eastAsia" w:ascii="楷体_GB2312" w:eastAsia="楷体_GB2312"/>
      <w:color w:val="008000"/>
      <w:sz w:val="24"/>
    </w:rPr>
  </w:style>
  <w:style w:type="paragraph" w:customStyle="1" w:styleId="16">
    <w:name w:val="UserStyle_137"/>
    <w:basedOn w:val="1"/>
    <w:autoRedefine/>
    <w:qFormat/>
    <w:uiPriority w:val="0"/>
    <w:pPr>
      <w:spacing w:after="120" w:line="480" w:lineRule="auto"/>
      <w:ind w:left="420" w:leftChars="200"/>
    </w:pPr>
    <w:rPr>
      <w:rFonts w:ascii="Times New Roman" w:hAnsi="Times New Roman" w:eastAsia="宋体" w:cs="Times New Roman"/>
      <w:szCs w:val="24"/>
    </w:rPr>
  </w:style>
  <w:style w:type="paragraph" w:customStyle="1" w:styleId="17">
    <w:name w:val="BodyText"/>
    <w:basedOn w:val="1"/>
    <w:next w:val="1"/>
    <w:autoRedefine/>
    <w:qFormat/>
    <w:uiPriority w:val="0"/>
    <w:pPr>
      <w:spacing w:after="120"/>
    </w:pPr>
    <w:rPr>
      <w:rFonts w:ascii="Times New Roman" w:hAnsi="Times New Roman" w:eastAsia="宋体" w:cs="Times New Roman"/>
      <w:szCs w:val="24"/>
    </w:rPr>
  </w:style>
  <w:style w:type="paragraph" w:styleId="18">
    <w:name w:val="List Paragraph"/>
    <w:basedOn w:val="1"/>
    <w:autoRedefine/>
    <w:qFormat/>
    <w:uiPriority w:val="34"/>
    <w:pPr>
      <w:ind w:firstLine="420" w:firstLineChars="200"/>
    </w:pPr>
  </w:style>
  <w:style w:type="paragraph" w:customStyle="1" w:styleId="19">
    <w:name w:val="文档正文"/>
    <w:basedOn w:val="1"/>
    <w:autoRedefine/>
    <w:qFormat/>
    <w:uiPriority w:val="99"/>
    <w:pPr>
      <w:spacing w:before="15" w:beforeLines="15" w:after="35" w:afterLines="35"/>
      <w:ind w:firstLine="200" w:firstLineChars="200"/>
    </w:pPr>
    <w:rPr>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37</Pages>
  <Words>21970</Words>
  <Characters>23190</Characters>
  <Lines>0</Lines>
  <Paragraphs>0</Paragraphs>
  <TotalTime>3</TotalTime>
  <ScaleCrop>false</ScaleCrop>
  <LinksUpToDate>false</LinksUpToDate>
  <CharactersWithSpaces>23783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2024-09-14T06:34:00Z</dcterms:created>
  <dc:creator>Lenovo</dc:creator>
  <cp:lastModifiedBy>王超</cp:lastModifiedBy>
  <dcterms:modified xsi:type="dcterms:W3CDTF">2024-10-14T09:47:47Z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12E824AE8CDD42BD8A3BAA051F0632B8_13</vt:lpwstr>
  </property>
</Properties>
</file>