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color w:val="000000" w:themeColor="text1"/>
          <w:sz w:val="52"/>
          <w:szCs w:val="52"/>
          <w:highlight w:val="none"/>
          <w14:textFill>
            <w14:solidFill>
              <w14:schemeClr w14:val="tx1"/>
            </w14:solidFill>
          </w14:textFill>
        </w:rPr>
      </w:pPr>
      <w:r>
        <w:rPr>
          <w:rFonts w:hint="eastAsia" w:ascii="宋体" w:hAnsi="宋体" w:eastAsia="宋体" w:cs="宋体"/>
          <w:b/>
          <w:color w:val="000000" w:themeColor="text1"/>
          <w:sz w:val="52"/>
          <w:szCs w:val="52"/>
          <w:highlight w:val="none"/>
          <w14:textFill>
            <w14:solidFill>
              <w14:schemeClr w14:val="tx1"/>
            </w14:solidFill>
          </w14:textFill>
        </w:rPr>
        <w:drawing>
          <wp:inline distT="0" distB="0" distL="114300" distR="114300">
            <wp:extent cx="5269865" cy="7452995"/>
            <wp:effectExtent l="0" t="0" r="3175" b="14605"/>
            <wp:docPr id="4" name="图片 4" descr="A包合同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包合同_00"/>
                    <pic:cNvPicPr>
                      <a:picLocks noChangeAspect="1"/>
                    </pic:cNvPicPr>
                  </pic:nvPicPr>
                  <pic:blipFill>
                    <a:blip r:embed="rId4"/>
                    <a:stretch>
                      <a:fillRect/>
                    </a:stretch>
                  </pic:blipFill>
                  <pic:spPr>
                    <a:xfrm>
                      <a:off x="0" y="0"/>
                      <a:ext cx="5269865" cy="7452995"/>
                    </a:xfrm>
                    <a:prstGeom prst="rect">
                      <a:avLst/>
                    </a:prstGeom>
                  </pic:spPr>
                </pic:pic>
              </a:graphicData>
            </a:graphic>
          </wp:inline>
        </w:drawing>
      </w:r>
    </w:p>
    <w:p>
      <w:pPr>
        <w:jc w:val="center"/>
        <w:rPr>
          <w:rFonts w:hint="eastAsia" w:ascii="宋体" w:hAnsi="宋体" w:eastAsia="宋体" w:cs="宋体"/>
          <w:b/>
          <w:color w:val="000000" w:themeColor="text1"/>
          <w:sz w:val="52"/>
          <w:szCs w:val="52"/>
          <w:highlight w:val="none"/>
          <w14:textFill>
            <w14:solidFill>
              <w14:schemeClr w14:val="tx1"/>
            </w14:solidFill>
          </w14:textFill>
        </w:rPr>
      </w:pPr>
      <w:r>
        <w:rPr>
          <w:rFonts w:hint="eastAsia" w:ascii="宋体" w:hAnsi="宋体" w:eastAsia="宋体" w:cs="宋体"/>
          <w:b/>
          <w:color w:val="000000" w:themeColor="text1"/>
          <w:sz w:val="52"/>
          <w:szCs w:val="52"/>
          <w:highlight w:val="none"/>
          <w14:textFill>
            <w14:solidFill>
              <w14:schemeClr w14:val="tx1"/>
            </w14:solidFill>
          </w14:textFill>
        </w:rPr>
        <w:drawing>
          <wp:inline distT="0" distB="0" distL="114300" distR="114300">
            <wp:extent cx="5269865" cy="7452995"/>
            <wp:effectExtent l="0" t="0" r="3175" b="14605"/>
            <wp:docPr id="5" name="图片 5" descr="A包合同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包合同_07"/>
                    <pic:cNvPicPr>
                      <a:picLocks noChangeAspect="1"/>
                    </pic:cNvPicPr>
                  </pic:nvPicPr>
                  <pic:blipFill>
                    <a:blip r:embed="rId5"/>
                    <a:stretch>
                      <a:fillRect/>
                    </a:stretch>
                  </pic:blipFill>
                  <pic:spPr>
                    <a:xfrm>
                      <a:off x="0" y="0"/>
                      <a:ext cx="5269865" cy="7452995"/>
                    </a:xfrm>
                    <a:prstGeom prst="rect">
                      <a:avLst/>
                    </a:prstGeom>
                  </pic:spPr>
                </pic:pic>
              </a:graphicData>
            </a:graphic>
          </wp:inline>
        </w:drawing>
      </w:r>
    </w:p>
    <w:p>
      <w:pPr>
        <w:jc w:val="center"/>
        <w:rPr>
          <w:rFonts w:hint="eastAsia" w:ascii="宋体" w:hAnsi="宋体" w:eastAsia="宋体" w:cs="宋体"/>
          <w:b/>
          <w:color w:val="000000" w:themeColor="text1"/>
          <w:sz w:val="52"/>
          <w:szCs w:val="52"/>
          <w:highlight w:val="none"/>
          <w14:textFill>
            <w14:solidFill>
              <w14:schemeClr w14:val="tx1"/>
            </w14:solidFill>
          </w14:textFill>
        </w:rPr>
      </w:pPr>
    </w:p>
    <w:p>
      <w:pPr>
        <w:jc w:val="center"/>
        <w:rPr>
          <w:rFonts w:hint="eastAsia" w:ascii="宋体" w:hAnsi="宋体" w:eastAsia="宋体" w:cs="宋体"/>
          <w:b/>
          <w:color w:val="000000" w:themeColor="text1"/>
          <w:sz w:val="52"/>
          <w:szCs w:val="52"/>
          <w:highlight w:val="none"/>
          <w14:textFill>
            <w14:solidFill>
              <w14:schemeClr w14:val="tx1"/>
            </w14:solidFill>
          </w14:textFill>
        </w:rPr>
      </w:pPr>
    </w:p>
    <w:p>
      <w:pPr>
        <w:jc w:val="center"/>
        <w:rPr>
          <w:rFonts w:hint="eastAsia" w:ascii="宋体" w:hAnsi="宋体" w:eastAsia="宋体" w:cs="宋体"/>
          <w:b/>
          <w:color w:val="000000" w:themeColor="text1"/>
          <w:sz w:val="52"/>
          <w:szCs w:val="52"/>
          <w:highlight w:val="none"/>
          <w14:textFill>
            <w14:solidFill>
              <w14:schemeClr w14:val="tx1"/>
            </w14:solidFill>
          </w14:textFill>
        </w:rPr>
      </w:pPr>
      <w:bookmarkStart w:id="144" w:name="_GoBack"/>
      <w:bookmarkEnd w:id="144"/>
      <w:r>
        <w:rPr>
          <w:rFonts w:hint="eastAsia" w:ascii="宋体" w:hAnsi="宋体" w:eastAsia="宋体" w:cs="宋体"/>
          <w:b/>
          <w:color w:val="000000" w:themeColor="text1"/>
          <w:sz w:val="52"/>
          <w:szCs w:val="52"/>
          <w:highlight w:val="none"/>
          <w14:textFill>
            <w14:solidFill>
              <w14:schemeClr w14:val="tx1"/>
            </w14:solidFill>
          </w14:textFill>
        </w:rPr>
        <w:t>货  物  采  购  合  同</w:t>
      </w:r>
    </w:p>
    <w:p>
      <w:pPr>
        <w:keepNext w:val="0"/>
        <w:keepLines w:val="0"/>
        <w:pageBreakBefore w:val="0"/>
        <w:kinsoku/>
        <w:wordWrap/>
        <w:overflowPunct/>
        <w:topLinePunct w:val="0"/>
        <w:autoSpaceDE/>
        <w:autoSpaceDN/>
        <w:bidi w:val="0"/>
        <w:spacing w:line="360" w:lineRule="auto"/>
        <w:ind w:firstLine="4830" w:firstLineChars="23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合同编号：豫财招标采购-2024-862</w:t>
      </w:r>
      <w:r>
        <w:rPr>
          <w:rFonts w:hint="eastAsia" w:ascii="宋体" w:hAnsi="宋体" w:eastAsia="宋体" w:cs="宋体"/>
          <w:color w:val="000000" w:themeColor="text1"/>
          <w:sz w:val="21"/>
          <w:szCs w:val="21"/>
          <w:highlight w:val="none"/>
          <w:lang w:val="en-US" w:eastAsia="zh-CN"/>
          <w14:textFill>
            <w14:solidFill>
              <w14:schemeClr w14:val="tx1"/>
            </w14:solidFill>
          </w14:textFill>
        </w:rPr>
        <w:t>-A</w:t>
      </w:r>
      <w:r>
        <w:rPr>
          <w:rFonts w:hint="eastAsia" w:ascii="宋体" w:hAnsi="宋体" w:eastAsia="宋体" w:cs="宋体"/>
          <w:color w:val="000000" w:themeColor="text1"/>
          <w:sz w:val="21"/>
          <w:szCs w:val="21"/>
          <w:highlight w:val="none"/>
          <w14:textFill>
            <w14:solidFill>
              <w14:schemeClr w14:val="tx1"/>
            </w14:solidFill>
          </w14:textFill>
        </w:rPr>
        <w:t xml:space="preserve"> </w:t>
      </w:r>
    </w:p>
    <w:p>
      <w:pPr>
        <w:keepNext w:val="0"/>
        <w:keepLines w:val="0"/>
        <w:pageBreakBefore w:val="0"/>
        <w:kinsoku/>
        <w:wordWrap/>
        <w:overflowPunct/>
        <w:topLinePunct w:val="0"/>
        <w:autoSpaceDE/>
        <w:autoSpaceDN/>
        <w:bidi w:val="0"/>
        <w:spacing w:line="360" w:lineRule="auto"/>
        <w:ind w:firstLine="4830" w:firstLineChars="23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签订地点：河南 郑州</w:t>
      </w:r>
    </w:p>
    <w:p>
      <w:pPr>
        <w:keepNext w:val="0"/>
        <w:keepLines w:val="0"/>
        <w:pageBreakBefore w:val="0"/>
        <w:kinsoku/>
        <w:wordWrap/>
        <w:overflowPunct/>
        <w:topLinePunct w:val="0"/>
        <w:autoSpaceDE/>
        <w:autoSpaceDN/>
        <w:bidi w:val="0"/>
        <w:spacing w:line="360" w:lineRule="auto"/>
        <w:ind w:firstLine="4830" w:firstLineChars="23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签订时间：</w:t>
      </w:r>
      <w:r>
        <w:rPr>
          <w:rFonts w:hint="eastAsia" w:ascii="宋体" w:hAnsi="宋体" w:eastAsia="宋体" w:cs="宋体"/>
          <w:color w:val="000000" w:themeColor="text1"/>
          <w:sz w:val="21"/>
          <w:szCs w:val="21"/>
          <w:highlight w:val="none"/>
          <w:lang w:val="en-US" w:eastAsia="zh-CN"/>
          <w14:textFill>
            <w14:solidFill>
              <w14:schemeClr w14:val="tx1"/>
            </w14:solidFill>
          </w14:textFill>
        </w:rPr>
        <w:t>2024</w:t>
      </w:r>
      <w:r>
        <w:rPr>
          <w:rFonts w:hint="eastAsia" w:ascii="宋体" w:hAnsi="宋体" w:eastAsia="宋体" w:cs="宋体"/>
          <w:color w:val="000000" w:themeColor="text1"/>
          <w:sz w:val="21"/>
          <w:szCs w:val="21"/>
          <w:highlight w:val="none"/>
          <w14:textFill>
            <w14:solidFill>
              <w14:schemeClr w14:val="tx1"/>
            </w14:solidFill>
          </w14:textFill>
        </w:rPr>
        <w:t xml:space="preserve"> 年 </w:t>
      </w:r>
      <w:r>
        <w:rPr>
          <w:rFonts w:hint="eastAsia" w:ascii="宋体" w:hAnsi="宋体" w:eastAsia="宋体" w:cs="宋体"/>
          <w:color w:val="000000" w:themeColor="text1"/>
          <w:sz w:val="21"/>
          <w:szCs w:val="21"/>
          <w:highlight w:val="none"/>
          <w:lang w:val="en-US" w:eastAsia="zh-CN"/>
          <w14:textFill>
            <w14:solidFill>
              <w14:schemeClr w14:val="tx1"/>
            </w14:solidFill>
          </w14:textFill>
        </w:rPr>
        <w:t>09</w:t>
      </w:r>
      <w:r>
        <w:rPr>
          <w:rFonts w:hint="eastAsia" w:ascii="宋体" w:hAnsi="宋体" w:eastAsia="宋体" w:cs="宋体"/>
          <w:color w:val="000000" w:themeColor="text1"/>
          <w:sz w:val="21"/>
          <w:szCs w:val="21"/>
          <w:highlight w:val="none"/>
          <w14:textFill>
            <w14:solidFill>
              <w14:schemeClr w14:val="tx1"/>
            </w14:solidFill>
          </w14:textFill>
        </w:rPr>
        <w:t xml:space="preserve"> 月 </w:t>
      </w:r>
      <w:r>
        <w:rPr>
          <w:rFonts w:hint="eastAsia" w:ascii="宋体" w:hAnsi="宋体" w:eastAsia="宋体" w:cs="宋体"/>
          <w:color w:val="000000" w:themeColor="text1"/>
          <w:sz w:val="21"/>
          <w:szCs w:val="21"/>
          <w:highlight w:val="none"/>
          <w:lang w:val="en-US" w:eastAsia="zh-CN"/>
          <w14:textFill>
            <w14:solidFill>
              <w14:schemeClr w14:val="tx1"/>
            </w14:solidFill>
          </w14:textFill>
        </w:rPr>
        <w:t>23</w:t>
      </w:r>
      <w:r>
        <w:rPr>
          <w:rFonts w:hint="eastAsia" w:ascii="宋体" w:hAnsi="宋体" w:eastAsia="宋体" w:cs="宋体"/>
          <w:color w:val="000000" w:themeColor="text1"/>
          <w:sz w:val="21"/>
          <w:szCs w:val="21"/>
          <w:highlight w:val="none"/>
          <w14:textFill>
            <w14:solidFill>
              <w14:schemeClr w14:val="tx1"/>
            </w14:solidFill>
          </w14:textFill>
        </w:rPr>
        <w:t xml:space="preserve"> 日</w:t>
      </w:r>
    </w:p>
    <w:p>
      <w:pPr>
        <w:pStyle w:val="6"/>
        <w:keepNext w:val="0"/>
        <w:keepLines w:val="0"/>
        <w:pageBreakBefore w:val="0"/>
        <w:tabs>
          <w:tab w:val="left" w:pos="0"/>
          <w:tab w:val="left" w:pos="720"/>
        </w:tabs>
        <w:kinsoku/>
        <w:wordWrap/>
        <w:overflowPunct/>
        <w:topLinePunct w:val="0"/>
        <w:autoSpaceDE/>
        <w:autoSpaceDN/>
        <w:bidi w:val="0"/>
        <w:spacing w:line="360" w:lineRule="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甲方（盖章）：河南中医药大学</w:t>
      </w:r>
    </w:p>
    <w:p>
      <w:pPr>
        <w:pStyle w:val="11"/>
        <w:keepNext w:val="0"/>
        <w:keepLines w:val="0"/>
        <w:pageBreakBefore w:val="0"/>
        <w:kinsoku/>
        <w:wordWrap/>
        <w:overflowPunct/>
        <w:topLinePunct w:val="0"/>
        <w:autoSpaceDE/>
        <w:autoSpaceDN/>
        <w:bidi w:val="0"/>
        <w:snapToGrid w:val="0"/>
        <w:spacing w:after="0" w:line="360" w:lineRule="auto"/>
        <w:ind w:left="0" w:leftChars="0"/>
        <w:jc w:val="left"/>
        <w:outlineLvl w:val="0"/>
        <w:rPr>
          <w:rFonts w:hint="default" w:ascii="宋体" w:hAnsi="宋体" w:eastAsia="宋体" w:cs="宋体"/>
          <w:b/>
          <w:color w:val="000000" w:themeColor="text1"/>
          <w:sz w:val="21"/>
          <w:szCs w:val="21"/>
          <w:highlight w:val="none"/>
          <w:lang w:val="en-US" w:eastAsia="zh-CN"/>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乙方 (盖章 )：</w:t>
      </w:r>
      <w:r>
        <w:rPr>
          <w:rFonts w:hint="eastAsia" w:ascii="宋体" w:hAnsi="宋体" w:cs="宋体"/>
          <w:b/>
          <w:color w:val="000000" w:themeColor="text1"/>
          <w:sz w:val="21"/>
          <w:szCs w:val="21"/>
          <w:highlight w:val="none"/>
          <w:lang w:val="en-US" w:eastAsia="zh-CN"/>
          <w14:textFill>
            <w14:solidFill>
              <w14:schemeClr w14:val="tx1"/>
            </w14:solidFill>
          </w14:textFill>
        </w:rPr>
        <w:t>江苏金智教育信息股份有限公司</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根据《中华人民共和国政府采购法》、《中华人民共和国民法典》等法律法规及</w:t>
      </w:r>
      <w:r>
        <w:rPr>
          <w:rFonts w:hint="eastAsia" w:ascii="宋体" w:hAnsi="宋体" w:eastAsia="宋体" w:cs="宋体"/>
          <w:color w:val="000000" w:themeColor="text1"/>
          <w:szCs w:val="21"/>
          <w:u w:val="single"/>
          <w14:textFill>
            <w14:solidFill>
              <w14:schemeClr w14:val="tx1"/>
            </w14:solidFill>
          </w14:textFill>
        </w:rPr>
        <w:t>河南中医药大学数字化转型基础数据建设项目</w:t>
      </w:r>
      <w:r>
        <w:rPr>
          <w:rFonts w:hint="eastAsia" w:ascii="宋体" w:hAnsi="宋体" w:eastAsia="宋体" w:cs="宋体"/>
          <w:color w:val="000000" w:themeColor="text1"/>
          <w:szCs w:val="21"/>
          <w:u w:val="single"/>
          <w:lang w:val="en-US" w:eastAsia="zh-CN"/>
          <w14:textFill>
            <w14:solidFill>
              <w14:schemeClr w14:val="tx1"/>
            </w14:solidFill>
          </w14:textFill>
        </w:rPr>
        <w:t>A包（</w:t>
      </w:r>
      <w:r>
        <w:rPr>
          <w:rFonts w:hint="eastAsia" w:ascii="宋体" w:hAnsi="宋体" w:eastAsia="宋体" w:cs="宋体"/>
          <w:color w:val="000000" w:themeColor="text1"/>
          <w:szCs w:val="21"/>
          <w:u w:val="single"/>
          <w14:textFill>
            <w14:solidFill>
              <w14:schemeClr w14:val="tx1"/>
            </w14:solidFill>
          </w14:textFill>
        </w:rPr>
        <w:t>采购项目编号：豫财招标采购-2024-862</w:t>
      </w:r>
      <w:r>
        <w:rPr>
          <w:rFonts w:hint="eastAsia" w:ascii="宋体" w:hAnsi="宋体" w:eastAsia="宋体" w:cs="宋体"/>
          <w:color w:val="000000" w:themeColor="text1"/>
          <w:szCs w:val="21"/>
          <w:u w:val="single"/>
          <w:lang w:val="en-US" w:eastAsia="zh-CN"/>
          <w14:textFill>
            <w14:solidFill>
              <w14:schemeClr w14:val="tx1"/>
            </w14:solidFill>
          </w14:textFill>
        </w:rPr>
        <w:t>）</w:t>
      </w:r>
      <w:r>
        <w:rPr>
          <w:rFonts w:hint="eastAsia" w:ascii="宋体" w:hAnsi="宋体" w:eastAsia="宋体" w:cs="宋体"/>
          <w:color w:val="000000" w:themeColor="text1"/>
          <w:szCs w:val="21"/>
          <w14:textFill>
            <w14:solidFill>
              <w14:schemeClr w14:val="tx1"/>
            </w14:solidFill>
          </w14:textFill>
        </w:rPr>
        <w:t>的《招标文件》、乙方的《投标文件》及《中标通知书》</w:t>
      </w:r>
      <w:r>
        <w:rPr>
          <w:rFonts w:hint="eastAsia" w:ascii="宋体" w:hAnsi="宋体" w:eastAsia="宋体" w:cs="宋体"/>
          <w:sz w:val="21"/>
          <w:szCs w:val="21"/>
          <w:highlight w:val="none"/>
          <w:lang w:val="en-US" w:eastAsia="zh-CN"/>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经甲、乙双方协商，就甲方向乙方购买货物及相关服务事宜，签订本合同。</w:t>
      </w:r>
      <w:r>
        <w:rPr>
          <w:rFonts w:hint="eastAsia" w:ascii="宋体" w:hAnsi="宋体" w:eastAsia="宋体" w:cs="宋体"/>
          <w:color w:val="000000" w:themeColor="text1"/>
          <w:sz w:val="21"/>
          <w:szCs w:val="21"/>
          <w:highlight w:val="none"/>
          <w14:textFill>
            <w14:solidFill>
              <w14:schemeClr w14:val="tx1"/>
            </w14:solidFill>
          </w14:textFill>
        </w:rPr>
        <w:t>双方同意共同遵守如下条款：</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2" w:firstLineChars="200"/>
        <w:outlineLvl w:val="0"/>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一、合同货物</w:t>
      </w:r>
      <w:r>
        <w:rPr>
          <w:rFonts w:hint="eastAsia" w:ascii="宋体" w:hAnsi="宋体" w:eastAsia="宋体" w:cs="宋体"/>
          <w:b/>
          <w:bCs/>
          <w:color w:val="000000" w:themeColor="text1"/>
          <w:sz w:val="21"/>
          <w:szCs w:val="21"/>
          <w:highlight w:val="none"/>
          <w14:textFill>
            <w14:solidFill>
              <w14:schemeClr w14:val="tx1"/>
            </w14:solidFill>
          </w14:textFill>
        </w:rPr>
        <w:t>名称及价格</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14:textFill>
            <w14:solidFill>
              <w14:schemeClr w14:val="tx1"/>
            </w14:solidFill>
          </w14:textFill>
        </w:rPr>
        <w:t xml:space="preserve"> 乙方负责向甲方提供下表中所列货物和相关的安装调试服务等（详细配置清单见附件）。</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2" w:firstLineChars="20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清单1：非免税货物                                           单位：元</w:t>
      </w:r>
    </w:p>
    <w:tbl>
      <w:tblPr>
        <w:tblStyle w:val="8"/>
        <w:tblW w:w="9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232"/>
        <w:gridCol w:w="1360"/>
        <w:gridCol w:w="1260"/>
        <w:gridCol w:w="776"/>
        <w:gridCol w:w="606"/>
        <w:gridCol w:w="606"/>
        <w:gridCol w:w="1006"/>
        <w:gridCol w:w="1017"/>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648" w:type="dxa"/>
            <w:vAlign w:val="center"/>
          </w:tcPr>
          <w:p>
            <w:pPr>
              <w:keepNext w:val="0"/>
              <w:keepLines w:val="0"/>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color w:val="000000" w:themeColor="text1"/>
                <w:kern w:val="0"/>
                <w:sz w:val="21"/>
                <w:szCs w:val="21"/>
                <w:highlight w:val="none"/>
                <w:lang w:bidi="ar"/>
                <w14:textFill>
                  <w14:solidFill>
                    <w14:schemeClr w14:val="tx1"/>
                  </w14:solidFill>
                </w14:textFill>
              </w:rPr>
            </w:pPr>
            <w:r>
              <w:rPr>
                <w:rFonts w:hint="eastAsia" w:ascii="宋体" w:hAnsi="宋体" w:eastAsia="宋体" w:cs="宋体"/>
                <w:color w:val="000000" w:themeColor="text1"/>
                <w:kern w:val="0"/>
                <w:sz w:val="21"/>
                <w:szCs w:val="21"/>
                <w:highlight w:val="none"/>
                <w:lang w:bidi="ar"/>
                <w14:textFill>
                  <w14:solidFill>
                    <w14:schemeClr w14:val="tx1"/>
                  </w14:solidFill>
                </w14:textFill>
              </w:rPr>
              <w:t>序号</w:t>
            </w:r>
          </w:p>
        </w:tc>
        <w:tc>
          <w:tcPr>
            <w:tcW w:w="1232" w:type="dxa"/>
            <w:vAlign w:val="center"/>
          </w:tcPr>
          <w:p>
            <w:pPr>
              <w:keepNext w:val="0"/>
              <w:keepLines w:val="0"/>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color w:val="000000" w:themeColor="text1"/>
                <w:kern w:val="0"/>
                <w:sz w:val="21"/>
                <w:szCs w:val="21"/>
                <w:highlight w:val="none"/>
                <w:lang w:bidi="ar"/>
                <w14:textFill>
                  <w14:solidFill>
                    <w14:schemeClr w14:val="tx1"/>
                  </w14:solidFill>
                </w14:textFill>
              </w:rPr>
            </w:pPr>
            <w:r>
              <w:rPr>
                <w:rFonts w:hint="eastAsia" w:ascii="宋体" w:hAnsi="宋体" w:eastAsia="宋体" w:cs="宋体"/>
                <w:color w:val="000000" w:themeColor="text1"/>
                <w:kern w:val="0"/>
                <w:sz w:val="21"/>
                <w:szCs w:val="21"/>
                <w:highlight w:val="none"/>
                <w:lang w:bidi="ar"/>
                <w14:textFill>
                  <w14:solidFill>
                    <w14:schemeClr w14:val="tx1"/>
                  </w14:solidFill>
                </w14:textFill>
              </w:rPr>
              <w:t>货物名称</w:t>
            </w:r>
          </w:p>
        </w:tc>
        <w:tc>
          <w:tcPr>
            <w:tcW w:w="1360" w:type="dxa"/>
            <w:vAlign w:val="center"/>
          </w:tcPr>
          <w:p>
            <w:pPr>
              <w:keepNext w:val="0"/>
              <w:keepLines w:val="0"/>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color w:val="000000" w:themeColor="text1"/>
                <w:kern w:val="0"/>
                <w:sz w:val="21"/>
                <w:szCs w:val="21"/>
                <w:highlight w:val="none"/>
                <w:lang w:bidi="ar"/>
                <w14:textFill>
                  <w14:solidFill>
                    <w14:schemeClr w14:val="tx1"/>
                  </w14:solidFill>
                </w14:textFill>
              </w:rPr>
            </w:pPr>
            <w:r>
              <w:rPr>
                <w:rFonts w:hint="eastAsia" w:ascii="宋体" w:hAnsi="宋体" w:eastAsia="宋体" w:cs="宋体"/>
                <w:color w:val="000000" w:themeColor="text1"/>
                <w:kern w:val="0"/>
                <w:sz w:val="21"/>
                <w:szCs w:val="21"/>
                <w:highlight w:val="none"/>
                <w:lang w:bidi="ar"/>
                <w14:textFill>
                  <w14:solidFill>
                    <w14:schemeClr w14:val="tx1"/>
                  </w14:solidFill>
                </w14:textFill>
              </w:rPr>
              <w:t>品牌/制造商</w:t>
            </w:r>
          </w:p>
        </w:tc>
        <w:tc>
          <w:tcPr>
            <w:tcW w:w="1260" w:type="dxa"/>
            <w:vAlign w:val="center"/>
          </w:tcPr>
          <w:p>
            <w:pPr>
              <w:keepNext w:val="0"/>
              <w:keepLines w:val="0"/>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color w:val="000000" w:themeColor="text1"/>
                <w:kern w:val="0"/>
                <w:sz w:val="21"/>
                <w:szCs w:val="21"/>
                <w:highlight w:val="none"/>
                <w:lang w:bidi="ar"/>
                <w14:textFill>
                  <w14:solidFill>
                    <w14:schemeClr w14:val="tx1"/>
                  </w14:solidFill>
                </w14:textFill>
              </w:rPr>
            </w:pPr>
            <w:r>
              <w:rPr>
                <w:rFonts w:hint="eastAsia" w:ascii="宋体" w:hAnsi="宋体" w:eastAsia="宋体" w:cs="宋体"/>
                <w:color w:val="000000" w:themeColor="text1"/>
                <w:kern w:val="0"/>
                <w:sz w:val="21"/>
                <w:szCs w:val="21"/>
                <w:highlight w:val="none"/>
                <w:lang w:bidi="ar"/>
                <w14:textFill>
                  <w14:solidFill>
                    <w14:schemeClr w14:val="tx1"/>
                  </w14:solidFill>
                </w14:textFill>
              </w:rPr>
              <w:t>型号规格</w:t>
            </w:r>
          </w:p>
        </w:tc>
        <w:tc>
          <w:tcPr>
            <w:tcW w:w="776" w:type="dxa"/>
            <w:vAlign w:val="center"/>
          </w:tcPr>
          <w:p>
            <w:pPr>
              <w:keepNext w:val="0"/>
              <w:keepLines w:val="0"/>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color w:val="000000" w:themeColor="text1"/>
                <w:kern w:val="0"/>
                <w:sz w:val="21"/>
                <w:szCs w:val="21"/>
                <w:highlight w:val="none"/>
                <w:lang w:bidi="ar"/>
                <w14:textFill>
                  <w14:solidFill>
                    <w14:schemeClr w14:val="tx1"/>
                  </w14:solidFill>
                </w14:textFill>
              </w:rPr>
            </w:pPr>
            <w:r>
              <w:rPr>
                <w:rFonts w:hint="eastAsia" w:ascii="宋体" w:hAnsi="宋体" w:eastAsia="宋体" w:cs="宋体"/>
                <w:color w:val="000000" w:themeColor="text1"/>
                <w:kern w:val="0"/>
                <w:sz w:val="21"/>
                <w:szCs w:val="21"/>
                <w:highlight w:val="none"/>
                <w:lang w:bidi="ar"/>
                <w14:textFill>
                  <w14:solidFill>
                    <w14:schemeClr w14:val="tx1"/>
                  </w14:solidFill>
                </w14:textFill>
              </w:rPr>
              <w:t>原产地</w:t>
            </w:r>
          </w:p>
        </w:tc>
        <w:tc>
          <w:tcPr>
            <w:tcW w:w="606" w:type="dxa"/>
            <w:vAlign w:val="center"/>
          </w:tcPr>
          <w:p>
            <w:pPr>
              <w:keepNext w:val="0"/>
              <w:keepLines w:val="0"/>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color w:val="000000" w:themeColor="text1"/>
                <w:kern w:val="0"/>
                <w:sz w:val="21"/>
                <w:szCs w:val="21"/>
                <w:highlight w:val="none"/>
                <w:lang w:bidi="ar"/>
                <w14:textFill>
                  <w14:solidFill>
                    <w14:schemeClr w14:val="tx1"/>
                  </w14:solidFill>
                </w14:textFill>
              </w:rPr>
            </w:pPr>
            <w:r>
              <w:rPr>
                <w:rFonts w:hint="eastAsia" w:ascii="宋体" w:hAnsi="宋体" w:eastAsia="宋体" w:cs="宋体"/>
                <w:color w:val="000000" w:themeColor="text1"/>
                <w:kern w:val="0"/>
                <w:sz w:val="21"/>
                <w:szCs w:val="21"/>
                <w:highlight w:val="none"/>
                <w:lang w:bidi="ar"/>
                <w14:textFill>
                  <w14:solidFill>
                    <w14:schemeClr w14:val="tx1"/>
                  </w14:solidFill>
                </w14:textFill>
              </w:rPr>
              <w:t>单</w:t>
            </w:r>
          </w:p>
          <w:p>
            <w:pPr>
              <w:keepNext w:val="0"/>
              <w:keepLines w:val="0"/>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color w:val="000000" w:themeColor="text1"/>
                <w:kern w:val="0"/>
                <w:sz w:val="21"/>
                <w:szCs w:val="21"/>
                <w:highlight w:val="none"/>
                <w:lang w:bidi="ar"/>
                <w14:textFill>
                  <w14:solidFill>
                    <w14:schemeClr w14:val="tx1"/>
                  </w14:solidFill>
                </w14:textFill>
              </w:rPr>
            </w:pPr>
            <w:r>
              <w:rPr>
                <w:rFonts w:hint="eastAsia" w:ascii="宋体" w:hAnsi="宋体" w:eastAsia="宋体" w:cs="宋体"/>
                <w:color w:val="000000" w:themeColor="text1"/>
                <w:kern w:val="0"/>
                <w:sz w:val="21"/>
                <w:szCs w:val="21"/>
                <w:highlight w:val="none"/>
                <w:lang w:bidi="ar"/>
                <w14:textFill>
                  <w14:solidFill>
                    <w14:schemeClr w14:val="tx1"/>
                  </w14:solidFill>
                </w14:textFill>
              </w:rPr>
              <w:t>位</w:t>
            </w:r>
          </w:p>
        </w:tc>
        <w:tc>
          <w:tcPr>
            <w:tcW w:w="606" w:type="dxa"/>
            <w:vAlign w:val="center"/>
          </w:tcPr>
          <w:p>
            <w:pPr>
              <w:keepNext w:val="0"/>
              <w:keepLines w:val="0"/>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color w:val="000000" w:themeColor="text1"/>
                <w:kern w:val="0"/>
                <w:sz w:val="21"/>
                <w:szCs w:val="21"/>
                <w:highlight w:val="none"/>
                <w:lang w:bidi="ar"/>
                <w14:textFill>
                  <w14:solidFill>
                    <w14:schemeClr w14:val="tx1"/>
                  </w14:solidFill>
                </w14:textFill>
              </w:rPr>
            </w:pPr>
            <w:r>
              <w:rPr>
                <w:rFonts w:hint="eastAsia" w:ascii="宋体" w:hAnsi="宋体" w:eastAsia="宋体" w:cs="宋体"/>
                <w:color w:val="000000" w:themeColor="text1"/>
                <w:kern w:val="0"/>
                <w:sz w:val="21"/>
                <w:szCs w:val="21"/>
                <w:highlight w:val="none"/>
                <w:lang w:bidi="ar"/>
                <w14:textFill>
                  <w14:solidFill>
                    <w14:schemeClr w14:val="tx1"/>
                  </w14:solidFill>
                </w14:textFill>
              </w:rPr>
              <w:t>数</w:t>
            </w:r>
          </w:p>
          <w:p>
            <w:pPr>
              <w:keepNext w:val="0"/>
              <w:keepLines w:val="0"/>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color w:val="000000" w:themeColor="text1"/>
                <w:kern w:val="0"/>
                <w:sz w:val="21"/>
                <w:szCs w:val="21"/>
                <w:highlight w:val="none"/>
                <w:lang w:bidi="ar"/>
                <w14:textFill>
                  <w14:solidFill>
                    <w14:schemeClr w14:val="tx1"/>
                  </w14:solidFill>
                </w14:textFill>
              </w:rPr>
            </w:pPr>
            <w:r>
              <w:rPr>
                <w:rFonts w:hint="eastAsia" w:ascii="宋体" w:hAnsi="宋体" w:eastAsia="宋体" w:cs="宋体"/>
                <w:color w:val="000000" w:themeColor="text1"/>
                <w:kern w:val="0"/>
                <w:sz w:val="21"/>
                <w:szCs w:val="21"/>
                <w:highlight w:val="none"/>
                <w:lang w:bidi="ar"/>
                <w14:textFill>
                  <w14:solidFill>
                    <w14:schemeClr w14:val="tx1"/>
                  </w14:solidFill>
                </w14:textFill>
              </w:rPr>
              <w:t>量</w:t>
            </w:r>
          </w:p>
        </w:tc>
        <w:tc>
          <w:tcPr>
            <w:tcW w:w="1006" w:type="dxa"/>
            <w:vAlign w:val="center"/>
          </w:tcPr>
          <w:p>
            <w:pPr>
              <w:keepNext w:val="0"/>
              <w:keepLines w:val="0"/>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color w:val="000000" w:themeColor="text1"/>
                <w:kern w:val="0"/>
                <w:sz w:val="21"/>
                <w:szCs w:val="21"/>
                <w:highlight w:val="none"/>
                <w:lang w:bidi="ar"/>
                <w14:textFill>
                  <w14:solidFill>
                    <w14:schemeClr w14:val="tx1"/>
                  </w14:solidFill>
                </w14:textFill>
              </w:rPr>
            </w:pPr>
            <w:r>
              <w:rPr>
                <w:rFonts w:hint="eastAsia" w:ascii="宋体" w:hAnsi="宋体" w:eastAsia="宋体" w:cs="宋体"/>
                <w:color w:val="000000" w:themeColor="text1"/>
                <w:kern w:val="0"/>
                <w:sz w:val="21"/>
                <w:szCs w:val="21"/>
                <w:highlight w:val="none"/>
                <w:lang w:bidi="ar"/>
                <w14:textFill>
                  <w14:solidFill>
                    <w14:schemeClr w14:val="tx1"/>
                  </w14:solidFill>
                </w14:textFill>
              </w:rPr>
              <w:t>单价</w:t>
            </w:r>
          </w:p>
          <w:p>
            <w:pPr>
              <w:keepNext w:val="0"/>
              <w:keepLines w:val="0"/>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color w:val="000000" w:themeColor="text1"/>
                <w:kern w:val="0"/>
                <w:sz w:val="21"/>
                <w:szCs w:val="21"/>
                <w:highlight w:val="none"/>
                <w:lang w:bidi="ar"/>
                <w14:textFill>
                  <w14:solidFill>
                    <w14:schemeClr w14:val="tx1"/>
                  </w14:solidFill>
                </w14:textFill>
              </w:rPr>
            </w:pPr>
            <w:r>
              <w:rPr>
                <w:rFonts w:hint="eastAsia" w:ascii="宋体" w:hAnsi="宋体" w:eastAsia="宋体" w:cs="宋体"/>
                <w:color w:val="000000" w:themeColor="text1"/>
                <w:kern w:val="0"/>
                <w:sz w:val="21"/>
                <w:szCs w:val="21"/>
                <w:highlight w:val="none"/>
                <w:lang w:bidi="ar"/>
                <w14:textFill>
                  <w14:solidFill>
                    <w14:schemeClr w14:val="tx1"/>
                  </w14:solidFill>
                </w14:textFill>
              </w:rPr>
              <w:t>（RMB）</w:t>
            </w:r>
          </w:p>
        </w:tc>
        <w:tc>
          <w:tcPr>
            <w:tcW w:w="1017" w:type="dxa"/>
            <w:vAlign w:val="center"/>
          </w:tcPr>
          <w:p>
            <w:pPr>
              <w:keepNext w:val="0"/>
              <w:keepLines w:val="0"/>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color w:val="000000" w:themeColor="text1"/>
                <w:kern w:val="0"/>
                <w:sz w:val="21"/>
                <w:szCs w:val="21"/>
                <w:highlight w:val="none"/>
                <w:lang w:bidi="ar"/>
                <w14:textFill>
                  <w14:solidFill>
                    <w14:schemeClr w14:val="tx1"/>
                  </w14:solidFill>
                </w14:textFill>
              </w:rPr>
            </w:pPr>
            <w:r>
              <w:rPr>
                <w:rFonts w:hint="eastAsia" w:ascii="宋体" w:hAnsi="宋体" w:eastAsia="宋体" w:cs="宋体"/>
                <w:color w:val="000000" w:themeColor="text1"/>
                <w:kern w:val="0"/>
                <w:sz w:val="21"/>
                <w:szCs w:val="21"/>
                <w:highlight w:val="none"/>
                <w:lang w:bidi="ar"/>
                <w14:textFill>
                  <w14:solidFill>
                    <w14:schemeClr w14:val="tx1"/>
                  </w14:solidFill>
                </w14:textFill>
              </w:rPr>
              <w:t>小计</w:t>
            </w:r>
          </w:p>
          <w:p>
            <w:pPr>
              <w:keepNext w:val="0"/>
              <w:keepLines w:val="0"/>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color w:val="000000" w:themeColor="text1"/>
                <w:kern w:val="0"/>
                <w:sz w:val="21"/>
                <w:szCs w:val="21"/>
                <w:highlight w:val="none"/>
                <w:lang w:bidi="ar"/>
                <w14:textFill>
                  <w14:solidFill>
                    <w14:schemeClr w14:val="tx1"/>
                  </w14:solidFill>
                </w14:textFill>
              </w:rPr>
            </w:pPr>
            <w:r>
              <w:rPr>
                <w:rFonts w:hint="eastAsia" w:ascii="宋体" w:hAnsi="宋体" w:eastAsia="宋体" w:cs="宋体"/>
                <w:color w:val="000000" w:themeColor="text1"/>
                <w:kern w:val="0"/>
                <w:sz w:val="21"/>
                <w:szCs w:val="21"/>
                <w:highlight w:val="none"/>
                <w:lang w:bidi="ar"/>
                <w14:textFill>
                  <w14:solidFill>
                    <w14:schemeClr w14:val="tx1"/>
                  </w14:solidFill>
                </w14:textFill>
              </w:rPr>
              <w:t>（RMB）</w:t>
            </w:r>
          </w:p>
        </w:tc>
        <w:tc>
          <w:tcPr>
            <w:tcW w:w="1131" w:type="dxa"/>
            <w:vAlign w:val="center"/>
          </w:tcPr>
          <w:p>
            <w:pPr>
              <w:keepNext w:val="0"/>
              <w:keepLines w:val="0"/>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color w:val="000000" w:themeColor="text1"/>
                <w:kern w:val="0"/>
                <w:sz w:val="21"/>
                <w:szCs w:val="21"/>
                <w:highlight w:val="none"/>
                <w:lang w:bidi="ar"/>
                <w14:textFill>
                  <w14:solidFill>
                    <w14:schemeClr w14:val="tx1"/>
                  </w14:solidFill>
                </w14:textFill>
              </w:rPr>
            </w:pPr>
            <w:r>
              <w:rPr>
                <w:rFonts w:hint="eastAsia" w:ascii="宋体" w:hAnsi="宋体" w:eastAsia="宋体" w:cs="宋体"/>
                <w:color w:val="000000" w:themeColor="text1"/>
                <w:kern w:val="0"/>
                <w:sz w:val="21"/>
                <w:szCs w:val="21"/>
                <w:highlight w:val="none"/>
                <w:lang w:bidi="ar"/>
                <w14:textFill>
                  <w14:solidFill>
                    <w14:schemeClr w14:val="tx1"/>
                  </w14:solidFill>
                </w14:textFill>
              </w:rPr>
              <w:t>交货时间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48" w:type="dxa"/>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1232" w:type="dxa"/>
            <w:shd w:val="clear" w:color="auto" w:fill="auto"/>
            <w:vAlign w:val="center"/>
          </w:tcPr>
          <w:p>
            <w:pPr>
              <w:pStyle w:val="6"/>
              <w:tabs>
                <w:tab w:val="left" w:pos="0"/>
                <w:tab w:val="left" w:pos="720"/>
              </w:tabs>
              <w:spacing w:line="440" w:lineRule="exact"/>
              <w:jc w:val="center"/>
              <w:rPr>
                <w:rFonts w:hint="eastAsia" w:ascii="宋体" w:hAnsi="宋体" w:eastAsia="宋体" w:cs="宋体"/>
                <w:b/>
                <w:color w:val="000000" w:themeColor="text1"/>
                <w:kern w:val="2"/>
                <w:sz w:val="21"/>
                <w:szCs w:val="21"/>
                <w:highlight w:val="none"/>
                <w:lang w:val="en-US" w:eastAsia="zh-CN" w:bidi="ar-SA"/>
                <w14:textFill>
                  <w14:solidFill>
                    <w14:schemeClr w14:val="tx1"/>
                  </w14:solidFill>
                </w14:textFill>
              </w:rPr>
            </w:pPr>
            <w:r>
              <w:rPr>
                <w:rFonts w:hint="eastAsia" w:ascii="宋体" w:hAnsi="宋体"/>
                <w:sz w:val="21"/>
                <w:szCs w:val="22"/>
              </w:rPr>
              <w:t>融合门户</w:t>
            </w:r>
          </w:p>
        </w:tc>
        <w:tc>
          <w:tcPr>
            <w:tcW w:w="1360" w:type="dxa"/>
            <w:shd w:val="clear" w:color="auto" w:fill="auto"/>
            <w:vAlign w:val="center"/>
          </w:tcPr>
          <w:p>
            <w:pPr>
              <w:jc w:val="center"/>
              <w:rPr>
                <w:rFonts w:hint="eastAsia" w:ascii="宋体" w:hAnsi="宋体" w:eastAsia="宋体" w:cs="宋体"/>
                <w:b/>
                <w:color w:val="000000" w:themeColor="text1"/>
                <w:kern w:val="2"/>
                <w:sz w:val="21"/>
                <w:szCs w:val="21"/>
                <w:highlight w:val="none"/>
                <w:lang w:val="en-US" w:eastAsia="zh-CN" w:bidi="ar-SA"/>
                <w14:textFill>
                  <w14:solidFill>
                    <w14:schemeClr w14:val="tx1"/>
                  </w14:solidFill>
                </w14:textFill>
              </w:rPr>
            </w:pPr>
            <w:r>
              <w:rPr>
                <w:rFonts w:hint="eastAsia" w:ascii="宋体" w:hAnsi="宋体"/>
                <w:sz w:val="22"/>
                <w:szCs w:val="22"/>
              </w:rPr>
              <w:t>江苏金智教育信息股份有限公司</w:t>
            </w:r>
          </w:p>
        </w:tc>
        <w:tc>
          <w:tcPr>
            <w:tcW w:w="1260" w:type="dxa"/>
            <w:shd w:val="clear" w:color="auto" w:fill="auto"/>
            <w:vAlign w:val="center"/>
          </w:tcPr>
          <w:p>
            <w:pPr>
              <w:pStyle w:val="14"/>
              <w:ind w:firstLine="0" w:firstLineChars="0"/>
              <w:rPr>
                <w:rFonts w:hint="eastAsia" w:ascii="宋体" w:hAnsi="宋体" w:eastAsiaTheme="minorEastAsia" w:cstheme="minorEastAsia"/>
                <w:color w:val="000000" w:themeColor="text1"/>
                <w:kern w:val="2"/>
                <w:sz w:val="21"/>
                <w:szCs w:val="24"/>
                <w:lang w:val="en-US" w:eastAsia="zh-CN" w:bidi="ar-SA"/>
                <w14:textFill>
                  <w14:solidFill>
                    <w14:schemeClr w14:val="tx1"/>
                  </w14:solidFill>
                </w14:textFill>
              </w:rPr>
            </w:pPr>
            <w:r>
              <w:rPr>
                <w:rFonts w:hint="eastAsia" w:ascii="宋体" w:hAnsi="宋体"/>
              </w:rPr>
              <w:t>金智教育融合门户软件V3.0</w:t>
            </w:r>
          </w:p>
        </w:tc>
        <w:tc>
          <w:tcPr>
            <w:tcW w:w="776" w:type="dxa"/>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中国</w:t>
            </w:r>
          </w:p>
        </w:tc>
        <w:tc>
          <w:tcPr>
            <w:tcW w:w="606" w:type="dxa"/>
            <w:vAlign w:val="center"/>
          </w:tcPr>
          <w:p>
            <w:pPr>
              <w:keepNext w:val="0"/>
              <w:keepLines w:val="0"/>
              <w:pageBreakBefore w:val="0"/>
              <w:kinsoku/>
              <w:wordWrap/>
              <w:overflowPunct/>
              <w:topLinePunct w:val="0"/>
              <w:autoSpaceDE/>
              <w:autoSpaceDN/>
              <w:bidi w:val="0"/>
              <w:spacing w:line="360" w:lineRule="auto"/>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套</w:t>
            </w:r>
          </w:p>
        </w:tc>
        <w:tc>
          <w:tcPr>
            <w:tcW w:w="606" w:type="dxa"/>
            <w:vAlign w:val="center"/>
          </w:tcPr>
          <w:p>
            <w:pPr>
              <w:keepNext w:val="0"/>
              <w:keepLines w:val="0"/>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1</w:t>
            </w:r>
          </w:p>
        </w:tc>
        <w:tc>
          <w:tcPr>
            <w:tcW w:w="1006" w:type="dxa"/>
            <w:shd w:val="clear" w:color="auto" w:fill="auto"/>
            <w:vAlign w:val="center"/>
          </w:tcPr>
          <w:p>
            <w:pPr>
              <w:pStyle w:val="14"/>
              <w:ind w:firstLine="0" w:firstLineChars="0"/>
              <w:jc w:val="center"/>
              <w:rPr>
                <w:rFonts w:hint="eastAsia" w:ascii="宋体" w:hAnsi="宋体" w:eastAsiaTheme="minorEastAsia" w:cstheme="minorEastAsia"/>
                <w:color w:val="000000" w:themeColor="text1"/>
                <w:kern w:val="2"/>
                <w:sz w:val="21"/>
                <w:szCs w:val="24"/>
                <w:lang w:val="en-US" w:eastAsia="zh-CN" w:bidi="ar-SA"/>
                <w14:textFill>
                  <w14:solidFill>
                    <w14:schemeClr w14:val="tx1"/>
                  </w14:solidFill>
                </w14:textFill>
              </w:rPr>
            </w:pPr>
            <w:r>
              <w:rPr>
                <w:rFonts w:hint="eastAsia" w:ascii="宋体" w:hAnsi="宋体"/>
              </w:rPr>
              <w:t>500000</w:t>
            </w:r>
          </w:p>
        </w:tc>
        <w:tc>
          <w:tcPr>
            <w:tcW w:w="1017" w:type="dxa"/>
            <w:shd w:val="clear" w:color="auto" w:fill="auto"/>
            <w:vAlign w:val="center"/>
          </w:tcPr>
          <w:p>
            <w:pPr>
              <w:pStyle w:val="14"/>
              <w:ind w:firstLine="0" w:firstLineChars="0"/>
              <w:jc w:val="center"/>
              <w:rPr>
                <w:rFonts w:hint="eastAsia" w:ascii="宋体" w:hAnsi="宋体" w:eastAsiaTheme="minorEastAsia" w:cstheme="minorEastAsia"/>
                <w:color w:val="000000" w:themeColor="text1"/>
                <w:kern w:val="2"/>
                <w:sz w:val="22"/>
                <w:szCs w:val="24"/>
                <w:lang w:val="en-US" w:eastAsia="zh-CN" w:bidi="ar-SA"/>
                <w14:textFill>
                  <w14:solidFill>
                    <w14:schemeClr w14:val="tx1"/>
                  </w14:solidFill>
                </w14:textFill>
              </w:rPr>
            </w:pPr>
            <w:r>
              <w:rPr>
                <w:rFonts w:hint="eastAsia" w:ascii="宋体" w:hAnsi="宋体"/>
              </w:rPr>
              <w:t>500000</w:t>
            </w:r>
          </w:p>
        </w:tc>
        <w:tc>
          <w:tcPr>
            <w:tcW w:w="1131" w:type="dxa"/>
          </w:tcPr>
          <w:p>
            <w:pPr>
              <w:keepNext w:val="0"/>
              <w:keepLines w:val="0"/>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color w:val="000000" w:themeColor="text1"/>
                <w:kern w:val="0"/>
                <w:sz w:val="21"/>
                <w:szCs w:val="21"/>
                <w:highlight w:val="none"/>
                <w:lang w:bidi="ar"/>
                <w14:textFill>
                  <w14:solidFill>
                    <w14:schemeClr w14:val="tx1"/>
                  </w14:solidFill>
                </w14:textFill>
              </w:rPr>
            </w:pPr>
            <w:r>
              <w:rPr>
                <w:rFonts w:hint="eastAsia" w:ascii="宋体" w:hAnsi="宋体" w:eastAsia="宋体" w:cs="宋体"/>
                <w:b w:val="0"/>
                <w:bCs/>
                <w:sz w:val="21"/>
                <w:szCs w:val="21"/>
                <w:highlight w:val="none"/>
                <w:lang w:val="en-US" w:eastAsia="zh-CN"/>
              </w:rPr>
              <w:t>150日历天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48" w:type="dxa"/>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1232" w:type="dxa"/>
            <w:shd w:val="clear" w:color="auto" w:fill="auto"/>
            <w:vAlign w:val="center"/>
          </w:tcPr>
          <w:p>
            <w:pPr>
              <w:pStyle w:val="6"/>
              <w:tabs>
                <w:tab w:val="left" w:pos="0"/>
                <w:tab w:val="left" w:pos="720"/>
              </w:tabs>
              <w:spacing w:line="440" w:lineRule="exact"/>
              <w:jc w:val="center"/>
              <w:rPr>
                <w:rFonts w:hint="eastAsia" w:ascii="宋体" w:hAnsi="宋体" w:eastAsia="宋体" w:cs="宋体"/>
                <w:b/>
                <w:color w:val="000000" w:themeColor="text1"/>
                <w:kern w:val="2"/>
                <w:sz w:val="21"/>
                <w:szCs w:val="21"/>
                <w:highlight w:val="none"/>
                <w:lang w:val="en-US" w:eastAsia="zh-CN" w:bidi="ar-SA"/>
                <w14:textFill>
                  <w14:solidFill>
                    <w14:schemeClr w14:val="tx1"/>
                  </w14:solidFill>
                </w14:textFill>
              </w:rPr>
            </w:pPr>
            <w:r>
              <w:rPr>
                <w:rFonts w:hint="eastAsia" w:ascii="宋体" w:hAnsi="宋体"/>
                <w:sz w:val="21"/>
                <w:szCs w:val="22"/>
              </w:rPr>
              <w:t>身份互联认证平台</w:t>
            </w:r>
          </w:p>
        </w:tc>
        <w:tc>
          <w:tcPr>
            <w:tcW w:w="1360" w:type="dxa"/>
            <w:shd w:val="clear" w:color="auto" w:fill="auto"/>
            <w:vAlign w:val="center"/>
          </w:tcPr>
          <w:p>
            <w:pPr>
              <w:jc w:val="center"/>
              <w:rPr>
                <w:rFonts w:hint="eastAsia" w:ascii="宋体" w:hAnsi="宋体" w:eastAsia="宋体" w:cs="宋体"/>
                <w:b/>
                <w:color w:val="000000" w:themeColor="text1"/>
                <w:kern w:val="2"/>
                <w:sz w:val="21"/>
                <w:szCs w:val="21"/>
                <w:highlight w:val="none"/>
                <w:lang w:val="en-US" w:eastAsia="zh-CN" w:bidi="ar-SA"/>
                <w14:textFill>
                  <w14:solidFill>
                    <w14:schemeClr w14:val="tx1"/>
                  </w14:solidFill>
                </w14:textFill>
              </w:rPr>
            </w:pPr>
            <w:r>
              <w:rPr>
                <w:rFonts w:hint="eastAsia" w:ascii="宋体" w:hAnsi="宋体"/>
                <w:sz w:val="22"/>
                <w:szCs w:val="22"/>
              </w:rPr>
              <w:t>江苏金智教育信息股份有限公司</w:t>
            </w:r>
          </w:p>
        </w:tc>
        <w:tc>
          <w:tcPr>
            <w:tcW w:w="1260" w:type="dxa"/>
            <w:shd w:val="clear" w:color="auto" w:fill="auto"/>
            <w:vAlign w:val="center"/>
          </w:tcPr>
          <w:p>
            <w:pPr>
              <w:pStyle w:val="14"/>
              <w:ind w:firstLine="0" w:firstLineChars="0"/>
              <w:rPr>
                <w:rFonts w:hint="eastAsia" w:ascii="宋体" w:hAnsi="宋体" w:eastAsiaTheme="minorEastAsia" w:cstheme="minorEastAsia"/>
                <w:color w:val="000000" w:themeColor="text1"/>
                <w:kern w:val="2"/>
                <w:sz w:val="21"/>
                <w:szCs w:val="24"/>
                <w:lang w:val="en-US" w:eastAsia="zh-CN" w:bidi="ar-SA"/>
                <w14:textFill>
                  <w14:solidFill>
                    <w14:schemeClr w14:val="tx1"/>
                  </w14:solidFill>
                </w14:textFill>
              </w:rPr>
            </w:pPr>
            <w:r>
              <w:rPr>
                <w:rFonts w:hint="eastAsia" w:ascii="宋体" w:hAnsi="宋体"/>
              </w:rPr>
              <w:t>金智教育校园身份互联认证平台软件[简称：CIAP]V7.0</w:t>
            </w:r>
          </w:p>
        </w:tc>
        <w:tc>
          <w:tcPr>
            <w:tcW w:w="776" w:type="dxa"/>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中国</w:t>
            </w:r>
          </w:p>
        </w:tc>
        <w:tc>
          <w:tcPr>
            <w:tcW w:w="606" w:type="dxa"/>
            <w:vAlign w:val="center"/>
          </w:tcPr>
          <w:p>
            <w:pPr>
              <w:keepNext w:val="0"/>
              <w:keepLines w:val="0"/>
              <w:pageBreakBefore w:val="0"/>
              <w:kinsoku/>
              <w:wordWrap/>
              <w:overflowPunct/>
              <w:topLinePunct w:val="0"/>
              <w:autoSpaceDE/>
              <w:autoSpaceDN/>
              <w:bidi w:val="0"/>
              <w:spacing w:line="360" w:lineRule="auto"/>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套</w:t>
            </w:r>
          </w:p>
        </w:tc>
        <w:tc>
          <w:tcPr>
            <w:tcW w:w="606" w:type="dxa"/>
            <w:vAlign w:val="center"/>
          </w:tcPr>
          <w:p>
            <w:pPr>
              <w:keepNext w:val="0"/>
              <w:keepLines w:val="0"/>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1</w:t>
            </w:r>
          </w:p>
        </w:tc>
        <w:tc>
          <w:tcPr>
            <w:tcW w:w="1006" w:type="dxa"/>
            <w:shd w:val="clear" w:color="auto" w:fill="auto"/>
            <w:vAlign w:val="center"/>
          </w:tcPr>
          <w:p>
            <w:pPr>
              <w:pStyle w:val="14"/>
              <w:ind w:firstLine="0" w:firstLineChars="0"/>
              <w:jc w:val="center"/>
              <w:rPr>
                <w:rFonts w:hint="eastAsia" w:ascii="宋体" w:hAnsi="宋体" w:eastAsiaTheme="minorEastAsia" w:cstheme="minorEastAsia"/>
                <w:color w:val="000000" w:themeColor="text1"/>
                <w:kern w:val="2"/>
                <w:sz w:val="21"/>
                <w:szCs w:val="24"/>
                <w:lang w:val="en-US" w:eastAsia="zh-CN" w:bidi="ar-SA"/>
                <w14:textFill>
                  <w14:solidFill>
                    <w14:schemeClr w14:val="tx1"/>
                  </w14:solidFill>
                </w14:textFill>
              </w:rPr>
            </w:pPr>
            <w:r>
              <w:rPr>
                <w:rFonts w:hint="eastAsia" w:ascii="宋体" w:hAnsi="宋体"/>
              </w:rPr>
              <w:t>300000</w:t>
            </w:r>
          </w:p>
        </w:tc>
        <w:tc>
          <w:tcPr>
            <w:tcW w:w="1017" w:type="dxa"/>
            <w:shd w:val="clear" w:color="auto" w:fill="auto"/>
            <w:vAlign w:val="center"/>
          </w:tcPr>
          <w:p>
            <w:pPr>
              <w:pStyle w:val="14"/>
              <w:ind w:firstLine="0" w:firstLineChars="0"/>
              <w:jc w:val="center"/>
              <w:rPr>
                <w:rFonts w:hint="eastAsia" w:ascii="宋体" w:hAnsi="宋体" w:eastAsiaTheme="minorEastAsia" w:cstheme="minorEastAsia"/>
                <w:color w:val="000000" w:themeColor="text1"/>
                <w:kern w:val="2"/>
                <w:sz w:val="21"/>
                <w:szCs w:val="24"/>
                <w:lang w:val="en-US" w:eastAsia="zh-CN" w:bidi="ar-SA"/>
                <w14:textFill>
                  <w14:solidFill>
                    <w14:schemeClr w14:val="tx1"/>
                  </w14:solidFill>
                </w14:textFill>
              </w:rPr>
            </w:pPr>
            <w:r>
              <w:rPr>
                <w:rFonts w:hint="eastAsia" w:ascii="宋体" w:hAnsi="宋体"/>
              </w:rPr>
              <w:t>300000</w:t>
            </w:r>
          </w:p>
        </w:tc>
        <w:tc>
          <w:tcPr>
            <w:tcW w:w="1131" w:type="dxa"/>
          </w:tcPr>
          <w:p>
            <w:pPr>
              <w:keepNext w:val="0"/>
              <w:keepLines w:val="0"/>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color w:val="000000" w:themeColor="text1"/>
                <w:kern w:val="0"/>
                <w:sz w:val="21"/>
                <w:szCs w:val="21"/>
                <w:highlight w:val="none"/>
                <w:lang w:bidi="ar"/>
                <w14:textFill>
                  <w14:solidFill>
                    <w14:schemeClr w14:val="tx1"/>
                  </w14:solidFill>
                </w14:textFill>
              </w:rPr>
            </w:pPr>
            <w:r>
              <w:rPr>
                <w:rFonts w:hint="eastAsia" w:ascii="宋体" w:hAnsi="宋体" w:eastAsia="宋体" w:cs="宋体"/>
                <w:b w:val="0"/>
                <w:bCs/>
                <w:sz w:val="21"/>
                <w:szCs w:val="21"/>
                <w:highlight w:val="none"/>
                <w:lang w:val="en-US" w:eastAsia="zh-CN"/>
              </w:rPr>
              <w:t>150日历天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48" w:type="dxa"/>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1232" w:type="dxa"/>
            <w:shd w:val="clear" w:color="auto" w:fill="auto"/>
            <w:vAlign w:val="center"/>
          </w:tcPr>
          <w:p>
            <w:pPr>
              <w:pStyle w:val="6"/>
              <w:tabs>
                <w:tab w:val="left" w:pos="0"/>
                <w:tab w:val="left" w:pos="720"/>
              </w:tabs>
              <w:spacing w:line="440" w:lineRule="exact"/>
              <w:jc w:val="center"/>
              <w:rPr>
                <w:rFonts w:hint="eastAsia" w:ascii="宋体" w:hAnsi="宋体" w:eastAsia="宋体" w:cs="宋体"/>
                <w:b/>
                <w:color w:val="000000" w:themeColor="text1"/>
                <w:kern w:val="2"/>
                <w:sz w:val="21"/>
                <w:szCs w:val="21"/>
                <w:highlight w:val="none"/>
                <w:lang w:val="en-US" w:eastAsia="zh-CN" w:bidi="ar-SA"/>
                <w14:textFill>
                  <w14:solidFill>
                    <w14:schemeClr w14:val="tx1"/>
                  </w14:solidFill>
                </w14:textFill>
              </w:rPr>
            </w:pPr>
            <w:r>
              <w:rPr>
                <w:rFonts w:hint="eastAsia" w:ascii="宋体" w:hAnsi="宋体"/>
              </w:rPr>
              <w:t>微服务构建</w:t>
            </w:r>
          </w:p>
        </w:tc>
        <w:tc>
          <w:tcPr>
            <w:tcW w:w="1360" w:type="dxa"/>
            <w:shd w:val="clear" w:color="auto" w:fill="auto"/>
            <w:vAlign w:val="center"/>
          </w:tcPr>
          <w:p>
            <w:pPr>
              <w:jc w:val="center"/>
              <w:rPr>
                <w:rFonts w:hint="eastAsia" w:ascii="宋体" w:hAnsi="宋体" w:eastAsia="宋体" w:cs="宋体"/>
                <w:b/>
                <w:color w:val="000000" w:themeColor="text1"/>
                <w:kern w:val="2"/>
                <w:sz w:val="21"/>
                <w:szCs w:val="21"/>
                <w:highlight w:val="none"/>
                <w:lang w:val="en-US" w:eastAsia="zh-CN" w:bidi="ar-SA"/>
                <w14:textFill>
                  <w14:solidFill>
                    <w14:schemeClr w14:val="tx1"/>
                  </w14:solidFill>
                </w14:textFill>
              </w:rPr>
            </w:pPr>
            <w:r>
              <w:rPr>
                <w:rFonts w:hint="eastAsia" w:ascii="宋体" w:hAnsi="宋体"/>
                <w:sz w:val="22"/>
                <w:szCs w:val="22"/>
              </w:rPr>
              <w:t>江苏金智教育信息股份有限公司</w:t>
            </w:r>
          </w:p>
        </w:tc>
        <w:tc>
          <w:tcPr>
            <w:tcW w:w="1260" w:type="dxa"/>
            <w:shd w:val="clear" w:color="auto" w:fill="auto"/>
            <w:vAlign w:val="center"/>
          </w:tcPr>
          <w:p>
            <w:pPr>
              <w:pStyle w:val="14"/>
              <w:ind w:firstLine="0" w:firstLineChars="0"/>
              <w:rPr>
                <w:rFonts w:hint="eastAsia" w:ascii="宋体" w:hAnsi="宋体" w:eastAsiaTheme="minorEastAsia" w:cstheme="minorEastAsia"/>
                <w:color w:val="000000" w:themeColor="text1"/>
                <w:kern w:val="2"/>
                <w:sz w:val="21"/>
                <w:szCs w:val="24"/>
                <w:lang w:val="en-US" w:eastAsia="zh-CN" w:bidi="ar-SA"/>
                <w14:textFill>
                  <w14:solidFill>
                    <w14:schemeClr w14:val="tx1"/>
                  </w14:solidFill>
                </w14:textFill>
              </w:rPr>
            </w:pPr>
            <w:r>
              <w:rPr>
                <w:rFonts w:hint="eastAsia" w:ascii="宋体" w:hAnsi="宋体"/>
              </w:rPr>
              <w:t>金智教育易表通在线应用开发运行管理平台软件（简称：易表通）V1.0</w:t>
            </w:r>
          </w:p>
        </w:tc>
        <w:tc>
          <w:tcPr>
            <w:tcW w:w="776" w:type="dxa"/>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中国</w:t>
            </w:r>
          </w:p>
        </w:tc>
        <w:tc>
          <w:tcPr>
            <w:tcW w:w="606" w:type="dxa"/>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个</w:t>
            </w:r>
          </w:p>
        </w:tc>
        <w:tc>
          <w:tcPr>
            <w:tcW w:w="606" w:type="dxa"/>
            <w:vAlign w:val="center"/>
          </w:tcPr>
          <w:p>
            <w:pPr>
              <w:keepNext w:val="0"/>
              <w:keepLines w:val="0"/>
              <w:pageBreakBefore w:val="0"/>
              <w:widowControl/>
              <w:kinsoku/>
              <w:wordWrap/>
              <w:overflowPunct/>
              <w:topLinePunct w:val="0"/>
              <w:autoSpaceDE/>
              <w:autoSpaceDN/>
              <w:bidi w:val="0"/>
              <w:spacing w:line="360" w:lineRule="auto"/>
              <w:jc w:val="center"/>
              <w:textAlignment w:val="center"/>
              <w:rPr>
                <w:rFonts w:hint="default" w:ascii="宋体" w:hAnsi="宋体" w:eastAsia="宋体" w:cs="宋体"/>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40</w:t>
            </w:r>
          </w:p>
        </w:tc>
        <w:tc>
          <w:tcPr>
            <w:tcW w:w="1006" w:type="dxa"/>
            <w:shd w:val="clear" w:color="auto" w:fill="auto"/>
            <w:vAlign w:val="center"/>
          </w:tcPr>
          <w:p>
            <w:pPr>
              <w:pStyle w:val="14"/>
              <w:ind w:firstLine="0" w:firstLineChars="0"/>
              <w:jc w:val="center"/>
              <w:rPr>
                <w:rFonts w:hint="eastAsia" w:ascii="宋体" w:hAnsi="宋体" w:eastAsiaTheme="minorEastAsia" w:cstheme="minorEastAsia"/>
                <w:color w:val="000000" w:themeColor="text1"/>
                <w:kern w:val="2"/>
                <w:sz w:val="21"/>
                <w:szCs w:val="24"/>
                <w:lang w:val="en-US" w:eastAsia="zh-CN" w:bidi="ar-SA"/>
                <w14:textFill>
                  <w14:solidFill>
                    <w14:schemeClr w14:val="tx1"/>
                  </w14:solidFill>
                </w14:textFill>
              </w:rPr>
            </w:pPr>
            <w:r>
              <w:rPr>
                <w:rFonts w:hint="eastAsia" w:ascii="宋体" w:hAnsi="宋体"/>
              </w:rPr>
              <w:t>7875</w:t>
            </w:r>
          </w:p>
        </w:tc>
        <w:tc>
          <w:tcPr>
            <w:tcW w:w="1017" w:type="dxa"/>
            <w:shd w:val="clear" w:color="auto" w:fill="auto"/>
            <w:vAlign w:val="center"/>
          </w:tcPr>
          <w:p>
            <w:pPr>
              <w:pStyle w:val="14"/>
              <w:ind w:firstLine="0" w:firstLineChars="0"/>
              <w:jc w:val="center"/>
              <w:rPr>
                <w:rFonts w:hint="eastAsia" w:ascii="宋体" w:hAnsi="宋体" w:eastAsiaTheme="minorEastAsia" w:cstheme="minorEastAsia"/>
                <w:color w:val="000000" w:themeColor="text1"/>
                <w:kern w:val="2"/>
                <w:sz w:val="21"/>
                <w:szCs w:val="24"/>
                <w:lang w:val="en-US" w:eastAsia="zh-CN" w:bidi="ar-SA"/>
                <w14:textFill>
                  <w14:solidFill>
                    <w14:schemeClr w14:val="tx1"/>
                  </w14:solidFill>
                </w14:textFill>
              </w:rPr>
            </w:pPr>
            <w:r>
              <w:rPr>
                <w:rFonts w:hint="eastAsia" w:ascii="宋体" w:hAnsi="宋体"/>
              </w:rPr>
              <w:t>315000</w:t>
            </w:r>
          </w:p>
        </w:tc>
        <w:tc>
          <w:tcPr>
            <w:tcW w:w="1131" w:type="dxa"/>
          </w:tcPr>
          <w:p>
            <w:pPr>
              <w:keepNext w:val="0"/>
              <w:keepLines w:val="0"/>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color w:val="000000" w:themeColor="text1"/>
                <w:kern w:val="0"/>
                <w:sz w:val="21"/>
                <w:szCs w:val="21"/>
                <w:highlight w:val="none"/>
                <w:lang w:bidi="ar"/>
                <w14:textFill>
                  <w14:solidFill>
                    <w14:schemeClr w14:val="tx1"/>
                  </w14:solidFill>
                </w14:textFill>
              </w:rPr>
            </w:pPr>
            <w:r>
              <w:rPr>
                <w:rFonts w:hint="eastAsia" w:ascii="宋体" w:hAnsi="宋体" w:eastAsia="宋体" w:cs="宋体"/>
                <w:b w:val="0"/>
                <w:bCs/>
                <w:sz w:val="21"/>
                <w:szCs w:val="21"/>
                <w:highlight w:val="none"/>
                <w:lang w:val="en-US" w:eastAsia="zh-CN"/>
              </w:rPr>
              <w:t>150日历天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48" w:type="dxa"/>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c>
          <w:tcPr>
            <w:tcW w:w="1232" w:type="dxa"/>
            <w:shd w:val="clear" w:color="auto" w:fill="auto"/>
            <w:vAlign w:val="center"/>
          </w:tcPr>
          <w:p>
            <w:pPr>
              <w:pStyle w:val="6"/>
              <w:tabs>
                <w:tab w:val="left" w:pos="0"/>
                <w:tab w:val="left" w:pos="720"/>
              </w:tabs>
              <w:spacing w:line="440" w:lineRule="exact"/>
              <w:jc w:val="center"/>
              <w:rPr>
                <w:rFonts w:hint="eastAsia" w:ascii="宋体" w:hAnsi="宋体" w:eastAsia="宋体" w:cs="宋体"/>
                <w:b/>
                <w:color w:val="000000" w:themeColor="text1"/>
                <w:kern w:val="2"/>
                <w:sz w:val="21"/>
                <w:szCs w:val="21"/>
                <w:highlight w:val="none"/>
                <w:lang w:val="en-US" w:eastAsia="zh-CN" w:bidi="ar-SA"/>
                <w14:textFill>
                  <w14:solidFill>
                    <w14:schemeClr w14:val="tx1"/>
                  </w14:solidFill>
                </w14:textFill>
              </w:rPr>
            </w:pPr>
            <w:r>
              <w:rPr>
                <w:rFonts w:hint="eastAsia" w:ascii="宋体" w:hAnsi="宋体"/>
              </w:rPr>
              <w:t>数据治理中台</w:t>
            </w:r>
          </w:p>
        </w:tc>
        <w:tc>
          <w:tcPr>
            <w:tcW w:w="1360" w:type="dxa"/>
            <w:shd w:val="clear" w:color="auto" w:fill="auto"/>
            <w:vAlign w:val="center"/>
          </w:tcPr>
          <w:p>
            <w:pPr>
              <w:jc w:val="center"/>
              <w:rPr>
                <w:rFonts w:hint="eastAsia" w:ascii="宋体" w:hAnsi="宋体" w:eastAsia="宋体" w:cs="宋体"/>
                <w:b/>
                <w:color w:val="000000" w:themeColor="text1"/>
                <w:kern w:val="2"/>
                <w:sz w:val="21"/>
                <w:szCs w:val="21"/>
                <w:highlight w:val="none"/>
                <w:lang w:val="en-US" w:eastAsia="zh-CN" w:bidi="ar-SA"/>
                <w14:textFill>
                  <w14:solidFill>
                    <w14:schemeClr w14:val="tx1"/>
                  </w14:solidFill>
                </w14:textFill>
              </w:rPr>
            </w:pPr>
            <w:r>
              <w:rPr>
                <w:rFonts w:hint="eastAsia" w:ascii="宋体" w:hAnsi="宋体"/>
                <w:sz w:val="22"/>
                <w:szCs w:val="22"/>
              </w:rPr>
              <w:t>江苏金智教育信息股份有限公司</w:t>
            </w:r>
          </w:p>
        </w:tc>
        <w:tc>
          <w:tcPr>
            <w:tcW w:w="1260" w:type="dxa"/>
            <w:shd w:val="clear" w:color="auto" w:fill="auto"/>
            <w:vAlign w:val="center"/>
          </w:tcPr>
          <w:p>
            <w:pPr>
              <w:pStyle w:val="14"/>
              <w:ind w:firstLine="0" w:firstLineChars="0"/>
              <w:rPr>
                <w:rFonts w:hint="eastAsia" w:ascii="宋体" w:hAnsi="宋体" w:eastAsiaTheme="minorEastAsia" w:cstheme="minorEastAsia"/>
                <w:color w:val="000000" w:themeColor="text1"/>
                <w:kern w:val="2"/>
                <w:sz w:val="21"/>
                <w:szCs w:val="24"/>
                <w:lang w:val="en-US" w:eastAsia="zh-CN" w:bidi="ar-SA"/>
                <w14:textFill>
                  <w14:solidFill>
                    <w14:schemeClr w14:val="tx1"/>
                  </w14:solidFill>
                </w14:textFill>
              </w:rPr>
            </w:pPr>
            <w:r>
              <w:rPr>
                <w:rFonts w:hint="eastAsia" w:ascii="宋体" w:hAnsi="宋体"/>
              </w:rPr>
              <w:t>金智教育数据资产管理平台软件[简称：数据平台]V</w:t>
            </w:r>
            <w:r>
              <w:rPr>
                <w:rFonts w:hint="eastAsia" w:ascii="宋体" w:hAnsi="宋体"/>
                <w:lang w:val="en-US" w:eastAsia="zh-CN"/>
              </w:rPr>
              <w:t>6</w:t>
            </w:r>
            <w:r>
              <w:rPr>
                <w:rFonts w:hint="eastAsia" w:ascii="宋体" w:hAnsi="宋体"/>
              </w:rPr>
              <w:t>.0</w:t>
            </w:r>
          </w:p>
        </w:tc>
        <w:tc>
          <w:tcPr>
            <w:tcW w:w="776" w:type="dxa"/>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中国</w:t>
            </w:r>
          </w:p>
        </w:tc>
        <w:tc>
          <w:tcPr>
            <w:tcW w:w="606" w:type="dxa"/>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套</w:t>
            </w:r>
          </w:p>
        </w:tc>
        <w:tc>
          <w:tcPr>
            <w:tcW w:w="606" w:type="dxa"/>
            <w:vAlign w:val="center"/>
          </w:tcPr>
          <w:p>
            <w:pPr>
              <w:keepNext w:val="0"/>
              <w:keepLines w:val="0"/>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1</w:t>
            </w:r>
          </w:p>
        </w:tc>
        <w:tc>
          <w:tcPr>
            <w:tcW w:w="1006" w:type="dxa"/>
            <w:shd w:val="clear" w:color="auto" w:fill="auto"/>
            <w:vAlign w:val="center"/>
          </w:tcPr>
          <w:p>
            <w:pPr>
              <w:pStyle w:val="14"/>
              <w:ind w:firstLine="0" w:firstLineChars="0"/>
              <w:jc w:val="center"/>
              <w:rPr>
                <w:rFonts w:hint="eastAsia" w:ascii="宋体" w:hAnsi="宋体" w:eastAsiaTheme="minorEastAsia" w:cstheme="minorEastAsia"/>
                <w:color w:val="000000" w:themeColor="text1"/>
                <w:kern w:val="2"/>
                <w:sz w:val="21"/>
                <w:szCs w:val="24"/>
                <w:lang w:val="en-US" w:eastAsia="zh-CN" w:bidi="ar-SA"/>
                <w14:textFill>
                  <w14:solidFill>
                    <w14:schemeClr w14:val="tx1"/>
                  </w14:solidFill>
                </w14:textFill>
              </w:rPr>
            </w:pPr>
            <w:r>
              <w:rPr>
                <w:rFonts w:hint="eastAsia" w:ascii="宋体" w:hAnsi="宋体"/>
              </w:rPr>
              <w:t>1500000</w:t>
            </w:r>
          </w:p>
        </w:tc>
        <w:tc>
          <w:tcPr>
            <w:tcW w:w="1017" w:type="dxa"/>
            <w:shd w:val="clear" w:color="auto" w:fill="auto"/>
            <w:vAlign w:val="center"/>
          </w:tcPr>
          <w:p>
            <w:pPr>
              <w:pStyle w:val="14"/>
              <w:ind w:firstLine="0" w:firstLineChars="0"/>
              <w:jc w:val="center"/>
              <w:rPr>
                <w:rFonts w:hint="eastAsia" w:ascii="宋体" w:hAnsi="宋体" w:eastAsiaTheme="minorEastAsia" w:cstheme="minorEastAsia"/>
                <w:color w:val="000000" w:themeColor="text1"/>
                <w:kern w:val="2"/>
                <w:sz w:val="22"/>
                <w:szCs w:val="24"/>
                <w:lang w:val="en-US" w:eastAsia="zh-CN" w:bidi="ar-SA"/>
                <w14:textFill>
                  <w14:solidFill>
                    <w14:schemeClr w14:val="tx1"/>
                  </w14:solidFill>
                </w14:textFill>
              </w:rPr>
            </w:pPr>
            <w:r>
              <w:rPr>
                <w:rFonts w:hint="eastAsia" w:ascii="宋体" w:hAnsi="宋体"/>
              </w:rPr>
              <w:t>1500000</w:t>
            </w:r>
          </w:p>
        </w:tc>
        <w:tc>
          <w:tcPr>
            <w:tcW w:w="1131" w:type="dxa"/>
          </w:tcPr>
          <w:p>
            <w:pPr>
              <w:keepNext w:val="0"/>
              <w:keepLines w:val="0"/>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color w:val="000000" w:themeColor="text1"/>
                <w:kern w:val="0"/>
                <w:sz w:val="21"/>
                <w:szCs w:val="21"/>
                <w:highlight w:val="none"/>
                <w:lang w:bidi="ar"/>
                <w14:textFill>
                  <w14:solidFill>
                    <w14:schemeClr w14:val="tx1"/>
                  </w14:solidFill>
                </w14:textFill>
              </w:rPr>
            </w:pPr>
            <w:r>
              <w:rPr>
                <w:rFonts w:hint="eastAsia" w:ascii="宋体" w:hAnsi="宋体" w:eastAsia="宋体" w:cs="宋体"/>
                <w:b w:val="0"/>
                <w:bCs/>
                <w:sz w:val="21"/>
                <w:szCs w:val="21"/>
                <w:highlight w:val="none"/>
                <w:lang w:val="en-US" w:eastAsia="zh-CN"/>
              </w:rPr>
              <w:t>150日历天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48" w:type="dxa"/>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p>
        </w:tc>
        <w:tc>
          <w:tcPr>
            <w:tcW w:w="1232" w:type="dxa"/>
            <w:shd w:val="clear" w:color="auto" w:fill="auto"/>
            <w:vAlign w:val="center"/>
          </w:tcPr>
          <w:p>
            <w:pPr>
              <w:pStyle w:val="6"/>
              <w:tabs>
                <w:tab w:val="left" w:pos="0"/>
                <w:tab w:val="left" w:pos="720"/>
              </w:tabs>
              <w:spacing w:line="440" w:lineRule="exact"/>
              <w:jc w:val="center"/>
              <w:rPr>
                <w:rFonts w:hint="eastAsia" w:ascii="宋体" w:hAnsi="宋体" w:eastAsia="宋体" w:cs="宋体"/>
                <w:b/>
                <w:color w:val="000000" w:themeColor="text1"/>
                <w:kern w:val="2"/>
                <w:sz w:val="21"/>
                <w:szCs w:val="21"/>
                <w:highlight w:val="none"/>
                <w:lang w:val="en-US" w:eastAsia="zh-CN" w:bidi="ar-SA"/>
                <w14:textFill>
                  <w14:solidFill>
                    <w14:schemeClr w14:val="tx1"/>
                  </w14:solidFill>
                </w14:textFill>
              </w:rPr>
            </w:pPr>
            <w:r>
              <w:rPr>
                <w:rFonts w:hint="eastAsia" w:ascii="宋体" w:hAnsi="宋体"/>
                <w:sz w:val="21"/>
                <w:szCs w:val="22"/>
                <w:highlight w:val="none"/>
              </w:rPr>
              <w:t>辅导员协作平台</w:t>
            </w:r>
          </w:p>
        </w:tc>
        <w:tc>
          <w:tcPr>
            <w:tcW w:w="1360" w:type="dxa"/>
            <w:shd w:val="clear" w:color="auto" w:fill="auto"/>
            <w:vAlign w:val="center"/>
          </w:tcPr>
          <w:p>
            <w:pPr>
              <w:jc w:val="center"/>
              <w:rPr>
                <w:rFonts w:hint="eastAsia" w:ascii="宋体" w:hAnsi="宋体" w:eastAsia="宋体" w:cs="宋体"/>
                <w:b/>
                <w:color w:val="000000" w:themeColor="text1"/>
                <w:kern w:val="2"/>
                <w:sz w:val="21"/>
                <w:szCs w:val="21"/>
                <w:highlight w:val="none"/>
                <w:lang w:val="en-US" w:eastAsia="zh-CN" w:bidi="ar-SA"/>
                <w14:textFill>
                  <w14:solidFill>
                    <w14:schemeClr w14:val="tx1"/>
                  </w14:solidFill>
                </w14:textFill>
              </w:rPr>
            </w:pPr>
            <w:r>
              <w:rPr>
                <w:rFonts w:hint="eastAsia" w:ascii="宋体" w:hAnsi="宋体"/>
                <w:sz w:val="22"/>
                <w:szCs w:val="22"/>
                <w:highlight w:val="none"/>
              </w:rPr>
              <w:t>江苏金智教育信息股份有限公司</w:t>
            </w:r>
          </w:p>
        </w:tc>
        <w:tc>
          <w:tcPr>
            <w:tcW w:w="1260" w:type="dxa"/>
            <w:shd w:val="clear" w:color="auto" w:fill="auto"/>
            <w:vAlign w:val="center"/>
          </w:tcPr>
          <w:p>
            <w:pPr>
              <w:pStyle w:val="14"/>
              <w:ind w:firstLine="0" w:firstLineChars="0"/>
              <w:rPr>
                <w:rFonts w:hint="eastAsia" w:ascii="宋体" w:hAnsi="宋体" w:eastAsiaTheme="minorEastAsia" w:cstheme="minorEastAsia"/>
                <w:color w:val="000000" w:themeColor="text1"/>
                <w:kern w:val="2"/>
                <w:sz w:val="21"/>
                <w:szCs w:val="24"/>
                <w:highlight w:val="none"/>
                <w:lang w:val="en-US" w:eastAsia="zh-CN" w:bidi="ar-SA"/>
                <w14:textFill>
                  <w14:solidFill>
                    <w14:schemeClr w14:val="tx1"/>
                  </w14:solidFill>
                </w14:textFill>
              </w:rPr>
            </w:pPr>
            <w:r>
              <w:rPr>
                <w:rFonts w:hint="eastAsia" w:ascii="宋体" w:hAnsi="宋体"/>
                <w:highlight w:val="none"/>
              </w:rPr>
              <w:t>金智教育辅导猫系统软件[简称：辅导猫]V1.0</w:t>
            </w:r>
          </w:p>
        </w:tc>
        <w:tc>
          <w:tcPr>
            <w:tcW w:w="776" w:type="dxa"/>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中国</w:t>
            </w:r>
          </w:p>
        </w:tc>
        <w:tc>
          <w:tcPr>
            <w:tcW w:w="606" w:type="dxa"/>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套</w:t>
            </w:r>
          </w:p>
        </w:tc>
        <w:tc>
          <w:tcPr>
            <w:tcW w:w="606" w:type="dxa"/>
            <w:vAlign w:val="center"/>
          </w:tcPr>
          <w:p>
            <w:pPr>
              <w:keepNext w:val="0"/>
              <w:keepLines w:val="0"/>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b/>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1</w:t>
            </w:r>
          </w:p>
        </w:tc>
        <w:tc>
          <w:tcPr>
            <w:tcW w:w="1006" w:type="dxa"/>
            <w:shd w:val="clear" w:color="auto" w:fill="auto"/>
            <w:vAlign w:val="center"/>
          </w:tcPr>
          <w:p>
            <w:pPr>
              <w:pStyle w:val="14"/>
              <w:ind w:firstLine="0" w:firstLineChars="0"/>
              <w:jc w:val="center"/>
              <w:rPr>
                <w:rFonts w:hint="eastAsia" w:ascii="宋体" w:hAnsi="宋体" w:eastAsiaTheme="minorEastAsia" w:cstheme="minorEastAsia"/>
                <w:color w:val="000000" w:themeColor="text1"/>
                <w:kern w:val="2"/>
                <w:sz w:val="21"/>
                <w:szCs w:val="24"/>
                <w:highlight w:val="none"/>
                <w:lang w:val="en-US" w:eastAsia="zh-CN" w:bidi="ar-SA"/>
                <w14:textFill>
                  <w14:solidFill>
                    <w14:schemeClr w14:val="tx1"/>
                  </w14:solidFill>
                </w14:textFill>
              </w:rPr>
            </w:pPr>
            <w:r>
              <w:rPr>
                <w:rFonts w:hint="eastAsia" w:ascii="宋体" w:hAnsi="宋体"/>
                <w:highlight w:val="none"/>
                <w:lang w:val="en-US" w:eastAsia="zh-CN"/>
              </w:rPr>
              <w:t>2</w:t>
            </w:r>
            <w:r>
              <w:rPr>
                <w:rFonts w:hint="eastAsia" w:ascii="宋体" w:hAnsi="宋体"/>
                <w:highlight w:val="none"/>
              </w:rPr>
              <w:t>50000</w:t>
            </w:r>
          </w:p>
        </w:tc>
        <w:tc>
          <w:tcPr>
            <w:tcW w:w="1017" w:type="dxa"/>
            <w:shd w:val="clear" w:color="auto" w:fill="auto"/>
            <w:vAlign w:val="center"/>
          </w:tcPr>
          <w:p>
            <w:pPr>
              <w:pStyle w:val="14"/>
              <w:ind w:firstLine="0" w:firstLineChars="0"/>
              <w:jc w:val="center"/>
              <w:rPr>
                <w:rFonts w:hint="eastAsia" w:ascii="宋体" w:hAnsi="宋体" w:eastAsiaTheme="minorEastAsia" w:cstheme="minorEastAsia"/>
                <w:color w:val="000000" w:themeColor="text1"/>
                <w:kern w:val="2"/>
                <w:sz w:val="22"/>
                <w:szCs w:val="24"/>
                <w:highlight w:val="none"/>
                <w:lang w:val="en-US" w:eastAsia="zh-CN" w:bidi="ar-SA"/>
                <w14:textFill>
                  <w14:solidFill>
                    <w14:schemeClr w14:val="tx1"/>
                  </w14:solidFill>
                </w14:textFill>
              </w:rPr>
            </w:pPr>
            <w:r>
              <w:rPr>
                <w:rFonts w:hint="eastAsia" w:ascii="宋体" w:hAnsi="宋体"/>
                <w:highlight w:val="none"/>
              </w:rPr>
              <w:t>250000</w:t>
            </w:r>
          </w:p>
        </w:tc>
        <w:tc>
          <w:tcPr>
            <w:tcW w:w="1131" w:type="dxa"/>
          </w:tcPr>
          <w:p>
            <w:pPr>
              <w:keepNext w:val="0"/>
              <w:keepLines w:val="0"/>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color w:val="000000" w:themeColor="text1"/>
                <w:kern w:val="0"/>
                <w:sz w:val="21"/>
                <w:szCs w:val="21"/>
                <w:highlight w:val="none"/>
                <w:lang w:bidi="ar"/>
                <w14:textFill>
                  <w14:solidFill>
                    <w14:schemeClr w14:val="tx1"/>
                  </w14:solidFill>
                </w14:textFill>
              </w:rPr>
            </w:pPr>
            <w:r>
              <w:rPr>
                <w:rFonts w:hint="eastAsia" w:ascii="宋体" w:hAnsi="宋体" w:eastAsia="宋体" w:cs="宋体"/>
                <w:color w:val="000000" w:themeColor="text1"/>
                <w:kern w:val="0"/>
                <w:sz w:val="21"/>
                <w:szCs w:val="21"/>
                <w:highlight w:val="none"/>
                <w:lang w:bidi="ar"/>
                <w14:textFill>
                  <w14:solidFill>
                    <w14:schemeClr w14:val="tx1"/>
                  </w14:solidFill>
                </w14:textFill>
              </w:rPr>
              <w:t xml:space="preserve"> </w:t>
            </w:r>
            <w:r>
              <w:rPr>
                <w:rFonts w:hint="eastAsia" w:ascii="宋体" w:hAnsi="宋体" w:eastAsia="宋体" w:cs="宋体"/>
                <w:b w:val="0"/>
                <w:bCs/>
                <w:sz w:val="21"/>
                <w:szCs w:val="21"/>
                <w:highlight w:val="none"/>
                <w:lang w:val="en-US" w:eastAsia="zh-CN"/>
              </w:rPr>
              <w:t>150日历天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9642" w:type="dxa"/>
            <w:gridSpan w:val="10"/>
            <w:vAlign w:val="center"/>
          </w:tcPr>
          <w:p>
            <w:pPr>
              <w:keepNext w:val="0"/>
              <w:keepLines w:val="0"/>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color w:val="000000" w:themeColor="text1"/>
                <w:kern w:val="0"/>
                <w:sz w:val="21"/>
                <w:szCs w:val="21"/>
                <w:highlight w:val="none"/>
                <w:lang w:bidi="ar"/>
                <w14:textFill>
                  <w14:solidFill>
                    <w14:schemeClr w14:val="tx1"/>
                  </w14:solidFill>
                </w14:textFill>
              </w:rPr>
            </w:pPr>
            <w:r>
              <w:rPr>
                <w:rFonts w:hint="eastAsia" w:ascii="宋体" w:hAnsi="宋体" w:eastAsia="宋体" w:cs="宋体"/>
                <w:color w:val="000000" w:themeColor="text1"/>
                <w:kern w:val="0"/>
                <w:sz w:val="21"/>
                <w:szCs w:val="21"/>
                <w:highlight w:val="none"/>
                <w:lang w:bidi="ar"/>
                <w14:textFill>
                  <w14:solidFill>
                    <w14:schemeClr w14:val="tx1"/>
                  </w14:solidFill>
                </w14:textFill>
              </w:rPr>
              <w:t>备件、专用工具、耗材等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48" w:type="dxa"/>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32" w:type="dxa"/>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w:t>
            </w:r>
          </w:p>
        </w:tc>
        <w:tc>
          <w:tcPr>
            <w:tcW w:w="1360" w:type="dxa"/>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000000" w:themeColor="text1"/>
                <w:sz w:val="21"/>
                <w:szCs w:val="21"/>
                <w:highlight w:val="none"/>
                <w14:textFill>
                  <w14:solidFill>
                    <w14:schemeClr w14:val="tx1"/>
                  </w14:solidFill>
                </w14:textFill>
              </w:rPr>
            </w:pPr>
          </w:p>
        </w:tc>
        <w:tc>
          <w:tcPr>
            <w:tcW w:w="1260" w:type="dxa"/>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000000" w:themeColor="text1"/>
                <w:sz w:val="21"/>
                <w:szCs w:val="21"/>
                <w:highlight w:val="none"/>
                <w14:textFill>
                  <w14:solidFill>
                    <w14:schemeClr w14:val="tx1"/>
                  </w14:solidFill>
                </w14:textFill>
              </w:rPr>
            </w:pPr>
          </w:p>
        </w:tc>
        <w:tc>
          <w:tcPr>
            <w:tcW w:w="776" w:type="dxa"/>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000000" w:themeColor="text1"/>
                <w:sz w:val="21"/>
                <w:szCs w:val="21"/>
                <w:highlight w:val="none"/>
                <w14:textFill>
                  <w14:solidFill>
                    <w14:schemeClr w14:val="tx1"/>
                  </w14:solidFill>
                </w14:textFill>
              </w:rPr>
            </w:pPr>
          </w:p>
        </w:tc>
        <w:tc>
          <w:tcPr>
            <w:tcW w:w="606" w:type="dxa"/>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606" w:type="dxa"/>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06" w:type="dxa"/>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000000" w:themeColor="text1"/>
                <w:sz w:val="21"/>
                <w:szCs w:val="21"/>
                <w:highlight w:val="none"/>
                <w14:textFill>
                  <w14:solidFill>
                    <w14:schemeClr w14:val="tx1"/>
                  </w14:solidFill>
                </w14:textFill>
              </w:rPr>
            </w:pPr>
          </w:p>
        </w:tc>
        <w:tc>
          <w:tcPr>
            <w:tcW w:w="1017" w:type="dxa"/>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000000" w:themeColor="text1"/>
                <w:sz w:val="21"/>
                <w:szCs w:val="21"/>
                <w:highlight w:val="none"/>
                <w14:textFill>
                  <w14:solidFill>
                    <w14:schemeClr w14:val="tx1"/>
                  </w14:solidFill>
                </w14:textFill>
              </w:rPr>
            </w:pPr>
          </w:p>
        </w:tc>
        <w:tc>
          <w:tcPr>
            <w:tcW w:w="1131" w:type="dxa"/>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880" w:type="dxa"/>
            <w:gridSpan w:val="2"/>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合计</w:t>
            </w:r>
          </w:p>
        </w:tc>
        <w:tc>
          <w:tcPr>
            <w:tcW w:w="6631" w:type="dxa"/>
            <w:gridSpan w:val="7"/>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人民币大写：</w:t>
            </w:r>
            <w:r>
              <w:rPr>
                <w:rFonts w:hint="eastAsia" w:ascii="宋体" w:hAnsi="宋体" w:eastAsia="宋体" w:cs="宋体"/>
                <w:color w:val="000000" w:themeColor="text1"/>
                <w:sz w:val="21"/>
                <w:szCs w:val="21"/>
                <w:highlight w:val="none"/>
                <w:lang w:val="en-US" w:eastAsia="zh-CN"/>
                <w14:textFill>
                  <w14:solidFill>
                    <w14:schemeClr w14:val="tx1"/>
                  </w14:solidFill>
                </w14:textFill>
              </w:rPr>
              <w:t>贰佰捌拾陆万伍仟</w:t>
            </w:r>
            <w:r>
              <w:rPr>
                <w:rFonts w:hint="eastAsia" w:ascii="宋体" w:hAnsi="宋体" w:eastAsia="宋体" w:cs="宋体"/>
                <w:b/>
                <w:bCs/>
                <w:color w:val="000000" w:themeColor="text1"/>
                <w:kern w:val="0"/>
                <w:sz w:val="21"/>
                <w:szCs w:val="21"/>
                <w:highlight w:val="none"/>
                <w:lang w:bidi="ar"/>
                <w14:textFill>
                  <w14:solidFill>
                    <w14:schemeClr w14:val="tx1"/>
                  </w14:solidFill>
                </w14:textFill>
              </w:rPr>
              <w:t>元整</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b/>
                <w:bCs/>
                <w:color w:val="000000" w:themeColor="text1"/>
                <w:kern w:val="0"/>
                <w:sz w:val="21"/>
                <w:szCs w:val="21"/>
                <w:highlight w:val="none"/>
                <w:lang w:bidi="ar"/>
                <w14:textFill>
                  <w14:solidFill>
                    <w14:schemeClr w14:val="tx1"/>
                  </w14:solidFill>
                </w14:textFill>
              </w:rPr>
              <w:t xml:space="preserve"> </w:t>
            </w:r>
            <w:r>
              <w:rPr>
                <w:rFonts w:hint="eastAsia" w:ascii="宋体" w:hAnsi="宋体" w:eastAsia="宋体" w:cs="宋体"/>
                <w:b/>
                <w:bCs/>
                <w:color w:val="000000" w:themeColor="text1"/>
                <w:kern w:val="0"/>
                <w:sz w:val="21"/>
                <w:szCs w:val="21"/>
                <w:highlight w:val="none"/>
                <w:lang w:val="en-US" w:eastAsia="zh-CN" w:bidi="ar"/>
                <w14:textFill>
                  <w14:solidFill>
                    <w14:schemeClr w14:val="tx1"/>
                  </w14:solidFill>
                </w14:textFill>
              </w:rPr>
              <w:t>2865000</w:t>
            </w:r>
            <w:r>
              <w:rPr>
                <w:rFonts w:hint="eastAsia" w:ascii="宋体" w:hAnsi="宋体" w:eastAsia="宋体" w:cs="宋体"/>
                <w:color w:val="000000" w:themeColor="text1"/>
                <w:sz w:val="21"/>
                <w:szCs w:val="21"/>
                <w:highlight w:val="none"/>
                <w14:textFill>
                  <w14:solidFill>
                    <w14:schemeClr w14:val="tx1"/>
                  </w14:solidFill>
                </w14:textFill>
              </w:rPr>
              <w:t>元）</w:t>
            </w:r>
          </w:p>
        </w:tc>
        <w:tc>
          <w:tcPr>
            <w:tcW w:w="1131" w:type="dxa"/>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
                <w:bCs/>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880" w:type="dxa"/>
            <w:gridSpan w:val="2"/>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备注</w:t>
            </w:r>
          </w:p>
        </w:tc>
        <w:tc>
          <w:tcPr>
            <w:tcW w:w="6631" w:type="dxa"/>
            <w:gridSpan w:val="7"/>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w:t>
            </w:r>
          </w:p>
        </w:tc>
        <w:tc>
          <w:tcPr>
            <w:tcW w:w="1131" w:type="dxa"/>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
                <w:bCs/>
                <w:color w:val="000000" w:themeColor="text1"/>
                <w:sz w:val="21"/>
                <w:szCs w:val="21"/>
                <w:highlight w:val="none"/>
                <w14:textFill>
                  <w14:solidFill>
                    <w14:schemeClr w14:val="tx1"/>
                  </w14:solidFill>
                </w14:textFill>
              </w:rPr>
            </w:pPr>
          </w:p>
        </w:tc>
      </w:tr>
    </w:tbl>
    <w:p>
      <w:pPr>
        <w:pStyle w:val="6"/>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 本合同（清单1）总金额人民币大写：</w:t>
      </w:r>
      <w:r>
        <w:rPr>
          <w:rFonts w:hint="eastAsia" w:ascii="宋体" w:hAnsi="宋体" w:eastAsia="宋体" w:cs="宋体"/>
          <w:color w:val="000000" w:themeColor="text1"/>
          <w:sz w:val="21"/>
          <w:szCs w:val="21"/>
          <w:highlight w:val="none"/>
          <w:lang w:val="en-US" w:eastAsia="zh-CN"/>
          <w14:textFill>
            <w14:solidFill>
              <w14:schemeClr w14:val="tx1"/>
            </w14:solidFill>
          </w14:textFill>
        </w:rPr>
        <w:t>贰佰</w:t>
      </w:r>
      <w:r>
        <w:rPr>
          <w:rFonts w:hint="eastAsia" w:hAnsi="宋体" w:eastAsia="宋体" w:cs="宋体"/>
          <w:color w:val="000000" w:themeColor="text1"/>
          <w:sz w:val="21"/>
          <w:szCs w:val="21"/>
          <w:highlight w:val="none"/>
          <w:lang w:val="en-US" w:eastAsia="zh-CN"/>
          <w14:textFill>
            <w14:solidFill>
              <w14:schemeClr w14:val="tx1"/>
            </w14:solidFill>
          </w14:textFill>
        </w:rPr>
        <w:t>捌拾</w:t>
      </w:r>
      <w:r>
        <w:rPr>
          <w:rFonts w:hint="eastAsia" w:ascii="宋体" w:hAnsi="宋体" w:eastAsia="宋体" w:cs="宋体"/>
          <w:color w:val="000000" w:themeColor="text1"/>
          <w:sz w:val="21"/>
          <w:szCs w:val="21"/>
          <w:highlight w:val="none"/>
          <w:lang w:val="en-US" w:eastAsia="zh-CN"/>
          <w14:textFill>
            <w14:solidFill>
              <w14:schemeClr w14:val="tx1"/>
            </w14:solidFill>
          </w14:textFill>
        </w:rPr>
        <w:t>陆万伍仟</w:t>
      </w:r>
      <w:r>
        <w:rPr>
          <w:rFonts w:hint="eastAsia" w:ascii="宋体" w:hAnsi="宋体" w:eastAsia="宋体" w:cs="宋体"/>
          <w:b/>
          <w:bCs/>
          <w:color w:val="000000" w:themeColor="text1"/>
          <w:kern w:val="0"/>
          <w:sz w:val="21"/>
          <w:szCs w:val="21"/>
          <w:highlight w:val="none"/>
          <w:u w:val="single"/>
          <w:lang w:bidi="ar"/>
          <w14:textFill>
            <w14:solidFill>
              <w14:schemeClr w14:val="tx1"/>
            </w14:solidFill>
          </w14:textFill>
        </w:rPr>
        <w:t>元整</w:t>
      </w:r>
      <w:r>
        <w:rPr>
          <w:rFonts w:hint="eastAsia" w:ascii="宋体" w:hAnsi="宋体" w:eastAsia="宋体" w:cs="宋体"/>
          <w:color w:val="000000" w:themeColor="text1"/>
          <w:sz w:val="21"/>
          <w:szCs w:val="21"/>
          <w:highlight w:val="none"/>
          <w14:textFill>
            <w14:solidFill>
              <w14:schemeClr w14:val="tx1"/>
            </w14:solidFill>
          </w14:textFill>
        </w:rPr>
        <w:t>（RMB：</w:t>
      </w:r>
      <w:r>
        <w:rPr>
          <w:rFonts w:hint="eastAsia" w:ascii="宋体" w:hAnsi="宋体" w:eastAsia="宋体" w:cs="宋体"/>
          <w:color w:val="000000" w:themeColor="text1"/>
          <w:kern w:val="0"/>
          <w:sz w:val="21"/>
          <w:szCs w:val="21"/>
          <w:highlight w:val="none"/>
          <w:u w:val="single"/>
          <w:lang w:bidi="ar"/>
          <w14:textFill>
            <w14:solidFill>
              <w14:schemeClr w14:val="tx1"/>
            </w14:solidFill>
          </w14:textFill>
        </w:rPr>
        <w:t xml:space="preserve"> </w:t>
      </w:r>
      <w:r>
        <w:rPr>
          <w:rFonts w:hint="eastAsia" w:hAnsi="宋体" w:eastAsia="宋体" w:cs="宋体"/>
          <w:color w:val="000000" w:themeColor="text1"/>
          <w:kern w:val="0"/>
          <w:sz w:val="21"/>
          <w:szCs w:val="21"/>
          <w:highlight w:val="none"/>
          <w:u w:val="single"/>
          <w:lang w:val="en-US" w:eastAsia="zh-CN" w:bidi="ar"/>
          <w14:textFill>
            <w14:solidFill>
              <w14:schemeClr w14:val="tx1"/>
            </w14:solidFill>
          </w14:textFill>
        </w:rPr>
        <w:t>2865000</w:t>
      </w:r>
      <w:r>
        <w:rPr>
          <w:rFonts w:hint="eastAsia" w:ascii="宋体" w:hAnsi="宋体" w:eastAsia="宋体" w:cs="宋体"/>
          <w:b/>
          <w:color w:val="000000" w:themeColor="text1"/>
          <w:sz w:val="21"/>
          <w:szCs w:val="21"/>
          <w:highlight w:val="none"/>
          <w14:textFill>
            <w14:solidFill>
              <w14:schemeClr w14:val="tx1"/>
            </w14:solidFill>
          </w14:textFill>
        </w:rPr>
        <w:t>元</w:t>
      </w:r>
      <w:r>
        <w:rPr>
          <w:rFonts w:hint="eastAsia" w:ascii="宋体" w:hAnsi="宋体" w:eastAsia="宋体" w:cs="宋体"/>
          <w:color w:val="000000" w:themeColor="text1"/>
          <w:sz w:val="21"/>
          <w:szCs w:val="21"/>
          <w:highlight w:val="none"/>
          <w14:textFill>
            <w14:solidFill>
              <w14:schemeClr w14:val="tx1"/>
            </w14:solidFill>
          </w14:textFill>
        </w:rPr>
        <w:t>）。</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 本合同总金额为货物从生产厂家至河南中医药大学校内甲方指定地点总价。包括：货物和附属装置、备品备件、专用工具、安装调试、培训、运输、保险、验收检测费、各类税费及相关技术服务费用和验收合格之前及保修期与备品备件等发生的所有含税费用。</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 乙方负责办理合同所涉及的进口货物海关免税手续，甲方协助乙方办理</w:t>
      </w:r>
      <w:r>
        <w:rPr>
          <w:rFonts w:hint="eastAsia" w:ascii="宋体" w:hAnsi="宋体" w:eastAsia="宋体" w:cs="宋体"/>
          <w:color w:val="000000" w:themeColor="text1"/>
          <w:sz w:val="21"/>
          <w:szCs w:val="21"/>
          <w:highlight w:val="none"/>
          <w:lang w:val="en-GB"/>
          <w14:textFill>
            <w14:solidFill>
              <w14:schemeClr w14:val="tx1"/>
            </w14:solidFill>
          </w14:textFill>
        </w:rPr>
        <w:t>进口免税相关事项</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GB"/>
          <w14:textFill>
            <w14:solidFill>
              <w14:schemeClr w14:val="tx1"/>
            </w14:solidFill>
          </w14:textFill>
        </w:rPr>
        <w:t>提供与其享受免关税待遇相关的证明文件资料，</w:t>
      </w:r>
      <w:r>
        <w:rPr>
          <w:rFonts w:hint="eastAsia" w:ascii="宋体" w:hAnsi="宋体" w:eastAsia="宋体" w:cs="宋体"/>
          <w:color w:val="000000" w:themeColor="text1"/>
          <w:sz w:val="21"/>
          <w:szCs w:val="21"/>
          <w:highlight w:val="none"/>
          <w14:textFill>
            <w14:solidFill>
              <w14:schemeClr w14:val="tx1"/>
            </w14:solidFill>
          </w14:textFill>
        </w:rPr>
        <w:t>费用已包括在合同总金额内。</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 本合同执行期间合同总金额不变。甲方无须另向乙方支付本合同规定之外的其他任何费用。</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 乙方所供货物若与合同要求不相符时，甲方有权拒收，并拒付该部分货物的货款。</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 履约保证金：双方签订合同前乙方按招标文件要求缴纳中标价（成交价）5%作为履约保证金，若乙方未履行合同，则履约保证金不予退还；若乙方履行合同，货物经验收合格后自动转为质量保证金。货物验收合格入库一年后无质量问题，甲方无息退还履约（质量）保证金（凭收款收据）。</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交纳方式：中标人在领取中标通知书后签订合同前将履约保证金汇（存）入采购方指定银行帐户：</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开户名称：河南中医药大学</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账  号：1702020609200014257</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开户行：工商银行花园路支行（请注明中标通知书中的合同编号）</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2" w:firstLineChars="200"/>
        <w:outlineLvl w:val="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二、货物质量标准</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 乙方提供的货物必须符合中华人民共和国国家相关标准、行业强制性标准及环保要求。同时技术指标必须与乙方投标文件所陈述的指标保持一致。用于临床的医疗仪器必须有有效的医疗器械注册证。</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 乙方提供的货物必须为全新的、未使用过的原厂原包装产品（含零部件、配件、随机工具、技术文件等），且进货渠道合法。</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 乙方提供的货物必须包装外观完好、无破损，货物洁净完好、无划痕、无凹陷、无退色、无锈迹。</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 乙方提供的货物不符合合同规定的质量要求的，甲方有权拒绝接受该货物，乙方应更换被拒绝的货物，并达到合同规定的质量要求，所造成的损失由乙方承担。</w:t>
      </w:r>
      <w:r>
        <w:rPr>
          <w:rFonts w:hint="eastAsia" w:ascii="宋体" w:hAnsi="宋体" w:eastAsia="宋体" w:cs="宋体"/>
          <w:color w:val="000000" w:themeColor="text1"/>
          <w:sz w:val="21"/>
          <w:szCs w:val="21"/>
          <w:highlight w:val="none"/>
          <w:lang w:val="en-US"/>
          <w14:textFill>
            <w14:solidFill>
              <w14:schemeClr w14:val="tx1"/>
            </w14:solidFill>
          </w14:textFill>
        </w:rPr>
        <w:t>乙方更换后的货物仍不符合合同规定的质量要求的，甲方有权解除合同，甲方解除合同的通</w:t>
      </w:r>
      <w:r>
        <w:rPr>
          <w:rFonts w:hint="eastAsia" w:ascii="宋体" w:hAnsi="宋体" w:eastAsia="宋体" w:cs="宋体"/>
          <w:color w:val="000000" w:themeColor="text1"/>
          <w:sz w:val="21"/>
          <w:szCs w:val="21"/>
          <w:highlight w:val="none"/>
          <w:lang w:val="en-US" w:eastAsia="zh-CN"/>
          <w14:textFill>
            <w14:solidFill>
              <w14:schemeClr w14:val="tx1"/>
            </w14:solidFill>
          </w14:textFill>
        </w:rPr>
        <w:t>知</w:t>
      </w:r>
      <w:r>
        <w:rPr>
          <w:rFonts w:hint="eastAsia" w:ascii="宋体" w:hAnsi="宋体" w:eastAsia="宋体" w:cs="宋体"/>
          <w:color w:val="000000" w:themeColor="text1"/>
          <w:sz w:val="21"/>
          <w:szCs w:val="21"/>
          <w:highlight w:val="none"/>
          <w:lang w:val="en-US"/>
          <w14:textFill>
            <w14:solidFill>
              <w14:schemeClr w14:val="tx1"/>
            </w14:solidFill>
          </w14:textFill>
        </w:rPr>
        <w:t>送达乙方后合同解除</w:t>
      </w:r>
      <w:r>
        <w:rPr>
          <w:rFonts w:hint="eastAsia" w:ascii="宋体" w:hAnsi="宋体" w:eastAsia="宋体" w:cs="宋体"/>
          <w:color w:val="000000" w:themeColor="text1"/>
          <w:sz w:val="21"/>
          <w:szCs w:val="21"/>
          <w:highlight w:val="none"/>
          <w14:textFill>
            <w14:solidFill>
              <w14:schemeClr w14:val="tx1"/>
            </w14:solidFill>
          </w14:textFill>
        </w:rPr>
        <w:t>。</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 因货物的质量问题发生争议，由河南省商检部门进行质量鉴定。货物符合质量标准的，鉴定费由甲方承担；货物不符合质量标准的，鉴定费由乙方承担。</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2" w:firstLineChars="200"/>
        <w:outlineLvl w:val="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三、货物包装、交货</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0" w:firstLineChars="200"/>
        <w:outlineLvl w:val="1"/>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 包装</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⑴ 合同货物的包装必须与运输方式相适应，应有良好的防湿、防锈、防潮、防雨、防腐及防碰撞的措施。凡由于不适当的包装而造成货物在运输过程中有任何损坏、丢失等由乙方负责。</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⑵ 包装应足以承受整个过程中的运输、转运、装卸、储存等，充分考虑到运输途中的各种情况（如暴露于恶劣气候等），以及露天存放的需要。</w:t>
      </w:r>
    </w:p>
    <w:p>
      <w:pPr>
        <w:keepNext w:val="0"/>
        <w:keepLines w:val="0"/>
        <w:pageBreakBefore w:val="0"/>
        <w:kinsoku/>
        <w:wordWrap/>
        <w:overflowPunct/>
        <w:topLinePunct w:val="0"/>
        <w:autoSpaceDE/>
        <w:autoSpaceDN/>
        <w:bidi w:val="0"/>
        <w:spacing w:line="360" w:lineRule="auto"/>
        <w:ind w:firstLine="420" w:firstLineChars="200"/>
        <w:outlineLvl w:val="1"/>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 交货</w:t>
      </w:r>
    </w:p>
    <w:p>
      <w:pPr>
        <w:keepNext w:val="0"/>
        <w:keepLines w:val="0"/>
        <w:pageBreakBefore w:val="0"/>
        <w:tabs>
          <w:tab w:val="left" w:pos="945"/>
        </w:tabs>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⑴ 乙方交货时间：合同生效后国产货物150日内全部交货。交货完毕后及时提交货物验收申请（货物经验收合格的，交货日期以甲方收到乙方验收申请函日期为准; 验收不合格的，交货日期以实际验收合格日期为准）。</w:t>
      </w:r>
      <w:r>
        <w:rPr>
          <w:rFonts w:hint="eastAsia" w:ascii="宋体" w:hAnsi="宋体" w:eastAsia="宋体" w:cs="宋体"/>
          <w:sz w:val="21"/>
          <w:szCs w:val="21"/>
          <w:highlight w:val="none"/>
        </w:rPr>
        <w:t>即</w:t>
      </w:r>
      <w:r>
        <w:rPr>
          <w:rFonts w:hint="eastAsia" w:ascii="宋体" w:hAnsi="宋体" w:eastAsia="宋体" w:cs="Times New Roman"/>
          <w:sz w:val="21"/>
          <w:szCs w:val="21"/>
        </w:rPr>
        <w:t>合同签订后</w:t>
      </w:r>
      <w:r>
        <w:rPr>
          <w:rFonts w:hint="eastAsia" w:ascii="宋体" w:hAnsi="宋体" w:eastAsia="宋体" w:cs="Times New Roman"/>
          <w:sz w:val="21"/>
          <w:szCs w:val="21"/>
          <w:lang w:val="en-US" w:eastAsia="zh-CN"/>
        </w:rPr>
        <w:t>15</w:t>
      </w:r>
      <w:r>
        <w:rPr>
          <w:rFonts w:hint="eastAsia" w:ascii="宋体" w:hAnsi="宋体" w:eastAsia="宋体" w:cs="Times New Roman"/>
          <w:sz w:val="21"/>
          <w:szCs w:val="21"/>
        </w:rPr>
        <w:t>0日内</w:t>
      </w:r>
      <w:r>
        <w:rPr>
          <w:rFonts w:hint="eastAsia" w:ascii="宋体" w:hAnsi="宋体" w:eastAsia="宋体" w:cs="宋体"/>
          <w:sz w:val="21"/>
          <w:szCs w:val="21"/>
          <w:highlight w:val="none"/>
        </w:rPr>
        <w:t>完成全部</w:t>
      </w:r>
      <w:r>
        <w:rPr>
          <w:rFonts w:hint="eastAsia" w:ascii="宋体" w:hAnsi="宋体" w:eastAsia="宋体" w:cs="宋体"/>
          <w:sz w:val="21"/>
          <w:szCs w:val="21"/>
          <w:highlight w:val="none"/>
          <w:lang w:val="en-US" w:eastAsia="zh-CN"/>
        </w:rPr>
        <w:t>产品</w:t>
      </w:r>
      <w:r>
        <w:rPr>
          <w:rFonts w:hint="eastAsia" w:ascii="宋体" w:hAnsi="宋体" w:eastAsia="宋体" w:cs="宋体"/>
          <w:sz w:val="21"/>
          <w:szCs w:val="21"/>
          <w:highlight w:val="none"/>
        </w:rPr>
        <w:t>的安装调试，</w:t>
      </w:r>
      <w:r>
        <w:rPr>
          <w:rFonts w:hint="eastAsia" w:ascii="宋体" w:hAnsi="宋体" w:eastAsia="宋体" w:cs="宋体"/>
          <w:color w:val="000000" w:themeColor="text1"/>
          <w:sz w:val="21"/>
          <w:szCs w:val="21"/>
          <w:highlight w:val="none"/>
          <w14:textFill>
            <w14:solidFill>
              <w14:schemeClr w14:val="tx1"/>
            </w14:solidFill>
          </w14:textFill>
        </w:rPr>
        <w:t>并交付使用(如由于采购人的原因造成合同延迟签订或验收的，时间顺延)。乙方逾期交付物品，则每迟交一周货物应向甲方支付货款总额5%违约金，不足一周按一周计算。</w:t>
      </w:r>
    </w:p>
    <w:p>
      <w:pPr>
        <w:keepNext w:val="0"/>
        <w:keepLines w:val="0"/>
        <w:pageBreakBefore w:val="0"/>
        <w:tabs>
          <w:tab w:val="left" w:pos="945"/>
        </w:tabs>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⑵.根据所购货物情况，甲方确定是否在发货前对所供货物进行检查，以保证所发货物与合同一致。所需费用由乙方承担。</w:t>
      </w:r>
    </w:p>
    <w:p>
      <w:pPr>
        <w:keepNext w:val="0"/>
        <w:keepLines w:val="0"/>
        <w:pageBreakBefore w:val="0"/>
        <w:tabs>
          <w:tab w:val="left" w:pos="945"/>
        </w:tabs>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⑶ 乙方交货地点：河南中医药大学指定地点。</w:t>
      </w:r>
    </w:p>
    <w:p>
      <w:pPr>
        <w:keepNext w:val="0"/>
        <w:keepLines w:val="0"/>
        <w:pageBreakBefore w:val="0"/>
        <w:tabs>
          <w:tab w:val="left" w:pos="945"/>
        </w:tabs>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⑷ 合同货物抵达甲方后，由甲乙双方一同清点货物数量，开箱检验表面状况，核对规格型号。并负责解决开箱检验清点发现的问题和赔偿。</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⑸ 乙方应将合同货物的产品序列号、用户手册、技术资料（包括详细装箱单、质量证书、设备说明书、使用手册和其它相关技术资料）及配件、随机工具等一并交付给甲方。</w:t>
      </w:r>
    </w:p>
    <w:p>
      <w:pPr>
        <w:keepNext w:val="0"/>
        <w:keepLines w:val="0"/>
        <w:pageBreakBefore w:val="0"/>
        <w:tabs>
          <w:tab w:val="left" w:pos="945"/>
        </w:tabs>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⑹ 专用工具及备品、备件应分别包装，并在包装箱外加以注明其用处。</w:t>
      </w:r>
    </w:p>
    <w:p>
      <w:pPr>
        <w:keepNext w:val="0"/>
        <w:keepLines w:val="0"/>
        <w:pageBreakBefore w:val="0"/>
        <w:kinsoku/>
        <w:wordWrap/>
        <w:overflowPunct/>
        <w:topLinePunct w:val="0"/>
        <w:autoSpaceDE/>
        <w:autoSpaceDN/>
        <w:bidi w:val="0"/>
        <w:spacing w:line="360" w:lineRule="auto"/>
        <w:ind w:firstLine="422" w:firstLineChars="200"/>
        <w:outlineLvl w:val="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四、合同货物的安装、调试</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 乙方负责合同项下货物的安装调试至能够正常开机使用，且与合同要求的各项技术指标一致，符合各项安全标准，一切费用由乙方负责。</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 乙方安装时须对各安装场地内的其它设备、设施有良好保护措施。</w:t>
      </w:r>
    </w:p>
    <w:p>
      <w:pPr>
        <w:keepNext w:val="0"/>
        <w:keepLines w:val="0"/>
        <w:pageBreakBefore w:val="0"/>
        <w:kinsoku/>
        <w:wordWrap/>
        <w:overflowPunct/>
        <w:topLinePunct w:val="0"/>
        <w:autoSpaceDE/>
        <w:autoSpaceDN/>
        <w:bidi w:val="0"/>
        <w:spacing w:line="360" w:lineRule="auto"/>
        <w:ind w:firstLine="422" w:firstLineChars="200"/>
        <w:outlineLvl w:val="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五、安全责任</w:t>
      </w:r>
    </w:p>
    <w:p>
      <w:pPr>
        <w:keepNext w:val="0"/>
        <w:keepLines w:val="0"/>
        <w:pageBreakBefore w:val="0"/>
        <w:kinsoku/>
        <w:wordWrap/>
        <w:overflowPunct/>
        <w:topLinePunct w:val="0"/>
        <w:autoSpaceDE/>
        <w:autoSpaceDN/>
        <w:bidi w:val="0"/>
        <w:spacing w:line="360" w:lineRule="auto"/>
        <w:ind w:firstLine="411" w:firstLineChars="19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乙方在安装、调试合同货物过程中要严格执行国家有关人身安全及防火安全的规定，做好各项防护措施，防止各类事故的发生，若造成人身伤害及货物损坏事故等，则由乙方负全部责任。</w:t>
      </w:r>
    </w:p>
    <w:p>
      <w:pPr>
        <w:keepNext w:val="0"/>
        <w:keepLines w:val="0"/>
        <w:pageBreakBefore w:val="0"/>
        <w:kinsoku/>
        <w:wordWrap/>
        <w:overflowPunct/>
        <w:topLinePunct w:val="0"/>
        <w:autoSpaceDE/>
        <w:autoSpaceDN/>
        <w:bidi w:val="0"/>
        <w:spacing w:line="360" w:lineRule="auto"/>
        <w:ind w:firstLine="422" w:firstLineChars="200"/>
        <w:outlineLvl w:val="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六、货物的验收</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 乙方提交货物验收申请函。</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 合同货物验收报告</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 每台仪器设备制造厂商出具的明细装箱单。</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 每台仪器设备制造厂商出具的出厂质量证书。</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 每台仪器设备制造厂商出具的使用说明书。</w:t>
      </w:r>
    </w:p>
    <w:p>
      <w:pPr>
        <w:keepNext w:val="0"/>
        <w:keepLines w:val="0"/>
        <w:pageBreakBefore w:val="0"/>
        <w:kinsoku/>
        <w:wordWrap/>
        <w:overflowPunct/>
        <w:topLinePunct w:val="0"/>
        <w:autoSpaceDE/>
        <w:autoSpaceDN/>
        <w:bidi w:val="0"/>
        <w:spacing w:line="360" w:lineRule="auto"/>
        <w:ind w:right="-82" w:rightChars="-39"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 乙方应在甲方验收前，向甲方提供按本合同的技术规格、技术规范要求进行的测试报告和验收报告，验收以招投标文件、合同技术规格、产品相应的技术说明为标准。</w:t>
      </w:r>
    </w:p>
    <w:p>
      <w:pPr>
        <w:keepNext w:val="0"/>
        <w:keepLines w:val="0"/>
        <w:pageBreakBefore w:val="0"/>
        <w:kinsoku/>
        <w:wordWrap/>
        <w:overflowPunct/>
        <w:topLinePunct w:val="0"/>
        <w:autoSpaceDE/>
        <w:autoSpaceDN/>
        <w:bidi w:val="0"/>
        <w:spacing w:line="360" w:lineRule="auto"/>
        <w:ind w:right="-82" w:rightChars="-39"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 合同货物（系统）交货（完工）并完成操作培训、粘贴条码，且正常运行30天后，甲方使用单位组织验收。验收应在甲乙双方共同参加下进行。</w:t>
      </w:r>
    </w:p>
    <w:p>
      <w:pPr>
        <w:keepNext w:val="0"/>
        <w:keepLines w:val="0"/>
        <w:pageBreakBefore w:val="0"/>
        <w:kinsoku/>
        <w:wordWrap/>
        <w:overflowPunct/>
        <w:topLinePunct w:val="0"/>
        <w:autoSpaceDE/>
        <w:autoSpaceDN/>
        <w:bidi w:val="0"/>
        <w:spacing w:line="360" w:lineRule="auto"/>
        <w:ind w:right="-82" w:rightChars="-39"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 验收按国家有关规定、规范进行。验收时如发现所交付的货物有短装、次品、损坏或其它不符合本合同规定之情形者，甲方应做出详尽的现场记录，或由甲乙双方签署备忘录。此现场记录或备忘录可用作补充、缺失和更换损坏部件的有效证据。由此产生的有关费用由乙方承担。</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9. 如果合同货物运输和安装调试过程中因事故造成货物短缺、损坏，乙方应及时安排换装，以保证合同货物安装调试的成功完成。换货的相关费用由乙方承担。</w:t>
      </w:r>
    </w:p>
    <w:p>
      <w:pPr>
        <w:keepNext w:val="0"/>
        <w:keepLines w:val="0"/>
        <w:pageBreakBefore w:val="0"/>
        <w:kinsoku/>
        <w:wordWrap/>
        <w:overflowPunct/>
        <w:topLinePunct w:val="0"/>
        <w:autoSpaceDE/>
        <w:autoSpaceDN/>
        <w:bidi w:val="0"/>
        <w:spacing w:line="360" w:lineRule="auto"/>
        <w:ind w:firstLine="420" w:firstLineChars="200"/>
        <w:outlineLvl w:val="1"/>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10. 国内</w:t>
      </w:r>
      <w:bookmarkStart w:id="0" w:name="q8"/>
      <w:r>
        <w:rPr>
          <w:rFonts w:hint="eastAsia" w:ascii="宋体" w:hAnsi="宋体" w:eastAsia="宋体" w:cs="宋体"/>
          <w:color w:val="000000" w:themeColor="text1"/>
          <w:sz w:val="21"/>
          <w:szCs w:val="21"/>
          <w:highlight w:val="none"/>
          <w14:textFill>
            <w14:solidFill>
              <w14:schemeClr w14:val="tx1"/>
            </w14:solidFill>
          </w14:textFill>
        </w:rPr>
        <w:t>产品或合资厂的产品必须具备出厂合格证。</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11. 进口产品必须具备省级（或相当于省级）商检部门的检</w:t>
      </w:r>
      <w:bookmarkEnd w:id="0"/>
      <w:r>
        <w:rPr>
          <w:rFonts w:hint="eastAsia" w:ascii="宋体" w:hAnsi="宋体" w:eastAsia="宋体" w:cs="宋体"/>
          <w:color w:val="000000" w:themeColor="text1"/>
          <w:sz w:val="21"/>
          <w:szCs w:val="21"/>
          <w:highlight w:val="none"/>
          <w14:textFill>
            <w14:solidFill>
              <w14:schemeClr w14:val="tx1"/>
            </w14:solidFill>
          </w14:textFill>
        </w:rPr>
        <w:t>验证明。</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12. 乙方保证合同项下提供的货物不侵犯任何第三方的专利、商标或版权。否则，乙方须承担对第三方的专利或版权的侵权责任并承担因此而发生的所有费用。</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13. 合同货物验收未能通过的，乙方负责及时整改。若整改后仍未能合格的，甲方依法追究其经济及法律责任。</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14. 验收合格后双方共同签署验收报告，验收合格日期以最后的签字日为准。</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2" w:firstLineChars="200"/>
        <w:outlineLvl w:val="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七、培训</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11" w:firstLineChars="19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乙方为甲方提供操作及维护培训，主要内容为货物的基本结构、性能、主要部件的构造及原理，日常使用操作、保养与管理，常见故障的排除，紧急情况的处理等，培训地点主要在货物安装现场或按甲乙双方协商安排。与培训相关的未尽事宜按招标文件的要求及投标文件中提供的方案执行。如需要可另附培训协议（单价在40万以上或对培训有特殊要求的）。</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2" w:firstLineChars="200"/>
        <w:outlineLvl w:val="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八、 付款方式</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 中标的货物安装调试，正常运行30天后，经中标方、招标方组织有关人员及使用单位联合验收后，验收合格，招标方向中标方支付合同总额的100%。</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 本合同项下所有政府采购结算款全部支付至乙方江苏金智教育信息股份有限公司在</w:t>
      </w:r>
      <w:r>
        <w:rPr>
          <w:rFonts w:hint="eastAsia" w:hAnsi="宋体" w:eastAsia="宋体" w:cs="宋体"/>
          <w:color w:val="000000" w:themeColor="text1"/>
          <w:sz w:val="21"/>
          <w:szCs w:val="21"/>
          <w:highlight w:val="none"/>
          <w:lang w:val="en-US" w:eastAsia="zh-CN"/>
          <w14:textFill>
            <w14:solidFill>
              <w14:schemeClr w14:val="tx1"/>
            </w14:solidFill>
          </w14:textFill>
        </w:rPr>
        <w:t>招商</w:t>
      </w:r>
      <w:r>
        <w:rPr>
          <w:rFonts w:hint="eastAsia" w:ascii="宋体" w:hAnsi="宋体" w:eastAsia="宋体" w:cs="宋体"/>
          <w:color w:val="000000" w:themeColor="text1"/>
          <w:sz w:val="21"/>
          <w:szCs w:val="21"/>
          <w:highlight w:val="none"/>
          <w14:textFill>
            <w14:solidFill>
              <w14:schemeClr w14:val="tx1"/>
            </w14:solidFill>
          </w14:textFill>
        </w:rPr>
        <w:t>银行开立的账户，该回款账户未经江苏金智教育信息股份有限公司公司同意不得更改，具体账户信息如下：</w:t>
      </w:r>
    </w:p>
    <w:p>
      <w:pPr>
        <w:pStyle w:val="6"/>
        <w:keepNext w:val="0"/>
        <w:keepLines w:val="0"/>
        <w:pageBreakBefore w:val="0"/>
        <w:tabs>
          <w:tab w:val="left" w:pos="0"/>
          <w:tab w:val="left" w:pos="720"/>
        </w:tabs>
        <w:kinsoku/>
        <w:wordWrap/>
        <w:overflowPunct/>
        <w:topLinePunct w:val="0"/>
        <w:autoSpaceDE/>
        <w:autoSpaceDN/>
        <w:bidi w:val="0"/>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账户名称：江苏金智教育信息股份有限公司</w:t>
      </w:r>
    </w:p>
    <w:p>
      <w:pPr>
        <w:pStyle w:val="6"/>
        <w:keepNext w:val="0"/>
        <w:keepLines w:val="0"/>
        <w:pageBreakBefore w:val="0"/>
        <w:tabs>
          <w:tab w:val="left" w:pos="0"/>
          <w:tab w:val="left" w:pos="720"/>
        </w:tabs>
        <w:kinsoku/>
        <w:wordWrap/>
        <w:overflowPunct/>
        <w:topLinePunct w:val="0"/>
        <w:autoSpaceDE/>
        <w:autoSpaceDN/>
        <w:bidi w:val="0"/>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账    号：125903795710700 </w:t>
      </w:r>
    </w:p>
    <w:p>
      <w:pPr>
        <w:pStyle w:val="6"/>
        <w:keepNext w:val="0"/>
        <w:keepLines w:val="0"/>
        <w:pageBreakBefore w:val="0"/>
        <w:tabs>
          <w:tab w:val="left" w:pos="0"/>
          <w:tab w:val="left" w:pos="720"/>
        </w:tabs>
        <w:kinsoku/>
        <w:wordWrap/>
        <w:overflowPunct/>
        <w:topLinePunct w:val="0"/>
        <w:autoSpaceDE/>
        <w:autoSpaceDN/>
        <w:bidi w:val="0"/>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开户银行：招商银行汉中门支行</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 具体支付办法如下：乙方开具抬头为甲方的发票, 并送交甲方→甲方填写《河南省省级政府采购资金支付申请书》→由甲方凭《资金支付申请书》到主管部门通过网上申请付款（正确填写合同编号）→确认网上申报后，由甲方将《资金支付申请书》送交至省财政国库支付中心→支付中心审核后,将款项划转至乙方账户；合同中涉及的自筹资金由甲方自行支付给乙方；财政性资金由省级国库直接支付给乙方。</w:t>
      </w:r>
    </w:p>
    <w:p>
      <w:pPr>
        <w:keepNext w:val="0"/>
        <w:keepLines w:val="0"/>
        <w:pageBreakBefore w:val="0"/>
        <w:kinsoku/>
        <w:wordWrap/>
        <w:overflowPunct/>
        <w:topLinePunct w:val="0"/>
        <w:autoSpaceDE/>
        <w:autoSpaceDN/>
        <w:bidi w:val="0"/>
        <w:spacing w:line="360" w:lineRule="auto"/>
        <w:ind w:left="1" w:firstLine="420" w:firstLineChars="200"/>
        <w:outlineLvl w:val="1"/>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 乙方向甲方申请支付货款时需提供：</w:t>
      </w:r>
    </w:p>
    <w:p>
      <w:pPr>
        <w:keepNext w:val="0"/>
        <w:keepLines w:val="0"/>
        <w:pageBreakBefore w:val="0"/>
        <w:tabs>
          <w:tab w:val="left" w:pos="3265"/>
        </w:tabs>
        <w:kinsoku/>
        <w:wordWrap/>
        <w:overflowPunct/>
        <w:topLinePunct w:val="0"/>
        <w:autoSpaceDE/>
        <w:autoSpaceDN/>
        <w:bidi w:val="0"/>
        <w:spacing w:line="360" w:lineRule="auto"/>
        <w:ind w:left="1"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 中标通知书</w:t>
      </w:r>
    </w:p>
    <w:p>
      <w:pPr>
        <w:keepNext w:val="0"/>
        <w:keepLines w:val="0"/>
        <w:pageBreakBefore w:val="0"/>
        <w:tabs>
          <w:tab w:val="left" w:pos="3265"/>
        </w:tabs>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 合同书</w:t>
      </w:r>
    </w:p>
    <w:p>
      <w:pPr>
        <w:keepNext w:val="0"/>
        <w:keepLines w:val="0"/>
        <w:pageBreakBefore w:val="0"/>
        <w:tabs>
          <w:tab w:val="left" w:pos="3751"/>
        </w:tabs>
        <w:kinsoku/>
        <w:wordWrap/>
        <w:overflowPunct/>
        <w:topLinePunct w:val="0"/>
        <w:autoSpaceDE/>
        <w:autoSpaceDN/>
        <w:bidi w:val="0"/>
        <w:spacing w:line="360" w:lineRule="auto"/>
        <w:ind w:left="1"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 货物正式验收测试报告</w:t>
      </w:r>
      <w:r>
        <w:rPr>
          <w:rFonts w:hint="eastAsia" w:ascii="宋体" w:hAnsi="宋体" w:eastAsia="宋体" w:cs="宋体"/>
          <w:color w:val="000000" w:themeColor="text1"/>
          <w:sz w:val="21"/>
          <w:szCs w:val="21"/>
          <w:highlight w:val="none"/>
          <w14:textFill>
            <w14:solidFill>
              <w14:schemeClr w14:val="tx1"/>
            </w14:solidFill>
          </w14:textFill>
        </w:rPr>
        <w:tab/>
      </w:r>
    </w:p>
    <w:p>
      <w:pPr>
        <w:keepNext w:val="0"/>
        <w:keepLines w:val="0"/>
        <w:pageBreakBefore w:val="0"/>
        <w:tabs>
          <w:tab w:val="left" w:pos="3265"/>
        </w:tabs>
        <w:kinsoku/>
        <w:wordWrap/>
        <w:overflowPunct/>
        <w:topLinePunct w:val="0"/>
        <w:autoSpaceDE/>
        <w:autoSpaceDN/>
        <w:bidi w:val="0"/>
        <w:spacing w:line="360" w:lineRule="auto"/>
        <w:ind w:left="1"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 正式全额发票</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2" w:firstLineChars="200"/>
        <w:outlineLvl w:val="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九、</w:t>
      </w:r>
      <w:r>
        <w:rPr>
          <w:rFonts w:hint="eastAsia" w:hAnsi="宋体" w:eastAsia="宋体" w:cs="宋体"/>
          <w:b/>
          <w:color w:val="000000" w:themeColor="text1"/>
          <w:sz w:val="21"/>
          <w:szCs w:val="21"/>
          <w:highlight w:val="none"/>
          <w:lang w:eastAsia="zh-CN"/>
          <w14:textFill>
            <w14:solidFill>
              <w14:schemeClr w14:val="tx1"/>
            </w14:solidFill>
          </w14:textFill>
        </w:rPr>
        <w:t>质量保证期</w:t>
      </w:r>
      <w:r>
        <w:rPr>
          <w:rFonts w:hint="eastAsia" w:ascii="宋体" w:hAnsi="宋体" w:eastAsia="宋体" w:cs="宋体"/>
          <w:b/>
          <w:color w:val="000000" w:themeColor="text1"/>
          <w:sz w:val="21"/>
          <w:szCs w:val="21"/>
          <w:highlight w:val="none"/>
          <w14:textFill>
            <w14:solidFill>
              <w14:schemeClr w14:val="tx1"/>
            </w14:solidFill>
          </w14:textFill>
        </w:rPr>
        <w:t>限</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所有硬件设备免费质保五年，软件系统五年内免费维保服务。</w:t>
      </w:r>
      <w:r>
        <w:rPr>
          <w:rFonts w:hint="eastAsia" w:hAnsi="宋体" w:eastAsia="宋体" w:cs="宋体"/>
          <w:color w:val="000000" w:themeColor="text1"/>
          <w:sz w:val="21"/>
          <w:szCs w:val="21"/>
          <w:highlight w:val="none"/>
          <w:lang w:eastAsia="zh-CN"/>
          <w14:textFill>
            <w14:solidFill>
              <w14:schemeClr w14:val="tx1"/>
            </w14:solidFill>
          </w14:textFill>
        </w:rPr>
        <w:t>质量保证期</w:t>
      </w:r>
      <w:r>
        <w:rPr>
          <w:rFonts w:hint="eastAsia" w:ascii="宋体" w:hAnsi="宋体" w:eastAsia="宋体" w:cs="宋体"/>
          <w:color w:val="000000" w:themeColor="text1"/>
          <w:sz w:val="21"/>
          <w:szCs w:val="21"/>
          <w:highlight w:val="none"/>
          <w14:textFill>
            <w14:solidFill>
              <w14:schemeClr w14:val="tx1"/>
            </w14:solidFill>
          </w14:textFill>
        </w:rPr>
        <w:t>自甲乙双方在设备验收报告签字之日起计算。</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2" w:firstLineChars="200"/>
        <w:outlineLvl w:val="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十、售后服务</w:t>
      </w:r>
      <w:r>
        <w:rPr>
          <w:rFonts w:hint="eastAsia" w:ascii="宋体" w:hAnsi="宋体" w:eastAsia="宋体" w:cs="宋体"/>
          <w:b/>
          <w:color w:val="000000" w:themeColor="text1"/>
          <w:sz w:val="21"/>
          <w:szCs w:val="21"/>
          <w:highlight w:val="none"/>
          <w14:textFill>
            <w14:solidFill>
              <w14:schemeClr w14:val="tx1"/>
            </w14:solidFill>
          </w14:textFill>
        </w:rPr>
        <w:tab/>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 乙方须指派专人负责与甲方联系售后服务事宜（联系人：</w:t>
      </w:r>
      <w:r>
        <w:rPr>
          <w:rFonts w:hint="eastAsia" w:hAnsi="宋体" w:eastAsia="宋体" w:cs="宋体"/>
          <w:color w:val="000000" w:themeColor="text1"/>
          <w:sz w:val="21"/>
          <w:szCs w:val="21"/>
          <w:highlight w:val="none"/>
          <w:lang w:val="en-US" w:eastAsia="zh-CN"/>
          <w14:textFill>
            <w14:solidFill>
              <w14:schemeClr w14:val="tx1"/>
            </w14:solidFill>
          </w14:textFill>
        </w:rPr>
        <w:t>林楠</w:t>
      </w:r>
      <w:r>
        <w:rPr>
          <w:rFonts w:hint="eastAsia" w:ascii="宋体" w:hAnsi="宋体" w:eastAsia="宋体" w:cs="宋体"/>
          <w:color w:val="000000" w:themeColor="text1"/>
          <w:sz w:val="21"/>
          <w:szCs w:val="21"/>
          <w:highlight w:val="none"/>
          <w14:textFill>
            <w14:solidFill>
              <w14:schemeClr w14:val="tx1"/>
            </w14:solidFill>
          </w14:textFill>
        </w:rPr>
        <w:t>，电话：</w:t>
      </w:r>
      <w:r>
        <w:rPr>
          <w:rFonts w:hint="eastAsia" w:hAnsi="宋体" w:eastAsia="宋体" w:cs="宋体"/>
          <w:bCs/>
          <w:color w:val="000000" w:themeColor="text1"/>
          <w:sz w:val="21"/>
          <w:szCs w:val="21"/>
          <w:highlight w:val="none"/>
          <w:lang w:val="en-US" w:eastAsia="zh-CN"/>
          <w14:textFill>
            <w14:solidFill>
              <w14:schemeClr w14:val="tx1"/>
            </w14:solidFill>
          </w14:textFill>
        </w:rPr>
        <w:t>13938493799</w:t>
      </w:r>
      <w:r>
        <w:rPr>
          <w:rFonts w:hint="eastAsia" w:ascii="宋体" w:hAnsi="宋体" w:eastAsia="宋体" w:cs="宋体"/>
          <w:bCs/>
          <w:color w:val="000000" w:themeColor="text1"/>
          <w:sz w:val="21"/>
          <w:szCs w:val="21"/>
          <w:highlight w:val="none"/>
          <w14:textFill>
            <w14:solidFill>
              <w14:schemeClr w14:val="tx1"/>
            </w14:solidFill>
          </w14:textFill>
        </w:rPr>
        <w:t>）。 </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2. </w:t>
      </w:r>
      <w:r>
        <w:rPr>
          <w:rFonts w:hint="eastAsia" w:hAnsi="宋体" w:eastAsia="宋体" w:cs="宋体"/>
          <w:color w:val="000000" w:themeColor="text1"/>
          <w:sz w:val="21"/>
          <w:szCs w:val="21"/>
          <w:highlight w:val="none"/>
          <w:lang w:eastAsia="zh-CN"/>
          <w14:textFill>
            <w14:solidFill>
              <w14:schemeClr w14:val="tx1"/>
            </w14:solidFill>
          </w14:textFill>
        </w:rPr>
        <w:t>质量保证期</w:t>
      </w:r>
      <w:r>
        <w:rPr>
          <w:rFonts w:hint="eastAsia" w:ascii="宋体" w:hAnsi="宋体" w:eastAsia="宋体" w:cs="宋体"/>
          <w:color w:val="000000" w:themeColor="text1"/>
          <w:sz w:val="21"/>
          <w:szCs w:val="21"/>
          <w:highlight w:val="none"/>
          <w14:textFill>
            <w14:solidFill>
              <w14:schemeClr w14:val="tx1"/>
            </w14:solidFill>
          </w14:textFill>
        </w:rPr>
        <w:t>内，乙方负责对其提供的货物上门进行硬件维修、软件维护和升级等免费服务，甲方不再支付任何费用，但人为因素或自然灾害造成的损坏除外。</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3. </w:t>
      </w:r>
      <w:r>
        <w:rPr>
          <w:rFonts w:hint="eastAsia" w:hAnsi="宋体" w:eastAsia="宋体" w:cs="宋体"/>
          <w:color w:val="000000" w:themeColor="text1"/>
          <w:sz w:val="21"/>
          <w:szCs w:val="21"/>
          <w:highlight w:val="none"/>
          <w:lang w:eastAsia="zh-CN"/>
          <w14:textFill>
            <w14:solidFill>
              <w14:schemeClr w14:val="tx1"/>
            </w14:solidFill>
          </w14:textFill>
        </w:rPr>
        <w:t>质量保证期</w:t>
      </w:r>
      <w:r>
        <w:rPr>
          <w:rFonts w:hint="eastAsia" w:ascii="宋体" w:hAnsi="宋体" w:eastAsia="宋体" w:cs="宋体"/>
          <w:color w:val="000000" w:themeColor="text1"/>
          <w:sz w:val="21"/>
          <w:szCs w:val="21"/>
          <w:highlight w:val="none"/>
          <w14:textFill>
            <w14:solidFill>
              <w14:schemeClr w14:val="tx1"/>
            </w14:solidFill>
          </w14:textFill>
        </w:rPr>
        <w:t>内，乙方在接到甲方系统故障或问题告知后，2小时内赶到现场处理，24小时之内排除故障。</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4. </w:t>
      </w:r>
      <w:r>
        <w:rPr>
          <w:rFonts w:hint="eastAsia" w:hAnsi="宋体" w:eastAsia="宋体" w:cs="宋体"/>
          <w:color w:val="000000" w:themeColor="text1"/>
          <w:sz w:val="21"/>
          <w:szCs w:val="21"/>
          <w:highlight w:val="none"/>
          <w:lang w:eastAsia="zh-CN"/>
          <w14:textFill>
            <w14:solidFill>
              <w14:schemeClr w14:val="tx1"/>
            </w14:solidFill>
          </w14:textFill>
        </w:rPr>
        <w:t>质量保证期</w:t>
      </w:r>
      <w:r>
        <w:rPr>
          <w:rFonts w:hint="eastAsia" w:ascii="宋体" w:hAnsi="宋体" w:eastAsia="宋体" w:cs="宋体"/>
          <w:color w:val="000000" w:themeColor="text1"/>
          <w:sz w:val="21"/>
          <w:szCs w:val="21"/>
          <w:highlight w:val="none"/>
          <w14:textFill>
            <w14:solidFill>
              <w14:schemeClr w14:val="tx1"/>
            </w14:solidFill>
          </w14:textFill>
        </w:rPr>
        <w:t>满后，乙方负责终身维修，维修需要更换零配件时，按出厂价收取，不再收取其他费用。如出现设备故障，保证4小时之内赶到现场处理，24小时之内排除故障。乙方不定期免费提供仪器维护和进行软件升级和技术指导。</w:t>
      </w:r>
      <w:r>
        <w:rPr>
          <w:rFonts w:hint="eastAsia" w:hAnsi="宋体" w:eastAsia="宋体" w:cs="宋体"/>
          <w:color w:val="000000" w:themeColor="text1"/>
          <w:sz w:val="21"/>
          <w:szCs w:val="21"/>
          <w:highlight w:val="none"/>
          <w:lang w:eastAsia="zh-CN"/>
          <w14:textFill>
            <w14:solidFill>
              <w14:schemeClr w14:val="tx1"/>
            </w14:solidFill>
          </w14:textFill>
        </w:rPr>
        <w:t>质量保证期</w:t>
      </w:r>
      <w:r>
        <w:rPr>
          <w:rFonts w:hint="eastAsia" w:ascii="宋体" w:hAnsi="宋体" w:eastAsia="宋体" w:cs="宋体"/>
          <w:color w:val="000000" w:themeColor="text1"/>
          <w:sz w:val="21"/>
          <w:szCs w:val="21"/>
          <w:highlight w:val="none"/>
          <w14:textFill>
            <w14:solidFill>
              <w14:schemeClr w14:val="tx1"/>
            </w14:solidFill>
          </w14:textFill>
        </w:rPr>
        <w:t>满后，乙方根据用户需要提供使用人员继续培训服务，费用视情况而定。</w:t>
      </w:r>
    </w:p>
    <w:p>
      <w:pPr>
        <w:keepNext w:val="0"/>
        <w:keepLines w:val="0"/>
        <w:pageBreakBefore w:val="0"/>
        <w:kinsoku/>
        <w:wordWrap/>
        <w:overflowPunct/>
        <w:topLinePunct w:val="0"/>
        <w:autoSpaceDE/>
        <w:autoSpaceDN/>
        <w:bidi w:val="0"/>
        <w:spacing w:line="360" w:lineRule="auto"/>
        <w:ind w:firstLine="422" w:firstLineChars="200"/>
        <w:outlineLvl w:val="0"/>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十一、索赔</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 甲方如对乙方所提供的货物有异议，甲方有权根据有关检验结果向乙方提出索赔。</w:t>
      </w:r>
    </w:p>
    <w:p>
      <w:pPr>
        <w:keepNext w:val="0"/>
        <w:keepLines w:val="0"/>
        <w:pageBreakBefore w:val="0"/>
        <w:kinsoku/>
        <w:wordWrap/>
        <w:overflowPunct/>
        <w:topLinePunct w:val="0"/>
        <w:autoSpaceDE/>
        <w:autoSpaceDN/>
        <w:bidi w:val="0"/>
        <w:spacing w:line="360" w:lineRule="auto"/>
        <w:ind w:left="1"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 在合同执行期间，如果乙方对甲方提出的索赔和差异负有责任，乙方应按照甲方同意的下列一种或多种方式解决索赔事宜：</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⑴ 乙方同意退货，并按合同规定的同种货币将货款退还给甲方，并承担由此发生的一切损失和费用。</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⑵ 根据货物低劣程度、损坏程度以及甲方所遭受损失的数额甲乙双方商定降低货物的价格。</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⑶ 用符合规格、质量和性能要求的新零件、部件或货物来更换有缺陷的部分或修补缺陷的部分，乙方应承担一切费用和风险并负有甲方所发生的一切直接费用。同时，延长质量保证期。</w:t>
      </w:r>
    </w:p>
    <w:p>
      <w:pPr>
        <w:keepNext w:val="0"/>
        <w:keepLines w:val="0"/>
        <w:pageBreakBefore w:val="0"/>
        <w:tabs>
          <w:tab w:val="left" w:pos="0"/>
        </w:tabs>
        <w:kinsoku/>
        <w:wordWrap/>
        <w:overflowPunct/>
        <w:topLinePunct w:val="0"/>
        <w:autoSpaceDE/>
        <w:autoSpaceDN/>
        <w:bidi w:val="0"/>
        <w:spacing w:line="360" w:lineRule="auto"/>
        <w:ind w:left="1"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 如果在甲方发出索赔通知后</w:t>
      </w: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30</w:t>
      </w:r>
      <w:r>
        <w:rPr>
          <w:rFonts w:hint="eastAsia" w:ascii="宋体" w:hAnsi="宋体" w:eastAsia="宋体" w:cs="宋体"/>
          <w:color w:val="000000" w:themeColor="text1"/>
          <w:sz w:val="21"/>
          <w:szCs w:val="21"/>
          <w:highlight w:val="none"/>
          <w14:textFill>
            <w14:solidFill>
              <w14:schemeClr w14:val="tx1"/>
            </w14:solidFill>
          </w14:textFill>
        </w:rPr>
        <w:t>天内，乙方未作答复，上述索赔应视为已被乙方接受。甲方将从合同款项中扣回索赔金额。如果这些金额不足以补偿索赔金额，甲方有权向乙方提出不足部分的补偿。</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2" w:firstLineChars="200"/>
        <w:outlineLvl w:val="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十二、违约责任</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1. </w:t>
      </w:r>
      <w:r>
        <w:rPr>
          <w:rFonts w:hint="eastAsia" w:ascii="宋体" w:hAnsi="宋体" w:eastAsia="宋体" w:cs="宋体"/>
          <w:color w:val="000000" w:themeColor="text1"/>
          <w:sz w:val="21"/>
          <w:szCs w:val="21"/>
          <w:highlight w:val="none"/>
          <w:lang w:val="en-US"/>
          <w14:textFill>
            <w14:solidFill>
              <w14:schemeClr w14:val="tx1"/>
            </w14:solidFill>
          </w14:textFill>
        </w:rPr>
        <w:t>乙方未能交付货物，则向甲方支付合同总额20%的违约金，同时履约保证金不予退还</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lang w:val="en-US"/>
          <w14:textFill>
            <w14:solidFill>
              <w14:schemeClr w14:val="tx1"/>
            </w14:solidFill>
          </w14:textFill>
        </w:rPr>
        <w:t>对甲方造成其他损失的全额赔偿。</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 乙方交付的货物与投标文件或合同不相符的，甲方有权拒收，乙方向甲方支付合同总额30%的违约金，同时履约保证金不予退还。</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 乙方标书中所投货物的技术指标要求为全部满足招标文件要求，若所供货物中有一项非（▲）号项不满足技术指标要求，则扣除该项货物货款的10%，有一项（▲）号项不满足技术指标要求，则扣除该项货物货款的30%，直至扣完该项货物的全部货款，同时履约保证金不予退还。</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 甲方无正当理由拒收货物，拒付货款的，则向乙方支付合同总额10%的违约金。</w:t>
      </w:r>
    </w:p>
    <w:p>
      <w:pPr>
        <w:pStyle w:val="6"/>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 乙方逾期交付货物（货物经验收合格的，交付最终时间以甲方收到乙方提交的申请验收函之日为准；货物经验收不合格的，交付最终时间实际验收合格之日为准），则每迟交一周货物应向甲方支付货款总额5%违约金（不可抗力除外），违约金乙方同意从货款中扣除。迟交达四周，甲方有权解除合同，乙方应向甲方支付合同总额20%的违约金，同时履约保证金不予退还。</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 甲方逾期付款，则每延迟一周付款甲方应向乙方支付货款总额0.5%违约金，违约金总额不超过合同总价的5%（不可抗力除外）。</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 乙方必须按甲方指定地点按时交货，货物不符合质量标准的，乙方必须按时负责调换至合格为止，并承担由此产生的实际费用。不能按时调换至合格者，按不能交货处理。乙方若不能按时交货，甲方将不保证按时付款，所造成的一切后果由乙方承担。</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0" w:firstLineChars="200"/>
        <w:outlineLvl w:val="1"/>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8.若乙方提出换货，则按第十二条第2款执行。</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2" w:firstLineChars="200"/>
        <w:outlineLvl w:val="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十三、争端的解决</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凡与本合同有关而引起的一切争执和分歧，甲乙双方通过友好协商解决或调解，如协商或调解不成，任何一方可以向郑州仲裁委员会申请仲裁裁决。</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2.在进行仲裁期间，除提交仲裁机构的事项外，合同其他部分应继续履行。</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22" w:firstLineChars="200"/>
        <w:outlineLvl w:val="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十四、</w:t>
      </w:r>
      <w:r>
        <w:rPr>
          <w:rFonts w:hint="eastAsia" w:ascii="宋体" w:hAnsi="宋体" w:eastAsia="宋体" w:cs="宋体"/>
          <w:b/>
          <w:bCs/>
          <w:color w:val="000000" w:themeColor="text1"/>
          <w:sz w:val="21"/>
          <w:szCs w:val="21"/>
          <w:highlight w:val="none"/>
          <w14:textFill>
            <w14:solidFill>
              <w14:schemeClr w14:val="tx1"/>
            </w14:solidFill>
          </w14:textFill>
        </w:rPr>
        <w:t>合同组成</w:t>
      </w:r>
    </w:p>
    <w:p>
      <w:pPr>
        <w:pStyle w:val="6"/>
        <w:keepNext w:val="0"/>
        <w:keepLines w:val="0"/>
        <w:pageBreakBefore w:val="0"/>
        <w:tabs>
          <w:tab w:val="left" w:pos="0"/>
          <w:tab w:val="left" w:pos="720"/>
        </w:tabs>
        <w:kinsoku/>
        <w:wordWrap/>
        <w:overflowPunct/>
        <w:topLinePunct w:val="0"/>
        <w:autoSpaceDE/>
        <w:autoSpaceDN/>
        <w:bidi w:val="0"/>
        <w:spacing w:line="360" w:lineRule="auto"/>
        <w:ind w:firstLine="415" w:firstLineChars="198"/>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本项目</w:t>
      </w:r>
      <w:r>
        <w:rPr>
          <w:rFonts w:hint="eastAsia" w:ascii="宋体" w:hAnsi="宋体" w:eastAsia="宋体" w:cs="宋体"/>
          <w:color w:val="000000" w:themeColor="text1"/>
          <w:sz w:val="21"/>
          <w:szCs w:val="21"/>
          <w:highlight w:val="none"/>
          <w14:textFill>
            <w14:solidFill>
              <w14:schemeClr w14:val="tx1"/>
            </w14:solidFill>
          </w14:textFill>
        </w:rPr>
        <w:t>招标文件、投标文件及下列附件等均为本合同的有效组成部分，与本合同具有同样法律效力。</w:t>
      </w:r>
    </w:p>
    <w:p>
      <w:pPr>
        <w:pStyle w:val="6"/>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 中标通知书（附件1）；</w:t>
      </w:r>
    </w:p>
    <w:p>
      <w:pPr>
        <w:pStyle w:val="6"/>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2. </w:t>
      </w:r>
      <w:r>
        <w:rPr>
          <w:rFonts w:hint="eastAsia" w:ascii="宋体" w:hAnsi="宋体" w:eastAsia="宋体" w:cs="宋体"/>
          <w:bCs/>
          <w:color w:val="000000" w:themeColor="text1"/>
          <w:sz w:val="21"/>
          <w:szCs w:val="21"/>
          <w:highlight w:val="none"/>
          <w14:textFill>
            <w14:solidFill>
              <w14:schemeClr w14:val="tx1"/>
            </w14:solidFill>
          </w14:textFill>
        </w:rPr>
        <w:t>中标货物分项报价一览表</w:t>
      </w:r>
      <w:r>
        <w:rPr>
          <w:rFonts w:hint="eastAsia" w:ascii="宋体" w:hAnsi="宋体" w:eastAsia="宋体" w:cs="宋体"/>
          <w:color w:val="000000" w:themeColor="text1"/>
          <w:sz w:val="21"/>
          <w:szCs w:val="21"/>
          <w:highlight w:val="none"/>
          <w14:textFill>
            <w14:solidFill>
              <w14:schemeClr w14:val="tx1"/>
            </w14:solidFill>
          </w14:textFill>
        </w:rPr>
        <w:t>（附件2）；</w:t>
      </w:r>
    </w:p>
    <w:p>
      <w:pPr>
        <w:pStyle w:val="6"/>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 中标货物制造商</w:t>
      </w:r>
      <w:r>
        <w:rPr>
          <w:rFonts w:hint="eastAsia" w:ascii="宋体" w:hAnsi="宋体" w:eastAsia="宋体" w:cs="宋体"/>
          <w:bCs/>
          <w:color w:val="000000" w:themeColor="text1"/>
          <w:sz w:val="21"/>
          <w:szCs w:val="21"/>
          <w:highlight w:val="none"/>
          <w14:textFill>
            <w14:solidFill>
              <w14:schemeClr w14:val="tx1"/>
            </w14:solidFill>
          </w14:textFill>
        </w:rPr>
        <w:t>配置清单</w:t>
      </w:r>
      <w:r>
        <w:rPr>
          <w:rFonts w:hint="eastAsia" w:ascii="宋体" w:hAnsi="宋体" w:eastAsia="宋体" w:cs="宋体"/>
          <w:color w:val="000000" w:themeColor="text1"/>
          <w:sz w:val="21"/>
          <w:szCs w:val="21"/>
          <w:highlight w:val="none"/>
          <w14:textFill>
            <w14:solidFill>
              <w14:schemeClr w14:val="tx1"/>
            </w14:solidFill>
          </w14:textFill>
        </w:rPr>
        <w:t>（附件3）；</w:t>
      </w:r>
    </w:p>
    <w:p>
      <w:pPr>
        <w:pStyle w:val="6"/>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4. 中标货物技术参数及配置表（附件4）； </w:t>
      </w:r>
    </w:p>
    <w:p>
      <w:pPr>
        <w:pStyle w:val="6"/>
        <w:keepNext w:val="0"/>
        <w:keepLines w:val="0"/>
        <w:pageBreakBefore w:val="0"/>
        <w:kinsoku/>
        <w:wordWrap/>
        <w:overflowPunct/>
        <w:topLinePunct w:val="0"/>
        <w:autoSpaceDE/>
        <w:autoSpaceDN/>
        <w:bidi w:val="0"/>
        <w:spacing w:line="24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 供货商质量保障及服务表（附件5）；</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 中标货物安装培训计划表（附件6）</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pPr>
        <w:pStyle w:val="6"/>
        <w:keepNext w:val="0"/>
        <w:keepLines w:val="0"/>
        <w:pageBreakBefore w:val="0"/>
        <w:kinsoku/>
        <w:wordWrap/>
        <w:overflowPunct/>
        <w:topLinePunct w:val="0"/>
        <w:autoSpaceDE/>
        <w:autoSpaceDN/>
        <w:bidi w:val="0"/>
        <w:spacing w:line="240" w:lineRule="auto"/>
        <w:ind w:firstLine="420" w:firstLineChars="200"/>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 中标货物制造商售后服务承诺（附件7）</w:t>
      </w:r>
      <w:r>
        <w:rPr>
          <w:rFonts w:hint="eastAsia" w:hAnsi="宋体" w:eastAsia="宋体" w:cs="宋体"/>
          <w:color w:val="000000" w:themeColor="text1"/>
          <w:sz w:val="21"/>
          <w:szCs w:val="21"/>
          <w:highlight w:val="none"/>
          <w:lang w:eastAsia="zh-CN"/>
          <w14:textFill>
            <w14:solidFill>
              <w14:schemeClr w14:val="tx1"/>
            </w14:solidFill>
          </w14:textFill>
        </w:rPr>
        <w:t>；</w:t>
      </w:r>
    </w:p>
    <w:p>
      <w:pPr>
        <w:pStyle w:val="6"/>
        <w:keepNext w:val="0"/>
        <w:keepLines w:val="0"/>
        <w:pageBreakBefore w:val="0"/>
        <w:kinsoku/>
        <w:wordWrap/>
        <w:overflowPunct/>
        <w:topLinePunct w:val="0"/>
        <w:autoSpaceDE/>
        <w:autoSpaceDN/>
        <w:bidi w:val="0"/>
        <w:spacing w:line="240" w:lineRule="auto"/>
        <w:ind w:firstLine="420" w:firstLineChars="20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hAnsi="宋体" w:eastAsia="宋体" w:cs="宋体"/>
          <w:color w:val="000000" w:themeColor="text1"/>
          <w:sz w:val="21"/>
          <w:szCs w:val="21"/>
          <w:highlight w:val="none"/>
          <w:lang w:val="en-US" w:eastAsia="zh-CN"/>
          <w14:textFill>
            <w14:solidFill>
              <w14:schemeClr w14:val="tx1"/>
            </w14:solidFill>
          </w14:textFill>
        </w:rPr>
        <w:t>8</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hAnsi="宋体" w:eastAsia="宋体" w:cs="宋体"/>
          <w:color w:val="000000" w:themeColor="text1"/>
          <w:sz w:val="21"/>
          <w:szCs w:val="21"/>
          <w:highlight w:val="none"/>
          <w:lang w:val="en-US" w:eastAsia="zh-CN"/>
          <w14:textFill>
            <w14:solidFill>
              <w14:schemeClr w14:val="tx1"/>
            </w14:solidFill>
          </w14:textFill>
        </w:rPr>
        <w:t>数据保密协议</w:t>
      </w:r>
      <w:r>
        <w:rPr>
          <w:rFonts w:hint="eastAsia" w:ascii="宋体" w:hAnsi="宋体" w:eastAsia="宋体" w:cs="宋体"/>
          <w:color w:val="000000" w:themeColor="text1"/>
          <w:sz w:val="21"/>
          <w:szCs w:val="21"/>
          <w:highlight w:val="none"/>
          <w14:textFill>
            <w14:solidFill>
              <w14:schemeClr w14:val="tx1"/>
            </w14:solidFill>
          </w14:textFill>
        </w:rPr>
        <w:t>（附件</w:t>
      </w:r>
      <w:r>
        <w:rPr>
          <w:rFonts w:hint="eastAsia" w:hAnsi="宋体" w:eastAsia="宋体" w:cs="宋体"/>
          <w:color w:val="000000" w:themeColor="text1"/>
          <w:sz w:val="21"/>
          <w:szCs w:val="21"/>
          <w:highlight w:val="none"/>
          <w:lang w:val="en-US" w:eastAsia="zh-CN"/>
          <w14:textFill>
            <w14:solidFill>
              <w14:schemeClr w14:val="tx1"/>
            </w14:solidFill>
          </w14:textFill>
        </w:rPr>
        <w:t>8</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hAnsi="宋体" w:eastAsia="宋体" w:cs="宋体"/>
          <w:color w:val="000000" w:themeColor="text1"/>
          <w:sz w:val="21"/>
          <w:szCs w:val="21"/>
          <w:highlight w:val="none"/>
          <w:lang w:eastAsia="zh-CN"/>
          <w14:textFill>
            <w14:solidFill>
              <w14:schemeClr w14:val="tx1"/>
            </w14:solidFill>
          </w14:textFill>
        </w:rPr>
        <w:t>。</w:t>
      </w:r>
    </w:p>
    <w:p>
      <w:pPr>
        <w:pStyle w:val="6"/>
        <w:keepNext w:val="0"/>
        <w:keepLines w:val="0"/>
        <w:pageBreakBefore w:val="0"/>
        <w:tabs>
          <w:tab w:val="left" w:pos="0"/>
          <w:tab w:val="left" w:pos="720"/>
        </w:tabs>
        <w:kinsoku/>
        <w:wordWrap/>
        <w:overflowPunct/>
        <w:topLinePunct w:val="0"/>
        <w:autoSpaceDE/>
        <w:autoSpaceDN/>
        <w:bidi w:val="0"/>
        <w:spacing w:line="240" w:lineRule="auto"/>
        <w:ind w:firstLine="422" w:firstLineChars="200"/>
        <w:outlineLvl w:val="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十五、合同解除和终止</w:t>
      </w:r>
    </w:p>
    <w:p>
      <w:pPr>
        <w:pStyle w:val="6"/>
        <w:keepNext w:val="0"/>
        <w:keepLines w:val="0"/>
        <w:pageBreakBefore w:val="0"/>
        <w:tabs>
          <w:tab w:val="left" w:pos="0"/>
          <w:tab w:val="left" w:pos="720"/>
        </w:tabs>
        <w:kinsoku/>
        <w:wordWrap/>
        <w:overflowPunct/>
        <w:topLinePunct w:val="0"/>
        <w:autoSpaceDE/>
        <w:autoSpaceDN/>
        <w:bidi w:val="0"/>
        <w:spacing w:line="240" w:lineRule="auto"/>
        <w:ind w:firstLine="420" w:firstLineChars="200"/>
        <w:outlineLvl w:val="1"/>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 甲乙双方各自完成合同规定的责任和义务，合同自然终止。</w:t>
      </w:r>
    </w:p>
    <w:p>
      <w:pPr>
        <w:keepNext w:val="0"/>
        <w:keepLines w:val="0"/>
        <w:pageBreakBefore w:val="0"/>
        <w:kinsoku/>
        <w:wordWrap/>
        <w:overflowPunct/>
        <w:topLinePunct w:val="0"/>
        <w:autoSpaceDE/>
        <w:autoSpaceDN/>
        <w:bidi w:val="0"/>
        <w:spacing w:line="240" w:lineRule="auto"/>
        <w:ind w:firstLine="428" w:firstLineChars="204"/>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 如果一方严重违反合同，并在收到对方违约通知书后在</w:t>
      </w: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30</w:t>
      </w:r>
      <w:r>
        <w:rPr>
          <w:rFonts w:hint="eastAsia" w:ascii="宋体" w:hAnsi="宋体" w:eastAsia="宋体" w:cs="宋体"/>
          <w:color w:val="000000" w:themeColor="text1"/>
          <w:sz w:val="21"/>
          <w:szCs w:val="21"/>
          <w:highlight w:val="none"/>
          <w14:textFill>
            <w14:solidFill>
              <w14:schemeClr w14:val="tx1"/>
            </w14:solidFill>
          </w14:textFill>
        </w:rPr>
        <w:t>天内或在指定期限内仍未能改正违约的，另一方可立即终止本合同。</w:t>
      </w:r>
    </w:p>
    <w:p>
      <w:pPr>
        <w:pStyle w:val="6"/>
        <w:keepNext w:val="0"/>
        <w:keepLines w:val="0"/>
        <w:pageBreakBefore w:val="0"/>
        <w:tabs>
          <w:tab w:val="left" w:pos="0"/>
          <w:tab w:val="left" w:pos="720"/>
        </w:tabs>
        <w:kinsoku/>
        <w:wordWrap/>
        <w:overflowPunct/>
        <w:topLinePunct w:val="0"/>
        <w:autoSpaceDE/>
        <w:autoSpaceDN/>
        <w:bidi w:val="0"/>
        <w:spacing w:line="240" w:lineRule="auto"/>
        <w:ind w:firstLine="422" w:firstLineChars="200"/>
        <w:outlineLvl w:val="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十六、其它</w:t>
      </w:r>
    </w:p>
    <w:p>
      <w:pPr>
        <w:pStyle w:val="6"/>
        <w:keepNext w:val="0"/>
        <w:keepLines w:val="0"/>
        <w:pageBreakBefore w:val="0"/>
        <w:tabs>
          <w:tab w:val="left" w:pos="0"/>
          <w:tab w:val="left" w:pos="720"/>
        </w:tabs>
        <w:kinsoku/>
        <w:wordWrap/>
        <w:overflowPunct/>
        <w:topLinePunct w:val="0"/>
        <w:autoSpaceDE/>
        <w:autoSpaceDN/>
        <w:bidi w:val="0"/>
        <w:spacing w:line="24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 本合同乙方不得将本合同全部或部分分包给他人。乙方在任何情况下都不得全部或部分转让其应履行的合同义务。</w:t>
      </w:r>
    </w:p>
    <w:p>
      <w:pPr>
        <w:pStyle w:val="6"/>
        <w:keepNext w:val="0"/>
        <w:keepLines w:val="0"/>
        <w:pageBreakBefore w:val="0"/>
        <w:tabs>
          <w:tab w:val="left" w:pos="0"/>
          <w:tab w:val="left" w:pos="720"/>
        </w:tabs>
        <w:kinsoku/>
        <w:wordWrap/>
        <w:overflowPunct/>
        <w:topLinePunct w:val="0"/>
        <w:autoSpaceDE/>
        <w:autoSpaceDN/>
        <w:bidi w:val="0"/>
        <w:spacing w:line="240" w:lineRule="auto"/>
        <w:ind w:firstLine="420" w:firstLineChars="200"/>
        <w:outlineLvl w:val="1"/>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 合同若有变更须经甲乙双方签字确认。</w:t>
      </w:r>
    </w:p>
    <w:p>
      <w:pPr>
        <w:pStyle w:val="6"/>
        <w:keepNext w:val="0"/>
        <w:keepLines w:val="0"/>
        <w:pageBreakBefore w:val="0"/>
        <w:tabs>
          <w:tab w:val="left" w:pos="0"/>
          <w:tab w:val="left" w:pos="720"/>
        </w:tabs>
        <w:kinsoku/>
        <w:wordWrap/>
        <w:overflowPunct/>
        <w:topLinePunct w:val="0"/>
        <w:autoSpaceDE/>
        <w:autoSpaceDN/>
        <w:bidi w:val="0"/>
        <w:spacing w:line="24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在执行本合同的过程中，所有经双方签署确认的文件（包括会议纪要、补充协议、合同修改书、往来信函等）均为本合同的有效组成部分。</w:t>
      </w:r>
    </w:p>
    <w:p>
      <w:pPr>
        <w:pStyle w:val="6"/>
        <w:keepNext w:val="0"/>
        <w:keepLines w:val="0"/>
        <w:pageBreakBefore w:val="0"/>
        <w:tabs>
          <w:tab w:val="left" w:pos="0"/>
          <w:tab w:val="left" w:pos="720"/>
        </w:tabs>
        <w:kinsoku/>
        <w:wordWrap/>
        <w:overflowPunct/>
        <w:topLinePunct w:val="0"/>
        <w:autoSpaceDE/>
        <w:autoSpaceDN/>
        <w:bidi w:val="0"/>
        <w:spacing w:line="24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4. </w:t>
      </w:r>
      <w:r>
        <w:rPr>
          <w:rFonts w:hint="eastAsia" w:ascii="宋体" w:hAnsi="宋体" w:eastAsia="宋体" w:cs="宋体"/>
          <w:color w:val="000000" w:themeColor="text1"/>
          <w:sz w:val="21"/>
          <w:szCs w:val="21"/>
          <w:highlight w:val="none"/>
          <w:lang w:val="en-US" w:eastAsia="zh-CN"/>
          <w14:textFill>
            <w14:solidFill>
              <w14:schemeClr w14:val="tx1"/>
            </w14:solidFill>
          </w14:textFill>
        </w:rPr>
        <w:t>本合同经甲方、乙方法定代表人或授权代理人签字、盖章后生效。</w:t>
      </w:r>
    </w:p>
    <w:p>
      <w:pPr>
        <w:pStyle w:val="6"/>
        <w:keepNext w:val="0"/>
        <w:keepLines w:val="0"/>
        <w:pageBreakBefore w:val="0"/>
        <w:tabs>
          <w:tab w:val="left" w:pos="0"/>
          <w:tab w:val="left" w:pos="720"/>
        </w:tabs>
        <w:kinsoku/>
        <w:wordWrap/>
        <w:overflowPunct/>
        <w:topLinePunct w:val="0"/>
        <w:autoSpaceDE/>
        <w:autoSpaceDN/>
        <w:bidi w:val="0"/>
        <w:spacing w:line="24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w:t>
      </w:r>
      <w:r>
        <w:rPr>
          <w:rFonts w:hint="eastAsia"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乙方承诺负责本合同货物的报废回收事宜。</w:t>
      </w:r>
    </w:p>
    <w:p>
      <w:pPr>
        <w:pStyle w:val="6"/>
        <w:keepNext w:val="0"/>
        <w:keepLines w:val="0"/>
        <w:pageBreakBefore w:val="0"/>
        <w:tabs>
          <w:tab w:val="left" w:pos="0"/>
          <w:tab w:val="left" w:pos="720"/>
        </w:tabs>
        <w:kinsoku/>
        <w:wordWrap/>
        <w:overflowPunct/>
        <w:topLinePunct w:val="0"/>
        <w:autoSpaceDE/>
        <w:autoSpaceDN/>
        <w:bidi w:val="0"/>
        <w:spacing w:line="24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6. </w:t>
      </w:r>
      <w:r>
        <w:rPr>
          <w:rFonts w:hint="eastAsia" w:ascii="宋体" w:hAnsi="宋体" w:eastAsia="宋体" w:cs="宋体"/>
          <w:color w:val="000000" w:themeColor="text1"/>
          <w:sz w:val="21"/>
          <w:szCs w:val="21"/>
          <w:highlight w:val="none"/>
          <w:lang w:val="en-US" w:eastAsia="zh-CN"/>
          <w14:textFill>
            <w14:solidFill>
              <w14:schemeClr w14:val="tx1"/>
            </w14:solidFill>
          </w14:textFill>
        </w:rPr>
        <w:t>本合同一式</w:t>
      </w:r>
      <w:r>
        <w:rPr>
          <w:rFonts w:hint="eastAsia" w:hAnsi="宋体" w:eastAsia="宋体" w:cs="宋体"/>
          <w:color w:val="000000" w:themeColor="text1"/>
          <w:sz w:val="21"/>
          <w:szCs w:val="21"/>
          <w:highlight w:val="none"/>
          <w:lang w:val="en-US" w:eastAsia="zh-CN"/>
          <w14:textFill>
            <w14:solidFill>
              <w14:schemeClr w14:val="tx1"/>
            </w14:solidFill>
          </w14:textFill>
        </w:rPr>
        <w:t>陆</w:t>
      </w:r>
      <w:r>
        <w:rPr>
          <w:rFonts w:hint="eastAsia" w:ascii="宋体" w:hAnsi="宋体" w:eastAsia="宋体" w:cs="宋体"/>
          <w:color w:val="000000" w:themeColor="text1"/>
          <w:sz w:val="21"/>
          <w:szCs w:val="21"/>
          <w:highlight w:val="none"/>
          <w:lang w:val="en-US" w:eastAsia="zh-CN"/>
          <w14:textFill>
            <w14:solidFill>
              <w14:schemeClr w14:val="tx1"/>
            </w14:solidFill>
          </w14:textFill>
        </w:rPr>
        <w:t>份，其中甲方</w:t>
      </w:r>
      <w:r>
        <w:rPr>
          <w:rFonts w:hint="eastAsia" w:hAnsi="宋体" w:eastAsia="宋体" w:cs="宋体"/>
          <w:color w:val="000000" w:themeColor="text1"/>
          <w:sz w:val="21"/>
          <w:szCs w:val="21"/>
          <w:highlight w:val="none"/>
          <w:lang w:val="en-US" w:eastAsia="zh-CN"/>
          <w14:textFill>
            <w14:solidFill>
              <w14:schemeClr w14:val="tx1"/>
            </w14:solidFill>
          </w14:textFill>
        </w:rPr>
        <w:t>肆</w:t>
      </w:r>
      <w:r>
        <w:rPr>
          <w:rFonts w:hint="eastAsia" w:ascii="宋体" w:hAnsi="宋体" w:eastAsia="宋体" w:cs="宋体"/>
          <w:color w:val="000000" w:themeColor="text1"/>
          <w:sz w:val="21"/>
          <w:szCs w:val="21"/>
          <w:highlight w:val="none"/>
          <w:lang w:val="en-US" w:eastAsia="zh-CN"/>
          <w14:textFill>
            <w14:solidFill>
              <w14:schemeClr w14:val="tx1"/>
            </w14:solidFill>
          </w14:textFill>
        </w:rPr>
        <w:t>份、乙方贰份。</w:t>
      </w:r>
    </w:p>
    <w:p>
      <w:pPr>
        <w:pStyle w:val="6"/>
        <w:keepNext w:val="0"/>
        <w:keepLines w:val="0"/>
        <w:pageBreakBefore w:val="0"/>
        <w:tabs>
          <w:tab w:val="left" w:pos="0"/>
          <w:tab w:val="left" w:pos="720"/>
        </w:tabs>
        <w:kinsoku/>
        <w:wordWrap/>
        <w:overflowPunct/>
        <w:topLinePunct w:val="0"/>
        <w:autoSpaceDE/>
        <w:autoSpaceDN/>
        <w:bidi w:val="0"/>
        <w:spacing w:line="24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 本合同合计</w:t>
      </w:r>
      <w:r>
        <w:rPr>
          <w:rFonts w:hint="eastAsia" w:ascii="宋体" w:hAnsi="宋体" w:eastAsia="宋体" w:cs="宋体"/>
          <w:color w:val="000000" w:themeColor="text1"/>
          <w:sz w:val="21"/>
          <w:szCs w:val="21"/>
          <w:highlight w:val="none"/>
          <w:u w:val="single"/>
          <w:lang w:val="en-US"/>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页A4纸张，缺页、缺签字日期之合同为无效合同。</w:t>
      </w:r>
    </w:p>
    <w:p>
      <w:pPr>
        <w:pStyle w:val="6"/>
        <w:keepNext w:val="0"/>
        <w:keepLines w:val="0"/>
        <w:pageBreakBefore w:val="0"/>
        <w:tabs>
          <w:tab w:val="left" w:pos="0"/>
          <w:tab w:val="left" w:pos="720"/>
        </w:tabs>
        <w:kinsoku/>
        <w:wordWrap/>
        <w:overflowPunct/>
        <w:topLinePunct w:val="0"/>
        <w:autoSpaceDE/>
        <w:autoSpaceDN/>
        <w:bidi w:val="0"/>
        <w:spacing w:line="240" w:lineRule="auto"/>
        <w:ind w:firstLine="420" w:firstLineChars="20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8. </w:t>
      </w:r>
      <w:r>
        <w:rPr>
          <w:rFonts w:hint="eastAsia" w:ascii="宋体" w:hAnsi="宋体" w:eastAsia="宋体" w:cs="宋体"/>
          <w:color w:val="000000" w:themeColor="text1"/>
          <w:sz w:val="21"/>
          <w:szCs w:val="21"/>
          <w:highlight w:val="none"/>
          <w:lang w:val="en-US" w:eastAsia="zh-CN"/>
          <w14:textFill>
            <w14:solidFill>
              <w14:schemeClr w14:val="tx1"/>
            </w14:solidFill>
          </w14:textFill>
        </w:rPr>
        <w:t>合同正式签订后，乙方应在两日内向甲方提供合同网络备案所需要的电子和纸质文档资料各壹份，否则影响货款支付，后果自负。</w:t>
      </w:r>
    </w:p>
    <w:p>
      <w:pPr>
        <w:pStyle w:val="6"/>
        <w:keepNext w:val="0"/>
        <w:keepLines w:val="0"/>
        <w:pageBreakBefore w:val="0"/>
        <w:tabs>
          <w:tab w:val="left" w:pos="0"/>
          <w:tab w:val="left" w:pos="720"/>
        </w:tabs>
        <w:kinsoku/>
        <w:wordWrap/>
        <w:overflowPunct/>
        <w:topLinePunct w:val="0"/>
        <w:autoSpaceDE/>
        <w:autoSpaceDN/>
        <w:bidi w:val="0"/>
        <w:spacing w:line="240" w:lineRule="auto"/>
        <w:ind w:firstLine="420" w:firstLineChars="20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9. 合同金额在60万元以上，货物验收前请提供河南省省级政府采购资金支付申请书。</w:t>
      </w:r>
    </w:p>
    <w:p>
      <w:pPr>
        <w:pStyle w:val="6"/>
        <w:keepNext w:val="0"/>
        <w:keepLines w:val="0"/>
        <w:pageBreakBefore w:val="0"/>
        <w:tabs>
          <w:tab w:val="left" w:pos="0"/>
          <w:tab w:val="left" w:pos="720"/>
        </w:tabs>
        <w:kinsoku/>
        <w:wordWrap/>
        <w:overflowPunct/>
        <w:topLinePunct w:val="0"/>
        <w:autoSpaceDE/>
        <w:autoSpaceDN/>
        <w:bidi w:val="0"/>
        <w:spacing w:line="240" w:lineRule="auto"/>
        <w:ind w:firstLine="420" w:firstLineChars="200"/>
        <w:outlineLvl w:val="1"/>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10. 未详尽之处双方协商解决。</w:t>
      </w:r>
    </w:p>
    <w:p>
      <w:pPr>
        <w:pStyle w:val="6"/>
        <w:keepNext w:val="0"/>
        <w:keepLines w:val="0"/>
        <w:pageBreakBefore w:val="0"/>
        <w:tabs>
          <w:tab w:val="left" w:pos="0"/>
          <w:tab w:val="left" w:pos="720"/>
        </w:tabs>
        <w:kinsoku/>
        <w:wordWrap/>
        <w:overflowPunct/>
        <w:topLinePunct w:val="0"/>
        <w:autoSpaceDE/>
        <w:autoSpaceDN/>
        <w:bidi w:val="0"/>
        <w:spacing w:line="360" w:lineRule="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wordWrap/>
        <w:overflowPunct/>
        <w:topLinePunct w:val="0"/>
        <w:autoSpaceDE/>
        <w:autoSpaceDN/>
        <w:bidi w:val="0"/>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甲方：河南中医药大学</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乙方：江苏金智教育信息股份有限公司</w:t>
      </w:r>
    </w:p>
    <w:p>
      <w:pPr>
        <w:pStyle w:val="6"/>
        <w:keepNext w:val="0"/>
        <w:keepLines w:val="0"/>
        <w:pageBreakBefore w:val="0"/>
        <w:tabs>
          <w:tab w:val="left" w:pos="0"/>
          <w:tab w:val="left" w:pos="720"/>
        </w:tabs>
        <w:kinsoku/>
        <w:wordWrap/>
        <w:overflowPunct/>
        <w:topLinePunct w:val="0"/>
        <w:autoSpaceDE/>
        <w:autoSpaceDN/>
        <w:bidi w:val="0"/>
        <w:spacing w:line="360" w:lineRule="auto"/>
        <w:ind w:left="6240" w:hanging="5460" w:hangingChars="26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地址：河南省郑州市郑东新区金水东路156号      地址：南京市江宁区天元西路59号南京科亚科技创业园一号楼10、11、12层</w:t>
      </w:r>
    </w:p>
    <w:p>
      <w:pPr>
        <w:pStyle w:val="6"/>
        <w:keepNext w:val="0"/>
        <w:keepLines w:val="0"/>
        <w:pageBreakBefore w:val="0"/>
        <w:tabs>
          <w:tab w:val="left" w:pos="0"/>
          <w:tab w:val="left" w:pos="720"/>
        </w:tabs>
        <w:kinsoku/>
        <w:wordWrap/>
        <w:overflowPunct/>
        <w:topLinePunct w:val="0"/>
        <w:autoSpaceDE/>
        <w:autoSpaceDN/>
        <w:bidi w:val="0"/>
        <w:spacing w:line="360" w:lineRule="auto"/>
        <w:rPr>
          <w:rFonts w:hint="eastAsia" w:ascii="宋体" w:hAnsi="宋体" w:eastAsia="宋体" w:cs="宋体"/>
          <w:color w:val="000000" w:themeColor="text1"/>
          <w:sz w:val="21"/>
          <w:szCs w:val="21"/>
          <w:highlight w:val="none"/>
          <w14:textFill>
            <w14:solidFill>
              <w14:schemeClr w14:val="tx1"/>
            </w14:solidFill>
          </w14:textFill>
        </w:rPr>
      </w:pPr>
    </w:p>
    <w:p>
      <w:pPr>
        <w:pStyle w:val="6"/>
        <w:keepNext w:val="0"/>
        <w:keepLines w:val="0"/>
        <w:pageBreakBefore w:val="0"/>
        <w:tabs>
          <w:tab w:val="left" w:pos="0"/>
          <w:tab w:val="left" w:pos="720"/>
        </w:tabs>
        <w:kinsoku/>
        <w:wordWrap/>
        <w:overflowPunct/>
        <w:topLinePunct w:val="0"/>
        <w:autoSpaceDE/>
        <w:autoSpaceDN/>
        <w:bidi w:val="0"/>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项目组织实施单位负责人签字：    </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t xml:space="preserve">        企业法人签字：</w:t>
      </w:r>
    </w:p>
    <w:p>
      <w:pPr>
        <w:pStyle w:val="6"/>
        <w:keepNext w:val="0"/>
        <w:keepLines w:val="0"/>
        <w:pageBreakBefore w:val="0"/>
        <w:tabs>
          <w:tab w:val="left" w:pos="0"/>
          <w:tab w:val="left" w:pos="720"/>
        </w:tabs>
        <w:kinsoku/>
        <w:wordWrap/>
        <w:overflowPunct/>
        <w:topLinePunct w:val="0"/>
        <w:autoSpaceDE/>
        <w:autoSpaceDN/>
        <w:bidi w:val="0"/>
        <w:spacing w:line="360" w:lineRule="auto"/>
        <w:rPr>
          <w:rFonts w:hint="eastAsia" w:ascii="宋体" w:hAnsi="宋体" w:eastAsia="宋体" w:cs="宋体"/>
          <w:color w:val="000000" w:themeColor="text1"/>
          <w:sz w:val="21"/>
          <w:szCs w:val="21"/>
          <w:highlight w:val="none"/>
          <w14:textFill>
            <w14:solidFill>
              <w14:schemeClr w14:val="tx1"/>
            </w14:solidFill>
          </w14:textFill>
        </w:rPr>
      </w:pPr>
    </w:p>
    <w:p>
      <w:pPr>
        <w:pStyle w:val="6"/>
        <w:keepNext w:val="0"/>
        <w:keepLines w:val="0"/>
        <w:pageBreakBefore w:val="0"/>
        <w:tabs>
          <w:tab w:val="left" w:pos="0"/>
          <w:tab w:val="left" w:pos="720"/>
        </w:tabs>
        <w:kinsoku/>
        <w:wordWrap/>
        <w:overflowPunct/>
        <w:topLinePunct w:val="0"/>
        <w:autoSpaceDE/>
        <w:autoSpaceDN/>
        <w:bidi w:val="0"/>
        <w:spacing w:line="360" w:lineRule="auto"/>
        <w:rPr>
          <w:rFonts w:hint="eastAsia" w:ascii="宋体" w:hAnsi="宋体" w:eastAsia="宋体" w:cs="宋体"/>
          <w:color w:val="000000" w:themeColor="text1"/>
          <w:sz w:val="21"/>
          <w:szCs w:val="21"/>
          <w:highlight w:val="none"/>
          <w14:textFill>
            <w14:solidFill>
              <w14:schemeClr w14:val="tx1"/>
            </w14:solidFill>
          </w14:textFill>
        </w:rPr>
      </w:pPr>
    </w:p>
    <w:p>
      <w:pPr>
        <w:pStyle w:val="6"/>
        <w:keepNext w:val="0"/>
        <w:keepLines w:val="0"/>
        <w:pageBreakBefore w:val="0"/>
        <w:tabs>
          <w:tab w:val="left" w:pos="0"/>
          <w:tab w:val="left" w:pos="720"/>
        </w:tabs>
        <w:kinsoku/>
        <w:wordWrap/>
        <w:overflowPunct/>
        <w:topLinePunct w:val="0"/>
        <w:autoSpaceDE/>
        <w:autoSpaceDN/>
        <w:bidi w:val="0"/>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项目主管校领导签字：                        被授权人签字：</w:t>
      </w:r>
    </w:p>
    <w:p>
      <w:pPr>
        <w:pStyle w:val="6"/>
        <w:keepNext w:val="0"/>
        <w:keepLines w:val="0"/>
        <w:pageBreakBefore w:val="0"/>
        <w:tabs>
          <w:tab w:val="left" w:pos="0"/>
          <w:tab w:val="left" w:pos="720"/>
        </w:tabs>
        <w:kinsoku/>
        <w:wordWrap/>
        <w:overflowPunct/>
        <w:topLinePunct w:val="0"/>
        <w:autoSpaceDE/>
        <w:autoSpaceDN/>
        <w:bidi w:val="0"/>
        <w:spacing w:line="360" w:lineRule="auto"/>
        <w:rPr>
          <w:rFonts w:hint="eastAsia" w:ascii="宋体" w:hAnsi="宋体" w:eastAsia="宋体" w:cs="宋体"/>
          <w:color w:val="000000" w:themeColor="text1"/>
          <w:sz w:val="21"/>
          <w:szCs w:val="21"/>
          <w:highlight w:val="none"/>
          <w14:textFill>
            <w14:solidFill>
              <w14:schemeClr w14:val="tx1"/>
            </w14:solidFill>
          </w14:textFill>
        </w:rPr>
      </w:pPr>
    </w:p>
    <w:p>
      <w:pPr>
        <w:pStyle w:val="6"/>
        <w:keepNext w:val="0"/>
        <w:keepLines w:val="0"/>
        <w:pageBreakBefore w:val="0"/>
        <w:tabs>
          <w:tab w:val="left" w:pos="0"/>
          <w:tab w:val="left" w:pos="720"/>
        </w:tabs>
        <w:kinsoku/>
        <w:wordWrap/>
        <w:overflowPunct/>
        <w:topLinePunct w:val="0"/>
        <w:autoSpaceDE/>
        <w:autoSpaceDN/>
        <w:bidi w:val="0"/>
        <w:spacing w:line="360" w:lineRule="auto"/>
        <w:rPr>
          <w:rFonts w:hint="eastAsia" w:ascii="宋体" w:hAnsi="宋体" w:eastAsia="宋体" w:cs="宋体"/>
          <w:color w:val="000000" w:themeColor="text1"/>
          <w:sz w:val="21"/>
          <w:szCs w:val="21"/>
          <w:highlight w:val="none"/>
          <w14:textFill>
            <w14:solidFill>
              <w14:schemeClr w14:val="tx1"/>
            </w14:solidFill>
          </w14:textFill>
        </w:rPr>
      </w:pPr>
    </w:p>
    <w:p>
      <w:pPr>
        <w:pStyle w:val="6"/>
        <w:keepNext w:val="0"/>
        <w:keepLines w:val="0"/>
        <w:pageBreakBefore w:val="0"/>
        <w:tabs>
          <w:tab w:val="left" w:pos="0"/>
          <w:tab w:val="left" w:pos="720"/>
        </w:tabs>
        <w:kinsoku/>
        <w:wordWrap/>
        <w:overflowPunct/>
        <w:topLinePunct w:val="0"/>
        <w:autoSpaceDE/>
        <w:autoSpaceDN/>
        <w:bidi w:val="0"/>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学校印章:                                 </w:t>
      </w:r>
      <w:r>
        <w:rPr>
          <w:rFonts w:hint="eastAsia"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单位印章:</w:t>
      </w:r>
    </w:p>
    <w:p>
      <w:pPr>
        <w:pStyle w:val="6"/>
        <w:keepNext w:val="0"/>
        <w:keepLines w:val="0"/>
        <w:pageBreakBefore w:val="0"/>
        <w:tabs>
          <w:tab w:val="left" w:pos="0"/>
          <w:tab w:val="left" w:pos="720"/>
        </w:tabs>
        <w:kinsoku/>
        <w:wordWrap/>
        <w:overflowPunct/>
        <w:topLinePunct w:val="0"/>
        <w:autoSpaceDE/>
        <w:autoSpaceDN/>
        <w:bidi w:val="0"/>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开户银行:招商银行南京汉中门支行</w:t>
      </w:r>
    </w:p>
    <w:p>
      <w:pPr>
        <w:pStyle w:val="6"/>
        <w:keepNext w:val="0"/>
        <w:keepLines w:val="0"/>
        <w:pageBreakBefore w:val="0"/>
        <w:tabs>
          <w:tab w:val="left" w:pos="0"/>
          <w:tab w:val="left" w:pos="720"/>
        </w:tabs>
        <w:kinsoku/>
        <w:wordWrap/>
        <w:overflowPunct/>
        <w:topLinePunct w:val="0"/>
        <w:autoSpaceDE/>
        <w:autoSpaceDN/>
        <w:bidi w:val="0"/>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帐    号: 125903795710700 </w:t>
      </w:r>
    </w:p>
    <w:p>
      <w:pPr>
        <w:pStyle w:val="6"/>
        <w:keepNext w:val="0"/>
        <w:keepLines w:val="0"/>
        <w:pageBreakBefore w:val="0"/>
        <w:tabs>
          <w:tab w:val="left" w:pos="0"/>
          <w:tab w:val="left" w:pos="720"/>
        </w:tabs>
        <w:kinsoku/>
        <w:wordWrap/>
        <w:overflowPunct/>
        <w:topLinePunct w:val="0"/>
        <w:autoSpaceDE/>
        <w:autoSpaceDN/>
        <w:bidi w:val="0"/>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名    称：</w:t>
      </w:r>
      <w:r>
        <w:rPr>
          <w:rFonts w:hint="eastAsia" w:ascii="宋体" w:hAnsi="宋体" w:eastAsia="宋体" w:cs="宋体"/>
          <w:color w:val="000000" w:themeColor="text1"/>
          <w:sz w:val="18"/>
          <w:szCs w:val="18"/>
          <w:highlight w:val="none"/>
          <w14:textFill>
            <w14:solidFill>
              <w14:schemeClr w14:val="tx1"/>
            </w14:solidFill>
          </w14:textFill>
        </w:rPr>
        <w:t>江苏金智教育信息股份有限公司</w:t>
      </w:r>
    </w:p>
    <w:p>
      <w:pPr>
        <w:pStyle w:val="6"/>
        <w:keepNext w:val="0"/>
        <w:keepLines w:val="0"/>
        <w:pageBreakBefore w:val="0"/>
        <w:tabs>
          <w:tab w:val="left" w:pos="0"/>
          <w:tab w:val="left" w:pos="720"/>
        </w:tabs>
        <w:kinsoku/>
        <w:wordWrap/>
        <w:overflowPunct/>
        <w:topLinePunct w:val="0"/>
        <w:autoSpaceDE/>
        <w:autoSpaceDN/>
        <w:bidi w:val="0"/>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电    话：0371-65962530                   </w:t>
      </w:r>
      <w:r>
        <w:rPr>
          <w:rFonts w:hint="eastAsia"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电    话：4007-99-4007</w:t>
      </w:r>
    </w:p>
    <w:p>
      <w:pPr>
        <w:pStyle w:val="6"/>
        <w:keepNext w:val="0"/>
        <w:keepLines w:val="0"/>
        <w:pageBreakBefore w:val="0"/>
        <w:tabs>
          <w:tab w:val="left" w:pos="0"/>
          <w:tab w:val="left" w:pos="720"/>
        </w:tabs>
        <w:kinsoku/>
        <w:wordWrap/>
        <w:overflowPunct/>
        <w:topLinePunct w:val="0"/>
        <w:autoSpaceDE/>
        <w:autoSpaceDN/>
        <w:bidi w:val="0"/>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传    真：0371-65962530                   </w:t>
      </w:r>
      <w:r>
        <w:rPr>
          <w:rFonts w:hint="eastAsia"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联系人手机：</w:t>
      </w:r>
      <w:r>
        <w:rPr>
          <w:rFonts w:hint="eastAsia" w:hAnsi="宋体" w:eastAsia="宋体" w:cs="宋体"/>
          <w:color w:val="000000" w:themeColor="text1"/>
          <w:sz w:val="21"/>
          <w:szCs w:val="21"/>
          <w:highlight w:val="none"/>
          <w:lang w:val="en-US" w:eastAsia="zh-CN"/>
          <w14:textFill>
            <w14:solidFill>
              <w14:schemeClr w14:val="tx1"/>
            </w14:solidFill>
          </w14:textFill>
        </w:rPr>
        <w:t>13938493799</w:t>
      </w:r>
      <w:r>
        <w:rPr>
          <w:rFonts w:hint="eastAsia" w:ascii="宋体" w:hAnsi="宋体" w:eastAsia="宋体" w:cs="宋体"/>
          <w:color w:val="000000" w:themeColor="text1"/>
          <w:sz w:val="21"/>
          <w:szCs w:val="21"/>
          <w:highlight w:val="none"/>
          <w14:textFill>
            <w14:solidFill>
              <w14:schemeClr w14:val="tx1"/>
            </w14:solidFill>
          </w14:textFill>
        </w:rPr>
        <w:t xml:space="preserve">     </w:t>
      </w:r>
    </w:p>
    <w:p>
      <w:pPr>
        <w:pStyle w:val="6"/>
        <w:keepNext w:val="0"/>
        <w:keepLines w:val="0"/>
        <w:pageBreakBefore w:val="0"/>
        <w:tabs>
          <w:tab w:val="left" w:pos="0"/>
          <w:tab w:val="left" w:pos="720"/>
        </w:tabs>
        <w:kinsoku/>
        <w:wordWrap/>
        <w:overflowPunct/>
        <w:topLinePunct w:val="0"/>
        <w:autoSpaceDE/>
        <w:autoSpaceDN/>
        <w:bidi w:val="0"/>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签字日期：</w:t>
      </w:r>
      <w:r>
        <w:rPr>
          <w:rFonts w:hint="eastAsia"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年 </w:t>
      </w:r>
      <w:r>
        <w:rPr>
          <w:rFonts w:hint="eastAsia"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月</w:t>
      </w:r>
      <w:r>
        <w:rPr>
          <w:rFonts w:hint="eastAsia"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日                   </w:t>
      </w:r>
      <w:r>
        <w:rPr>
          <w:rFonts w:hint="eastAsia"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签字日期：</w:t>
      </w:r>
      <w:r>
        <w:rPr>
          <w:rFonts w:hint="eastAsia"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年</w:t>
      </w:r>
      <w:r>
        <w:rPr>
          <w:rFonts w:hint="eastAsia"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月</w:t>
      </w:r>
      <w:r>
        <w:rPr>
          <w:rFonts w:hint="eastAsia"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日  </w:t>
      </w:r>
    </w:p>
    <w:p>
      <w:pP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br w:type="page"/>
      </w:r>
    </w:p>
    <w:p>
      <w:pPr>
        <w:spacing w:line="360" w:lineRule="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附件1：</w:t>
      </w:r>
    </w:p>
    <w:p>
      <w:pPr>
        <w:spacing w:line="360" w:lineRule="auto"/>
        <w:ind w:firstLine="3188" w:firstLineChars="1323"/>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中标通知书（扫描）</w:t>
      </w:r>
    </w:p>
    <w:p>
      <w:pPr>
        <w:spacing w:line="360" w:lineRule="auto"/>
      </w:pPr>
      <w:r>
        <w:drawing>
          <wp:inline distT="0" distB="0" distL="114300" distR="114300">
            <wp:extent cx="5271135" cy="7462520"/>
            <wp:effectExtent l="0" t="0" r="5715" b="508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6"/>
                    <a:stretch>
                      <a:fillRect/>
                    </a:stretch>
                  </pic:blipFill>
                  <pic:spPr>
                    <a:xfrm>
                      <a:off x="0" y="0"/>
                      <a:ext cx="5271135" cy="7462520"/>
                    </a:xfrm>
                    <a:prstGeom prst="rect">
                      <a:avLst/>
                    </a:prstGeom>
                    <a:noFill/>
                    <a:ln>
                      <a:noFill/>
                    </a:ln>
                  </pic:spPr>
                </pic:pic>
              </a:graphicData>
            </a:graphic>
          </wp:inline>
        </w:drawing>
      </w:r>
    </w:p>
    <w:p>
      <w:pPr>
        <w:spacing w:line="360" w:lineRule="auto"/>
      </w:pPr>
    </w:p>
    <w:p>
      <w:pPr>
        <w:spacing w:line="360" w:lineRule="auto"/>
        <w:rPr>
          <w:rFonts w:hint="eastAsia"/>
        </w:rPr>
      </w:pPr>
    </w:p>
    <w:p>
      <w:pPr>
        <w:spacing w:line="360" w:lineRule="auto"/>
        <w:rPr>
          <w:rFonts w:hint="eastAsia" w:ascii="宋体" w:hAnsi="宋体" w:eastAsia="宋体" w:cs="宋体"/>
          <w:b/>
          <w:color w:val="000000" w:themeColor="text1"/>
          <w:sz w:val="24"/>
          <w:highlight w:val="none"/>
          <w:lang w:eastAsia="zh-CN"/>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附件2</w:t>
      </w:r>
      <w:r>
        <w:rPr>
          <w:rFonts w:hint="eastAsia" w:ascii="宋体" w:hAnsi="宋体" w:eastAsia="宋体" w:cs="宋体"/>
          <w:b/>
          <w:color w:val="000000" w:themeColor="text1"/>
          <w:sz w:val="24"/>
          <w:highlight w:val="none"/>
          <w:lang w:eastAsia="zh-CN"/>
          <w14:textFill>
            <w14:solidFill>
              <w14:schemeClr w14:val="tx1"/>
            </w14:solidFill>
          </w14:textFill>
        </w:rPr>
        <w:t>：</w:t>
      </w:r>
    </w:p>
    <w:p>
      <w:pPr>
        <w:pStyle w:val="6"/>
        <w:tabs>
          <w:tab w:val="left" w:pos="0"/>
          <w:tab w:val="left" w:pos="720"/>
        </w:tabs>
        <w:spacing w:line="440" w:lineRule="exact"/>
        <w:ind w:firstLine="3132" w:firstLineChars="1300"/>
        <w:outlineLvl w:val="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投标货物分项报价一览表</w:t>
      </w:r>
    </w:p>
    <w:tbl>
      <w:tblPr>
        <w:tblStyle w:val="8"/>
        <w:tblW w:w="10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881"/>
        <w:gridCol w:w="1339"/>
        <w:gridCol w:w="1186"/>
        <w:gridCol w:w="518"/>
        <w:gridCol w:w="407"/>
        <w:gridCol w:w="482"/>
        <w:gridCol w:w="943"/>
        <w:gridCol w:w="506"/>
        <w:gridCol w:w="641"/>
        <w:gridCol w:w="396"/>
        <w:gridCol w:w="514"/>
        <w:gridCol w:w="753"/>
        <w:gridCol w:w="992"/>
        <w:gridCol w:w="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jc w:val="center"/>
        </w:trPr>
        <w:tc>
          <w:tcPr>
            <w:tcW w:w="423" w:type="dxa"/>
            <w:vAlign w:val="center"/>
          </w:tcPr>
          <w:p>
            <w:pPr>
              <w:pStyle w:val="6"/>
              <w:tabs>
                <w:tab w:val="left" w:pos="0"/>
                <w:tab w:val="left" w:pos="720"/>
              </w:tabs>
              <w:spacing w:line="44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序号</w:t>
            </w:r>
          </w:p>
        </w:tc>
        <w:tc>
          <w:tcPr>
            <w:tcW w:w="881" w:type="dxa"/>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货物名称</w:t>
            </w:r>
          </w:p>
        </w:tc>
        <w:tc>
          <w:tcPr>
            <w:tcW w:w="1339" w:type="dxa"/>
            <w:vAlign w:val="center"/>
          </w:tcPr>
          <w:p>
            <w:pPr>
              <w:widowControl/>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型号规格</w:t>
            </w:r>
          </w:p>
        </w:tc>
        <w:tc>
          <w:tcPr>
            <w:tcW w:w="1186" w:type="dxa"/>
            <w:vAlign w:val="center"/>
          </w:tcPr>
          <w:p>
            <w:pPr>
              <w:widowControl/>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制造商</w:t>
            </w:r>
          </w:p>
        </w:tc>
        <w:tc>
          <w:tcPr>
            <w:tcW w:w="518" w:type="dxa"/>
            <w:vAlign w:val="center"/>
          </w:tcPr>
          <w:p>
            <w:pPr>
              <w:widowControl/>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产</w:t>
            </w:r>
          </w:p>
          <w:p>
            <w:pPr>
              <w:widowControl/>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地</w:t>
            </w:r>
          </w:p>
        </w:tc>
        <w:tc>
          <w:tcPr>
            <w:tcW w:w="407" w:type="dxa"/>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单</w:t>
            </w:r>
          </w:p>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位</w:t>
            </w:r>
          </w:p>
        </w:tc>
        <w:tc>
          <w:tcPr>
            <w:tcW w:w="482" w:type="dxa"/>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数量</w:t>
            </w:r>
          </w:p>
        </w:tc>
        <w:tc>
          <w:tcPr>
            <w:tcW w:w="943" w:type="dxa"/>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单价（RMB）</w:t>
            </w:r>
          </w:p>
        </w:tc>
        <w:tc>
          <w:tcPr>
            <w:tcW w:w="506" w:type="dxa"/>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小计（RMB）</w:t>
            </w:r>
          </w:p>
        </w:tc>
        <w:tc>
          <w:tcPr>
            <w:tcW w:w="641" w:type="dxa"/>
            <w:vAlign w:val="center"/>
          </w:tcPr>
          <w:p>
            <w:pPr>
              <w:ind w:left="-107" w:leftChars="-51" w:right="-107" w:rightChars="-51"/>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运输及</w:t>
            </w:r>
          </w:p>
          <w:p>
            <w:pPr>
              <w:ind w:left="-107" w:leftChars="-51" w:right="-107" w:rightChars="-51"/>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保险费</w:t>
            </w:r>
          </w:p>
        </w:tc>
        <w:tc>
          <w:tcPr>
            <w:tcW w:w="396" w:type="dxa"/>
            <w:vAlign w:val="center"/>
          </w:tcPr>
          <w:p>
            <w:pPr>
              <w:ind w:left="-107" w:leftChars="-51" w:right="-107" w:rightChars="-51"/>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技术</w:t>
            </w:r>
          </w:p>
          <w:p>
            <w:pPr>
              <w:ind w:left="-107" w:leftChars="-51" w:right="-107" w:rightChars="-51"/>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服务费</w:t>
            </w:r>
          </w:p>
        </w:tc>
        <w:tc>
          <w:tcPr>
            <w:tcW w:w="514" w:type="dxa"/>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税费</w:t>
            </w:r>
          </w:p>
        </w:tc>
        <w:tc>
          <w:tcPr>
            <w:tcW w:w="753" w:type="dxa"/>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交货日期</w:t>
            </w:r>
          </w:p>
        </w:tc>
        <w:tc>
          <w:tcPr>
            <w:tcW w:w="992" w:type="dxa"/>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交货地（港）</w:t>
            </w:r>
          </w:p>
        </w:tc>
        <w:tc>
          <w:tcPr>
            <w:tcW w:w="426" w:type="dxa"/>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备</w:t>
            </w:r>
          </w:p>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423" w:type="dxa"/>
            <w:vAlign w:val="center"/>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881" w:type="dxa"/>
            <w:vAlign w:val="center"/>
          </w:tcPr>
          <w:p>
            <w:pPr>
              <w:pStyle w:val="6"/>
              <w:tabs>
                <w:tab w:val="left" w:pos="0"/>
                <w:tab w:val="left" w:pos="720"/>
              </w:tabs>
              <w:spacing w:line="440" w:lineRule="exact"/>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sz w:val="21"/>
                <w:szCs w:val="22"/>
              </w:rPr>
              <w:t>融合门户</w:t>
            </w:r>
          </w:p>
        </w:tc>
        <w:tc>
          <w:tcPr>
            <w:tcW w:w="1339" w:type="dxa"/>
            <w:vAlign w:val="center"/>
          </w:tcPr>
          <w:p>
            <w:pPr>
              <w:pStyle w:val="6"/>
              <w:tabs>
                <w:tab w:val="left" w:pos="0"/>
                <w:tab w:val="left" w:pos="720"/>
              </w:tabs>
              <w:spacing w:line="440" w:lineRule="exact"/>
              <w:jc w:val="center"/>
              <w:rPr>
                <w:rFonts w:hint="eastAsia" w:ascii="宋体" w:hAnsi="宋体" w:eastAsia="宋体" w:cs="宋体"/>
                <w:b/>
                <w:color w:val="000000" w:themeColor="text1"/>
                <w:kern w:val="0"/>
                <w:sz w:val="20"/>
                <w:szCs w:val="20"/>
                <w:highlight w:val="none"/>
                <w14:textFill>
                  <w14:solidFill>
                    <w14:schemeClr w14:val="tx1"/>
                  </w14:solidFill>
                </w14:textFill>
              </w:rPr>
            </w:pPr>
            <w:r>
              <w:rPr>
                <w:rFonts w:hint="eastAsia" w:ascii="宋体" w:hAnsi="宋体"/>
                <w:sz w:val="20"/>
                <w:szCs w:val="21"/>
              </w:rPr>
              <w:t>金智教育融合门户软件V3.0</w:t>
            </w:r>
          </w:p>
        </w:tc>
        <w:tc>
          <w:tcPr>
            <w:tcW w:w="1186" w:type="dxa"/>
            <w:vAlign w:val="center"/>
          </w:tcPr>
          <w:p>
            <w:pPr>
              <w:jc w:val="center"/>
              <w:rPr>
                <w:rFonts w:hint="eastAsia" w:ascii="宋体" w:hAnsi="宋体" w:eastAsia="宋体" w:cs="宋体"/>
                <w:b/>
                <w:color w:val="000000" w:themeColor="text1"/>
                <w:sz w:val="21"/>
                <w:szCs w:val="21"/>
                <w:highlight w:val="none"/>
                <w:lang w:val="en-US" w:eastAsia="zh-CN"/>
                <w14:textFill>
                  <w14:solidFill>
                    <w14:schemeClr w14:val="tx1"/>
                  </w14:solidFill>
                </w14:textFill>
              </w:rPr>
            </w:pPr>
            <w:r>
              <w:rPr>
                <w:rFonts w:hint="eastAsia" w:ascii="宋体" w:hAnsi="宋体"/>
                <w:sz w:val="22"/>
                <w:szCs w:val="22"/>
              </w:rPr>
              <w:t>江苏金智教育信息股份有限公司</w:t>
            </w:r>
          </w:p>
        </w:tc>
        <w:tc>
          <w:tcPr>
            <w:tcW w:w="518" w:type="dxa"/>
            <w:vAlign w:val="center"/>
          </w:tcPr>
          <w:p>
            <w:pPr>
              <w:jc w:val="cente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中国</w:t>
            </w:r>
          </w:p>
        </w:tc>
        <w:tc>
          <w:tcPr>
            <w:tcW w:w="407" w:type="dxa"/>
            <w:vAlign w:val="center"/>
          </w:tcPr>
          <w:p>
            <w:pPr>
              <w:jc w:val="cente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套</w:t>
            </w:r>
          </w:p>
        </w:tc>
        <w:tc>
          <w:tcPr>
            <w:tcW w:w="482" w:type="dxa"/>
            <w:vAlign w:val="center"/>
          </w:tcPr>
          <w:p>
            <w:pPr>
              <w:pStyle w:val="6"/>
              <w:tabs>
                <w:tab w:val="left" w:pos="0"/>
                <w:tab w:val="left" w:pos="720"/>
              </w:tabs>
              <w:spacing w:line="440" w:lineRule="exact"/>
              <w:jc w:val="cente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hAnsi="宋体" w:eastAsia="宋体" w:cs="宋体"/>
                <w:b w:val="0"/>
                <w:bCs/>
                <w:color w:val="000000" w:themeColor="text1"/>
                <w:sz w:val="21"/>
                <w:szCs w:val="21"/>
                <w:highlight w:val="none"/>
                <w:lang w:val="en-US" w:eastAsia="zh-CN"/>
                <w14:textFill>
                  <w14:solidFill>
                    <w14:schemeClr w14:val="tx1"/>
                  </w14:solidFill>
                </w14:textFill>
              </w:rPr>
              <w:t>1</w:t>
            </w:r>
          </w:p>
        </w:tc>
        <w:tc>
          <w:tcPr>
            <w:tcW w:w="943" w:type="dxa"/>
            <w:vAlign w:val="center"/>
          </w:tcPr>
          <w:p>
            <w:pPr>
              <w:pStyle w:val="6"/>
              <w:tabs>
                <w:tab w:val="left" w:pos="0"/>
                <w:tab w:val="left" w:pos="720"/>
              </w:tabs>
              <w:spacing w:line="440" w:lineRule="exact"/>
              <w:jc w:val="center"/>
              <w:rPr>
                <w:rFonts w:hint="eastAsia" w:ascii="宋体" w:hAnsi="宋体" w:eastAsia="宋体" w:cs="宋体"/>
                <w:b/>
                <w:color w:val="000000" w:themeColor="text1"/>
                <w:kern w:val="0"/>
                <w:sz w:val="21"/>
                <w:szCs w:val="21"/>
                <w:highlight w:val="none"/>
                <w14:textFill>
                  <w14:solidFill>
                    <w14:schemeClr w14:val="tx1"/>
                  </w14:solidFill>
                </w14:textFill>
              </w:rPr>
            </w:pPr>
            <w:r>
              <w:rPr>
                <w:rFonts w:hint="eastAsia" w:ascii="宋体" w:hAnsi="宋体"/>
              </w:rPr>
              <w:t>500000</w:t>
            </w:r>
          </w:p>
        </w:tc>
        <w:tc>
          <w:tcPr>
            <w:tcW w:w="506" w:type="dxa"/>
            <w:vAlign w:val="center"/>
          </w:tcPr>
          <w:p>
            <w:pPr>
              <w:pStyle w:val="6"/>
              <w:tabs>
                <w:tab w:val="left" w:pos="0"/>
                <w:tab w:val="left" w:pos="720"/>
              </w:tabs>
              <w:spacing w:line="440" w:lineRule="exact"/>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rPr>
              <w:t>500000</w:t>
            </w:r>
          </w:p>
        </w:tc>
        <w:tc>
          <w:tcPr>
            <w:tcW w:w="641" w:type="dxa"/>
            <w:vAlign w:val="center"/>
          </w:tcPr>
          <w:p>
            <w:pPr>
              <w:ind w:left="-107" w:leftChars="-51" w:right="-107" w:rightChars="-51"/>
              <w:jc w:val="center"/>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0</w:t>
            </w:r>
          </w:p>
        </w:tc>
        <w:tc>
          <w:tcPr>
            <w:tcW w:w="396" w:type="dxa"/>
            <w:vAlign w:val="center"/>
          </w:tcPr>
          <w:p>
            <w:pPr>
              <w:ind w:left="-107" w:leftChars="-51" w:right="-107" w:rightChars="-51"/>
              <w:jc w:val="center"/>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0</w:t>
            </w:r>
          </w:p>
        </w:tc>
        <w:tc>
          <w:tcPr>
            <w:tcW w:w="514" w:type="dxa"/>
            <w:vAlign w:val="center"/>
          </w:tcPr>
          <w:p>
            <w:pPr>
              <w:jc w:val="center"/>
              <w:rPr>
                <w:rFonts w:hint="default"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13</w:t>
            </w:r>
          </w:p>
        </w:tc>
        <w:tc>
          <w:tcPr>
            <w:tcW w:w="753" w:type="dxa"/>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val="0"/>
                <w:bCs/>
                <w:sz w:val="21"/>
                <w:szCs w:val="21"/>
                <w:highlight w:val="none"/>
                <w:lang w:val="en-US" w:eastAsia="zh-CN"/>
              </w:rPr>
              <w:t>150日历天</w:t>
            </w:r>
          </w:p>
        </w:tc>
        <w:tc>
          <w:tcPr>
            <w:tcW w:w="992" w:type="dxa"/>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郑东新区河南中医药大学</w:t>
            </w:r>
          </w:p>
        </w:tc>
        <w:tc>
          <w:tcPr>
            <w:tcW w:w="426" w:type="dxa"/>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423" w:type="dxa"/>
            <w:vAlign w:val="center"/>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881" w:type="dxa"/>
            <w:vAlign w:val="center"/>
          </w:tcPr>
          <w:p>
            <w:pPr>
              <w:pStyle w:val="6"/>
              <w:tabs>
                <w:tab w:val="left" w:pos="0"/>
                <w:tab w:val="left" w:pos="720"/>
              </w:tabs>
              <w:spacing w:line="440" w:lineRule="exact"/>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sz w:val="21"/>
                <w:szCs w:val="22"/>
              </w:rPr>
              <w:t>身份互联认证平台</w:t>
            </w:r>
          </w:p>
        </w:tc>
        <w:tc>
          <w:tcPr>
            <w:tcW w:w="1339" w:type="dxa"/>
            <w:vAlign w:val="center"/>
          </w:tcPr>
          <w:p>
            <w:pPr>
              <w:pStyle w:val="6"/>
              <w:tabs>
                <w:tab w:val="left" w:pos="0"/>
                <w:tab w:val="left" w:pos="720"/>
              </w:tabs>
              <w:spacing w:line="440" w:lineRule="exact"/>
              <w:jc w:val="center"/>
              <w:rPr>
                <w:rFonts w:hint="eastAsia" w:ascii="宋体" w:hAnsi="宋体" w:eastAsia="宋体" w:cs="宋体"/>
                <w:b/>
                <w:color w:val="000000" w:themeColor="text1"/>
                <w:kern w:val="0"/>
                <w:sz w:val="20"/>
                <w:szCs w:val="20"/>
                <w:highlight w:val="none"/>
                <w14:textFill>
                  <w14:solidFill>
                    <w14:schemeClr w14:val="tx1"/>
                  </w14:solidFill>
                </w14:textFill>
              </w:rPr>
            </w:pPr>
            <w:r>
              <w:rPr>
                <w:rFonts w:hint="eastAsia" w:ascii="宋体" w:hAnsi="宋体"/>
                <w:sz w:val="20"/>
                <w:szCs w:val="21"/>
              </w:rPr>
              <w:t>金智教育校园身份互联认证平台软件[简称：CIAP]V7.0</w:t>
            </w:r>
          </w:p>
        </w:tc>
        <w:tc>
          <w:tcPr>
            <w:tcW w:w="1186" w:type="dxa"/>
            <w:vAlign w:val="center"/>
          </w:tcPr>
          <w:p>
            <w:pPr>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sz w:val="22"/>
                <w:szCs w:val="22"/>
              </w:rPr>
              <w:t>江苏金智教育信息股份有限公司</w:t>
            </w:r>
          </w:p>
        </w:tc>
        <w:tc>
          <w:tcPr>
            <w:tcW w:w="518" w:type="dxa"/>
            <w:vAlign w:val="center"/>
          </w:tcPr>
          <w:p>
            <w:pPr>
              <w:jc w:val="cente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中国</w:t>
            </w:r>
          </w:p>
        </w:tc>
        <w:tc>
          <w:tcPr>
            <w:tcW w:w="407" w:type="dxa"/>
            <w:vAlign w:val="center"/>
          </w:tcPr>
          <w:p>
            <w:pPr>
              <w:jc w:val="cente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套</w:t>
            </w:r>
          </w:p>
        </w:tc>
        <w:tc>
          <w:tcPr>
            <w:tcW w:w="482" w:type="dxa"/>
            <w:vAlign w:val="center"/>
          </w:tcPr>
          <w:p>
            <w:pPr>
              <w:pStyle w:val="6"/>
              <w:tabs>
                <w:tab w:val="left" w:pos="0"/>
                <w:tab w:val="left" w:pos="720"/>
              </w:tabs>
              <w:spacing w:line="440" w:lineRule="exact"/>
              <w:jc w:val="cente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hAnsi="宋体" w:eastAsia="宋体" w:cs="宋体"/>
                <w:b w:val="0"/>
                <w:bCs/>
                <w:color w:val="000000" w:themeColor="text1"/>
                <w:sz w:val="21"/>
                <w:szCs w:val="21"/>
                <w:highlight w:val="none"/>
                <w:lang w:val="en-US" w:eastAsia="zh-CN"/>
                <w14:textFill>
                  <w14:solidFill>
                    <w14:schemeClr w14:val="tx1"/>
                  </w14:solidFill>
                </w14:textFill>
              </w:rPr>
              <w:t>1</w:t>
            </w:r>
          </w:p>
        </w:tc>
        <w:tc>
          <w:tcPr>
            <w:tcW w:w="943" w:type="dxa"/>
            <w:vAlign w:val="center"/>
          </w:tcPr>
          <w:p>
            <w:pPr>
              <w:pStyle w:val="6"/>
              <w:tabs>
                <w:tab w:val="left" w:pos="0"/>
                <w:tab w:val="left" w:pos="720"/>
              </w:tabs>
              <w:spacing w:line="440" w:lineRule="exact"/>
              <w:jc w:val="center"/>
              <w:rPr>
                <w:rFonts w:hint="eastAsia" w:ascii="宋体" w:hAnsi="宋体" w:eastAsia="宋体" w:cs="宋体"/>
                <w:b/>
                <w:color w:val="000000" w:themeColor="text1"/>
                <w:kern w:val="0"/>
                <w:sz w:val="21"/>
                <w:szCs w:val="21"/>
                <w:highlight w:val="none"/>
                <w14:textFill>
                  <w14:solidFill>
                    <w14:schemeClr w14:val="tx1"/>
                  </w14:solidFill>
                </w14:textFill>
              </w:rPr>
            </w:pPr>
            <w:r>
              <w:rPr>
                <w:rFonts w:hint="eastAsia" w:ascii="宋体" w:hAnsi="宋体"/>
              </w:rPr>
              <w:t>300000</w:t>
            </w:r>
          </w:p>
        </w:tc>
        <w:tc>
          <w:tcPr>
            <w:tcW w:w="506" w:type="dxa"/>
            <w:vAlign w:val="center"/>
          </w:tcPr>
          <w:p>
            <w:pPr>
              <w:pStyle w:val="6"/>
              <w:tabs>
                <w:tab w:val="left" w:pos="0"/>
                <w:tab w:val="left" w:pos="720"/>
              </w:tabs>
              <w:spacing w:line="440" w:lineRule="exact"/>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rPr>
              <w:t>300000</w:t>
            </w:r>
          </w:p>
        </w:tc>
        <w:tc>
          <w:tcPr>
            <w:tcW w:w="641" w:type="dxa"/>
            <w:vAlign w:val="center"/>
          </w:tcPr>
          <w:p>
            <w:pPr>
              <w:ind w:left="-107" w:leftChars="-51" w:right="-107" w:rightChars="-51"/>
              <w:jc w:val="center"/>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0</w:t>
            </w:r>
          </w:p>
        </w:tc>
        <w:tc>
          <w:tcPr>
            <w:tcW w:w="396" w:type="dxa"/>
            <w:vAlign w:val="center"/>
          </w:tcPr>
          <w:p>
            <w:pPr>
              <w:ind w:left="-107" w:leftChars="-51" w:right="-107" w:rightChars="-51"/>
              <w:jc w:val="center"/>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0</w:t>
            </w:r>
          </w:p>
        </w:tc>
        <w:tc>
          <w:tcPr>
            <w:tcW w:w="514" w:type="dxa"/>
            <w:vAlign w:val="center"/>
          </w:tcPr>
          <w:p>
            <w:pPr>
              <w:jc w:val="center"/>
              <w:rPr>
                <w:rFonts w:hint="default"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13</w:t>
            </w:r>
          </w:p>
        </w:tc>
        <w:tc>
          <w:tcPr>
            <w:tcW w:w="753" w:type="dxa"/>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val="0"/>
                <w:bCs/>
                <w:sz w:val="21"/>
                <w:szCs w:val="21"/>
                <w:highlight w:val="none"/>
                <w:lang w:val="en-US" w:eastAsia="zh-CN"/>
              </w:rPr>
              <w:t>150日历天</w:t>
            </w:r>
          </w:p>
        </w:tc>
        <w:tc>
          <w:tcPr>
            <w:tcW w:w="992" w:type="dxa"/>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郑东新区河南中医药大学</w:t>
            </w:r>
          </w:p>
        </w:tc>
        <w:tc>
          <w:tcPr>
            <w:tcW w:w="426" w:type="dxa"/>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423" w:type="dxa"/>
            <w:vAlign w:val="center"/>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881" w:type="dxa"/>
            <w:vAlign w:val="center"/>
          </w:tcPr>
          <w:p>
            <w:pPr>
              <w:pStyle w:val="6"/>
              <w:tabs>
                <w:tab w:val="left" w:pos="0"/>
                <w:tab w:val="left" w:pos="720"/>
              </w:tabs>
              <w:spacing w:line="440" w:lineRule="exact"/>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rPr>
              <w:t>微服务构建</w:t>
            </w:r>
          </w:p>
        </w:tc>
        <w:tc>
          <w:tcPr>
            <w:tcW w:w="1339" w:type="dxa"/>
            <w:vAlign w:val="center"/>
          </w:tcPr>
          <w:p>
            <w:pPr>
              <w:pStyle w:val="6"/>
              <w:tabs>
                <w:tab w:val="left" w:pos="0"/>
                <w:tab w:val="left" w:pos="720"/>
              </w:tabs>
              <w:spacing w:line="440" w:lineRule="exact"/>
              <w:jc w:val="center"/>
              <w:rPr>
                <w:rFonts w:hint="eastAsia" w:ascii="宋体" w:hAnsi="宋体" w:eastAsia="宋体" w:cs="宋体"/>
                <w:b/>
                <w:color w:val="000000" w:themeColor="text1"/>
                <w:kern w:val="0"/>
                <w:sz w:val="20"/>
                <w:szCs w:val="20"/>
                <w:highlight w:val="none"/>
                <w14:textFill>
                  <w14:solidFill>
                    <w14:schemeClr w14:val="tx1"/>
                  </w14:solidFill>
                </w14:textFill>
              </w:rPr>
            </w:pPr>
            <w:r>
              <w:rPr>
                <w:rFonts w:hint="eastAsia" w:ascii="宋体" w:hAnsi="宋体"/>
                <w:sz w:val="20"/>
                <w:szCs w:val="21"/>
              </w:rPr>
              <w:t>金智教育易表通在线应用开发运行管理平台软件（简称：易表通）V1.0</w:t>
            </w:r>
          </w:p>
        </w:tc>
        <w:tc>
          <w:tcPr>
            <w:tcW w:w="1186" w:type="dxa"/>
            <w:vAlign w:val="center"/>
          </w:tcPr>
          <w:p>
            <w:pPr>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sz w:val="22"/>
                <w:szCs w:val="22"/>
              </w:rPr>
              <w:t>江苏金智教育信息股份有限公司</w:t>
            </w:r>
          </w:p>
        </w:tc>
        <w:tc>
          <w:tcPr>
            <w:tcW w:w="518" w:type="dxa"/>
            <w:vAlign w:val="center"/>
          </w:tcPr>
          <w:p>
            <w:pPr>
              <w:jc w:val="cente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中国</w:t>
            </w:r>
          </w:p>
        </w:tc>
        <w:tc>
          <w:tcPr>
            <w:tcW w:w="407" w:type="dxa"/>
            <w:vAlign w:val="center"/>
          </w:tcPr>
          <w:p>
            <w:pPr>
              <w:jc w:val="cente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个</w:t>
            </w:r>
          </w:p>
        </w:tc>
        <w:tc>
          <w:tcPr>
            <w:tcW w:w="482" w:type="dxa"/>
            <w:vAlign w:val="center"/>
          </w:tcPr>
          <w:p>
            <w:pPr>
              <w:pStyle w:val="6"/>
              <w:tabs>
                <w:tab w:val="left" w:pos="0"/>
                <w:tab w:val="left" w:pos="720"/>
              </w:tabs>
              <w:spacing w:line="440" w:lineRule="exact"/>
              <w:jc w:val="center"/>
              <w:rPr>
                <w:rFonts w:hint="default"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hAnsi="宋体" w:eastAsia="宋体" w:cs="宋体"/>
                <w:b w:val="0"/>
                <w:bCs/>
                <w:color w:val="000000" w:themeColor="text1"/>
                <w:sz w:val="21"/>
                <w:szCs w:val="21"/>
                <w:highlight w:val="none"/>
                <w:lang w:val="en-US" w:eastAsia="zh-CN"/>
                <w14:textFill>
                  <w14:solidFill>
                    <w14:schemeClr w14:val="tx1"/>
                  </w14:solidFill>
                </w14:textFill>
              </w:rPr>
              <w:t>40</w:t>
            </w:r>
          </w:p>
        </w:tc>
        <w:tc>
          <w:tcPr>
            <w:tcW w:w="943" w:type="dxa"/>
            <w:vAlign w:val="center"/>
          </w:tcPr>
          <w:p>
            <w:pPr>
              <w:pStyle w:val="6"/>
              <w:tabs>
                <w:tab w:val="left" w:pos="0"/>
                <w:tab w:val="left" w:pos="720"/>
              </w:tabs>
              <w:spacing w:line="440" w:lineRule="exact"/>
              <w:jc w:val="center"/>
              <w:rPr>
                <w:rFonts w:hint="default" w:ascii="宋体" w:hAnsi="宋体" w:eastAsia="宋体" w:cs="宋体"/>
                <w:b/>
                <w:color w:val="000000" w:themeColor="text1"/>
                <w:kern w:val="0"/>
                <w:sz w:val="21"/>
                <w:szCs w:val="21"/>
                <w:highlight w:val="none"/>
                <w:lang w:val="en-US" w:eastAsia="zh-CN"/>
                <w14:textFill>
                  <w14:solidFill>
                    <w14:schemeClr w14:val="tx1"/>
                  </w14:solidFill>
                </w14:textFill>
              </w:rPr>
            </w:pPr>
            <w:r>
              <w:rPr>
                <w:rFonts w:hint="eastAsia" w:hAnsi="宋体" w:eastAsia="宋体" w:cs="宋体"/>
                <w:b w:val="0"/>
                <w:bCs/>
                <w:color w:val="000000" w:themeColor="text1"/>
                <w:kern w:val="0"/>
                <w:sz w:val="21"/>
                <w:szCs w:val="21"/>
                <w:highlight w:val="none"/>
                <w:lang w:val="en-US" w:eastAsia="zh-CN"/>
                <w14:textFill>
                  <w14:solidFill>
                    <w14:schemeClr w14:val="tx1"/>
                  </w14:solidFill>
                </w14:textFill>
              </w:rPr>
              <w:t>7875</w:t>
            </w:r>
          </w:p>
        </w:tc>
        <w:tc>
          <w:tcPr>
            <w:tcW w:w="506" w:type="dxa"/>
            <w:vAlign w:val="center"/>
          </w:tcPr>
          <w:p>
            <w:pPr>
              <w:pStyle w:val="6"/>
              <w:tabs>
                <w:tab w:val="left" w:pos="0"/>
                <w:tab w:val="left" w:pos="720"/>
              </w:tabs>
              <w:spacing w:line="440" w:lineRule="exact"/>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rPr>
              <w:t>315000</w:t>
            </w:r>
          </w:p>
        </w:tc>
        <w:tc>
          <w:tcPr>
            <w:tcW w:w="641" w:type="dxa"/>
            <w:vAlign w:val="center"/>
          </w:tcPr>
          <w:p>
            <w:pPr>
              <w:ind w:left="-107" w:leftChars="-51" w:right="-107" w:rightChars="-51"/>
              <w:jc w:val="center"/>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0</w:t>
            </w:r>
          </w:p>
        </w:tc>
        <w:tc>
          <w:tcPr>
            <w:tcW w:w="396" w:type="dxa"/>
            <w:vAlign w:val="center"/>
          </w:tcPr>
          <w:p>
            <w:pPr>
              <w:ind w:left="-107" w:leftChars="-51" w:right="-107" w:rightChars="-51"/>
              <w:jc w:val="center"/>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0</w:t>
            </w:r>
          </w:p>
        </w:tc>
        <w:tc>
          <w:tcPr>
            <w:tcW w:w="514" w:type="dxa"/>
            <w:vAlign w:val="center"/>
          </w:tcPr>
          <w:p>
            <w:pPr>
              <w:jc w:val="center"/>
              <w:rPr>
                <w:rFonts w:hint="default"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13</w:t>
            </w:r>
          </w:p>
        </w:tc>
        <w:tc>
          <w:tcPr>
            <w:tcW w:w="753" w:type="dxa"/>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val="0"/>
                <w:bCs/>
                <w:sz w:val="21"/>
                <w:szCs w:val="21"/>
                <w:highlight w:val="none"/>
                <w:lang w:val="en-US" w:eastAsia="zh-CN"/>
              </w:rPr>
              <w:t>150日历天</w:t>
            </w:r>
          </w:p>
        </w:tc>
        <w:tc>
          <w:tcPr>
            <w:tcW w:w="992" w:type="dxa"/>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郑东新区河南中医药大学</w:t>
            </w:r>
          </w:p>
        </w:tc>
        <w:tc>
          <w:tcPr>
            <w:tcW w:w="426" w:type="dxa"/>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423" w:type="dxa"/>
            <w:vAlign w:val="center"/>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c>
          <w:tcPr>
            <w:tcW w:w="881" w:type="dxa"/>
            <w:vAlign w:val="center"/>
          </w:tcPr>
          <w:p>
            <w:pPr>
              <w:pStyle w:val="6"/>
              <w:tabs>
                <w:tab w:val="left" w:pos="0"/>
                <w:tab w:val="left" w:pos="720"/>
              </w:tabs>
              <w:spacing w:line="440" w:lineRule="exact"/>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rPr>
              <w:t>数据治理中台</w:t>
            </w:r>
          </w:p>
        </w:tc>
        <w:tc>
          <w:tcPr>
            <w:tcW w:w="1339" w:type="dxa"/>
            <w:vAlign w:val="center"/>
          </w:tcPr>
          <w:p>
            <w:pPr>
              <w:pStyle w:val="6"/>
              <w:tabs>
                <w:tab w:val="left" w:pos="0"/>
                <w:tab w:val="left" w:pos="720"/>
              </w:tabs>
              <w:spacing w:line="440" w:lineRule="exact"/>
              <w:jc w:val="center"/>
              <w:rPr>
                <w:rFonts w:hint="eastAsia" w:ascii="宋体" w:hAnsi="宋体" w:eastAsia="宋体" w:cs="宋体"/>
                <w:b/>
                <w:color w:val="000000" w:themeColor="text1"/>
                <w:kern w:val="0"/>
                <w:sz w:val="20"/>
                <w:szCs w:val="20"/>
                <w:highlight w:val="none"/>
                <w14:textFill>
                  <w14:solidFill>
                    <w14:schemeClr w14:val="tx1"/>
                  </w14:solidFill>
                </w14:textFill>
              </w:rPr>
            </w:pPr>
            <w:r>
              <w:rPr>
                <w:rFonts w:hint="eastAsia" w:ascii="宋体" w:hAnsi="宋体"/>
                <w:sz w:val="20"/>
                <w:szCs w:val="21"/>
              </w:rPr>
              <w:t>金智教育数据资产管理平台软件[简称：数据平台]V</w:t>
            </w:r>
            <w:r>
              <w:rPr>
                <w:rFonts w:hint="eastAsia" w:ascii="宋体" w:hAnsi="宋体"/>
                <w:sz w:val="20"/>
                <w:szCs w:val="21"/>
                <w:lang w:val="en-US" w:eastAsia="zh-CN"/>
              </w:rPr>
              <w:t>6</w:t>
            </w:r>
            <w:r>
              <w:rPr>
                <w:rFonts w:hint="eastAsia" w:ascii="宋体" w:hAnsi="宋体"/>
                <w:sz w:val="20"/>
                <w:szCs w:val="21"/>
              </w:rPr>
              <w:t>.0</w:t>
            </w:r>
          </w:p>
        </w:tc>
        <w:tc>
          <w:tcPr>
            <w:tcW w:w="1186" w:type="dxa"/>
            <w:vAlign w:val="center"/>
          </w:tcPr>
          <w:p>
            <w:pPr>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sz w:val="22"/>
                <w:szCs w:val="22"/>
              </w:rPr>
              <w:t>江苏金智教育信息股份有限公司</w:t>
            </w:r>
          </w:p>
        </w:tc>
        <w:tc>
          <w:tcPr>
            <w:tcW w:w="518" w:type="dxa"/>
            <w:vAlign w:val="center"/>
          </w:tcPr>
          <w:p>
            <w:pPr>
              <w:jc w:val="cente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中国</w:t>
            </w:r>
          </w:p>
        </w:tc>
        <w:tc>
          <w:tcPr>
            <w:tcW w:w="407" w:type="dxa"/>
            <w:vAlign w:val="center"/>
          </w:tcPr>
          <w:p>
            <w:pPr>
              <w:jc w:val="cente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套</w:t>
            </w:r>
          </w:p>
        </w:tc>
        <w:tc>
          <w:tcPr>
            <w:tcW w:w="482" w:type="dxa"/>
            <w:vAlign w:val="center"/>
          </w:tcPr>
          <w:p>
            <w:pPr>
              <w:pStyle w:val="6"/>
              <w:tabs>
                <w:tab w:val="left" w:pos="0"/>
                <w:tab w:val="left" w:pos="720"/>
              </w:tabs>
              <w:spacing w:line="440" w:lineRule="exact"/>
              <w:jc w:val="cente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hAnsi="宋体" w:eastAsia="宋体" w:cs="宋体"/>
                <w:b w:val="0"/>
                <w:bCs/>
                <w:color w:val="000000" w:themeColor="text1"/>
                <w:sz w:val="21"/>
                <w:szCs w:val="21"/>
                <w:highlight w:val="none"/>
                <w:lang w:val="en-US" w:eastAsia="zh-CN"/>
                <w14:textFill>
                  <w14:solidFill>
                    <w14:schemeClr w14:val="tx1"/>
                  </w14:solidFill>
                </w14:textFill>
              </w:rPr>
              <w:t>1</w:t>
            </w:r>
          </w:p>
        </w:tc>
        <w:tc>
          <w:tcPr>
            <w:tcW w:w="943" w:type="dxa"/>
            <w:vAlign w:val="center"/>
          </w:tcPr>
          <w:p>
            <w:pPr>
              <w:pStyle w:val="6"/>
              <w:tabs>
                <w:tab w:val="left" w:pos="0"/>
                <w:tab w:val="left" w:pos="720"/>
              </w:tabs>
              <w:spacing w:line="440" w:lineRule="exact"/>
              <w:jc w:val="center"/>
              <w:rPr>
                <w:rFonts w:hint="eastAsia" w:ascii="宋体" w:hAnsi="宋体" w:eastAsia="宋体" w:cs="宋体"/>
                <w:b/>
                <w:color w:val="000000" w:themeColor="text1"/>
                <w:kern w:val="0"/>
                <w:sz w:val="21"/>
                <w:szCs w:val="21"/>
                <w:highlight w:val="none"/>
                <w14:textFill>
                  <w14:solidFill>
                    <w14:schemeClr w14:val="tx1"/>
                  </w14:solidFill>
                </w14:textFill>
              </w:rPr>
            </w:pPr>
            <w:r>
              <w:rPr>
                <w:rFonts w:hint="eastAsia" w:ascii="宋体" w:hAnsi="宋体"/>
              </w:rPr>
              <w:t>1500000</w:t>
            </w:r>
          </w:p>
        </w:tc>
        <w:tc>
          <w:tcPr>
            <w:tcW w:w="506" w:type="dxa"/>
            <w:vAlign w:val="center"/>
          </w:tcPr>
          <w:p>
            <w:pPr>
              <w:pStyle w:val="6"/>
              <w:tabs>
                <w:tab w:val="left" w:pos="0"/>
                <w:tab w:val="left" w:pos="720"/>
              </w:tabs>
              <w:spacing w:line="440" w:lineRule="exact"/>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rPr>
              <w:t>1500000</w:t>
            </w:r>
          </w:p>
        </w:tc>
        <w:tc>
          <w:tcPr>
            <w:tcW w:w="641" w:type="dxa"/>
            <w:vAlign w:val="center"/>
          </w:tcPr>
          <w:p>
            <w:pPr>
              <w:ind w:left="-107" w:leftChars="-51" w:right="-107" w:rightChars="-51"/>
              <w:jc w:val="center"/>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0</w:t>
            </w:r>
          </w:p>
        </w:tc>
        <w:tc>
          <w:tcPr>
            <w:tcW w:w="396" w:type="dxa"/>
            <w:vAlign w:val="center"/>
          </w:tcPr>
          <w:p>
            <w:pPr>
              <w:ind w:left="-107" w:leftChars="-51" w:right="-107" w:rightChars="-51"/>
              <w:jc w:val="center"/>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0</w:t>
            </w:r>
          </w:p>
        </w:tc>
        <w:tc>
          <w:tcPr>
            <w:tcW w:w="514" w:type="dxa"/>
            <w:vAlign w:val="center"/>
          </w:tcPr>
          <w:p>
            <w:pPr>
              <w:jc w:val="center"/>
              <w:rPr>
                <w:rFonts w:hint="default"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13</w:t>
            </w:r>
          </w:p>
        </w:tc>
        <w:tc>
          <w:tcPr>
            <w:tcW w:w="753" w:type="dxa"/>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val="0"/>
                <w:bCs/>
                <w:sz w:val="21"/>
                <w:szCs w:val="21"/>
                <w:highlight w:val="none"/>
                <w:lang w:val="en-US" w:eastAsia="zh-CN"/>
              </w:rPr>
              <w:t>150日历天</w:t>
            </w:r>
          </w:p>
        </w:tc>
        <w:tc>
          <w:tcPr>
            <w:tcW w:w="992" w:type="dxa"/>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郑东新区河南中医药大学</w:t>
            </w:r>
          </w:p>
        </w:tc>
        <w:tc>
          <w:tcPr>
            <w:tcW w:w="426" w:type="dxa"/>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423" w:type="dxa"/>
            <w:vAlign w:val="center"/>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p>
        </w:tc>
        <w:tc>
          <w:tcPr>
            <w:tcW w:w="881" w:type="dxa"/>
            <w:vAlign w:val="center"/>
          </w:tcPr>
          <w:p>
            <w:pPr>
              <w:pStyle w:val="6"/>
              <w:tabs>
                <w:tab w:val="left" w:pos="0"/>
                <w:tab w:val="left" w:pos="720"/>
              </w:tabs>
              <w:spacing w:line="440" w:lineRule="exact"/>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sz w:val="21"/>
                <w:szCs w:val="22"/>
              </w:rPr>
              <w:t>辅导员协作平台</w:t>
            </w:r>
          </w:p>
        </w:tc>
        <w:tc>
          <w:tcPr>
            <w:tcW w:w="1339" w:type="dxa"/>
            <w:vAlign w:val="center"/>
          </w:tcPr>
          <w:p>
            <w:pPr>
              <w:pStyle w:val="6"/>
              <w:tabs>
                <w:tab w:val="left" w:pos="0"/>
                <w:tab w:val="left" w:pos="720"/>
              </w:tabs>
              <w:spacing w:line="440" w:lineRule="exact"/>
              <w:jc w:val="center"/>
              <w:rPr>
                <w:rFonts w:hint="eastAsia" w:ascii="宋体" w:hAnsi="宋体" w:eastAsia="宋体" w:cs="宋体"/>
                <w:b/>
                <w:color w:val="000000" w:themeColor="text1"/>
                <w:kern w:val="0"/>
                <w:sz w:val="21"/>
                <w:szCs w:val="21"/>
                <w:highlight w:val="none"/>
                <w14:textFill>
                  <w14:solidFill>
                    <w14:schemeClr w14:val="tx1"/>
                  </w14:solidFill>
                </w14:textFill>
              </w:rPr>
            </w:pPr>
            <w:r>
              <w:rPr>
                <w:rFonts w:hint="eastAsia" w:ascii="宋体" w:hAnsi="宋体"/>
                <w:sz w:val="21"/>
                <w:szCs w:val="22"/>
              </w:rPr>
              <w:t>金智教育辅导猫系统软件[简称：辅导猫]V1.0</w:t>
            </w:r>
          </w:p>
        </w:tc>
        <w:tc>
          <w:tcPr>
            <w:tcW w:w="1186" w:type="dxa"/>
            <w:vAlign w:val="center"/>
          </w:tcPr>
          <w:p>
            <w:pPr>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sz w:val="22"/>
                <w:szCs w:val="22"/>
              </w:rPr>
              <w:t>江苏金智教育信息股份有限公司</w:t>
            </w:r>
          </w:p>
        </w:tc>
        <w:tc>
          <w:tcPr>
            <w:tcW w:w="518" w:type="dxa"/>
            <w:vAlign w:val="center"/>
          </w:tcPr>
          <w:p>
            <w:pPr>
              <w:jc w:val="cente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中国</w:t>
            </w:r>
          </w:p>
        </w:tc>
        <w:tc>
          <w:tcPr>
            <w:tcW w:w="407" w:type="dxa"/>
            <w:vAlign w:val="center"/>
          </w:tcPr>
          <w:p>
            <w:pPr>
              <w:jc w:val="cente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套</w:t>
            </w:r>
          </w:p>
        </w:tc>
        <w:tc>
          <w:tcPr>
            <w:tcW w:w="482" w:type="dxa"/>
            <w:vAlign w:val="center"/>
          </w:tcPr>
          <w:p>
            <w:pPr>
              <w:pStyle w:val="6"/>
              <w:tabs>
                <w:tab w:val="left" w:pos="0"/>
                <w:tab w:val="left" w:pos="720"/>
              </w:tabs>
              <w:spacing w:line="440" w:lineRule="exact"/>
              <w:jc w:val="center"/>
              <w:rPr>
                <w:rFonts w:hint="default"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hAnsi="宋体" w:eastAsia="宋体" w:cs="宋体"/>
                <w:b w:val="0"/>
                <w:bCs/>
                <w:color w:val="000000" w:themeColor="text1"/>
                <w:sz w:val="21"/>
                <w:szCs w:val="21"/>
                <w:highlight w:val="none"/>
                <w:lang w:val="en-US" w:eastAsia="zh-CN"/>
                <w14:textFill>
                  <w14:solidFill>
                    <w14:schemeClr w14:val="tx1"/>
                  </w14:solidFill>
                </w14:textFill>
              </w:rPr>
              <w:t>1</w:t>
            </w:r>
          </w:p>
        </w:tc>
        <w:tc>
          <w:tcPr>
            <w:tcW w:w="943" w:type="dxa"/>
            <w:vAlign w:val="center"/>
          </w:tcPr>
          <w:p>
            <w:pPr>
              <w:pStyle w:val="6"/>
              <w:tabs>
                <w:tab w:val="left" w:pos="0"/>
                <w:tab w:val="left" w:pos="720"/>
              </w:tabs>
              <w:spacing w:line="440" w:lineRule="exact"/>
              <w:jc w:val="center"/>
              <w:rPr>
                <w:rFonts w:hint="eastAsia" w:ascii="宋体" w:hAnsi="宋体" w:eastAsia="宋体" w:cs="宋体"/>
                <w:b/>
                <w:color w:val="000000" w:themeColor="text1"/>
                <w:kern w:val="0"/>
                <w:sz w:val="21"/>
                <w:szCs w:val="21"/>
                <w:highlight w:val="none"/>
                <w14:textFill>
                  <w14:solidFill>
                    <w14:schemeClr w14:val="tx1"/>
                  </w14:solidFill>
                </w14:textFill>
              </w:rPr>
            </w:pPr>
            <w:r>
              <w:rPr>
                <w:rFonts w:hint="eastAsia" w:hAnsi="宋体"/>
                <w:lang w:val="en-US" w:eastAsia="zh-CN"/>
              </w:rPr>
              <w:t>2</w:t>
            </w:r>
            <w:r>
              <w:rPr>
                <w:rFonts w:hint="eastAsia" w:ascii="宋体" w:hAnsi="宋体"/>
              </w:rPr>
              <w:t>50000</w:t>
            </w:r>
          </w:p>
        </w:tc>
        <w:tc>
          <w:tcPr>
            <w:tcW w:w="506" w:type="dxa"/>
            <w:vAlign w:val="center"/>
          </w:tcPr>
          <w:p>
            <w:pPr>
              <w:pStyle w:val="6"/>
              <w:tabs>
                <w:tab w:val="left" w:pos="0"/>
                <w:tab w:val="left" w:pos="720"/>
              </w:tabs>
              <w:spacing w:line="440" w:lineRule="exact"/>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rPr>
              <w:t>250000</w:t>
            </w:r>
          </w:p>
        </w:tc>
        <w:tc>
          <w:tcPr>
            <w:tcW w:w="641" w:type="dxa"/>
            <w:vAlign w:val="center"/>
          </w:tcPr>
          <w:p>
            <w:pPr>
              <w:ind w:left="-107" w:leftChars="-51" w:right="-107" w:rightChars="-51"/>
              <w:jc w:val="center"/>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0</w:t>
            </w:r>
          </w:p>
        </w:tc>
        <w:tc>
          <w:tcPr>
            <w:tcW w:w="396" w:type="dxa"/>
            <w:vAlign w:val="center"/>
          </w:tcPr>
          <w:p>
            <w:pPr>
              <w:ind w:left="-107" w:leftChars="-51" w:right="-107" w:rightChars="-51"/>
              <w:jc w:val="center"/>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0</w:t>
            </w:r>
          </w:p>
        </w:tc>
        <w:tc>
          <w:tcPr>
            <w:tcW w:w="514" w:type="dxa"/>
            <w:vAlign w:val="center"/>
          </w:tcPr>
          <w:p>
            <w:pPr>
              <w:jc w:val="center"/>
              <w:rPr>
                <w:rFonts w:hint="default"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13</w:t>
            </w:r>
          </w:p>
        </w:tc>
        <w:tc>
          <w:tcPr>
            <w:tcW w:w="753" w:type="dxa"/>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val="0"/>
                <w:bCs/>
                <w:sz w:val="21"/>
                <w:szCs w:val="21"/>
                <w:highlight w:val="none"/>
                <w:lang w:val="en-US" w:eastAsia="zh-CN"/>
              </w:rPr>
              <w:t>150日历天</w:t>
            </w:r>
          </w:p>
        </w:tc>
        <w:tc>
          <w:tcPr>
            <w:tcW w:w="992" w:type="dxa"/>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郑东新区河南中医药大学</w:t>
            </w:r>
          </w:p>
        </w:tc>
        <w:tc>
          <w:tcPr>
            <w:tcW w:w="426" w:type="dxa"/>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23" w:type="dxa"/>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1" w:type="dxa"/>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合计</w:t>
            </w:r>
          </w:p>
        </w:tc>
        <w:tc>
          <w:tcPr>
            <w:tcW w:w="2525" w:type="dxa"/>
            <w:gridSpan w:val="2"/>
            <w:vAlign w:val="center"/>
          </w:tcPr>
          <w:p>
            <w:pPr>
              <w:jc w:val="center"/>
              <w:rPr>
                <w:rFonts w:hint="default" w:ascii="宋体" w:hAnsi="宋体" w:eastAsia="宋体" w:cs="宋体"/>
                <w:bCs/>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t>2865000</w:t>
            </w:r>
          </w:p>
        </w:tc>
        <w:tc>
          <w:tcPr>
            <w:tcW w:w="518" w:type="dxa"/>
            <w:vAlign w:val="center"/>
          </w:tcPr>
          <w:p>
            <w:pPr>
              <w:jc w:val="center"/>
              <w:rPr>
                <w:rFonts w:hint="eastAsia" w:ascii="宋体" w:hAnsi="宋体" w:eastAsia="宋体" w:cs="宋体"/>
                <w:bCs/>
                <w:color w:val="000000" w:themeColor="text1"/>
                <w:sz w:val="21"/>
                <w:szCs w:val="21"/>
                <w:highlight w:val="none"/>
                <w14:textFill>
                  <w14:solidFill>
                    <w14:schemeClr w14:val="tx1"/>
                  </w14:solidFill>
                </w14:textFill>
              </w:rPr>
            </w:pPr>
          </w:p>
        </w:tc>
        <w:tc>
          <w:tcPr>
            <w:tcW w:w="407" w:type="dxa"/>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82" w:type="dxa"/>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943" w:type="dxa"/>
            <w:vAlign w:val="center"/>
          </w:tcPr>
          <w:p>
            <w:pPr>
              <w:widowControl/>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506" w:type="dxa"/>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641" w:type="dxa"/>
            <w:vAlign w:val="center"/>
          </w:tcPr>
          <w:p>
            <w:pPr>
              <w:ind w:left="-107" w:leftChars="-51" w:right="-107" w:rightChars="-51"/>
              <w:jc w:val="center"/>
              <w:rPr>
                <w:rFonts w:hint="eastAsia" w:ascii="宋体" w:hAnsi="宋体" w:eastAsia="宋体" w:cs="宋体"/>
                <w:bCs/>
                <w:color w:val="000000" w:themeColor="text1"/>
                <w:sz w:val="21"/>
                <w:szCs w:val="21"/>
                <w:highlight w:val="none"/>
                <w14:textFill>
                  <w14:solidFill>
                    <w14:schemeClr w14:val="tx1"/>
                  </w14:solidFill>
                </w14:textFill>
              </w:rPr>
            </w:pPr>
          </w:p>
        </w:tc>
        <w:tc>
          <w:tcPr>
            <w:tcW w:w="396" w:type="dxa"/>
            <w:vAlign w:val="center"/>
          </w:tcPr>
          <w:p>
            <w:pPr>
              <w:ind w:left="-107" w:leftChars="-51" w:right="-107" w:rightChars="-51"/>
              <w:jc w:val="center"/>
              <w:rPr>
                <w:rFonts w:hint="eastAsia" w:ascii="宋体" w:hAnsi="宋体" w:eastAsia="宋体" w:cs="宋体"/>
                <w:bCs/>
                <w:color w:val="000000" w:themeColor="text1"/>
                <w:sz w:val="21"/>
                <w:szCs w:val="21"/>
                <w:highlight w:val="none"/>
                <w14:textFill>
                  <w14:solidFill>
                    <w14:schemeClr w14:val="tx1"/>
                  </w14:solidFill>
                </w14:textFill>
              </w:rPr>
            </w:pPr>
          </w:p>
        </w:tc>
        <w:tc>
          <w:tcPr>
            <w:tcW w:w="514" w:type="dxa"/>
            <w:vAlign w:val="center"/>
          </w:tcPr>
          <w:p>
            <w:pPr>
              <w:jc w:val="center"/>
              <w:rPr>
                <w:rFonts w:hint="eastAsia" w:ascii="宋体" w:hAnsi="宋体" w:eastAsia="宋体" w:cs="宋体"/>
                <w:bCs/>
                <w:color w:val="000000" w:themeColor="text1"/>
                <w:sz w:val="21"/>
                <w:szCs w:val="21"/>
                <w:highlight w:val="none"/>
                <w14:textFill>
                  <w14:solidFill>
                    <w14:schemeClr w14:val="tx1"/>
                  </w14:solidFill>
                </w14:textFill>
              </w:rPr>
            </w:pPr>
          </w:p>
        </w:tc>
        <w:tc>
          <w:tcPr>
            <w:tcW w:w="753" w:type="dxa"/>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992" w:type="dxa"/>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26" w:type="dxa"/>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04" w:type="dxa"/>
            <w:gridSpan w:val="2"/>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人民币总价</w:t>
            </w:r>
          </w:p>
        </w:tc>
        <w:tc>
          <w:tcPr>
            <w:tcW w:w="9103" w:type="dxa"/>
            <w:gridSpan w:val="13"/>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贰佰捌拾陆万伍仟圆整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04" w:type="dxa"/>
            <w:gridSpan w:val="2"/>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备注</w:t>
            </w:r>
          </w:p>
        </w:tc>
        <w:tc>
          <w:tcPr>
            <w:tcW w:w="9103" w:type="dxa"/>
            <w:gridSpan w:val="13"/>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r>
    </w:tbl>
    <w:p>
      <w:pPr>
        <w:rPr>
          <w:rFonts w:hint="eastAsia" w:ascii="宋体" w:hAnsi="宋体" w:eastAsia="宋体" w:cs="宋体"/>
          <w:b/>
          <w:color w:val="000000" w:themeColor="text1"/>
          <w:kern w:val="0"/>
          <w:sz w:val="24"/>
          <w:szCs w:val="24"/>
          <w:highlight w:val="none"/>
          <w14:textFill>
            <w14:solidFill>
              <w14:schemeClr w14:val="tx1"/>
            </w14:solidFill>
          </w14:textFill>
        </w:rPr>
      </w:pPr>
    </w:p>
    <w:p>
      <w:pP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kern w:val="0"/>
          <w:sz w:val="24"/>
          <w:szCs w:val="24"/>
          <w:highlight w:val="none"/>
          <w14:textFill>
            <w14:solidFill>
              <w14:schemeClr w14:val="tx1"/>
            </w14:solidFill>
          </w14:textFill>
        </w:rPr>
        <w:t>附件3：制造商</w:t>
      </w:r>
      <w:r>
        <w:rPr>
          <w:rFonts w:hint="eastAsia" w:ascii="宋体" w:hAnsi="宋体" w:eastAsia="宋体" w:cs="宋体"/>
          <w:b/>
          <w:color w:val="000000" w:themeColor="text1"/>
          <w:sz w:val="24"/>
          <w:szCs w:val="24"/>
          <w:highlight w:val="none"/>
          <w14:textFill>
            <w14:solidFill>
              <w14:schemeClr w14:val="tx1"/>
            </w14:solidFill>
          </w14:textFill>
        </w:rPr>
        <w:t>：</w:t>
      </w:r>
    </w:p>
    <w:p>
      <w:pPr>
        <w:pStyle w:val="12"/>
        <w:rPr>
          <w:rFonts w:hint="eastAsia" w:ascii="宋体" w:hAnsi="宋体" w:eastAsia="宋体" w:cs="宋体"/>
          <w:color w:val="000000" w:themeColor="text1"/>
          <w:highlight w:val="none"/>
          <w14:textFill>
            <w14:solidFill>
              <w14:schemeClr w14:val="tx1"/>
            </w14:solidFill>
          </w14:textFill>
        </w:rPr>
      </w:pPr>
    </w:p>
    <w:p>
      <w:pPr>
        <w:jc w:val="center"/>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Cs/>
          <w:color w:val="000000" w:themeColor="text1"/>
          <w:sz w:val="28"/>
          <w:szCs w:val="28"/>
          <w:highlight w:val="none"/>
          <w14:textFill>
            <w14:solidFill>
              <w14:schemeClr w14:val="tx1"/>
            </w14:solidFill>
          </w14:textFill>
        </w:rPr>
        <w:t>河南中医药大学数字化转型基础数据建设项目</w:t>
      </w:r>
      <w:r>
        <w:rPr>
          <w:rFonts w:hint="eastAsia" w:ascii="宋体" w:hAnsi="宋体" w:eastAsia="宋体" w:cs="宋体"/>
          <w:bCs/>
          <w:color w:val="000000" w:themeColor="text1"/>
          <w:sz w:val="28"/>
          <w:szCs w:val="28"/>
          <w:highlight w:val="none"/>
          <w:lang w:val="en-US" w:eastAsia="zh-CN"/>
          <w14:textFill>
            <w14:solidFill>
              <w14:schemeClr w14:val="tx1"/>
            </w14:solidFill>
          </w14:textFill>
        </w:rPr>
        <w:t>A包</w:t>
      </w:r>
      <w:r>
        <w:rPr>
          <w:rFonts w:hint="eastAsia" w:ascii="宋体" w:hAnsi="宋体" w:eastAsia="宋体" w:cs="宋体"/>
          <w:bCs/>
          <w:color w:val="000000" w:themeColor="text1"/>
          <w:sz w:val="28"/>
          <w:szCs w:val="28"/>
          <w:highlight w:val="none"/>
          <w14:textFill>
            <w14:solidFill>
              <w14:schemeClr w14:val="tx1"/>
            </w14:solidFill>
          </w14:textFill>
        </w:rPr>
        <w:t>货物配置清单</w:t>
      </w:r>
    </w:p>
    <w:p>
      <w:pPr>
        <w:rPr>
          <w:rFonts w:hint="eastAsia" w:ascii="宋体" w:hAnsi="宋体" w:eastAsia="宋体" w:cs="宋体"/>
          <w:b/>
          <w:color w:val="000000" w:themeColor="text1"/>
          <w:sz w:val="24"/>
          <w:highlight w:val="none"/>
          <w14:textFill>
            <w14:solidFill>
              <w14:schemeClr w14:val="tx1"/>
            </w14:solidFill>
          </w14:textFill>
        </w:rPr>
      </w:pPr>
    </w:p>
    <w:tbl>
      <w:tblPr>
        <w:tblStyle w:val="8"/>
        <w:tblW w:w="9258" w:type="dxa"/>
        <w:jc w:val="center"/>
        <w:tblLayout w:type="fixed"/>
        <w:tblCellMar>
          <w:top w:w="0" w:type="dxa"/>
          <w:left w:w="108" w:type="dxa"/>
          <w:bottom w:w="0" w:type="dxa"/>
          <w:right w:w="108" w:type="dxa"/>
        </w:tblCellMar>
      </w:tblPr>
      <w:tblGrid>
        <w:gridCol w:w="888"/>
        <w:gridCol w:w="2509"/>
        <w:gridCol w:w="2426"/>
        <w:gridCol w:w="1215"/>
        <w:gridCol w:w="2220"/>
      </w:tblGrid>
      <w:tr>
        <w:tblPrEx>
          <w:tblCellMar>
            <w:top w:w="0" w:type="dxa"/>
            <w:left w:w="108" w:type="dxa"/>
            <w:bottom w:w="0" w:type="dxa"/>
            <w:right w:w="108" w:type="dxa"/>
          </w:tblCellMar>
        </w:tblPrEx>
        <w:trPr>
          <w:trHeight w:val="560" w:hRule="atLeast"/>
          <w:jc w:val="center"/>
        </w:trPr>
        <w:tc>
          <w:tcPr>
            <w:tcW w:w="8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序号</w:t>
            </w:r>
          </w:p>
        </w:tc>
        <w:tc>
          <w:tcPr>
            <w:tcW w:w="25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配置名称</w:t>
            </w:r>
          </w:p>
        </w:tc>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品牌</w:t>
            </w:r>
          </w:p>
        </w:tc>
        <w:tc>
          <w:tcPr>
            <w:tcW w:w="12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单位</w:t>
            </w:r>
          </w:p>
        </w:tc>
        <w:tc>
          <w:tcPr>
            <w:tcW w:w="22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数量</w:t>
            </w:r>
          </w:p>
        </w:tc>
      </w:tr>
      <w:tr>
        <w:tblPrEx>
          <w:tblCellMar>
            <w:top w:w="0" w:type="dxa"/>
            <w:left w:w="108" w:type="dxa"/>
            <w:bottom w:w="0" w:type="dxa"/>
            <w:right w:w="108" w:type="dxa"/>
          </w:tblCellMar>
        </w:tblPrEx>
        <w:trPr>
          <w:trHeight w:val="560" w:hRule="atLeast"/>
          <w:jc w:val="center"/>
        </w:trPr>
        <w:tc>
          <w:tcPr>
            <w:tcW w:w="8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themeColor="text1"/>
                <w:kern w:val="0"/>
                <w:sz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highlight w:val="none"/>
                <w:lang w:val="en-US" w:eastAsia="zh-CN" w:bidi="ar"/>
                <w14:textFill>
                  <w14:solidFill>
                    <w14:schemeClr w14:val="tx1"/>
                  </w14:solidFill>
                </w14:textFill>
              </w:rPr>
              <w:t>1</w:t>
            </w:r>
          </w:p>
        </w:tc>
        <w:tc>
          <w:tcPr>
            <w:tcW w:w="250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rPr>
              <w:t>融合门户</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ind w:firstLine="0" w:firstLineChars="0"/>
              <w:rPr>
                <w:rFonts w:hint="eastAsia" w:ascii="宋体" w:hAnsi="宋体" w:eastAsiaTheme="minorEastAsia" w:cstheme="minorEastAsia"/>
                <w:color w:val="000000" w:themeColor="text1"/>
                <w:kern w:val="2"/>
                <w:sz w:val="21"/>
                <w:szCs w:val="24"/>
                <w:lang w:val="en-US" w:eastAsia="zh-CN" w:bidi="ar-SA"/>
                <w14:textFill>
                  <w14:solidFill>
                    <w14:schemeClr w14:val="tx1"/>
                  </w14:solidFill>
                </w14:textFill>
              </w:rPr>
            </w:pPr>
            <w:r>
              <w:rPr>
                <w:rFonts w:hint="eastAsia" w:ascii="宋体" w:hAnsi="宋体"/>
              </w:rPr>
              <w:t>金智教育融合门户软件V3.0</w:t>
            </w:r>
          </w:p>
        </w:tc>
        <w:tc>
          <w:tcPr>
            <w:tcW w:w="12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套</w:t>
            </w:r>
          </w:p>
        </w:tc>
        <w:tc>
          <w:tcPr>
            <w:tcW w:w="22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w:t>
            </w:r>
          </w:p>
        </w:tc>
      </w:tr>
      <w:tr>
        <w:tblPrEx>
          <w:tblCellMar>
            <w:top w:w="0" w:type="dxa"/>
            <w:left w:w="108" w:type="dxa"/>
            <w:bottom w:w="0" w:type="dxa"/>
            <w:right w:w="108" w:type="dxa"/>
          </w:tblCellMar>
        </w:tblPrEx>
        <w:trPr>
          <w:trHeight w:val="560" w:hRule="atLeast"/>
          <w:jc w:val="center"/>
        </w:trPr>
        <w:tc>
          <w:tcPr>
            <w:tcW w:w="8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themeColor="text1"/>
                <w:kern w:val="0"/>
                <w:sz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highlight w:val="none"/>
                <w:lang w:val="en-US" w:eastAsia="zh-CN" w:bidi="ar"/>
                <w14:textFill>
                  <w14:solidFill>
                    <w14:schemeClr w14:val="tx1"/>
                  </w14:solidFill>
                </w14:textFill>
              </w:rPr>
              <w:t>2</w:t>
            </w:r>
          </w:p>
        </w:tc>
        <w:tc>
          <w:tcPr>
            <w:tcW w:w="250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rPr>
              <w:t>身份互联认证平台</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ind w:firstLine="0" w:firstLineChars="0"/>
              <w:rPr>
                <w:rFonts w:hint="eastAsia" w:ascii="宋体" w:hAnsi="宋体" w:eastAsiaTheme="minorEastAsia" w:cstheme="minorEastAsia"/>
                <w:color w:val="000000" w:themeColor="text1"/>
                <w:kern w:val="2"/>
                <w:sz w:val="21"/>
                <w:szCs w:val="24"/>
                <w:lang w:val="en-US" w:eastAsia="zh-CN" w:bidi="ar-SA"/>
                <w14:textFill>
                  <w14:solidFill>
                    <w14:schemeClr w14:val="tx1"/>
                  </w14:solidFill>
                </w14:textFill>
              </w:rPr>
            </w:pPr>
            <w:r>
              <w:rPr>
                <w:rFonts w:hint="eastAsia" w:ascii="宋体" w:hAnsi="宋体"/>
              </w:rPr>
              <w:t>金智教育校园身份互联认证平台软件[简称：CIAP]V7.0</w:t>
            </w:r>
          </w:p>
        </w:tc>
        <w:tc>
          <w:tcPr>
            <w:tcW w:w="12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套</w:t>
            </w:r>
          </w:p>
        </w:tc>
        <w:tc>
          <w:tcPr>
            <w:tcW w:w="22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w:t>
            </w:r>
          </w:p>
        </w:tc>
      </w:tr>
      <w:tr>
        <w:tblPrEx>
          <w:tblCellMar>
            <w:top w:w="0" w:type="dxa"/>
            <w:left w:w="108" w:type="dxa"/>
            <w:bottom w:w="0" w:type="dxa"/>
            <w:right w:w="108" w:type="dxa"/>
          </w:tblCellMar>
        </w:tblPrEx>
        <w:trPr>
          <w:trHeight w:val="560" w:hRule="atLeast"/>
          <w:jc w:val="center"/>
        </w:trPr>
        <w:tc>
          <w:tcPr>
            <w:tcW w:w="8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themeColor="text1"/>
                <w:kern w:val="0"/>
                <w:sz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highlight w:val="none"/>
                <w:lang w:val="en-US" w:eastAsia="zh-CN" w:bidi="ar"/>
                <w14:textFill>
                  <w14:solidFill>
                    <w14:schemeClr w14:val="tx1"/>
                  </w14:solidFill>
                </w14:textFill>
              </w:rPr>
              <w:t>3</w:t>
            </w:r>
          </w:p>
        </w:tc>
        <w:tc>
          <w:tcPr>
            <w:tcW w:w="250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微服务构建</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ind w:firstLine="0" w:firstLineChars="0"/>
              <w:rPr>
                <w:rFonts w:hint="eastAsia" w:ascii="宋体" w:hAnsi="宋体" w:eastAsiaTheme="minorEastAsia" w:cstheme="minorEastAsia"/>
                <w:color w:val="000000" w:themeColor="text1"/>
                <w:kern w:val="2"/>
                <w:sz w:val="21"/>
                <w:szCs w:val="24"/>
                <w:lang w:val="en-US" w:eastAsia="zh-CN" w:bidi="ar-SA"/>
                <w14:textFill>
                  <w14:solidFill>
                    <w14:schemeClr w14:val="tx1"/>
                  </w14:solidFill>
                </w14:textFill>
              </w:rPr>
            </w:pPr>
            <w:r>
              <w:rPr>
                <w:rFonts w:hint="eastAsia" w:ascii="宋体" w:hAnsi="宋体"/>
              </w:rPr>
              <w:t>金智教育易表通在线应用开发运行管理平台软件（简称：易表通）V1.0</w:t>
            </w:r>
          </w:p>
        </w:tc>
        <w:tc>
          <w:tcPr>
            <w:tcW w:w="12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个</w:t>
            </w:r>
          </w:p>
        </w:tc>
        <w:tc>
          <w:tcPr>
            <w:tcW w:w="22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40</w:t>
            </w:r>
          </w:p>
        </w:tc>
      </w:tr>
      <w:tr>
        <w:tblPrEx>
          <w:tblCellMar>
            <w:top w:w="0" w:type="dxa"/>
            <w:left w:w="108" w:type="dxa"/>
            <w:bottom w:w="0" w:type="dxa"/>
            <w:right w:w="108" w:type="dxa"/>
          </w:tblCellMar>
        </w:tblPrEx>
        <w:trPr>
          <w:trHeight w:val="560" w:hRule="atLeast"/>
          <w:jc w:val="center"/>
        </w:trPr>
        <w:tc>
          <w:tcPr>
            <w:tcW w:w="8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themeColor="text1"/>
                <w:kern w:val="0"/>
                <w:sz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highlight w:val="none"/>
                <w:lang w:val="en-US" w:eastAsia="zh-CN" w:bidi="ar"/>
                <w14:textFill>
                  <w14:solidFill>
                    <w14:schemeClr w14:val="tx1"/>
                  </w14:solidFill>
                </w14:textFill>
              </w:rPr>
              <w:t>4</w:t>
            </w:r>
          </w:p>
        </w:tc>
        <w:tc>
          <w:tcPr>
            <w:tcW w:w="250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数据治理中台</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ind w:firstLine="0" w:firstLineChars="0"/>
              <w:rPr>
                <w:rFonts w:hint="eastAsia" w:ascii="宋体" w:hAnsi="宋体" w:eastAsiaTheme="minorEastAsia" w:cstheme="minorEastAsia"/>
                <w:color w:val="000000" w:themeColor="text1"/>
                <w:kern w:val="2"/>
                <w:sz w:val="21"/>
                <w:szCs w:val="24"/>
                <w:lang w:val="en-US" w:eastAsia="zh-CN" w:bidi="ar-SA"/>
                <w14:textFill>
                  <w14:solidFill>
                    <w14:schemeClr w14:val="tx1"/>
                  </w14:solidFill>
                </w14:textFill>
              </w:rPr>
            </w:pPr>
            <w:r>
              <w:rPr>
                <w:rFonts w:hint="eastAsia" w:ascii="宋体" w:hAnsi="宋体"/>
              </w:rPr>
              <w:t>金智教育数据资产管理平台软件[简称：数据平台]V</w:t>
            </w:r>
            <w:r>
              <w:rPr>
                <w:rFonts w:hint="eastAsia" w:ascii="宋体" w:hAnsi="宋体"/>
                <w:lang w:val="en-US" w:eastAsia="zh-CN"/>
              </w:rPr>
              <w:t>6</w:t>
            </w:r>
            <w:r>
              <w:rPr>
                <w:rFonts w:hint="eastAsia" w:ascii="宋体" w:hAnsi="宋体"/>
              </w:rPr>
              <w:t>.0</w:t>
            </w:r>
          </w:p>
        </w:tc>
        <w:tc>
          <w:tcPr>
            <w:tcW w:w="12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套</w:t>
            </w:r>
          </w:p>
        </w:tc>
        <w:tc>
          <w:tcPr>
            <w:tcW w:w="22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w:t>
            </w:r>
          </w:p>
        </w:tc>
      </w:tr>
      <w:tr>
        <w:tblPrEx>
          <w:tblCellMar>
            <w:top w:w="0" w:type="dxa"/>
            <w:left w:w="108" w:type="dxa"/>
            <w:bottom w:w="0" w:type="dxa"/>
            <w:right w:w="108" w:type="dxa"/>
          </w:tblCellMar>
        </w:tblPrEx>
        <w:trPr>
          <w:trHeight w:val="560" w:hRule="atLeast"/>
          <w:jc w:val="center"/>
        </w:trPr>
        <w:tc>
          <w:tcPr>
            <w:tcW w:w="8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val="en-US" w:eastAsia="zh-CN" w:bidi="ar"/>
                <w14:textFill>
                  <w14:solidFill>
                    <w14:schemeClr w14:val="tx1"/>
                  </w14:solidFill>
                </w14:textFill>
              </w:rPr>
              <w:t>5</w:t>
            </w:r>
          </w:p>
        </w:tc>
        <w:tc>
          <w:tcPr>
            <w:tcW w:w="250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辅导员协作平台</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ind w:firstLine="0" w:firstLineChars="0"/>
              <w:rPr>
                <w:rFonts w:hint="eastAsia" w:ascii="宋体" w:hAnsi="宋体" w:eastAsiaTheme="minorEastAsia" w:cstheme="minorEastAsia"/>
                <w:color w:val="000000" w:themeColor="text1"/>
                <w:kern w:val="2"/>
                <w:sz w:val="21"/>
                <w:szCs w:val="24"/>
                <w:lang w:val="en-US" w:eastAsia="zh-CN" w:bidi="ar-SA"/>
                <w14:textFill>
                  <w14:solidFill>
                    <w14:schemeClr w14:val="tx1"/>
                  </w14:solidFill>
                </w14:textFill>
              </w:rPr>
            </w:pPr>
            <w:r>
              <w:rPr>
                <w:rFonts w:hint="eastAsia" w:ascii="宋体" w:hAnsi="宋体"/>
              </w:rPr>
              <w:t>金智教育辅导猫系统软件[简称：辅导猫]V1.0</w:t>
            </w:r>
          </w:p>
        </w:tc>
        <w:tc>
          <w:tcPr>
            <w:tcW w:w="12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套</w:t>
            </w:r>
          </w:p>
        </w:tc>
        <w:tc>
          <w:tcPr>
            <w:tcW w:w="22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w:t>
            </w:r>
          </w:p>
        </w:tc>
      </w:tr>
    </w:tbl>
    <w:p>
      <w:pPr>
        <w:pStyle w:val="12"/>
        <w:rPr>
          <w:rFonts w:hint="eastAsia" w:ascii="宋体" w:hAnsi="宋体" w:eastAsia="宋体" w:cs="宋体"/>
          <w:color w:val="000000" w:themeColor="text1"/>
          <w:highlight w:val="none"/>
          <w14:textFill>
            <w14:solidFill>
              <w14:schemeClr w14:val="tx1"/>
            </w14:solidFill>
          </w14:textFill>
        </w:rPr>
      </w:pP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p>
    <w:p>
      <w:pPr>
        <w:rPr>
          <w:rFonts w:hint="eastAsia" w:ascii="宋体" w:hAnsi="宋体" w:eastAsia="宋体" w:cs="宋体"/>
          <w:color w:val="000000" w:themeColor="text1"/>
          <w:highlight w:val="none"/>
          <w14:textFill>
            <w14:solidFill>
              <w14:schemeClr w14:val="tx1"/>
            </w14:solidFill>
          </w14:textFill>
        </w:rPr>
      </w:pPr>
    </w:p>
    <w:p>
      <w:pP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附件4：</w:t>
      </w:r>
    </w:p>
    <w:p>
      <w:pPr>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货物技术参数及配置表</w:t>
      </w:r>
    </w:p>
    <w:tbl>
      <w:tblPr>
        <w:tblStyle w:val="8"/>
        <w:tblW w:w="1017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04"/>
        <w:gridCol w:w="2204"/>
        <w:gridCol w:w="728"/>
        <w:gridCol w:w="2014"/>
        <w:gridCol w:w="1811"/>
        <w:gridCol w:w="589"/>
        <w:gridCol w:w="1330"/>
        <w:gridCol w:w="99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序号</w:t>
            </w:r>
          </w:p>
        </w:tc>
        <w:tc>
          <w:tcPr>
            <w:tcW w:w="22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货物或配置名称</w:t>
            </w:r>
          </w:p>
        </w:tc>
        <w:tc>
          <w:tcPr>
            <w:tcW w:w="72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图片</w:t>
            </w:r>
          </w:p>
        </w:tc>
        <w:tc>
          <w:tcPr>
            <w:tcW w:w="20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型号规格</w:t>
            </w:r>
          </w:p>
        </w:tc>
        <w:tc>
          <w:tcPr>
            <w:tcW w:w="181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规格参数</w:t>
            </w:r>
          </w:p>
        </w:tc>
        <w:tc>
          <w:tcPr>
            <w:tcW w:w="58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数量</w:t>
            </w:r>
          </w:p>
        </w:tc>
        <w:tc>
          <w:tcPr>
            <w:tcW w:w="1330" w:type="dxa"/>
            <w:tcBorders>
              <w:top w:val="single" w:color="auto" w:sz="4" w:space="0"/>
              <w:left w:val="single" w:color="auto" w:sz="4" w:space="0"/>
              <w:bottom w:val="single" w:color="auto" w:sz="4" w:space="0"/>
              <w:right w:val="single" w:color="auto" w:sz="4" w:space="0"/>
            </w:tcBorders>
            <w:vAlign w:val="center"/>
          </w:tcPr>
          <w:p>
            <w:pPr>
              <w:ind w:left="-107" w:leftChars="-51" w:right="-107" w:rightChars="-51"/>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制造厂(商)</w:t>
            </w:r>
          </w:p>
        </w:tc>
        <w:tc>
          <w:tcPr>
            <w:tcW w:w="992" w:type="dxa"/>
            <w:tcBorders>
              <w:top w:val="single" w:color="auto" w:sz="4" w:space="0"/>
              <w:left w:val="single" w:color="auto" w:sz="4" w:space="0"/>
              <w:bottom w:val="single" w:color="auto" w:sz="4" w:space="0"/>
              <w:right w:val="single" w:color="auto" w:sz="4" w:space="0"/>
            </w:tcBorders>
            <w:vAlign w:val="center"/>
          </w:tcPr>
          <w:p>
            <w:pPr>
              <w:ind w:left="-107" w:leftChars="-51" w:right="-107" w:rightChars="-51"/>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原产地</w:t>
            </w:r>
          </w:p>
          <w:p>
            <w:pPr>
              <w:ind w:left="-107" w:leftChars="-51" w:right="-107" w:rightChars="-51"/>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4" w:hRule="atLeast"/>
          <w:jc w:val="center"/>
        </w:trPr>
        <w:tc>
          <w:tcPr>
            <w:tcW w:w="5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w:t>
            </w:r>
          </w:p>
        </w:tc>
        <w:tc>
          <w:tcPr>
            <w:tcW w:w="22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pPr>
            <w:r>
              <w:rPr>
                <w:rFonts w:hint="eastAsia" w:ascii="宋体" w:hAnsi="宋体"/>
              </w:rPr>
              <w:t>融合门户</w:t>
            </w:r>
          </w:p>
        </w:tc>
        <w:tc>
          <w:tcPr>
            <w:tcW w:w="728"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宋体"/>
                <w:color w:val="000000" w:themeColor="text1"/>
                <w:szCs w:val="21"/>
                <w:highlight w:val="none"/>
                <w14:textFill>
                  <w14:solidFill>
                    <w14:schemeClr w14:val="tx1"/>
                  </w14:solidFill>
                </w14:textFill>
              </w:rPr>
            </w:pPr>
          </w:p>
          <w:p>
            <w:pPr>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w:t>
            </w:r>
          </w:p>
        </w:tc>
        <w:tc>
          <w:tcPr>
            <w:tcW w:w="2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
              <w:tabs>
                <w:tab w:val="left" w:pos="0"/>
                <w:tab w:val="left" w:pos="720"/>
              </w:tabs>
              <w:spacing w:line="440" w:lineRule="exact"/>
              <w:jc w:val="center"/>
              <w:rPr>
                <w:rFonts w:hint="eastAsia" w:ascii="宋体" w:hAnsi="宋体" w:eastAsia="宋体" w:cs="宋体"/>
                <w:b/>
                <w:color w:val="000000" w:themeColor="text1"/>
                <w:kern w:val="0"/>
                <w:sz w:val="20"/>
                <w:szCs w:val="20"/>
                <w:highlight w:val="none"/>
                <w:lang w:val="en-US" w:eastAsia="zh-CN" w:bidi="ar-SA"/>
                <w14:textFill>
                  <w14:solidFill>
                    <w14:schemeClr w14:val="tx1"/>
                  </w14:solidFill>
                </w14:textFill>
              </w:rPr>
            </w:pPr>
            <w:r>
              <w:rPr>
                <w:rFonts w:hint="eastAsia" w:ascii="宋体" w:hAnsi="宋体"/>
                <w:sz w:val="20"/>
                <w:szCs w:val="21"/>
              </w:rPr>
              <w:t>金智教育融合门户软件V3.0</w:t>
            </w:r>
          </w:p>
        </w:tc>
        <w:tc>
          <w:tcPr>
            <w:tcW w:w="181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详见下表</w:t>
            </w:r>
          </w:p>
        </w:tc>
        <w:tc>
          <w:tcPr>
            <w:tcW w:w="58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w:t>
            </w:r>
          </w:p>
        </w:tc>
        <w:tc>
          <w:tcPr>
            <w:tcW w:w="13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bCs/>
                <w:color w:val="000000" w:themeColor="text1"/>
                <w:kern w:val="0"/>
                <w:szCs w:val="21"/>
                <w:highlight w:val="none"/>
                <w:lang w:val="en-US" w:eastAsia="zh-CN"/>
                <w14:textFill>
                  <w14:solidFill>
                    <w14:schemeClr w14:val="tx1"/>
                  </w14:solidFill>
                </w14:textFill>
              </w:rPr>
            </w:pPr>
            <w:r>
              <w:rPr>
                <w:rFonts w:hint="eastAsia" w:ascii="宋体" w:hAnsi="宋体"/>
                <w:sz w:val="22"/>
                <w:szCs w:val="22"/>
              </w:rPr>
              <w:t>江苏金智教育信息股份有限公司</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中国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4" w:hRule="atLeast"/>
          <w:jc w:val="center"/>
        </w:trPr>
        <w:tc>
          <w:tcPr>
            <w:tcW w:w="5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2</w:t>
            </w:r>
          </w:p>
        </w:tc>
        <w:tc>
          <w:tcPr>
            <w:tcW w:w="22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pPr>
            <w:r>
              <w:rPr>
                <w:rFonts w:hint="eastAsia" w:ascii="宋体" w:hAnsi="宋体"/>
              </w:rPr>
              <w:t>身份互联认证平台</w:t>
            </w:r>
          </w:p>
        </w:tc>
        <w:tc>
          <w:tcPr>
            <w:tcW w:w="728"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宋体"/>
                <w:color w:val="000000" w:themeColor="text1"/>
                <w:szCs w:val="21"/>
                <w:highlight w:val="none"/>
                <w:lang w:val="en-US" w:eastAsia="zh-CN"/>
                <w14:textFill>
                  <w14:solidFill>
                    <w14:schemeClr w14:val="tx1"/>
                  </w14:solidFill>
                </w14:textFill>
              </w:rPr>
            </w:pPr>
          </w:p>
          <w:p>
            <w:pPr>
              <w:jc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w:t>
            </w:r>
          </w:p>
        </w:tc>
        <w:tc>
          <w:tcPr>
            <w:tcW w:w="2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
              <w:tabs>
                <w:tab w:val="left" w:pos="0"/>
                <w:tab w:val="left" w:pos="720"/>
              </w:tabs>
              <w:spacing w:line="440" w:lineRule="exact"/>
              <w:jc w:val="center"/>
              <w:rPr>
                <w:rFonts w:hint="eastAsia" w:ascii="宋体" w:hAnsi="宋体" w:eastAsia="宋体" w:cs="宋体"/>
                <w:b/>
                <w:color w:val="000000" w:themeColor="text1"/>
                <w:kern w:val="0"/>
                <w:sz w:val="20"/>
                <w:szCs w:val="20"/>
                <w:highlight w:val="none"/>
                <w:lang w:val="en-US" w:eastAsia="zh-CN" w:bidi="ar-SA"/>
                <w14:textFill>
                  <w14:solidFill>
                    <w14:schemeClr w14:val="tx1"/>
                  </w14:solidFill>
                </w14:textFill>
              </w:rPr>
            </w:pPr>
            <w:r>
              <w:rPr>
                <w:rFonts w:hint="eastAsia" w:ascii="宋体" w:hAnsi="宋体"/>
                <w:sz w:val="20"/>
                <w:szCs w:val="21"/>
              </w:rPr>
              <w:t>金智教育校园身份互联认证平台软件[简称：CIAP]V7.0</w:t>
            </w:r>
          </w:p>
        </w:tc>
        <w:tc>
          <w:tcPr>
            <w:tcW w:w="181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详见下表</w:t>
            </w:r>
          </w:p>
        </w:tc>
        <w:tc>
          <w:tcPr>
            <w:tcW w:w="58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w:t>
            </w:r>
          </w:p>
        </w:tc>
        <w:tc>
          <w:tcPr>
            <w:tcW w:w="13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bCs/>
                <w:color w:val="000000" w:themeColor="text1"/>
                <w:kern w:val="0"/>
                <w:szCs w:val="21"/>
                <w:highlight w:val="none"/>
                <w:lang w:val="en-US" w:eastAsia="zh-CN"/>
                <w14:textFill>
                  <w14:solidFill>
                    <w14:schemeClr w14:val="tx1"/>
                  </w14:solidFill>
                </w14:textFill>
              </w:rPr>
            </w:pPr>
            <w:r>
              <w:rPr>
                <w:rFonts w:hint="eastAsia" w:ascii="宋体" w:hAnsi="宋体"/>
                <w:sz w:val="22"/>
                <w:szCs w:val="22"/>
              </w:rPr>
              <w:t>江苏金智教育信息股份有限公司</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中国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4" w:hRule="atLeast"/>
          <w:jc w:val="center"/>
        </w:trPr>
        <w:tc>
          <w:tcPr>
            <w:tcW w:w="5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3</w:t>
            </w:r>
          </w:p>
        </w:tc>
        <w:tc>
          <w:tcPr>
            <w:tcW w:w="22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微服务构建</w:t>
            </w:r>
          </w:p>
        </w:tc>
        <w:tc>
          <w:tcPr>
            <w:tcW w:w="728"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宋体"/>
                <w:color w:val="000000" w:themeColor="text1"/>
                <w:szCs w:val="21"/>
                <w:highlight w:val="none"/>
                <w14:textFill>
                  <w14:solidFill>
                    <w14:schemeClr w14:val="tx1"/>
                  </w14:solidFill>
                </w14:textFill>
              </w:rPr>
            </w:pPr>
          </w:p>
          <w:p>
            <w:pPr>
              <w:jc w:val="center"/>
              <w:rPr>
                <w:rFonts w:hint="eastAsia" w:ascii="宋体" w:hAnsi="宋体" w:eastAsia="宋体" w:cs="宋体"/>
                <w:color w:val="000000" w:themeColor="text1"/>
                <w:szCs w:val="21"/>
                <w:highlight w:val="none"/>
                <w14:textFill>
                  <w14:solidFill>
                    <w14:schemeClr w14:val="tx1"/>
                  </w14:solidFill>
                </w14:textFill>
              </w:rPr>
            </w:pPr>
          </w:p>
          <w:p>
            <w:pPr>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w:t>
            </w:r>
          </w:p>
        </w:tc>
        <w:tc>
          <w:tcPr>
            <w:tcW w:w="2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
              <w:tabs>
                <w:tab w:val="left" w:pos="0"/>
                <w:tab w:val="left" w:pos="720"/>
              </w:tabs>
              <w:spacing w:line="440" w:lineRule="exact"/>
              <w:jc w:val="center"/>
              <w:rPr>
                <w:rFonts w:hint="eastAsia" w:ascii="宋体" w:hAnsi="宋体" w:eastAsia="宋体" w:cs="宋体"/>
                <w:b/>
                <w:color w:val="000000" w:themeColor="text1"/>
                <w:kern w:val="0"/>
                <w:sz w:val="20"/>
                <w:szCs w:val="20"/>
                <w:highlight w:val="none"/>
                <w:lang w:val="en-US" w:eastAsia="zh-CN" w:bidi="ar-SA"/>
                <w14:textFill>
                  <w14:solidFill>
                    <w14:schemeClr w14:val="tx1"/>
                  </w14:solidFill>
                </w14:textFill>
              </w:rPr>
            </w:pPr>
            <w:r>
              <w:rPr>
                <w:rFonts w:hint="eastAsia" w:ascii="宋体" w:hAnsi="宋体"/>
                <w:sz w:val="20"/>
                <w:szCs w:val="21"/>
              </w:rPr>
              <w:t>金智教育易表通在线应用开发运行管理平台软件（简称：易表通）V1.0</w:t>
            </w:r>
          </w:p>
        </w:tc>
        <w:tc>
          <w:tcPr>
            <w:tcW w:w="181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详见下表</w:t>
            </w:r>
          </w:p>
        </w:tc>
        <w:tc>
          <w:tcPr>
            <w:tcW w:w="58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40</w:t>
            </w:r>
          </w:p>
        </w:tc>
        <w:tc>
          <w:tcPr>
            <w:tcW w:w="13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bCs/>
                <w:color w:val="000000" w:themeColor="text1"/>
                <w:kern w:val="0"/>
                <w:szCs w:val="21"/>
                <w:highlight w:val="none"/>
                <w14:textFill>
                  <w14:solidFill>
                    <w14:schemeClr w14:val="tx1"/>
                  </w14:solidFill>
                </w14:textFill>
              </w:rPr>
            </w:pPr>
            <w:r>
              <w:rPr>
                <w:rFonts w:hint="eastAsia" w:ascii="宋体" w:hAnsi="宋体"/>
                <w:sz w:val="22"/>
                <w:szCs w:val="22"/>
              </w:rPr>
              <w:t>江苏金智教育信息股份有限公司</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中国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4" w:hRule="atLeast"/>
          <w:jc w:val="center"/>
        </w:trPr>
        <w:tc>
          <w:tcPr>
            <w:tcW w:w="5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4</w:t>
            </w:r>
          </w:p>
        </w:tc>
        <w:tc>
          <w:tcPr>
            <w:tcW w:w="22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数据治理中台</w:t>
            </w:r>
          </w:p>
        </w:tc>
        <w:tc>
          <w:tcPr>
            <w:tcW w:w="728"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宋体"/>
                <w:color w:val="000000" w:themeColor="text1"/>
                <w:szCs w:val="21"/>
                <w:highlight w:val="none"/>
                <w14:textFill>
                  <w14:solidFill>
                    <w14:schemeClr w14:val="tx1"/>
                  </w14:solidFill>
                </w14:textFill>
              </w:rPr>
            </w:pPr>
          </w:p>
          <w:p>
            <w:pPr>
              <w:jc w:val="center"/>
              <w:rPr>
                <w:rFonts w:hint="eastAsia" w:ascii="宋体" w:hAnsi="宋体" w:eastAsia="宋体" w:cs="宋体"/>
                <w:color w:val="000000" w:themeColor="text1"/>
                <w:szCs w:val="21"/>
                <w:highlight w:val="none"/>
                <w14:textFill>
                  <w14:solidFill>
                    <w14:schemeClr w14:val="tx1"/>
                  </w14:solidFill>
                </w14:textFill>
              </w:rPr>
            </w:pPr>
          </w:p>
          <w:p>
            <w:pPr>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w:t>
            </w:r>
          </w:p>
        </w:tc>
        <w:tc>
          <w:tcPr>
            <w:tcW w:w="2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
              <w:tabs>
                <w:tab w:val="left" w:pos="0"/>
                <w:tab w:val="left" w:pos="720"/>
              </w:tabs>
              <w:spacing w:line="440" w:lineRule="exact"/>
              <w:jc w:val="center"/>
              <w:rPr>
                <w:rFonts w:hint="eastAsia" w:ascii="宋体" w:hAnsi="宋体" w:eastAsia="宋体" w:cs="宋体"/>
                <w:b/>
                <w:color w:val="000000" w:themeColor="text1"/>
                <w:kern w:val="0"/>
                <w:sz w:val="20"/>
                <w:szCs w:val="20"/>
                <w:highlight w:val="none"/>
                <w:lang w:val="en-US" w:eastAsia="zh-CN" w:bidi="ar-SA"/>
                <w14:textFill>
                  <w14:solidFill>
                    <w14:schemeClr w14:val="tx1"/>
                  </w14:solidFill>
                </w14:textFill>
              </w:rPr>
            </w:pPr>
            <w:r>
              <w:rPr>
                <w:rFonts w:hint="eastAsia" w:ascii="宋体" w:hAnsi="宋体"/>
                <w:sz w:val="20"/>
                <w:szCs w:val="21"/>
              </w:rPr>
              <w:t>金智教育数据资产管理平台软件[简称：数据平台]V</w:t>
            </w:r>
            <w:r>
              <w:rPr>
                <w:rFonts w:hint="eastAsia" w:hAnsi="宋体"/>
                <w:sz w:val="20"/>
                <w:szCs w:val="21"/>
                <w:lang w:val="en-US" w:eastAsia="zh-CN"/>
              </w:rPr>
              <w:t>6</w:t>
            </w:r>
            <w:r>
              <w:rPr>
                <w:rFonts w:hint="eastAsia" w:ascii="宋体" w:hAnsi="宋体"/>
                <w:sz w:val="20"/>
                <w:szCs w:val="21"/>
              </w:rPr>
              <w:t>.0</w:t>
            </w:r>
          </w:p>
        </w:tc>
        <w:tc>
          <w:tcPr>
            <w:tcW w:w="181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详见下表</w:t>
            </w:r>
          </w:p>
        </w:tc>
        <w:tc>
          <w:tcPr>
            <w:tcW w:w="58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w:t>
            </w:r>
          </w:p>
        </w:tc>
        <w:tc>
          <w:tcPr>
            <w:tcW w:w="13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bCs/>
                <w:color w:val="000000" w:themeColor="text1"/>
                <w:kern w:val="0"/>
                <w:szCs w:val="21"/>
                <w:highlight w:val="none"/>
                <w14:textFill>
                  <w14:solidFill>
                    <w14:schemeClr w14:val="tx1"/>
                  </w14:solidFill>
                </w14:textFill>
              </w:rPr>
            </w:pPr>
            <w:r>
              <w:rPr>
                <w:rFonts w:hint="eastAsia" w:ascii="宋体" w:hAnsi="宋体"/>
                <w:sz w:val="22"/>
                <w:szCs w:val="22"/>
              </w:rPr>
              <w:t>江苏金智教育信息股份有限公司</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中国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4" w:hRule="atLeast"/>
          <w:jc w:val="center"/>
        </w:trPr>
        <w:tc>
          <w:tcPr>
            <w:tcW w:w="5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5</w:t>
            </w:r>
          </w:p>
        </w:tc>
        <w:tc>
          <w:tcPr>
            <w:tcW w:w="22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辅导员协作平台</w:t>
            </w:r>
          </w:p>
        </w:tc>
        <w:tc>
          <w:tcPr>
            <w:tcW w:w="728"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宋体"/>
                <w:color w:val="000000" w:themeColor="text1"/>
                <w:szCs w:val="21"/>
                <w:highlight w:val="none"/>
                <w14:textFill>
                  <w14:solidFill>
                    <w14:schemeClr w14:val="tx1"/>
                  </w14:solidFill>
                </w14:textFill>
              </w:rPr>
            </w:pPr>
          </w:p>
          <w:p>
            <w:pPr>
              <w:jc w:val="center"/>
              <w:rPr>
                <w:rFonts w:hint="eastAsia" w:ascii="宋体" w:hAnsi="宋体" w:eastAsia="宋体" w:cs="宋体"/>
                <w:color w:val="000000" w:themeColor="text1"/>
                <w:szCs w:val="21"/>
                <w:highlight w:val="none"/>
                <w14:textFill>
                  <w14:solidFill>
                    <w14:schemeClr w14:val="tx1"/>
                  </w14:solidFill>
                </w14:textFill>
              </w:rPr>
            </w:pPr>
          </w:p>
          <w:p>
            <w:pPr>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w:t>
            </w:r>
          </w:p>
        </w:tc>
        <w:tc>
          <w:tcPr>
            <w:tcW w:w="2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
              <w:tabs>
                <w:tab w:val="left" w:pos="0"/>
                <w:tab w:val="left" w:pos="720"/>
              </w:tabs>
              <w:spacing w:line="440" w:lineRule="exact"/>
              <w:jc w:val="center"/>
              <w:rPr>
                <w:rFonts w:hint="eastAsia" w:ascii="宋体" w:hAnsi="宋体" w:eastAsia="宋体" w:cs="宋体"/>
                <w:b/>
                <w:color w:val="000000" w:themeColor="text1"/>
                <w:kern w:val="0"/>
                <w:sz w:val="21"/>
                <w:szCs w:val="21"/>
                <w:highlight w:val="none"/>
                <w:lang w:val="en-US" w:eastAsia="zh-CN" w:bidi="ar-SA"/>
                <w14:textFill>
                  <w14:solidFill>
                    <w14:schemeClr w14:val="tx1"/>
                  </w14:solidFill>
                </w14:textFill>
              </w:rPr>
            </w:pPr>
            <w:r>
              <w:rPr>
                <w:rFonts w:hint="eastAsia" w:ascii="宋体" w:hAnsi="宋体"/>
                <w:sz w:val="21"/>
                <w:szCs w:val="22"/>
              </w:rPr>
              <w:t>金智教育辅导猫系统软件[简称：辅导猫]V1.0</w:t>
            </w:r>
          </w:p>
        </w:tc>
        <w:tc>
          <w:tcPr>
            <w:tcW w:w="181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详见下表</w:t>
            </w:r>
          </w:p>
        </w:tc>
        <w:tc>
          <w:tcPr>
            <w:tcW w:w="58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w:t>
            </w:r>
          </w:p>
        </w:tc>
        <w:tc>
          <w:tcPr>
            <w:tcW w:w="13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bCs/>
                <w:color w:val="000000" w:themeColor="text1"/>
                <w:kern w:val="0"/>
                <w:szCs w:val="21"/>
                <w:highlight w:val="none"/>
                <w14:textFill>
                  <w14:solidFill>
                    <w14:schemeClr w14:val="tx1"/>
                  </w14:solidFill>
                </w14:textFill>
              </w:rPr>
            </w:pPr>
            <w:r>
              <w:rPr>
                <w:rFonts w:hint="eastAsia" w:ascii="宋体" w:hAnsi="宋体"/>
                <w:sz w:val="22"/>
                <w:szCs w:val="22"/>
              </w:rPr>
              <w:t>江苏金智教育信息股份有限公司</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中国</w:t>
            </w:r>
          </w:p>
        </w:tc>
      </w:tr>
    </w:tbl>
    <w:tbl>
      <w:tblPr>
        <w:tblStyle w:val="9"/>
        <w:tblpPr w:leftFromText="180" w:rightFromText="180" w:vertAnchor="text" w:horzAnchor="page" w:tblpX="1122" w:tblpY="1932"/>
        <w:tblOverlap w:val="never"/>
        <w:tblW w:w="95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168"/>
        <w:gridCol w:w="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产品名称</w:t>
            </w:r>
          </w:p>
        </w:tc>
        <w:tc>
          <w:tcPr>
            <w:tcW w:w="816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参数</w:t>
            </w:r>
          </w:p>
        </w:tc>
        <w:tc>
          <w:tcPr>
            <w:tcW w:w="670"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数</w:t>
            </w:r>
            <w:r>
              <w:rPr>
                <w:rFonts w:hint="eastAsia" w:ascii="宋体" w:hAnsi="宋体" w:eastAsia="宋体" w:cs="宋体"/>
                <w:color w:val="000000" w:themeColor="text1"/>
                <w:sz w:val="21"/>
                <w:szCs w:val="21"/>
                <w:highlight w:val="none"/>
                <w14:textFill>
                  <w14:solidFill>
                    <w14:schemeClr w14:val="tx1"/>
                  </w14:solidFill>
                </w14:textFill>
              </w:rPr>
              <w:t>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1.1融合门户</w:t>
            </w:r>
          </w:p>
        </w:tc>
        <w:tc>
          <w:tcPr>
            <w:tcW w:w="8168" w:type="dxa"/>
            <w:vAlign w:val="center"/>
          </w:tcPr>
          <w:p>
            <w:pPr>
              <w:pStyle w:val="2"/>
              <w:tabs>
                <w:tab w:val="left" w:pos="432"/>
              </w:tabs>
              <w:spacing w:before="120" w:after="120"/>
              <w:ind w:left="0" w:leftChars="0" w:firstLine="0" w:firstLineChars="0"/>
              <w:jc w:val="both"/>
              <w:rPr>
                <w:rFonts w:hint="eastAsia" w:ascii="宋体" w:hAnsi="宋体" w:eastAsia="宋体" w:cs="宋体"/>
                <w:color w:val="000000" w:themeColor="text1"/>
                <w:sz w:val="21"/>
                <w:szCs w:val="21"/>
                <w:highlight w:val="none"/>
                <w14:textFill>
                  <w14:solidFill>
                    <w14:schemeClr w14:val="tx1"/>
                  </w14:solidFill>
                </w14:textFill>
              </w:rPr>
            </w:pPr>
            <w:bookmarkStart w:id="1" w:name="_Toc28342"/>
            <w:bookmarkStart w:id="2" w:name="_Toc166341722"/>
            <w:r>
              <w:rPr>
                <w:rFonts w:hint="eastAsia" w:ascii="宋体" w:hAnsi="宋体" w:eastAsia="宋体" w:cs="宋体"/>
                <w:color w:val="000000" w:themeColor="text1"/>
                <w:sz w:val="21"/>
                <w:szCs w:val="21"/>
                <w:highlight w:val="none"/>
                <w14:textFill>
                  <w14:solidFill>
                    <w14:schemeClr w14:val="tx1"/>
                  </w14:solidFill>
                </w14:textFill>
              </w:rPr>
              <w:t>融合门户</w:t>
            </w:r>
            <w:bookmarkEnd w:id="1"/>
          </w:p>
          <w:p>
            <w:pPr>
              <w:pStyle w:val="3"/>
              <w:tabs>
                <w:tab w:val="left" w:pos="432"/>
              </w:tabs>
              <w:spacing w:before="120" w:after="120"/>
              <w:rPr>
                <w:rFonts w:hint="eastAsia" w:ascii="宋体" w:hAnsi="宋体" w:eastAsia="宋体" w:cs="宋体"/>
                <w:color w:val="000000" w:themeColor="text1"/>
                <w:sz w:val="21"/>
                <w:szCs w:val="21"/>
                <w:highlight w:val="none"/>
                <w14:textFill>
                  <w14:solidFill>
                    <w14:schemeClr w14:val="tx1"/>
                  </w14:solidFill>
                </w14:textFill>
              </w:rPr>
            </w:pPr>
            <w:bookmarkStart w:id="3" w:name="_Toc21984"/>
            <w:r>
              <w:rPr>
                <w:rFonts w:hint="eastAsia" w:ascii="宋体" w:hAnsi="宋体" w:eastAsia="宋体" w:cs="宋体"/>
                <w:color w:val="000000" w:themeColor="text1"/>
                <w:sz w:val="21"/>
                <w:szCs w:val="21"/>
                <w:highlight w:val="none"/>
                <w14:textFill>
                  <w14:solidFill>
                    <w14:schemeClr w14:val="tx1"/>
                  </w14:solidFill>
                </w14:textFill>
              </w:rPr>
              <w:t>门户PC版</w:t>
            </w:r>
            <w:bookmarkEnd w:id="2"/>
            <w:bookmarkEnd w:id="3"/>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需提供面向广大师生集中呈现的门户PC版页面，为师生用户提供基于页面构建引擎设计的查看学校各类信息资讯、新闻、通知公告</w:t>
            </w:r>
            <w:r>
              <w:rPr>
                <w:rFonts w:hint="eastAsia" w:ascii="宋体" w:hAnsi="宋体" w:eastAsia="宋体" w:cs="宋体"/>
                <w:color w:val="000000" w:themeColor="text1"/>
                <w:sz w:val="21"/>
                <w:szCs w:val="21"/>
                <w:highlight w:val="none"/>
                <w:lang w:eastAsia="zh-Hans"/>
                <w14:textFill>
                  <w14:solidFill>
                    <w14:schemeClr w14:val="tx1"/>
                  </w14:solidFill>
                </w14:textFill>
              </w:rPr>
              <w:t>、网上办事服务</w:t>
            </w:r>
            <w:r>
              <w:rPr>
                <w:rFonts w:hint="eastAsia" w:ascii="宋体" w:hAnsi="宋体" w:eastAsia="宋体" w:cs="宋体"/>
                <w:color w:val="000000" w:themeColor="text1"/>
                <w:sz w:val="21"/>
                <w:szCs w:val="21"/>
                <w:highlight w:val="none"/>
                <w14:textFill>
                  <w14:solidFill>
                    <w14:schemeClr w14:val="tx1"/>
                  </w14:solidFill>
                </w14:textFill>
              </w:rPr>
              <w:t>的统一门户。</w:t>
            </w:r>
          </w:p>
          <w:p>
            <w:pPr>
              <w:pStyle w:val="3"/>
              <w:tabs>
                <w:tab w:val="left" w:pos="432"/>
              </w:tabs>
              <w:spacing w:before="120" w:after="120"/>
              <w:rPr>
                <w:rFonts w:hint="eastAsia" w:ascii="宋体" w:hAnsi="宋体" w:eastAsia="宋体" w:cs="宋体"/>
                <w:color w:val="000000" w:themeColor="text1"/>
                <w:sz w:val="21"/>
                <w:szCs w:val="21"/>
                <w:highlight w:val="none"/>
                <w14:textFill>
                  <w14:solidFill>
                    <w14:schemeClr w14:val="tx1"/>
                  </w14:solidFill>
                </w14:textFill>
              </w:rPr>
            </w:pPr>
            <w:bookmarkStart w:id="4" w:name="_Toc166341723"/>
            <w:bookmarkStart w:id="5" w:name="_Toc3398"/>
            <w:r>
              <w:rPr>
                <w:rFonts w:hint="eastAsia" w:ascii="宋体" w:hAnsi="宋体" w:eastAsia="宋体" w:cs="宋体"/>
                <w:color w:val="000000" w:themeColor="text1"/>
                <w:sz w:val="21"/>
                <w:szCs w:val="21"/>
                <w:highlight w:val="none"/>
                <w14:textFill>
                  <w14:solidFill>
                    <w14:schemeClr w14:val="tx1"/>
                  </w14:solidFill>
                </w14:textFill>
              </w:rPr>
              <w:t>门户移动版（H5）</w:t>
            </w:r>
            <w:bookmarkEnd w:id="4"/>
            <w:bookmarkEnd w:id="5"/>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需提供门户移动版（H5）页面，支持同步接入钉钉、企业微信等介质，支持与PC端保持一致的访问地址，并支持多端同步调整的设计逻辑，当后台对展示方案修改后，所有移动页面同步变更；</w:t>
            </w:r>
          </w:p>
          <w:p>
            <w:pPr>
              <w:pStyle w:val="3"/>
              <w:tabs>
                <w:tab w:val="left" w:pos="432"/>
              </w:tabs>
              <w:spacing w:before="120" w:after="120"/>
              <w:rPr>
                <w:rFonts w:hint="eastAsia" w:ascii="宋体" w:hAnsi="宋体" w:eastAsia="宋体" w:cs="宋体"/>
                <w:color w:val="000000" w:themeColor="text1"/>
                <w:sz w:val="21"/>
                <w:szCs w:val="21"/>
                <w:highlight w:val="none"/>
                <w14:textFill>
                  <w14:solidFill>
                    <w14:schemeClr w14:val="tx1"/>
                  </w14:solidFill>
                </w14:textFill>
              </w:rPr>
            </w:pPr>
            <w:bookmarkStart w:id="6" w:name="_Toc166341724"/>
            <w:bookmarkStart w:id="7" w:name="_Toc13077"/>
            <w:r>
              <w:rPr>
                <w:rFonts w:hint="eastAsia" w:ascii="宋体" w:hAnsi="宋体" w:eastAsia="宋体" w:cs="宋体"/>
                <w:color w:val="000000" w:themeColor="text1"/>
                <w:sz w:val="21"/>
                <w:szCs w:val="21"/>
                <w:highlight w:val="none"/>
                <w14:textFill>
                  <w14:solidFill>
                    <w14:schemeClr w14:val="tx1"/>
                  </w14:solidFill>
                </w14:textFill>
              </w:rPr>
              <w:t>页面构建引擎</w:t>
            </w:r>
            <w:bookmarkEnd w:id="6"/>
            <w:bookmarkEnd w:id="7"/>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为保障学校门户页面的日常调整和使用，需提供便捷的页面构建引擎，</w:t>
            </w:r>
            <w:r>
              <w:rPr>
                <w:rFonts w:hint="eastAsia" w:ascii="宋体" w:hAnsi="宋体" w:eastAsia="宋体" w:cs="宋体"/>
                <w:color w:val="000000" w:themeColor="text1"/>
                <w:sz w:val="21"/>
                <w:szCs w:val="21"/>
                <w:highlight w:val="none"/>
                <w14:textFill>
                  <w14:solidFill>
                    <w14:schemeClr w14:val="tx1"/>
                  </w14:solidFill>
                </w14:textFill>
              </w:rPr>
              <w:t>页面构建引擎需基于微服务的架构，采用容器化部署的方式，面向师生提供入口统一、内容融合的一站式服务门户构建能力，可由使用者自行设置页面组合方式，支持PC和H5两种构建方式，支持多站点功能，方便用户基于不同二级域名方式构建访问地址不同的页面，并可根据访问终端的不同自动呈现不同的访问页面（PC、H5）。需支持在不同浏览器（PC、移动）上访问同一个网址自动切换展现风格。</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主要包含的功能需有：</w:t>
            </w:r>
          </w:p>
          <w:p>
            <w:pPr>
              <w:pStyle w:val="13"/>
              <w:numPr>
                <w:ilvl w:val="0"/>
                <w:numId w:val="2"/>
              </w:numPr>
              <w:ind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展示方案管理</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基于融合门户提醒，支持对模版、卡片、布局、主题色可以进行可视化配置。</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展示方案支持启用多个站点，每一站点下包含多个PC端、移动H5端展示方案。一个站点下只能启用一个PC端展示方案、一个移动H5端展示方案。</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应包含新建站点功能，使用者可以自由的针对PC以及H5的展示方案进行设计和调整，通过模板+卡片+部分个性化定制的方式，实现面向不同对象，不同介质的统一门户页面。</w:t>
            </w:r>
          </w:p>
          <w:p>
            <w:pPr>
              <w:pStyle w:val="13"/>
              <w:numPr>
                <w:ilvl w:val="0"/>
                <w:numId w:val="2"/>
              </w:numPr>
              <w:ind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模板</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为保障学校落地个性化的实际需求，产品出库时需提供至少五套标准模板，其中至少2套要支持PC+移动双适配。各套模板间不得仅仅只是简单的颜色变更，应体现出明显的风格差异。</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需支持自定义模板的设计上传管理功能。</w:t>
            </w:r>
          </w:p>
          <w:p>
            <w:pPr>
              <w:pStyle w:val="13"/>
              <w:numPr>
                <w:ilvl w:val="0"/>
                <w:numId w:val="2"/>
              </w:numPr>
              <w:ind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卡片</w:t>
            </w:r>
          </w:p>
          <w:p>
            <w:pPr>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需提供丰富的</w:t>
            </w:r>
            <w:r>
              <w:rPr>
                <w:rFonts w:hint="eastAsia" w:ascii="宋体" w:hAnsi="宋体" w:eastAsia="宋体" w:cs="宋体"/>
                <w:color w:val="000000" w:themeColor="text1"/>
                <w:sz w:val="21"/>
                <w:szCs w:val="21"/>
                <w:highlight w:val="none"/>
                <w:lang w:eastAsia="zh-Hans"/>
                <w14:textFill>
                  <w14:solidFill>
                    <w14:schemeClr w14:val="tx1"/>
                  </w14:solidFill>
                </w14:textFill>
              </w:rPr>
              <w:t>标准内容卡片库，供学校选择使用来支撑信息门户内容展示，卡片适配的终端包含pc端、移动端，也需要支持卡片包的自定义设计及上传管理功能。需包含以下相关卡片：</w:t>
            </w:r>
          </w:p>
          <w:p>
            <w:pPr>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服务与事项类</w:t>
            </w:r>
          </w:p>
          <w:tbl>
            <w:tblPr>
              <w:tblStyle w:val="8"/>
              <w:tblW w:w="5000" w:type="pct"/>
              <w:tblInd w:w="0" w:type="dxa"/>
              <w:tblLayout w:type="fixed"/>
              <w:tblCellMar>
                <w:top w:w="0" w:type="dxa"/>
                <w:left w:w="108" w:type="dxa"/>
                <w:bottom w:w="0" w:type="dxa"/>
                <w:right w:w="108" w:type="dxa"/>
              </w:tblCellMar>
            </w:tblPr>
            <w:tblGrid>
              <w:gridCol w:w="1360"/>
              <w:gridCol w:w="1137"/>
              <w:gridCol w:w="1365"/>
              <w:gridCol w:w="1365"/>
              <w:gridCol w:w="1135"/>
              <w:gridCol w:w="1590"/>
            </w:tblGrid>
            <w:tr>
              <w:tblPrEx>
                <w:tblCellMar>
                  <w:top w:w="0" w:type="dxa"/>
                  <w:left w:w="108" w:type="dxa"/>
                  <w:bottom w:w="0" w:type="dxa"/>
                  <w:right w:w="108" w:type="dxa"/>
                </w:tblCellMar>
              </w:tblPrEx>
              <w:trPr>
                <w:trHeight w:val="360" w:hRule="atLeast"/>
              </w:trPr>
              <w:tc>
                <w:tcPr>
                  <w:tcW w:w="855" w:type="pct"/>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卡片名称</w:t>
                  </w:r>
                </w:p>
              </w:tc>
              <w:tc>
                <w:tcPr>
                  <w:tcW w:w="715" w:type="pct"/>
                  <w:tcBorders>
                    <w:top w:val="single" w:color="auto" w:sz="4" w:space="0"/>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卡片类型</w:t>
                  </w:r>
                </w:p>
              </w:tc>
              <w:tc>
                <w:tcPr>
                  <w:tcW w:w="858" w:type="pct"/>
                  <w:tcBorders>
                    <w:top w:val="single" w:color="auto" w:sz="4" w:space="0"/>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适配终端</w:t>
                  </w:r>
                </w:p>
              </w:tc>
              <w:tc>
                <w:tcPr>
                  <w:tcW w:w="858" w:type="pct"/>
                  <w:tcBorders>
                    <w:top w:val="single" w:color="auto" w:sz="4" w:space="0"/>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卡片名称</w:t>
                  </w:r>
                </w:p>
              </w:tc>
              <w:tc>
                <w:tcPr>
                  <w:tcW w:w="714" w:type="pct"/>
                  <w:tcBorders>
                    <w:top w:val="single" w:color="auto" w:sz="4" w:space="0"/>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卡片类型</w:t>
                  </w:r>
                </w:p>
              </w:tc>
              <w:tc>
                <w:tcPr>
                  <w:tcW w:w="1001" w:type="pct"/>
                  <w:tcBorders>
                    <w:top w:val="single" w:color="auto" w:sz="4" w:space="0"/>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适配终端</w:t>
                  </w:r>
                </w:p>
              </w:tc>
            </w:tr>
            <w:tr>
              <w:tblPrEx>
                <w:tblCellMar>
                  <w:top w:w="0" w:type="dxa"/>
                  <w:left w:w="108" w:type="dxa"/>
                  <w:bottom w:w="0" w:type="dxa"/>
                  <w:right w:w="108" w:type="dxa"/>
                </w:tblCellMar>
              </w:tblPrEx>
              <w:trPr>
                <w:trHeight w:val="360" w:hRule="atLeast"/>
              </w:trPr>
              <w:tc>
                <w:tcPr>
                  <w:tcW w:w="855" w:type="pct"/>
                  <w:tcBorders>
                    <w:top w:val="nil"/>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全部服务</w:t>
                  </w:r>
                </w:p>
              </w:tc>
              <w:tc>
                <w:tcPr>
                  <w:tcW w:w="715"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858"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PC端+移动端</w:t>
                  </w:r>
                </w:p>
              </w:tc>
              <w:tc>
                <w:tcPr>
                  <w:tcW w:w="858"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全部事项</w:t>
                  </w:r>
                </w:p>
              </w:tc>
              <w:tc>
                <w:tcPr>
                  <w:tcW w:w="714"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1001"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PC端+移动端</w:t>
                  </w:r>
                </w:p>
              </w:tc>
            </w:tr>
            <w:tr>
              <w:tblPrEx>
                <w:tblCellMar>
                  <w:top w:w="0" w:type="dxa"/>
                  <w:left w:w="108" w:type="dxa"/>
                  <w:bottom w:w="0" w:type="dxa"/>
                  <w:right w:w="108" w:type="dxa"/>
                </w:tblCellMar>
              </w:tblPrEx>
              <w:trPr>
                <w:trHeight w:val="360" w:hRule="atLeast"/>
              </w:trPr>
              <w:tc>
                <w:tcPr>
                  <w:tcW w:w="855" w:type="pct"/>
                  <w:tcBorders>
                    <w:top w:val="nil"/>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最近使用服务</w:t>
                  </w:r>
                </w:p>
              </w:tc>
              <w:tc>
                <w:tcPr>
                  <w:tcW w:w="715"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858"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PC端+移动端</w:t>
                  </w:r>
                </w:p>
              </w:tc>
              <w:tc>
                <w:tcPr>
                  <w:tcW w:w="858"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最近使用事项</w:t>
                  </w:r>
                </w:p>
              </w:tc>
              <w:tc>
                <w:tcPr>
                  <w:tcW w:w="714"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1001"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PC端+移动端</w:t>
                  </w:r>
                </w:p>
              </w:tc>
            </w:tr>
            <w:tr>
              <w:tblPrEx>
                <w:tblCellMar>
                  <w:top w:w="0" w:type="dxa"/>
                  <w:left w:w="108" w:type="dxa"/>
                  <w:bottom w:w="0" w:type="dxa"/>
                  <w:right w:w="108" w:type="dxa"/>
                </w:tblCellMar>
              </w:tblPrEx>
              <w:trPr>
                <w:trHeight w:val="360" w:hRule="atLeast"/>
              </w:trPr>
              <w:tc>
                <w:tcPr>
                  <w:tcW w:w="855" w:type="pct"/>
                  <w:tcBorders>
                    <w:top w:val="nil"/>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我收藏的服务</w:t>
                  </w:r>
                </w:p>
              </w:tc>
              <w:tc>
                <w:tcPr>
                  <w:tcW w:w="715"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858"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PC端+移动端</w:t>
                  </w:r>
                </w:p>
              </w:tc>
              <w:tc>
                <w:tcPr>
                  <w:tcW w:w="858"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我收藏的事项</w:t>
                  </w:r>
                </w:p>
              </w:tc>
              <w:tc>
                <w:tcPr>
                  <w:tcW w:w="714"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1001"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PC端+移动端</w:t>
                  </w:r>
                </w:p>
              </w:tc>
            </w:tr>
            <w:tr>
              <w:tblPrEx>
                <w:tblCellMar>
                  <w:top w:w="0" w:type="dxa"/>
                  <w:left w:w="108" w:type="dxa"/>
                  <w:bottom w:w="0" w:type="dxa"/>
                  <w:right w:w="108" w:type="dxa"/>
                </w:tblCellMar>
              </w:tblPrEx>
              <w:trPr>
                <w:trHeight w:val="360" w:hRule="atLeast"/>
              </w:trPr>
              <w:tc>
                <w:tcPr>
                  <w:tcW w:w="855" w:type="pct"/>
                  <w:tcBorders>
                    <w:top w:val="nil"/>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推荐服务</w:t>
                  </w:r>
                </w:p>
              </w:tc>
              <w:tc>
                <w:tcPr>
                  <w:tcW w:w="715"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858"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PC端+移动端</w:t>
                  </w:r>
                </w:p>
              </w:tc>
              <w:tc>
                <w:tcPr>
                  <w:tcW w:w="858"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推荐事项</w:t>
                  </w:r>
                </w:p>
              </w:tc>
              <w:tc>
                <w:tcPr>
                  <w:tcW w:w="714"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1001"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PC端+移动端</w:t>
                  </w:r>
                </w:p>
              </w:tc>
            </w:tr>
            <w:tr>
              <w:tblPrEx>
                <w:tblCellMar>
                  <w:top w:w="0" w:type="dxa"/>
                  <w:left w:w="108" w:type="dxa"/>
                  <w:bottom w:w="0" w:type="dxa"/>
                  <w:right w:w="108" w:type="dxa"/>
                </w:tblCellMar>
              </w:tblPrEx>
              <w:trPr>
                <w:trHeight w:val="360" w:hRule="atLeast"/>
              </w:trPr>
              <w:tc>
                <w:tcPr>
                  <w:tcW w:w="855" w:type="pct"/>
                  <w:tcBorders>
                    <w:top w:val="nil"/>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最新服务</w:t>
                  </w:r>
                </w:p>
              </w:tc>
              <w:tc>
                <w:tcPr>
                  <w:tcW w:w="715"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858"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PC端+移动端</w:t>
                  </w:r>
                </w:p>
              </w:tc>
              <w:tc>
                <w:tcPr>
                  <w:tcW w:w="858"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最新事项</w:t>
                  </w:r>
                </w:p>
              </w:tc>
              <w:tc>
                <w:tcPr>
                  <w:tcW w:w="714"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1001"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w:t>
                  </w:r>
                </w:p>
              </w:tc>
            </w:tr>
            <w:tr>
              <w:tblPrEx>
                <w:tblCellMar>
                  <w:top w:w="0" w:type="dxa"/>
                  <w:left w:w="108" w:type="dxa"/>
                  <w:bottom w:w="0" w:type="dxa"/>
                  <w:right w:w="108" w:type="dxa"/>
                </w:tblCellMar>
              </w:tblPrEx>
              <w:trPr>
                <w:trHeight w:val="360" w:hRule="atLeast"/>
              </w:trPr>
              <w:tc>
                <w:tcPr>
                  <w:tcW w:w="855" w:type="pct"/>
                  <w:tcBorders>
                    <w:top w:val="nil"/>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热门服务</w:t>
                  </w:r>
                </w:p>
              </w:tc>
              <w:tc>
                <w:tcPr>
                  <w:tcW w:w="715"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858"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w:t>
                  </w:r>
                </w:p>
              </w:tc>
              <w:tc>
                <w:tcPr>
                  <w:tcW w:w="858"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热门事项</w:t>
                  </w:r>
                </w:p>
              </w:tc>
              <w:tc>
                <w:tcPr>
                  <w:tcW w:w="714"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1001"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w:t>
                  </w:r>
                </w:p>
              </w:tc>
            </w:tr>
            <w:tr>
              <w:tblPrEx>
                <w:tblCellMar>
                  <w:top w:w="0" w:type="dxa"/>
                  <w:left w:w="108" w:type="dxa"/>
                  <w:bottom w:w="0" w:type="dxa"/>
                  <w:right w:w="108" w:type="dxa"/>
                </w:tblCellMar>
              </w:tblPrEx>
              <w:trPr>
                <w:trHeight w:val="360" w:hRule="atLeast"/>
              </w:trPr>
              <w:tc>
                <w:tcPr>
                  <w:tcW w:w="855" w:type="pct"/>
                  <w:tcBorders>
                    <w:top w:val="nil"/>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业务直通车</w:t>
                  </w:r>
                </w:p>
              </w:tc>
              <w:tc>
                <w:tcPr>
                  <w:tcW w:w="715"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858"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PC端+移动端</w:t>
                  </w:r>
                </w:p>
              </w:tc>
              <w:tc>
                <w:tcPr>
                  <w:tcW w:w="858"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事项分类</w:t>
                  </w:r>
                </w:p>
              </w:tc>
              <w:tc>
                <w:tcPr>
                  <w:tcW w:w="714"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1001"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PC端+移动端</w:t>
                  </w:r>
                </w:p>
              </w:tc>
            </w:tr>
            <w:tr>
              <w:tblPrEx>
                <w:tblCellMar>
                  <w:top w:w="0" w:type="dxa"/>
                  <w:left w:w="108" w:type="dxa"/>
                  <w:bottom w:w="0" w:type="dxa"/>
                  <w:right w:w="108" w:type="dxa"/>
                </w:tblCellMar>
              </w:tblPrEx>
              <w:trPr>
                <w:trHeight w:val="360" w:hRule="atLeast"/>
              </w:trPr>
              <w:tc>
                <w:tcPr>
                  <w:tcW w:w="855" w:type="pct"/>
                  <w:tcBorders>
                    <w:top w:val="nil"/>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我的服务</w:t>
                  </w:r>
                </w:p>
              </w:tc>
              <w:tc>
                <w:tcPr>
                  <w:tcW w:w="715"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858"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w:t>
                  </w:r>
                </w:p>
              </w:tc>
              <w:tc>
                <w:tcPr>
                  <w:tcW w:w="858"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事项分类详情</w:t>
                  </w:r>
                </w:p>
              </w:tc>
              <w:tc>
                <w:tcPr>
                  <w:tcW w:w="714"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1001"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PC端+移动端</w:t>
                  </w:r>
                </w:p>
              </w:tc>
            </w:tr>
            <w:tr>
              <w:tblPrEx>
                <w:tblCellMar>
                  <w:top w:w="0" w:type="dxa"/>
                  <w:left w:w="108" w:type="dxa"/>
                  <w:bottom w:w="0" w:type="dxa"/>
                  <w:right w:w="108" w:type="dxa"/>
                </w:tblCellMar>
              </w:tblPrEx>
              <w:trPr>
                <w:trHeight w:val="360" w:hRule="atLeast"/>
              </w:trPr>
              <w:tc>
                <w:tcPr>
                  <w:tcW w:w="855" w:type="pct"/>
                  <w:tcBorders>
                    <w:top w:val="nil"/>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c>
                <w:tcPr>
                  <w:tcW w:w="715"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c>
                <w:tcPr>
                  <w:tcW w:w="858"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c>
                <w:tcPr>
                  <w:tcW w:w="858"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事项详情</w:t>
                  </w:r>
                </w:p>
              </w:tc>
              <w:tc>
                <w:tcPr>
                  <w:tcW w:w="714"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1001"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PC端+移动端</w:t>
                  </w:r>
                </w:p>
              </w:tc>
            </w:tr>
            <w:tr>
              <w:tblPrEx>
                <w:tblCellMar>
                  <w:top w:w="0" w:type="dxa"/>
                  <w:left w:w="108" w:type="dxa"/>
                  <w:bottom w:w="0" w:type="dxa"/>
                  <w:right w:w="108" w:type="dxa"/>
                </w:tblCellMar>
              </w:tblPrEx>
              <w:trPr>
                <w:trHeight w:val="360" w:hRule="atLeast"/>
              </w:trPr>
              <w:tc>
                <w:tcPr>
                  <w:tcW w:w="855" w:type="pct"/>
                  <w:tcBorders>
                    <w:top w:val="nil"/>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c>
                <w:tcPr>
                  <w:tcW w:w="715"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c>
                <w:tcPr>
                  <w:tcW w:w="858"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c>
                <w:tcPr>
                  <w:tcW w:w="858"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事项统计</w:t>
                  </w:r>
                </w:p>
              </w:tc>
              <w:tc>
                <w:tcPr>
                  <w:tcW w:w="714"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1001"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PC端+移动端</w:t>
                  </w:r>
                </w:p>
              </w:tc>
            </w:tr>
            <w:tr>
              <w:tblPrEx>
                <w:tblCellMar>
                  <w:top w:w="0" w:type="dxa"/>
                  <w:left w:w="108" w:type="dxa"/>
                  <w:bottom w:w="0" w:type="dxa"/>
                  <w:right w:w="108" w:type="dxa"/>
                </w:tblCellMar>
              </w:tblPrEx>
              <w:trPr>
                <w:trHeight w:val="360" w:hRule="atLeast"/>
              </w:trPr>
              <w:tc>
                <w:tcPr>
                  <w:tcW w:w="855" w:type="pct"/>
                  <w:tcBorders>
                    <w:top w:val="nil"/>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c>
                <w:tcPr>
                  <w:tcW w:w="715"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c>
                <w:tcPr>
                  <w:tcW w:w="858"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c>
                <w:tcPr>
                  <w:tcW w:w="858"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审批清单</w:t>
                  </w:r>
                </w:p>
              </w:tc>
              <w:tc>
                <w:tcPr>
                  <w:tcW w:w="714"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1001"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w:t>
                  </w:r>
                </w:p>
              </w:tc>
            </w:tr>
            <w:tr>
              <w:tblPrEx>
                <w:tblCellMar>
                  <w:top w:w="0" w:type="dxa"/>
                  <w:left w:w="108" w:type="dxa"/>
                  <w:bottom w:w="0" w:type="dxa"/>
                  <w:right w:w="108" w:type="dxa"/>
                </w:tblCellMar>
              </w:tblPrEx>
              <w:trPr>
                <w:trHeight w:val="360" w:hRule="atLeast"/>
              </w:trPr>
              <w:tc>
                <w:tcPr>
                  <w:tcW w:w="855" w:type="pct"/>
                  <w:tcBorders>
                    <w:top w:val="nil"/>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c>
                <w:tcPr>
                  <w:tcW w:w="715"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c>
                <w:tcPr>
                  <w:tcW w:w="858"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c>
                <w:tcPr>
                  <w:tcW w:w="858"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服务清单</w:t>
                  </w:r>
                </w:p>
              </w:tc>
              <w:tc>
                <w:tcPr>
                  <w:tcW w:w="714"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1001"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w:t>
                  </w:r>
                </w:p>
              </w:tc>
            </w:tr>
            <w:tr>
              <w:tblPrEx>
                <w:tblCellMar>
                  <w:top w:w="0" w:type="dxa"/>
                  <w:left w:w="108" w:type="dxa"/>
                  <w:bottom w:w="0" w:type="dxa"/>
                  <w:right w:w="108" w:type="dxa"/>
                </w:tblCellMar>
              </w:tblPrEx>
              <w:trPr>
                <w:trHeight w:val="360" w:hRule="atLeast"/>
              </w:trPr>
              <w:tc>
                <w:tcPr>
                  <w:tcW w:w="855" w:type="pct"/>
                  <w:tcBorders>
                    <w:top w:val="nil"/>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c>
                <w:tcPr>
                  <w:tcW w:w="715"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c>
                <w:tcPr>
                  <w:tcW w:w="858"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c>
                <w:tcPr>
                  <w:tcW w:w="858"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责任清单</w:t>
                  </w:r>
                </w:p>
              </w:tc>
              <w:tc>
                <w:tcPr>
                  <w:tcW w:w="714"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1001"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w:t>
                  </w:r>
                </w:p>
              </w:tc>
            </w:tr>
          </w:tbl>
          <w:p>
            <w:pPr>
              <w:rPr>
                <w:rFonts w:hint="eastAsia" w:ascii="宋体" w:hAnsi="宋体" w:eastAsia="宋体" w:cs="宋体"/>
                <w:color w:val="000000" w:themeColor="text1"/>
                <w:sz w:val="21"/>
                <w:szCs w:val="21"/>
                <w:highlight w:val="none"/>
                <w:lang w:eastAsia="zh-TW"/>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表</w:t>
            </w:r>
            <w:r>
              <w:rPr>
                <w:rFonts w:hint="eastAsia" w:ascii="宋体" w:hAnsi="宋体" w:eastAsia="宋体" w:cs="宋体"/>
                <w:color w:val="000000" w:themeColor="text1"/>
                <w:sz w:val="21"/>
                <w:szCs w:val="21"/>
                <w:highlight w:val="none"/>
                <w:lang w:eastAsia="zh-Hans"/>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服务与事项类</w:t>
            </w:r>
          </w:p>
          <w:p>
            <w:pPr>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待办与任务类</w:t>
            </w:r>
          </w:p>
          <w:tbl>
            <w:tblPr>
              <w:tblStyle w:val="8"/>
              <w:tblW w:w="5000" w:type="pct"/>
              <w:tblInd w:w="0" w:type="dxa"/>
              <w:tblLayout w:type="fixed"/>
              <w:tblCellMar>
                <w:top w:w="0" w:type="dxa"/>
                <w:left w:w="108" w:type="dxa"/>
                <w:bottom w:w="0" w:type="dxa"/>
                <w:right w:w="108" w:type="dxa"/>
              </w:tblCellMar>
            </w:tblPr>
            <w:tblGrid>
              <w:gridCol w:w="1360"/>
              <w:gridCol w:w="1137"/>
              <w:gridCol w:w="1365"/>
              <w:gridCol w:w="1365"/>
              <w:gridCol w:w="1135"/>
              <w:gridCol w:w="1590"/>
            </w:tblGrid>
            <w:tr>
              <w:tblPrEx>
                <w:tblCellMar>
                  <w:top w:w="0" w:type="dxa"/>
                  <w:left w:w="108" w:type="dxa"/>
                  <w:bottom w:w="0" w:type="dxa"/>
                  <w:right w:w="108" w:type="dxa"/>
                </w:tblCellMar>
              </w:tblPrEx>
              <w:trPr>
                <w:trHeight w:val="360" w:hRule="atLeast"/>
              </w:trPr>
              <w:tc>
                <w:tcPr>
                  <w:tcW w:w="855" w:type="pct"/>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待办</w:t>
                  </w:r>
                </w:p>
              </w:tc>
              <w:tc>
                <w:tcPr>
                  <w:tcW w:w="715" w:type="pct"/>
                  <w:tcBorders>
                    <w:top w:val="single" w:color="auto" w:sz="4" w:space="0"/>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858" w:type="pct"/>
                  <w:tcBorders>
                    <w:top w:val="single" w:color="auto" w:sz="4" w:space="0"/>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PC端+移动端</w:t>
                  </w:r>
                </w:p>
              </w:tc>
              <w:tc>
                <w:tcPr>
                  <w:tcW w:w="858" w:type="pct"/>
                  <w:tcBorders>
                    <w:top w:val="single" w:color="auto" w:sz="4" w:space="0"/>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c>
                <w:tcPr>
                  <w:tcW w:w="714" w:type="pct"/>
                  <w:tcBorders>
                    <w:top w:val="single" w:color="auto" w:sz="4" w:space="0"/>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c>
                <w:tcPr>
                  <w:tcW w:w="1001" w:type="pct"/>
                  <w:tcBorders>
                    <w:top w:val="single" w:color="auto" w:sz="4" w:space="0"/>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855" w:type="pct"/>
                  <w:tcBorders>
                    <w:top w:val="nil"/>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我的申请</w:t>
                  </w:r>
                </w:p>
              </w:tc>
              <w:tc>
                <w:tcPr>
                  <w:tcW w:w="715"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858"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PC端+移动端</w:t>
                  </w:r>
                </w:p>
              </w:tc>
              <w:tc>
                <w:tcPr>
                  <w:tcW w:w="858"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我的申请列表</w:t>
                  </w:r>
                </w:p>
              </w:tc>
              <w:tc>
                <w:tcPr>
                  <w:tcW w:w="714"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1001"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PC端+移动端</w:t>
                  </w:r>
                </w:p>
              </w:tc>
            </w:tr>
            <w:tr>
              <w:tblPrEx>
                <w:tblCellMar>
                  <w:top w:w="0" w:type="dxa"/>
                  <w:left w:w="108" w:type="dxa"/>
                  <w:bottom w:w="0" w:type="dxa"/>
                  <w:right w:w="108" w:type="dxa"/>
                </w:tblCellMar>
              </w:tblPrEx>
              <w:trPr>
                <w:trHeight w:val="360" w:hRule="atLeast"/>
              </w:trPr>
              <w:tc>
                <w:tcPr>
                  <w:tcW w:w="855" w:type="pct"/>
                  <w:tcBorders>
                    <w:top w:val="nil"/>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待办任务</w:t>
                  </w:r>
                </w:p>
              </w:tc>
              <w:tc>
                <w:tcPr>
                  <w:tcW w:w="715"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858"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PC端+移动端</w:t>
                  </w:r>
                </w:p>
              </w:tc>
              <w:tc>
                <w:tcPr>
                  <w:tcW w:w="858"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待办任务列表</w:t>
                  </w:r>
                </w:p>
              </w:tc>
              <w:tc>
                <w:tcPr>
                  <w:tcW w:w="714"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1001"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PC端+移动端</w:t>
                  </w:r>
                </w:p>
              </w:tc>
            </w:tr>
            <w:tr>
              <w:tblPrEx>
                <w:tblCellMar>
                  <w:top w:w="0" w:type="dxa"/>
                  <w:left w:w="108" w:type="dxa"/>
                  <w:bottom w:w="0" w:type="dxa"/>
                  <w:right w:w="108" w:type="dxa"/>
                </w:tblCellMar>
              </w:tblPrEx>
              <w:trPr>
                <w:trHeight w:val="360" w:hRule="atLeast"/>
              </w:trPr>
              <w:tc>
                <w:tcPr>
                  <w:tcW w:w="855" w:type="pct"/>
                  <w:tcBorders>
                    <w:top w:val="nil"/>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已办任务</w:t>
                  </w:r>
                </w:p>
              </w:tc>
              <w:tc>
                <w:tcPr>
                  <w:tcW w:w="715"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858"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PC端+移动端</w:t>
                  </w:r>
                </w:p>
              </w:tc>
              <w:tc>
                <w:tcPr>
                  <w:tcW w:w="858"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已办任务列表</w:t>
                  </w:r>
                </w:p>
              </w:tc>
              <w:tc>
                <w:tcPr>
                  <w:tcW w:w="714"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1001"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PC端+移动端</w:t>
                  </w:r>
                </w:p>
              </w:tc>
            </w:tr>
            <w:tr>
              <w:tblPrEx>
                <w:tblCellMar>
                  <w:top w:w="0" w:type="dxa"/>
                  <w:left w:w="108" w:type="dxa"/>
                  <w:bottom w:w="0" w:type="dxa"/>
                  <w:right w:w="108" w:type="dxa"/>
                </w:tblCellMar>
              </w:tblPrEx>
              <w:trPr>
                <w:trHeight w:val="360" w:hRule="atLeast"/>
              </w:trPr>
              <w:tc>
                <w:tcPr>
                  <w:tcW w:w="855" w:type="pct"/>
                  <w:tcBorders>
                    <w:top w:val="nil"/>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我的办理进度</w:t>
                  </w:r>
                </w:p>
              </w:tc>
              <w:tc>
                <w:tcPr>
                  <w:tcW w:w="715"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858"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w:t>
                  </w:r>
                </w:p>
              </w:tc>
              <w:tc>
                <w:tcPr>
                  <w:tcW w:w="858"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我的办件</w:t>
                  </w:r>
                </w:p>
              </w:tc>
              <w:tc>
                <w:tcPr>
                  <w:tcW w:w="714"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1001"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PC端+移动端</w:t>
                  </w:r>
                </w:p>
              </w:tc>
            </w:tr>
            <w:tr>
              <w:tblPrEx>
                <w:tblCellMar>
                  <w:top w:w="0" w:type="dxa"/>
                  <w:left w:w="108" w:type="dxa"/>
                  <w:bottom w:w="0" w:type="dxa"/>
                  <w:right w:w="108" w:type="dxa"/>
                </w:tblCellMar>
              </w:tblPrEx>
              <w:trPr>
                <w:trHeight w:val="360" w:hRule="atLeast"/>
              </w:trPr>
              <w:tc>
                <w:tcPr>
                  <w:tcW w:w="855" w:type="pct"/>
                  <w:tcBorders>
                    <w:top w:val="nil"/>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办理统计</w:t>
                  </w:r>
                </w:p>
              </w:tc>
              <w:tc>
                <w:tcPr>
                  <w:tcW w:w="715"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858"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PC端+移动端</w:t>
                  </w:r>
                </w:p>
              </w:tc>
              <w:tc>
                <w:tcPr>
                  <w:tcW w:w="858"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我收藏的任务</w:t>
                  </w:r>
                </w:p>
              </w:tc>
              <w:tc>
                <w:tcPr>
                  <w:tcW w:w="714"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1001"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PC端+移动端</w:t>
                  </w:r>
                </w:p>
              </w:tc>
            </w:tr>
            <w:tr>
              <w:tblPrEx>
                <w:tblCellMar>
                  <w:top w:w="0" w:type="dxa"/>
                  <w:left w:w="108" w:type="dxa"/>
                  <w:bottom w:w="0" w:type="dxa"/>
                  <w:right w:w="108" w:type="dxa"/>
                </w:tblCellMar>
              </w:tblPrEx>
              <w:trPr>
                <w:trHeight w:val="360" w:hRule="atLeast"/>
              </w:trPr>
              <w:tc>
                <w:tcPr>
                  <w:tcW w:w="855" w:type="pct"/>
                  <w:tcBorders>
                    <w:top w:val="nil"/>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消息中心</w:t>
                  </w:r>
                </w:p>
              </w:tc>
              <w:tc>
                <w:tcPr>
                  <w:tcW w:w="715"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858"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PC端+移动端</w:t>
                  </w:r>
                </w:p>
              </w:tc>
              <w:tc>
                <w:tcPr>
                  <w:tcW w:w="858"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我收藏的消息</w:t>
                  </w:r>
                </w:p>
              </w:tc>
              <w:tc>
                <w:tcPr>
                  <w:tcW w:w="714"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1001"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PC端+移动端</w:t>
                  </w:r>
                </w:p>
              </w:tc>
            </w:tr>
          </w:tbl>
          <w:p>
            <w:pPr>
              <w:rPr>
                <w:rFonts w:hint="eastAsia" w:ascii="宋体" w:hAnsi="宋体" w:eastAsia="宋体" w:cs="宋体"/>
                <w:color w:val="000000" w:themeColor="text1"/>
                <w:sz w:val="21"/>
                <w:szCs w:val="21"/>
                <w:highlight w:val="none"/>
                <w:lang w:eastAsia="zh-TW"/>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表</w:t>
            </w:r>
            <w:r>
              <w:rPr>
                <w:rFonts w:hint="eastAsia" w:ascii="宋体" w:hAnsi="宋体" w:eastAsia="宋体" w:cs="宋体"/>
                <w:color w:val="000000" w:themeColor="text1"/>
                <w:sz w:val="21"/>
                <w:szCs w:val="21"/>
                <w:highlight w:val="none"/>
                <w:lang w:eastAsia="zh-Hans"/>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待办与任务类</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内容与资讯类</w:t>
            </w:r>
          </w:p>
          <w:tbl>
            <w:tblPr>
              <w:tblStyle w:val="8"/>
              <w:tblW w:w="4837" w:type="pct"/>
              <w:tblInd w:w="0" w:type="dxa"/>
              <w:tblLayout w:type="fixed"/>
              <w:tblCellMar>
                <w:top w:w="0" w:type="dxa"/>
                <w:left w:w="108" w:type="dxa"/>
                <w:bottom w:w="0" w:type="dxa"/>
                <w:right w:w="108" w:type="dxa"/>
              </w:tblCellMar>
            </w:tblPr>
            <w:tblGrid>
              <w:gridCol w:w="1435"/>
              <w:gridCol w:w="1026"/>
              <w:gridCol w:w="1385"/>
              <w:gridCol w:w="1436"/>
              <w:gridCol w:w="1026"/>
              <w:gridCol w:w="1385"/>
            </w:tblGrid>
            <w:tr>
              <w:tblPrEx>
                <w:tblCellMar>
                  <w:top w:w="0" w:type="dxa"/>
                  <w:left w:w="108" w:type="dxa"/>
                  <w:bottom w:w="0" w:type="dxa"/>
                  <w:right w:w="108" w:type="dxa"/>
                </w:tblCellMar>
              </w:tblPrEx>
              <w:trPr>
                <w:trHeight w:val="360" w:hRule="atLeast"/>
              </w:trPr>
              <w:tc>
                <w:tcPr>
                  <w:tcW w:w="933" w:type="pct"/>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新闻通知公告</w:t>
                  </w:r>
                </w:p>
              </w:tc>
              <w:tc>
                <w:tcPr>
                  <w:tcW w:w="667" w:type="pct"/>
                  <w:tcBorders>
                    <w:top w:val="single" w:color="auto" w:sz="4" w:space="0"/>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900" w:type="pct"/>
                  <w:tcBorders>
                    <w:top w:val="single" w:color="auto" w:sz="4" w:space="0"/>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PC端+移动端</w:t>
                  </w:r>
                </w:p>
              </w:tc>
              <w:tc>
                <w:tcPr>
                  <w:tcW w:w="933" w:type="pct"/>
                  <w:tcBorders>
                    <w:top w:val="single" w:color="auto" w:sz="4" w:space="0"/>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新闻列表</w:t>
                  </w:r>
                </w:p>
              </w:tc>
              <w:tc>
                <w:tcPr>
                  <w:tcW w:w="667" w:type="pct"/>
                  <w:tcBorders>
                    <w:top w:val="single" w:color="auto" w:sz="4" w:space="0"/>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900" w:type="pct"/>
                  <w:tcBorders>
                    <w:top w:val="single" w:color="auto" w:sz="4" w:space="0"/>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PC端+移动端</w:t>
                  </w:r>
                </w:p>
              </w:tc>
            </w:tr>
            <w:tr>
              <w:tblPrEx>
                <w:tblCellMar>
                  <w:top w:w="0" w:type="dxa"/>
                  <w:left w:w="108" w:type="dxa"/>
                  <w:bottom w:w="0" w:type="dxa"/>
                  <w:right w:w="108" w:type="dxa"/>
                </w:tblCellMar>
              </w:tblPrEx>
              <w:trPr>
                <w:trHeight w:val="360" w:hRule="atLeast"/>
              </w:trPr>
              <w:tc>
                <w:tcPr>
                  <w:tcW w:w="933" w:type="pct"/>
                  <w:tcBorders>
                    <w:top w:val="nil"/>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新闻详情</w:t>
                  </w:r>
                </w:p>
              </w:tc>
              <w:tc>
                <w:tcPr>
                  <w:tcW w:w="667"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900"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PC端+移动端</w:t>
                  </w:r>
                </w:p>
              </w:tc>
              <w:tc>
                <w:tcPr>
                  <w:tcW w:w="933"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我收藏的新闻</w:t>
                  </w:r>
                </w:p>
              </w:tc>
              <w:tc>
                <w:tcPr>
                  <w:tcW w:w="667"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900"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PC端+移动端</w:t>
                  </w:r>
                </w:p>
              </w:tc>
            </w:tr>
            <w:tr>
              <w:tblPrEx>
                <w:tblCellMar>
                  <w:top w:w="0" w:type="dxa"/>
                  <w:left w:w="108" w:type="dxa"/>
                  <w:bottom w:w="0" w:type="dxa"/>
                  <w:right w:w="108" w:type="dxa"/>
                </w:tblCellMar>
              </w:tblPrEx>
              <w:trPr>
                <w:trHeight w:val="360" w:hRule="atLeast"/>
              </w:trPr>
              <w:tc>
                <w:tcPr>
                  <w:tcW w:w="933" w:type="pct"/>
                  <w:tcBorders>
                    <w:top w:val="nil"/>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搜索结果</w:t>
                  </w:r>
                </w:p>
              </w:tc>
              <w:tc>
                <w:tcPr>
                  <w:tcW w:w="667"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900"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PC端+移动端</w:t>
                  </w:r>
                </w:p>
              </w:tc>
              <w:tc>
                <w:tcPr>
                  <w:tcW w:w="933"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c>
                <w:tcPr>
                  <w:tcW w:w="667"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c>
                <w:tcPr>
                  <w:tcW w:w="900"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933" w:type="pct"/>
                  <w:tcBorders>
                    <w:top w:val="nil"/>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富文本</w:t>
                  </w:r>
                </w:p>
              </w:tc>
              <w:tc>
                <w:tcPr>
                  <w:tcW w:w="667"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900"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PC端+移动端</w:t>
                  </w:r>
                </w:p>
              </w:tc>
              <w:tc>
                <w:tcPr>
                  <w:tcW w:w="933"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我的日程</w:t>
                  </w:r>
                </w:p>
              </w:tc>
              <w:tc>
                <w:tcPr>
                  <w:tcW w:w="667"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900"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w:t>
                  </w:r>
                </w:p>
              </w:tc>
            </w:tr>
            <w:tr>
              <w:tblPrEx>
                <w:tblCellMar>
                  <w:top w:w="0" w:type="dxa"/>
                  <w:left w:w="108" w:type="dxa"/>
                  <w:bottom w:w="0" w:type="dxa"/>
                  <w:right w:w="108" w:type="dxa"/>
                </w:tblCellMar>
              </w:tblPrEx>
              <w:trPr>
                <w:trHeight w:val="360" w:hRule="atLeast"/>
              </w:trPr>
              <w:tc>
                <w:tcPr>
                  <w:tcW w:w="933" w:type="pct"/>
                  <w:tcBorders>
                    <w:top w:val="nil"/>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播图</w:t>
                  </w:r>
                </w:p>
              </w:tc>
              <w:tc>
                <w:tcPr>
                  <w:tcW w:w="667"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900"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PC端+移动端</w:t>
                  </w:r>
                </w:p>
              </w:tc>
              <w:tc>
                <w:tcPr>
                  <w:tcW w:w="933"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日程详情</w:t>
                  </w:r>
                </w:p>
              </w:tc>
              <w:tc>
                <w:tcPr>
                  <w:tcW w:w="667"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900"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PC端+移动端</w:t>
                  </w:r>
                </w:p>
              </w:tc>
            </w:tr>
            <w:tr>
              <w:tblPrEx>
                <w:tblCellMar>
                  <w:top w:w="0" w:type="dxa"/>
                  <w:left w:w="108" w:type="dxa"/>
                  <w:bottom w:w="0" w:type="dxa"/>
                  <w:right w:w="108" w:type="dxa"/>
                </w:tblCellMar>
              </w:tblPrEx>
              <w:trPr>
                <w:trHeight w:val="360" w:hRule="atLeast"/>
              </w:trPr>
              <w:tc>
                <w:tcPr>
                  <w:tcW w:w="933" w:type="pct"/>
                  <w:tcBorders>
                    <w:top w:val="nil"/>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链接导航</w:t>
                  </w:r>
                </w:p>
              </w:tc>
              <w:tc>
                <w:tcPr>
                  <w:tcW w:w="667"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900"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PC端+移动端</w:t>
                  </w:r>
                </w:p>
              </w:tc>
              <w:tc>
                <w:tcPr>
                  <w:tcW w:w="933"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校历</w:t>
                  </w:r>
                </w:p>
              </w:tc>
              <w:tc>
                <w:tcPr>
                  <w:tcW w:w="667"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900"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w:t>
                  </w:r>
                </w:p>
              </w:tc>
            </w:tr>
            <w:tr>
              <w:tblPrEx>
                <w:tblCellMar>
                  <w:top w:w="0" w:type="dxa"/>
                  <w:left w:w="108" w:type="dxa"/>
                  <w:bottom w:w="0" w:type="dxa"/>
                  <w:right w:w="108" w:type="dxa"/>
                </w:tblCellMar>
              </w:tblPrEx>
              <w:trPr>
                <w:trHeight w:val="360" w:hRule="atLeast"/>
              </w:trPr>
              <w:tc>
                <w:tcPr>
                  <w:tcW w:w="933" w:type="pct"/>
                  <w:tcBorders>
                    <w:top w:val="nil"/>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个人数据</w:t>
                  </w:r>
                </w:p>
              </w:tc>
              <w:tc>
                <w:tcPr>
                  <w:tcW w:w="667"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900"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PC端+移动端</w:t>
                  </w:r>
                </w:p>
              </w:tc>
              <w:tc>
                <w:tcPr>
                  <w:tcW w:w="933"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c>
                <w:tcPr>
                  <w:tcW w:w="667"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c>
                <w:tcPr>
                  <w:tcW w:w="900"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933" w:type="pct"/>
                  <w:tcBorders>
                    <w:top w:val="nil"/>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意见反馈</w:t>
                  </w:r>
                </w:p>
              </w:tc>
              <w:tc>
                <w:tcPr>
                  <w:tcW w:w="667"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系统卡片</w:t>
                  </w:r>
                </w:p>
              </w:tc>
              <w:tc>
                <w:tcPr>
                  <w:tcW w:w="900"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PC端</w:t>
                  </w:r>
                </w:p>
              </w:tc>
              <w:tc>
                <w:tcPr>
                  <w:tcW w:w="933"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c>
                <w:tcPr>
                  <w:tcW w:w="667"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c>
                <w:tcPr>
                  <w:tcW w:w="900"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r>
          </w:tbl>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表-内容与资讯类</w:t>
            </w:r>
          </w:p>
          <w:p>
            <w:pPr>
              <w:pStyle w:val="13"/>
              <w:numPr>
                <w:ilvl w:val="0"/>
                <w:numId w:val="2"/>
              </w:numPr>
              <w:ind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▲无障碍功能</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产品需提供无障碍功能以方便学校部分特殊人员通过无障碍功能访问系统相关功能。</w:t>
            </w:r>
          </w:p>
          <w:p>
            <w:pPr>
              <w:pStyle w:val="3"/>
              <w:tabs>
                <w:tab w:val="left" w:pos="432"/>
              </w:tabs>
              <w:spacing w:before="120" w:after="120"/>
              <w:rPr>
                <w:rFonts w:hint="eastAsia" w:ascii="宋体" w:hAnsi="宋体" w:eastAsia="宋体" w:cs="宋体"/>
                <w:color w:val="000000" w:themeColor="text1"/>
                <w:sz w:val="21"/>
                <w:szCs w:val="21"/>
                <w:highlight w:val="none"/>
                <w14:textFill>
                  <w14:solidFill>
                    <w14:schemeClr w14:val="tx1"/>
                  </w14:solidFill>
                </w14:textFill>
              </w:rPr>
            </w:pPr>
            <w:bookmarkStart w:id="8" w:name="_Toc166341725"/>
            <w:bookmarkStart w:id="9" w:name="_Toc26005"/>
            <w:r>
              <w:rPr>
                <w:rFonts w:hint="eastAsia" w:ascii="宋体" w:hAnsi="宋体" w:eastAsia="宋体" w:cs="宋体"/>
                <w:color w:val="000000" w:themeColor="text1"/>
                <w:sz w:val="21"/>
                <w:szCs w:val="21"/>
                <w:highlight w:val="none"/>
                <w14:textFill>
                  <w14:solidFill>
                    <w14:schemeClr w14:val="tx1"/>
                  </w14:solidFill>
                </w14:textFill>
              </w:rPr>
              <w:t>消息中心</w:t>
            </w:r>
            <w:bookmarkEnd w:id="8"/>
            <w:bookmarkEnd w:id="9"/>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门户前台需提供前端消息展现卡片，需支持对所有消息的查看、搜索、类型过滤，可设置全部已读，设置标旗等。当设置全部已读时，不能对必读消息进行设置，即不能忽略必读消息。</w:t>
            </w:r>
          </w:p>
          <w:p>
            <w:pPr>
              <w:pStyle w:val="13"/>
              <w:numPr>
                <w:ilvl w:val="0"/>
                <w:numId w:val="3"/>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必读消息提醒</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需支持必读消息提醒功能，当必读消息发送之后，若用户一直未读此消息，将会触发提醒规则，可配置规则（提醒通道、每天提醒时间、提醒模板），待发送提醒用户（根据应用分类的未读消息列表）。</w:t>
            </w:r>
          </w:p>
          <w:p>
            <w:pPr>
              <w:pStyle w:val="13"/>
              <w:numPr>
                <w:ilvl w:val="0"/>
                <w:numId w:val="3"/>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消息通道管理</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消息通道管理功能，在消息通道里，可同时配置包括全局、收件箱、短信、邮件、APP（钉钉、微信服务号、今日校园、微信企业号）多种消息发送方式。同时允许管理员配置消息发送间隔，以及单个用户每天被发送信息的上限次数。</w:t>
            </w:r>
          </w:p>
          <w:p>
            <w:pPr>
              <w:pStyle w:val="13"/>
              <w:numPr>
                <w:ilvl w:val="0"/>
                <w:numId w:val="3"/>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消息使用分析</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消息中心数据运行监控看板，查看消息发送的总体概况，应用消息和通道消息的发送情况以及发送消息的时间段分析，消息阅读和应用使用情况的分析。</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支持发送消息总数、今日消息数、今日已发消息数、接入消息中心应用数、通道数的查看。</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支持应用消息和通道消息发送情况查看、消息发送失败通道情况查看。</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支持消息阅读情况、应用使用情况、通道发送详情的查看。</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支持发送消息应用top5统计。</w:t>
            </w:r>
          </w:p>
          <w:p>
            <w:pPr>
              <w:pStyle w:val="3"/>
              <w:tabs>
                <w:tab w:val="left" w:pos="432"/>
              </w:tabs>
              <w:spacing w:before="120" w:after="120"/>
              <w:rPr>
                <w:rFonts w:hint="eastAsia" w:ascii="宋体" w:hAnsi="宋体" w:eastAsia="宋体" w:cs="宋体"/>
                <w:color w:val="000000" w:themeColor="text1"/>
                <w:sz w:val="21"/>
                <w:szCs w:val="21"/>
                <w:highlight w:val="none"/>
                <w14:textFill>
                  <w14:solidFill>
                    <w14:schemeClr w14:val="tx1"/>
                  </w14:solidFill>
                </w14:textFill>
              </w:rPr>
            </w:pPr>
            <w:bookmarkStart w:id="10" w:name="_Toc2687"/>
            <w:bookmarkStart w:id="11" w:name="_Toc166341726"/>
            <w:r>
              <w:rPr>
                <w:rFonts w:hint="eastAsia" w:ascii="宋体" w:hAnsi="宋体" w:eastAsia="宋体" w:cs="宋体"/>
                <w:color w:val="000000" w:themeColor="text1"/>
                <w:sz w:val="21"/>
                <w:szCs w:val="21"/>
                <w:highlight w:val="none"/>
                <w14:textFill>
                  <w14:solidFill>
                    <w14:schemeClr w14:val="tx1"/>
                  </w14:solidFill>
                </w14:textFill>
              </w:rPr>
              <w:t>待办任务中心</w:t>
            </w:r>
            <w:bookmarkEnd w:id="10"/>
            <w:bookmarkEnd w:id="11"/>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任务中心主要面向普通用户、处理业务的老师以及业务系统开发者解决任务的接入、集中展示、查看、跳转等问题，主要解决的场景包含如下：应用接入待办中心、用户在整个流程流转过程中的查看、业务管理人员处理任务。</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需待办任务，支持查看所有待办和已办数据，列表展示待办标题、所属应用、业务场景、任务状态、发起人、待处理人、接收时间以及过期时间。需支持搜索待办任务。</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▲需支持待办推送到钉钉/WeLink,通过配置钉钉/WeLink实现待办的推送，并支持测试功能。</w:t>
            </w:r>
          </w:p>
          <w:p>
            <w:pPr>
              <w:pStyle w:val="3"/>
              <w:tabs>
                <w:tab w:val="left" w:pos="432"/>
              </w:tabs>
              <w:spacing w:before="120" w:after="120"/>
              <w:rPr>
                <w:rFonts w:hint="eastAsia" w:ascii="宋体" w:hAnsi="宋体" w:eastAsia="宋体" w:cs="宋体"/>
                <w:color w:val="000000" w:themeColor="text1"/>
                <w:sz w:val="21"/>
                <w:szCs w:val="21"/>
                <w:highlight w:val="none"/>
                <w14:textFill>
                  <w14:solidFill>
                    <w14:schemeClr w14:val="tx1"/>
                  </w14:solidFill>
                </w14:textFill>
              </w:rPr>
            </w:pPr>
            <w:bookmarkStart w:id="12" w:name="_Toc166341727"/>
            <w:bookmarkStart w:id="13" w:name="_Toc11761"/>
            <w:r>
              <w:rPr>
                <w:rFonts w:hint="eastAsia" w:ascii="宋体" w:hAnsi="宋体" w:eastAsia="宋体" w:cs="宋体"/>
                <w:color w:val="000000" w:themeColor="text1"/>
                <w:sz w:val="21"/>
                <w:szCs w:val="21"/>
                <w:highlight w:val="none"/>
                <w14:textFill>
                  <w14:solidFill>
                    <w14:schemeClr w14:val="tx1"/>
                  </w14:solidFill>
                </w14:textFill>
              </w:rPr>
              <w:t>日程中心</w:t>
            </w:r>
            <w:bookmarkEnd w:id="12"/>
            <w:bookmarkEnd w:id="13"/>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系统应提供日程聚合功能以解决以聚合展示学校课表信息、会议信息、活动信息等公共日历的事件信息以及个人信息的日程事件信息。需支持公共日历、个人日历以及群组日历的集中管理，需支持外部数据库和插件类的方式聚合日程信息。</w:t>
            </w:r>
          </w:p>
          <w:p>
            <w:pPr>
              <w:pStyle w:val="3"/>
              <w:tabs>
                <w:tab w:val="left" w:pos="432"/>
              </w:tabs>
              <w:spacing w:before="120" w:after="120"/>
              <w:rPr>
                <w:rFonts w:hint="eastAsia" w:ascii="宋体" w:hAnsi="宋体" w:eastAsia="宋体" w:cs="宋体"/>
                <w:color w:val="000000" w:themeColor="text1"/>
                <w:sz w:val="21"/>
                <w:szCs w:val="21"/>
                <w:highlight w:val="none"/>
                <w14:textFill>
                  <w14:solidFill>
                    <w14:schemeClr w14:val="tx1"/>
                  </w14:solidFill>
                </w14:textFill>
              </w:rPr>
            </w:pPr>
            <w:bookmarkStart w:id="14" w:name="_Toc30398"/>
            <w:bookmarkStart w:id="15" w:name="_Toc166341728"/>
            <w:r>
              <w:rPr>
                <w:rFonts w:hint="eastAsia" w:ascii="宋体" w:hAnsi="宋体" w:eastAsia="宋体" w:cs="宋体"/>
                <w:color w:val="000000" w:themeColor="text1"/>
                <w:sz w:val="21"/>
                <w:szCs w:val="21"/>
                <w:highlight w:val="none"/>
                <w14:textFill>
                  <w14:solidFill>
                    <w14:schemeClr w14:val="tx1"/>
                  </w14:solidFill>
                </w14:textFill>
              </w:rPr>
              <w:t>行业服务库</w:t>
            </w:r>
            <w:bookmarkEnd w:id="14"/>
            <w:bookmarkEnd w:id="15"/>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投标人需提供预置的行业表结构插件以减少实施过程中的集成工作量，需支持以插件的方式直观展示对应插件列表，至少需包含：</w:t>
            </w:r>
            <w:r>
              <w:rPr>
                <w:rFonts w:hint="eastAsia" w:ascii="宋体" w:hAnsi="宋体" w:eastAsia="宋体" w:cs="宋体"/>
                <w:color w:val="000000" w:themeColor="text1"/>
                <w:sz w:val="21"/>
                <w:szCs w:val="21"/>
                <w:highlight w:val="none"/>
                <w14:textFill>
                  <w14:solidFill>
                    <w14:schemeClr w14:val="tx1"/>
                  </w14:solidFill>
                </w14:textFill>
              </w:rPr>
              <w:t>插件名称、插件代码、功能模块、插件类型、插件来源、当前使用版本、启停状态、最近更新时间（当有版本更新需进行提示，重启后再消失该提示）。</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▲需提供至少12个以上的系统预置插件。</w:t>
            </w:r>
          </w:p>
          <w:p>
            <w:pPr>
              <w:pStyle w:val="3"/>
              <w:tabs>
                <w:tab w:val="left" w:pos="432"/>
              </w:tabs>
              <w:spacing w:before="120" w:after="120"/>
              <w:rPr>
                <w:rFonts w:hint="eastAsia" w:ascii="宋体" w:hAnsi="宋体" w:eastAsia="宋体" w:cs="宋体"/>
                <w:color w:val="000000" w:themeColor="text1"/>
                <w:sz w:val="21"/>
                <w:szCs w:val="21"/>
                <w:highlight w:val="none"/>
                <w14:textFill>
                  <w14:solidFill>
                    <w14:schemeClr w14:val="tx1"/>
                  </w14:solidFill>
                </w14:textFill>
              </w:rPr>
            </w:pPr>
            <w:bookmarkStart w:id="16" w:name="_Toc166341729"/>
            <w:bookmarkStart w:id="17" w:name="_Toc1498"/>
            <w:r>
              <w:rPr>
                <w:rFonts w:hint="eastAsia" w:ascii="宋体" w:hAnsi="宋体" w:eastAsia="宋体" w:cs="宋体"/>
                <w:color w:val="000000" w:themeColor="text1"/>
                <w:sz w:val="21"/>
                <w:szCs w:val="21"/>
                <w:highlight w:val="none"/>
                <w14:textFill>
                  <w14:solidFill>
                    <w14:schemeClr w14:val="tx1"/>
                  </w14:solidFill>
                </w14:textFill>
              </w:rPr>
              <w:t>门户与内容配置项</w:t>
            </w:r>
            <w:bookmarkEnd w:id="16"/>
            <w:bookmarkEnd w:id="17"/>
          </w:p>
          <w:p>
            <w:pPr>
              <w:pStyle w:val="13"/>
              <w:numPr>
                <w:ilvl w:val="0"/>
                <w:numId w:val="2"/>
              </w:numPr>
              <w:ind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个人数据聚合</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个人数据聚合管理，用于提供门户个人数据卡片的数据来源。列表展示数据标题、主要信息、次要信息、数据来源方式、启停状态、缓存时长。支持创建个人数据，支持对个人数据对编辑、搜索、排序、授权以及删除。</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新建个人数据时候，需支持配置是否为个人信息。若选择“是”，原有标题、主要信息、次要信息、图标字段去除，且数据来源方式只支持JSON接口、外部数据库方式；如果选否，则按照之前的逻辑。</w:t>
            </w:r>
          </w:p>
          <w:p>
            <w:pPr>
              <w:pStyle w:val="13"/>
              <w:numPr>
                <w:ilvl w:val="0"/>
                <w:numId w:val="2"/>
              </w:numPr>
              <w:ind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资讯聚合</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需支持资讯聚合的配置功能，需支持手动添加频道并配置频道数据源，数据源抓取方式支持：外部数据库、页面抓取、RSS。</w:t>
            </w:r>
          </w:p>
          <w:p>
            <w:pPr>
              <w:pStyle w:val="13"/>
              <w:numPr>
                <w:ilvl w:val="0"/>
                <w:numId w:val="3"/>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搜索管理</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系统应提供管理门户搜索内容及辅助搜索能力的配置功能，需提供预置的采集内容分组，同时也提供自建渠道。需支持按照分组呈现搜索关联信息，并应支持对分组内容进行启停以及手工同步。</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需支持通过对各分组项下的内容维护后，设置检索项，从而让参数可以作为检索项被前台用户搜索。</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需支持同义词维护功能，搜索过程中基于同义词进行判断相关搜索结果，系统应自带同义词词库，同时也应支持用户手工维护本校特有同义词关联内容。</w:t>
            </w:r>
          </w:p>
          <w:p>
            <w:pPr>
              <w:pStyle w:val="13"/>
              <w:numPr>
                <w:ilvl w:val="0"/>
                <w:numId w:val="3"/>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服务推荐</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需支持服务推荐功能，应支持按照一定的算法自动计算并按照用户分类进行服务推荐，投标人需详细阐述相关算法的设计。</w:t>
            </w:r>
          </w:p>
          <w:p>
            <w:pPr>
              <w:pStyle w:val="3"/>
              <w:tabs>
                <w:tab w:val="left" w:pos="432"/>
              </w:tabs>
              <w:spacing w:before="120" w:after="120"/>
              <w:rPr>
                <w:rFonts w:hint="eastAsia" w:ascii="宋体" w:hAnsi="宋体" w:eastAsia="宋体" w:cs="宋体"/>
                <w:color w:val="000000" w:themeColor="text1"/>
                <w:sz w:val="21"/>
                <w:szCs w:val="21"/>
                <w:highlight w:val="none"/>
                <w14:textFill>
                  <w14:solidFill>
                    <w14:schemeClr w14:val="tx1"/>
                  </w14:solidFill>
                </w14:textFill>
              </w:rPr>
            </w:pPr>
            <w:bookmarkStart w:id="18" w:name="_Toc21292"/>
            <w:bookmarkStart w:id="19" w:name="_Toc166341730"/>
            <w:r>
              <w:rPr>
                <w:rFonts w:hint="eastAsia" w:ascii="宋体" w:hAnsi="宋体" w:eastAsia="宋体" w:cs="宋体"/>
                <w:color w:val="000000" w:themeColor="text1"/>
                <w:sz w:val="21"/>
                <w:szCs w:val="21"/>
                <w:highlight w:val="none"/>
                <w14:textFill>
                  <w14:solidFill>
                    <w14:schemeClr w14:val="tx1"/>
                  </w14:solidFill>
                </w14:textFill>
              </w:rPr>
              <w:t>门户使用分析</w:t>
            </w:r>
            <w:bookmarkEnd w:id="18"/>
            <w:bookmarkEnd w:id="19"/>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需支持查看PC/H5门户的总体使用情况，提供门户访问分析、内容使用分析、用户行为分析进行可视化分析，帮助用户发现门户使用价值及使用中的问题。</w:t>
            </w:r>
          </w:p>
          <w:p>
            <w:pPr>
              <w:pStyle w:val="13"/>
              <w:numPr>
                <w:ilvl w:val="0"/>
                <w:numId w:val="3"/>
              </w:numPr>
              <w:ind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门户访问分析</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提供针对门户访问情况的总体分析，包括今日访问量、今日访客数、近30天评估访问次数以及至今用户覆盖率，应支持按照客户端类型、身份类型以及站点进行筛选，展示内容至少应包含门户访问趋势、门户访问来源、用户类型访问分析、浏览器分析、操作系统分析以及分辨率分析。</w:t>
            </w:r>
          </w:p>
          <w:p>
            <w:pPr>
              <w:pStyle w:val="13"/>
              <w:numPr>
                <w:ilvl w:val="0"/>
                <w:numId w:val="3"/>
              </w:numPr>
              <w:ind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内容使用分析</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提供针对门户内容访问情况的总体分析，包括今日服务访问量、今日事项访问量、至今接入服务数、至今接入事项数、至今事项在线转化率，应支持按照客户端类型、身份类型以及站点进行筛选，展示内容至少应包含服务访问排行TOP10、事项访问排行TOP10、部门事项分析，需支持点击直接跳转到详情页面。</w:t>
            </w:r>
          </w:p>
          <w:p>
            <w:pPr>
              <w:pStyle w:val="13"/>
              <w:numPr>
                <w:ilvl w:val="0"/>
                <w:numId w:val="3"/>
              </w:numPr>
              <w:ind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用户行为分析</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提供针对用户行为情况的总体分析，应支持按照客户端类型、身份类型以及站点进行筛选，也可以按照时间进行近7日、近30日以及自定义时间的筛选，展示内容至少应包含页面卡片点击分析、用户搜索分析以及链接导航收藏TOP10，其中用户搜索分析需支持以词云形式展示。</w:t>
            </w:r>
          </w:p>
          <w:p>
            <w:pPr>
              <w:pStyle w:val="3"/>
              <w:tabs>
                <w:tab w:val="left" w:pos="432"/>
              </w:tabs>
              <w:spacing w:before="120" w:after="120"/>
              <w:rPr>
                <w:rFonts w:hint="eastAsia" w:ascii="宋体" w:hAnsi="宋体" w:eastAsia="宋体" w:cs="宋体"/>
                <w:color w:val="000000" w:themeColor="text1"/>
                <w:sz w:val="21"/>
                <w:szCs w:val="21"/>
                <w:highlight w:val="none"/>
                <w14:textFill>
                  <w14:solidFill>
                    <w14:schemeClr w14:val="tx1"/>
                  </w14:solidFill>
                </w14:textFill>
              </w:rPr>
            </w:pPr>
            <w:bookmarkStart w:id="20" w:name="_Toc166341731"/>
            <w:bookmarkStart w:id="21" w:name="_Toc5562"/>
            <w:r>
              <w:rPr>
                <w:rFonts w:hint="eastAsia" w:ascii="宋体" w:hAnsi="宋体" w:eastAsia="宋体" w:cs="宋体"/>
                <w:color w:val="000000" w:themeColor="text1"/>
                <w:sz w:val="21"/>
                <w:szCs w:val="21"/>
                <w:highlight w:val="none"/>
                <w14:textFill>
                  <w14:solidFill>
                    <w14:schemeClr w14:val="tx1"/>
                  </w14:solidFill>
                </w14:textFill>
              </w:rPr>
              <w:t>事项管理中心</w:t>
            </w:r>
            <w:bookmarkEnd w:id="20"/>
            <w:bookmarkEnd w:id="21"/>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面向学校提供的基于运营管理模式的事项管理中心，包括运营管理端、服务提供端、服务审核端、门户卡片端的相应内容。</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用于管理前台对应服务事项内容的维护，支持用户自主维护事项字段内容；用户可维护不同服务对象的配置，实现不同人员看到与其类型相关的服务事项内容。</w:t>
            </w:r>
          </w:p>
          <w:p>
            <w:pPr>
              <w:pStyle w:val="13"/>
              <w:numPr>
                <w:ilvl w:val="0"/>
                <w:numId w:val="3"/>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服务事项管理</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需支持查看已创建的服务事项，并可根据自定义字段创建服务事项；</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需支持通过服务事项名称关键字搜索；</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需支持通过已配置且已关联服务事项的服务对象、责任部门、服务主题进行下拉筛选；</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需支持通过是否关联服务进行筛选；</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需支持通过服务事项状态进行筛选</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需按照服务事项名称、服务对象、责任部门、服务主题、是否关联服务、是否第三方、最近修改时间、填写进度、启停状态、操作（编辑/启停/删除）内容展示服务事项列表</w:t>
            </w:r>
          </w:p>
          <w:p>
            <w:pPr>
              <w:pStyle w:val="13"/>
              <w:numPr>
                <w:ilvl w:val="0"/>
                <w:numId w:val="3"/>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服务事项评价管理</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1、服务事项评价查询</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需支持按服务事项、服务对象、责任部门、服务主题筛选；</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需支持评价结果的隐藏处理。</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2、查看评价</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需通过服务事项列表中某一条事项点击查看评价展开，可查看某条服务事项评价的具体内容；</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评价分数为四项：服务态度、信息完整度、办事进度、整体满意度，评价总分为前四项平均分，最高为五分（5.0）</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评价内容列表支持按照全部、好评、差评筛选查看，其中好评为三分及三分以上，差评为三分以下；</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评价内容展示评价人名称、评价时间、四项评价分数。</w:t>
            </w:r>
          </w:p>
          <w:p>
            <w:pPr>
              <w:pStyle w:val="13"/>
              <w:numPr>
                <w:ilvl w:val="0"/>
                <w:numId w:val="3"/>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服务事项排序</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管理员可通过已配置好的服务分类、责任部门内容，针对已有的服务事项进行排序；用于用户在前台根据不同的主题分类、部门分类筛选下查看的服务事项排序规则配置；</w:t>
            </w:r>
          </w:p>
          <w:p>
            <w:pPr>
              <w:pStyle w:val="13"/>
              <w:numPr>
                <w:ilvl w:val="0"/>
                <w:numId w:val="3"/>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三张清单管理</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1、责任清单维护</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需支持按照“部门配置”中的部门树配置职责内容，同时支持搜索查询部门名称；部门树支持展示该部门下配置了多少个职责数量；</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2、审批&amp;服务清单查询</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需支持按照“部门配置”中的部门树查询内容，同时支持搜索查询部门名称；</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需点击部门可查看该部门下的清单内容，支持按照服务事项名称、清单类型、办理类型查询；</w:t>
            </w:r>
          </w:p>
          <w:p>
            <w:pPr>
              <w:pStyle w:val="13"/>
              <w:numPr>
                <w:ilvl w:val="0"/>
                <w:numId w:val="3"/>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服务事项配置</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1、分类配置</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管理员可通过配置分类，为不同服务事项进行分组管理；用户可在前台门户通过关联服务事项的分类内容进行筛选查询服务事项；</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服务事项分类支持最多可添加三级；同级别内支持上下排序；</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分类列表支持添加、编辑、删除分类内容，可根据不同分类纬度下进行分类名称关键字搜索；</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支持按照分类名称、图标类型（字体图标、PNG图标、不需要图标）新建一级分类；</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支持按照分类名称、一级分类选择的图标类型来新建二/三级分类；</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2、服务事项详情配置</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用户可以配置新建服务事项时的填写字段信息，用于生成办事指南展示给前台用户查看，分为基本信息与独立模块部分，系统出库将会包含预置信息部分。</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3、服务对象配置</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管理员可通过关联组织机构、用户组、用户、游客配置服务对象，使用户在前台门户可以快速定位到与自己相关的内容，并针对不同的对象进行不同内容的推荐相关内容；</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列表展示服务对象名称及单条服务对象对应的配置信息；</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支持对单条服务对象进行关联、编辑、删除操作，并可对服务对象内容进行排序；其中管理员可通过关联组织机构、用户组、用户、游客配置服务对象；</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4、部门配置</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用于维护服务事项基本信息内服务部门及责任部门内容；管理员可通过管控台提供的组织机构树中选择相应部门。</w:t>
            </w:r>
          </w:p>
          <w:p>
            <w:pPr>
              <w:pStyle w:val="13"/>
              <w:numPr>
                <w:ilvl w:val="0"/>
                <w:numId w:val="3"/>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授权管理</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用于管理维护系统管理员、服务事项管理员；</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系统管理员：可在授权范围内使用事项管理中心的菜单；</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服务事项管理员：使用授权部门范围内的服务事项管理、服务事项评价查询、服务事项排序；服务事项管理员需设置事项管理的部门范围，可选择一个或多个部门。</w:t>
            </w:r>
          </w:p>
          <w:p>
            <w:pPr>
              <w:pStyle w:val="3"/>
              <w:tabs>
                <w:tab w:val="left" w:pos="432"/>
              </w:tabs>
              <w:spacing w:before="120" w:after="120"/>
              <w:rPr>
                <w:rFonts w:hint="eastAsia" w:ascii="宋体" w:hAnsi="宋体" w:eastAsia="宋体" w:cs="宋体"/>
                <w:color w:val="000000" w:themeColor="text1"/>
                <w:sz w:val="21"/>
                <w:szCs w:val="21"/>
                <w:highlight w:val="none"/>
                <w14:textFill>
                  <w14:solidFill>
                    <w14:schemeClr w14:val="tx1"/>
                  </w14:solidFill>
                </w14:textFill>
              </w:rPr>
            </w:pPr>
            <w:bookmarkStart w:id="22" w:name="_Toc166341732"/>
            <w:bookmarkStart w:id="23" w:name="_Toc16178"/>
            <w:r>
              <w:rPr>
                <w:rFonts w:hint="eastAsia" w:ascii="宋体" w:hAnsi="宋体" w:eastAsia="宋体" w:cs="宋体"/>
                <w:color w:val="000000" w:themeColor="text1"/>
                <w:sz w:val="21"/>
                <w:szCs w:val="21"/>
                <w:highlight w:val="none"/>
                <w14:textFill>
                  <w14:solidFill>
                    <w14:schemeClr w14:val="tx1"/>
                  </w14:solidFill>
                </w14:textFill>
              </w:rPr>
              <w:t>事项审批流程</w:t>
            </w:r>
            <w:bookmarkEnd w:id="22"/>
            <w:bookmarkEnd w:id="23"/>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需提供事项上架、下降、变更时的流程审核服务，各业务部门可以通过该功能自助完成上架、变更、删除部门负责事项，相关人员审核完毕后，可面向用户呈现。</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功能需包括：服务事项名称、服务对象、责任部门、服务所属主题、是否关联服务、最近修改时间、填写进度、事项状态等，并可根据服务事项名称、服务对象、责任部门、服务主题多维度统计查询。</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管理端可以查看事项申请的发起时间、审核时间、审核状态，审核者等数据。</w:t>
            </w:r>
          </w:p>
          <w:p>
            <w:pPr>
              <w:pStyle w:val="3"/>
              <w:tabs>
                <w:tab w:val="left" w:pos="432"/>
              </w:tabs>
              <w:spacing w:before="120" w:after="120"/>
              <w:rPr>
                <w:rFonts w:hint="eastAsia" w:ascii="宋体" w:hAnsi="宋体" w:eastAsia="宋体" w:cs="宋体"/>
                <w:color w:val="000000" w:themeColor="text1"/>
                <w:sz w:val="21"/>
                <w:szCs w:val="21"/>
                <w:highlight w:val="none"/>
                <w14:textFill>
                  <w14:solidFill>
                    <w14:schemeClr w14:val="tx1"/>
                  </w14:solidFill>
                </w14:textFill>
              </w:rPr>
            </w:pPr>
            <w:bookmarkStart w:id="24" w:name="_Toc23889"/>
            <w:bookmarkStart w:id="25" w:name="_Toc166341733"/>
            <w:r>
              <w:rPr>
                <w:rFonts w:hint="eastAsia" w:ascii="宋体" w:hAnsi="宋体" w:eastAsia="宋体" w:cs="宋体"/>
                <w:color w:val="000000" w:themeColor="text1"/>
                <w:sz w:val="21"/>
                <w:szCs w:val="21"/>
                <w:highlight w:val="none"/>
                <w14:textFill>
                  <w14:solidFill>
                    <w14:schemeClr w14:val="tx1"/>
                  </w14:solidFill>
                </w14:textFill>
              </w:rPr>
              <w:t>一体化融合底座</w:t>
            </w:r>
            <w:bookmarkEnd w:id="24"/>
            <w:bookmarkEnd w:id="25"/>
          </w:p>
          <w:p>
            <w:pPr>
              <w:pStyle w:val="4"/>
              <w:tabs>
                <w:tab w:val="left" w:pos="432"/>
              </w:tabs>
              <w:spacing w:before="163" w:after="163"/>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首页</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平台应支持通过首页预览服务总体运行情况，至少需包括：待处理事项，校内组织机构，用户情况，应用情况，接口情况，服务器状态，操作日志，产品更新记录。</w:t>
            </w:r>
          </w:p>
          <w:p>
            <w:pPr>
              <w:pStyle w:val="4"/>
              <w:tabs>
                <w:tab w:val="left" w:pos="432"/>
              </w:tabs>
              <w:spacing w:before="163" w:after="163"/>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用户管理</w:t>
            </w:r>
          </w:p>
          <w:p>
            <w:pPr>
              <w:pStyle w:val="15"/>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平台需提供完善的用户管理模块，包括帐号的新增、发放、维护、注销管理，旨在帮助管理员完成全校身份帐号数据的增加、删除、修改、过期设置、变更生命周期以及锁定/解锁等操作。</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需提供基于角色的访问控制技术，实现对用户集中、灵活授权和访问控制管理，从而提高系统管理效率，如可根据不同角色分配相应应用使用权限和有效期，并进行差异化的应用推荐和功能设置。</w:t>
            </w:r>
          </w:p>
          <w:p>
            <w:pPr>
              <w:pStyle w:val="15"/>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查看和编辑用户的学工号/用户名、姓名、录取通知书号、性别、身份分类、身份状态、手机号、邮箱号、证件类型、证件号码、组织机构、岗位、专业、班级、入校年份/当前所在级、离校时间、出生日期以及组织机构。</w:t>
            </w:r>
          </w:p>
          <w:p>
            <w:pPr>
              <w:pStyle w:val="15"/>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需支持基于自然人维度的账号自动关联合并功能，支持按照不同的逻辑将同一自然人在学校不同阶段的账号合并，并可设定主账号，投标方需提供具体的账号合并逻辑说明。</w:t>
            </w:r>
          </w:p>
          <w:p>
            <w:pPr>
              <w:pStyle w:val="15"/>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需支持管理人员对用户详细信息进行查阅与修改，包含：查看用户信息、编辑用户信息、重置密码、查看用户组信息、关联用户组、移除用户组、查看关联账号、查看授权信息、查看认证记录、查看操作记录。</w:t>
            </w:r>
          </w:p>
          <w:p>
            <w:pPr>
              <w:pStyle w:val="15"/>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需支持管理人员手工增加组织机构节点，并可以对手工节点进行编辑手工节点、删除节点、禁用全部用户、添加已有用户以及移除机构操作。</w:t>
            </w:r>
          </w:p>
          <w:p>
            <w:pPr>
              <w:pStyle w:val="4"/>
              <w:tabs>
                <w:tab w:val="left" w:pos="432"/>
              </w:tabs>
              <w:spacing w:before="163" w:after="163"/>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应用管理</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应用管理作为校内服务应用的权威发布中心，负责为校内应用提供信息维护、发布注册、授权使用、统一协议配置、消息待办预集成、应用内接口授权、应用下服务配置、应用访问日志等功能，统一发布管理，并打通PC门户、移动H5门户。</w:t>
            </w:r>
          </w:p>
          <w:p>
            <w:pPr>
              <w:pStyle w:val="13"/>
              <w:numPr>
                <w:ilvl w:val="0"/>
                <w:numId w:val="3"/>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应用接入</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手工创建和快捷创建2种方式完成应用的接入，基本信息主要包括应用名称、业务域、访问地址、应用描述、应用图标。应用接入到系统后，可以进一步配置该应用所对接的认证协议参数，并进行应用授权。</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需支持当用户授权为多个用户组时，可配置打开服务时是否需选择对应用户组。</w:t>
            </w:r>
          </w:p>
          <w:p>
            <w:pPr>
              <w:pStyle w:val="13"/>
              <w:numPr>
                <w:ilvl w:val="0"/>
                <w:numId w:val="3"/>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应用详情</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系统需提供应用详情页用于展示和应用关联的详情界面，包含应用的基本信息、应用的相关操作以及应用配置菜单列表，如：认证、服务、消息、待办、接口、回调等。</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需提供多种授权维度和授权颗粒度，支持根据组织机构、域及用户组、用户三种进行授权，同时，也可以对各维度的各级节点或单独人员进行独立授权。</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需支持针对每个应用维护相关的认证协议，需可在应用详情页面直观查询并手动启停。</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需支持在应用下添加多个不同的服务，服务类型包括：手工、接入、集成接入。手工接入应用，需支持服务查看详情、配置授权和编辑服务；集成接入服务，仅支持服务查看详情。</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需支持配置消息模版、消息优先级及消息通道，并支持接入待办。</w:t>
            </w: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需支持平台调用第三方系统接口达到数据通知的功能。需支持HTTPS协议，同时检验证书的有效性；需支持国密和非国密的算法进行加密。</w:t>
            </w:r>
          </w:p>
          <w:p>
            <w:pPr>
              <w:pStyle w:val="4"/>
              <w:tabs>
                <w:tab w:val="left" w:pos="432"/>
              </w:tabs>
              <w:spacing w:before="163" w:after="163"/>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管理工具</w:t>
            </w:r>
          </w:p>
          <w:p>
            <w:pPr>
              <w:pStyle w:val="13"/>
              <w:numPr>
                <w:ilvl w:val="0"/>
                <w:numId w:val="4"/>
              </w:numPr>
              <w:ind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用户与组织</w:t>
            </w:r>
          </w:p>
          <w:p>
            <w:pPr>
              <w:pStyle w:val="13"/>
              <w:numPr>
                <w:ilvl w:val="0"/>
                <w:numId w:val="2"/>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用户组管理</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系统需支持在各业务域下设置不同的用户组及成员，用以作为授权或二级管理权限下发。需支持管理员在用户组中查询已经加入该用户组的组织架构节点或具体的人员，并进行修改。</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需支持管理人员通过可视化界面自行通过身份分类、生命周期、性别、性别、入校年份、组织机构分组组合形成用户组。</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需支持用户组共享功能，当前域管理员可以共享自己设置的用户组给其他域管理员使用。</w:t>
            </w:r>
          </w:p>
          <w:p>
            <w:pPr>
              <w:pStyle w:val="13"/>
              <w:numPr>
                <w:ilvl w:val="0"/>
                <w:numId w:val="2"/>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身份分类管理</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系统需提供多种身份数据类型，包含教师、学生、校外人员、校友，应支持对于不同子分类进行生命周期设置，从而实现对用户进行全生命周期管理。</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允许针对不同的用户来源创建至少三种生命周期，包括未入校、在校、离校三个状态。系统应能自动创建对应生命周期的用户组。同时应能对生命周期设置有效期，在有效期到期后，自动转换生命周期状态。投标方需在投标文件中提供真实系统截图。</w:t>
            </w:r>
          </w:p>
          <w:p>
            <w:pPr>
              <w:pStyle w:val="13"/>
              <w:numPr>
                <w:ilvl w:val="0"/>
                <w:numId w:val="2"/>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校内机构数据管理</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需提供具有高校特色的组织机构管理，支持针对不同用户类型生成不同的组织机构树。组织机构树由用户信息自动生成。</w:t>
            </w:r>
          </w:p>
          <w:p>
            <w:pPr>
              <w:pStyle w:val="13"/>
              <w:numPr>
                <w:ilvl w:val="0"/>
                <w:numId w:val="2"/>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用户与机构数据同步</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平台应提供用户与机构数据的同步功能，应包含外部数据同步和手工数据处理两种方式。</w:t>
            </w:r>
          </w:p>
          <w:p>
            <w:pPr>
              <w:pStyle w:val="13"/>
              <w:numPr>
                <w:ilvl w:val="0"/>
                <w:numId w:val="4"/>
              </w:numPr>
              <w:ind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移动端适配</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将身份认证系统内的通讯录数据自动同步到企业微信/钉钉，同步内容需包括组织机构及人员信息。在组织机构发生人员异动后，需支持对企业微信/钉钉通讯录进行人员同步。系统需提供配置功能方便管理员新建多个同步任务。投标方需在投标文件中提供真实系统截图。</w:t>
            </w:r>
          </w:p>
          <w:p>
            <w:pPr>
              <w:pStyle w:val="13"/>
              <w:numPr>
                <w:ilvl w:val="0"/>
                <w:numId w:val="4"/>
              </w:numPr>
              <w:ind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日志与审计</w:t>
            </w:r>
          </w:p>
          <w:p>
            <w:pPr>
              <w:pStyle w:val="13"/>
              <w:numPr>
                <w:ilvl w:val="0"/>
                <w:numId w:val="2"/>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需支持查看用户操作日志，列表展示认证账号、用户名称、认证结果、认证方式、认证IP、客户端类型以及认证时间，支持搜索用户日志。</w:t>
            </w:r>
          </w:p>
          <w:p>
            <w:pPr>
              <w:pStyle w:val="13"/>
              <w:numPr>
                <w:ilvl w:val="0"/>
                <w:numId w:val="2"/>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需支持查看管理员操作日志，操作者姓名、用户名、操作者IP、操作时间、操作内容、调用结果，支持搜索和查看管理员日志详情；</w:t>
            </w:r>
          </w:p>
          <w:p>
            <w:pPr>
              <w:pStyle w:val="13"/>
              <w:numPr>
                <w:ilvl w:val="0"/>
                <w:numId w:val="2"/>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需支持接口调用日志，包括APP ID、接口地址、接口类型、调用时间、调用者IP、耗时（ms）、调用结果。支持搜索接口调用日志。</w:t>
            </w:r>
          </w:p>
          <w:p>
            <w:pPr>
              <w:pStyle w:val="4"/>
              <w:tabs>
                <w:tab w:val="left" w:pos="432"/>
              </w:tabs>
              <w:spacing w:before="163" w:after="163"/>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系统配置</w:t>
            </w:r>
          </w:p>
          <w:p>
            <w:pPr>
              <w:pStyle w:val="13"/>
              <w:numPr>
                <w:ilvl w:val="0"/>
                <w:numId w:val="5"/>
              </w:numPr>
              <w:ind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公共配置</w:t>
            </w:r>
          </w:p>
          <w:p>
            <w:pPr>
              <w:pStyle w:val="13"/>
              <w:numPr>
                <w:ilvl w:val="0"/>
                <w:numId w:val="6"/>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消息模板</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需支持配置短信模板，支持</w:t>
            </w:r>
            <w:r>
              <w:rPr>
                <w:rFonts w:hint="eastAsia" w:ascii="宋体" w:hAnsi="宋体" w:eastAsia="宋体" w:cs="宋体"/>
                <w:color w:val="000000" w:themeColor="text1"/>
                <w:sz w:val="21"/>
                <w:szCs w:val="21"/>
                <w:highlight w:val="none"/>
                <w14:textFill>
                  <w14:solidFill>
                    <w14:schemeClr w14:val="tx1"/>
                  </w14:solidFill>
                </w14:textFill>
              </w:rPr>
              <w:t>验证码、短信通知、推广短信三种模式，支持通过变量替换实现个性短信定制。</w:t>
            </w:r>
          </w:p>
          <w:p>
            <w:pPr>
              <w:pStyle w:val="13"/>
              <w:numPr>
                <w:ilvl w:val="0"/>
                <w:numId w:val="6"/>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敏感词管理</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面对高校愈发严格的舆情管理，增加敏感词限制，以便门户业务上消息、意见反馈、事项评价、服务评价内容的合规展示。平台需预置的敏感词内容入库，且内容可被删除修改。</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敏感词涉及两种使用策略：</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禁发类：生效后，不允许提交包含敏感词的内容，并弹窗提示；</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隐藏类：生效后，可允许提交包含敏感词的内容，但提交的内容以星号的方式展示。</w:t>
            </w:r>
          </w:p>
          <w:p>
            <w:pPr>
              <w:pStyle w:val="13"/>
              <w:numPr>
                <w:ilvl w:val="0"/>
                <w:numId w:val="5"/>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高级配置</w:t>
            </w:r>
          </w:p>
          <w:p>
            <w:pPr>
              <w:pStyle w:val="13"/>
              <w:numPr>
                <w:ilvl w:val="0"/>
                <w:numId w:val="3"/>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管控台授权</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通过管控台授权，超级管理员可以基于用户管理、应用管理、组织管理、安全性管理等管控台的大部分功能按照需求分配给二级管理角色。实现用户、应用、组织等内容的二级管理功能，需支持对敏感信息配置查看权限。</w:t>
            </w:r>
          </w:p>
          <w:p>
            <w:pPr>
              <w:pStyle w:val="13"/>
              <w:numPr>
                <w:ilvl w:val="0"/>
                <w:numId w:val="3"/>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域管理</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域”用于定义二级管理的范围，管理员可在此创建或者编辑所需要用于二级管理的域。创建后的域可以在创建应用、创建用户组的时候被选择，选择之后应用或用户组会自动加入该域，纳入域的应用或用户组会根据该域的管理员授权提供二级管理功能。</w:t>
            </w:r>
          </w:p>
          <w:p>
            <w:pPr>
              <w:pStyle w:val="13"/>
              <w:numPr>
                <w:ilvl w:val="0"/>
                <w:numId w:val="3"/>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其他</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1、待办中心</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配置待办中心过期时间，默认是30天，0天则为没有过期时间。需支持待办定时提醒开关，开启后，配置发送消息时间、间隔时间、消息标题、消息内容、消息类型配置。需支持待办定时补偿，开启后，配置定时补偿开始时间、定制补偿频率。</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2、用户与组织</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需支持查看机构数据和用户数据下记录保留类型、人工确认阈值。</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3、多语言支持</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需可在该选项卡设置系统支持的语言，默认语言为中文且不可修改，管理员可以在这里控制是否开启多语言切换。开启后，登录页与对应前台门户内容将会支持多语切换。</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4、校内机构数据</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需支持查看校内机构当前版本、草稿版本、历史版本的数量，允许管理员清空机构数据，快捷查看机构数据版本。</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5、系统任务管理</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需支持查看系统任务列表，包括任务名称、任务处理类、上次/下次执行时间和任务状态，支持立即执行任务。</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6、电子签章</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目前平台电子签章能力已集成北京CA、江西金格，其中北京CA还需要配置签章服务器IP地址、服务器端口。</w:t>
            </w:r>
          </w:p>
          <w:p>
            <w:pPr>
              <w:pStyle w:val="13"/>
              <w:numPr>
                <w:ilvl w:val="0"/>
                <w:numId w:val="3"/>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产品版本管理</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需支持用户查看已安装产品的当前运行版本、最新版本和发布时间，可查看历史版本列表和产品服务信息。</w:t>
            </w:r>
          </w:p>
          <w:p>
            <w:pPr>
              <w:pStyle w:val="13"/>
              <w:numPr>
                <w:ilvl w:val="0"/>
                <w:numId w:val="3"/>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多语言翻译管理</w:t>
            </w:r>
          </w:p>
          <w:p>
            <w:pPr>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用于可视化管理翻译内容，需支持按照不同模块配置对应功能类型翻译内容。</w:t>
            </w:r>
          </w:p>
        </w:tc>
        <w:tc>
          <w:tcPr>
            <w:tcW w:w="670"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1.2身份互联认证平台</w:t>
            </w:r>
          </w:p>
        </w:tc>
        <w:tc>
          <w:tcPr>
            <w:tcW w:w="8168" w:type="dxa"/>
            <w:vAlign w:val="center"/>
          </w:tcPr>
          <w:p>
            <w:pPr>
              <w:pStyle w:val="2"/>
              <w:tabs>
                <w:tab w:val="left" w:pos="432"/>
              </w:tabs>
              <w:spacing w:before="120" w:after="120"/>
              <w:ind w:left="0" w:leftChars="0" w:firstLine="0" w:firstLineChars="0"/>
              <w:jc w:val="both"/>
              <w:rPr>
                <w:rFonts w:hint="eastAsia" w:ascii="宋体" w:hAnsi="宋体" w:eastAsia="宋体" w:cs="宋体"/>
                <w:color w:val="000000" w:themeColor="text1"/>
                <w:sz w:val="21"/>
                <w:szCs w:val="21"/>
                <w:highlight w:val="none"/>
                <w14:textFill>
                  <w14:solidFill>
                    <w14:schemeClr w14:val="tx1"/>
                  </w14:solidFill>
                </w14:textFill>
              </w:rPr>
            </w:pPr>
            <w:bookmarkStart w:id="26" w:name="_Toc10639"/>
            <w:bookmarkStart w:id="27" w:name="_Toc166341734"/>
            <w:r>
              <w:rPr>
                <w:rFonts w:hint="eastAsia" w:ascii="宋体" w:hAnsi="宋体" w:eastAsia="宋体" w:cs="宋体"/>
                <w:color w:val="000000" w:themeColor="text1"/>
                <w:sz w:val="21"/>
                <w:szCs w:val="21"/>
                <w:highlight w:val="none"/>
                <w14:textFill>
                  <w14:solidFill>
                    <w14:schemeClr w14:val="tx1"/>
                  </w14:solidFill>
                </w14:textFill>
              </w:rPr>
              <w:t>身份互联认证平台</w:t>
            </w:r>
            <w:bookmarkEnd w:id="26"/>
            <w:bookmarkEnd w:id="27"/>
          </w:p>
          <w:p>
            <w:pPr>
              <w:pStyle w:val="3"/>
              <w:tabs>
                <w:tab w:val="left" w:pos="432"/>
              </w:tabs>
              <w:spacing w:before="120" w:after="120"/>
              <w:rPr>
                <w:rFonts w:hint="eastAsia" w:ascii="宋体" w:hAnsi="宋体" w:eastAsia="宋体" w:cs="宋体"/>
                <w:color w:val="000000" w:themeColor="text1"/>
                <w:sz w:val="21"/>
                <w:szCs w:val="21"/>
                <w:highlight w:val="none"/>
                <w14:textFill>
                  <w14:solidFill>
                    <w14:schemeClr w14:val="tx1"/>
                  </w14:solidFill>
                </w14:textFill>
              </w:rPr>
            </w:pPr>
            <w:bookmarkStart w:id="28" w:name="_Toc166341735"/>
            <w:bookmarkStart w:id="29" w:name="_Toc11899"/>
            <w:r>
              <w:rPr>
                <w:rFonts w:hint="eastAsia" w:ascii="宋体" w:hAnsi="宋体" w:eastAsia="宋体" w:cs="宋体"/>
                <w:color w:val="000000" w:themeColor="text1"/>
                <w:sz w:val="21"/>
                <w:szCs w:val="21"/>
                <w:highlight w:val="none"/>
                <w14:textFill>
                  <w14:solidFill>
                    <w14:schemeClr w14:val="tx1"/>
                  </w14:solidFill>
                </w14:textFill>
              </w:rPr>
              <w:t>个人自助服务</w:t>
            </w:r>
            <w:bookmarkEnd w:id="28"/>
            <w:bookmarkEnd w:id="29"/>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个人自助服务需满足用户对自己帐号信息和密码信息的维护需求。</w:t>
            </w:r>
            <w:r>
              <w:rPr>
                <w:rFonts w:hint="eastAsia" w:ascii="宋体" w:hAnsi="宋体" w:eastAsia="宋体" w:cs="宋体"/>
                <w:color w:val="000000" w:themeColor="text1"/>
                <w:sz w:val="21"/>
                <w:szCs w:val="21"/>
                <w:highlight w:val="none"/>
                <w:lang w:val="zh-CN"/>
                <w14:textFill>
                  <w14:solidFill>
                    <w14:schemeClr w14:val="tx1"/>
                  </w14:solidFill>
                </w14:textFill>
              </w:rPr>
              <w:t>要求系统在PC端、移动端提供个人自助服务功能。为满足留学生/外教使用需要，个人自助服务需支持中英双语切换。</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需至少支持：</w:t>
            </w:r>
          </w:p>
          <w:p>
            <w:pPr>
              <w:pStyle w:val="13"/>
              <w:widowControl w:val="0"/>
              <w:numPr>
                <w:ilvl w:val="0"/>
                <w:numId w:val="7"/>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提供身份认证基础服务，实现SSO单点登录功能。支持用户登录后在不同系统之间漫游而不需要再次输入密码。平台能同时支持学校移动应用客户端的统一身份认证集成，支持短信动态验证码的验证方式。需提供密码变动短信通知功能。</w:t>
            </w:r>
          </w:p>
          <w:p>
            <w:pPr>
              <w:pStyle w:val="13"/>
              <w:widowControl w:val="0"/>
              <w:numPr>
                <w:ilvl w:val="0"/>
                <w:numId w:val="7"/>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用户自助账号激活功能，激活包括信息校验、绑定手机号、绑定邮箱以及设置密码功能。信息校验需要用户输入学工号、录用通知书号以及身份证号码进行身份验证。系统提供两种帐号发放的方式，分别为设置默认密码和密码激活方式。管理员可以根据使用需求选择启用何种方式进行帐号发放。</w:t>
            </w:r>
          </w:p>
          <w:p>
            <w:pPr>
              <w:pStyle w:val="13"/>
              <w:widowControl w:val="0"/>
              <w:numPr>
                <w:ilvl w:val="0"/>
                <w:numId w:val="7"/>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需支持密码找回功能，需</w:t>
            </w:r>
            <w:r>
              <w:rPr>
                <w:rFonts w:hint="eastAsia" w:ascii="宋体" w:hAnsi="宋体" w:eastAsia="宋体" w:cs="宋体"/>
                <w:color w:val="000000" w:themeColor="text1"/>
                <w:sz w:val="21"/>
                <w:szCs w:val="21"/>
                <w:highlight w:val="none"/>
                <w14:textFill>
                  <w14:solidFill>
                    <w14:schemeClr w14:val="tx1"/>
                  </w14:solidFill>
                </w14:textFill>
              </w:rPr>
              <w:t>支持用户通过手机号、邮箱、安全问题、QQ、微信五类验证方式找回密码</w:t>
            </w:r>
          </w:p>
          <w:p>
            <w:pPr>
              <w:pStyle w:val="13"/>
              <w:widowControl w:val="0"/>
              <w:numPr>
                <w:ilvl w:val="0"/>
                <w:numId w:val="7"/>
              </w:numPr>
              <w:ind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需支持账号申诉功能，当用户常规的找回密码方式均不能用时应可通过账号申诉的方式找回。需提交：用户姓名、学院/部门、证件类型、证件号码、申诉照片、联系方式，完成账号申诉。</w:t>
            </w:r>
          </w:p>
          <w:p>
            <w:pPr>
              <w:pStyle w:val="13"/>
              <w:widowControl w:val="0"/>
              <w:numPr>
                <w:ilvl w:val="0"/>
                <w:numId w:val="7"/>
              </w:numPr>
              <w:ind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需支持用户查看</w:t>
            </w:r>
            <w:r>
              <w:rPr>
                <w:rFonts w:hint="eastAsia" w:ascii="宋体" w:hAnsi="宋体" w:eastAsia="宋体" w:cs="宋体"/>
                <w:color w:val="000000" w:themeColor="text1"/>
                <w:sz w:val="21"/>
                <w:szCs w:val="21"/>
                <w:highlight w:val="none"/>
                <w14:textFill>
                  <w14:solidFill>
                    <w14:schemeClr w14:val="tx1"/>
                  </w14:solidFill>
                </w14:textFill>
              </w:rPr>
              <w:t>并点击访问具有自己访问权限的应用，并可以通过应用名称进行应用搜索。</w:t>
            </w:r>
          </w:p>
          <w:p>
            <w:pPr>
              <w:pStyle w:val="13"/>
              <w:widowControl w:val="0"/>
              <w:numPr>
                <w:ilvl w:val="0"/>
                <w:numId w:val="7"/>
              </w:numPr>
              <w:ind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需支持用户主动设置账号的相关信息，包含更换密码、设置安全问题以及绑定手机号码。</w:t>
            </w:r>
          </w:p>
          <w:p>
            <w:pPr>
              <w:pStyle w:val="13"/>
              <w:widowControl w:val="0"/>
              <w:numPr>
                <w:ilvl w:val="0"/>
                <w:numId w:val="7"/>
              </w:numPr>
              <w:ind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需支持用户查看关联账号及设置常用账号。</w:t>
            </w:r>
          </w:p>
          <w:p>
            <w:pPr>
              <w:pStyle w:val="13"/>
              <w:widowControl w:val="0"/>
              <w:numPr>
                <w:ilvl w:val="0"/>
                <w:numId w:val="7"/>
              </w:numPr>
              <w:ind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需支持用户查阅自己的相关操作，包括：当前登录记录、账号认证记录、密码维护记录、账号维护记录以及应用访问记录。</w:t>
            </w:r>
          </w:p>
          <w:p>
            <w:pPr>
              <w:pStyle w:val="13"/>
              <w:widowControl w:val="0"/>
              <w:numPr>
                <w:ilvl w:val="0"/>
                <w:numId w:val="7"/>
              </w:numPr>
              <w:ind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需支持使用者设置自己的个人资料以及维护偏好设置，支持中英文切换功能。</w:t>
            </w:r>
          </w:p>
          <w:p>
            <w:pPr>
              <w:pStyle w:val="3"/>
              <w:tabs>
                <w:tab w:val="left" w:pos="432"/>
              </w:tabs>
              <w:spacing w:before="120" w:after="120"/>
              <w:rPr>
                <w:rFonts w:hint="eastAsia" w:ascii="宋体" w:hAnsi="宋体" w:eastAsia="宋体" w:cs="宋体"/>
                <w:color w:val="000000" w:themeColor="text1"/>
                <w:sz w:val="21"/>
                <w:szCs w:val="21"/>
                <w:highlight w:val="none"/>
                <w14:textFill>
                  <w14:solidFill>
                    <w14:schemeClr w14:val="tx1"/>
                  </w14:solidFill>
                </w14:textFill>
              </w:rPr>
            </w:pPr>
            <w:bookmarkStart w:id="30" w:name="_Toc2676"/>
            <w:bookmarkStart w:id="31" w:name="_Toc166341736"/>
            <w:r>
              <w:rPr>
                <w:rFonts w:hint="eastAsia" w:ascii="宋体" w:hAnsi="宋体" w:eastAsia="宋体" w:cs="宋体"/>
                <w:color w:val="000000" w:themeColor="text1"/>
                <w:sz w:val="21"/>
                <w:szCs w:val="21"/>
                <w:highlight w:val="none"/>
                <w14:textFill>
                  <w14:solidFill>
                    <w14:schemeClr w14:val="tx1"/>
                  </w14:solidFill>
                </w14:textFill>
              </w:rPr>
              <w:t>电子身份管理</w:t>
            </w:r>
            <w:bookmarkEnd w:id="30"/>
            <w:bookmarkEnd w:id="31"/>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用户数据模型：需支持按照学校特点和应用现状设计用户、组、权限等模型，并按照模型设计完成数据存储。所有的用户信息应分别存放在LDAP目录服务和数据库中，通过可靠的机制完成两者的同步，用户身份信息在目录服务中以层次结构，面向对象的数据库的方式集中存储管理，从而保证身份数据的一致性和完整性，为校园各类应用提供一致的用户信息访问。</w:t>
            </w:r>
          </w:p>
          <w:p>
            <w:pPr>
              <w:pStyle w:val="3"/>
              <w:tabs>
                <w:tab w:val="left" w:pos="432"/>
              </w:tabs>
              <w:spacing w:before="120" w:after="120"/>
              <w:rPr>
                <w:rFonts w:hint="eastAsia" w:ascii="宋体" w:hAnsi="宋体" w:eastAsia="宋体" w:cs="宋体"/>
                <w:color w:val="000000" w:themeColor="text1"/>
                <w:sz w:val="21"/>
                <w:szCs w:val="21"/>
                <w:highlight w:val="none"/>
                <w14:textFill>
                  <w14:solidFill>
                    <w14:schemeClr w14:val="tx1"/>
                  </w14:solidFill>
                </w14:textFill>
              </w:rPr>
            </w:pPr>
            <w:bookmarkStart w:id="32" w:name="_Toc166341737"/>
            <w:bookmarkStart w:id="33" w:name="_Toc32577"/>
            <w:r>
              <w:rPr>
                <w:rFonts w:hint="eastAsia" w:ascii="宋体" w:hAnsi="宋体" w:eastAsia="宋体" w:cs="宋体"/>
                <w:color w:val="000000" w:themeColor="text1"/>
                <w:sz w:val="21"/>
                <w:szCs w:val="21"/>
                <w:highlight w:val="none"/>
                <w14:textFill>
                  <w14:solidFill>
                    <w14:schemeClr w14:val="tx1"/>
                  </w14:solidFill>
                </w14:textFill>
              </w:rPr>
              <w:t>统一认证服务</w:t>
            </w:r>
            <w:bookmarkEnd w:id="32"/>
            <w:bookmarkEnd w:id="33"/>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需提供常见认证协议支持，用以完成对大部分WEB应用、移动APP的统一认证，提供认证凭证的不可逆安全存储机制，保证密码安全，提供认证过程的安全性保障，保证认证过程凭证安全；</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需支持基于Nginx的反向代理集成方式，集成接入方式简单，接入系统可以直接从标准的Header中获取登录人员的相关信息，适用不同的开发语言。</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需提供系统级缓存，允许平台调用，加快平台访问速度，同时提供DBLESS能力，在系统遭遇数据库停机时，依然可向用户提供基础认证及鉴权能力，避免因数据库停机造成身份认证不可用。</w:t>
            </w:r>
          </w:p>
          <w:p>
            <w:pPr>
              <w:pStyle w:val="3"/>
              <w:tabs>
                <w:tab w:val="left" w:pos="432"/>
              </w:tabs>
              <w:spacing w:before="120" w:after="120"/>
              <w:rPr>
                <w:rFonts w:hint="eastAsia" w:ascii="宋体" w:hAnsi="宋体" w:eastAsia="宋体" w:cs="宋体"/>
                <w:color w:val="000000" w:themeColor="text1"/>
                <w:sz w:val="21"/>
                <w:szCs w:val="21"/>
                <w:highlight w:val="none"/>
                <w14:textFill>
                  <w14:solidFill>
                    <w14:schemeClr w14:val="tx1"/>
                  </w14:solidFill>
                </w14:textFill>
              </w:rPr>
            </w:pPr>
            <w:bookmarkStart w:id="34" w:name="_Toc27619"/>
            <w:bookmarkStart w:id="35" w:name="_Toc166341738"/>
            <w:r>
              <w:rPr>
                <w:rFonts w:hint="eastAsia" w:ascii="宋体" w:hAnsi="宋体" w:eastAsia="宋体" w:cs="宋体"/>
                <w:color w:val="000000" w:themeColor="text1"/>
                <w:sz w:val="21"/>
                <w:szCs w:val="21"/>
                <w:highlight w:val="none"/>
                <w14:textFill>
                  <w14:solidFill>
                    <w14:schemeClr w14:val="tx1"/>
                  </w14:solidFill>
                </w14:textFill>
              </w:rPr>
              <w:t>身份认证配置</w:t>
            </w:r>
            <w:bookmarkEnd w:id="34"/>
            <w:bookmarkEnd w:id="35"/>
          </w:p>
          <w:p>
            <w:pPr>
              <w:pStyle w:val="13"/>
              <w:widowControl w:val="0"/>
              <w:numPr>
                <w:ilvl w:val="0"/>
                <w:numId w:val="2"/>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认证服务配置</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需支持用户账号激活和完善资料的相关配置；需支持启/停用户信息防遗忘，提醒用户对个人信息内容（安全问题、手机号）进行确认；需支持启/停别名校验，启用后可禁止用户使用对应的别名；需支持启/停用户人脸照片上传；</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需支持登录界面功能配置，包括启/停扫码登录、动态码登录、七天免登录和在线帮助。在线帮助启用后，用于认证登录界面的帮助文档链接跳转，用于引导用户和提供帮助说明；需支持单处登录配置，用于配置是否允许用户在多个客户端登录，管理员可强制用户配置单处登录，也支持让用户自主配置；需支持校外登录配置，用于区分师生登录地为校内还是校外，同时支持认证日志的审计和师生校外登录的提醒；</w:t>
            </w:r>
          </w:p>
          <w:p>
            <w:pPr>
              <w:pStyle w:val="13"/>
              <w:widowControl w:val="0"/>
              <w:numPr>
                <w:ilvl w:val="0"/>
                <w:numId w:val="2"/>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账号申诉管理</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需支持查询和审批用户的账号申诉信息，并配置申诉内容。</w:t>
            </w:r>
          </w:p>
          <w:p>
            <w:pPr>
              <w:pStyle w:val="13"/>
              <w:widowControl w:val="0"/>
              <w:numPr>
                <w:ilvl w:val="0"/>
                <w:numId w:val="2"/>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登录主题配置</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需支持配置和切换登录主题，个性化定制身份认证登录页面样式。</w:t>
            </w:r>
          </w:p>
          <w:p>
            <w:pPr>
              <w:pStyle w:val="13"/>
              <w:widowControl w:val="0"/>
              <w:numPr>
                <w:ilvl w:val="0"/>
                <w:numId w:val="2"/>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用户提示语管理</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需支持自定义对应错误类型的提示语，包括信息格式提示、动态码登录、可信设备登录、完善资料-密码符合规则、帐号异常、帐号登录、找回密码-输入帐号、激活页-信息校验。</w:t>
            </w:r>
          </w:p>
          <w:p>
            <w:pPr>
              <w:pStyle w:val="13"/>
              <w:widowControl w:val="0"/>
              <w:numPr>
                <w:ilvl w:val="0"/>
                <w:numId w:val="2"/>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短信、邮箱内容模板管理</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需支持自定义配置需要发送的短信、邮箱以及消息内容模板。</w:t>
            </w:r>
          </w:p>
          <w:p>
            <w:pPr>
              <w:pStyle w:val="13"/>
              <w:widowControl w:val="0"/>
              <w:numPr>
                <w:ilvl w:val="0"/>
                <w:numId w:val="2"/>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账号元数据管理</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需支持帐号元数据管理，支持扩展字段满足学校人员信息管理要求。新增自定义字段信息需包括属性名称、LDAP属性名称、显示名称、属性值类型，属性描述，支持设置是否必填、是否显示；需支持管理员配置系统预置元数据的展示/隐藏属性。投标方需在投标文件中提供真实系统截图。</w:t>
            </w:r>
          </w:p>
          <w:p>
            <w:pPr>
              <w:pStyle w:val="13"/>
              <w:widowControl w:val="0"/>
              <w:numPr>
                <w:ilvl w:val="0"/>
                <w:numId w:val="2"/>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内网IP段管理</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需支持内网IP子网掩码，方便校外登陆时使用；</w:t>
            </w:r>
          </w:p>
          <w:p>
            <w:pPr>
              <w:pStyle w:val="3"/>
              <w:tabs>
                <w:tab w:val="left" w:pos="432"/>
              </w:tabs>
              <w:spacing w:before="120" w:after="120"/>
              <w:rPr>
                <w:rFonts w:hint="eastAsia" w:ascii="宋体" w:hAnsi="宋体" w:eastAsia="宋体" w:cs="宋体"/>
                <w:color w:val="000000" w:themeColor="text1"/>
                <w:sz w:val="21"/>
                <w:szCs w:val="21"/>
                <w:highlight w:val="none"/>
                <w14:textFill>
                  <w14:solidFill>
                    <w14:schemeClr w14:val="tx1"/>
                  </w14:solidFill>
                </w14:textFill>
              </w:rPr>
            </w:pPr>
            <w:bookmarkStart w:id="36" w:name="_Toc149668136"/>
            <w:bookmarkStart w:id="37" w:name="_Toc21841"/>
            <w:r>
              <w:rPr>
                <w:rFonts w:hint="eastAsia" w:ascii="宋体" w:hAnsi="宋体" w:eastAsia="宋体" w:cs="宋体"/>
                <w:color w:val="000000" w:themeColor="text1"/>
                <w:sz w:val="21"/>
                <w:szCs w:val="21"/>
                <w:highlight w:val="none"/>
                <w14:textFill>
                  <w14:solidFill>
                    <w14:schemeClr w14:val="tx1"/>
                  </w14:solidFill>
                </w14:textFill>
              </w:rPr>
              <w:t>账号安全管理</w:t>
            </w:r>
            <w:bookmarkEnd w:id="36"/>
            <w:bookmarkEnd w:id="37"/>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帐号安全管理需求，系统应提供主动防御功能，对于常见的恶意登录或暴力破解，可自动冻结账号直至解冻。需提供异常会话管理、休眠账号管理、恶意登录管理、冻结帐号管理、异常应用管理等相关功能。需至少支持：</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1）系统需支持按照用户会话数、IP数去判定某个会话是否为异常会话并触发帐号冻结机制，管理员可配置触发冻结的阈值以及冻结时长。</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2）系统需支持根据同一天多次登录成功\登录失败判定某个帐号是否为恶意登录行为并触发帐号冻结机制，管理员可配置触发冻结的阈值以及冻结时长。</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3）系统需支持管理冻结白名单，添加为白名单的帐号/IP地址不会因为触发冻结机制而被冻结。</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4）系统需支持异常应用的管理功能，可配置异常应用判定规则。</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5）▲为满足用户安全访问系统的需求，需提供二次认证、多因子登录的功能。需支持管理与配置二次认证/多因子认证方式及使用顺序，需支持管理员通过手动拖拽方式维护不同认证的顺序，系统可按照可用性及顺序智能选择当前最适合的认证方式。投标方需在投标文件中提供真实系统截图。</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6）恶意登录管理：系统应支持帐号恶意登录的锁定功能，并可通过短信提醒用户，确保帐号安全。</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7）系统需提供安全配置功能，管理员可配置密码策略、验证码策略、激活策略、安全问题策略、找回密码策略、人脸识别方式、完善资料策略。</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8）平台应支持对用户的密码规则进行配置，密码规则需包含密码分值策略和条件规则策略，支持管理人员自行调整相关规则内容。</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9）▲需提供密码黑名单功能，需支持通过勾选的方式指定密码中不可包含的字符类型，至少包含：用户账号、用户邮箱、用户手机号、居民身份证号码以及自定义字符，其中自定义字符应可以支持手工新增和批量导入两种方式，批量导入时平台提供标准模板方便导入。投标方需在投标文件中提供真实系统截图。</w:t>
            </w:r>
          </w:p>
          <w:p>
            <w:pPr>
              <w:pStyle w:val="3"/>
              <w:tabs>
                <w:tab w:val="left" w:pos="432"/>
              </w:tabs>
              <w:spacing w:before="120" w:after="120"/>
              <w:rPr>
                <w:rFonts w:hint="eastAsia" w:ascii="宋体" w:hAnsi="宋体" w:eastAsia="宋体" w:cs="宋体"/>
                <w:color w:val="000000" w:themeColor="text1"/>
                <w:sz w:val="21"/>
                <w:szCs w:val="21"/>
                <w:highlight w:val="none"/>
                <w14:textFill>
                  <w14:solidFill>
                    <w14:schemeClr w14:val="tx1"/>
                  </w14:solidFill>
                </w14:textFill>
              </w:rPr>
            </w:pPr>
            <w:bookmarkStart w:id="38" w:name="_Toc6587"/>
            <w:bookmarkStart w:id="39" w:name="_Toc149668137"/>
            <w:r>
              <w:rPr>
                <w:rFonts w:hint="eastAsia" w:ascii="宋体" w:hAnsi="宋体" w:eastAsia="宋体" w:cs="宋体"/>
                <w:color w:val="000000" w:themeColor="text1"/>
                <w:sz w:val="21"/>
                <w:szCs w:val="21"/>
                <w:highlight w:val="none"/>
                <w14:textFill>
                  <w14:solidFill>
                    <w14:schemeClr w14:val="tx1"/>
                  </w14:solidFill>
                </w14:textFill>
              </w:rPr>
              <w:t>外部协议拓展</w:t>
            </w:r>
            <w:bookmarkEnd w:id="38"/>
            <w:bookmarkEnd w:id="39"/>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1）OAuth认证开放服务</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需支持OAuth2.0协议，支持OAuth开放服务，可向第三方提供OAuth2.0接口，方便第三方使用OAuth开放协议来获取服务，包括OAuth应用注册和OAuth服务管理。未注册的应用不允许授权。</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2）FIDO协议认证服务</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支需持FIDO协议，能够将支持该协议的设备、浏览器的用户生物信息与个人帐号信息绑定，面向用户提供管理页面，让用户在个人自助中心可以自行绑定可行设备，满足用户利用个人生物进行进行登录服务。</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3）第三方实人认证配置</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需支持配置第三方实人认证方式，打通支付宝人脸识别插件。</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4）SAML协议认证服务</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需提供SMAL 2.0认证协议，以提供对office365提供非常友好的集成对接能力。</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5）RESTful方式认证服务</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需额外提供RESTful认证方式，能够对微信小程序等只支持RESTful接口的应用提供友好的集成对接能力。</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6）WEBVPN无感登录</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需支持配置与深信服VPN无感登录参数，用以在认证完成后自动建立VPN访问通道。</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7）联合认证管理</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需支持配置QQ、微信、微博、钉钉、今日校园、welink等第三方联合登录方式。</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8）数字证书CA认证</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需支持数字证书CA认证，支持通过采用UKey作为数字证书载体，存储用户的密钥及数字证书，并通过签名验签服务器和USBKey证书校验用户身份合法性，实现对用户身份的认证。</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9）安全令牌OTP认证</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需支持以小程序为媒介的安全令牌OTP模式，提供一个本身比账密、动态码等更安全的认证方式。应用在找回密码、非可信设备的多因子认证、应用访问的二次认证、管控台登录。</w:t>
            </w:r>
          </w:p>
          <w:p>
            <w:pPr>
              <w:pStyle w:val="3"/>
              <w:tabs>
                <w:tab w:val="left" w:pos="432"/>
              </w:tabs>
              <w:spacing w:before="120" w:after="120"/>
              <w:rPr>
                <w:rFonts w:hint="eastAsia" w:ascii="宋体" w:hAnsi="宋体" w:eastAsia="宋体" w:cs="宋体"/>
                <w:color w:val="000000" w:themeColor="text1"/>
                <w:sz w:val="21"/>
                <w:szCs w:val="21"/>
                <w:highlight w:val="none"/>
                <w14:textFill>
                  <w14:solidFill>
                    <w14:schemeClr w14:val="tx1"/>
                  </w14:solidFill>
                </w14:textFill>
              </w:rPr>
            </w:pPr>
            <w:bookmarkStart w:id="40" w:name="_Toc149668139"/>
            <w:bookmarkStart w:id="41" w:name="_Toc24142"/>
            <w:r>
              <w:rPr>
                <w:rFonts w:hint="eastAsia" w:ascii="宋体" w:hAnsi="宋体" w:eastAsia="宋体" w:cs="宋体"/>
                <w:color w:val="000000" w:themeColor="text1"/>
                <w:sz w:val="21"/>
                <w:szCs w:val="21"/>
                <w:highlight w:val="none"/>
                <w14:textFill>
                  <w14:solidFill>
                    <w14:schemeClr w14:val="tx1"/>
                  </w14:solidFill>
                </w14:textFill>
              </w:rPr>
              <w:t>校外人员库</w:t>
            </w:r>
            <w:bookmarkEnd w:id="40"/>
            <w:bookmarkEnd w:id="41"/>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需支持针对校外人员实现独立的校外人员库，</w:t>
            </w:r>
            <w:r>
              <w:rPr>
                <w:rFonts w:hint="eastAsia" w:ascii="宋体" w:hAnsi="宋体" w:eastAsia="宋体" w:cs="宋体"/>
                <w:color w:val="000000" w:themeColor="text1"/>
                <w:sz w:val="21"/>
                <w:szCs w:val="21"/>
                <w:highlight w:val="none"/>
                <w14:textFill>
                  <w14:solidFill>
                    <w14:schemeClr w14:val="tx1"/>
                  </w14:solidFill>
                </w14:textFill>
              </w:rPr>
              <w:t>并支持和校内用户不一致的账号过期机制，支持手工调整。</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集成的校外用户申请审核流程，实现校外人员申请，管理员审核的流程，在“审核页面”中，展示校外用户申请列表，包括：姓名、手机号码、身份分类、责任人、责任部门、申请时间、审核状态、操作（审核、详情/发送短信）。支持带申请功能。</w:t>
            </w:r>
          </w:p>
          <w:p>
            <w:pPr>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需支持管理员可手动新建校外用户账号，姓名、手机号、身份分类、有效期为必填项。证件类型、证件号码、责任人、责任部门、离校年份、离校部门、工作单位、申请备注为可选项。</w:t>
            </w:r>
          </w:p>
        </w:tc>
        <w:tc>
          <w:tcPr>
            <w:tcW w:w="670"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1.3微服务构建</w:t>
            </w:r>
          </w:p>
        </w:tc>
        <w:tc>
          <w:tcPr>
            <w:tcW w:w="8168" w:type="dxa"/>
            <w:vAlign w:val="center"/>
          </w:tcPr>
          <w:p>
            <w:pPr>
              <w:pStyle w:val="2"/>
              <w:tabs>
                <w:tab w:val="left" w:pos="432"/>
              </w:tabs>
              <w:spacing w:before="120" w:after="120"/>
              <w:ind w:left="0" w:leftChars="0" w:firstLine="0" w:firstLineChars="0"/>
              <w:jc w:val="both"/>
              <w:rPr>
                <w:rFonts w:hint="eastAsia" w:ascii="宋体" w:hAnsi="宋体" w:eastAsia="宋体" w:cs="宋体"/>
                <w:color w:val="000000" w:themeColor="text1"/>
                <w:sz w:val="21"/>
                <w:szCs w:val="21"/>
                <w:highlight w:val="none"/>
                <w14:textFill>
                  <w14:solidFill>
                    <w14:schemeClr w14:val="tx1"/>
                  </w14:solidFill>
                </w14:textFill>
              </w:rPr>
            </w:pPr>
            <w:bookmarkStart w:id="42" w:name="_Toc24396"/>
            <w:bookmarkStart w:id="43" w:name="_Toc166341739"/>
            <w:r>
              <w:rPr>
                <w:rFonts w:hint="eastAsia" w:ascii="宋体" w:hAnsi="宋体" w:eastAsia="宋体" w:cs="宋体"/>
                <w:color w:val="000000" w:themeColor="text1"/>
                <w:sz w:val="21"/>
                <w:szCs w:val="21"/>
                <w:highlight w:val="none"/>
                <w14:textFill>
                  <w14:solidFill>
                    <w14:schemeClr w14:val="tx1"/>
                  </w14:solidFill>
                </w14:textFill>
              </w:rPr>
              <w:t>微服务构建</w:t>
            </w:r>
            <w:bookmarkEnd w:id="42"/>
            <w:bookmarkEnd w:id="43"/>
          </w:p>
          <w:p>
            <w:pPr>
              <w:pStyle w:val="3"/>
              <w:tabs>
                <w:tab w:val="left" w:pos="432"/>
              </w:tabs>
              <w:spacing w:before="120" w:after="120"/>
              <w:rPr>
                <w:rFonts w:hint="eastAsia" w:ascii="宋体" w:hAnsi="宋体" w:eastAsia="宋体" w:cs="宋体"/>
                <w:color w:val="000000" w:themeColor="text1"/>
                <w:sz w:val="21"/>
                <w:szCs w:val="21"/>
                <w:highlight w:val="none"/>
                <w14:textFill>
                  <w14:solidFill>
                    <w14:schemeClr w14:val="tx1"/>
                  </w14:solidFill>
                </w14:textFill>
              </w:rPr>
            </w:pPr>
            <w:bookmarkStart w:id="44" w:name="_Toc9119"/>
            <w:r>
              <w:rPr>
                <w:rFonts w:hint="eastAsia" w:ascii="宋体" w:hAnsi="宋体" w:eastAsia="宋体" w:cs="宋体"/>
                <w:color w:val="000000" w:themeColor="text1"/>
                <w:sz w:val="21"/>
                <w:szCs w:val="21"/>
                <w:highlight w:val="none"/>
                <w14:textFill>
                  <w14:solidFill>
                    <w14:schemeClr w14:val="tx1"/>
                  </w14:solidFill>
                </w14:textFill>
              </w:rPr>
              <w:t>微服务构建工具</w:t>
            </w:r>
            <w:bookmarkEnd w:id="44"/>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投标人需提供标准流程引擎工具，为学校快速构建流程服务，现场实施人员需根据学校需求构建具体的流程服务，用流程引擎工具构建的服务可以永久使用并能够持续升级。</w:t>
            </w:r>
          </w:p>
          <w:p>
            <w:pPr>
              <w:pStyle w:val="4"/>
              <w:tabs>
                <w:tab w:val="left" w:pos="432"/>
              </w:tabs>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流程引擎</w:t>
            </w:r>
          </w:p>
          <w:p>
            <w:pPr>
              <w:pStyle w:val="5"/>
              <w:numPr>
                <w:ilvl w:val="4"/>
                <w:numId w:val="0"/>
              </w:numPr>
              <w:tabs>
                <w:tab w:val="clear" w:pos="1008"/>
              </w:tabs>
              <w:spacing w:line="240" w:lineRule="auto"/>
              <w:ind w:left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流程设计</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投标方需提供一套遵循BPMN2.0规范的流程执行引擎和服务引擎来执行流程及其所定义的服务。可以执行基于BPMN2标准的业务流程模型，包括执行人工任务以及各种事务型服务。提供流程定义完全遵循国际标准的流程执行语言BPMN2.0。</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需采用业内通用并符合BPMN2.0标准的Activiti流程引擎。</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需支持可视化流程设计，支持在Web 页面采用拖拽方式设计流程，支持按照BPMN 流对象与类型进行设置。</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需支持多种流程模式，至少包括顺序、分支、并发、子流程、条件路由、并行会签、串行会签等流程</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需支持多种流程操作权限设置，至少包括提交、退回、追回、转办、终止、催办、加签、跳转、挂起。</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需提供丰富的任务节点类型，至少包括单人活动、多人并行、多人顺序、多人单一几种类型。</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需支持多种办理人设置方式，支持按照人员、部门、用户组、岗位方式设置流程节点办理人；</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需支持多表单设置，在不同流程节点设置不同的表单，每个流程节点上支持PC、移动表单，系统须自动根据访问终端属性定位到PC或者移动表单。</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需支持人工选择下一步分支环节，并可配置这项功能在哪个环节启用；</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需支持人工选择下一步处理人，并可配置这项功能在哪个环节启用；</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需支持配置判断分支条件，根据登录人的基本信息和业务字段信息，进行AND OR 等布尔表达式进行判断。</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需支持多版本管理，支持将修改后的流程保存为新的版本，旧的版本可恢复。</w:t>
            </w:r>
          </w:p>
          <w:p>
            <w:pPr>
              <w:pStyle w:val="5"/>
              <w:numPr>
                <w:ilvl w:val="4"/>
                <w:numId w:val="0"/>
              </w:numPr>
              <w:spacing w:line="240" w:lineRule="auto"/>
              <w:ind w:left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流程统计</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提供流程分析功能，帮助管理人员分析工作流状态，定位工作瓶颈，改进工作流程，提高工作效率。</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支持服务状态统计，如驳回数、挂起数、终止数、办结数；</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支持统计展示服务次数、办理次数的Top10服务清单；</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支持按时间统计流程的发起数和办理次数；</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支持统计所有已发布的流程服务的发起数、办结数、办理次数、办结率、平均耗时、最短耗时、最长耗时；</w:t>
            </w:r>
          </w:p>
          <w:p>
            <w:pPr>
              <w:pStyle w:val="5"/>
              <w:numPr>
                <w:ilvl w:val="4"/>
                <w:numId w:val="0"/>
              </w:numPr>
              <w:spacing w:line="240" w:lineRule="auto"/>
              <w:ind w:left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流程干预</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需支持异常流程查询、干预功能，当异常流程或当前环节处理人无法处理时，服务管理员直接将流程转办、挂起或终止。</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需支持对流程实例进行挂起、激活、终止、办件取回、删除和查看流程状态。</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需支持对流程运行的任务进行人工干预，如提供处理、转办、跳转等功能。</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需支持对不同版本的流程进行再设计、激活、下载流程图、启动等操作。</w:t>
            </w:r>
          </w:p>
          <w:p>
            <w:pPr>
              <w:pStyle w:val="4"/>
              <w:tabs>
                <w:tab w:val="left" w:pos="432"/>
              </w:tabs>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数据模型</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主表字段类型支持字符串、数型、浮点型、长整型、布尔、日期、子列表、附件，日期型数据可定义日期的格式；</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支持在一个服务中创建多个子表，字段类型支持字符型、数字型、布尔、日期、字典、文件；</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数据字典值支持本地添加，接口方式、数据库方式引用；</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支持打印表单设计，满足业务表单内容打印需求，借助模板设计器实现打印表单设计，打印表单中展示的内容引用打印模型中对应的元数据。</w:t>
            </w:r>
          </w:p>
          <w:p>
            <w:pPr>
              <w:pStyle w:val="4"/>
              <w:tabs>
                <w:tab w:val="left" w:pos="432"/>
              </w:tabs>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表单设计</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需支持PC端网页表单、移动端H5网页表单、打印表单，PC端表单制作完成后，自动生成移动H5表单，无需重复制作表单。不同的流程节点可关联不同的表单。</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1)</w:t>
            </w:r>
            <w:r>
              <w:rPr>
                <w:rFonts w:hint="eastAsia" w:ascii="宋体" w:hAnsi="宋体" w:eastAsia="宋体" w:cs="宋体"/>
                <w:color w:val="000000" w:themeColor="text1"/>
                <w:sz w:val="21"/>
                <w:szCs w:val="21"/>
                <w:highlight w:val="none"/>
                <w:lang w:val="zh-CN"/>
                <w14:textFill>
                  <w14:solidFill>
                    <w14:schemeClr w14:val="tx1"/>
                  </w14:solidFill>
                </w14:textFill>
              </w:rPr>
              <w:tab/>
            </w:r>
            <w:r>
              <w:rPr>
                <w:rFonts w:hint="eastAsia" w:ascii="宋体" w:hAnsi="宋体" w:eastAsia="宋体" w:cs="宋体"/>
                <w:color w:val="000000" w:themeColor="text1"/>
                <w:sz w:val="21"/>
                <w:szCs w:val="21"/>
                <w:highlight w:val="none"/>
                <w:lang w:val="zh-CN"/>
                <w14:textFill>
                  <w14:solidFill>
                    <w14:schemeClr w14:val="tx1"/>
                  </w14:solidFill>
                </w14:textFill>
              </w:rPr>
              <w:t>表单设计方式</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需支持WEB方式可视化设计，提供拖拽式、所见即所得的图形化表单设计能力；简单便捷的表单制作，添加字段自动生成表格布局，不需要手工设置表单样式，可以对表单字段拖拽排序。</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2)</w:t>
            </w:r>
            <w:r>
              <w:rPr>
                <w:rFonts w:hint="eastAsia" w:ascii="宋体" w:hAnsi="宋体" w:eastAsia="宋体" w:cs="宋体"/>
                <w:color w:val="000000" w:themeColor="text1"/>
                <w:sz w:val="21"/>
                <w:szCs w:val="21"/>
                <w:highlight w:val="none"/>
                <w:lang w:val="zh-CN"/>
                <w14:textFill>
                  <w14:solidFill>
                    <w14:schemeClr w14:val="tx1"/>
                  </w14:solidFill>
                </w14:textFill>
              </w:rPr>
              <w:tab/>
            </w:r>
            <w:r>
              <w:rPr>
                <w:rFonts w:hint="eastAsia" w:ascii="宋体" w:hAnsi="宋体" w:eastAsia="宋体" w:cs="宋体"/>
                <w:color w:val="000000" w:themeColor="text1"/>
                <w:sz w:val="21"/>
                <w:szCs w:val="21"/>
                <w:highlight w:val="none"/>
                <w:lang w:val="zh-CN"/>
                <w14:textFill>
                  <w14:solidFill>
                    <w14:schemeClr w14:val="tx1"/>
                  </w14:solidFill>
                </w14:textFill>
              </w:rPr>
              <w:t>表单渲染</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表单设计时无需要配置表单样式，由前端组件自动渲染统一风格的界面， PC端和移动端兼容主流浏览器，如IE9及以上版本／Firefox／Chrome／Safari/360。</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3)</w:t>
            </w:r>
            <w:r>
              <w:rPr>
                <w:rFonts w:hint="eastAsia" w:ascii="宋体" w:hAnsi="宋体" w:eastAsia="宋体" w:cs="宋体"/>
                <w:color w:val="000000" w:themeColor="text1"/>
                <w:sz w:val="21"/>
                <w:szCs w:val="21"/>
                <w:highlight w:val="none"/>
                <w:lang w:val="zh-CN"/>
                <w14:textFill>
                  <w14:solidFill>
                    <w14:schemeClr w14:val="tx1"/>
                  </w14:solidFill>
                </w14:textFill>
              </w:rPr>
              <w:tab/>
            </w:r>
            <w:r>
              <w:rPr>
                <w:rFonts w:hint="eastAsia" w:ascii="宋体" w:hAnsi="宋体" w:eastAsia="宋体" w:cs="宋体"/>
                <w:color w:val="000000" w:themeColor="text1"/>
                <w:sz w:val="21"/>
                <w:szCs w:val="21"/>
                <w:highlight w:val="none"/>
                <w:lang w:val="zh-CN"/>
                <w14:textFill>
                  <w14:solidFill>
                    <w14:schemeClr w14:val="tx1"/>
                  </w14:solidFill>
                </w14:textFill>
              </w:rPr>
              <w:t>表单组件</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业务字段组件支持数据模型中的字段批量添加到表单中，支持选择业务字段范围，及字段排序，根据选择的字段自动生成表格展示。</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流程图组件支持在表单中展示流程图，支持展示线性流程图和设计态流程图，通过流程图能够直观看出流程进展状态。</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子列表组件支持在表单中添加多个子表，并选择每个子表展示的字段，子表字段的属性跟主表设置相同。用户填写子表数据时支持新增、编辑、删除、导入、导出及调整次序，无需程序开发。</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流转信息组件支持在表单中展示服务的流程记录，包含节点名称、处理人、处理部门、开始时间、结束时间、审核状态。</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分组标题组件支持表单内容分组展示，可配置每组的标题，并可设置标题的字体大小、颜色</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审核意见组件支持在审核表单中添加审核意见，可设置审核意见选项如同意、不同意，并可针对选项值配置是否填写审核意见。审核意见支持电子印章和电子签名。</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电子签章组件支持手写签名及印章加载选择使用。</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自定义HTML组件支持在表单中自定义HTML代码。</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富文本组件支持在表单中添加富文本内容，可定义文本样式，如字体大小、字体、颜色等。</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打印组件支持在表单中添加打印表单，采用报表设计器制作符合纸质打印的表单。</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栅格布局组件支持运用固定的格子设计版面布局。</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分发记录组件支持在表单中展示服务的流程分发记录，包含分发人、分发说明、所在环节、接受人、处理时间、回复意见、附件。</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分发回复组件支持在分发表单中添加回复意见，并支持附件上传回复。</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发送消息组件支持发送消息提醒，提醒方式包括PC门户和移动校园、PC门户、移动校园、邮件、短信、微信、钉钉。</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4)</w:t>
            </w:r>
            <w:r>
              <w:rPr>
                <w:rFonts w:hint="eastAsia" w:ascii="宋体" w:hAnsi="宋体" w:eastAsia="宋体" w:cs="宋体"/>
                <w:color w:val="000000" w:themeColor="text1"/>
                <w:sz w:val="21"/>
                <w:szCs w:val="21"/>
                <w:highlight w:val="none"/>
                <w:lang w:val="zh-CN"/>
                <w14:textFill>
                  <w14:solidFill>
                    <w14:schemeClr w14:val="tx1"/>
                  </w14:solidFill>
                </w14:textFill>
              </w:rPr>
              <w:tab/>
            </w:r>
            <w:r>
              <w:rPr>
                <w:rFonts w:hint="eastAsia" w:ascii="宋体" w:hAnsi="宋体" w:eastAsia="宋体" w:cs="宋体"/>
                <w:color w:val="000000" w:themeColor="text1"/>
                <w:sz w:val="21"/>
                <w:szCs w:val="21"/>
                <w:highlight w:val="none"/>
                <w:lang w:val="zh-CN"/>
                <w14:textFill>
                  <w14:solidFill>
                    <w14:schemeClr w14:val="tx1"/>
                  </w14:solidFill>
                </w14:textFill>
              </w:rPr>
              <w:t>表单控件属性</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支持单行文本、只读文本、多行文本、序列号、富文本、下拉选择、下拉树、单选、多选、日期、数字、开关、文件上传、头像上传、选择部门、选择人员、批次编号等控件。</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支持控件基本属性设置，标题名称、显示宽度、是否必填、是否显示、是否只读、文本描述、更新选择下一环节、默认值、文件类型及大小。</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支持对表单中输入的内容校验是否符合整数、小数、手机号、固话、邮箱、网址、身份证号、中文、英文、最大长度、以及自定义正则表达式校验。</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5)</w:t>
            </w:r>
            <w:r>
              <w:rPr>
                <w:rFonts w:hint="eastAsia" w:ascii="宋体" w:hAnsi="宋体" w:eastAsia="宋体" w:cs="宋体"/>
                <w:color w:val="000000" w:themeColor="text1"/>
                <w:sz w:val="21"/>
                <w:szCs w:val="21"/>
                <w:highlight w:val="none"/>
                <w:lang w:val="zh-CN"/>
                <w14:textFill>
                  <w14:solidFill>
                    <w14:schemeClr w14:val="tx1"/>
                  </w14:solidFill>
                </w14:textFill>
              </w:rPr>
              <w:tab/>
            </w:r>
            <w:r>
              <w:rPr>
                <w:rFonts w:hint="eastAsia" w:ascii="宋体" w:hAnsi="宋体" w:eastAsia="宋体" w:cs="宋体"/>
                <w:color w:val="000000" w:themeColor="text1"/>
                <w:sz w:val="21"/>
                <w:szCs w:val="21"/>
                <w:highlight w:val="none"/>
                <w:lang w:val="zh-CN"/>
                <w14:textFill>
                  <w14:solidFill>
                    <w14:schemeClr w14:val="tx1"/>
                  </w14:solidFill>
                </w14:textFill>
              </w:rPr>
              <w:t>表单事件</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表单中某字段值满足一定条件时，需要对表单中其他字段设置显示/隐藏、是否必填、是否只读处理，事件支持“值变化”和“单击时”两类，可以通过“交集”和“并集”进行组合，事件触发的操作有“可见性”、“是否必填、“是否只读”。</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6)</w:t>
            </w:r>
            <w:r>
              <w:rPr>
                <w:rFonts w:hint="eastAsia" w:ascii="宋体" w:hAnsi="宋体" w:eastAsia="宋体" w:cs="宋体"/>
                <w:color w:val="000000" w:themeColor="text1"/>
                <w:sz w:val="21"/>
                <w:szCs w:val="21"/>
                <w:highlight w:val="none"/>
                <w:lang w:val="zh-CN"/>
                <w14:textFill>
                  <w14:solidFill>
                    <w14:schemeClr w14:val="tx1"/>
                  </w14:solidFill>
                </w14:textFill>
              </w:rPr>
              <w:tab/>
            </w:r>
            <w:r>
              <w:rPr>
                <w:rFonts w:hint="eastAsia" w:ascii="宋体" w:hAnsi="宋体" w:eastAsia="宋体" w:cs="宋体"/>
                <w:color w:val="000000" w:themeColor="text1"/>
                <w:sz w:val="21"/>
                <w:szCs w:val="21"/>
                <w:highlight w:val="none"/>
                <w:lang w:val="zh-CN"/>
                <w14:textFill>
                  <w14:solidFill>
                    <w14:schemeClr w14:val="tx1"/>
                  </w14:solidFill>
                </w14:textFill>
              </w:rPr>
              <w:t>自动填写</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需支持接口方式、数据源方式从数据中心引用基础数据自动填写到表单的对应字段中，避免重复填写。</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7)</w:t>
            </w:r>
            <w:r>
              <w:rPr>
                <w:rFonts w:hint="eastAsia" w:ascii="宋体" w:hAnsi="宋体" w:eastAsia="宋体" w:cs="宋体"/>
                <w:color w:val="000000" w:themeColor="text1"/>
                <w:sz w:val="21"/>
                <w:szCs w:val="21"/>
                <w:highlight w:val="none"/>
                <w:lang w:val="zh-CN"/>
                <w14:textFill>
                  <w14:solidFill>
                    <w14:schemeClr w14:val="tx1"/>
                  </w14:solidFill>
                </w14:textFill>
              </w:rPr>
              <w:tab/>
            </w:r>
            <w:r>
              <w:rPr>
                <w:rFonts w:hint="eastAsia" w:ascii="宋体" w:hAnsi="宋体" w:eastAsia="宋体" w:cs="宋体"/>
                <w:color w:val="000000" w:themeColor="text1"/>
                <w:sz w:val="21"/>
                <w:szCs w:val="21"/>
                <w:highlight w:val="none"/>
                <w:lang w:val="zh-CN"/>
                <w14:textFill>
                  <w14:solidFill>
                    <w14:schemeClr w14:val="tx1"/>
                  </w14:solidFill>
                </w14:textFill>
              </w:rPr>
              <w:t>自动计算</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给表单中的某个字段编辑计算公式，在填写表单或修改表单数据时，可以使该字段的值根据公式自动计算出来，不需要再手动填写。提高填写表单的效率，将一些数据自动计算出来，减少数据填写工作量及减少错误。</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需支持以下计算表达式：</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SUM(字段1, 字段2)多个字段求和</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AVERAGE(字段1, 字段2)多个字段求平均值</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VALUE(子表.字段3)取子表字段值</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VALUE(字段1)取主表字段值</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CALC(字段1+字段2)自定义表达式，支持+-*/以及()的运算。例：时间天数计算 CALC(时间1-时间2)</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JOINT(字段1+字段2+"的拼接数据")多个字段值拼接</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CALC_AGE(出生年月字段)自动根据出生年月计算年龄</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RELATION(字段1,字段2,字段3)当关联的值发生变化时会取接口返回值重置被关联字段的值</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CALC_HOLIDAY(请假结束时间-请假开始时间)自动根据请假开始时间和请假结束时间计算出请假时长</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MAX(字段1, 字段2)多个字段求最大值</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MIN(字段1, 字段2)多个字段求最小值</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AVG(字段1, 字段2)多个字段求平均值</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8)</w:t>
            </w:r>
            <w:r>
              <w:rPr>
                <w:rFonts w:hint="eastAsia" w:ascii="宋体" w:hAnsi="宋体" w:eastAsia="宋体" w:cs="宋体"/>
                <w:color w:val="000000" w:themeColor="text1"/>
                <w:sz w:val="21"/>
                <w:szCs w:val="21"/>
                <w:highlight w:val="none"/>
                <w:lang w:val="zh-CN"/>
                <w14:textFill>
                  <w14:solidFill>
                    <w14:schemeClr w14:val="tx1"/>
                  </w14:solidFill>
                </w14:textFill>
              </w:rPr>
              <w:tab/>
            </w:r>
            <w:r>
              <w:rPr>
                <w:rFonts w:hint="eastAsia" w:ascii="宋体" w:hAnsi="宋体" w:eastAsia="宋体" w:cs="宋体"/>
                <w:color w:val="000000" w:themeColor="text1"/>
                <w:sz w:val="21"/>
                <w:szCs w:val="21"/>
                <w:highlight w:val="none"/>
                <w:lang w:val="zh-CN"/>
                <w14:textFill>
                  <w14:solidFill>
                    <w14:schemeClr w14:val="tx1"/>
                  </w14:solidFill>
                </w14:textFill>
              </w:rPr>
              <w:t>业务校验</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支持对表单中业务数据校验，不符合校验规则无法提交。如采购金额必须大于0；请假开始时间小于结束时间；在某个时间区间来限制申请次数；服务开放时间限制。</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9)</w:t>
            </w:r>
            <w:r>
              <w:rPr>
                <w:rFonts w:hint="eastAsia" w:ascii="宋体" w:hAnsi="宋体" w:eastAsia="宋体" w:cs="宋体"/>
                <w:color w:val="000000" w:themeColor="text1"/>
                <w:sz w:val="21"/>
                <w:szCs w:val="21"/>
                <w:highlight w:val="none"/>
                <w:lang w:val="zh-CN"/>
                <w14:textFill>
                  <w14:solidFill>
                    <w14:schemeClr w14:val="tx1"/>
                  </w14:solidFill>
                </w14:textFill>
              </w:rPr>
              <w:tab/>
            </w:r>
            <w:r>
              <w:rPr>
                <w:rFonts w:hint="eastAsia" w:ascii="宋体" w:hAnsi="宋体" w:eastAsia="宋体" w:cs="宋体"/>
                <w:color w:val="000000" w:themeColor="text1"/>
                <w:sz w:val="21"/>
                <w:szCs w:val="21"/>
                <w:highlight w:val="none"/>
                <w:lang w:val="zh-CN"/>
                <w14:textFill>
                  <w14:solidFill>
                    <w14:schemeClr w14:val="tx1"/>
                  </w14:solidFill>
                </w14:textFill>
              </w:rPr>
              <w:t>数据联动</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支持可视化数据联动配置，通过表单中某字段等于某个值的时候联动赋值主表或子表中其他字段的值。</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10)</w:t>
            </w:r>
            <w:r>
              <w:rPr>
                <w:rFonts w:hint="eastAsia" w:ascii="宋体" w:hAnsi="宋体" w:eastAsia="宋体" w:cs="宋体"/>
                <w:color w:val="000000" w:themeColor="text1"/>
                <w:sz w:val="21"/>
                <w:szCs w:val="21"/>
                <w:highlight w:val="none"/>
                <w:lang w:val="zh-CN"/>
                <w14:textFill>
                  <w14:solidFill>
                    <w14:schemeClr w14:val="tx1"/>
                  </w14:solidFill>
                </w14:textFill>
              </w:rPr>
              <w:tab/>
            </w:r>
            <w:r>
              <w:rPr>
                <w:rFonts w:hint="eastAsia" w:ascii="宋体" w:hAnsi="宋体" w:eastAsia="宋体" w:cs="宋体"/>
                <w:color w:val="000000" w:themeColor="text1"/>
                <w:sz w:val="21"/>
                <w:szCs w:val="21"/>
                <w:highlight w:val="none"/>
                <w:lang w:val="zh-CN"/>
                <w14:textFill>
                  <w14:solidFill>
                    <w14:schemeClr w14:val="tx1"/>
                  </w14:solidFill>
                </w14:textFill>
              </w:rPr>
              <w:t>自定义编号</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支持给表单按照自定义规则设置唯一编号，如${yyyyMM}${</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lang w:val="zh-CN"/>
                <w14:textFill>
                  <w14:solidFill>
                    <w14:schemeClr w14:val="tx1"/>
                  </w14:solidFill>
                </w14:textFill>
              </w:rPr>
              <w:t>部门}xxx${%3d}；</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支持序列号自增的编号，取模型中某个数据的值，当前的时间；</w:t>
            </w:r>
          </w:p>
          <w:p>
            <w:pPr>
              <w:pStyle w:val="13"/>
              <w:widowControl w:val="0"/>
              <w:numPr>
                <w:ilvl w:val="0"/>
                <w:numId w:val="2"/>
              </w:numPr>
              <w:ind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表单打印</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需支持可视化方式制作符合纸质打印标准的表单模板，每个流程节点都可配置不同的打印模板。打印表单需支持导出成word、excel、pdf文件。</w:t>
            </w:r>
          </w:p>
          <w:p>
            <w:pPr>
              <w:pStyle w:val="4"/>
              <w:tabs>
                <w:tab w:val="left" w:pos="432"/>
              </w:tabs>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报表引擎</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需提供报表引擎，构建的微服务支持按照表单字段生成数据报表。</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需支持饼状图、柱状图呈现方式；</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统计方式支持按照总和、平均值、最大值、最小值。</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基于报表引擎，支持自定义设计统计报表。</w:t>
            </w:r>
          </w:p>
          <w:p>
            <w:pPr>
              <w:pStyle w:val="4"/>
              <w:tabs>
                <w:tab w:val="left" w:pos="432"/>
              </w:tabs>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数据管理页面构建</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需支持构建PC端、移动端H5页面，根据不同的需求构建不同的列表页面，如审核列表页、查询列表页、数据管理页面等：</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支持配置页面中的高级搜索、快捷搜索字段；</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支持在页面中添加工具按钮；支持配置列表展示字段范围、字段显示名称、字段列宽、显示隐藏等；</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支持配置列表数据显示条件，根据条件显示不同的数据；</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支持配置列表的操作按钮，如查看、编辑、删除、挂起、终止等；</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支持配置列表中的某个字段统计，如最大值、最小值、平均值、总和、计数；支持配置列表按某个字段降序、升序排序。</w:t>
            </w:r>
          </w:p>
          <w:p>
            <w:pPr>
              <w:pStyle w:val="4"/>
              <w:tabs>
                <w:tab w:val="left" w:pos="432"/>
              </w:tabs>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微服务菜单配置</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采用可视化配置方式设计流程服务的功能菜单。菜单链接地址可以选择已设计完成的数据管理页面、表单页面、连接至其他应用程序URL；</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系统内置内置批次管理、权限管理、服务帮助、申请须知、统计分析、任职管理、消息发送模块，不同的微服务可根据实际需求选择使用；</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配置的菜单支持分角色授权，给不同的角色人员分配不同的菜单权限，权限颗粒度到功能按钮。</w:t>
            </w:r>
          </w:p>
          <w:p>
            <w:pPr>
              <w:pStyle w:val="4"/>
              <w:tabs>
                <w:tab w:val="left" w:pos="432"/>
              </w:tabs>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数据引用和推送管理</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数据引用，流程中心构建的流程服务支持数据源、接口方式从数据中心获取数据。</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数据写入，流程服务产生的业务数据需采用二维表方式存储，支持ETL或者接口方式同步到数据中心的对应的表中。</w:t>
            </w:r>
          </w:p>
          <w:p>
            <w:pPr>
              <w:pStyle w:val="4"/>
              <w:tabs>
                <w:tab w:val="left" w:pos="432"/>
              </w:tabs>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任职管理</w:t>
            </w:r>
          </w:p>
          <w:p>
            <w:pPr>
              <w:pStyle w:val="13"/>
              <w:widowControl w:val="0"/>
              <w:numPr>
                <w:ilvl w:val="0"/>
                <w:numId w:val="2"/>
              </w:numPr>
              <w:ind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教职工任职管理</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提供流程流转需要的教职工任职信息和任职人员管理模块，支持流程环节上处理人配置相应的组织任职人员；通过组织任职，可以找到所在部门领导、部门秘书、分管领导等。适用的业务场景如：不同部门人员申请，对应到自己部门领导审核。</w:t>
            </w:r>
          </w:p>
          <w:p>
            <w:pPr>
              <w:pStyle w:val="13"/>
              <w:widowControl w:val="0"/>
              <w:numPr>
                <w:ilvl w:val="0"/>
                <w:numId w:val="2"/>
              </w:numPr>
              <w:ind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学生任职管理</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提供流程流转需要的学生相关任职信息和任职人员管理模块，主要对流程环节上处理人配置相应的学生任职管理人员；通过学生任职管理，可以找到学生所在班级的班主任、辅导员、院系领导、学校领导等。适用的业务场景如：不同班级学生申请，对应到自己班级的辅导员审核。</w:t>
            </w:r>
          </w:p>
          <w:p>
            <w:pPr>
              <w:pStyle w:val="4"/>
              <w:tabs>
                <w:tab w:val="left" w:pos="432"/>
              </w:tabs>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电子印章</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1）支持导入电子签名及部门印章图片，并且授权哪些用户可以使用电子印章。如在流程运行过程中，审批人出具审批意见后可以插入个人电子签名。</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2）集成手写签名能力，包括移动端和PC端，PC端提供二维码移动端扫描后在移动端签名提交。</w:t>
            </w:r>
          </w:p>
          <w:p>
            <w:pPr>
              <w:pStyle w:val="4"/>
              <w:tabs>
                <w:tab w:val="left" w:pos="432"/>
              </w:tabs>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任务中心</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集成任务中心，包括处理待办任务、查看已办任务等，统一待办入口处理办件。</w:t>
            </w:r>
          </w:p>
          <w:p>
            <w:pPr>
              <w:pStyle w:val="4"/>
              <w:tabs>
                <w:tab w:val="left" w:pos="432"/>
              </w:tabs>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服务委派</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当流程任务办理人员临时有事（如出国学习、休陪、产假等），不能及时处理任务时，可以设置在一段时间内把任务委托给其他人处理。在确定的某个时间段中，当某个业务流程产生工作任务时，委托人的任务委托给被委托人，该流程以后产生的任务将发送至被委托人来处理，委托人同样能处理该工作任务。</w:t>
            </w:r>
          </w:p>
          <w:p>
            <w:pPr>
              <w:pStyle w:val="4"/>
              <w:tabs>
                <w:tab w:val="left" w:pos="432"/>
              </w:tabs>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操作记录</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记录用户的关键操作日志, 可以快速查找配置服务中的错误或异常记录，以便后期的系统维护,方便查看问题,及时排除等原因。</w:t>
            </w:r>
          </w:p>
          <w:p>
            <w:pPr>
              <w:pStyle w:val="4"/>
              <w:tabs>
                <w:tab w:val="left" w:pos="432"/>
              </w:tabs>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在线预览</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支持office文档、图片在线预览。</w:t>
            </w:r>
          </w:p>
          <w:p>
            <w:pPr>
              <w:pStyle w:val="4"/>
              <w:tabs>
                <w:tab w:val="left" w:pos="432"/>
              </w:tabs>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意见反馈</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支持意见反馈，并且管理员角色可以进行意见回复。</w:t>
            </w:r>
          </w:p>
          <w:p>
            <w:pPr>
              <w:pStyle w:val="4"/>
              <w:tabs>
                <w:tab w:val="left" w:pos="432"/>
              </w:tabs>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数据维护</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支持数据模型反向生成使用已有数据库表并且支持数据编辑维护。</w:t>
            </w:r>
          </w:p>
          <w:p>
            <w:pPr>
              <w:pStyle w:val="4"/>
              <w:tabs>
                <w:tab w:val="left" w:pos="432"/>
              </w:tabs>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服务批次</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设置发起流程的时间窗口的能力。包括：设置批次名称、批次时间窗口、窗口时间内发起流程的人员范围。</w:t>
            </w:r>
          </w:p>
          <w:p>
            <w:pPr>
              <w:pStyle w:val="4"/>
              <w:tabs>
                <w:tab w:val="left" w:pos="432"/>
              </w:tabs>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批量审核</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流程办理中，办理人员对一批流程数据的批量审核或审批能力。</w:t>
            </w:r>
          </w:p>
          <w:p>
            <w:pPr>
              <w:pStyle w:val="4"/>
              <w:tabs>
                <w:tab w:val="left" w:pos="432"/>
              </w:tabs>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动态节点</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流程运行过程中，流程当前节点的办理人动态设置下一节点办理人员的能力。</w:t>
            </w:r>
          </w:p>
          <w:p>
            <w:pPr>
              <w:pStyle w:val="4"/>
              <w:tabs>
                <w:tab w:val="left" w:pos="432"/>
              </w:tabs>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资源占用</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资源相关的管理、占用、释放业务提供支撑的能力。</w:t>
            </w:r>
          </w:p>
          <w:p>
            <w:pPr>
              <w:pStyle w:val="4"/>
              <w:tabs>
                <w:tab w:val="left" w:pos="432"/>
              </w:tabs>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模板管理</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提供本地模板库，支持将共性的流程服务设置为标准模板，其他类似需求的流程服务可基于此模板快速构建流程服务。</w:t>
            </w:r>
          </w:p>
          <w:p>
            <w:pPr>
              <w:pStyle w:val="4"/>
              <w:tabs>
                <w:tab w:val="left" w:pos="432"/>
              </w:tabs>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构建的微服务要满足以下特性</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交付的每个微服务业务上要完整闭环，从业务完整性设计，既要满足师生用户的办事需求，也要满足管理者的业务管理需求。采用业务闭环的微型“MIS”方式构建，每个微服务都独立包含申请、审核、查询、统计分析、数据管理、流程配置、授权管理模块、以及其他业务管理模块。</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申请模块：支持发起申请，保存草稿，查看历史申请，；</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审核模块：支持按照任务状态、表单中的业务字段查询，以及办件查看、审核；</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查询模块：支持按照流程状态、选择的表单和流程字段查询业务数据，数据列表展示的字段可配置；并支持根据业务需求可视化添加查看、新增、编辑、删除、导出、导入、置顶、复制、打印、评价、挂起、激活、终止功能；</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统计模块：支持按照业务字段配置统计报表，并能生成饼图、柱状图、数据表格；</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流程干预模块：支持管理员对流程挂起、激活、终止，支持流程任务转办、跳转；</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申请须知模块：在申请前支持以弹出提示窗口说明；</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服务帮助模块：支持在线维护对用户提供该服务使用的帮助说明，例如办理注意事项说明；</w:t>
            </w:r>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服务管理模块：支持按菜单模块和功能按钮分角色授权，服务管理员可以自行维护，不需要技术人员参与，如调整服务使用权限、调整流程处理人、服务开放配置、统计分析维度设置、任职管理。</w:t>
            </w:r>
          </w:p>
          <w:p>
            <w:pPr>
              <w:pStyle w:val="3"/>
              <w:tabs>
                <w:tab w:val="left" w:pos="432"/>
              </w:tabs>
              <w:spacing w:before="120" w:after="120"/>
              <w:rPr>
                <w:rFonts w:hint="eastAsia" w:ascii="宋体" w:hAnsi="宋体" w:eastAsia="宋体" w:cs="宋体"/>
                <w:color w:val="000000" w:themeColor="text1"/>
                <w:sz w:val="21"/>
                <w:szCs w:val="21"/>
                <w:highlight w:val="none"/>
                <w14:textFill>
                  <w14:solidFill>
                    <w14:schemeClr w14:val="tx1"/>
                  </w14:solidFill>
                </w14:textFill>
              </w:rPr>
            </w:pPr>
            <w:bookmarkStart w:id="45" w:name="_Toc9837"/>
            <w:r>
              <w:rPr>
                <w:rFonts w:hint="eastAsia" w:ascii="宋体" w:hAnsi="宋体" w:eastAsia="宋体" w:cs="宋体"/>
                <w:color w:val="000000" w:themeColor="text1"/>
                <w:sz w:val="21"/>
                <w:szCs w:val="21"/>
                <w:highlight w:val="none"/>
                <w14:textFill>
                  <w14:solidFill>
                    <w14:schemeClr w14:val="tx1"/>
                  </w14:solidFill>
                </w14:textFill>
              </w:rPr>
              <w:t>流程服务构建</w:t>
            </w:r>
            <w:bookmarkEnd w:id="45"/>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为学校建设30个流程审批类服务，学校待建设的流程服务功能上有共性，主要是业务流程、申请表单有差异，可基于可视化的流程服务构建工具构建，采用微型“MIS”方式建设，每个流程服务都独立包含但不仅限于我的申请、待审核、数据查询、数据统计、数据管理、流程配置、授权管理模块，每个流程服务支持PC端和移动H5。具体内容需根据学校后续需求建设。</w:t>
            </w:r>
          </w:p>
          <w:p>
            <w:pPr>
              <w:pStyle w:val="3"/>
              <w:tabs>
                <w:tab w:val="left" w:pos="432"/>
              </w:tabs>
              <w:spacing w:before="120" w:after="120"/>
              <w:rPr>
                <w:rFonts w:hint="eastAsia" w:ascii="宋体" w:hAnsi="宋体" w:eastAsia="宋体" w:cs="宋体"/>
                <w:color w:val="000000" w:themeColor="text1"/>
                <w:sz w:val="21"/>
                <w:szCs w:val="21"/>
                <w:highlight w:val="none"/>
                <w14:textFill>
                  <w14:solidFill>
                    <w14:schemeClr w14:val="tx1"/>
                  </w14:solidFill>
                </w14:textFill>
              </w:rPr>
            </w:pPr>
            <w:bookmarkStart w:id="46" w:name="_Toc32158"/>
            <w:r>
              <w:rPr>
                <w:rFonts w:hint="eastAsia" w:ascii="宋体" w:hAnsi="宋体" w:eastAsia="宋体" w:cs="宋体"/>
                <w:color w:val="000000" w:themeColor="text1"/>
                <w:sz w:val="21"/>
                <w:szCs w:val="21"/>
                <w:highlight w:val="none"/>
                <w14:textFill>
                  <w14:solidFill>
                    <w14:schemeClr w14:val="tx1"/>
                  </w14:solidFill>
                </w14:textFill>
              </w:rPr>
              <w:t>定制服务</w:t>
            </w:r>
            <w:bookmarkEnd w:id="46"/>
          </w:p>
          <w:p>
            <w:pPr>
              <w:ind w:firstLine="48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需根据学校需求定制开发10个除流程服务以外的微服务，</w:t>
            </w:r>
            <w:r>
              <w:rPr>
                <w:rFonts w:hint="eastAsia" w:ascii="宋体" w:hAnsi="宋体" w:eastAsia="宋体" w:cs="宋体"/>
                <w:color w:val="000000" w:themeColor="text1"/>
                <w:sz w:val="21"/>
                <w:szCs w:val="21"/>
                <w:highlight w:val="none"/>
                <w14:textFill>
                  <w14:solidFill>
                    <w14:schemeClr w14:val="tx1"/>
                  </w14:solidFill>
                </w14:textFill>
              </w:rPr>
              <w:t>具体内容需根据学校后续需求建设。</w:t>
            </w:r>
          </w:p>
        </w:tc>
        <w:tc>
          <w:tcPr>
            <w:tcW w:w="670"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1.4数据治理中台</w:t>
            </w:r>
          </w:p>
        </w:tc>
        <w:tc>
          <w:tcPr>
            <w:tcW w:w="8168" w:type="dxa"/>
            <w:vAlign w:val="center"/>
          </w:tcPr>
          <w:p>
            <w:pPr>
              <w:pStyle w:val="2"/>
              <w:tabs>
                <w:tab w:val="left" w:pos="432"/>
              </w:tabs>
              <w:spacing w:before="120" w:after="120"/>
              <w:ind w:left="0" w:leftChars="0" w:firstLine="0" w:firstLineChars="0"/>
              <w:jc w:val="both"/>
              <w:rPr>
                <w:rFonts w:hint="eastAsia" w:ascii="宋体" w:hAnsi="宋体" w:eastAsia="宋体" w:cs="宋体"/>
                <w:bCs w:val="0"/>
                <w:snapToGrid w:val="0"/>
                <w:color w:val="000000" w:themeColor="text1"/>
                <w:kern w:val="0"/>
                <w:sz w:val="21"/>
                <w:szCs w:val="21"/>
                <w:highlight w:val="none"/>
                <w14:textFill>
                  <w14:solidFill>
                    <w14:schemeClr w14:val="tx1"/>
                  </w14:solidFill>
                </w14:textFill>
              </w:rPr>
            </w:pPr>
            <w:bookmarkStart w:id="47" w:name="_Toc11371"/>
            <w:bookmarkStart w:id="48" w:name="_Toc166341740"/>
            <w:r>
              <w:rPr>
                <w:rFonts w:hint="eastAsia" w:ascii="宋体" w:hAnsi="宋体" w:eastAsia="宋体" w:cs="宋体"/>
                <w:bCs w:val="0"/>
                <w:snapToGrid w:val="0"/>
                <w:color w:val="000000" w:themeColor="text1"/>
                <w:kern w:val="0"/>
                <w:sz w:val="21"/>
                <w:szCs w:val="21"/>
                <w:highlight w:val="none"/>
                <w14:textFill>
                  <w14:solidFill>
                    <w14:schemeClr w14:val="tx1"/>
                  </w14:solidFill>
                </w14:textFill>
              </w:rPr>
              <w:t>数据治理中台</w:t>
            </w:r>
            <w:bookmarkEnd w:id="47"/>
            <w:bookmarkEnd w:id="48"/>
          </w:p>
          <w:p>
            <w:pPr>
              <w:pStyle w:val="3"/>
              <w:tabs>
                <w:tab w:val="left" w:pos="432"/>
              </w:tabs>
              <w:spacing w:before="120" w:after="120"/>
              <w:rPr>
                <w:rFonts w:hint="eastAsia" w:ascii="宋体" w:hAnsi="宋体" w:eastAsia="宋体" w:cs="宋体"/>
                <w:color w:val="000000" w:themeColor="text1"/>
                <w:sz w:val="21"/>
                <w:szCs w:val="21"/>
                <w:highlight w:val="none"/>
                <w14:textFill>
                  <w14:solidFill>
                    <w14:schemeClr w14:val="tx1"/>
                  </w14:solidFill>
                </w14:textFill>
              </w:rPr>
            </w:pPr>
            <w:bookmarkStart w:id="49" w:name="_Toc18774"/>
            <w:bookmarkStart w:id="50" w:name="_Toc166341741"/>
            <w:bookmarkStart w:id="51" w:name="_Toc159428274"/>
            <w:bookmarkStart w:id="52" w:name="_Toc6796"/>
            <w:r>
              <w:rPr>
                <w:rFonts w:hint="eastAsia" w:ascii="宋体" w:hAnsi="宋体" w:eastAsia="宋体" w:cs="宋体"/>
                <w:bCs w:val="0"/>
                <w:color w:val="000000" w:themeColor="text1"/>
                <w:kern w:val="0"/>
                <w:sz w:val="21"/>
                <w:szCs w:val="21"/>
                <w:highlight w:val="none"/>
                <w14:textFill>
                  <w14:solidFill>
                    <w14:schemeClr w14:val="tx1"/>
                  </w14:solidFill>
                </w14:textFill>
              </w:rPr>
              <w:t>数据</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资产管理</w:t>
            </w:r>
            <w:r>
              <w:rPr>
                <w:rFonts w:hint="eastAsia" w:ascii="宋体" w:hAnsi="宋体" w:eastAsia="宋体" w:cs="宋体"/>
                <w:bCs w:val="0"/>
                <w:color w:val="000000" w:themeColor="text1"/>
                <w:kern w:val="0"/>
                <w:sz w:val="21"/>
                <w:szCs w:val="21"/>
                <w:highlight w:val="none"/>
                <w14:textFill>
                  <w14:solidFill>
                    <w14:schemeClr w14:val="tx1"/>
                  </w14:solidFill>
                </w14:textFill>
              </w:rPr>
              <w:t>平台</w:t>
            </w:r>
            <w:bookmarkEnd w:id="49"/>
            <w:bookmarkEnd w:id="50"/>
          </w:p>
          <w:p>
            <w:pPr>
              <w:pStyle w:val="4"/>
              <w:tabs>
                <w:tab w:val="left" w:pos="432"/>
              </w:tabs>
              <w:spacing w:before="163" w:after="163"/>
              <w:rPr>
                <w:rFonts w:hint="eastAsia" w:ascii="宋体" w:hAnsi="宋体" w:eastAsia="宋体" w:cs="宋体"/>
                <w:color w:val="000000" w:themeColor="text1"/>
                <w:sz w:val="21"/>
                <w:szCs w:val="21"/>
                <w:highlight w:val="none"/>
                <w14:textFill>
                  <w14:solidFill>
                    <w14:schemeClr w14:val="tx1"/>
                  </w14:solidFill>
                </w14:textFill>
              </w:rPr>
            </w:pPr>
            <w:bookmarkStart w:id="53" w:name="_Toc159428275"/>
            <w:r>
              <w:rPr>
                <w:rFonts w:hint="eastAsia" w:ascii="宋体" w:hAnsi="宋体" w:eastAsia="宋体" w:cs="宋体"/>
                <w:color w:val="000000" w:themeColor="text1"/>
                <w:sz w:val="21"/>
                <w:szCs w:val="21"/>
                <w:highlight w:val="none"/>
                <w14:textFill>
                  <w14:solidFill>
                    <w14:schemeClr w14:val="tx1"/>
                  </w14:solidFill>
                </w14:textFill>
              </w:rPr>
              <w:t>元数据管理</w:t>
            </w:r>
            <w:bookmarkEnd w:id="53"/>
          </w:p>
          <w:p>
            <w:pPr>
              <w:pStyle w:val="15"/>
              <w:numPr>
                <w:ilvl w:val="0"/>
                <w:numId w:val="8"/>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支持在页面可视化管理元模型架构，需包含关系型数据库元模型架构、任务元模型架构和仪表板元模型三种架构。支持元模型架构的新增、编辑、删除等操作。</w:t>
            </w:r>
          </w:p>
          <w:p>
            <w:pPr>
              <w:pStyle w:val="15"/>
              <w:numPr>
                <w:ilvl w:val="0"/>
                <w:numId w:val="8"/>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支持元数据采集任务配置管理，需包括调度周期、采集名单和入库策略。调度周期支持采集任务的自动执行时间，如果不填则手动触发任务运行；采集名单支持从源头选择采集哪些元数据，可通过正则表达式过滤掉不需要采集的元数据；入库策略支持新增、更新、删除三种选项；</w:t>
            </w:r>
          </w:p>
          <w:p>
            <w:pPr>
              <w:pStyle w:val="15"/>
              <w:numPr>
                <w:ilvl w:val="0"/>
                <w:numId w:val="8"/>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支持查看元模型架构实例下展示包含的各级元数据的信息。详情页需包含元数据的概览信息、核心元模型全链分析和版本管理；</w:t>
            </w:r>
          </w:p>
          <w:p>
            <w:pPr>
              <w:pStyle w:val="15"/>
              <w:numPr>
                <w:ilvl w:val="0"/>
                <w:numId w:val="8"/>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支持对核心元模型（表、任务、仪表板）进行搜索。在搜索框中输入关键字，搜索后需按照表、任务、仪表板展示匹配到的元数据，命中属性会高亮展示，同时会列出匹配依据。</w:t>
            </w:r>
          </w:p>
          <w:p>
            <w:pPr>
              <w:pStyle w:val="4"/>
              <w:tabs>
                <w:tab w:val="left" w:pos="432"/>
              </w:tabs>
              <w:spacing w:before="163" w:after="163"/>
              <w:rPr>
                <w:rFonts w:hint="eastAsia" w:ascii="宋体" w:hAnsi="宋体" w:eastAsia="宋体" w:cs="宋体"/>
                <w:color w:val="000000" w:themeColor="text1"/>
                <w:sz w:val="21"/>
                <w:szCs w:val="21"/>
                <w:highlight w:val="none"/>
                <w14:textFill>
                  <w14:solidFill>
                    <w14:schemeClr w14:val="tx1"/>
                  </w14:solidFill>
                </w14:textFill>
              </w:rPr>
            </w:pPr>
            <w:bookmarkStart w:id="54" w:name="_Toc159428279"/>
            <w:r>
              <w:rPr>
                <w:rFonts w:hint="eastAsia" w:ascii="宋体" w:hAnsi="宋体" w:eastAsia="宋体" w:cs="宋体"/>
                <w:color w:val="000000" w:themeColor="text1"/>
                <w:sz w:val="21"/>
                <w:szCs w:val="21"/>
                <w:highlight w:val="none"/>
                <w14:textFill>
                  <w14:solidFill>
                    <w14:schemeClr w14:val="tx1"/>
                  </w14:solidFill>
                </w14:textFill>
              </w:rPr>
              <w:t>信息标准管理</w:t>
            </w:r>
            <w:bookmarkEnd w:id="54"/>
          </w:p>
          <w:p>
            <w:pPr>
              <w:pStyle w:val="15"/>
              <w:spacing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需围绕信息标准管理提供相关工具，满足数据元素标准、标准</w:t>
            </w:r>
            <w:r>
              <w:rPr>
                <w:rFonts w:hint="eastAsia" w:ascii="宋体" w:hAnsi="宋体" w:eastAsia="宋体" w:cs="宋体"/>
                <w:color w:val="000000" w:themeColor="text1"/>
                <w:sz w:val="21"/>
                <w:szCs w:val="21"/>
                <w:highlight w:val="none"/>
                <w:lang w:eastAsia="zh-Hans"/>
                <w14:textFill>
                  <w14:solidFill>
                    <w14:schemeClr w14:val="tx1"/>
                  </w14:solidFill>
                </w14:textFill>
              </w:rPr>
              <w:t>代码</w:t>
            </w:r>
            <w:r>
              <w:rPr>
                <w:rFonts w:hint="eastAsia" w:ascii="宋体" w:hAnsi="宋体" w:eastAsia="宋体" w:cs="宋体"/>
                <w:color w:val="000000" w:themeColor="text1"/>
                <w:sz w:val="21"/>
                <w:szCs w:val="21"/>
                <w:highlight w:val="none"/>
                <w14:textFill>
                  <w14:solidFill>
                    <w14:schemeClr w14:val="tx1"/>
                  </w14:solidFill>
                </w14:textFill>
              </w:rPr>
              <w:t>与标准</w:t>
            </w:r>
            <w:r>
              <w:rPr>
                <w:rFonts w:hint="eastAsia" w:ascii="宋体" w:hAnsi="宋体" w:eastAsia="宋体" w:cs="宋体"/>
                <w:color w:val="000000" w:themeColor="text1"/>
                <w:sz w:val="21"/>
                <w:szCs w:val="21"/>
                <w:highlight w:val="none"/>
                <w:lang w:eastAsia="zh-Hans"/>
                <w14:textFill>
                  <w14:solidFill>
                    <w14:schemeClr w14:val="tx1"/>
                  </w14:solidFill>
                </w14:textFill>
              </w:rPr>
              <w:t>文档</w:t>
            </w:r>
            <w:r>
              <w:rPr>
                <w:rFonts w:hint="eastAsia" w:ascii="宋体" w:hAnsi="宋体" w:eastAsia="宋体" w:cs="宋体"/>
                <w:color w:val="000000" w:themeColor="text1"/>
                <w:sz w:val="21"/>
                <w:szCs w:val="21"/>
                <w:highlight w:val="none"/>
                <w14:textFill>
                  <w14:solidFill>
                    <w14:schemeClr w14:val="tx1"/>
                  </w14:solidFill>
                </w14:textFill>
              </w:rPr>
              <w:t>的管理功能。</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具体要求如下：</w:t>
            </w:r>
          </w:p>
          <w:p>
            <w:pPr>
              <w:pStyle w:val="5"/>
              <w:numPr>
                <w:ilvl w:val="4"/>
                <w:numId w:val="0"/>
              </w:numPr>
              <w:tabs>
                <w:tab w:val="clear" w:pos="1008"/>
              </w:tabs>
              <w:spacing w:line="240" w:lineRule="auto"/>
              <w:ind w:left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数据元素</w:t>
            </w:r>
          </w:p>
          <w:p>
            <w:pPr>
              <w:pStyle w:val="15"/>
              <w:numPr>
                <w:ilvl w:val="0"/>
                <w:numId w:val="9"/>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eastAsia="zh-Hans"/>
                <w14:textFill>
                  <w14:solidFill>
                    <w14:schemeClr w14:val="tx1"/>
                  </w14:solidFill>
                </w14:textFill>
              </w:rPr>
              <w:t>需支持批量导入《GB/T 36351.2-2018 信息技术 学习、教育和培训 教育管理数据元素 第2部分：公共数据元素》中的</w:t>
            </w:r>
            <w:r>
              <w:rPr>
                <w:rFonts w:hint="eastAsia" w:ascii="宋体" w:hAnsi="宋体" w:eastAsia="宋体" w:cs="宋体"/>
                <w:color w:val="000000" w:themeColor="text1"/>
                <w:sz w:val="21"/>
                <w:szCs w:val="21"/>
                <w:highlight w:val="none"/>
                <w14:textFill>
                  <w14:solidFill>
                    <w14:schemeClr w14:val="tx1"/>
                  </w14:solidFill>
                </w14:textFill>
              </w:rPr>
              <w:t>标准</w:t>
            </w:r>
            <w:r>
              <w:rPr>
                <w:rFonts w:hint="eastAsia" w:ascii="宋体" w:hAnsi="宋体" w:eastAsia="宋体" w:cs="宋体"/>
                <w:color w:val="000000" w:themeColor="text1"/>
                <w:sz w:val="21"/>
                <w:szCs w:val="21"/>
                <w:highlight w:val="none"/>
                <w:lang w:eastAsia="zh-Hans"/>
                <w14:textFill>
                  <w14:solidFill>
                    <w14:schemeClr w14:val="tx1"/>
                  </w14:solidFill>
                </w14:textFill>
              </w:rPr>
              <w:t>数据元素</w:t>
            </w:r>
            <w:r>
              <w:rPr>
                <w:rFonts w:hint="eastAsia" w:ascii="宋体" w:hAnsi="宋体" w:eastAsia="宋体" w:cs="宋体"/>
                <w:color w:val="000000" w:themeColor="text1"/>
                <w:sz w:val="21"/>
                <w:szCs w:val="21"/>
                <w:highlight w:val="none"/>
                <w14:textFill>
                  <w14:solidFill>
                    <w14:schemeClr w14:val="tx1"/>
                  </w14:solidFill>
                </w14:textFill>
              </w:rPr>
              <w:t>到平台。导入时，需</w:t>
            </w:r>
            <w:r>
              <w:rPr>
                <w:rFonts w:hint="eastAsia" w:ascii="宋体" w:hAnsi="宋体" w:eastAsia="宋体" w:cs="宋体"/>
                <w:color w:val="000000" w:themeColor="text1"/>
                <w:sz w:val="21"/>
                <w:szCs w:val="21"/>
                <w:highlight w:val="none"/>
                <w:lang w:eastAsia="zh-Hans"/>
                <w14:textFill>
                  <w14:solidFill>
                    <w14:schemeClr w14:val="tx1"/>
                  </w14:solidFill>
                </w14:textFill>
              </w:rPr>
              <w:t>能</w:t>
            </w:r>
            <w:r>
              <w:rPr>
                <w:rFonts w:hint="eastAsia" w:ascii="宋体" w:hAnsi="宋体" w:eastAsia="宋体" w:cs="宋体"/>
                <w:color w:val="000000" w:themeColor="text1"/>
                <w:sz w:val="21"/>
                <w:szCs w:val="21"/>
                <w:highlight w:val="none"/>
                <w14:textFill>
                  <w14:solidFill>
                    <w14:schemeClr w14:val="tx1"/>
                  </w14:solidFill>
                </w14:textFill>
              </w:rPr>
              <w:t>检测数据元素依赖的标准代码是否存在，不存在时，需要同步导入依赖的标准代码。</w:t>
            </w:r>
          </w:p>
          <w:p>
            <w:pPr>
              <w:pStyle w:val="15"/>
              <w:numPr>
                <w:ilvl w:val="0"/>
                <w:numId w:val="9"/>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需支持对数据元素进行查询、新增、注册、</w:t>
            </w:r>
            <w:r>
              <w:rPr>
                <w:rFonts w:hint="eastAsia" w:ascii="宋体" w:hAnsi="宋体" w:eastAsia="宋体" w:cs="宋体"/>
                <w:color w:val="000000" w:themeColor="text1"/>
                <w:sz w:val="21"/>
                <w:szCs w:val="21"/>
                <w:highlight w:val="none"/>
                <w:lang w:eastAsia="zh-Hans"/>
                <w14:textFill>
                  <w14:solidFill>
                    <w14:schemeClr w14:val="tx1"/>
                  </w14:solidFill>
                </w14:textFill>
              </w:rPr>
              <w:t>标准落实</w:t>
            </w:r>
            <w:r>
              <w:rPr>
                <w:rFonts w:hint="eastAsia" w:ascii="宋体" w:hAnsi="宋体" w:eastAsia="宋体" w:cs="宋体"/>
                <w:color w:val="000000" w:themeColor="text1"/>
                <w:sz w:val="21"/>
                <w:szCs w:val="21"/>
                <w:highlight w:val="none"/>
                <w14:textFill>
                  <w14:solidFill>
                    <w14:schemeClr w14:val="tx1"/>
                  </w14:solidFill>
                </w14:textFill>
              </w:rPr>
              <w:t>、变更、废止等管理功能。</w:t>
            </w:r>
          </w:p>
          <w:p>
            <w:pPr>
              <w:pStyle w:val="15"/>
              <w:numPr>
                <w:ilvl w:val="0"/>
                <w:numId w:val="9"/>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数据元素属性需包含业务属性、技术属性、管理属性等；数据元素的业务属性需包含数据元素分类、标识符、数据元素名称、汉语简拼、定义等；数据元素的技术属性需包含数据类型、长度、精度、值域；数据元素的管理属性需包含标准级别、标准引用来源、批准日期、版本等。</w:t>
            </w:r>
          </w:p>
          <w:p>
            <w:pPr>
              <w:pStyle w:val="15"/>
              <w:numPr>
                <w:ilvl w:val="0"/>
                <w:numId w:val="9"/>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需支持按状态管理数据元素，</w:t>
            </w:r>
            <w:r>
              <w:rPr>
                <w:rFonts w:hint="eastAsia" w:ascii="宋体" w:hAnsi="宋体" w:eastAsia="宋体" w:cs="宋体"/>
                <w:color w:val="000000" w:themeColor="text1"/>
                <w:sz w:val="21"/>
                <w:szCs w:val="21"/>
                <w:highlight w:val="none"/>
                <w:lang w:eastAsia="zh-Hans"/>
                <w14:textFill>
                  <w14:solidFill>
                    <w14:schemeClr w14:val="tx1"/>
                  </w14:solidFill>
                </w14:textFill>
              </w:rPr>
              <w:t>需包括草稿、标准、废止等不同状态。</w:t>
            </w:r>
            <w:r>
              <w:rPr>
                <w:rFonts w:hint="eastAsia" w:ascii="宋体" w:hAnsi="宋体" w:eastAsia="宋体" w:cs="宋体"/>
                <w:color w:val="000000" w:themeColor="text1"/>
                <w:sz w:val="21"/>
                <w:szCs w:val="21"/>
                <w:highlight w:val="none"/>
                <w14:textFill>
                  <w14:solidFill>
                    <w14:schemeClr w14:val="tx1"/>
                  </w14:solidFill>
                </w14:textFill>
              </w:rPr>
              <w:t>只有草稿状态的数据元素，才能删除，其他状态的数据元素，不可以删除。对于多个草稿状态的数据元素，支持批量注册。</w:t>
            </w:r>
          </w:p>
          <w:p>
            <w:pPr>
              <w:pStyle w:val="15"/>
              <w:numPr>
                <w:ilvl w:val="0"/>
                <w:numId w:val="9"/>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同一个数据元素的多个版本，仅能有一个版本处于标准状态，当注册一个新版本时，其他标准状态版本自动变更为废止状态。变更</w:t>
            </w:r>
            <w:r>
              <w:rPr>
                <w:rFonts w:hint="eastAsia" w:ascii="宋体" w:hAnsi="宋体" w:eastAsia="宋体" w:cs="宋体"/>
                <w:color w:val="000000" w:themeColor="text1"/>
                <w:sz w:val="21"/>
                <w:szCs w:val="21"/>
                <w:highlight w:val="none"/>
                <w:lang w:eastAsia="zh-Hans"/>
                <w14:textFill>
                  <w14:solidFill>
                    <w14:schemeClr w14:val="tx1"/>
                  </w14:solidFill>
                </w14:textFill>
              </w:rPr>
              <w:t>时</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eastAsia="zh-Hans"/>
                <w14:textFill>
                  <w14:solidFill>
                    <w14:schemeClr w14:val="tx1"/>
                  </w14:solidFill>
                </w14:textFill>
              </w:rPr>
              <w:t>需能</w:t>
            </w:r>
            <w:r>
              <w:rPr>
                <w:rFonts w:hint="eastAsia" w:ascii="宋体" w:hAnsi="宋体" w:eastAsia="宋体" w:cs="宋体"/>
                <w:color w:val="000000" w:themeColor="text1"/>
                <w:sz w:val="21"/>
                <w:szCs w:val="21"/>
                <w:highlight w:val="none"/>
                <w14:textFill>
                  <w14:solidFill>
                    <w14:schemeClr w14:val="tx1"/>
                  </w14:solidFill>
                </w14:textFill>
              </w:rPr>
              <w:t>生成一个高版本的草稿状态的数据元素标准；当某数据元素已经存在变更的草稿状态的数据元素时，不能重复变更。</w:t>
            </w:r>
          </w:p>
          <w:p>
            <w:pPr>
              <w:pStyle w:val="15"/>
              <w:numPr>
                <w:ilvl w:val="0"/>
                <w:numId w:val="9"/>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需支持对数据元素</w:t>
            </w:r>
            <w:r>
              <w:rPr>
                <w:rFonts w:hint="eastAsia" w:ascii="宋体" w:hAnsi="宋体" w:eastAsia="宋体" w:cs="宋体"/>
                <w:color w:val="000000" w:themeColor="text1"/>
                <w:sz w:val="21"/>
                <w:szCs w:val="21"/>
                <w:highlight w:val="none"/>
                <w:lang w:eastAsia="zh-Hans"/>
                <w14:textFill>
                  <w14:solidFill>
                    <w14:schemeClr w14:val="tx1"/>
                  </w14:solidFill>
                </w14:textFill>
              </w:rPr>
              <w:t>取值范围</w:t>
            </w:r>
            <w:r>
              <w:rPr>
                <w:rFonts w:hint="eastAsia" w:ascii="宋体" w:hAnsi="宋体" w:eastAsia="宋体" w:cs="宋体"/>
                <w:color w:val="000000" w:themeColor="text1"/>
                <w:sz w:val="21"/>
                <w:szCs w:val="21"/>
                <w:highlight w:val="none"/>
                <w14:textFill>
                  <w14:solidFill>
                    <w14:schemeClr w14:val="tx1"/>
                  </w14:solidFill>
                </w14:textFill>
              </w:rPr>
              <w:t>进行管理，</w:t>
            </w:r>
            <w:r>
              <w:rPr>
                <w:rFonts w:hint="eastAsia" w:ascii="宋体" w:hAnsi="宋体" w:eastAsia="宋体" w:cs="宋体"/>
                <w:color w:val="000000" w:themeColor="text1"/>
                <w:sz w:val="21"/>
                <w:szCs w:val="21"/>
                <w:highlight w:val="none"/>
                <w:lang w:eastAsia="zh-Hans"/>
                <w14:textFill>
                  <w14:solidFill>
                    <w14:schemeClr w14:val="tx1"/>
                  </w14:solidFill>
                </w14:textFill>
              </w:rPr>
              <w:t>需</w:t>
            </w:r>
            <w:r>
              <w:rPr>
                <w:rFonts w:hint="eastAsia" w:ascii="宋体" w:hAnsi="宋体" w:eastAsia="宋体" w:cs="宋体"/>
                <w:color w:val="000000" w:themeColor="text1"/>
                <w:sz w:val="21"/>
                <w:szCs w:val="21"/>
                <w:highlight w:val="none"/>
                <w14:textFill>
                  <w14:solidFill>
                    <w14:schemeClr w14:val="tx1"/>
                  </w14:solidFill>
                </w14:textFill>
              </w:rPr>
              <w:t>包含“限定范围”，“引用标准代码值”，“枚举值”等形式。</w:t>
            </w:r>
          </w:p>
          <w:p>
            <w:pPr>
              <w:pStyle w:val="15"/>
              <w:numPr>
                <w:ilvl w:val="0"/>
                <w:numId w:val="9"/>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标准落实</w:t>
            </w:r>
            <w:r>
              <w:rPr>
                <w:rFonts w:hint="eastAsia" w:ascii="宋体" w:hAnsi="宋体" w:eastAsia="宋体" w:cs="宋体"/>
                <w:color w:val="000000" w:themeColor="text1"/>
                <w:sz w:val="21"/>
                <w:szCs w:val="21"/>
                <w:highlight w:val="none"/>
                <w14:textFill>
                  <w14:solidFill>
                    <w14:schemeClr w14:val="tx1"/>
                  </w14:solidFill>
                </w14:textFill>
              </w:rPr>
              <w:t>时，</w:t>
            </w:r>
            <w:r>
              <w:rPr>
                <w:rFonts w:hint="eastAsia" w:ascii="宋体" w:hAnsi="宋体" w:eastAsia="宋体" w:cs="宋体"/>
                <w:color w:val="000000" w:themeColor="text1"/>
                <w:sz w:val="21"/>
                <w:szCs w:val="21"/>
                <w:highlight w:val="none"/>
                <w:lang w:eastAsia="zh-Hans"/>
                <w14:textFill>
                  <w14:solidFill>
                    <w14:schemeClr w14:val="tx1"/>
                  </w14:solidFill>
                </w14:textFill>
              </w:rPr>
              <w:t>需支持</w:t>
            </w:r>
            <w:r>
              <w:rPr>
                <w:rFonts w:hint="eastAsia" w:ascii="宋体" w:hAnsi="宋体" w:eastAsia="宋体" w:cs="宋体"/>
                <w:color w:val="000000" w:themeColor="text1"/>
                <w:sz w:val="21"/>
                <w:szCs w:val="21"/>
                <w:highlight w:val="none"/>
                <w14:textFill>
                  <w14:solidFill>
                    <w14:schemeClr w14:val="tx1"/>
                  </w14:solidFill>
                </w14:textFill>
              </w:rPr>
              <w:t>自动匹配</w:t>
            </w:r>
            <w:r>
              <w:rPr>
                <w:rFonts w:hint="eastAsia" w:ascii="宋体" w:hAnsi="宋体" w:eastAsia="宋体" w:cs="宋体"/>
                <w:color w:val="000000" w:themeColor="text1"/>
                <w:sz w:val="21"/>
                <w:szCs w:val="21"/>
                <w:highlight w:val="none"/>
                <w:lang w:eastAsia="zh-Hans"/>
                <w14:textFill>
                  <w14:solidFill>
                    <w14:schemeClr w14:val="tx1"/>
                  </w14:solidFill>
                </w14:textFill>
              </w:rPr>
              <w:t>数据中心内</w:t>
            </w:r>
            <w:r>
              <w:rPr>
                <w:rFonts w:hint="eastAsia" w:ascii="宋体" w:hAnsi="宋体" w:eastAsia="宋体" w:cs="宋体"/>
                <w:color w:val="000000" w:themeColor="text1"/>
                <w:sz w:val="21"/>
                <w:szCs w:val="21"/>
                <w:highlight w:val="none"/>
                <w14:textFill>
                  <w14:solidFill>
                    <w14:schemeClr w14:val="tx1"/>
                  </w14:solidFill>
                </w14:textFill>
              </w:rPr>
              <w:t>哪些字段与数据元素一致，支持批量选择进行</w:t>
            </w:r>
            <w:r>
              <w:rPr>
                <w:rFonts w:hint="eastAsia" w:ascii="宋体" w:hAnsi="宋体" w:eastAsia="宋体" w:cs="宋体"/>
                <w:color w:val="000000" w:themeColor="text1"/>
                <w:sz w:val="21"/>
                <w:szCs w:val="21"/>
                <w:highlight w:val="none"/>
                <w:lang w:eastAsia="zh-Hans"/>
                <w14:textFill>
                  <w14:solidFill>
                    <w14:schemeClr w14:val="tx1"/>
                  </w14:solidFill>
                </w14:textFill>
              </w:rPr>
              <w:t>标准落实</w:t>
            </w:r>
            <w:r>
              <w:rPr>
                <w:rFonts w:hint="eastAsia" w:ascii="宋体" w:hAnsi="宋体" w:eastAsia="宋体" w:cs="宋体"/>
                <w:color w:val="000000" w:themeColor="text1"/>
                <w:sz w:val="21"/>
                <w:szCs w:val="21"/>
                <w:highlight w:val="none"/>
                <w14:textFill>
                  <w14:solidFill>
                    <w14:schemeClr w14:val="tx1"/>
                  </w14:solidFill>
                </w14:textFill>
              </w:rPr>
              <w:t>，保证字段定义的标准化。</w:t>
            </w:r>
          </w:p>
          <w:p>
            <w:pPr>
              <w:pStyle w:val="15"/>
              <w:numPr>
                <w:ilvl w:val="0"/>
                <w:numId w:val="9"/>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需支持数据元素分类的管理，包括新增、编辑、删除功能；只有该数据元素分类下没有数据元素时，才可以删除该分类。</w:t>
            </w:r>
          </w:p>
          <w:p>
            <w:pPr>
              <w:pStyle w:val="5"/>
              <w:numPr>
                <w:ilvl w:val="4"/>
                <w:numId w:val="0"/>
              </w:numPr>
              <w:tabs>
                <w:tab w:val="clear" w:pos="1008"/>
              </w:tabs>
              <w:spacing w:line="240" w:lineRule="auto"/>
              <w:ind w:left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标准代码</w:t>
            </w:r>
          </w:p>
          <w:p>
            <w:pPr>
              <w:pStyle w:val="15"/>
              <w:numPr>
                <w:ilvl w:val="0"/>
                <w:numId w:val="10"/>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需支持批量导入国标</w:t>
            </w:r>
            <w:r>
              <w:rPr>
                <w:rFonts w:hint="eastAsia" w:ascii="宋体" w:hAnsi="宋体" w:eastAsia="宋体" w:cs="宋体"/>
                <w:color w:val="000000" w:themeColor="text1"/>
                <w:sz w:val="21"/>
                <w:szCs w:val="21"/>
                <w:highlight w:val="none"/>
                <w14:textFill>
                  <w14:solidFill>
                    <w14:schemeClr w14:val="tx1"/>
                  </w14:solidFill>
                </w14:textFill>
              </w:rPr>
              <w:t>《GB/T 33782-2017 信息技术 学习、教育和培训 教育管理基础代码》标准</w:t>
            </w:r>
            <w:r>
              <w:rPr>
                <w:rFonts w:hint="eastAsia" w:ascii="宋体" w:hAnsi="宋体" w:eastAsia="宋体" w:cs="宋体"/>
                <w:color w:val="000000" w:themeColor="text1"/>
                <w:sz w:val="21"/>
                <w:szCs w:val="21"/>
                <w:highlight w:val="none"/>
                <w:lang w:eastAsia="zh-Hans"/>
                <w14:textFill>
                  <w14:solidFill>
                    <w14:schemeClr w14:val="tx1"/>
                  </w14:solidFill>
                </w14:textFill>
              </w:rPr>
              <w:t>代码到平台</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eastAsia="zh-Hans"/>
                <w14:textFill>
                  <w14:solidFill>
                    <w14:schemeClr w14:val="tx1"/>
                  </w14:solidFill>
                </w14:textFill>
              </w:rPr>
              <w:t>导入时，</w:t>
            </w:r>
            <w:r>
              <w:rPr>
                <w:rFonts w:hint="eastAsia" w:ascii="宋体" w:hAnsi="宋体" w:eastAsia="宋体" w:cs="宋体"/>
                <w:color w:val="000000" w:themeColor="text1"/>
                <w:sz w:val="21"/>
                <w:szCs w:val="21"/>
                <w:highlight w:val="none"/>
                <w14:textFill>
                  <w14:solidFill>
                    <w14:schemeClr w14:val="tx1"/>
                  </w14:solidFill>
                </w14:textFill>
              </w:rPr>
              <w:t>需</w:t>
            </w:r>
            <w:r>
              <w:rPr>
                <w:rFonts w:hint="eastAsia" w:ascii="宋体" w:hAnsi="宋体" w:eastAsia="宋体" w:cs="宋体"/>
                <w:color w:val="000000" w:themeColor="text1"/>
                <w:sz w:val="21"/>
                <w:szCs w:val="21"/>
                <w:highlight w:val="none"/>
                <w:lang w:eastAsia="zh-Hans"/>
                <w14:textFill>
                  <w14:solidFill>
                    <w14:schemeClr w14:val="tx1"/>
                  </w14:solidFill>
                </w14:textFill>
              </w:rPr>
              <w:t>能</w:t>
            </w:r>
            <w:r>
              <w:rPr>
                <w:rFonts w:hint="eastAsia" w:ascii="宋体" w:hAnsi="宋体" w:eastAsia="宋体" w:cs="宋体"/>
                <w:color w:val="000000" w:themeColor="text1"/>
                <w:sz w:val="21"/>
                <w:szCs w:val="21"/>
                <w:highlight w:val="none"/>
                <w14:textFill>
                  <w14:solidFill>
                    <w14:schemeClr w14:val="tx1"/>
                  </w14:solidFill>
                </w14:textFill>
              </w:rPr>
              <w:t>自动过滤已导入的标准代码。导入的不能对已有的代码进行更改和删除，仅新增。</w:t>
            </w:r>
          </w:p>
          <w:p>
            <w:pPr>
              <w:pStyle w:val="15"/>
              <w:numPr>
                <w:ilvl w:val="0"/>
                <w:numId w:val="10"/>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需支持对标准代码进行查询、新增、编辑、配置代码等管理功能；新增标准代码时，标准代码名称不可重复，新增的标准代码默认为已启用状态。</w:t>
            </w:r>
          </w:p>
          <w:p>
            <w:pPr>
              <w:pStyle w:val="15"/>
              <w:numPr>
                <w:ilvl w:val="0"/>
                <w:numId w:val="10"/>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需支持对标准代码中的代码值进行新增，需支持添加辅助代码与上级代码。</w:t>
            </w:r>
          </w:p>
          <w:p>
            <w:pPr>
              <w:pStyle w:val="15"/>
              <w:numPr>
                <w:ilvl w:val="0"/>
                <w:numId w:val="10"/>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需支持查看标准代码的引用关系，可查看引用该标准代码的表名和字段名。</w:t>
            </w:r>
          </w:p>
          <w:p>
            <w:pPr>
              <w:pStyle w:val="15"/>
              <w:numPr>
                <w:ilvl w:val="0"/>
                <w:numId w:val="10"/>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支持标准代码删除操作，删除前需先停用，不可以直接删除； </w:t>
            </w:r>
          </w:p>
          <w:p>
            <w:pPr>
              <w:pStyle w:val="15"/>
              <w:numPr>
                <w:ilvl w:val="0"/>
                <w:numId w:val="10"/>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需支持标准代码分类的管理，包括新增、编辑、删除功能。只有该标准代码分类下没有标准代码时，才可以删除该分类。</w:t>
            </w:r>
          </w:p>
          <w:p>
            <w:pPr>
              <w:pStyle w:val="5"/>
              <w:numPr>
                <w:ilvl w:val="4"/>
                <w:numId w:val="0"/>
              </w:numPr>
              <w:tabs>
                <w:tab w:val="clear" w:pos="1008"/>
              </w:tabs>
              <w:spacing w:line="240" w:lineRule="auto"/>
              <w:ind w:left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标准发布</w:t>
            </w:r>
          </w:p>
          <w:p>
            <w:pPr>
              <w:pStyle w:val="15"/>
              <w:numPr>
                <w:ilvl w:val="0"/>
                <w:numId w:val="11"/>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需</w:t>
            </w:r>
            <w:r>
              <w:rPr>
                <w:rFonts w:hint="eastAsia" w:ascii="宋体" w:hAnsi="宋体" w:eastAsia="宋体" w:cs="宋体"/>
                <w:color w:val="000000" w:themeColor="text1"/>
                <w:sz w:val="21"/>
                <w:szCs w:val="21"/>
                <w:highlight w:val="none"/>
                <w14:textFill>
                  <w14:solidFill>
                    <w14:schemeClr w14:val="tx1"/>
                  </w14:solidFill>
                </w14:textFill>
              </w:rPr>
              <w:t>支持代码标准、数据标准、编码规范生成</w:t>
            </w:r>
            <w:r>
              <w:rPr>
                <w:rFonts w:hint="eastAsia" w:ascii="宋体" w:hAnsi="宋体" w:eastAsia="宋体" w:cs="宋体"/>
                <w:color w:val="000000" w:themeColor="text1"/>
                <w:sz w:val="21"/>
                <w:szCs w:val="21"/>
                <w:highlight w:val="none"/>
                <w:lang w:eastAsia="zh-Hans"/>
                <w14:textFill>
                  <w14:solidFill>
                    <w14:schemeClr w14:val="tx1"/>
                  </w14:solidFill>
                </w14:textFill>
              </w:rPr>
              <w:t>或导入</w:t>
            </w:r>
            <w:r>
              <w:rPr>
                <w:rFonts w:hint="eastAsia" w:ascii="宋体" w:hAnsi="宋体" w:eastAsia="宋体" w:cs="宋体"/>
                <w:color w:val="000000" w:themeColor="text1"/>
                <w:sz w:val="21"/>
                <w:szCs w:val="21"/>
                <w:highlight w:val="none"/>
                <w14:textFill>
                  <w14:solidFill>
                    <w14:schemeClr w14:val="tx1"/>
                  </w14:solidFill>
                </w14:textFill>
              </w:rPr>
              <w:t>、发布</w:t>
            </w:r>
            <w:r>
              <w:rPr>
                <w:rFonts w:hint="eastAsia" w:ascii="宋体" w:hAnsi="宋体" w:eastAsia="宋体" w:cs="宋体"/>
                <w:color w:val="000000" w:themeColor="text1"/>
                <w:sz w:val="21"/>
                <w:szCs w:val="21"/>
                <w:highlight w:val="none"/>
                <w:lang w:eastAsia="zh-Hans"/>
                <w14:textFill>
                  <w14:solidFill>
                    <w14:schemeClr w14:val="tx1"/>
                  </w14:solidFill>
                </w14:textFill>
              </w:rPr>
              <w:t>申请</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eastAsia="zh-Hans"/>
                <w14:textFill>
                  <w14:solidFill>
                    <w14:schemeClr w14:val="tx1"/>
                  </w14:solidFill>
                </w14:textFill>
              </w:rPr>
              <w:t>发布审核流程管理，需支持查询、</w:t>
            </w:r>
            <w:r>
              <w:rPr>
                <w:rFonts w:hint="eastAsia" w:ascii="宋体" w:hAnsi="宋体" w:eastAsia="宋体" w:cs="宋体"/>
                <w:color w:val="000000" w:themeColor="text1"/>
                <w:sz w:val="21"/>
                <w:szCs w:val="21"/>
                <w:highlight w:val="none"/>
                <w14:textFill>
                  <w14:solidFill>
                    <w14:schemeClr w14:val="tx1"/>
                  </w14:solidFill>
                </w14:textFill>
              </w:rPr>
              <w:t>作废、删除、门户可见、门户隐藏</w:t>
            </w:r>
            <w:r>
              <w:rPr>
                <w:rFonts w:hint="eastAsia" w:ascii="宋体" w:hAnsi="宋体" w:eastAsia="宋体" w:cs="宋体"/>
                <w:color w:val="000000" w:themeColor="text1"/>
                <w:sz w:val="21"/>
                <w:szCs w:val="21"/>
                <w:highlight w:val="none"/>
                <w:lang w:eastAsia="zh-Hans"/>
                <w14:textFill>
                  <w14:solidFill>
                    <w14:schemeClr w14:val="tx1"/>
                  </w14:solidFill>
                </w14:textFill>
              </w:rPr>
              <w:t>等操作。</w:t>
            </w:r>
          </w:p>
          <w:p>
            <w:pPr>
              <w:pStyle w:val="15"/>
              <w:numPr>
                <w:ilvl w:val="0"/>
                <w:numId w:val="11"/>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支持编码规范文件上传管理，支持pdf、doc、docx、png、jpg、jpeg、xls、xlsx、zip等文件格式；</w:t>
            </w:r>
          </w:p>
          <w:p>
            <w:pPr>
              <w:pStyle w:val="15"/>
              <w:numPr>
                <w:ilvl w:val="0"/>
                <w:numId w:val="11"/>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▲代码标准、数据标准、编码规范发布时需支持</w:t>
            </w:r>
            <w:r>
              <w:rPr>
                <w:rFonts w:hint="eastAsia" w:ascii="宋体" w:hAnsi="宋体" w:eastAsia="宋体" w:cs="宋体"/>
                <w:color w:val="000000" w:themeColor="text1"/>
                <w:sz w:val="21"/>
                <w:szCs w:val="21"/>
                <w:highlight w:val="none"/>
                <w:lang w:eastAsia="zh-Hans"/>
                <w14:textFill>
                  <w14:solidFill>
                    <w14:schemeClr w14:val="tx1"/>
                  </w14:solidFill>
                </w14:textFill>
              </w:rPr>
              <w:t>设置</w:t>
            </w:r>
            <w:r>
              <w:rPr>
                <w:rFonts w:hint="eastAsia" w:ascii="宋体" w:hAnsi="宋体" w:eastAsia="宋体" w:cs="宋体"/>
                <w:color w:val="000000" w:themeColor="text1"/>
                <w:sz w:val="21"/>
                <w:szCs w:val="21"/>
                <w:highlight w:val="none"/>
                <w14:textFill>
                  <w14:solidFill>
                    <w14:schemeClr w14:val="tx1"/>
                  </w14:solidFill>
                </w14:textFill>
              </w:rPr>
              <w:t>标准号、实施日期、替代标准；标准号管理</w:t>
            </w:r>
            <w:r>
              <w:rPr>
                <w:rFonts w:hint="eastAsia" w:ascii="宋体" w:hAnsi="宋体" w:eastAsia="宋体" w:cs="宋体"/>
                <w:color w:val="000000" w:themeColor="text1"/>
                <w:sz w:val="21"/>
                <w:szCs w:val="21"/>
                <w:highlight w:val="none"/>
                <w:lang w:eastAsia="zh-Hans"/>
                <w14:textFill>
                  <w14:solidFill>
                    <w14:schemeClr w14:val="tx1"/>
                  </w14:solidFill>
                </w14:textFill>
              </w:rPr>
              <w:t>需</w:t>
            </w:r>
            <w:r>
              <w:rPr>
                <w:rFonts w:hint="eastAsia" w:ascii="宋体" w:hAnsi="宋体" w:eastAsia="宋体" w:cs="宋体"/>
                <w:color w:val="000000" w:themeColor="text1"/>
                <w:sz w:val="21"/>
                <w:szCs w:val="21"/>
                <w:highlight w:val="none"/>
                <w14:textFill>
                  <w14:solidFill>
                    <w14:schemeClr w14:val="tx1"/>
                  </w14:solidFill>
                </w14:textFill>
              </w:rPr>
              <w:t>支持三段式管理，第一段为学校编码，默认值可在系统配置中调整，第二段为标准编号，第三段为年月。</w:t>
            </w:r>
          </w:p>
          <w:p>
            <w:pPr>
              <w:pStyle w:val="15"/>
              <w:numPr>
                <w:ilvl w:val="0"/>
                <w:numId w:val="11"/>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代码标准</w:t>
            </w:r>
            <w:r>
              <w:rPr>
                <w:rFonts w:hint="eastAsia" w:ascii="宋体" w:hAnsi="宋体" w:eastAsia="宋体" w:cs="宋体"/>
                <w:color w:val="000000" w:themeColor="text1"/>
                <w:sz w:val="21"/>
                <w:szCs w:val="21"/>
                <w:highlight w:val="none"/>
                <w:lang w:eastAsia="zh-Hans"/>
                <w14:textFill>
                  <w14:solidFill>
                    <w14:schemeClr w14:val="tx1"/>
                  </w14:solidFill>
                </w14:textFill>
              </w:rPr>
              <w:t>和</w:t>
            </w:r>
            <w:r>
              <w:rPr>
                <w:rFonts w:hint="eastAsia" w:ascii="宋体" w:hAnsi="宋体" w:eastAsia="宋体" w:cs="宋体"/>
                <w:color w:val="000000" w:themeColor="text1"/>
                <w:sz w:val="21"/>
                <w:szCs w:val="21"/>
                <w:highlight w:val="none"/>
                <w14:textFill>
                  <w14:solidFill>
                    <w14:schemeClr w14:val="tx1"/>
                  </w14:solidFill>
                </w14:textFill>
              </w:rPr>
              <w:t>数据标准</w:t>
            </w:r>
            <w:r>
              <w:rPr>
                <w:rFonts w:hint="eastAsia" w:ascii="宋体" w:hAnsi="宋体" w:eastAsia="宋体" w:cs="宋体"/>
                <w:color w:val="000000" w:themeColor="text1"/>
                <w:sz w:val="21"/>
                <w:szCs w:val="21"/>
                <w:highlight w:val="none"/>
                <w:lang w:eastAsia="zh-Hans"/>
                <w14:textFill>
                  <w14:solidFill>
                    <w14:schemeClr w14:val="tx1"/>
                  </w14:solidFill>
                </w14:textFill>
              </w:rPr>
              <w:t>需</w:t>
            </w:r>
            <w:r>
              <w:rPr>
                <w:rFonts w:hint="eastAsia" w:ascii="宋体" w:hAnsi="宋体" w:eastAsia="宋体" w:cs="宋体"/>
                <w:color w:val="000000" w:themeColor="text1"/>
                <w:sz w:val="21"/>
                <w:szCs w:val="21"/>
                <w:highlight w:val="none"/>
                <w14:textFill>
                  <w14:solidFill>
                    <w14:schemeClr w14:val="tx1"/>
                  </w14:solidFill>
                </w14:textFill>
              </w:rPr>
              <w:t>支持PDF文件下载及预览;新版本的发布不影响历史版本的查询。编码规范</w:t>
            </w:r>
            <w:r>
              <w:rPr>
                <w:rFonts w:hint="eastAsia" w:ascii="宋体" w:hAnsi="宋体" w:eastAsia="宋体" w:cs="宋体"/>
                <w:color w:val="000000" w:themeColor="text1"/>
                <w:sz w:val="21"/>
                <w:szCs w:val="21"/>
                <w:highlight w:val="none"/>
                <w:lang w:eastAsia="zh-Hans"/>
                <w14:textFill>
                  <w14:solidFill>
                    <w14:schemeClr w14:val="tx1"/>
                  </w14:solidFill>
                </w14:textFill>
              </w:rPr>
              <w:t>需</w:t>
            </w:r>
            <w:r>
              <w:rPr>
                <w:rFonts w:hint="eastAsia" w:ascii="宋体" w:hAnsi="宋体" w:eastAsia="宋体" w:cs="宋体"/>
                <w:color w:val="000000" w:themeColor="text1"/>
                <w:sz w:val="21"/>
                <w:szCs w:val="21"/>
                <w:highlight w:val="none"/>
                <w14:textFill>
                  <w14:solidFill>
                    <w14:schemeClr w14:val="tx1"/>
                  </w14:solidFill>
                </w14:textFill>
              </w:rPr>
              <w:t>支持上传文件格式的下载。</w:t>
            </w:r>
          </w:p>
          <w:p>
            <w:pPr>
              <w:rPr>
                <w:rFonts w:hint="eastAsia" w:ascii="宋体" w:hAnsi="宋体" w:eastAsia="宋体" w:cs="宋体"/>
                <w:color w:val="000000" w:themeColor="text1"/>
                <w:sz w:val="21"/>
                <w:szCs w:val="21"/>
                <w:highlight w:val="none"/>
                <w14:textFill>
                  <w14:solidFill>
                    <w14:schemeClr w14:val="tx1"/>
                  </w14:solidFill>
                </w14:textFill>
              </w:rPr>
            </w:pPr>
          </w:p>
          <w:p>
            <w:pPr>
              <w:pStyle w:val="4"/>
              <w:tabs>
                <w:tab w:val="left" w:pos="432"/>
              </w:tabs>
              <w:spacing w:before="163" w:after="163"/>
              <w:rPr>
                <w:rFonts w:hint="eastAsia" w:ascii="宋体" w:hAnsi="宋体" w:eastAsia="宋体" w:cs="宋体"/>
                <w:color w:val="000000" w:themeColor="text1"/>
                <w:sz w:val="21"/>
                <w:szCs w:val="21"/>
                <w:highlight w:val="none"/>
                <w14:textFill>
                  <w14:solidFill>
                    <w14:schemeClr w14:val="tx1"/>
                  </w14:solidFill>
                </w14:textFill>
              </w:rPr>
            </w:pPr>
            <w:bookmarkStart w:id="55" w:name="_Toc159428280"/>
            <w:r>
              <w:rPr>
                <w:rFonts w:hint="eastAsia" w:ascii="宋体" w:hAnsi="宋体" w:eastAsia="宋体" w:cs="宋体"/>
                <w:color w:val="000000" w:themeColor="text1"/>
                <w:sz w:val="21"/>
                <w:szCs w:val="21"/>
                <w:highlight w:val="none"/>
                <w14:textFill>
                  <w14:solidFill>
                    <w14:schemeClr w14:val="tx1"/>
                  </w14:solidFill>
                </w14:textFill>
              </w:rPr>
              <w:t>贴源层管理</w:t>
            </w:r>
            <w:bookmarkEnd w:id="55"/>
          </w:p>
          <w:p>
            <w:pPr>
              <w:pStyle w:val="15"/>
              <w:numPr>
                <w:ilvl w:val="0"/>
                <w:numId w:val="12"/>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贴源层需支持对学校原始数据的采集、存储。</w:t>
            </w:r>
          </w:p>
          <w:p>
            <w:pPr>
              <w:pStyle w:val="15"/>
              <w:numPr>
                <w:ilvl w:val="0"/>
                <w:numId w:val="12"/>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贴源层</w:t>
            </w:r>
            <w:r>
              <w:rPr>
                <w:rFonts w:hint="eastAsia" w:ascii="宋体" w:hAnsi="宋体" w:eastAsia="宋体" w:cs="宋体"/>
                <w:color w:val="000000" w:themeColor="text1"/>
                <w:sz w:val="21"/>
                <w:szCs w:val="21"/>
                <w:highlight w:val="none"/>
                <w:lang w:eastAsia="zh-Hans"/>
                <w14:textFill>
                  <w14:solidFill>
                    <w14:schemeClr w14:val="tx1"/>
                  </w14:solidFill>
                </w14:textFill>
              </w:rPr>
              <w:t>需</w:t>
            </w:r>
            <w:r>
              <w:rPr>
                <w:rFonts w:hint="eastAsia" w:ascii="宋体" w:hAnsi="宋体" w:eastAsia="宋体" w:cs="宋体"/>
                <w:color w:val="000000" w:themeColor="text1"/>
                <w:sz w:val="21"/>
                <w:szCs w:val="21"/>
                <w:highlight w:val="none"/>
                <w14:textFill>
                  <w14:solidFill>
                    <w14:schemeClr w14:val="tx1"/>
                  </w14:solidFill>
                </w14:textFill>
              </w:rPr>
              <w:t>支持</w:t>
            </w:r>
            <w:r>
              <w:rPr>
                <w:rFonts w:hint="eastAsia" w:ascii="宋体" w:hAnsi="宋体" w:eastAsia="宋体" w:cs="宋体"/>
                <w:color w:val="000000" w:themeColor="text1"/>
                <w:sz w:val="21"/>
                <w:szCs w:val="21"/>
                <w:highlight w:val="none"/>
                <w:lang w:eastAsia="zh-Hans"/>
                <w14:textFill>
                  <w14:solidFill>
                    <w14:schemeClr w14:val="tx1"/>
                  </w14:solidFill>
                </w14:textFill>
              </w:rPr>
              <w:t>批量</w:t>
            </w:r>
            <w:r>
              <w:rPr>
                <w:rFonts w:hint="eastAsia" w:ascii="宋体" w:hAnsi="宋体" w:eastAsia="宋体" w:cs="宋体"/>
                <w:color w:val="000000" w:themeColor="text1"/>
                <w:sz w:val="21"/>
                <w:szCs w:val="21"/>
                <w:highlight w:val="none"/>
                <w14:textFill>
                  <w14:solidFill>
                    <w14:schemeClr w14:val="tx1"/>
                  </w14:solidFill>
                </w14:textFill>
              </w:rPr>
              <w:t>将外部数据源中的表和数据采集到贴源层，</w:t>
            </w:r>
            <w:r>
              <w:rPr>
                <w:rFonts w:hint="eastAsia" w:ascii="宋体" w:hAnsi="宋体" w:eastAsia="宋体" w:cs="宋体"/>
                <w:color w:val="000000" w:themeColor="text1"/>
                <w:sz w:val="21"/>
                <w:szCs w:val="21"/>
                <w:highlight w:val="none"/>
                <w:lang w:eastAsia="zh-Hans"/>
                <w14:textFill>
                  <w14:solidFill>
                    <w14:schemeClr w14:val="tx1"/>
                  </w14:solidFill>
                </w14:textFill>
              </w:rPr>
              <w:t>采集时需支持</w:t>
            </w:r>
            <w:r>
              <w:rPr>
                <w:rFonts w:hint="eastAsia" w:ascii="宋体" w:hAnsi="宋体" w:eastAsia="宋体" w:cs="宋体"/>
                <w:color w:val="000000" w:themeColor="text1"/>
                <w:sz w:val="21"/>
                <w:szCs w:val="21"/>
                <w:highlight w:val="none"/>
                <w14:textFill>
                  <w14:solidFill>
                    <w14:schemeClr w14:val="tx1"/>
                  </w14:solidFill>
                </w14:textFill>
              </w:rPr>
              <w:t>全量或增量</w:t>
            </w:r>
            <w:r>
              <w:rPr>
                <w:rFonts w:hint="eastAsia" w:ascii="宋体" w:hAnsi="宋体" w:eastAsia="宋体" w:cs="宋体"/>
                <w:color w:val="000000" w:themeColor="text1"/>
                <w:sz w:val="21"/>
                <w:szCs w:val="21"/>
                <w:highlight w:val="none"/>
                <w:lang w:eastAsia="zh-Hans"/>
                <w14:textFill>
                  <w14:solidFill>
                    <w14:schemeClr w14:val="tx1"/>
                  </w14:solidFill>
                </w14:textFill>
              </w:rPr>
              <w:t>采集。采集时</w:t>
            </w:r>
            <w:r>
              <w:rPr>
                <w:rFonts w:hint="eastAsia" w:ascii="宋体" w:hAnsi="宋体" w:eastAsia="宋体" w:cs="宋体"/>
                <w:color w:val="000000" w:themeColor="text1"/>
                <w:sz w:val="21"/>
                <w:szCs w:val="21"/>
                <w:highlight w:val="none"/>
                <w14:textFill>
                  <w14:solidFill>
                    <w14:schemeClr w14:val="tx1"/>
                  </w14:solidFill>
                </w14:textFill>
              </w:rPr>
              <w:t>需支持忽略错误数据条目，继续执行采集任务</w:t>
            </w:r>
          </w:p>
          <w:p>
            <w:pPr>
              <w:pStyle w:val="15"/>
              <w:numPr>
                <w:ilvl w:val="0"/>
                <w:numId w:val="12"/>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为方便对贴源层中数据表的管理，支持将贴源层的表按照贴源表和贴源代码进行分类管理。</w:t>
            </w:r>
          </w:p>
          <w:p>
            <w:pPr>
              <w:pStyle w:val="15"/>
              <w:numPr>
                <w:ilvl w:val="0"/>
                <w:numId w:val="12"/>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查看贴源表的详情概览，需展示源头表信息与本表信息；源头表信息中需包含数据源名称，源头表名称，源头表数据量；本表信息需包含表名、物理表名、字段数量、数据量、数据上次更新时间、责任单位、集成任务等信息；</w:t>
            </w:r>
          </w:p>
          <w:p>
            <w:pPr>
              <w:pStyle w:val="15"/>
              <w:numPr>
                <w:ilvl w:val="0"/>
                <w:numId w:val="12"/>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▲需支持自定义数据清洗规则过滤脏数据，过滤的数据归集为黑名单数据，需支持对黑名单数据进行查询；</w:t>
            </w:r>
          </w:p>
          <w:p>
            <w:pPr>
              <w:pStyle w:val="15"/>
              <w:numPr>
                <w:ilvl w:val="0"/>
                <w:numId w:val="12"/>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需支持贴源代码值映射功能，支持贴源代码表与标准</w:t>
            </w:r>
            <w:r>
              <w:rPr>
                <w:rFonts w:hint="eastAsia" w:ascii="宋体" w:hAnsi="宋体" w:eastAsia="宋体" w:cs="宋体"/>
                <w:color w:val="000000" w:themeColor="text1"/>
                <w:sz w:val="21"/>
                <w:szCs w:val="21"/>
                <w:highlight w:val="none"/>
                <w:lang w:eastAsia="zh-Hans"/>
                <w14:textFill>
                  <w14:solidFill>
                    <w14:schemeClr w14:val="tx1"/>
                  </w14:solidFill>
                </w14:textFill>
              </w:rPr>
              <w:t>代码</w:t>
            </w:r>
            <w:r>
              <w:rPr>
                <w:rFonts w:hint="eastAsia" w:ascii="宋体" w:hAnsi="宋体" w:eastAsia="宋体" w:cs="宋体"/>
                <w:color w:val="000000" w:themeColor="text1"/>
                <w:sz w:val="21"/>
                <w:szCs w:val="21"/>
                <w:highlight w:val="none"/>
                <w14:textFill>
                  <w14:solidFill>
                    <w14:schemeClr w14:val="tx1"/>
                  </w14:solidFill>
                </w14:textFill>
              </w:rPr>
              <w:t>匹配映射关系。需支持代码自动映射机制，当源头表代码发生变化,代码未映射成功时,会使用名称与代码标准的名称、简称进行匹配映射。</w:t>
            </w:r>
          </w:p>
          <w:p>
            <w:pPr>
              <w:pStyle w:val="15"/>
              <w:numPr>
                <w:ilvl w:val="0"/>
                <w:numId w:val="12"/>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需支持贴源表、标准表的数据血缘关系管理，以外部数据源、贴源层、标准层、主题层等节点查看数据的上游与下游数据流转关系；</w:t>
            </w:r>
          </w:p>
          <w:p>
            <w:pPr>
              <w:pStyle w:val="15"/>
              <w:numPr>
                <w:ilvl w:val="0"/>
                <w:numId w:val="12"/>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需支持停用和删除贴源表、标准表、主题表，只有停用的表才能删除；</w:t>
            </w:r>
          </w:p>
          <w:p>
            <w:pPr>
              <w:pStyle w:val="4"/>
              <w:tabs>
                <w:tab w:val="left" w:pos="432"/>
              </w:tabs>
              <w:spacing w:before="163" w:after="163"/>
              <w:rPr>
                <w:rFonts w:hint="eastAsia" w:ascii="宋体" w:hAnsi="宋体" w:eastAsia="宋体" w:cs="宋体"/>
                <w:color w:val="000000" w:themeColor="text1"/>
                <w:sz w:val="21"/>
                <w:szCs w:val="21"/>
                <w:highlight w:val="none"/>
                <w14:textFill>
                  <w14:solidFill>
                    <w14:schemeClr w14:val="tx1"/>
                  </w14:solidFill>
                </w14:textFill>
              </w:rPr>
            </w:pPr>
            <w:bookmarkStart w:id="56" w:name="_Toc159428281"/>
            <w:bookmarkStart w:id="57" w:name="_Toc159428276"/>
            <w:bookmarkStart w:id="58" w:name="_Toc159428278"/>
            <w:r>
              <w:rPr>
                <w:rFonts w:hint="eastAsia" w:ascii="宋体" w:hAnsi="宋体" w:eastAsia="宋体" w:cs="宋体"/>
                <w:color w:val="000000" w:themeColor="text1"/>
                <w:sz w:val="21"/>
                <w:szCs w:val="21"/>
                <w:highlight w:val="none"/>
                <w14:textFill>
                  <w14:solidFill>
                    <w14:schemeClr w14:val="tx1"/>
                  </w14:solidFill>
                </w14:textFill>
              </w:rPr>
              <w:t>数据集成管理</w:t>
            </w:r>
          </w:p>
          <w:p>
            <w:pPr>
              <w:pStyle w:val="15"/>
              <w:spacing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为了构建我校统一的校级数据仓库，投标方需提供一系列数据采集管理工具，用来完成面向分散数据的集成汇聚工作，解决我校数据孤岛的问题。</w:t>
            </w:r>
          </w:p>
          <w:p>
            <w:pPr>
              <w:pStyle w:val="15"/>
              <w:spacing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具体要求如下：</w:t>
            </w:r>
          </w:p>
          <w:p>
            <w:pPr>
              <w:pStyle w:val="13"/>
              <w:numPr>
                <w:ilvl w:val="0"/>
                <w:numId w:val="13"/>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需提供外部数据源管理，可按来源库与目标库的维度对数据源进行分类管理；</w:t>
            </w:r>
          </w:p>
          <w:p>
            <w:pPr>
              <w:pStyle w:val="13"/>
              <w:numPr>
                <w:ilvl w:val="0"/>
                <w:numId w:val="13"/>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为方便数据源的管理，需支持添加数据源标识与责任单位；支持对数据源进行新增、编辑、测试、复制、停用、启用、删除等操作；</w:t>
            </w:r>
          </w:p>
          <w:p>
            <w:pPr>
              <w:pStyle w:val="13"/>
              <w:numPr>
                <w:ilvl w:val="0"/>
                <w:numId w:val="13"/>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需</w:t>
            </w:r>
            <w:r>
              <w:rPr>
                <w:rFonts w:hint="eastAsia" w:ascii="宋体" w:hAnsi="宋体" w:eastAsia="宋体" w:cs="宋体"/>
                <w:color w:val="000000" w:themeColor="text1"/>
                <w:sz w:val="21"/>
                <w:szCs w:val="21"/>
                <w:highlight w:val="none"/>
                <w14:textFill>
                  <w14:solidFill>
                    <w14:schemeClr w14:val="tx1"/>
                  </w14:solidFill>
                </w14:textFill>
              </w:rPr>
              <w:t>支持国内外主流数据库,且支持以下形式的数据采集，包括GaussDB（openGauss）、GaussDB（DWS）、Greenplum、MariaDB、MySQL、Oracle、PostgreSQL、SQL Server、SQL Server 2000、Sybase、达梦、海量、神通；</w:t>
            </w:r>
          </w:p>
          <w:p>
            <w:pPr>
              <w:pStyle w:val="13"/>
              <w:numPr>
                <w:ilvl w:val="0"/>
                <w:numId w:val="13"/>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需支持集成任务管理，可按数据采集、数据清洗转换、数据建模、自定义对集成任务进行分类；</w:t>
            </w:r>
          </w:p>
          <w:p>
            <w:pPr>
              <w:pStyle w:val="13"/>
              <w:numPr>
                <w:ilvl w:val="0"/>
                <w:numId w:val="13"/>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数据集成任务需支持以可视化、零代码的数据集成方式完成，支持按数据输入、关联合并、数据过滤、数据映射、数据输出等流程化的形式完成数据集成操作。</w:t>
            </w:r>
          </w:p>
          <w:p>
            <w:pPr>
              <w:pStyle w:val="13"/>
              <w:numPr>
                <w:ilvl w:val="0"/>
                <w:numId w:val="13"/>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为满足一些复杂集成操作，需支持自定义集成任务，将外部的数据集成任务以文件形式进行导入，需支持ktr等类型的集成任务文件；</w:t>
            </w:r>
          </w:p>
          <w:p>
            <w:pPr>
              <w:pStyle w:val="13"/>
              <w:numPr>
                <w:ilvl w:val="0"/>
                <w:numId w:val="13"/>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▲需支持对数据集成任务运行情况进行监控，需能通过健康度指标来反映任务在近期运行中的稳定程度，需通过不同颜色来区分展示。</w:t>
            </w:r>
          </w:p>
          <w:p>
            <w:pPr>
              <w:pStyle w:val="13"/>
              <w:numPr>
                <w:ilvl w:val="0"/>
                <w:numId w:val="13"/>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新建调度计划，通过可视化界面以图形化的简易操作形式即可完成任务调度排布；需支持串行、并行执行的任务调度形式；需支持按调度周期、每秒、循环、指定时间等自定义cron表达式执行调度，cron表达式需支持可视化配置，无需编写表达式规则；</w:t>
            </w:r>
          </w:p>
          <w:p>
            <w:pPr>
              <w:pStyle w:val="13"/>
              <w:numPr>
                <w:ilvl w:val="0"/>
                <w:numId w:val="13"/>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需支持可视化展示平台任务运行情况，包括调度监控、数据源监控、任务监控、任务运行设备监控等信息，方便管理者对任务的运维管理；</w:t>
            </w:r>
          </w:p>
          <w:p>
            <w:pPr>
              <w:pStyle w:val="13"/>
              <w:numPr>
                <w:ilvl w:val="0"/>
                <w:numId w:val="13"/>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调度监控需支持以运行时刻图的方式展示构建数仓、质量检查、数据交换和其他调度的每日执行情况。应展示每次调度的开始时间、结束时间、耗费时长和运行结果。</w:t>
            </w:r>
          </w:p>
          <w:p>
            <w:pPr>
              <w:pStyle w:val="13"/>
              <w:numPr>
                <w:ilvl w:val="0"/>
                <w:numId w:val="13"/>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数据源监控需能展示来源库和目标库的正常连接和错误连接的数据源统计情况。</w:t>
            </w:r>
          </w:p>
          <w:p>
            <w:pPr>
              <w:pStyle w:val="13"/>
              <w:numPr>
                <w:ilvl w:val="0"/>
                <w:numId w:val="13"/>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任务监控需能以图表形式展示交换、采集、清洗转换、建模和其他自定义任务的运行次数和成功次数。应能展示最近5次及以上任务运行详情，包括任务开始时间、任务类型、任务名称、运行时长、运行结果等信息。</w:t>
            </w:r>
          </w:p>
          <w:p>
            <w:pPr>
              <w:pStyle w:val="13"/>
              <w:numPr>
                <w:ilvl w:val="0"/>
                <w:numId w:val="13"/>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任务运行设备监控应展示每个运行任务的服务器设备情况，包括每台设备的IP地址、CPU数、内存和指定时间范围内的任务运行次数</w:t>
            </w:r>
          </w:p>
          <w:p>
            <w:pPr>
              <w:pStyle w:val="13"/>
              <w:numPr>
                <w:ilvl w:val="0"/>
                <w:numId w:val="13"/>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需支持任务异常告警，当集成任务涉及到的数据源或数据目标发生变化影响到任务进行时，任务将进入告警状态，及时提醒管理员处理。</w:t>
            </w:r>
          </w:p>
          <w:p>
            <w:pPr>
              <w:pStyle w:val="13"/>
              <w:numPr>
                <w:ilvl w:val="0"/>
                <w:numId w:val="13"/>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数据看板需支持可视化方式呈现数据治理的成果，包括数据采集、数据共享交换和数据API，系统操作员可根据看板结果进一步分析数据实施成果的运行问题。</w:t>
            </w:r>
          </w:p>
          <w:p>
            <w:pPr>
              <w:pStyle w:val="4"/>
              <w:tabs>
                <w:tab w:val="left" w:pos="432"/>
              </w:tabs>
              <w:spacing w:before="163" w:after="163"/>
              <w:rPr>
                <w:rFonts w:hint="eastAsia" w:ascii="宋体" w:hAnsi="宋体" w:eastAsia="宋体" w:cs="宋体"/>
                <w:color w:val="000000" w:themeColor="text1"/>
                <w:sz w:val="21"/>
                <w:szCs w:val="21"/>
                <w:highlight w:val="none"/>
                <w14:textFill>
                  <w14:solidFill>
                    <w14:schemeClr w14:val="tx1"/>
                  </w14:solidFill>
                </w14:textFill>
              </w:rPr>
            </w:pPr>
            <w:bookmarkStart w:id="59" w:name="_Toc159428277"/>
            <w:r>
              <w:rPr>
                <w:rFonts w:hint="eastAsia" w:ascii="宋体" w:hAnsi="宋体" w:eastAsia="宋体" w:cs="宋体"/>
                <w:color w:val="000000" w:themeColor="text1"/>
                <w:sz w:val="21"/>
                <w:szCs w:val="21"/>
                <w:highlight w:val="none"/>
                <w14:textFill>
                  <w14:solidFill>
                    <w14:schemeClr w14:val="tx1"/>
                  </w14:solidFill>
                </w14:textFill>
              </w:rPr>
              <w:t>数据API管理</w:t>
            </w:r>
            <w:bookmarkEnd w:id="59"/>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数据API支持根据数据使用需求直接定义数据接口并授权给应用，同时为确保数据接口安全调用，支持设置调用频率限制和IP黑名单。</w:t>
            </w:r>
          </w:p>
          <w:p>
            <w:pPr>
              <w:pStyle w:val="13"/>
              <w:numPr>
                <w:ilvl w:val="0"/>
                <w:numId w:val="14"/>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支持新增、编辑或删除数据集成API。新增数据集成API的配置信息需包括接口的属性和字段信息，其中属性的定义包括接口的唯一编码、接口名称和说明，编码默认系统自动生成并支持用户手动调整；接口的字段需支持通过SQL语句选择外部数据源或数据中心的数据作为接口返回字段。需支持通过SQL构建器快速选表生成SQL语句。</w:t>
            </w:r>
          </w:p>
          <w:p>
            <w:pPr>
              <w:pStyle w:val="13"/>
              <w:numPr>
                <w:ilvl w:val="0"/>
                <w:numId w:val="14"/>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需支持用户删除数据集成API。删除后，在数据集成API授权列表中，授权关系将被标注“已删除”，但不会同步删除授权关系，在有效期内应用将无法调用授权API，同时数据API看板将不再统计已删除API；</w:t>
            </w:r>
          </w:p>
          <w:p>
            <w:pPr>
              <w:pStyle w:val="13"/>
              <w:numPr>
                <w:ilvl w:val="0"/>
                <w:numId w:val="14"/>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需支持用户将集成API授权给应用，授权属性包括：授权API、授权应用、授权有效期、使用限制。</w:t>
            </w:r>
          </w:p>
          <w:p>
            <w:pPr>
              <w:pStyle w:val="13"/>
              <w:numPr>
                <w:ilvl w:val="0"/>
                <w:numId w:val="14"/>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需支持用户禁用或启用API授权状态，禁用后该应用将无法调用授权API，需通过启用恢复。</w:t>
            </w:r>
          </w:p>
          <w:p>
            <w:pPr>
              <w:pStyle w:val="13"/>
              <w:numPr>
                <w:ilvl w:val="0"/>
                <w:numId w:val="14"/>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需支持删除授权关系，删除后，该应用将无法调用API接口，授权关系无法恢复，但删除授权关系不会影响API调用日志，数据API看板同步保留删除之前的使用统计结果。</w:t>
            </w:r>
          </w:p>
          <w:p>
            <w:pPr>
              <w:pStyle w:val="13"/>
              <w:numPr>
                <w:ilvl w:val="0"/>
                <w:numId w:val="14"/>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需支持查看数据集成API的调用信息，便于系统操作员排查异常情况，支持在详情中查看接口调用失败的原因，日志记录时长默认为365天。如下图，日志信息包括：应用名称、APP ID、接口名称、接口路径、请求时间、请求方式、调用者IP、执行时间、响应时间、调用结果、调用数据量。</w:t>
            </w:r>
          </w:p>
          <w:p>
            <w:pPr>
              <w:pStyle w:val="4"/>
              <w:tabs>
                <w:tab w:val="left" w:pos="432"/>
              </w:tabs>
              <w:spacing w:before="163" w:after="163"/>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交换库管理</w:t>
            </w:r>
            <w:bookmarkEnd w:id="56"/>
          </w:p>
          <w:p>
            <w:pPr>
              <w:pStyle w:val="15"/>
              <w:numPr>
                <w:ilvl w:val="0"/>
                <w:numId w:val="15"/>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w:t>
            </w:r>
            <w:r>
              <w:rPr>
                <w:rFonts w:hint="eastAsia" w:ascii="宋体" w:hAnsi="宋体" w:eastAsia="宋体" w:cs="宋体"/>
                <w:color w:val="000000" w:themeColor="text1"/>
                <w:sz w:val="21"/>
                <w:szCs w:val="21"/>
                <w:highlight w:val="none"/>
                <w:lang w:eastAsia="zh-Hans"/>
                <w14:textFill>
                  <w14:solidFill>
                    <w14:schemeClr w14:val="tx1"/>
                  </w14:solidFill>
                </w14:textFill>
              </w:rPr>
              <w:t>批量</w:t>
            </w:r>
            <w:r>
              <w:rPr>
                <w:rFonts w:hint="eastAsia" w:ascii="宋体" w:hAnsi="宋体" w:eastAsia="宋体" w:cs="宋体"/>
                <w:color w:val="000000" w:themeColor="text1"/>
                <w:sz w:val="21"/>
                <w:szCs w:val="21"/>
                <w:highlight w:val="none"/>
                <w14:textFill>
                  <w14:solidFill>
                    <w14:schemeClr w14:val="tx1"/>
                  </w14:solidFill>
                </w14:textFill>
              </w:rPr>
              <w:t>导入主数据模型。</w:t>
            </w:r>
            <w:r>
              <w:rPr>
                <w:rFonts w:hint="eastAsia" w:ascii="宋体" w:hAnsi="宋体" w:eastAsia="宋体" w:cs="宋体"/>
                <w:color w:val="000000" w:themeColor="text1"/>
                <w:sz w:val="21"/>
                <w:szCs w:val="21"/>
                <w:highlight w:val="none"/>
                <w:lang w:eastAsia="zh-Hans"/>
                <w14:textFill>
                  <w14:solidFill>
                    <w14:schemeClr w14:val="tx1"/>
                  </w14:solidFill>
                </w14:textFill>
              </w:rPr>
              <w:t>需支持对主数据模型进行</w:t>
            </w:r>
            <w:r>
              <w:rPr>
                <w:rFonts w:hint="eastAsia" w:ascii="宋体" w:hAnsi="宋体" w:eastAsia="宋体" w:cs="宋体"/>
                <w:color w:val="000000" w:themeColor="text1"/>
                <w:sz w:val="21"/>
                <w:szCs w:val="21"/>
                <w:highlight w:val="none"/>
                <w14:textFill>
                  <w14:solidFill>
                    <w14:schemeClr w14:val="tx1"/>
                  </w14:solidFill>
                </w14:textFill>
              </w:rPr>
              <w:t>编辑、启用、停用、删除等操作。</w:t>
            </w:r>
          </w:p>
          <w:p>
            <w:pPr>
              <w:pStyle w:val="15"/>
              <w:numPr>
                <w:ilvl w:val="0"/>
                <w:numId w:val="15"/>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需支持主数据表的数据明细查询，需支持查看表结构的变更记录，需支持查看</w:t>
            </w:r>
            <w:r>
              <w:rPr>
                <w:rFonts w:hint="eastAsia" w:ascii="宋体" w:hAnsi="宋体" w:eastAsia="宋体" w:cs="宋体"/>
                <w:color w:val="000000" w:themeColor="text1"/>
                <w:sz w:val="21"/>
                <w:szCs w:val="21"/>
                <w:highlight w:val="none"/>
                <w:lang w:eastAsia="zh-Hans"/>
                <w14:textFill>
                  <w14:solidFill>
                    <w14:schemeClr w14:val="tx1"/>
                  </w14:solidFill>
                </w14:textFill>
              </w:rPr>
              <w:t>主</w:t>
            </w:r>
            <w:r>
              <w:rPr>
                <w:rFonts w:hint="eastAsia" w:ascii="宋体" w:hAnsi="宋体" w:eastAsia="宋体" w:cs="宋体"/>
                <w:color w:val="000000" w:themeColor="text1"/>
                <w:sz w:val="21"/>
                <w:szCs w:val="21"/>
                <w:highlight w:val="none"/>
                <w14:textFill>
                  <w14:solidFill>
                    <w14:schemeClr w14:val="tx1"/>
                  </w14:solidFill>
                </w14:textFill>
              </w:rPr>
              <w:t>数据的变更记录。</w:t>
            </w:r>
          </w:p>
          <w:p>
            <w:pPr>
              <w:pStyle w:val="15"/>
              <w:numPr>
                <w:ilvl w:val="0"/>
                <w:numId w:val="15"/>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需支持以主数据表为中心，以外部数据源、贴源层、主数据等节点查看数据的上游与下游数据流转关系。</w:t>
            </w:r>
          </w:p>
          <w:p>
            <w:pPr>
              <w:pStyle w:val="15"/>
              <w:numPr>
                <w:ilvl w:val="0"/>
                <w:numId w:val="15"/>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支持在清洗转换任务的输出阶段配置</w:t>
            </w:r>
            <w:r>
              <w:rPr>
                <w:rFonts w:hint="eastAsia" w:ascii="宋体" w:hAnsi="宋体" w:eastAsia="宋体" w:cs="宋体"/>
                <w:color w:val="000000" w:themeColor="text1"/>
                <w:sz w:val="21"/>
                <w:szCs w:val="21"/>
                <w:highlight w:val="none"/>
                <w:lang w:eastAsia="zh-Hans"/>
                <w14:textFill>
                  <w14:solidFill>
                    <w14:schemeClr w14:val="tx1"/>
                  </w14:solidFill>
                </w14:textFill>
              </w:rPr>
              <w:t>过滤</w:t>
            </w:r>
            <w:r>
              <w:rPr>
                <w:rFonts w:hint="eastAsia" w:ascii="宋体" w:hAnsi="宋体" w:eastAsia="宋体" w:cs="宋体"/>
                <w:color w:val="000000" w:themeColor="text1"/>
                <w:sz w:val="21"/>
                <w:szCs w:val="21"/>
                <w:highlight w:val="none"/>
                <w14:textFill>
                  <w14:solidFill>
                    <w14:schemeClr w14:val="tx1"/>
                  </w14:solidFill>
                </w14:textFill>
              </w:rPr>
              <w:t>规则，</w:t>
            </w:r>
            <w:r>
              <w:rPr>
                <w:rFonts w:hint="eastAsia" w:ascii="宋体" w:hAnsi="宋体" w:eastAsia="宋体" w:cs="宋体"/>
                <w:color w:val="000000" w:themeColor="text1"/>
                <w:sz w:val="21"/>
                <w:szCs w:val="21"/>
                <w:highlight w:val="none"/>
                <w:lang w:eastAsia="zh-Hans"/>
                <w14:textFill>
                  <w14:solidFill>
                    <w14:schemeClr w14:val="tx1"/>
                  </w14:solidFill>
                </w14:textFill>
              </w:rPr>
              <w:t>过滤后的</w:t>
            </w:r>
            <w:r>
              <w:rPr>
                <w:rFonts w:hint="eastAsia" w:ascii="宋体" w:hAnsi="宋体" w:eastAsia="宋体" w:cs="宋体"/>
                <w:color w:val="000000" w:themeColor="text1"/>
                <w:sz w:val="21"/>
                <w:szCs w:val="21"/>
                <w:highlight w:val="none"/>
                <w14:textFill>
                  <w14:solidFill>
                    <w14:schemeClr w14:val="tx1"/>
                  </w14:solidFill>
                </w14:textFill>
              </w:rPr>
              <w:t>数据</w:t>
            </w:r>
            <w:r>
              <w:rPr>
                <w:rFonts w:hint="eastAsia" w:ascii="宋体" w:hAnsi="宋体" w:eastAsia="宋体" w:cs="宋体"/>
                <w:color w:val="000000" w:themeColor="text1"/>
                <w:sz w:val="21"/>
                <w:szCs w:val="21"/>
                <w:highlight w:val="none"/>
                <w:lang w:eastAsia="zh-Hans"/>
                <w14:textFill>
                  <w14:solidFill>
                    <w14:schemeClr w14:val="tx1"/>
                  </w14:solidFill>
                </w14:textFill>
              </w:rPr>
              <w:t>方能</w:t>
            </w:r>
            <w:r>
              <w:rPr>
                <w:rFonts w:hint="eastAsia" w:ascii="宋体" w:hAnsi="宋体" w:eastAsia="宋体" w:cs="宋体"/>
                <w:color w:val="000000" w:themeColor="text1"/>
                <w:sz w:val="21"/>
                <w:szCs w:val="21"/>
                <w:highlight w:val="none"/>
                <w14:textFill>
                  <w14:solidFill>
                    <w14:schemeClr w14:val="tx1"/>
                  </w14:solidFill>
                </w14:textFill>
              </w:rPr>
              <w:t>进入主数据表中。</w:t>
            </w:r>
          </w:p>
          <w:bookmarkEnd w:id="57"/>
          <w:bookmarkEnd w:id="58"/>
          <w:p>
            <w:pPr>
              <w:pStyle w:val="3"/>
              <w:tabs>
                <w:tab w:val="left" w:pos="432"/>
              </w:tabs>
              <w:spacing w:before="120" w:after="120"/>
              <w:rPr>
                <w:rFonts w:hint="eastAsia" w:ascii="宋体" w:hAnsi="宋体" w:eastAsia="宋体" w:cs="宋体"/>
                <w:color w:val="000000" w:themeColor="text1"/>
                <w:sz w:val="21"/>
                <w:szCs w:val="21"/>
                <w:highlight w:val="none"/>
                <w14:textFill>
                  <w14:solidFill>
                    <w14:schemeClr w14:val="tx1"/>
                  </w14:solidFill>
                </w14:textFill>
              </w:rPr>
            </w:pPr>
            <w:bookmarkStart w:id="60" w:name="_Toc166341742"/>
            <w:bookmarkStart w:id="61" w:name="_Toc25419"/>
            <w:r>
              <w:rPr>
                <w:rFonts w:hint="eastAsia" w:ascii="宋体" w:hAnsi="宋体" w:eastAsia="宋体" w:cs="宋体"/>
                <w:color w:val="000000" w:themeColor="text1"/>
                <w:sz w:val="21"/>
                <w:szCs w:val="21"/>
                <w:highlight w:val="none"/>
                <w14:textFill>
                  <w14:solidFill>
                    <w14:schemeClr w14:val="tx1"/>
                  </w14:solidFill>
                </w14:textFill>
              </w:rPr>
              <w:t>数据治理平台</w:t>
            </w:r>
            <w:bookmarkEnd w:id="60"/>
            <w:bookmarkEnd w:id="61"/>
          </w:p>
          <w:p>
            <w:pPr>
              <w:pStyle w:val="4"/>
              <w:tabs>
                <w:tab w:val="left" w:pos="432"/>
              </w:tabs>
              <w:spacing w:before="163" w:after="163"/>
              <w:rPr>
                <w:rFonts w:hint="eastAsia" w:ascii="宋体" w:hAnsi="宋体" w:eastAsia="宋体" w:cs="宋体"/>
                <w:color w:val="000000" w:themeColor="text1"/>
                <w:sz w:val="21"/>
                <w:szCs w:val="21"/>
                <w:highlight w:val="none"/>
                <w14:textFill>
                  <w14:solidFill>
                    <w14:schemeClr w14:val="tx1"/>
                  </w14:solidFill>
                </w14:textFill>
              </w:rPr>
            </w:pPr>
            <w:bookmarkStart w:id="62" w:name="_Toc159428284"/>
            <w:r>
              <w:rPr>
                <w:rFonts w:hint="eastAsia" w:ascii="宋体" w:hAnsi="宋体" w:eastAsia="宋体" w:cs="宋体"/>
                <w:color w:val="000000" w:themeColor="text1"/>
                <w:sz w:val="21"/>
                <w:szCs w:val="21"/>
                <w:highlight w:val="none"/>
                <w14:textFill>
                  <w14:solidFill>
                    <w14:schemeClr w14:val="tx1"/>
                  </w14:solidFill>
                </w14:textFill>
              </w:rPr>
              <w:t>数据质量管理</w:t>
            </w:r>
            <w:bookmarkEnd w:id="62"/>
          </w:p>
          <w:p>
            <w:pPr>
              <w:pStyle w:val="15"/>
              <w:spacing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为持续发现我校数据质量问题，需预置数据质量检测规则，对数据质量问题进行管理、检测、跟踪、处理，常态化自动生成数据质量报告，持续提升我校数据质量。</w:t>
            </w:r>
          </w:p>
          <w:p>
            <w:pPr>
              <w:pStyle w:val="15"/>
              <w:numPr>
                <w:ilvl w:val="0"/>
                <w:numId w:val="16"/>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数据质量管理需</w:t>
            </w:r>
            <w:r>
              <w:rPr>
                <w:rFonts w:hint="eastAsia" w:ascii="宋体" w:hAnsi="宋体" w:eastAsia="宋体" w:cs="宋体"/>
                <w:color w:val="000000" w:themeColor="text1"/>
                <w:sz w:val="21"/>
                <w:szCs w:val="21"/>
                <w:highlight w:val="none"/>
                <w14:textFill>
                  <w14:solidFill>
                    <w14:schemeClr w14:val="tx1"/>
                  </w14:solidFill>
                </w14:textFill>
              </w:rPr>
              <w:t>包含质检规则、质检方案、质检结果管理。规则库需至少包含非空检查、值域检查、规范检查、唯一性检查、引用完整性检查、逻辑检查等类型的检测规则。</w:t>
            </w:r>
            <w:r>
              <w:rPr>
                <w:rFonts w:hint="eastAsia" w:ascii="宋体" w:hAnsi="宋体" w:eastAsia="宋体" w:cs="宋体"/>
                <w:color w:val="000000" w:themeColor="text1"/>
                <w:sz w:val="21"/>
                <w:szCs w:val="21"/>
                <w:highlight w:val="none"/>
                <w:lang w:eastAsia="zh-Hans"/>
                <w14:textFill>
                  <w14:solidFill>
                    <w14:schemeClr w14:val="tx1"/>
                  </w14:solidFill>
                </w14:textFill>
              </w:rPr>
              <w:t>需</w:t>
            </w:r>
            <w:r>
              <w:rPr>
                <w:rFonts w:hint="eastAsia" w:ascii="宋体" w:hAnsi="宋体" w:eastAsia="宋体" w:cs="宋体"/>
                <w:color w:val="000000" w:themeColor="text1"/>
                <w:sz w:val="21"/>
                <w:szCs w:val="21"/>
                <w:highlight w:val="none"/>
                <w14:textFill>
                  <w14:solidFill>
                    <w14:schemeClr w14:val="tx1"/>
                  </w14:solidFill>
                </w14:textFill>
              </w:rPr>
              <w:t>支持</w:t>
            </w:r>
            <w:r>
              <w:rPr>
                <w:rFonts w:hint="eastAsia" w:ascii="宋体" w:hAnsi="宋体" w:eastAsia="宋体" w:cs="宋体"/>
                <w:color w:val="000000" w:themeColor="text1"/>
                <w:sz w:val="21"/>
                <w:szCs w:val="21"/>
                <w:highlight w:val="none"/>
                <w:lang w:eastAsia="zh-Hans"/>
                <w14:textFill>
                  <w14:solidFill>
                    <w14:schemeClr w14:val="tx1"/>
                  </w14:solidFill>
                </w14:textFill>
              </w:rPr>
              <w:t>按</w:t>
            </w:r>
            <w:r>
              <w:rPr>
                <w:rFonts w:hint="eastAsia" w:ascii="宋体" w:hAnsi="宋体" w:eastAsia="宋体" w:cs="宋体"/>
                <w:color w:val="000000" w:themeColor="text1"/>
                <w:sz w:val="21"/>
                <w:szCs w:val="21"/>
                <w:highlight w:val="none"/>
                <w14:textFill>
                  <w14:solidFill>
                    <w14:schemeClr w14:val="tx1"/>
                  </w14:solidFill>
                </w14:textFill>
              </w:rPr>
              <w:t>数据元素批量新增质检规则。</w:t>
            </w:r>
          </w:p>
          <w:p>
            <w:pPr>
              <w:pStyle w:val="15"/>
              <w:numPr>
                <w:ilvl w:val="0"/>
                <w:numId w:val="16"/>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需支持设置进行质检的表、检查字段；支持通过正则表达式自定义数据质量检测规则。</w:t>
            </w:r>
          </w:p>
          <w:p>
            <w:pPr>
              <w:pStyle w:val="15"/>
              <w:numPr>
                <w:ilvl w:val="0"/>
                <w:numId w:val="16"/>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需支持对质量检测规则进行问题级别定义，需至少包含“建议”“轻微”“一般”“严重”等维度，便于对数据质量问题采取不同响应措施。</w:t>
            </w:r>
          </w:p>
          <w:p>
            <w:pPr>
              <w:pStyle w:val="15"/>
              <w:numPr>
                <w:ilvl w:val="0"/>
                <w:numId w:val="16"/>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需支持自定义保留最近检测次数的质检结果，而质检方案汇总数据将永久保存</w:t>
            </w: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w:t>
            </w:r>
          </w:p>
          <w:p>
            <w:pPr>
              <w:pStyle w:val="15"/>
              <w:numPr>
                <w:ilvl w:val="0"/>
                <w:numId w:val="16"/>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▲需支持质检方案</w:t>
            </w:r>
            <w:r>
              <w:rPr>
                <w:rFonts w:hint="eastAsia" w:ascii="宋体" w:hAnsi="宋体" w:eastAsia="宋体" w:cs="宋体"/>
                <w:color w:val="000000" w:themeColor="text1"/>
                <w:sz w:val="21"/>
                <w:szCs w:val="21"/>
                <w:highlight w:val="none"/>
                <w:lang w:eastAsia="zh-Hans"/>
                <w14:textFill>
                  <w14:solidFill>
                    <w14:schemeClr w14:val="tx1"/>
                  </w14:solidFill>
                </w14:textFill>
              </w:rPr>
              <w:t>的执行周期，预警规则，质检报告发送策略和发送人员进行设置。</w:t>
            </w:r>
            <w:r>
              <w:rPr>
                <w:rFonts w:hint="eastAsia" w:ascii="宋体" w:hAnsi="宋体" w:eastAsia="宋体" w:cs="宋体"/>
                <w:color w:val="000000" w:themeColor="text1"/>
                <w:sz w:val="21"/>
                <w:szCs w:val="21"/>
                <w:highlight w:val="none"/>
                <w14:textFill>
                  <w14:solidFill>
                    <w14:schemeClr w14:val="tx1"/>
                  </w14:solidFill>
                </w14:textFill>
              </w:rPr>
              <w:t>需支持按每日、每周、每月、每年进行</w:t>
            </w:r>
            <w:r>
              <w:rPr>
                <w:rFonts w:hint="eastAsia" w:ascii="宋体" w:hAnsi="宋体" w:eastAsia="宋体" w:cs="宋体"/>
                <w:color w:val="000000" w:themeColor="text1"/>
                <w:sz w:val="21"/>
                <w:szCs w:val="21"/>
                <w:highlight w:val="none"/>
                <w:lang w:eastAsia="zh-Hans"/>
                <w14:textFill>
                  <w14:solidFill>
                    <w14:schemeClr w14:val="tx1"/>
                  </w14:solidFill>
                </w14:textFill>
              </w:rPr>
              <w:t>质检</w:t>
            </w:r>
            <w:r>
              <w:rPr>
                <w:rFonts w:hint="eastAsia" w:ascii="宋体" w:hAnsi="宋体" w:eastAsia="宋体" w:cs="宋体"/>
                <w:color w:val="000000" w:themeColor="text1"/>
                <w:sz w:val="21"/>
                <w:szCs w:val="21"/>
                <w:highlight w:val="none"/>
                <w14:textFill>
                  <w14:solidFill>
                    <w14:schemeClr w14:val="tx1"/>
                  </w14:solidFill>
                </w14:textFill>
              </w:rPr>
              <w:t>任务调度；</w:t>
            </w:r>
            <w:r>
              <w:rPr>
                <w:rFonts w:hint="eastAsia" w:ascii="宋体" w:hAnsi="宋体" w:eastAsia="宋体" w:cs="宋体"/>
                <w:color w:val="000000" w:themeColor="text1"/>
                <w:sz w:val="21"/>
                <w:szCs w:val="21"/>
                <w:highlight w:val="none"/>
                <w:lang w:eastAsia="zh-Hans"/>
                <w14:textFill>
                  <w14:solidFill>
                    <w14:schemeClr w14:val="tx1"/>
                  </w14:solidFill>
                </w14:textFill>
              </w:rPr>
              <w:t>需</w:t>
            </w:r>
            <w:r>
              <w:rPr>
                <w:rFonts w:hint="eastAsia" w:ascii="宋体" w:hAnsi="宋体" w:eastAsia="宋体" w:cs="宋体"/>
                <w:color w:val="000000" w:themeColor="text1"/>
                <w:sz w:val="21"/>
                <w:szCs w:val="21"/>
                <w:highlight w:val="none"/>
                <w14:textFill>
                  <w14:solidFill>
                    <w14:schemeClr w14:val="tx1"/>
                  </w14:solidFill>
                </w14:textFill>
              </w:rPr>
              <w:t>支持通过问题级别、质检分数设置阈值，通过不同阈值将预警级别分为高、中、低三个级别。质检报告发送策略</w:t>
            </w:r>
            <w:r>
              <w:rPr>
                <w:rFonts w:hint="eastAsia" w:ascii="宋体" w:hAnsi="宋体" w:eastAsia="宋体" w:cs="宋体"/>
                <w:color w:val="000000" w:themeColor="text1"/>
                <w:sz w:val="21"/>
                <w:szCs w:val="21"/>
                <w:highlight w:val="none"/>
                <w:lang w:eastAsia="zh-Hans"/>
                <w14:textFill>
                  <w14:solidFill>
                    <w14:schemeClr w14:val="tx1"/>
                  </w14:solidFill>
                </w14:textFill>
              </w:rPr>
              <w:t>需</w:t>
            </w:r>
            <w:r>
              <w:rPr>
                <w:rFonts w:hint="eastAsia" w:ascii="宋体" w:hAnsi="宋体" w:eastAsia="宋体" w:cs="宋体"/>
                <w:color w:val="000000" w:themeColor="text1"/>
                <w:sz w:val="21"/>
                <w:szCs w:val="21"/>
                <w:highlight w:val="none"/>
                <w14:textFill>
                  <w14:solidFill>
                    <w14:schemeClr w14:val="tx1"/>
                  </w14:solidFill>
                </w14:textFill>
              </w:rPr>
              <w:t>支持每执行多少次发送一次、预警结果高于或等于某预警级别时、质检分数低于多少分时三种方式，也支持三种方式组合；</w:t>
            </w:r>
          </w:p>
          <w:p>
            <w:pPr>
              <w:pStyle w:val="15"/>
              <w:numPr>
                <w:ilvl w:val="0"/>
                <w:numId w:val="16"/>
              </w:numPr>
              <w:spacing w:line="240" w:lineRule="auto"/>
              <w:ind w:firstLineChars="0"/>
              <w:rPr>
                <w:rFonts w:hint="eastAsia" w:ascii="宋体" w:hAnsi="宋体" w:eastAsia="宋体" w:cs="宋体"/>
                <w:color w:val="000000" w:themeColor="text1"/>
                <w:sz w:val="21"/>
                <w:szCs w:val="21"/>
                <w:highlight w:val="none"/>
                <w:lang w:eastAsia="zh-Hans" w:bidi="ar"/>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支持查看数据质量分析报告，质检报告需</w:t>
            </w:r>
            <w:r>
              <w:rPr>
                <w:rFonts w:hint="eastAsia" w:ascii="宋体" w:hAnsi="宋体" w:eastAsia="宋体" w:cs="宋体"/>
                <w:color w:val="000000" w:themeColor="text1"/>
                <w:sz w:val="21"/>
                <w:szCs w:val="21"/>
                <w:highlight w:val="none"/>
                <w14:textFill>
                  <w14:solidFill>
                    <w14:schemeClr w14:val="tx1"/>
                  </w14:solidFill>
                </w14:textFill>
              </w:rPr>
              <w:t>支持PDF格式下载；</w:t>
            </w:r>
            <w:r>
              <w:rPr>
                <w:rFonts w:hint="eastAsia" w:ascii="宋体" w:hAnsi="宋体" w:eastAsia="宋体" w:cs="宋体"/>
                <w:color w:val="000000" w:themeColor="text1"/>
                <w:sz w:val="21"/>
                <w:szCs w:val="21"/>
                <w:highlight w:val="none"/>
                <w:lang w:eastAsia="zh-Hans"/>
                <w14:textFill>
                  <w14:solidFill>
                    <w14:schemeClr w14:val="tx1"/>
                  </w14:solidFill>
                </w14:textFill>
              </w:rPr>
              <w:t>报告内容需</w:t>
            </w:r>
            <w:r>
              <w:rPr>
                <w:rFonts w:hint="eastAsia" w:ascii="宋体" w:hAnsi="宋体" w:eastAsia="宋体" w:cs="宋体"/>
                <w:color w:val="000000" w:themeColor="text1"/>
                <w:sz w:val="21"/>
                <w:szCs w:val="21"/>
                <w:highlight w:val="none"/>
                <w14:textFill>
                  <w14:solidFill>
                    <w14:schemeClr w14:val="tx1"/>
                  </w14:solidFill>
                </w14:textFill>
              </w:rPr>
              <w:t>包含数据质检综合评分、质检评分历史趋势、质检结果分析、评估概况、数据表质检明细、各部门质检明细等部分内容。</w:t>
            </w:r>
          </w:p>
          <w:p>
            <w:pPr>
              <w:pStyle w:val="4"/>
              <w:tabs>
                <w:tab w:val="left" w:pos="432"/>
              </w:tabs>
              <w:spacing w:before="163" w:after="163"/>
              <w:rPr>
                <w:rFonts w:hint="eastAsia" w:ascii="宋体" w:hAnsi="宋体" w:eastAsia="宋体" w:cs="宋体"/>
                <w:color w:val="000000" w:themeColor="text1"/>
                <w:sz w:val="21"/>
                <w:szCs w:val="21"/>
                <w:highlight w:val="none"/>
                <w14:textFill>
                  <w14:solidFill>
                    <w14:schemeClr w14:val="tx1"/>
                  </w14:solidFill>
                </w14:textFill>
              </w:rPr>
            </w:pPr>
            <w:bookmarkStart w:id="63" w:name="_Toc152852911"/>
            <w:bookmarkStart w:id="64" w:name="_Toc159428285"/>
            <w:r>
              <w:rPr>
                <w:rFonts w:hint="eastAsia" w:ascii="宋体" w:hAnsi="宋体" w:eastAsia="宋体" w:cs="宋体"/>
                <w:color w:val="000000" w:themeColor="text1"/>
                <w:sz w:val="21"/>
                <w:szCs w:val="21"/>
                <w:highlight w:val="none"/>
                <w14:textFill>
                  <w14:solidFill>
                    <w14:schemeClr w14:val="tx1"/>
                  </w14:solidFill>
                </w14:textFill>
              </w:rPr>
              <w:t>数据安全管理</w:t>
            </w:r>
            <w:bookmarkEnd w:id="63"/>
            <w:bookmarkEnd w:id="64"/>
          </w:p>
          <w:p>
            <w:pPr>
              <w:pStyle w:val="15"/>
              <w:spacing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数据安全是数字化转型的前提，更是底线，高效运转的校园离不开坚实的数据安全“堤坝”。数据共享开放环节复杂、数据流动频繁，过程中潜藏了诸多数据泄露风险</w:t>
            </w:r>
            <w:r>
              <w:rPr>
                <w:rFonts w:hint="eastAsia" w:ascii="宋体" w:hAnsi="宋体" w:eastAsia="宋体" w:cs="宋体"/>
                <w:color w:val="000000" w:themeColor="text1"/>
                <w:sz w:val="21"/>
                <w:szCs w:val="21"/>
                <w:highlight w:val="none"/>
                <w14:textFill>
                  <w14:solidFill>
                    <w14:schemeClr w14:val="tx1"/>
                  </w14:solidFill>
                </w14:textFill>
              </w:rPr>
              <w:t>，系统需要提供数据分类分级、加密脱敏等功能，实现对敏感数据的保护。</w:t>
            </w:r>
          </w:p>
          <w:p>
            <w:pPr>
              <w:pStyle w:val="15"/>
              <w:spacing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具体要求如下：</w:t>
            </w:r>
          </w:p>
          <w:p>
            <w:pPr>
              <w:pStyle w:val="15"/>
              <w:numPr>
                <w:ilvl w:val="0"/>
                <w:numId w:val="17"/>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需支持数据资源分类管理、数据资源分级管理、数据脱敏管理。</w:t>
            </w:r>
          </w:p>
          <w:p>
            <w:pPr>
              <w:pStyle w:val="15"/>
              <w:numPr>
                <w:ilvl w:val="0"/>
                <w:numId w:val="17"/>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数据资源分类管理</w:t>
            </w:r>
            <w:r>
              <w:rPr>
                <w:rFonts w:hint="eastAsia" w:ascii="宋体" w:hAnsi="宋体" w:eastAsia="宋体" w:cs="宋体"/>
                <w:color w:val="000000" w:themeColor="text1"/>
                <w:sz w:val="21"/>
                <w:szCs w:val="21"/>
                <w:highlight w:val="none"/>
                <w:lang w:eastAsia="zh-Hans"/>
                <w14:textFill>
                  <w14:solidFill>
                    <w14:schemeClr w14:val="tx1"/>
                  </w14:solidFill>
                </w14:textFill>
              </w:rPr>
              <w:t>需</w:t>
            </w:r>
            <w:r>
              <w:rPr>
                <w:rFonts w:hint="eastAsia" w:ascii="宋体" w:hAnsi="宋体" w:eastAsia="宋体" w:cs="宋体"/>
                <w:color w:val="000000" w:themeColor="text1"/>
                <w:sz w:val="21"/>
                <w:szCs w:val="21"/>
                <w:highlight w:val="none"/>
                <w14:textFill>
                  <w14:solidFill>
                    <w14:schemeClr w14:val="tx1"/>
                  </w14:solidFill>
                </w14:textFill>
              </w:rPr>
              <w:t>包含分类维度、分类规则、分类管理等管理功能。</w:t>
            </w:r>
            <w:r>
              <w:rPr>
                <w:rFonts w:hint="eastAsia" w:ascii="宋体" w:hAnsi="宋体" w:eastAsia="宋体" w:cs="宋体"/>
                <w:b/>
                <w:bCs/>
                <w:color w:val="000000" w:themeColor="text1"/>
                <w:sz w:val="21"/>
                <w:szCs w:val="21"/>
                <w:highlight w:val="none"/>
                <w14:textFill>
                  <w14:solidFill>
                    <w14:schemeClr w14:val="tx1"/>
                  </w14:solidFill>
                </w14:textFill>
              </w:rPr>
              <w:t>分类维度</w:t>
            </w:r>
            <w:r>
              <w:rPr>
                <w:rFonts w:hint="eastAsia" w:ascii="宋体" w:hAnsi="宋体" w:eastAsia="宋体" w:cs="宋体"/>
                <w:color w:val="000000" w:themeColor="text1"/>
                <w:sz w:val="21"/>
                <w:szCs w:val="21"/>
                <w:highlight w:val="none"/>
                <w14:textFill>
                  <w14:solidFill>
                    <w14:schemeClr w14:val="tx1"/>
                  </w14:solidFill>
                </w14:textFill>
              </w:rPr>
              <w:t>需预置公民个人维度、敏感个人三个信息维度；</w:t>
            </w:r>
            <w:r>
              <w:rPr>
                <w:rFonts w:hint="eastAsia" w:ascii="宋体" w:hAnsi="宋体" w:eastAsia="宋体" w:cs="宋体"/>
                <w:b/>
                <w:bCs/>
                <w:color w:val="000000" w:themeColor="text1"/>
                <w:sz w:val="21"/>
                <w:szCs w:val="21"/>
                <w:highlight w:val="none"/>
                <w:lang w:eastAsia="zh-Hans"/>
                <w14:textFill>
                  <w14:solidFill>
                    <w14:schemeClr w14:val="tx1"/>
                  </w14:solidFill>
                </w14:textFill>
              </w:rPr>
              <w:t>分类规则</w:t>
            </w:r>
            <w:r>
              <w:rPr>
                <w:rFonts w:hint="eastAsia" w:ascii="宋体" w:hAnsi="宋体" w:eastAsia="宋体" w:cs="宋体"/>
                <w:color w:val="000000" w:themeColor="text1"/>
                <w:sz w:val="21"/>
                <w:szCs w:val="21"/>
                <w:highlight w:val="none"/>
                <w:lang w:eastAsia="zh-Hans"/>
                <w14:textFill>
                  <w14:solidFill>
                    <w14:schemeClr w14:val="tx1"/>
                  </w14:solidFill>
                </w14:textFill>
              </w:rPr>
              <w:t>需支持通过</w:t>
            </w:r>
            <w:r>
              <w:rPr>
                <w:rFonts w:hint="eastAsia" w:ascii="宋体" w:hAnsi="宋体" w:eastAsia="宋体" w:cs="宋体"/>
                <w:color w:val="000000" w:themeColor="text1"/>
                <w:sz w:val="21"/>
                <w:szCs w:val="21"/>
                <w:highlight w:val="none"/>
                <w14:textFill>
                  <w14:solidFill>
                    <w14:schemeClr w14:val="tx1"/>
                  </w14:solidFill>
                </w14:textFill>
              </w:rPr>
              <w:t>正则表达式</w:t>
            </w:r>
            <w:r>
              <w:rPr>
                <w:rFonts w:hint="eastAsia" w:ascii="宋体" w:hAnsi="宋体" w:eastAsia="宋体" w:cs="宋体"/>
                <w:color w:val="000000" w:themeColor="text1"/>
                <w:sz w:val="21"/>
                <w:szCs w:val="21"/>
                <w:highlight w:val="none"/>
                <w:lang w:eastAsia="zh-Hans"/>
                <w14:textFill>
                  <w14:solidFill>
                    <w14:schemeClr w14:val="tx1"/>
                  </w14:solidFill>
                </w14:textFill>
              </w:rPr>
              <w:t>进行设置，</w:t>
            </w:r>
            <w:r>
              <w:rPr>
                <w:rFonts w:hint="eastAsia" w:ascii="宋体" w:hAnsi="宋体" w:eastAsia="宋体" w:cs="宋体"/>
                <w:color w:val="000000" w:themeColor="text1"/>
                <w:sz w:val="21"/>
                <w:szCs w:val="21"/>
                <w:highlight w:val="none"/>
                <w14:textFill>
                  <w14:solidFill>
                    <w14:schemeClr w14:val="tx1"/>
                  </w14:solidFill>
                </w14:textFill>
              </w:rPr>
              <w:t>系统</w:t>
            </w:r>
            <w:r>
              <w:rPr>
                <w:rFonts w:hint="eastAsia" w:ascii="宋体" w:hAnsi="宋体" w:eastAsia="宋体" w:cs="宋体"/>
                <w:color w:val="000000" w:themeColor="text1"/>
                <w:sz w:val="21"/>
                <w:szCs w:val="21"/>
                <w:highlight w:val="none"/>
                <w:lang w:eastAsia="zh-Hans"/>
                <w14:textFill>
                  <w14:solidFill>
                    <w14:schemeClr w14:val="tx1"/>
                  </w14:solidFill>
                </w14:textFill>
              </w:rPr>
              <w:t>可</w:t>
            </w:r>
            <w:r>
              <w:rPr>
                <w:rFonts w:hint="eastAsia" w:ascii="宋体" w:hAnsi="宋体" w:eastAsia="宋体" w:cs="宋体"/>
                <w:color w:val="000000" w:themeColor="text1"/>
                <w:sz w:val="21"/>
                <w:szCs w:val="21"/>
                <w:highlight w:val="none"/>
                <w14:textFill>
                  <w14:solidFill>
                    <w14:schemeClr w14:val="tx1"/>
                  </w14:solidFill>
                </w14:textFill>
              </w:rPr>
              <w:t>自动匹配符合规则的数据资源项并将其放入对应的分类</w:t>
            </w:r>
            <w:r>
              <w:rPr>
                <w:rFonts w:hint="eastAsia" w:ascii="宋体" w:hAnsi="宋体" w:eastAsia="宋体" w:cs="宋体"/>
                <w:color w:val="000000" w:themeColor="text1"/>
                <w:sz w:val="21"/>
                <w:szCs w:val="21"/>
                <w:highlight w:val="none"/>
                <w:lang w:eastAsia="zh-Hans"/>
                <w14:textFill>
                  <w14:solidFill>
                    <w14:schemeClr w14:val="tx1"/>
                  </w14:solidFill>
                </w14:textFill>
              </w:rPr>
              <w:t>；</w:t>
            </w:r>
            <w:r>
              <w:rPr>
                <w:rFonts w:hint="eastAsia" w:ascii="宋体" w:hAnsi="宋体" w:eastAsia="宋体" w:cs="宋体"/>
                <w:b/>
                <w:bCs/>
                <w:color w:val="000000" w:themeColor="text1"/>
                <w:sz w:val="21"/>
                <w:szCs w:val="21"/>
                <w:highlight w:val="none"/>
                <w14:textFill>
                  <w14:solidFill>
                    <w14:schemeClr w14:val="tx1"/>
                  </w14:solidFill>
                </w14:textFill>
              </w:rPr>
              <w:t>分类管理</w:t>
            </w:r>
            <w:r>
              <w:rPr>
                <w:rFonts w:hint="eastAsia" w:ascii="宋体" w:hAnsi="宋体" w:eastAsia="宋体" w:cs="宋体"/>
                <w:color w:val="000000" w:themeColor="text1"/>
                <w:sz w:val="21"/>
                <w:szCs w:val="21"/>
                <w:highlight w:val="none"/>
                <w14:textFill>
                  <w14:solidFill>
                    <w14:schemeClr w14:val="tx1"/>
                  </w14:solidFill>
                </w14:textFill>
              </w:rPr>
              <w:t>需支持用户手动新增、通过分类规则两种方式新增。支持在数据中心的表详情页和元数据管理中查看数据项的分类信息。</w:t>
            </w:r>
          </w:p>
          <w:p>
            <w:pPr>
              <w:pStyle w:val="15"/>
              <w:numPr>
                <w:ilvl w:val="0"/>
                <w:numId w:val="17"/>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数据资源分级管理需包含分级定义、分级规则、分级管理等管理功能。</w:t>
            </w:r>
            <w:r>
              <w:rPr>
                <w:rFonts w:hint="eastAsia" w:ascii="宋体" w:hAnsi="宋体" w:eastAsia="宋体" w:cs="宋体"/>
                <w:color w:val="000000" w:themeColor="text1"/>
                <w:sz w:val="21"/>
                <w:szCs w:val="21"/>
                <w:highlight w:val="none"/>
                <w14:textFill>
                  <w14:solidFill>
                    <w14:schemeClr w14:val="tx1"/>
                  </w14:solidFill>
                </w14:textFill>
              </w:rPr>
              <w:t>分级管理需</w:t>
            </w:r>
            <w:r>
              <w:rPr>
                <w:rFonts w:hint="eastAsia" w:ascii="宋体" w:hAnsi="宋体" w:eastAsia="宋体" w:cs="宋体"/>
                <w:color w:val="000000" w:themeColor="text1"/>
                <w:sz w:val="21"/>
                <w:szCs w:val="21"/>
                <w:highlight w:val="none"/>
                <w:lang w:eastAsia="zh-Hans"/>
                <w14:textFill>
                  <w14:solidFill>
                    <w14:schemeClr w14:val="tx1"/>
                  </w14:solidFill>
                </w14:textFill>
              </w:rPr>
              <w:t>支持用户手动新增和通过分级规则执行两种方式</w:t>
            </w:r>
            <w:r>
              <w:rPr>
                <w:rFonts w:hint="eastAsia" w:ascii="宋体" w:hAnsi="宋体" w:eastAsia="宋体" w:cs="宋体"/>
                <w:color w:val="000000" w:themeColor="text1"/>
                <w:sz w:val="21"/>
                <w:szCs w:val="21"/>
                <w:highlight w:val="none"/>
                <w14:textFill>
                  <w14:solidFill>
                    <w14:schemeClr w14:val="tx1"/>
                  </w14:solidFill>
                </w14:textFill>
              </w:rPr>
              <w:t>需支持在数据中心的表详情页和元数据管理中进行查看数据项的分级信息。</w:t>
            </w:r>
          </w:p>
          <w:p>
            <w:pPr>
              <w:pStyle w:val="15"/>
              <w:numPr>
                <w:ilvl w:val="0"/>
                <w:numId w:val="17"/>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需支持按照数据资源名称或脱敏规则名称自动匹配</w:t>
            </w:r>
            <w:r>
              <w:rPr>
                <w:rFonts w:hint="eastAsia" w:ascii="宋体" w:hAnsi="宋体" w:eastAsia="宋体" w:cs="宋体"/>
                <w:color w:val="000000" w:themeColor="text1"/>
                <w:sz w:val="21"/>
                <w:szCs w:val="21"/>
                <w:highlight w:val="none"/>
                <w14:textFill>
                  <w14:solidFill>
                    <w14:schemeClr w14:val="tx1"/>
                  </w14:solidFill>
                </w14:textFill>
              </w:rPr>
              <w:t>生成数据资源项对应的脱敏规则。需支持对数据仓库及外部数据源中的数据项传输时进行脱敏规则的绑定。需支持在数据中心的表详情页和元数据管理中进行查看数据项的脱敏策略。</w:t>
            </w:r>
          </w:p>
          <w:p>
            <w:pPr>
              <w:pStyle w:val="15"/>
              <w:numPr>
                <w:ilvl w:val="0"/>
                <w:numId w:val="17"/>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需支持在数据共享交换时为数据项选择数据脱敏策略。</w:t>
            </w:r>
          </w:p>
          <w:p>
            <w:pPr>
              <w:pStyle w:val="15"/>
              <w:numPr>
                <w:ilvl w:val="0"/>
                <w:numId w:val="17"/>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eastAsia="zh-Hans"/>
                <w14:textFill>
                  <w14:solidFill>
                    <w14:schemeClr w14:val="tx1"/>
                  </w14:solidFill>
                </w14:textFill>
              </w:rPr>
              <w:t>数据</w:t>
            </w:r>
            <w:r>
              <w:rPr>
                <w:rFonts w:hint="eastAsia" w:ascii="宋体" w:hAnsi="宋体" w:eastAsia="宋体" w:cs="宋体"/>
                <w:color w:val="000000" w:themeColor="text1"/>
                <w:sz w:val="21"/>
                <w:szCs w:val="21"/>
                <w:highlight w:val="none"/>
                <w14:textFill>
                  <w14:solidFill>
                    <w14:schemeClr w14:val="tx1"/>
                  </w14:solidFill>
                </w14:textFill>
              </w:rPr>
              <w:t>脱敏</w:t>
            </w:r>
            <w:r>
              <w:rPr>
                <w:rFonts w:hint="eastAsia" w:ascii="宋体" w:hAnsi="宋体" w:eastAsia="宋体" w:cs="宋体"/>
                <w:color w:val="000000" w:themeColor="text1"/>
                <w:sz w:val="21"/>
                <w:szCs w:val="21"/>
                <w:highlight w:val="none"/>
                <w:lang w:eastAsia="zh-Hans"/>
                <w14:textFill>
                  <w14:solidFill>
                    <w14:schemeClr w14:val="tx1"/>
                  </w14:solidFill>
                </w14:textFill>
              </w:rPr>
              <w:t>需</w:t>
            </w:r>
            <w:r>
              <w:rPr>
                <w:rFonts w:hint="eastAsia" w:ascii="宋体" w:hAnsi="宋体" w:eastAsia="宋体" w:cs="宋体"/>
                <w:color w:val="000000" w:themeColor="text1"/>
                <w:sz w:val="21"/>
                <w:szCs w:val="21"/>
                <w:highlight w:val="none"/>
                <w14:textFill>
                  <w14:solidFill>
                    <w14:schemeClr w14:val="tx1"/>
                  </w14:solidFill>
                </w14:textFill>
              </w:rPr>
              <w:t>支持哈希脱敏、字符掩码、取整脱敏几种方式，其中算法支持SHA256、SHA512、MD5、SM3、保留前m位和后n位、保留第m-n位、遮盖前m位和后n位、遮盖第m-n位、特殊字符前遮盖、特殊字符后遮盖等。</w:t>
            </w:r>
          </w:p>
          <w:p>
            <w:pPr>
              <w:pStyle w:val="15"/>
              <w:numPr>
                <w:ilvl w:val="0"/>
                <w:numId w:val="17"/>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需支持对数据仓库及外部数据源中的数据项传输时进行字段加密。加密算法和密钥以应用管理中的应用为单位进行控制。支持在数据中心的表详情页和元数据管理中进行查看数据项的加密策略。</w:t>
            </w:r>
          </w:p>
          <w:p>
            <w:pPr>
              <w:pStyle w:val="15"/>
              <w:numPr>
                <w:ilvl w:val="0"/>
                <w:numId w:val="17"/>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需支持在数据共享交换时为单个数据项选择数据加密策略。</w:t>
            </w:r>
          </w:p>
          <w:p>
            <w:pPr>
              <w:pStyle w:val="4"/>
              <w:tabs>
                <w:tab w:val="left" w:pos="432"/>
              </w:tabs>
              <w:spacing w:before="163" w:after="163"/>
              <w:rPr>
                <w:rFonts w:hint="eastAsia" w:ascii="宋体" w:hAnsi="宋体" w:eastAsia="宋体" w:cs="宋体"/>
                <w:bCs w:val="0"/>
                <w:color w:val="000000" w:themeColor="text1"/>
                <w:kern w:val="0"/>
                <w:sz w:val="21"/>
                <w:szCs w:val="21"/>
                <w:highlight w:val="none"/>
                <w14:textFill>
                  <w14:solidFill>
                    <w14:schemeClr w14:val="tx1"/>
                  </w14:solidFill>
                </w14:textFill>
              </w:rPr>
            </w:pPr>
            <w:bookmarkStart w:id="65" w:name="_Toc159428292"/>
            <w:r>
              <w:rPr>
                <w:rFonts w:hint="eastAsia" w:ascii="宋体" w:hAnsi="宋体" w:eastAsia="宋体" w:cs="宋体"/>
                <w:bCs w:val="0"/>
                <w:color w:val="000000" w:themeColor="text1"/>
                <w:kern w:val="0"/>
                <w:sz w:val="21"/>
                <w:szCs w:val="21"/>
                <w:highlight w:val="none"/>
                <w14:textFill>
                  <w14:solidFill>
                    <w14:schemeClr w14:val="tx1"/>
                  </w14:solidFill>
                </w14:textFill>
              </w:rPr>
              <w:t>数据补采</w:t>
            </w:r>
            <w:r>
              <w:rPr>
                <w:rFonts w:hint="eastAsia" w:ascii="宋体" w:hAnsi="宋体" w:eastAsia="宋体" w:cs="宋体"/>
                <w:bCs w:val="0"/>
                <w:color w:val="000000" w:themeColor="text1"/>
                <w:kern w:val="0"/>
                <w:sz w:val="21"/>
                <w:szCs w:val="21"/>
                <w:highlight w:val="none"/>
                <w:lang w:eastAsia="zh-Hans"/>
                <w14:textFill>
                  <w14:solidFill>
                    <w14:schemeClr w14:val="tx1"/>
                  </w14:solidFill>
                </w14:textFill>
              </w:rPr>
              <w:t>工具</w:t>
            </w:r>
            <w:bookmarkEnd w:id="65"/>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对于学校业务系统中缺少的数据内容，通过配置表单实现面向师生用户或业务部门的收集。</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具体要求如下：</w:t>
            </w:r>
          </w:p>
          <w:p>
            <w:pPr>
              <w:pStyle w:val="15"/>
              <w:numPr>
                <w:ilvl w:val="0"/>
                <w:numId w:val="18"/>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w:t>
            </w:r>
            <w:r>
              <w:rPr>
                <w:rFonts w:hint="eastAsia" w:ascii="宋体" w:hAnsi="宋体" w:eastAsia="宋体" w:cs="宋体"/>
                <w:color w:val="000000" w:themeColor="text1"/>
                <w:sz w:val="21"/>
                <w:szCs w:val="21"/>
                <w:highlight w:val="none"/>
                <w:lang w:eastAsia="zh-Hans"/>
                <w14:textFill>
                  <w14:solidFill>
                    <w14:schemeClr w14:val="tx1"/>
                  </w14:solidFill>
                </w14:textFill>
              </w:rPr>
              <w:t>数据表配置，需支持</w:t>
            </w:r>
            <w:r>
              <w:rPr>
                <w:rFonts w:hint="eastAsia" w:ascii="宋体" w:hAnsi="宋体" w:eastAsia="宋体" w:cs="宋体"/>
                <w:color w:val="000000" w:themeColor="text1"/>
                <w:sz w:val="21"/>
                <w:szCs w:val="21"/>
                <w:highlight w:val="none"/>
                <w14:textFill>
                  <w14:solidFill>
                    <w14:schemeClr w14:val="tx1"/>
                  </w14:solidFill>
                </w14:textFill>
              </w:rPr>
              <w:t>设置数据表的表名和物理表名，支持依次添加表中的字段，设置每一个字段的字段名、物理字段名、字段类型、字段属性、是否设为主键等字段信息。支持删除已新增字段，支持通过拖拽调整已新增字段顺序。</w:t>
            </w:r>
          </w:p>
          <w:p>
            <w:pPr>
              <w:pStyle w:val="15"/>
              <w:numPr>
                <w:ilvl w:val="0"/>
                <w:numId w:val="18"/>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需</w:t>
            </w:r>
            <w:r>
              <w:rPr>
                <w:rFonts w:hint="eastAsia" w:ascii="宋体" w:hAnsi="宋体" w:eastAsia="宋体" w:cs="宋体"/>
                <w:color w:val="000000" w:themeColor="text1"/>
                <w:sz w:val="21"/>
                <w:szCs w:val="21"/>
                <w:highlight w:val="none"/>
                <w14:textFill>
                  <w14:solidFill>
                    <w14:schemeClr w14:val="tx1"/>
                  </w14:solidFill>
                </w14:textFill>
              </w:rPr>
              <w:t>支持对数据表作停用和删除操作，停用表时支持输入表名进行确认，删除表时需先停用，防止误操作</w:t>
            </w:r>
          </w:p>
          <w:p>
            <w:pPr>
              <w:pStyle w:val="15"/>
              <w:numPr>
                <w:ilvl w:val="0"/>
                <w:numId w:val="18"/>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需支持数据</w:t>
            </w:r>
            <w:r>
              <w:rPr>
                <w:rFonts w:hint="eastAsia" w:ascii="宋体" w:hAnsi="宋体" w:eastAsia="宋体" w:cs="宋体"/>
                <w:color w:val="000000" w:themeColor="text1"/>
                <w:sz w:val="21"/>
                <w:szCs w:val="21"/>
                <w:highlight w:val="none"/>
                <w14:textFill>
                  <w14:solidFill>
                    <w14:schemeClr w14:val="tx1"/>
                  </w14:solidFill>
                </w14:textFill>
              </w:rPr>
              <w:t>模型</w:t>
            </w:r>
            <w:r>
              <w:rPr>
                <w:rFonts w:hint="eastAsia" w:ascii="宋体" w:hAnsi="宋体" w:eastAsia="宋体" w:cs="宋体"/>
                <w:color w:val="000000" w:themeColor="text1"/>
                <w:sz w:val="21"/>
                <w:szCs w:val="21"/>
                <w:highlight w:val="none"/>
                <w:lang w:eastAsia="zh-Hans"/>
                <w14:textFill>
                  <w14:solidFill>
                    <w14:schemeClr w14:val="tx1"/>
                  </w14:solidFill>
                </w14:textFill>
              </w:rPr>
              <w:t>配置，需</w:t>
            </w:r>
            <w:r>
              <w:rPr>
                <w:rFonts w:hint="eastAsia" w:ascii="宋体" w:hAnsi="宋体" w:eastAsia="宋体" w:cs="宋体"/>
                <w:color w:val="000000" w:themeColor="text1"/>
                <w:sz w:val="21"/>
                <w:szCs w:val="21"/>
                <w:highlight w:val="none"/>
                <w14:textFill>
                  <w14:solidFill>
                    <w14:schemeClr w14:val="tx1"/>
                  </w14:solidFill>
                </w14:textFill>
              </w:rPr>
              <w:t>支持按步骤依次设置模型信息。需能逐个设置模型所选择的数据表中各个字段是否必填以及选择引用的字典数据，支持设置字段的验证规则，支持整数验证、数字验证、英文字符验证、数值范围验证、邮箱格式验证、手机格式验证、日期验证规则等验证规则</w:t>
            </w:r>
          </w:p>
          <w:p>
            <w:pPr>
              <w:pStyle w:val="15"/>
              <w:numPr>
                <w:ilvl w:val="0"/>
                <w:numId w:val="18"/>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支持WEB方式可视化</w:t>
            </w:r>
            <w:r>
              <w:rPr>
                <w:rFonts w:hint="eastAsia" w:ascii="宋体" w:hAnsi="宋体" w:eastAsia="宋体" w:cs="宋体"/>
                <w:color w:val="000000" w:themeColor="text1"/>
                <w:sz w:val="21"/>
                <w:szCs w:val="21"/>
                <w:highlight w:val="none"/>
                <w:lang w:eastAsia="zh-Hans"/>
                <w14:textFill>
                  <w14:solidFill>
                    <w14:schemeClr w14:val="tx1"/>
                  </w14:solidFill>
                </w14:textFill>
              </w:rPr>
              <w:t>设计数据补采表单，</w:t>
            </w:r>
            <w:r>
              <w:rPr>
                <w:rFonts w:hint="eastAsia" w:ascii="宋体" w:hAnsi="宋体" w:eastAsia="宋体" w:cs="宋体"/>
                <w:color w:val="000000" w:themeColor="text1"/>
                <w:sz w:val="21"/>
                <w:szCs w:val="21"/>
                <w:highlight w:val="none"/>
                <w14:textFill>
                  <w14:solidFill>
                    <w14:schemeClr w14:val="tx1"/>
                  </w14:solidFill>
                </w14:textFill>
              </w:rPr>
              <w:t>需</w:t>
            </w:r>
            <w:r>
              <w:rPr>
                <w:rFonts w:hint="eastAsia" w:ascii="宋体" w:hAnsi="宋体" w:eastAsia="宋体" w:cs="宋体"/>
                <w:color w:val="000000" w:themeColor="text1"/>
                <w:sz w:val="21"/>
                <w:szCs w:val="21"/>
                <w:highlight w:val="none"/>
                <w:lang w:eastAsia="zh-Hans"/>
                <w14:textFill>
                  <w14:solidFill>
                    <w14:schemeClr w14:val="tx1"/>
                  </w14:solidFill>
                </w14:textFill>
              </w:rPr>
              <w:t>能设置</w:t>
            </w:r>
            <w:r>
              <w:rPr>
                <w:rFonts w:hint="eastAsia" w:ascii="宋体" w:hAnsi="宋体" w:eastAsia="宋体" w:cs="宋体"/>
                <w:color w:val="000000" w:themeColor="text1"/>
                <w:sz w:val="21"/>
                <w:szCs w:val="21"/>
                <w:highlight w:val="none"/>
                <w14:textFill>
                  <w14:solidFill>
                    <w14:schemeClr w14:val="tx1"/>
                  </w14:solidFill>
                </w14:textFill>
              </w:rPr>
              <w:t>采集数据的字段，</w:t>
            </w:r>
            <w:r>
              <w:rPr>
                <w:rFonts w:hint="eastAsia" w:ascii="宋体" w:hAnsi="宋体" w:eastAsia="宋体" w:cs="宋体"/>
                <w:color w:val="000000" w:themeColor="text1"/>
                <w:sz w:val="21"/>
                <w:szCs w:val="21"/>
                <w:highlight w:val="none"/>
                <w:lang w:eastAsia="zh-Hans"/>
                <w14:textFill>
                  <w14:solidFill>
                    <w14:schemeClr w14:val="tx1"/>
                  </w14:solidFill>
                </w14:textFill>
              </w:rPr>
              <w:t>需</w:t>
            </w:r>
            <w:r>
              <w:rPr>
                <w:rFonts w:hint="eastAsia" w:ascii="宋体" w:hAnsi="宋体" w:eastAsia="宋体" w:cs="宋体"/>
                <w:color w:val="000000" w:themeColor="text1"/>
                <w:sz w:val="21"/>
                <w:szCs w:val="21"/>
                <w:highlight w:val="none"/>
                <w14:textFill>
                  <w14:solidFill>
                    <w14:schemeClr w14:val="tx1"/>
                  </w14:solidFill>
                </w14:textFill>
              </w:rPr>
              <w:t>支持添加、拖拽字段自动生成布局。</w:t>
            </w:r>
            <w:r>
              <w:rPr>
                <w:rFonts w:hint="eastAsia" w:ascii="宋体" w:hAnsi="宋体" w:eastAsia="宋体" w:cs="宋体"/>
                <w:color w:val="000000" w:themeColor="text1"/>
                <w:sz w:val="21"/>
                <w:szCs w:val="21"/>
                <w:highlight w:val="none"/>
                <w:lang w:eastAsia="zh-Hans"/>
                <w14:textFill>
                  <w14:solidFill>
                    <w14:schemeClr w14:val="tx1"/>
                  </w14:solidFill>
                </w14:textFill>
              </w:rPr>
              <w:t>需</w:t>
            </w:r>
            <w:r>
              <w:rPr>
                <w:rFonts w:hint="eastAsia" w:ascii="宋体" w:hAnsi="宋体" w:eastAsia="宋体" w:cs="宋体"/>
                <w:color w:val="000000" w:themeColor="text1"/>
                <w:sz w:val="21"/>
                <w:szCs w:val="21"/>
                <w:highlight w:val="none"/>
                <w14:textFill>
                  <w14:solidFill>
                    <w14:schemeClr w14:val="tx1"/>
                  </w14:solidFill>
                </w14:textFill>
              </w:rPr>
              <w:t>支持支持单行文本、只读文本、多行文本、下拉选择、单选、日期、数字等控件</w:t>
            </w:r>
          </w:p>
          <w:p>
            <w:pPr>
              <w:pStyle w:val="15"/>
              <w:numPr>
                <w:ilvl w:val="0"/>
                <w:numId w:val="18"/>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需支持已新增模型管理，需支持模型授权、模型启用、模型停用、模型删除等功能。模型授权时支持从系统用户列表内选择授权人员。模型停用前之前检测，若该模型已被授权且正在进行补采填报的数据收集任务，将无法停用，模型删除前需检测其是否停用，模型停用后支持删除。</w:t>
            </w:r>
          </w:p>
          <w:p>
            <w:pPr>
              <w:pStyle w:val="15"/>
              <w:numPr>
                <w:ilvl w:val="0"/>
                <w:numId w:val="18"/>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用户需能通过单条数据新增、excel批量导入、下发收集任务3种不同方式完成授权数据的补采工作。系统需支持多级任务下发，用户在下发任务时需能选择是否允许再次下发。</w:t>
            </w:r>
          </w:p>
          <w:p>
            <w:pPr>
              <w:pStyle w:val="15"/>
              <w:numPr>
                <w:ilvl w:val="0"/>
                <w:numId w:val="18"/>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导入时需能下载excel导入模版，在excel模版中完成数据编辑后即可上传，上传完成后，用户需能下载导入失败的数据查看失败原因。用户需能查看本人的导入记录，需能查看导入时间、导入数据总量、导入成功数据量、导入失败数据量，在导入记录中支持下载导入失败的数据和下载导入数据的原文件。</w:t>
            </w:r>
          </w:p>
          <w:p>
            <w:pPr>
              <w:pStyle w:val="15"/>
              <w:numPr>
                <w:ilvl w:val="0"/>
                <w:numId w:val="18"/>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在下发收集任务时，需支持按步骤设置下发数据范围和下发方式，任务接收人，任务的提交截止时间、超时是否允许提交和填写注意事项等信息。用户确认收集任务的配置信息后，需能通过二维码或链接方式将任务分享给对应接收人。支持接收人通过移动端扫描二维码打开任务填写表单。</w:t>
            </w:r>
          </w:p>
          <w:p>
            <w:pPr>
              <w:pStyle w:val="15"/>
              <w:numPr>
                <w:ilvl w:val="0"/>
                <w:numId w:val="18"/>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系统支持将任务接收人提交的数据汇总给任务下发人，任务下发人需能对汇总的数据进行确认，支持单条确认、批量确认、全量确认。已确认的数据需支持再次编辑。</w:t>
            </w:r>
          </w:p>
          <w:p>
            <w:pPr>
              <w:pStyle w:val="15"/>
              <w:numPr>
                <w:ilvl w:val="0"/>
                <w:numId w:val="18"/>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系统支持用户对本人所下发的任务进行管理，需支持任务删除、任务详情查看功能。查看详情时需能编辑任务提交截止时间、查看接收人的任务处理进度。</w:t>
            </w:r>
          </w:p>
          <w:p>
            <w:pPr>
              <w:pStyle w:val="15"/>
              <w:numPr>
                <w:ilvl w:val="0"/>
                <w:numId w:val="18"/>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用户需能查看和处理本人接收到的任务。用户需能查看接收到的每项任务的任务名称，分发人，提交截止时间，最新修改时间，任务状态等信息。在处理任务时，支持导入、导出、新增、数据提交、全量提交功能。系统支持任务接收人查看当前任务的数据导入记录。若接收人接收到的任务允许再次下发，则需能看到当前任务再次下发的收集任务记录。</w:t>
            </w:r>
          </w:p>
          <w:p>
            <w:pPr>
              <w:pStyle w:val="3"/>
              <w:tabs>
                <w:tab w:val="left" w:pos="432"/>
              </w:tabs>
              <w:spacing w:before="120" w:after="120"/>
              <w:rPr>
                <w:rFonts w:hint="eastAsia" w:ascii="宋体" w:hAnsi="宋体" w:eastAsia="宋体" w:cs="宋体"/>
                <w:color w:val="000000" w:themeColor="text1"/>
                <w:sz w:val="21"/>
                <w:szCs w:val="21"/>
                <w:highlight w:val="none"/>
                <w14:textFill>
                  <w14:solidFill>
                    <w14:schemeClr w14:val="tx1"/>
                  </w14:solidFill>
                </w14:textFill>
              </w:rPr>
            </w:pPr>
            <w:bookmarkStart w:id="66" w:name="_Toc15675"/>
            <w:bookmarkStart w:id="67" w:name="_Toc166341743"/>
            <w:r>
              <w:rPr>
                <w:rFonts w:hint="eastAsia" w:ascii="宋体" w:hAnsi="宋体" w:eastAsia="宋体" w:cs="宋体"/>
                <w:bCs w:val="0"/>
                <w:color w:val="000000" w:themeColor="text1"/>
                <w:kern w:val="0"/>
                <w:sz w:val="21"/>
                <w:szCs w:val="21"/>
                <w:highlight w:val="none"/>
                <w14:textFill>
                  <w14:solidFill>
                    <w14:schemeClr w14:val="tx1"/>
                  </w14:solidFill>
                </w14:textFill>
              </w:rPr>
              <w:t>数据仓库管理平台</w:t>
            </w:r>
            <w:bookmarkEnd w:id="66"/>
            <w:bookmarkEnd w:id="67"/>
          </w:p>
          <w:p>
            <w:pPr>
              <w:pStyle w:val="4"/>
              <w:tabs>
                <w:tab w:val="left" w:pos="432"/>
              </w:tabs>
              <w:spacing w:before="163" w:after="163"/>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数据存储管理</w:t>
            </w:r>
          </w:p>
          <w:p>
            <w:pPr>
              <w:pStyle w:val="15"/>
              <w:spacing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数据存储需要围绕高校数据特征，满足大容量、高性能、高可用、可管理等需求。</w:t>
            </w:r>
          </w:p>
          <w:p>
            <w:pPr>
              <w:pStyle w:val="15"/>
              <w:spacing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具体要求如下：</w:t>
            </w:r>
          </w:p>
          <w:p>
            <w:pPr>
              <w:pStyle w:val="15"/>
              <w:numPr>
                <w:ilvl w:val="0"/>
                <w:numId w:val="19"/>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支持shared nothing架构（MPP），具有高扩展性，可以支持1000个以上的集群，确保线性扩展性能和容量，管理的数据规模从TB级到PB级，满足学校数据规模增长需求。</w:t>
            </w:r>
          </w:p>
          <w:p>
            <w:pPr>
              <w:pStyle w:val="15"/>
              <w:numPr>
                <w:ilvl w:val="0"/>
                <w:numId w:val="19"/>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提供分布式事务机制。通过将数据分布到多个节点上来实现规模数据的存储，通过并行查询处理来提高查询性能。每个节点仅查询自己的数据。所得到的结果再经过主节点处理得到最终结果。</w:t>
            </w:r>
          </w:p>
          <w:p>
            <w:pPr>
              <w:pStyle w:val="15"/>
              <w:numPr>
                <w:ilvl w:val="0"/>
                <w:numId w:val="19"/>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需支持行存储和列</w:t>
            </w:r>
            <w:r>
              <w:rPr>
                <w:rFonts w:hint="eastAsia" w:ascii="宋体" w:hAnsi="宋体" w:eastAsia="宋体" w:cs="宋体"/>
                <w:color w:val="000000" w:themeColor="text1"/>
                <w:sz w:val="21"/>
                <w:szCs w:val="21"/>
                <w:highlight w:val="none"/>
                <w14:textFill>
                  <w14:solidFill>
                    <w14:schemeClr w14:val="tx1"/>
                  </w14:solidFill>
                </w14:textFill>
              </w:rPr>
              <w:t>存储，采用hash分布的数据分布机制，计算节点和数据存储紧密耦合。</w:t>
            </w:r>
          </w:p>
          <w:p>
            <w:pPr>
              <w:pStyle w:val="15"/>
              <w:numPr>
                <w:ilvl w:val="0"/>
                <w:numId w:val="19"/>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拥有完善的SQL标准支持，全面支持SQL92、SQL99、SQL2003以及OLAP扩展；支持对于JDBC、ODBC、C、Python API等接口的支持。</w:t>
            </w:r>
          </w:p>
          <w:p>
            <w:pPr>
              <w:pStyle w:val="15"/>
              <w:numPr>
                <w:ilvl w:val="0"/>
                <w:numId w:val="19"/>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可以在同一个并行数据流引擎上执行所有查询和分析（SQL、MapReduce、R</w:t>
            </w:r>
            <w:r>
              <w:rPr>
                <w:rFonts w:hint="eastAsia" w:ascii="宋体" w:hAnsi="宋体" w:eastAsia="宋体" w:cs="宋体"/>
                <w:color w:val="000000" w:themeColor="text1"/>
                <w:sz w:val="21"/>
                <w:szCs w:val="21"/>
                <w:highlight w:val="none"/>
                <w:lang w:eastAsia="zh-Hans"/>
                <w14:textFill>
                  <w14:solidFill>
                    <w14:schemeClr w14:val="tx1"/>
                  </w14:solidFill>
                </w14:textFill>
              </w:rPr>
              <w:t>语言</w:t>
            </w:r>
            <w:r>
              <w:rPr>
                <w:rFonts w:hint="eastAsia" w:ascii="宋体" w:hAnsi="宋体" w:eastAsia="宋体" w:cs="宋体"/>
                <w:color w:val="000000" w:themeColor="text1"/>
                <w:sz w:val="21"/>
                <w:szCs w:val="21"/>
                <w:highlight w:val="none"/>
                <w14:textFill>
                  <w14:solidFill>
                    <w14:schemeClr w14:val="tx1"/>
                  </w14:solidFill>
                </w14:textFill>
              </w:rPr>
              <w:t xml:space="preserve">等）操作，从而允许分析人员、开发人员和统计人员使用同一个基础构架进行数据分析。 </w:t>
            </w:r>
          </w:p>
          <w:p>
            <w:pPr>
              <w:pStyle w:val="15"/>
              <w:numPr>
                <w:ilvl w:val="0"/>
                <w:numId w:val="19"/>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需支</w:t>
            </w:r>
            <w:r>
              <w:rPr>
                <w:rFonts w:hint="eastAsia" w:ascii="宋体" w:hAnsi="宋体" w:eastAsia="宋体" w:cs="宋体"/>
                <w:color w:val="000000" w:themeColor="text1"/>
                <w:sz w:val="21"/>
                <w:szCs w:val="21"/>
                <w:highlight w:val="none"/>
                <w14:textFill>
                  <w14:solidFill>
                    <w14:schemeClr w14:val="tx1"/>
                  </w14:solidFill>
                </w14:textFill>
              </w:rPr>
              <w:t>持</w:t>
            </w:r>
            <w:r>
              <w:rPr>
                <w:rFonts w:hint="eastAsia" w:ascii="宋体" w:hAnsi="宋体" w:eastAsia="宋体" w:cs="宋体"/>
                <w:color w:val="000000" w:themeColor="text1"/>
                <w:sz w:val="21"/>
                <w:szCs w:val="21"/>
                <w:highlight w:val="none"/>
                <w:lang w:eastAsia="zh-Hans"/>
                <w14:textFill>
                  <w14:solidFill>
                    <w14:schemeClr w14:val="tx1"/>
                  </w14:solidFill>
                </w14:textFill>
              </w:rPr>
              <w:t>B+Tree</w:t>
            </w:r>
            <w:r>
              <w:rPr>
                <w:rFonts w:hint="eastAsia" w:ascii="宋体" w:hAnsi="宋体" w:eastAsia="宋体" w:cs="宋体"/>
                <w:color w:val="000000" w:themeColor="text1"/>
                <w:sz w:val="21"/>
                <w:szCs w:val="21"/>
                <w:highlight w:val="none"/>
                <w14:textFill>
                  <w14:solidFill>
                    <w14:schemeClr w14:val="tx1"/>
                  </w14:solidFill>
                </w14:textFill>
              </w:rPr>
              <w:t>、哈希、位图、GiST和GIN，从而能够实现多种索引功能，提供给数据架构师实施优化设计所必需的工具。。</w:t>
            </w:r>
          </w:p>
          <w:p>
            <w:pPr>
              <w:pStyle w:val="15"/>
              <w:numPr>
                <w:ilvl w:val="0"/>
                <w:numId w:val="19"/>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支持基于行和列的细粒度数据访问权限访问控制，让不同权限的访问者只能看到被授权的部分数据，确保数据共享不影响防范数据泄露。</w:t>
            </w:r>
          </w:p>
          <w:p>
            <w:pPr>
              <w:pStyle w:val="15"/>
              <w:numPr>
                <w:ilvl w:val="0"/>
                <w:numId w:val="19"/>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采用了业内领先的压缩技术，提高性能的同时，显著地减少存储数据所需的空间。客户可以将所用空间减少3-10倍，并提高有效的I/O性能。 </w:t>
            </w:r>
          </w:p>
          <w:p>
            <w:pPr>
              <w:pStyle w:val="15"/>
              <w:numPr>
                <w:ilvl w:val="0"/>
                <w:numId w:val="19"/>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支持行存储、列存储、外部表等多态存储，用户可以根据数据热度或者访问模式的不同使用不同的存储方式。</w:t>
            </w:r>
          </w:p>
          <w:p>
            <w:pPr>
              <w:pStyle w:val="15"/>
              <w:numPr>
                <w:ilvl w:val="0"/>
                <w:numId w:val="19"/>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提供高效的资源管理机制，主要包括对并发查询数量的限制，查询执行时内存、CPU资源使用的限制等。支持资源队列(Resource Queue)和资源组(Resource Group)两种资源管理方式.</w:t>
            </w:r>
          </w:p>
          <w:p>
            <w:pPr>
              <w:pStyle w:val="15"/>
              <w:numPr>
                <w:ilvl w:val="0"/>
                <w:numId w:val="19"/>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支持各种过程化编程语言，包括PL/PostgreSQL、PL/R、PL/Python、PL/Java、PL/Perl等语言扩展。在高级数据分析方面，通过MADlib扩展模块，用户可以很方便地完成大规模并行分析。</w:t>
            </w:r>
          </w:p>
          <w:p>
            <w:pPr>
              <w:pStyle w:val="4"/>
              <w:tabs>
                <w:tab w:val="left" w:pos="432"/>
              </w:tabs>
              <w:spacing w:before="163" w:after="163"/>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标准层管理</w:t>
            </w:r>
          </w:p>
          <w:p>
            <w:pPr>
              <w:pStyle w:val="15"/>
              <w:numPr>
                <w:ilvl w:val="0"/>
                <w:numId w:val="20"/>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需支持按业务域、业务子域和业务单元三级对标准层数据模型进行分类管理；已预置标准模型需严格遵循三级分类。</w:t>
            </w:r>
          </w:p>
          <w:p>
            <w:pPr>
              <w:pStyle w:val="15"/>
              <w:numPr>
                <w:ilvl w:val="0"/>
                <w:numId w:val="20"/>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w:t>
            </w:r>
            <w:r>
              <w:rPr>
                <w:rFonts w:hint="eastAsia" w:ascii="宋体" w:hAnsi="宋体" w:eastAsia="宋体" w:cs="宋体"/>
                <w:color w:val="000000" w:themeColor="text1"/>
                <w:sz w:val="21"/>
                <w:szCs w:val="21"/>
                <w:highlight w:val="none"/>
                <w:lang w:eastAsia="zh-Hans"/>
                <w14:textFill>
                  <w14:solidFill>
                    <w14:schemeClr w14:val="tx1"/>
                  </w14:solidFill>
                </w14:textFill>
              </w:rPr>
              <w:t>批量导入</w:t>
            </w:r>
            <w:r>
              <w:rPr>
                <w:rFonts w:hint="eastAsia" w:ascii="宋体" w:hAnsi="宋体" w:eastAsia="宋体" w:cs="宋体"/>
                <w:color w:val="000000" w:themeColor="text1"/>
                <w:sz w:val="21"/>
                <w:szCs w:val="21"/>
                <w:highlight w:val="none"/>
                <w14:textFill>
                  <w14:solidFill>
                    <w14:schemeClr w14:val="tx1"/>
                  </w14:solidFill>
                </w14:textFill>
              </w:rPr>
              <w:t>标准</w:t>
            </w:r>
            <w:r>
              <w:rPr>
                <w:rFonts w:hint="eastAsia" w:ascii="宋体" w:hAnsi="宋体" w:eastAsia="宋体" w:cs="宋体"/>
                <w:color w:val="000000" w:themeColor="text1"/>
                <w:sz w:val="21"/>
                <w:szCs w:val="21"/>
                <w:highlight w:val="none"/>
                <w:lang w:eastAsia="zh-Hans"/>
                <w14:textFill>
                  <w14:solidFill>
                    <w14:schemeClr w14:val="tx1"/>
                  </w14:solidFill>
                </w14:textFill>
              </w:rPr>
              <w:t>层数据模型</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eastAsia="zh-Hans"/>
                <w14:textFill>
                  <w14:solidFill>
                    <w14:schemeClr w14:val="tx1"/>
                  </w14:solidFill>
                </w14:textFill>
              </w:rPr>
              <w:t>导入</w:t>
            </w:r>
            <w:r>
              <w:rPr>
                <w:rFonts w:hint="eastAsia" w:ascii="宋体" w:hAnsi="宋体" w:eastAsia="宋体" w:cs="宋体"/>
                <w:color w:val="000000" w:themeColor="text1"/>
                <w:sz w:val="21"/>
                <w:szCs w:val="21"/>
                <w:highlight w:val="none"/>
                <w14:textFill>
                  <w14:solidFill>
                    <w14:schemeClr w14:val="tx1"/>
                  </w14:solidFill>
                </w14:textFill>
              </w:rPr>
              <w:t>时支持对相关</w:t>
            </w:r>
            <w:r>
              <w:rPr>
                <w:rFonts w:hint="eastAsia" w:ascii="宋体" w:hAnsi="宋体" w:eastAsia="宋体" w:cs="宋体"/>
                <w:color w:val="000000" w:themeColor="text1"/>
                <w:sz w:val="21"/>
                <w:szCs w:val="21"/>
                <w:highlight w:val="none"/>
                <w:lang w:eastAsia="zh-Hans"/>
                <w14:textFill>
                  <w14:solidFill>
                    <w14:schemeClr w14:val="tx1"/>
                  </w14:solidFill>
                </w14:textFill>
              </w:rPr>
              <w:t>引用</w:t>
            </w:r>
            <w:r>
              <w:rPr>
                <w:rFonts w:hint="eastAsia" w:ascii="宋体" w:hAnsi="宋体" w:eastAsia="宋体" w:cs="宋体"/>
                <w:color w:val="000000" w:themeColor="text1"/>
                <w:sz w:val="21"/>
                <w:szCs w:val="21"/>
                <w:highlight w:val="none"/>
                <w14:textFill>
                  <w14:solidFill>
                    <w14:schemeClr w14:val="tx1"/>
                  </w14:solidFill>
                </w14:textFill>
              </w:rPr>
              <w:t>表、</w:t>
            </w:r>
            <w:r>
              <w:rPr>
                <w:rFonts w:hint="eastAsia" w:ascii="宋体" w:hAnsi="宋体" w:eastAsia="宋体" w:cs="宋体"/>
                <w:color w:val="000000" w:themeColor="text1"/>
                <w:sz w:val="21"/>
                <w:szCs w:val="21"/>
                <w:highlight w:val="none"/>
                <w:lang w:eastAsia="zh-Hans"/>
                <w14:textFill>
                  <w14:solidFill>
                    <w14:schemeClr w14:val="tx1"/>
                  </w14:solidFill>
                </w14:textFill>
              </w:rPr>
              <w:t>引用代码表</w:t>
            </w:r>
            <w:r>
              <w:rPr>
                <w:rFonts w:hint="eastAsia" w:ascii="宋体" w:hAnsi="宋体" w:eastAsia="宋体" w:cs="宋体"/>
                <w:color w:val="000000" w:themeColor="text1"/>
                <w:sz w:val="21"/>
                <w:szCs w:val="21"/>
                <w:highlight w:val="none"/>
                <w14:textFill>
                  <w14:solidFill>
                    <w14:schemeClr w14:val="tx1"/>
                  </w14:solidFill>
                </w14:textFill>
              </w:rPr>
              <w:t>进行同步</w:t>
            </w:r>
            <w:r>
              <w:rPr>
                <w:rFonts w:hint="eastAsia" w:ascii="宋体" w:hAnsi="宋体" w:eastAsia="宋体" w:cs="宋体"/>
                <w:color w:val="000000" w:themeColor="text1"/>
                <w:sz w:val="21"/>
                <w:szCs w:val="21"/>
                <w:highlight w:val="none"/>
                <w:lang w:eastAsia="zh-Hans"/>
                <w14:textFill>
                  <w14:solidFill>
                    <w14:schemeClr w14:val="tx1"/>
                  </w14:solidFill>
                </w14:textFill>
              </w:rPr>
              <w:t>导入</w:t>
            </w:r>
            <w:r>
              <w:rPr>
                <w:rFonts w:hint="eastAsia" w:ascii="宋体" w:hAnsi="宋体" w:eastAsia="宋体" w:cs="宋体"/>
                <w:color w:val="000000" w:themeColor="text1"/>
                <w:sz w:val="21"/>
                <w:szCs w:val="21"/>
                <w:highlight w:val="none"/>
                <w14:textFill>
                  <w14:solidFill>
                    <w14:schemeClr w14:val="tx1"/>
                  </w14:solidFill>
                </w14:textFill>
              </w:rPr>
              <w:t>；</w:t>
            </w:r>
          </w:p>
          <w:p>
            <w:pPr>
              <w:pStyle w:val="15"/>
              <w:numPr>
                <w:ilvl w:val="0"/>
                <w:numId w:val="20"/>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支持查看标准表的概览信息，需展示表名、物理表名、引用模型信息、字段数、数据量、数据上次更新时间、责任单位、集成情况等信息。需支持标准表的数据明细查询；需支持查看数据的变更记录；需</w:t>
            </w:r>
            <w:r>
              <w:rPr>
                <w:rFonts w:hint="eastAsia" w:ascii="宋体" w:hAnsi="宋体" w:eastAsia="宋体" w:cs="宋体"/>
                <w:color w:val="000000" w:themeColor="text1"/>
                <w:sz w:val="21"/>
                <w:szCs w:val="21"/>
                <w:highlight w:val="none"/>
                <w:lang w:eastAsia="zh-Hans"/>
                <w14:textFill>
                  <w14:solidFill>
                    <w14:schemeClr w14:val="tx1"/>
                  </w14:solidFill>
                </w14:textFill>
              </w:rPr>
              <w:t>能检测标准表内字段与数据元素之间差异，并</w:t>
            </w:r>
            <w:r>
              <w:rPr>
                <w:rFonts w:hint="eastAsia" w:ascii="宋体" w:hAnsi="宋体" w:eastAsia="宋体" w:cs="宋体"/>
                <w:color w:val="000000" w:themeColor="text1"/>
                <w:sz w:val="21"/>
                <w:szCs w:val="21"/>
                <w:highlight w:val="none"/>
                <w14:textFill>
                  <w14:solidFill>
                    <w14:schemeClr w14:val="tx1"/>
                  </w14:solidFill>
                </w14:textFill>
              </w:rPr>
              <w:t>自动</w:t>
            </w:r>
            <w:r>
              <w:rPr>
                <w:rFonts w:hint="eastAsia" w:ascii="宋体" w:hAnsi="宋体" w:eastAsia="宋体" w:cs="宋体"/>
                <w:color w:val="000000" w:themeColor="text1"/>
                <w:sz w:val="21"/>
                <w:szCs w:val="21"/>
                <w:highlight w:val="none"/>
                <w:lang w:eastAsia="zh-Hans"/>
                <w14:textFill>
                  <w14:solidFill>
                    <w14:schemeClr w14:val="tx1"/>
                  </w14:solidFill>
                </w14:textFill>
              </w:rPr>
              <w:t>进行标准落实以实现和数据元素标准保持一致</w:t>
            </w:r>
            <w:r>
              <w:rPr>
                <w:rFonts w:hint="eastAsia" w:ascii="宋体" w:hAnsi="宋体" w:eastAsia="宋体" w:cs="宋体"/>
                <w:color w:val="000000" w:themeColor="text1"/>
                <w:sz w:val="21"/>
                <w:szCs w:val="21"/>
                <w:highlight w:val="none"/>
                <w14:textFill>
                  <w14:solidFill>
                    <w14:schemeClr w14:val="tx1"/>
                  </w14:solidFill>
                </w14:textFill>
              </w:rPr>
              <w:t>；</w:t>
            </w:r>
          </w:p>
          <w:p>
            <w:pPr>
              <w:pStyle w:val="15"/>
              <w:numPr>
                <w:ilvl w:val="0"/>
                <w:numId w:val="20"/>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支持新增和查看与标准表相关的清洗转换任务；数据清洗转化任务需支持通过零代码配置，支持可视化配置数据输入、左右关联、过滤、计算字段、字段映射、数据输出等属性来完成清洗转换任务。</w:t>
            </w:r>
          </w:p>
          <w:p>
            <w:pPr>
              <w:pStyle w:val="4"/>
              <w:tabs>
                <w:tab w:val="left" w:pos="432"/>
              </w:tabs>
              <w:spacing w:before="163" w:after="163"/>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主题层管理</w:t>
            </w:r>
          </w:p>
          <w:p>
            <w:pPr>
              <w:pStyle w:val="15"/>
              <w:numPr>
                <w:ilvl w:val="0"/>
                <w:numId w:val="21"/>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主题层数据模型</w:t>
            </w:r>
            <w:r>
              <w:rPr>
                <w:rFonts w:hint="eastAsia" w:ascii="宋体" w:hAnsi="宋体" w:eastAsia="宋体" w:cs="宋体"/>
                <w:color w:val="000000" w:themeColor="text1"/>
                <w:sz w:val="21"/>
                <w:szCs w:val="21"/>
                <w:highlight w:val="none"/>
                <w14:textFill>
                  <w14:solidFill>
                    <w14:schemeClr w14:val="tx1"/>
                  </w14:solidFill>
                </w14:textFill>
              </w:rPr>
              <w:t>需支持面向业务对象和面向业务过程</w:t>
            </w:r>
            <w:r>
              <w:rPr>
                <w:rFonts w:hint="eastAsia" w:ascii="宋体" w:hAnsi="宋体" w:eastAsia="宋体" w:cs="宋体"/>
                <w:color w:val="000000" w:themeColor="text1"/>
                <w:sz w:val="21"/>
                <w:szCs w:val="21"/>
                <w:highlight w:val="none"/>
                <w:lang w:eastAsia="zh-Hans"/>
                <w14:textFill>
                  <w14:solidFill>
                    <w14:schemeClr w14:val="tx1"/>
                  </w14:solidFill>
                </w14:textFill>
              </w:rPr>
              <w:t>进行分类管理</w:t>
            </w:r>
            <w:r>
              <w:rPr>
                <w:rFonts w:hint="eastAsia" w:ascii="宋体" w:hAnsi="宋体" w:eastAsia="宋体" w:cs="宋体"/>
                <w:color w:val="000000" w:themeColor="text1"/>
                <w:sz w:val="21"/>
                <w:szCs w:val="21"/>
                <w:highlight w:val="none"/>
                <w14:textFill>
                  <w14:solidFill>
                    <w14:schemeClr w14:val="tx1"/>
                  </w14:solidFill>
                </w14:textFill>
              </w:rPr>
              <w:t>。需支持</w:t>
            </w:r>
            <w:r>
              <w:rPr>
                <w:rFonts w:hint="eastAsia" w:ascii="宋体" w:hAnsi="宋体" w:eastAsia="宋体" w:cs="宋体"/>
                <w:color w:val="000000" w:themeColor="text1"/>
                <w:sz w:val="21"/>
                <w:szCs w:val="21"/>
                <w:highlight w:val="none"/>
                <w:lang w:eastAsia="zh-Hans"/>
                <w14:textFill>
                  <w14:solidFill>
                    <w14:schemeClr w14:val="tx1"/>
                  </w14:solidFill>
                </w14:textFill>
              </w:rPr>
              <w:t>批量导入主题层</w:t>
            </w:r>
            <w:r>
              <w:rPr>
                <w:rFonts w:hint="eastAsia" w:ascii="宋体" w:hAnsi="宋体" w:eastAsia="宋体" w:cs="宋体"/>
                <w:color w:val="000000" w:themeColor="text1"/>
                <w:sz w:val="21"/>
                <w:szCs w:val="21"/>
                <w:highlight w:val="none"/>
                <w14:textFill>
                  <w14:solidFill>
                    <w14:schemeClr w14:val="tx1"/>
                  </w14:solidFill>
                </w14:textFill>
              </w:rPr>
              <w:t>数据模型。</w:t>
            </w:r>
          </w:p>
          <w:p>
            <w:pPr>
              <w:pStyle w:val="15"/>
              <w:numPr>
                <w:ilvl w:val="0"/>
                <w:numId w:val="21"/>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主题层事实</w:t>
            </w:r>
            <w:r>
              <w:rPr>
                <w:rFonts w:hint="eastAsia" w:ascii="宋体" w:hAnsi="宋体" w:eastAsia="宋体" w:cs="宋体"/>
                <w:color w:val="000000" w:themeColor="text1"/>
                <w:sz w:val="21"/>
                <w:szCs w:val="21"/>
                <w:highlight w:val="none"/>
                <w:lang w:eastAsia="zh-Hans"/>
                <w14:textFill>
                  <w14:solidFill>
                    <w14:schemeClr w14:val="tx1"/>
                  </w14:solidFill>
                </w14:textFill>
              </w:rPr>
              <w:t>模型</w:t>
            </w:r>
            <w:r>
              <w:rPr>
                <w:rFonts w:hint="eastAsia" w:ascii="宋体" w:hAnsi="宋体" w:eastAsia="宋体" w:cs="宋体"/>
                <w:color w:val="000000" w:themeColor="text1"/>
                <w:sz w:val="21"/>
                <w:szCs w:val="21"/>
                <w:highlight w:val="none"/>
                <w14:textFill>
                  <w14:solidFill>
                    <w14:schemeClr w14:val="tx1"/>
                  </w14:solidFill>
                </w14:textFill>
              </w:rPr>
              <w:t>结构</w:t>
            </w:r>
            <w:r>
              <w:rPr>
                <w:rFonts w:hint="eastAsia" w:ascii="宋体" w:hAnsi="宋体" w:eastAsia="宋体" w:cs="宋体"/>
                <w:color w:val="000000" w:themeColor="text1"/>
                <w:sz w:val="21"/>
                <w:szCs w:val="21"/>
                <w:highlight w:val="none"/>
                <w:lang w:eastAsia="zh-Hans"/>
                <w14:textFill>
                  <w14:solidFill>
                    <w14:schemeClr w14:val="tx1"/>
                  </w14:solidFill>
                </w14:textFill>
              </w:rPr>
              <w:t>需</w:t>
            </w:r>
            <w:r>
              <w:rPr>
                <w:rFonts w:hint="eastAsia" w:ascii="宋体" w:hAnsi="宋体" w:eastAsia="宋体" w:cs="宋体"/>
                <w:color w:val="000000" w:themeColor="text1"/>
                <w:sz w:val="21"/>
                <w:szCs w:val="21"/>
                <w:highlight w:val="none"/>
                <w14:textFill>
                  <w14:solidFill>
                    <w14:schemeClr w14:val="tx1"/>
                  </w14:solidFill>
                </w14:textFill>
              </w:rPr>
              <w:t>支持以ER图方式呈现事实表以及关联</w:t>
            </w:r>
            <w:r>
              <w:rPr>
                <w:rFonts w:hint="eastAsia" w:ascii="宋体" w:hAnsi="宋体" w:eastAsia="宋体" w:cs="宋体"/>
                <w:color w:val="000000" w:themeColor="text1"/>
                <w:sz w:val="21"/>
                <w:szCs w:val="21"/>
                <w:highlight w:val="none"/>
                <w:lang w:eastAsia="zh-Hans"/>
                <w14:textFill>
                  <w14:solidFill>
                    <w14:schemeClr w14:val="tx1"/>
                  </w14:solidFill>
                </w14:textFill>
              </w:rPr>
              <w:t>维度</w:t>
            </w:r>
            <w:r>
              <w:rPr>
                <w:rFonts w:hint="eastAsia" w:ascii="宋体" w:hAnsi="宋体" w:eastAsia="宋体" w:cs="宋体"/>
                <w:color w:val="000000" w:themeColor="text1"/>
                <w:sz w:val="21"/>
                <w:szCs w:val="21"/>
                <w:highlight w:val="none"/>
                <w14:textFill>
                  <w14:solidFill>
                    <w14:schemeClr w14:val="tx1"/>
                  </w14:solidFill>
                </w14:textFill>
              </w:rPr>
              <w:t>。需支持</w:t>
            </w:r>
            <w:r>
              <w:rPr>
                <w:rFonts w:hint="eastAsia" w:ascii="宋体" w:hAnsi="宋体" w:eastAsia="宋体" w:cs="宋体"/>
                <w:color w:val="000000" w:themeColor="text1"/>
                <w:sz w:val="21"/>
                <w:szCs w:val="21"/>
                <w:highlight w:val="none"/>
                <w:lang w:eastAsia="zh-Hans"/>
                <w14:textFill>
                  <w14:solidFill>
                    <w14:schemeClr w14:val="tx1"/>
                  </w14:solidFill>
                </w14:textFill>
              </w:rPr>
              <w:t>关联维度展开</w:t>
            </w:r>
            <w:r>
              <w:rPr>
                <w:rFonts w:hint="eastAsia" w:ascii="宋体" w:hAnsi="宋体" w:eastAsia="宋体" w:cs="宋体"/>
                <w:color w:val="000000" w:themeColor="text1"/>
                <w:sz w:val="21"/>
                <w:szCs w:val="21"/>
                <w:highlight w:val="none"/>
                <w14:textFill>
                  <w14:solidFill>
                    <w14:schemeClr w14:val="tx1"/>
                  </w14:solidFill>
                </w14:textFill>
              </w:rPr>
              <w:t>或收缩的功能，便于查看浏览。</w:t>
            </w:r>
          </w:p>
          <w:p>
            <w:pPr>
              <w:pStyle w:val="15"/>
              <w:numPr>
                <w:ilvl w:val="0"/>
                <w:numId w:val="21"/>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支持查看事实表的概览信息，需展示事实名称、引用模型、事实类型、事务事实、维度数量(个)、度量数量(个)、数据量(条)、数据上次更新、集成情况等信息。</w:t>
            </w:r>
          </w:p>
          <w:p>
            <w:pPr>
              <w:pStyle w:val="4"/>
              <w:tabs>
                <w:tab w:val="left" w:pos="432"/>
              </w:tabs>
              <w:spacing w:before="163" w:after="163"/>
              <w:rPr>
                <w:rFonts w:hint="eastAsia" w:ascii="宋体" w:hAnsi="宋体" w:eastAsia="宋体" w:cs="宋体"/>
                <w:color w:val="000000" w:themeColor="text1"/>
                <w:sz w:val="21"/>
                <w:szCs w:val="21"/>
                <w:highlight w:val="none"/>
                <w14:textFill>
                  <w14:solidFill>
                    <w14:schemeClr w14:val="tx1"/>
                  </w14:solidFill>
                </w14:textFill>
              </w:rPr>
            </w:pPr>
            <w:bookmarkStart w:id="68" w:name="_Toc159428283"/>
            <w:r>
              <w:rPr>
                <w:rFonts w:hint="eastAsia" w:ascii="宋体" w:hAnsi="宋体" w:eastAsia="宋体" w:cs="宋体"/>
                <w:color w:val="000000" w:themeColor="text1"/>
                <w:sz w:val="21"/>
                <w:szCs w:val="21"/>
                <w:highlight w:val="none"/>
                <w14:textFill>
                  <w14:solidFill>
                    <w14:schemeClr w14:val="tx1"/>
                  </w14:solidFill>
                </w14:textFill>
              </w:rPr>
              <w:t>指标库管理</w:t>
            </w:r>
            <w:bookmarkEnd w:id="68"/>
          </w:p>
          <w:p>
            <w:pPr>
              <w:pStyle w:val="15"/>
              <w:numPr>
                <w:ilvl w:val="0"/>
                <w:numId w:val="22"/>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指标管理需支持指标分类管理；当指标分类下面数据指标不为空时，不允许删除；</w:t>
            </w:r>
          </w:p>
          <w:p>
            <w:pPr>
              <w:pStyle w:val="15"/>
              <w:numPr>
                <w:ilvl w:val="0"/>
                <w:numId w:val="22"/>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指标管理需支持创建原子指标、派生指标、衍生指标管理；支持查看指标基本信息、指标数据、指标血缘关系及指标计算任务运行日志信息；</w:t>
            </w:r>
          </w:p>
          <w:p>
            <w:pPr>
              <w:pStyle w:val="15"/>
              <w:numPr>
                <w:ilvl w:val="0"/>
                <w:numId w:val="22"/>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▲派生指标需支持自定义统计周期、统计范围限定、统计算法设置；统计范围限定需支持 与、或、不等于、空、为空、包含、模糊匹配等设置，统计函数需支持求和、平均、计数、去重计数、最大值、最小值等算法； 需支持调度规则设置，完成数据自动化计算。</w:t>
            </w:r>
          </w:p>
          <w:p>
            <w:pPr>
              <w:pStyle w:val="15"/>
              <w:numPr>
                <w:ilvl w:val="0"/>
                <w:numId w:val="22"/>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衍生指标需支持可视化配置，支持从指标库拖拽数据指标，支持 算术运算符、比较运算符、逻辑运算符等计算；支持调试及结果查看；需支持调度规则设置，完成数据自动化计算；</w:t>
            </w:r>
          </w:p>
          <w:p>
            <w:pPr>
              <w:pStyle w:val="15"/>
              <w:numPr>
                <w:ilvl w:val="0"/>
                <w:numId w:val="22"/>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需支持统计周期的灵活可视化配置，支持基准日期、偏移量及单位设置， 基准日期需支持该日、该周首日、该月首日、该季度首日、该年首日、该学期首日、该学年首日等选择；</w:t>
            </w:r>
          </w:p>
          <w:bookmarkEnd w:id="51"/>
          <w:bookmarkEnd w:id="52"/>
          <w:p>
            <w:pPr>
              <w:pStyle w:val="3"/>
              <w:tabs>
                <w:tab w:val="left" w:pos="432"/>
              </w:tabs>
              <w:spacing w:before="120" w:after="120"/>
              <w:rPr>
                <w:rFonts w:hint="eastAsia" w:ascii="宋体" w:hAnsi="宋体" w:eastAsia="宋体" w:cs="宋体"/>
                <w:color w:val="000000" w:themeColor="text1"/>
                <w:sz w:val="21"/>
                <w:szCs w:val="21"/>
                <w:highlight w:val="none"/>
                <w14:textFill>
                  <w14:solidFill>
                    <w14:schemeClr w14:val="tx1"/>
                  </w14:solidFill>
                </w14:textFill>
              </w:rPr>
            </w:pPr>
            <w:bookmarkStart w:id="69" w:name="_Toc166341744"/>
            <w:bookmarkStart w:id="70" w:name="_Toc2608"/>
            <w:bookmarkStart w:id="71" w:name="_Toc159428286"/>
            <w:bookmarkStart w:id="72" w:name="_Toc29347"/>
            <w:r>
              <w:rPr>
                <w:rFonts w:hint="eastAsia" w:ascii="宋体" w:hAnsi="宋体" w:eastAsia="宋体" w:cs="宋体"/>
                <w:bCs w:val="0"/>
                <w:color w:val="000000" w:themeColor="text1"/>
                <w:kern w:val="0"/>
                <w:sz w:val="21"/>
                <w:szCs w:val="21"/>
                <w:highlight w:val="none"/>
                <w14:textFill>
                  <w14:solidFill>
                    <w14:schemeClr w14:val="tx1"/>
                  </w14:solidFill>
                </w14:textFill>
              </w:rPr>
              <w:t>数据决策分析平台</w:t>
            </w:r>
            <w:bookmarkEnd w:id="69"/>
            <w:bookmarkEnd w:id="70"/>
          </w:p>
          <w:p>
            <w:pPr>
              <w:pStyle w:val="4"/>
              <w:tabs>
                <w:tab w:val="left" w:pos="432"/>
              </w:tabs>
              <w:spacing w:before="163" w:after="163"/>
              <w:rPr>
                <w:rFonts w:hint="eastAsia" w:ascii="宋体" w:hAnsi="宋体" w:eastAsia="宋体" w:cs="宋体"/>
                <w:bCs w:val="0"/>
                <w:color w:val="000000" w:themeColor="text1"/>
                <w:kern w:val="0"/>
                <w:sz w:val="21"/>
                <w:szCs w:val="21"/>
                <w:highlight w:val="none"/>
                <w14:textFill>
                  <w14:solidFill>
                    <w14:schemeClr w14:val="tx1"/>
                  </w14:solidFill>
                </w14:textFill>
              </w:rPr>
            </w:pPr>
            <w:bookmarkStart w:id="73" w:name="_Toc159428300"/>
            <w:r>
              <w:rPr>
                <w:rFonts w:hint="eastAsia" w:ascii="宋体" w:hAnsi="宋体" w:eastAsia="宋体" w:cs="宋体"/>
                <w:bCs w:val="0"/>
                <w:color w:val="000000" w:themeColor="text1"/>
                <w:kern w:val="0"/>
                <w:sz w:val="21"/>
                <w:szCs w:val="21"/>
                <w:highlight w:val="none"/>
                <w:lang w:eastAsia="zh-Hans"/>
                <w14:textFill>
                  <w14:solidFill>
                    <w14:schemeClr w14:val="tx1"/>
                  </w14:solidFill>
                </w14:textFill>
              </w:rPr>
              <w:t>数据可视化工具</w:t>
            </w:r>
            <w:bookmarkEnd w:id="73"/>
          </w:p>
          <w:p>
            <w:pPr>
              <w:pStyle w:val="13"/>
              <w:numPr>
                <w:ilvl w:val="0"/>
                <w:numId w:val="23"/>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产品架构：采用C/S+B/S架构充分利用两端硬件，将任务分配到Client 和Server两端，降低了系统的通讯开销。</w:t>
            </w:r>
          </w:p>
          <w:p>
            <w:pPr>
              <w:pStyle w:val="13"/>
              <w:numPr>
                <w:ilvl w:val="0"/>
                <w:numId w:val="23"/>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浏览器兼容：兼容IE9以及IE9以上、chrome、edge、火狐、360等主流浏览器（HTML5架构，兼容性强），且无需安装任何插件。</w:t>
            </w:r>
          </w:p>
          <w:p>
            <w:pPr>
              <w:pStyle w:val="13"/>
              <w:numPr>
                <w:ilvl w:val="0"/>
                <w:numId w:val="23"/>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跨平台支持：采用Java开发，具有良好的跨平台支持，支持主流操作系统，包括Windows、Linux、Aix、mac等的32和64位版本。</w:t>
            </w:r>
          </w:p>
          <w:p>
            <w:pPr>
              <w:pStyle w:val="13"/>
              <w:numPr>
                <w:ilvl w:val="0"/>
                <w:numId w:val="23"/>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语言支持：支持直接在设计器中进行中英文语言切换，平台语言实现自动切换。</w:t>
            </w:r>
          </w:p>
          <w:p>
            <w:pPr>
              <w:pStyle w:val="13"/>
              <w:numPr>
                <w:ilvl w:val="0"/>
                <w:numId w:val="23"/>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应用服务器：支持tomcat、weblogic、websphere、jboss等主流web应用服务器。</w:t>
            </w:r>
          </w:p>
          <w:p>
            <w:pPr>
              <w:pStyle w:val="13"/>
              <w:numPr>
                <w:ilvl w:val="0"/>
                <w:numId w:val="23"/>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多种连接方式：支持JDBC、ODBC、JNDI等数据连接方式，支持导入外部数据库jar驱动进行其他种类的数据库连接。</w:t>
            </w:r>
          </w:p>
          <w:p>
            <w:pPr>
              <w:pStyle w:val="13"/>
              <w:numPr>
                <w:ilvl w:val="0"/>
                <w:numId w:val="23"/>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主流关系型数据库：支持ORACLE 、SYBASE、DB2、MYSQL、SQLSERVER等主流关系型数据库。</w:t>
            </w:r>
          </w:p>
          <w:p>
            <w:pPr>
              <w:pStyle w:val="13"/>
              <w:numPr>
                <w:ilvl w:val="0"/>
                <w:numId w:val="23"/>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多维数据库连接：支持XMLA/MDX规范为基础的多维数据库，包括SSAS、Essbase、SAP HANA等。</w:t>
            </w:r>
          </w:p>
          <w:p>
            <w:pPr>
              <w:pStyle w:val="13"/>
              <w:numPr>
                <w:ilvl w:val="0"/>
                <w:numId w:val="23"/>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非结构化数据库：支持NOSQL，如MongoDB等非结构化数据库。</w:t>
            </w:r>
          </w:p>
          <w:p>
            <w:pPr>
              <w:pStyle w:val="13"/>
              <w:numPr>
                <w:ilvl w:val="0"/>
                <w:numId w:val="23"/>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文件数据集取数：支持从excel、TXT、xml等文件中取数进行报表分析。</w:t>
            </w:r>
          </w:p>
          <w:p>
            <w:pPr>
              <w:pStyle w:val="13"/>
              <w:numPr>
                <w:ilvl w:val="0"/>
                <w:numId w:val="23"/>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程序数据源：支持程序数据源，javaApi,Hibernate数据源,支持WebService, SOA等标准的数据。</w:t>
            </w:r>
          </w:p>
          <w:p>
            <w:pPr>
              <w:pStyle w:val="13"/>
              <w:numPr>
                <w:ilvl w:val="0"/>
                <w:numId w:val="23"/>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内置数据集：支持内置数据集，数据直接內建在模板文件里。</w:t>
            </w:r>
          </w:p>
          <w:p>
            <w:pPr>
              <w:pStyle w:val="13"/>
              <w:numPr>
                <w:ilvl w:val="0"/>
                <w:numId w:val="23"/>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关联数据集：支持关联数据集，将不同来源数据进行关联整合，包括合并和依条件选择两种方式。</w:t>
            </w:r>
          </w:p>
          <w:p>
            <w:pPr>
              <w:pStyle w:val="13"/>
              <w:numPr>
                <w:ilvl w:val="0"/>
                <w:numId w:val="23"/>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模板数据集和服务器数据集：支持模板数据集和服务器数据集，模板数据集仅能在当前模板使用，服务器数据集可被所有模板使用。</w:t>
            </w:r>
          </w:p>
          <w:p>
            <w:pPr>
              <w:pStyle w:val="13"/>
              <w:numPr>
                <w:ilvl w:val="0"/>
                <w:numId w:val="23"/>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多报表运行环境：支持多工作目录，可随时在多个工程项目上切换工作。</w:t>
            </w:r>
          </w:p>
          <w:p>
            <w:pPr>
              <w:pStyle w:val="13"/>
              <w:numPr>
                <w:ilvl w:val="0"/>
                <w:numId w:val="23"/>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增强分析统计模块：支持自定义分组(包括条件分组和公式分组)，以及层次坐标公式(包括同比，环比，排名，占比和累计等需要层次坐标比较的模板制作)。</w:t>
            </w:r>
          </w:p>
          <w:p>
            <w:pPr>
              <w:pStyle w:val="13"/>
              <w:numPr>
                <w:ilvl w:val="0"/>
                <w:numId w:val="23"/>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模板权限集成：通过数据集认证，LADP等认证方式与其它信息系统集成，并对报表页面实现权限控制。</w:t>
            </w:r>
          </w:p>
          <w:p>
            <w:pPr>
              <w:pStyle w:val="13"/>
              <w:numPr>
                <w:ilvl w:val="0"/>
                <w:numId w:val="23"/>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远程设计：采用三层结构来实现设计器在远程服务上创建和修改报表模板。</w:t>
            </w:r>
          </w:p>
          <w:p>
            <w:pPr>
              <w:pStyle w:val="13"/>
              <w:numPr>
                <w:ilvl w:val="0"/>
                <w:numId w:val="23"/>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H5动态图表：采用html5的canvas 及svg在浏览器端生成动态图表。</w:t>
            </w:r>
          </w:p>
          <w:p>
            <w:pPr>
              <w:pStyle w:val="13"/>
              <w:numPr>
                <w:ilvl w:val="0"/>
                <w:numId w:val="23"/>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决策报表：通过简单灵活的组件拖拽操作方式快速制作组件式报表，比传统格子报表更美观，可以自适应屏幕的大小和分辨率，智能排布组件布局，交互效果更佳，极适合构建决策驾驶舱。</w:t>
            </w:r>
          </w:p>
          <w:p>
            <w:pPr>
              <w:pStyle w:val="13"/>
              <w:numPr>
                <w:ilvl w:val="0"/>
                <w:numId w:val="23"/>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不同终端展示：支持报表在安卓、IOS系统的手机、平板、智能终端上进行展示，可自适应匹配各种大小屏幕。</w:t>
            </w:r>
          </w:p>
          <w:p>
            <w:pPr>
              <w:pStyle w:val="13"/>
              <w:numPr>
                <w:ilvl w:val="0"/>
                <w:numId w:val="23"/>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调用移动端功能：支持调用硬件设备底层的扫码、定位、拍照、文件上传等功能。</w:t>
            </w:r>
          </w:p>
          <w:p>
            <w:pPr>
              <w:pStyle w:val="13"/>
              <w:numPr>
                <w:ilvl w:val="0"/>
                <w:numId w:val="23"/>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HTML5渲染方式：提供HTML5渲染方式，可通过手机浏览器直接访问报表，也可集成到微信、钉钉等，能根据移动设备特性自动转换报表风格。</w:t>
            </w:r>
          </w:p>
          <w:p>
            <w:pPr>
              <w:pStyle w:val="13"/>
              <w:numPr>
                <w:ilvl w:val="0"/>
                <w:numId w:val="23"/>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移动端交互：支持移动设备的常见交互体验，比如缩放、横屏、手势、组件自定义全屏等操作，另外还兼容PC端的交互体验，包括数据钻取、图表联动等。</w:t>
            </w:r>
          </w:p>
          <w:p>
            <w:pPr>
              <w:pStyle w:val="13"/>
              <w:numPr>
                <w:ilvl w:val="0"/>
                <w:numId w:val="23"/>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FRMBS布局：支持在web端进行frm的布局调整，加快frm设计调试效率。</w:t>
            </w:r>
          </w:p>
          <w:p>
            <w:pPr>
              <w:pStyle w:val="13"/>
              <w:numPr>
                <w:ilvl w:val="0"/>
                <w:numId w:val="23"/>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图表高级交互：包括图表联动（点击图表中数据，其余图表或单元格数据变化），监控刷新（数据库中数据变化时，图表对应实时动态变化并提示变化内容）和闪烁动画（闪烁显示某些重要图形）。</w:t>
            </w:r>
          </w:p>
          <w:p>
            <w:pPr>
              <w:pStyle w:val="13"/>
              <w:numPr>
                <w:ilvl w:val="0"/>
                <w:numId w:val="23"/>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扩展图表：基于webgl等技术开发，作为基础图表的补充，包含一些展示形态新颖或展示效果酷炫的新图表。常用于大屏等场景下。</w:t>
            </w:r>
          </w:p>
          <w:p>
            <w:pPr>
              <w:pStyle w:val="13"/>
              <w:numPr>
                <w:ilvl w:val="0"/>
                <w:numId w:val="23"/>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地图：将与地理位置有关的属性、指标等直观地反映在地图上，支持内置地图、自定义地图以及GIS地图，让数据以地图的形式展现出来。</w:t>
            </w:r>
          </w:p>
          <w:p>
            <w:pPr>
              <w:pStyle w:val="4"/>
              <w:tabs>
                <w:tab w:val="left" w:pos="432"/>
              </w:tabs>
              <w:spacing w:before="163" w:after="163"/>
              <w:rPr>
                <w:rFonts w:hint="eastAsia" w:ascii="宋体" w:hAnsi="宋体" w:eastAsia="宋体" w:cs="宋体"/>
                <w:color w:val="000000" w:themeColor="text1"/>
                <w:sz w:val="21"/>
                <w:szCs w:val="21"/>
                <w:highlight w:val="none"/>
                <w14:textFill>
                  <w14:solidFill>
                    <w14:schemeClr w14:val="tx1"/>
                  </w14:solidFill>
                </w14:textFill>
              </w:rPr>
            </w:pPr>
            <w:bookmarkStart w:id="74" w:name="_Toc159428305"/>
            <w:bookmarkStart w:id="75" w:name="_Toc12619"/>
            <w:r>
              <w:rPr>
                <w:rFonts w:hint="eastAsia" w:ascii="宋体" w:hAnsi="宋体" w:eastAsia="宋体" w:cs="宋体"/>
                <w:color w:val="000000" w:themeColor="text1"/>
                <w:sz w:val="21"/>
                <w:szCs w:val="21"/>
                <w:highlight w:val="none"/>
                <w14:textFill>
                  <w14:solidFill>
                    <w14:schemeClr w14:val="tx1"/>
                  </w14:solidFill>
                </w14:textFill>
              </w:rPr>
              <w:t>校情概况</w:t>
            </w:r>
            <w:bookmarkEnd w:id="74"/>
            <w:bookmarkEnd w:id="75"/>
            <w:r>
              <w:rPr>
                <w:rFonts w:hint="eastAsia" w:ascii="宋体" w:hAnsi="宋体" w:eastAsia="宋体" w:cs="宋体"/>
                <w:color w:val="000000" w:themeColor="text1"/>
                <w:sz w:val="21"/>
                <w:szCs w:val="21"/>
                <w:highlight w:val="none"/>
                <w14:textFill>
                  <w14:solidFill>
                    <w14:schemeClr w14:val="tx1"/>
                  </w14:solidFill>
                </w14:textFill>
              </w:rPr>
              <w:t>大屏</w:t>
            </w:r>
          </w:p>
          <w:p>
            <w:pPr>
              <w:pStyle w:val="16"/>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校情概况大屏基于全校数字校园建设情况，需包含对人才培养、师资队伍、科学研究、专业建设、办学条件等维度的数据分析展示。</w:t>
            </w:r>
          </w:p>
          <w:p>
            <w:pPr>
              <w:pStyle w:val="16"/>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人才培养维度需包括全校系部数、专业数、课程数、在校学生总数、专升本学生数、在校生培养层次结构等指标。</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师资队伍维度需包括全校在职教职工数、专任教师数、研究生数、专任教师职级分布、高层次人才分布等指标。</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科学研究维度需包括公开发布论文情况、出版著作情况、授权专利情况、获奖情况、科研经费情况、科研项目情况等指标。</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专业建设维度需包括学校专业群、国家重点专业、省重点专业、特色专业群、ESI全球前1%学科情况、学位点情况等指标。</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办学条件维度需包括学校占地面积、学生宿舍面积、行政用房、固定资产、教学用房面积、教学科研设备等指标。</w:t>
            </w:r>
          </w:p>
          <w:p>
            <w:pPr>
              <w:pStyle w:val="4"/>
              <w:tabs>
                <w:tab w:val="left" w:pos="432"/>
              </w:tabs>
              <w:spacing w:before="163" w:after="163"/>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定制大屏</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提供3套数据大屏，根据学校后续需求定制，能够实现数据集成并可视化表达，为学校提供更加全面、精准的数据支持，有助于高校更好地进行决策、资源配置，实现“用数据说话、用数据管理、用数据决策”，推动学校教育治理体系和治理能力的现代化。</w:t>
            </w:r>
          </w:p>
          <w:p>
            <w:pPr>
              <w:pStyle w:val="3"/>
              <w:tabs>
                <w:tab w:val="left" w:pos="432"/>
              </w:tabs>
              <w:spacing w:before="120" w:after="120"/>
              <w:rPr>
                <w:rFonts w:hint="eastAsia" w:ascii="宋体" w:hAnsi="宋体" w:eastAsia="宋体" w:cs="宋体"/>
                <w:bCs w:val="0"/>
                <w:color w:val="000000" w:themeColor="text1"/>
                <w:kern w:val="0"/>
                <w:sz w:val="21"/>
                <w:szCs w:val="21"/>
                <w:highlight w:val="none"/>
                <w14:textFill>
                  <w14:solidFill>
                    <w14:schemeClr w14:val="tx1"/>
                  </w14:solidFill>
                </w14:textFill>
              </w:rPr>
            </w:pPr>
            <w:bookmarkStart w:id="76" w:name="_Toc23668"/>
            <w:bookmarkStart w:id="77" w:name="_Toc166341745"/>
            <w:r>
              <w:rPr>
                <w:rFonts w:hint="eastAsia" w:ascii="宋体" w:hAnsi="宋体" w:eastAsia="宋体" w:cs="宋体"/>
                <w:bCs w:val="0"/>
                <w:color w:val="000000" w:themeColor="text1"/>
                <w:kern w:val="0"/>
                <w:sz w:val="21"/>
                <w:szCs w:val="21"/>
                <w:highlight w:val="none"/>
                <w14:textFill>
                  <w14:solidFill>
                    <w14:schemeClr w14:val="tx1"/>
                  </w14:solidFill>
                </w14:textFill>
              </w:rPr>
              <w:t>数据</w:t>
            </w:r>
            <w:r>
              <w:rPr>
                <w:rFonts w:hint="eastAsia" w:ascii="宋体" w:hAnsi="宋体" w:eastAsia="宋体" w:cs="宋体"/>
                <w:bCs w:val="0"/>
                <w:color w:val="000000" w:themeColor="text1"/>
                <w:kern w:val="0"/>
                <w:sz w:val="21"/>
                <w:szCs w:val="21"/>
                <w:highlight w:val="none"/>
                <w:lang w:eastAsia="zh-Hans"/>
                <w14:textFill>
                  <w14:solidFill>
                    <w14:schemeClr w14:val="tx1"/>
                  </w14:solidFill>
                </w14:textFill>
              </w:rPr>
              <w:t>运营</w:t>
            </w:r>
            <w:r>
              <w:rPr>
                <w:rFonts w:hint="eastAsia" w:ascii="宋体" w:hAnsi="宋体" w:eastAsia="宋体" w:cs="宋体"/>
                <w:bCs w:val="0"/>
                <w:color w:val="000000" w:themeColor="text1"/>
                <w:kern w:val="0"/>
                <w:sz w:val="21"/>
                <w:szCs w:val="21"/>
                <w:highlight w:val="none"/>
                <w14:textFill>
                  <w14:solidFill>
                    <w14:schemeClr w14:val="tx1"/>
                  </w14:solidFill>
                </w14:textFill>
              </w:rPr>
              <w:t>开放</w:t>
            </w:r>
            <w:r>
              <w:rPr>
                <w:rFonts w:hint="eastAsia" w:ascii="宋体" w:hAnsi="宋体" w:eastAsia="宋体" w:cs="宋体"/>
                <w:bCs w:val="0"/>
                <w:color w:val="000000" w:themeColor="text1"/>
                <w:kern w:val="0"/>
                <w:sz w:val="21"/>
                <w:szCs w:val="21"/>
                <w:highlight w:val="none"/>
                <w:lang w:eastAsia="zh-Hans"/>
                <w14:textFill>
                  <w14:solidFill>
                    <w14:schemeClr w14:val="tx1"/>
                  </w14:solidFill>
                </w14:textFill>
              </w:rPr>
              <w:t>平台</w:t>
            </w:r>
            <w:bookmarkEnd w:id="71"/>
            <w:bookmarkEnd w:id="76"/>
            <w:bookmarkEnd w:id="77"/>
          </w:p>
          <w:p>
            <w:pPr>
              <w:pStyle w:val="4"/>
              <w:tabs>
                <w:tab w:val="left" w:pos="432"/>
              </w:tabs>
              <w:spacing w:before="163" w:after="163"/>
              <w:rPr>
                <w:rFonts w:hint="eastAsia" w:ascii="宋体" w:hAnsi="宋体" w:eastAsia="宋体" w:cs="宋体"/>
                <w:color w:val="000000" w:themeColor="text1"/>
                <w:sz w:val="21"/>
                <w:szCs w:val="21"/>
                <w:highlight w:val="none"/>
                <w14:textFill>
                  <w14:solidFill>
                    <w14:schemeClr w14:val="tx1"/>
                  </w14:solidFill>
                </w14:textFill>
              </w:rPr>
            </w:pPr>
            <w:bookmarkStart w:id="78" w:name="_Toc159428287"/>
            <w:bookmarkStart w:id="79" w:name="_Toc22543"/>
            <w:r>
              <w:rPr>
                <w:rFonts w:hint="eastAsia" w:ascii="宋体" w:hAnsi="宋体" w:eastAsia="宋体" w:cs="宋体"/>
                <w:color w:val="000000" w:themeColor="text1"/>
                <w:sz w:val="21"/>
                <w:szCs w:val="21"/>
                <w:highlight w:val="none"/>
                <w14:textFill>
                  <w14:solidFill>
                    <w14:schemeClr w14:val="tx1"/>
                  </w14:solidFill>
                </w14:textFill>
              </w:rPr>
              <w:t>数据开放门户</w:t>
            </w:r>
            <w:bookmarkEnd w:id="78"/>
          </w:p>
          <w:p>
            <w:pPr>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数据开放门户是全校数据资源目录、数据标准规范的统一发布中心。</w:t>
            </w:r>
          </w:p>
          <w:p>
            <w:pPr>
              <w:pStyle w:val="13"/>
              <w:numPr>
                <w:ilvl w:val="0"/>
                <w:numId w:val="24"/>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需提供全校统一的数据开放服务门户，提供数据资源的全文检索、分类搜索。用户可通过此界面对数据资源发起数据交换申请，提供API接口、数据库推送、文件导出等多种开放形式；</w:t>
            </w:r>
          </w:p>
          <w:p>
            <w:pPr>
              <w:pStyle w:val="13"/>
              <w:numPr>
                <w:ilvl w:val="0"/>
                <w:numId w:val="24"/>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需提供数据运营看板，可对数据资源基本情况、数据资源共享情况、数据资源使用情况、数据资源挂接情况进行实时监测；</w:t>
            </w:r>
          </w:p>
          <w:p>
            <w:pPr>
              <w:pStyle w:val="13"/>
              <w:numPr>
                <w:ilvl w:val="0"/>
                <w:numId w:val="24"/>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需将审核通过后的数据标准发布到数据开放门户，供全校各职能部门和师生查阅、下载，</w:t>
            </w:r>
          </w:p>
          <w:p>
            <w:pPr>
              <w:pStyle w:val="4"/>
              <w:tabs>
                <w:tab w:val="left" w:pos="432"/>
              </w:tabs>
              <w:spacing w:before="163" w:after="163"/>
              <w:rPr>
                <w:rFonts w:hint="eastAsia" w:ascii="宋体" w:hAnsi="宋体" w:eastAsia="宋体" w:cs="宋体"/>
                <w:color w:val="000000" w:themeColor="text1"/>
                <w:sz w:val="21"/>
                <w:szCs w:val="21"/>
                <w:highlight w:val="none"/>
                <w14:textFill>
                  <w14:solidFill>
                    <w14:schemeClr w14:val="tx1"/>
                  </w14:solidFill>
                </w14:textFill>
              </w:rPr>
            </w:pPr>
            <w:bookmarkStart w:id="80" w:name="_Toc159428288"/>
            <w:r>
              <w:rPr>
                <w:rFonts w:hint="eastAsia" w:ascii="宋体" w:hAnsi="宋体" w:eastAsia="宋体" w:cs="宋体"/>
                <w:color w:val="000000" w:themeColor="text1"/>
                <w:sz w:val="21"/>
                <w:szCs w:val="21"/>
                <w:highlight w:val="none"/>
                <w14:textFill>
                  <w14:solidFill>
                    <w14:schemeClr w14:val="tx1"/>
                  </w14:solidFill>
                </w14:textFill>
              </w:rPr>
              <w:t>数据资源目录</w:t>
            </w:r>
            <w:bookmarkEnd w:id="80"/>
          </w:p>
          <w:p>
            <w:pPr>
              <w:pStyle w:val="5"/>
              <w:numPr>
                <w:ilvl w:val="4"/>
                <w:numId w:val="0"/>
              </w:numPr>
              <w:tabs>
                <w:tab w:val="clear" w:pos="1008"/>
              </w:tabs>
              <w:spacing w:line="240" w:lineRule="auto"/>
              <w:ind w:leftChars="0"/>
              <w:rPr>
                <w:rFonts w:hint="eastAsia" w:ascii="宋体" w:hAnsi="宋体" w:eastAsia="宋体" w:cs="宋体"/>
                <w:snapToGrid w:val="0"/>
                <w:color w:val="000000" w:themeColor="text1"/>
                <w:sz w:val="21"/>
                <w:szCs w:val="21"/>
                <w:highlight w:val="none"/>
                <w:lang w:eastAsia="zh-Hans"/>
                <w14:textFill>
                  <w14:solidFill>
                    <w14:schemeClr w14:val="tx1"/>
                  </w14:solidFill>
                </w14:textFill>
              </w:rPr>
            </w:pPr>
            <w:r>
              <w:rPr>
                <w:rFonts w:hint="eastAsia" w:ascii="宋体" w:hAnsi="宋体" w:eastAsia="宋体" w:cs="宋体"/>
                <w:snapToGrid w:val="0"/>
                <w:color w:val="000000" w:themeColor="text1"/>
                <w:sz w:val="21"/>
                <w:szCs w:val="21"/>
                <w:highlight w:val="none"/>
                <w:lang w:eastAsia="zh-Hans"/>
                <w14:textFill>
                  <w14:solidFill>
                    <w14:schemeClr w14:val="tx1"/>
                  </w14:solidFill>
                </w14:textFill>
              </w:rPr>
              <w:t>资源管理中心</w:t>
            </w:r>
          </w:p>
          <w:p>
            <w:pPr>
              <w:pStyle w:val="15"/>
              <w:spacing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数据资源目录用于梳理数据资源，为数据共享开放做基础准备工作。</w:t>
            </w:r>
          </w:p>
          <w:p>
            <w:pPr>
              <w:pStyle w:val="15"/>
              <w:spacing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具体要求如下：</w:t>
            </w:r>
          </w:p>
          <w:p>
            <w:pPr>
              <w:pStyle w:val="13"/>
              <w:numPr>
                <w:ilvl w:val="0"/>
                <w:numId w:val="25"/>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需支持根据数据范围构建不同的数据资源目录完成数据资源目录的新增和删除；可自定义的管理数据资源的组织和展示结构。支持数据资源分类维度新增和删除。支持数据资源分类层级的新增和删除；</w:t>
            </w:r>
          </w:p>
          <w:p>
            <w:pPr>
              <w:pStyle w:val="13"/>
              <w:numPr>
                <w:ilvl w:val="0"/>
                <w:numId w:val="25"/>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需支持按照不同的数据资源目录展示数据资源，可在分类树上切换数据资源目录。新增数据资源时，需支持数据资源属性、分类和数据项的维护工作，其中</w:t>
            </w:r>
            <w:r>
              <w:rPr>
                <w:rFonts w:hint="eastAsia" w:ascii="宋体" w:hAnsi="宋体" w:eastAsia="宋体" w:cs="宋体"/>
                <w:b/>
                <w:bCs/>
                <w:color w:val="000000" w:themeColor="text1"/>
                <w:sz w:val="21"/>
                <w:szCs w:val="21"/>
                <w:highlight w:val="none"/>
                <w:lang w:eastAsia="zh-Hans"/>
                <w14:textFill>
                  <w14:solidFill>
                    <w14:schemeClr w14:val="tx1"/>
                  </w14:solidFill>
                </w14:textFill>
              </w:rPr>
              <w:t>数据资源属性</w:t>
            </w:r>
            <w:r>
              <w:rPr>
                <w:rFonts w:hint="eastAsia" w:ascii="宋体" w:hAnsi="宋体" w:eastAsia="宋体" w:cs="宋体"/>
                <w:color w:val="000000" w:themeColor="text1"/>
                <w:sz w:val="21"/>
                <w:szCs w:val="21"/>
                <w:highlight w:val="none"/>
                <w:lang w:eastAsia="zh-Hans"/>
                <w14:textFill>
                  <w14:solidFill>
                    <w14:schemeClr w14:val="tx1"/>
                  </w14:solidFill>
                </w14:textFill>
              </w:rPr>
              <w:t>需包括数据资源编码、数据资源名称、责任单位、共享类型、使用方式和数据资源说明。</w:t>
            </w:r>
            <w:r>
              <w:rPr>
                <w:rFonts w:hint="eastAsia" w:ascii="宋体" w:hAnsi="宋体" w:eastAsia="宋体" w:cs="宋体"/>
                <w:b/>
                <w:bCs/>
                <w:color w:val="000000" w:themeColor="text1"/>
                <w:sz w:val="21"/>
                <w:szCs w:val="21"/>
                <w:highlight w:val="none"/>
                <w:lang w:eastAsia="zh-Hans"/>
                <w14:textFill>
                  <w14:solidFill>
                    <w14:schemeClr w14:val="tx1"/>
                  </w14:solidFill>
                </w14:textFill>
              </w:rPr>
              <w:t>数据资源分类</w:t>
            </w:r>
            <w:r>
              <w:rPr>
                <w:rFonts w:hint="eastAsia" w:ascii="宋体" w:hAnsi="宋体" w:eastAsia="宋体" w:cs="宋体"/>
                <w:color w:val="000000" w:themeColor="text1"/>
                <w:sz w:val="21"/>
                <w:szCs w:val="21"/>
                <w:highlight w:val="none"/>
                <w:lang w:eastAsia="zh-Hans"/>
                <w14:textFill>
                  <w14:solidFill>
                    <w14:schemeClr w14:val="tx1"/>
                  </w14:solidFill>
                </w14:textFill>
              </w:rPr>
              <w:t>需能够定义数据资源属于哪个分类维度的哪个分类。</w:t>
            </w:r>
            <w:r>
              <w:rPr>
                <w:rFonts w:hint="eastAsia" w:ascii="宋体" w:hAnsi="宋体" w:eastAsia="宋体" w:cs="宋体"/>
                <w:b/>
                <w:bCs/>
                <w:color w:val="000000" w:themeColor="text1"/>
                <w:sz w:val="21"/>
                <w:szCs w:val="21"/>
                <w:highlight w:val="none"/>
                <w:lang w:eastAsia="zh-Hans"/>
                <w14:textFill>
                  <w14:solidFill>
                    <w14:schemeClr w14:val="tx1"/>
                  </w14:solidFill>
                </w14:textFill>
              </w:rPr>
              <w:t>数据资源的数据项</w:t>
            </w:r>
            <w:r>
              <w:rPr>
                <w:rFonts w:hint="eastAsia" w:ascii="宋体" w:hAnsi="宋体" w:eastAsia="宋体" w:cs="宋体"/>
                <w:color w:val="000000" w:themeColor="text1"/>
                <w:sz w:val="21"/>
                <w:szCs w:val="21"/>
                <w:highlight w:val="none"/>
                <w:lang w:eastAsia="zh-Hans"/>
                <w14:textFill>
                  <w14:solidFill>
                    <w14:schemeClr w14:val="tx1"/>
                  </w14:solidFill>
                </w14:textFill>
              </w:rPr>
              <w:t>需包含SQL字段、数据项名称、数据项别名、业务标识、责任单位和元数据关联字段。</w:t>
            </w:r>
          </w:p>
          <w:p>
            <w:pPr>
              <w:pStyle w:val="13"/>
              <w:numPr>
                <w:ilvl w:val="0"/>
                <w:numId w:val="25"/>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需提供SQL构建器，通过可视化选数据源、schema、表、字段的方式，并根据特定的处理逻辑（如为引用代码字段添加代码名称），直接生成SQL，降低用户使用成本。</w:t>
            </w:r>
          </w:p>
          <w:p>
            <w:pPr>
              <w:pStyle w:val="13"/>
              <w:numPr>
                <w:ilvl w:val="0"/>
                <w:numId w:val="25"/>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需支持用户编辑数据资源，新增的数据项不会出现在原有的授权和</w:t>
            </w:r>
            <w:r>
              <w:rPr>
                <w:rFonts w:hint="eastAsia" w:ascii="宋体" w:hAnsi="宋体" w:eastAsia="宋体" w:cs="宋体"/>
                <w:color w:val="000000" w:themeColor="text1"/>
                <w:sz w:val="21"/>
                <w:szCs w:val="21"/>
                <w:highlight w:val="none"/>
                <w14:textFill>
                  <w14:solidFill>
                    <w14:schemeClr w14:val="tx1"/>
                  </w14:solidFill>
                </w14:textFill>
              </w:rPr>
              <w:t>现在待申请清单中。删除数据资源时，数据资源的授权记录不受影响、可通过专门的筛选项查看已经删除的数据资源的授权记录</w:t>
            </w:r>
          </w:p>
          <w:p>
            <w:pPr>
              <w:pStyle w:val="13"/>
              <w:numPr>
                <w:ilvl w:val="0"/>
                <w:numId w:val="25"/>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需支持用户为数据资源创建数据子集，帮助用户可以根据特定需求或标准，从大型数据集中提取出更为精细化的数据。</w:t>
            </w:r>
          </w:p>
          <w:p>
            <w:pPr>
              <w:pStyle w:val="13"/>
              <w:numPr>
                <w:ilvl w:val="0"/>
                <w:numId w:val="25"/>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需支持展示数据资源的数据，支持通过数据子集快速筛选数据。需支持维护数据资源的样例数据，以便用户在数据门户查看数据资源时快速理解数据结构。</w:t>
            </w:r>
          </w:p>
          <w:p>
            <w:pPr>
              <w:pStyle w:val="13"/>
              <w:numPr>
                <w:ilvl w:val="0"/>
                <w:numId w:val="25"/>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需支持用户上传样例数据到指定的数据资源中，上传格式支持</w:t>
            </w:r>
            <w:r>
              <w:rPr>
                <w:rFonts w:hint="eastAsia" w:ascii="宋体" w:hAnsi="宋体" w:eastAsia="宋体" w:cs="宋体"/>
                <w:color w:val="000000" w:themeColor="text1"/>
                <w:sz w:val="21"/>
                <w:szCs w:val="21"/>
                <w:highlight w:val="none"/>
                <w14:textFill>
                  <w14:solidFill>
                    <w14:schemeClr w14:val="tx1"/>
                  </w14:solidFill>
                </w14:textFill>
              </w:rPr>
              <w:t>xls</w:t>
            </w:r>
            <w:r>
              <w:rPr>
                <w:rFonts w:hint="eastAsia" w:ascii="宋体" w:hAnsi="宋体" w:eastAsia="宋体" w:cs="宋体"/>
                <w:color w:val="000000" w:themeColor="text1"/>
                <w:sz w:val="21"/>
                <w:szCs w:val="21"/>
                <w:highlight w:val="none"/>
                <w:lang w:eastAsia="zh-Hans"/>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xlsx</w:t>
            </w:r>
            <w:r>
              <w:rPr>
                <w:rFonts w:hint="eastAsia" w:ascii="宋体" w:hAnsi="宋体" w:eastAsia="宋体" w:cs="宋体"/>
                <w:color w:val="000000" w:themeColor="text1"/>
                <w:sz w:val="21"/>
                <w:szCs w:val="21"/>
                <w:highlight w:val="none"/>
                <w:lang w:eastAsia="zh-Hans"/>
                <w14:textFill>
                  <w14:solidFill>
                    <w14:schemeClr w14:val="tx1"/>
                  </w14:solidFill>
                </w14:textFill>
              </w:rPr>
              <w:t>。系统支持自定义样例数据读取范围。</w:t>
            </w:r>
          </w:p>
          <w:p>
            <w:pPr>
              <w:pStyle w:val="5"/>
              <w:numPr>
                <w:ilvl w:val="4"/>
                <w:numId w:val="0"/>
              </w:numPr>
              <w:tabs>
                <w:tab w:val="clear" w:pos="1008"/>
              </w:tabs>
              <w:spacing w:line="240" w:lineRule="auto"/>
              <w:ind w:leftChars="0"/>
              <w:rPr>
                <w:rFonts w:hint="eastAsia" w:ascii="宋体" w:hAnsi="宋体" w:eastAsia="宋体" w:cs="宋体"/>
                <w:snapToGrid w:val="0"/>
                <w:color w:val="000000" w:themeColor="text1"/>
                <w:sz w:val="21"/>
                <w:szCs w:val="21"/>
                <w:highlight w:val="none"/>
                <w:lang w:eastAsia="zh-Hans"/>
                <w14:textFill>
                  <w14:solidFill>
                    <w14:schemeClr w14:val="tx1"/>
                  </w14:solidFill>
                </w14:textFill>
              </w:rPr>
            </w:pPr>
            <w:r>
              <w:rPr>
                <w:rFonts w:hint="eastAsia" w:ascii="宋体" w:hAnsi="宋体" w:eastAsia="宋体" w:cs="宋体"/>
                <w:snapToGrid w:val="0"/>
                <w:color w:val="000000" w:themeColor="text1"/>
                <w:sz w:val="21"/>
                <w:szCs w:val="21"/>
                <w:highlight w:val="none"/>
                <w:lang w:eastAsia="zh-Hans"/>
                <w14:textFill>
                  <w14:solidFill>
                    <w14:schemeClr w14:val="tx1"/>
                  </w14:solidFill>
                </w14:textFill>
              </w:rPr>
              <w:t>资源开放中心</w:t>
            </w:r>
          </w:p>
          <w:p>
            <w:pPr>
              <w:pStyle w:val="15"/>
              <w:spacing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数据门户侧的数据资源目录是学校数据共享开放的成果，后台发布的数据资源可以在数据门户侧展示，供用户申请使用，以满足校内应用建设或行政办公的需要。</w:t>
            </w:r>
          </w:p>
          <w:p>
            <w:pPr>
              <w:pStyle w:val="15"/>
              <w:numPr>
                <w:ilvl w:val="0"/>
                <w:numId w:val="26"/>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支持使用数据资源名称和数据项名称进行全局检索。</w:t>
            </w:r>
          </w:p>
          <w:p>
            <w:pPr>
              <w:pStyle w:val="15"/>
              <w:numPr>
                <w:ilvl w:val="0"/>
                <w:numId w:val="26"/>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支持通过数据资源分类维度、使用方式、责任单位快速筛选定位相关的数据资源。</w:t>
            </w:r>
          </w:p>
          <w:p>
            <w:pPr>
              <w:pStyle w:val="15"/>
              <w:numPr>
                <w:ilvl w:val="0"/>
                <w:numId w:val="26"/>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支持查看数据资源的详情，包括：数据资源的基本属性信息、数据项、数据子集、样例数据和安全信息。</w:t>
            </w:r>
          </w:p>
          <w:p>
            <w:pPr>
              <w:pStyle w:val="15"/>
              <w:numPr>
                <w:ilvl w:val="0"/>
                <w:numId w:val="26"/>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支持用户申请数据资源，申请方式支持直接提交申请，或加入到待申请清单中。支持的申请使用方式包括：在线查询、通过Excel下载、通过OData接口获取数据、通过ETL获取数据。</w:t>
            </w:r>
          </w:p>
          <w:p>
            <w:pPr>
              <w:pStyle w:val="4"/>
              <w:tabs>
                <w:tab w:val="left" w:pos="432"/>
              </w:tabs>
              <w:spacing w:before="163" w:after="163"/>
              <w:rPr>
                <w:rFonts w:hint="eastAsia" w:ascii="宋体" w:hAnsi="宋体" w:eastAsia="宋体" w:cs="宋体"/>
                <w:color w:val="000000" w:themeColor="text1"/>
                <w:sz w:val="21"/>
                <w:szCs w:val="21"/>
                <w:highlight w:val="none"/>
                <w14:textFill>
                  <w14:solidFill>
                    <w14:schemeClr w14:val="tx1"/>
                  </w14:solidFill>
                </w14:textFill>
              </w:rPr>
            </w:pPr>
            <w:bookmarkStart w:id="81" w:name="_Toc159428289"/>
            <w:r>
              <w:rPr>
                <w:rFonts w:hint="eastAsia" w:ascii="宋体" w:hAnsi="宋体" w:eastAsia="宋体" w:cs="宋体"/>
                <w:color w:val="000000" w:themeColor="text1"/>
                <w:sz w:val="21"/>
                <w:szCs w:val="21"/>
                <w:highlight w:val="none"/>
                <w14:textFill>
                  <w14:solidFill>
                    <w14:schemeClr w14:val="tx1"/>
                  </w14:solidFill>
                </w14:textFill>
              </w:rPr>
              <w:t>应用管理</w:t>
            </w:r>
            <w:bookmarkEnd w:id="81"/>
          </w:p>
          <w:p>
            <w:pPr>
              <w:pStyle w:val="13"/>
              <w:numPr>
                <w:ilvl w:val="0"/>
                <w:numId w:val="27"/>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需支持业务应用系统的新增、同步、停用和删除等操作；</w:t>
            </w:r>
          </w:p>
          <w:p>
            <w:pPr>
              <w:pStyle w:val="13"/>
              <w:numPr>
                <w:ilvl w:val="0"/>
                <w:numId w:val="27"/>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新增数据应用时，需支持名称、编码、厂商名称、所属部门基础信息的维护，配置信息需支持加密算法和加密秘钥的管理，加密算法至少包括AM4和AES；</w:t>
            </w:r>
          </w:p>
          <w:p>
            <w:pPr>
              <w:pStyle w:val="13"/>
              <w:numPr>
                <w:ilvl w:val="0"/>
                <w:numId w:val="27"/>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▲为方便快速创建新的应用系统，需支持从门户认证系统中同步应用系统信息；应用同步需支持手动和自动两种同步方式。</w:t>
            </w:r>
          </w:p>
          <w:p>
            <w:pPr>
              <w:pStyle w:val="4"/>
              <w:tabs>
                <w:tab w:val="left" w:pos="432"/>
              </w:tabs>
              <w:spacing w:before="163" w:after="163"/>
              <w:rPr>
                <w:rFonts w:hint="eastAsia" w:ascii="宋体" w:hAnsi="宋体" w:eastAsia="宋体" w:cs="宋体"/>
                <w:color w:val="000000" w:themeColor="text1"/>
                <w:sz w:val="21"/>
                <w:szCs w:val="21"/>
                <w:highlight w:val="none"/>
                <w14:textFill>
                  <w14:solidFill>
                    <w14:schemeClr w14:val="tx1"/>
                  </w14:solidFill>
                </w14:textFill>
              </w:rPr>
            </w:pPr>
            <w:bookmarkStart w:id="82" w:name="_Toc159428290"/>
            <w:r>
              <w:rPr>
                <w:rFonts w:hint="eastAsia" w:ascii="宋体" w:hAnsi="宋体" w:eastAsia="宋体" w:cs="宋体"/>
                <w:color w:val="000000" w:themeColor="text1"/>
                <w:sz w:val="21"/>
                <w:szCs w:val="21"/>
                <w:highlight w:val="none"/>
                <w14:textFill>
                  <w14:solidFill>
                    <w14:schemeClr w14:val="tx1"/>
                  </w14:solidFill>
                </w14:textFill>
              </w:rPr>
              <w:t>数据资源共享</w:t>
            </w:r>
            <w:bookmarkEnd w:id="82"/>
          </w:p>
          <w:p>
            <w:pPr>
              <w:pStyle w:val="13"/>
              <w:numPr>
                <w:ilvl w:val="0"/>
                <w:numId w:val="28"/>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数据门户侧需展示当前用户所有数据资源的使用申请清单，支持查看申请的数据资源内容、审核流程和审核状态；</w:t>
            </w:r>
          </w:p>
          <w:p>
            <w:pPr>
              <w:pStyle w:val="13"/>
              <w:numPr>
                <w:ilvl w:val="0"/>
                <w:numId w:val="28"/>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需支持用户管理数据应用使用数据资源的权限，授权方式包括：后台直接授权或者用户通过申请授权；</w:t>
            </w:r>
          </w:p>
          <w:p>
            <w:pPr>
              <w:pStyle w:val="13"/>
              <w:numPr>
                <w:ilvl w:val="0"/>
                <w:numId w:val="28"/>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需支持查看历史的授权记录，包括授权应用、数据资源名称、授权起始日期、授权状态和过期状态等。</w:t>
            </w:r>
          </w:p>
          <w:p>
            <w:pPr>
              <w:pStyle w:val="13"/>
              <w:numPr>
                <w:ilvl w:val="0"/>
                <w:numId w:val="28"/>
              </w:numPr>
              <w:ind w:firstLineChars="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需支持数据资源授权的启用/禁用和删除已有的数据资源授权记录。</w:t>
            </w:r>
          </w:p>
          <w:p>
            <w:pPr>
              <w:pStyle w:val="4"/>
              <w:tabs>
                <w:tab w:val="left" w:pos="432"/>
              </w:tabs>
              <w:spacing w:before="163" w:after="163"/>
              <w:rPr>
                <w:rFonts w:hint="eastAsia" w:ascii="宋体" w:hAnsi="宋体" w:eastAsia="宋体" w:cs="宋体"/>
                <w:color w:val="000000" w:themeColor="text1"/>
                <w:sz w:val="21"/>
                <w:szCs w:val="21"/>
                <w:highlight w:val="none"/>
                <w14:textFill>
                  <w14:solidFill>
                    <w14:schemeClr w14:val="tx1"/>
                  </w14:solidFill>
                </w14:textFill>
              </w:rPr>
            </w:pPr>
            <w:bookmarkStart w:id="83" w:name="_Toc159428291"/>
            <w:r>
              <w:rPr>
                <w:rFonts w:hint="eastAsia" w:ascii="宋体" w:hAnsi="宋体" w:eastAsia="宋体" w:cs="宋体"/>
                <w:color w:val="000000" w:themeColor="text1"/>
                <w:sz w:val="21"/>
                <w:szCs w:val="21"/>
                <w:highlight w:val="none"/>
                <w14:textFill>
                  <w14:solidFill>
                    <w14:schemeClr w14:val="tx1"/>
                  </w14:solidFill>
                </w14:textFill>
              </w:rPr>
              <w:t>共享工作台</w:t>
            </w:r>
            <w:bookmarkEnd w:id="83"/>
          </w:p>
          <w:p>
            <w:pPr>
              <w:pStyle w:val="15"/>
              <w:spacing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数据共享工作台是用户使用数据的快捷入口。通过共享工作台，用户可以管理应用、数据源、申请记录、申请到的资源，进入各个模块去使用数据，以及查看待办和已办事项。</w:t>
            </w:r>
          </w:p>
          <w:p>
            <w:pPr>
              <w:pStyle w:val="15"/>
              <w:numPr>
                <w:ilvl w:val="0"/>
                <w:numId w:val="29"/>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需支持查看提交的数据资源申请，查看内容包括：申请的详细内容、审核流程和审核结果；</w:t>
            </w:r>
          </w:p>
          <w:p>
            <w:pPr>
              <w:pStyle w:val="15"/>
              <w:numPr>
                <w:ilvl w:val="0"/>
                <w:numId w:val="29"/>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需支持用户查看待办和已办事项。支持的待办事项至少包括：审核数据资源申请和配置工单；</w:t>
            </w:r>
          </w:p>
          <w:p>
            <w:pPr>
              <w:pStyle w:val="15"/>
              <w:numPr>
                <w:ilvl w:val="0"/>
                <w:numId w:val="29"/>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数据审核时需支持多种审核方式：例如用户仅能同意或不同意，无法修改数据申请内容。或者支持用户在审核时修改数据申请的使用时限、数据项、安全策略、数据子集和使用方式；</w:t>
            </w:r>
          </w:p>
          <w:p>
            <w:pPr>
              <w:pStyle w:val="15"/>
              <w:numPr>
                <w:ilvl w:val="0"/>
                <w:numId w:val="29"/>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需支持工单配置提醒：在数据资源申请审核完成后，系统将自动生成一个与ETL任务有关的配置工单，提醒用户完成该工单的配置工作。</w:t>
            </w:r>
          </w:p>
          <w:bookmarkEnd w:id="79"/>
          <w:p>
            <w:pPr>
              <w:pStyle w:val="3"/>
              <w:tabs>
                <w:tab w:val="left" w:pos="432"/>
              </w:tabs>
              <w:spacing w:before="120" w:after="120"/>
              <w:rPr>
                <w:rFonts w:hint="eastAsia" w:ascii="宋体" w:hAnsi="宋体" w:eastAsia="宋体" w:cs="宋体"/>
                <w:bCs w:val="0"/>
                <w:snapToGrid w:val="0"/>
                <w:color w:val="000000" w:themeColor="text1"/>
                <w:kern w:val="0"/>
                <w:sz w:val="21"/>
                <w:szCs w:val="21"/>
                <w:highlight w:val="none"/>
                <w14:textFill>
                  <w14:solidFill>
                    <w14:schemeClr w14:val="tx1"/>
                  </w14:solidFill>
                </w14:textFill>
              </w:rPr>
            </w:pPr>
            <w:bookmarkStart w:id="84" w:name="_Toc7657"/>
            <w:bookmarkStart w:id="85" w:name="_Toc166341746"/>
            <w:bookmarkStart w:id="86" w:name="_Toc159428320"/>
            <w:bookmarkStart w:id="87" w:name="_Toc1842"/>
            <w:bookmarkStart w:id="88" w:name="_Toc159428294"/>
            <w:r>
              <w:rPr>
                <w:rFonts w:hint="eastAsia" w:ascii="宋体" w:hAnsi="宋体" w:eastAsia="宋体" w:cs="宋体"/>
                <w:bCs w:val="0"/>
                <w:snapToGrid w:val="0"/>
                <w:color w:val="000000" w:themeColor="text1"/>
                <w:kern w:val="0"/>
                <w:sz w:val="21"/>
                <w:szCs w:val="21"/>
                <w:highlight w:val="none"/>
                <w14:textFill>
                  <w14:solidFill>
                    <w14:schemeClr w14:val="tx1"/>
                  </w14:solidFill>
                </w14:textFill>
              </w:rPr>
              <w:t>数据治理服务</w:t>
            </w:r>
            <w:bookmarkEnd w:id="84"/>
            <w:bookmarkEnd w:id="85"/>
            <w:bookmarkEnd w:id="86"/>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需对我校人事系统、学工系统、教务系统、财务系统等核心业务系统完成数据采集服务，数据清洗服务、数据标准化服务、数据集成处理服务、数据脱敏加密服务、数据质量检测服务等。</w:t>
            </w:r>
          </w:p>
          <w:p>
            <w:pPr>
              <w:pStyle w:val="4"/>
              <w:tabs>
                <w:tab w:val="left" w:pos="432"/>
              </w:tabs>
              <w:spacing w:before="163" w:after="163"/>
              <w:rPr>
                <w:rFonts w:hint="eastAsia" w:ascii="宋体" w:hAnsi="宋体" w:eastAsia="宋体" w:cs="宋体"/>
                <w:bCs w:val="0"/>
                <w:color w:val="000000" w:themeColor="text1"/>
                <w:kern w:val="0"/>
                <w:sz w:val="21"/>
                <w:szCs w:val="21"/>
                <w:highlight w:val="none"/>
                <w14:textFill>
                  <w14:solidFill>
                    <w14:schemeClr w14:val="tx1"/>
                  </w14:solidFill>
                </w14:textFill>
              </w:rPr>
            </w:pPr>
            <w:bookmarkStart w:id="89" w:name="_Toc159428321"/>
            <w:r>
              <w:rPr>
                <w:rFonts w:hint="eastAsia" w:ascii="宋体" w:hAnsi="宋体" w:eastAsia="宋体" w:cs="宋体"/>
                <w:bCs w:val="0"/>
                <w:color w:val="000000" w:themeColor="text1"/>
                <w:kern w:val="0"/>
                <w:sz w:val="21"/>
                <w:szCs w:val="21"/>
                <w:highlight w:val="none"/>
                <w14:textFill>
                  <w14:solidFill>
                    <w14:schemeClr w14:val="tx1"/>
                  </w14:solidFill>
                </w14:textFill>
              </w:rPr>
              <w:t>业务系统盘点</w:t>
            </w:r>
            <w:bookmarkEnd w:id="89"/>
          </w:p>
          <w:p>
            <w:pPr>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对学校现有业务系统进行盘点，收集系统相关材料包括数据库权限、数据字典、系统访问权限、核心编码规范。明确本期项目数据治理实施范围和边界。输出《业务系统资产盘点表》。</w:t>
            </w:r>
          </w:p>
          <w:p>
            <w:pPr>
              <w:pStyle w:val="4"/>
              <w:tabs>
                <w:tab w:val="left" w:pos="432"/>
              </w:tabs>
              <w:spacing w:before="163" w:after="163"/>
              <w:rPr>
                <w:rFonts w:hint="eastAsia" w:ascii="宋体" w:hAnsi="宋体" w:eastAsia="宋体" w:cs="宋体"/>
                <w:bCs w:val="0"/>
                <w:color w:val="000000" w:themeColor="text1"/>
                <w:kern w:val="0"/>
                <w:sz w:val="21"/>
                <w:szCs w:val="21"/>
                <w:highlight w:val="none"/>
                <w14:textFill>
                  <w14:solidFill>
                    <w14:schemeClr w14:val="tx1"/>
                  </w14:solidFill>
                </w14:textFill>
              </w:rPr>
            </w:pPr>
            <w:bookmarkStart w:id="90" w:name="_Toc159428322"/>
            <w:r>
              <w:rPr>
                <w:rFonts w:hint="eastAsia" w:ascii="宋体" w:hAnsi="宋体" w:eastAsia="宋体" w:cs="宋体"/>
                <w:bCs w:val="0"/>
                <w:color w:val="000000" w:themeColor="text1"/>
                <w:kern w:val="0"/>
                <w:sz w:val="21"/>
                <w:szCs w:val="21"/>
                <w:highlight w:val="none"/>
                <w14:textFill>
                  <w14:solidFill>
                    <w14:schemeClr w14:val="tx1"/>
                  </w14:solidFill>
                </w14:textFill>
              </w:rPr>
              <w:t>部门数据调研</w:t>
            </w:r>
            <w:bookmarkEnd w:id="90"/>
          </w:p>
          <w:p>
            <w:pPr>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对学校人事处、财务处、教务处、学工处等部门现有数据进行调研，明确系统中现有数据和线下数据，输出《部门数据调研报告》</w:t>
            </w:r>
          </w:p>
          <w:p>
            <w:pPr>
              <w:pStyle w:val="4"/>
              <w:tabs>
                <w:tab w:val="left" w:pos="432"/>
              </w:tabs>
              <w:spacing w:before="163" w:after="163"/>
              <w:rPr>
                <w:rFonts w:hint="eastAsia" w:ascii="宋体" w:hAnsi="宋体" w:eastAsia="宋体" w:cs="宋体"/>
                <w:bCs w:val="0"/>
                <w:color w:val="000000" w:themeColor="text1"/>
                <w:kern w:val="0"/>
                <w:sz w:val="21"/>
                <w:szCs w:val="21"/>
                <w:highlight w:val="none"/>
                <w14:textFill>
                  <w14:solidFill>
                    <w14:schemeClr w14:val="tx1"/>
                  </w14:solidFill>
                </w14:textFill>
              </w:rPr>
            </w:pPr>
            <w:bookmarkStart w:id="91" w:name="_Toc159428323"/>
            <w:r>
              <w:rPr>
                <w:rFonts w:hint="eastAsia" w:ascii="宋体" w:hAnsi="宋体" w:eastAsia="宋体" w:cs="宋体"/>
                <w:bCs w:val="0"/>
                <w:color w:val="000000" w:themeColor="text1"/>
                <w:kern w:val="0"/>
                <w:sz w:val="21"/>
                <w:szCs w:val="21"/>
                <w:highlight w:val="none"/>
                <w14:textFill>
                  <w14:solidFill>
                    <w14:schemeClr w14:val="tx1"/>
                  </w14:solidFill>
                </w14:textFill>
              </w:rPr>
              <w:t>现有数据接口梳理</w:t>
            </w:r>
            <w:bookmarkEnd w:id="91"/>
          </w:p>
          <w:p>
            <w:pPr>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对学校现有数据交换工具的接口进行梳理，确认数据接口或API服务迁移范围，制定《新老平台迁移方案》。明确需要支撑的业务清单及涉及接口；明确迁移的时间安排；明确老平台退出策略。</w:t>
            </w:r>
          </w:p>
          <w:p>
            <w:pPr>
              <w:pStyle w:val="4"/>
              <w:tabs>
                <w:tab w:val="left" w:pos="432"/>
              </w:tabs>
              <w:spacing w:before="163" w:after="163"/>
              <w:rPr>
                <w:rFonts w:hint="eastAsia" w:ascii="宋体" w:hAnsi="宋体" w:eastAsia="宋体" w:cs="宋体"/>
                <w:bCs w:val="0"/>
                <w:color w:val="000000" w:themeColor="text1"/>
                <w:kern w:val="0"/>
                <w:sz w:val="21"/>
                <w:szCs w:val="21"/>
                <w:highlight w:val="none"/>
                <w14:textFill>
                  <w14:solidFill>
                    <w14:schemeClr w14:val="tx1"/>
                  </w14:solidFill>
                </w14:textFill>
              </w:rPr>
            </w:pPr>
            <w:bookmarkStart w:id="92" w:name="_Toc159428324"/>
            <w:r>
              <w:rPr>
                <w:rFonts w:hint="eastAsia" w:ascii="宋体" w:hAnsi="宋体" w:eastAsia="宋体" w:cs="宋体"/>
                <w:bCs w:val="0"/>
                <w:color w:val="000000" w:themeColor="text1"/>
                <w:kern w:val="0"/>
                <w:sz w:val="21"/>
                <w:szCs w:val="21"/>
                <w:highlight w:val="none"/>
                <w14:textFill>
                  <w14:solidFill>
                    <w14:schemeClr w14:val="tx1"/>
                  </w14:solidFill>
                </w14:textFill>
              </w:rPr>
              <w:t>数据标准制定工作</w:t>
            </w:r>
            <w:bookmarkEnd w:id="92"/>
          </w:p>
          <w:p>
            <w:pPr>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（1）核心校标制定</w:t>
            </w:r>
          </w:p>
          <w:p>
            <w:pPr>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对影响全局、制定难度较大、执行推广难的标准，以下称为核心校标，优先完成制定，包含校区代码、组织机构分类与代码、人员分类与编码规则。同时明确核心公共标准的管理、维护等职责及业务流程。输出并发布《核心校标及编码规范》</w:t>
            </w:r>
          </w:p>
          <w:p>
            <w:pPr>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（2）标准数据集建设</w:t>
            </w:r>
          </w:p>
          <w:p>
            <w:pPr>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根据国家、教育部数据标准，结合学校实际情况对数据子集、代码集制定的相关原则，完成数据模型标准规范的编制，输出《学校数据模型标准规范》、《部门数据治理责任清单》。</w:t>
            </w:r>
          </w:p>
          <w:p>
            <w:pPr>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（3）数据标准初始化服务</w:t>
            </w:r>
          </w:p>
          <w:p>
            <w:pPr>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将代码标准、数据元素及标准数据模型导入数据基座完成初始化。</w:t>
            </w:r>
          </w:p>
          <w:p>
            <w:pPr>
              <w:pStyle w:val="4"/>
              <w:tabs>
                <w:tab w:val="left" w:pos="432"/>
              </w:tabs>
              <w:spacing w:before="163" w:after="163"/>
              <w:rPr>
                <w:rFonts w:hint="eastAsia" w:ascii="宋体" w:hAnsi="宋体" w:eastAsia="宋体" w:cs="宋体"/>
                <w:bCs w:val="0"/>
                <w:color w:val="000000" w:themeColor="text1"/>
                <w:kern w:val="0"/>
                <w:sz w:val="21"/>
                <w:szCs w:val="21"/>
                <w:highlight w:val="none"/>
                <w14:textFill>
                  <w14:solidFill>
                    <w14:schemeClr w14:val="tx1"/>
                  </w14:solidFill>
                </w14:textFill>
              </w:rPr>
            </w:pPr>
            <w:bookmarkStart w:id="93" w:name="_Toc159428325"/>
            <w:r>
              <w:rPr>
                <w:rFonts w:hint="eastAsia" w:ascii="宋体" w:hAnsi="宋体" w:eastAsia="宋体" w:cs="宋体"/>
                <w:bCs w:val="0"/>
                <w:color w:val="000000" w:themeColor="text1"/>
                <w:kern w:val="0"/>
                <w:sz w:val="21"/>
                <w:szCs w:val="21"/>
                <w:highlight w:val="none"/>
                <w14:textFill>
                  <w14:solidFill>
                    <w14:schemeClr w14:val="tx1"/>
                  </w14:solidFill>
                </w14:textFill>
              </w:rPr>
              <w:t>数据采集工作</w:t>
            </w:r>
            <w:bookmarkEnd w:id="93"/>
          </w:p>
          <w:p>
            <w:pPr>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根据前期调研盘点和情况，对学校业务系统数据进行采集，将其纳入贴源层，并将后续工作中需要清洗转换的数据进行数据识别、标注和脏数据过滤。对各业务部门提供的线下Excel电子表格数据进行采集。</w:t>
            </w:r>
          </w:p>
          <w:p>
            <w:pPr>
              <w:pStyle w:val="4"/>
              <w:tabs>
                <w:tab w:val="left" w:pos="432"/>
              </w:tabs>
              <w:spacing w:before="163" w:after="163"/>
              <w:rPr>
                <w:rFonts w:hint="eastAsia" w:ascii="宋体" w:hAnsi="宋体" w:eastAsia="宋体" w:cs="宋体"/>
                <w:bCs w:val="0"/>
                <w:color w:val="000000" w:themeColor="text1"/>
                <w:kern w:val="0"/>
                <w:sz w:val="21"/>
                <w:szCs w:val="21"/>
                <w:highlight w:val="none"/>
                <w14:textFill>
                  <w14:solidFill>
                    <w14:schemeClr w14:val="tx1"/>
                  </w14:solidFill>
                </w14:textFill>
              </w:rPr>
            </w:pPr>
            <w:bookmarkStart w:id="94" w:name="_Toc159428326"/>
            <w:r>
              <w:rPr>
                <w:rFonts w:hint="eastAsia" w:ascii="宋体" w:hAnsi="宋体" w:eastAsia="宋体" w:cs="宋体"/>
                <w:bCs w:val="0"/>
                <w:color w:val="000000" w:themeColor="text1"/>
                <w:kern w:val="0"/>
                <w:sz w:val="21"/>
                <w:szCs w:val="21"/>
                <w:highlight w:val="none"/>
                <w14:textFill>
                  <w14:solidFill>
                    <w14:schemeClr w14:val="tx1"/>
                  </w14:solidFill>
                </w14:textFill>
              </w:rPr>
              <w:t>数据清洗与标准化工作</w:t>
            </w:r>
            <w:bookmarkEnd w:id="94"/>
          </w:p>
          <w:p>
            <w:pPr>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将贴源层中的数据依据最新的数据标准进行数据清洗和标准化后纳入标准层各业务域下进行分类存储。包括财务域、教务域、学工域、人事域。</w:t>
            </w:r>
          </w:p>
          <w:p>
            <w:pPr>
              <w:pStyle w:val="4"/>
              <w:tabs>
                <w:tab w:val="left" w:pos="432"/>
              </w:tabs>
              <w:spacing w:before="163" w:after="163"/>
              <w:rPr>
                <w:rFonts w:hint="eastAsia" w:ascii="宋体" w:hAnsi="宋体" w:eastAsia="宋体" w:cs="宋体"/>
                <w:bCs w:val="0"/>
                <w:color w:val="000000" w:themeColor="text1"/>
                <w:kern w:val="0"/>
                <w:sz w:val="21"/>
                <w:szCs w:val="21"/>
                <w:highlight w:val="none"/>
                <w14:textFill>
                  <w14:solidFill>
                    <w14:schemeClr w14:val="tx1"/>
                  </w14:solidFill>
                </w14:textFill>
              </w:rPr>
            </w:pPr>
            <w:bookmarkStart w:id="95" w:name="_Toc159428327"/>
            <w:r>
              <w:rPr>
                <w:rFonts w:hint="eastAsia" w:ascii="宋体" w:hAnsi="宋体" w:eastAsia="宋体" w:cs="宋体"/>
                <w:bCs w:val="0"/>
                <w:color w:val="000000" w:themeColor="text1"/>
                <w:kern w:val="0"/>
                <w:sz w:val="21"/>
                <w:szCs w:val="21"/>
                <w:highlight w:val="none"/>
                <w14:textFill>
                  <w14:solidFill>
                    <w14:schemeClr w14:val="tx1"/>
                  </w14:solidFill>
                </w14:textFill>
              </w:rPr>
              <w:t>数据共享交换工作</w:t>
            </w:r>
            <w:bookmarkEnd w:id="95"/>
          </w:p>
          <w:p>
            <w:pPr>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制定《数据需求申请审核规范》，明确学校数据需求申请流程。</w:t>
            </w:r>
          </w:p>
          <w:p>
            <w:pPr>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集中受理数据需求后，定期完成共享交换接口开发工作。</w:t>
            </w:r>
          </w:p>
          <w:p>
            <w:pPr>
              <w:pStyle w:val="4"/>
              <w:tabs>
                <w:tab w:val="left" w:pos="432"/>
              </w:tabs>
              <w:spacing w:before="163" w:after="163"/>
              <w:rPr>
                <w:rFonts w:hint="eastAsia" w:ascii="宋体" w:hAnsi="宋体" w:eastAsia="宋体" w:cs="宋体"/>
                <w:bCs w:val="0"/>
                <w:color w:val="000000" w:themeColor="text1"/>
                <w:kern w:val="0"/>
                <w:sz w:val="21"/>
                <w:szCs w:val="21"/>
                <w:highlight w:val="none"/>
                <w14:textFill>
                  <w14:solidFill>
                    <w14:schemeClr w14:val="tx1"/>
                  </w14:solidFill>
                </w14:textFill>
              </w:rPr>
            </w:pPr>
            <w:bookmarkStart w:id="96" w:name="_Toc159428328"/>
            <w:r>
              <w:rPr>
                <w:rFonts w:hint="eastAsia" w:ascii="宋体" w:hAnsi="宋体" w:eastAsia="宋体" w:cs="宋体"/>
                <w:bCs w:val="0"/>
                <w:color w:val="000000" w:themeColor="text1"/>
                <w:kern w:val="0"/>
                <w:sz w:val="21"/>
                <w:szCs w:val="21"/>
                <w:highlight w:val="none"/>
                <w14:textFill>
                  <w14:solidFill>
                    <w14:schemeClr w14:val="tx1"/>
                  </w14:solidFill>
                </w14:textFill>
              </w:rPr>
              <w:t>数据质量检测工作</w:t>
            </w:r>
            <w:bookmarkEnd w:id="96"/>
          </w:p>
          <w:p>
            <w:pPr>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对学校标准层内教务域的数据进行数据质量检查，设计和配置质量检测规则，质量检测方案，输出《学校教务域数据质检报告》；</w:t>
            </w:r>
          </w:p>
          <w:p>
            <w:pPr>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对学校标准层内学工域的数据进行数据质量检查，设计和配置质量检测规则，质量检测方案，输出《学校学工域数据质检报告》；</w:t>
            </w:r>
          </w:p>
          <w:p>
            <w:pPr>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对学校标准层内财务域的数据进行数据质量检查，设计和配置质量检测规则，质量检测方案，输出《学校财务域数据质检报告》；</w:t>
            </w:r>
          </w:p>
          <w:p>
            <w:pPr>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对学校标准层内人事域的数据进行数据质量检查，设计和配置质量检测规则，质量检测方案，输出《学校人事域数据质检报告》。</w:t>
            </w:r>
          </w:p>
          <w:p>
            <w:pPr>
              <w:pStyle w:val="4"/>
              <w:tabs>
                <w:tab w:val="left" w:pos="432"/>
              </w:tabs>
              <w:spacing w:before="163" w:after="163"/>
              <w:rPr>
                <w:rFonts w:hint="eastAsia" w:ascii="宋体" w:hAnsi="宋体" w:eastAsia="宋体" w:cs="宋体"/>
                <w:bCs w:val="0"/>
                <w:color w:val="000000" w:themeColor="text1"/>
                <w:kern w:val="0"/>
                <w:sz w:val="21"/>
                <w:szCs w:val="21"/>
                <w:highlight w:val="none"/>
                <w14:textFill>
                  <w14:solidFill>
                    <w14:schemeClr w14:val="tx1"/>
                  </w14:solidFill>
                </w14:textFill>
              </w:rPr>
            </w:pPr>
            <w:bookmarkStart w:id="97" w:name="_Toc159428329"/>
            <w:r>
              <w:rPr>
                <w:rFonts w:hint="eastAsia" w:ascii="宋体" w:hAnsi="宋体" w:eastAsia="宋体" w:cs="宋体"/>
                <w:bCs w:val="0"/>
                <w:color w:val="000000" w:themeColor="text1"/>
                <w:kern w:val="0"/>
                <w:sz w:val="21"/>
                <w:szCs w:val="21"/>
                <w:highlight w:val="none"/>
                <w14:textFill>
                  <w14:solidFill>
                    <w14:schemeClr w14:val="tx1"/>
                  </w14:solidFill>
                </w14:textFill>
              </w:rPr>
              <w:t>数据安全管理工作</w:t>
            </w:r>
            <w:bookmarkEnd w:id="97"/>
          </w:p>
          <w:p>
            <w:pPr>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对标准层中各业务域的数据进行分级分类，制定《学校数据资源分类分级规范》。</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对标准层各业务域中安全等级在3级及以上的字段进行加密脱敏规则设置，制定《学校敏感字段安全设置规范》。</w:t>
            </w:r>
          </w:p>
          <w:bookmarkEnd w:id="87"/>
          <w:p>
            <w:pPr>
              <w:pStyle w:val="3"/>
              <w:tabs>
                <w:tab w:val="left" w:pos="432"/>
              </w:tabs>
              <w:spacing w:before="120" w:after="120"/>
              <w:rPr>
                <w:rFonts w:hint="eastAsia" w:ascii="宋体" w:hAnsi="宋体" w:eastAsia="宋体" w:cs="宋体"/>
                <w:bCs w:val="0"/>
                <w:color w:val="000000" w:themeColor="text1"/>
                <w:kern w:val="0"/>
                <w:sz w:val="21"/>
                <w:szCs w:val="21"/>
                <w:highlight w:val="none"/>
                <w14:textFill>
                  <w14:solidFill>
                    <w14:schemeClr w14:val="tx1"/>
                  </w14:solidFill>
                </w14:textFill>
              </w:rPr>
            </w:pPr>
            <w:bookmarkStart w:id="98" w:name="_Toc166341747"/>
            <w:bookmarkStart w:id="99" w:name="_Toc17848"/>
            <w:r>
              <w:rPr>
                <w:rFonts w:hint="eastAsia" w:ascii="宋体" w:hAnsi="宋体" w:eastAsia="宋体" w:cs="宋体"/>
                <w:bCs w:val="0"/>
                <w:color w:val="000000" w:themeColor="text1"/>
                <w:kern w:val="0"/>
                <w:sz w:val="21"/>
                <w:szCs w:val="21"/>
                <w:highlight w:val="none"/>
                <w14:textFill>
                  <w14:solidFill>
                    <w14:schemeClr w14:val="tx1"/>
                  </w14:solidFill>
                </w14:textFill>
              </w:rPr>
              <w:t>系统配置</w:t>
            </w:r>
            <w:bookmarkEnd w:id="88"/>
            <w:bookmarkEnd w:id="98"/>
            <w:bookmarkEnd w:id="99"/>
          </w:p>
          <w:p>
            <w:pPr>
              <w:pStyle w:val="15"/>
              <w:spacing w:line="240" w:lineRule="auto"/>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系统配置管理需包括用户授权管理、组织机构管理、操作日志管理功能。</w:t>
            </w:r>
          </w:p>
          <w:p>
            <w:pPr>
              <w:pStyle w:val="15"/>
              <w:spacing w:line="240" w:lineRule="auto"/>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具体要求如下：</w:t>
            </w:r>
          </w:p>
          <w:p>
            <w:pPr>
              <w:pStyle w:val="15"/>
              <w:numPr>
                <w:ilvl w:val="0"/>
                <w:numId w:val="30"/>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需提供符合学校业务要求的统一用户管理功能，需包括用户新增、账号类型设置、用户类型设置、权限设置、角色设置；</w:t>
            </w:r>
            <w:r>
              <w:rPr>
                <w:rFonts w:hint="eastAsia" w:ascii="宋体" w:hAnsi="宋体" w:eastAsia="宋体" w:cs="宋体"/>
                <w:color w:val="000000" w:themeColor="text1"/>
                <w:sz w:val="21"/>
                <w:szCs w:val="21"/>
                <w:highlight w:val="none"/>
                <w:lang w:eastAsia="zh-Hans"/>
                <w14:textFill>
                  <w14:solidFill>
                    <w14:schemeClr w14:val="tx1"/>
                  </w14:solidFill>
                </w14:textFill>
              </w:rPr>
              <w:t>需</w:t>
            </w:r>
            <w:r>
              <w:rPr>
                <w:rFonts w:hint="eastAsia" w:ascii="宋体" w:hAnsi="宋体" w:eastAsia="宋体" w:cs="宋体"/>
                <w:color w:val="000000" w:themeColor="text1"/>
                <w:sz w:val="21"/>
                <w:szCs w:val="21"/>
                <w:highlight w:val="none"/>
                <w14:textFill>
                  <w14:solidFill>
                    <w14:schemeClr w14:val="tx1"/>
                  </w14:solidFill>
                </w14:textFill>
              </w:rPr>
              <w:t>支持根据学校的组织机构现状进行管理与维护，需支持多级组织机构管理。</w:t>
            </w:r>
          </w:p>
          <w:p>
            <w:pPr>
              <w:pStyle w:val="15"/>
              <w:numPr>
                <w:ilvl w:val="0"/>
                <w:numId w:val="30"/>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需支持查看系统操作日志，以便进行回溯。需支持查看每次操作的系统模块、操作类型、操作员、调用地址、登录ip、调用时长、操作状态、操作时间等信息。</w:t>
            </w:r>
          </w:p>
          <w:p>
            <w:pPr>
              <w:pStyle w:val="15"/>
              <w:numPr>
                <w:ilvl w:val="0"/>
                <w:numId w:val="30"/>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w:t>
            </w:r>
            <w:bookmarkStart w:id="100" w:name="_Hlk159427540"/>
            <w:r>
              <w:rPr>
                <w:rFonts w:hint="eastAsia" w:ascii="宋体" w:hAnsi="宋体" w:eastAsia="宋体" w:cs="宋体"/>
                <w:color w:val="000000" w:themeColor="text1"/>
                <w:sz w:val="21"/>
                <w:szCs w:val="21"/>
                <w:highlight w:val="none"/>
                <w14:textFill>
                  <w14:solidFill>
                    <w14:schemeClr w14:val="tx1"/>
                  </w14:solidFill>
                </w14:textFill>
              </w:rPr>
              <w:t>支持可视化流程设计，支持在Web页面采用拖拽方式设计流程，支持按照BPMN流对象与类型进行设置</w:t>
            </w:r>
            <w:bookmarkEnd w:id="100"/>
            <w:r>
              <w:rPr>
                <w:rFonts w:hint="eastAsia" w:ascii="宋体" w:hAnsi="宋体" w:eastAsia="宋体" w:cs="宋体"/>
                <w:color w:val="000000" w:themeColor="text1"/>
                <w:sz w:val="21"/>
                <w:szCs w:val="21"/>
                <w:highlight w:val="none"/>
                <w14:textFill>
                  <w14:solidFill>
                    <w14:schemeClr w14:val="tx1"/>
                  </w14:solidFill>
                </w14:textFill>
              </w:rPr>
              <w:t>；需支持多种流程模式，至少包括顺序、分支、并发、子流程、条件路由、并行会签、串行会签等流程需支持多种流程操作权限设置，至少包括提交、退回、追回、转办、终止、催办、加签、跳转、挂起。</w:t>
            </w:r>
          </w:p>
          <w:p>
            <w:pPr>
              <w:pStyle w:val="15"/>
              <w:numPr>
                <w:ilvl w:val="0"/>
                <w:numId w:val="30"/>
              </w:numPr>
              <w:spacing w:line="240" w:lineRule="auto"/>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平台需支持安全访问控制，通过对IP地址进行限制访问，只接受特定IP地址的请求，从而增强安全性。支持配置单个IP地址或者整个IP地址段的访问控制。</w:t>
            </w:r>
            <w:bookmarkEnd w:id="72"/>
          </w:p>
        </w:tc>
        <w:tc>
          <w:tcPr>
            <w:tcW w:w="670"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1.</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5</w:t>
            </w:r>
            <w:r>
              <w:rPr>
                <w:rFonts w:hint="eastAsia" w:ascii="宋体" w:hAnsi="宋体" w:eastAsia="宋体" w:cs="宋体"/>
                <w:b/>
                <w:bCs/>
                <w:color w:val="000000" w:themeColor="text1"/>
                <w:sz w:val="21"/>
                <w:szCs w:val="21"/>
                <w:highlight w:val="none"/>
                <w14:textFill>
                  <w14:solidFill>
                    <w14:schemeClr w14:val="tx1"/>
                  </w14:solidFill>
                </w14:textFill>
              </w:rPr>
              <w:t>辅导员协作平台</w:t>
            </w:r>
          </w:p>
        </w:tc>
        <w:tc>
          <w:tcPr>
            <w:tcW w:w="8168" w:type="dxa"/>
            <w:vAlign w:val="center"/>
          </w:tcPr>
          <w:p>
            <w:pPr>
              <w:pStyle w:val="2"/>
              <w:tabs>
                <w:tab w:val="left" w:pos="432"/>
              </w:tabs>
              <w:spacing w:before="120" w:after="120"/>
              <w:ind w:left="0" w:leftChars="0" w:firstLine="0" w:firstLineChars="0"/>
              <w:jc w:val="both"/>
              <w:rPr>
                <w:rFonts w:hint="eastAsia" w:ascii="宋体" w:hAnsi="宋体" w:eastAsia="宋体" w:cs="宋体"/>
                <w:color w:val="000000" w:themeColor="text1"/>
                <w:sz w:val="21"/>
                <w:szCs w:val="21"/>
                <w:highlight w:val="none"/>
                <w14:textFill>
                  <w14:solidFill>
                    <w14:schemeClr w14:val="tx1"/>
                  </w14:solidFill>
                </w14:textFill>
              </w:rPr>
            </w:pPr>
            <w:bookmarkStart w:id="101" w:name="_Toc166341751"/>
            <w:bookmarkStart w:id="102" w:name="_Toc22296"/>
            <w:r>
              <w:rPr>
                <w:rFonts w:hint="eastAsia" w:ascii="宋体" w:hAnsi="宋体" w:eastAsia="宋体" w:cs="宋体"/>
                <w:color w:val="000000" w:themeColor="text1"/>
                <w:sz w:val="21"/>
                <w:szCs w:val="21"/>
                <w:highlight w:val="none"/>
                <w14:textFill>
                  <w14:solidFill>
                    <w14:schemeClr w14:val="tx1"/>
                  </w14:solidFill>
                </w14:textFill>
              </w:rPr>
              <w:t>辅导员协作平台</w:t>
            </w:r>
            <w:bookmarkEnd w:id="101"/>
            <w:bookmarkEnd w:id="102"/>
          </w:p>
          <w:p>
            <w:pPr>
              <w:ind w:firstLine="48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服务期：合同生效之日起5年</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投标人需基于辅导员办公协作服务移动端提供技术服务，服务内容及功能具体要求如下：</w:t>
            </w:r>
          </w:p>
          <w:p>
            <w:pPr>
              <w:ind w:firstLine="482"/>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统一身份认证：</w:t>
            </w:r>
            <w:r>
              <w:rPr>
                <w:rFonts w:hint="eastAsia" w:ascii="宋体" w:hAnsi="宋体" w:eastAsia="宋体" w:cs="宋体"/>
                <w:color w:val="000000" w:themeColor="text1"/>
                <w:sz w:val="21"/>
                <w:szCs w:val="21"/>
                <w:highlight w:val="none"/>
                <w14:textFill>
                  <w14:solidFill>
                    <w14:schemeClr w14:val="tx1"/>
                  </w14:solidFill>
                </w14:textFill>
              </w:rPr>
              <w:t>支持统一的移动认证接口，可以对接学校的身份认证系统。</w:t>
            </w:r>
          </w:p>
          <w:p>
            <w:pPr>
              <w:ind w:firstLine="482"/>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通讯录：</w:t>
            </w:r>
            <w:r>
              <w:rPr>
                <w:rFonts w:hint="eastAsia" w:ascii="宋体" w:hAnsi="宋体" w:eastAsia="宋体" w:cs="宋体"/>
                <w:color w:val="000000" w:themeColor="text1"/>
                <w:sz w:val="21"/>
                <w:szCs w:val="21"/>
                <w:highlight w:val="none"/>
                <w14:textFill>
                  <w14:solidFill>
                    <w14:schemeClr w14:val="tx1"/>
                  </w14:solidFill>
                </w14:textFill>
              </w:rPr>
              <w:t>可根据学校的组织架构提供通讯录功能，并支持姓名或者电话号码模糊查询。找同学、找老师、找业务部门，并可以关注和沟通。</w:t>
            </w:r>
          </w:p>
          <w:p>
            <w:pPr>
              <w:ind w:firstLine="482"/>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即时通讯：</w:t>
            </w:r>
            <w:r>
              <w:rPr>
                <w:rFonts w:hint="eastAsia" w:ascii="宋体" w:hAnsi="宋体" w:eastAsia="宋体" w:cs="宋体"/>
                <w:color w:val="000000" w:themeColor="text1"/>
                <w:sz w:val="21"/>
                <w:szCs w:val="21"/>
                <w:highlight w:val="none"/>
                <w14:textFill>
                  <w14:solidFill>
                    <w14:schemeClr w14:val="tx1"/>
                  </w14:solidFill>
                </w14:textFill>
              </w:rPr>
              <w:t>需提供即时通讯功能支持学生间、学生与辅导员间的私聊沟通，即时聊天可发布图片、音频、文字、表情等。</w:t>
            </w:r>
          </w:p>
          <w:p>
            <w:pPr>
              <w:pStyle w:val="3"/>
              <w:tabs>
                <w:tab w:val="left" w:pos="432"/>
              </w:tabs>
              <w:spacing w:before="120" w:after="120"/>
              <w:rPr>
                <w:rFonts w:hint="eastAsia" w:ascii="宋体" w:hAnsi="宋体" w:eastAsia="宋体" w:cs="宋体"/>
                <w:color w:val="000000" w:themeColor="text1"/>
                <w:sz w:val="21"/>
                <w:szCs w:val="21"/>
                <w:highlight w:val="none"/>
                <w14:textFill>
                  <w14:solidFill>
                    <w14:schemeClr w14:val="tx1"/>
                  </w14:solidFill>
                </w14:textFill>
              </w:rPr>
            </w:pPr>
            <w:bookmarkStart w:id="103" w:name="_Toc16312"/>
            <w:bookmarkStart w:id="104" w:name="_Toc166341752"/>
            <w:r>
              <w:rPr>
                <w:rFonts w:hint="eastAsia" w:ascii="宋体" w:hAnsi="宋体" w:eastAsia="宋体" w:cs="宋体"/>
                <w:color w:val="000000" w:themeColor="text1"/>
                <w:sz w:val="21"/>
                <w:szCs w:val="21"/>
                <w:highlight w:val="none"/>
                <w14:textFill>
                  <w14:solidFill>
                    <w14:schemeClr w14:val="tx1"/>
                  </w14:solidFill>
                </w14:textFill>
              </w:rPr>
              <w:t>移动端整体要求</w:t>
            </w:r>
            <w:bookmarkEnd w:id="103"/>
            <w:bookmarkEnd w:id="104"/>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投标人需基于辅导员办公协作服务移动端提供技术服务，服务内容及功能具体要求如下：</w:t>
            </w:r>
          </w:p>
          <w:p>
            <w:pPr>
              <w:ind w:firstLine="482"/>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统一身份认证：</w:t>
            </w:r>
            <w:r>
              <w:rPr>
                <w:rFonts w:hint="eastAsia" w:ascii="宋体" w:hAnsi="宋体" w:eastAsia="宋体" w:cs="宋体"/>
                <w:color w:val="000000" w:themeColor="text1"/>
                <w:sz w:val="21"/>
                <w:szCs w:val="21"/>
                <w:highlight w:val="none"/>
                <w14:textFill>
                  <w14:solidFill>
                    <w14:schemeClr w14:val="tx1"/>
                  </w14:solidFill>
                </w14:textFill>
              </w:rPr>
              <w:t>支持统一的移动认证接口，可以对接学校的身份认证系统。</w:t>
            </w:r>
          </w:p>
          <w:p>
            <w:pPr>
              <w:ind w:firstLine="482"/>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通讯录：</w:t>
            </w:r>
            <w:r>
              <w:rPr>
                <w:rFonts w:hint="eastAsia" w:ascii="宋体" w:hAnsi="宋体" w:eastAsia="宋体" w:cs="宋体"/>
                <w:color w:val="000000" w:themeColor="text1"/>
                <w:sz w:val="21"/>
                <w:szCs w:val="21"/>
                <w:highlight w:val="none"/>
                <w14:textFill>
                  <w14:solidFill>
                    <w14:schemeClr w14:val="tx1"/>
                  </w14:solidFill>
                </w14:textFill>
              </w:rPr>
              <w:t>可根据学校的组织架构提供通讯录功能，并支持姓名或者电话号码模糊查询。找同学、找老师、找业务部门，并可以关注和沟通。</w:t>
            </w:r>
          </w:p>
          <w:p>
            <w:pPr>
              <w:ind w:firstLine="482"/>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即时通讯：</w:t>
            </w:r>
            <w:r>
              <w:rPr>
                <w:rFonts w:hint="eastAsia" w:ascii="宋体" w:hAnsi="宋体" w:eastAsia="宋体" w:cs="宋体"/>
                <w:color w:val="000000" w:themeColor="text1"/>
                <w:sz w:val="21"/>
                <w:szCs w:val="21"/>
                <w:highlight w:val="none"/>
                <w14:textFill>
                  <w14:solidFill>
                    <w14:schemeClr w14:val="tx1"/>
                  </w14:solidFill>
                </w14:textFill>
              </w:rPr>
              <w:t>需提供即时通讯功能支持学生间、学生与辅导员间的私聊沟通，即时聊天可发布图片、音频、文字、表情等。</w:t>
            </w:r>
          </w:p>
          <w:p>
            <w:pPr>
              <w:pStyle w:val="3"/>
              <w:tabs>
                <w:tab w:val="left" w:pos="432"/>
              </w:tabs>
              <w:spacing w:before="120" w:after="120"/>
              <w:rPr>
                <w:rFonts w:hint="eastAsia" w:ascii="宋体" w:hAnsi="宋体" w:eastAsia="宋体" w:cs="宋体"/>
                <w:color w:val="000000" w:themeColor="text1"/>
                <w:sz w:val="21"/>
                <w:szCs w:val="21"/>
                <w:highlight w:val="none"/>
                <w14:textFill>
                  <w14:solidFill>
                    <w14:schemeClr w14:val="tx1"/>
                  </w14:solidFill>
                </w14:textFill>
              </w:rPr>
            </w:pPr>
            <w:bookmarkStart w:id="105" w:name="_Toc4868"/>
            <w:bookmarkStart w:id="106" w:name="_Toc166341753"/>
            <w:r>
              <w:rPr>
                <w:rFonts w:hint="eastAsia" w:ascii="宋体" w:hAnsi="宋体" w:eastAsia="宋体" w:cs="宋体"/>
                <w:color w:val="000000" w:themeColor="text1"/>
                <w:sz w:val="21"/>
                <w:szCs w:val="21"/>
                <w:highlight w:val="none"/>
                <w14:textFill>
                  <w14:solidFill>
                    <w14:schemeClr w14:val="tx1"/>
                  </w14:solidFill>
                </w14:textFill>
              </w:rPr>
              <w:t>PC端整体要求</w:t>
            </w:r>
            <w:bookmarkEnd w:id="105"/>
            <w:bookmarkEnd w:id="106"/>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基于辅导员办公协作服务PC端提供技术服务，用来进行通知发布、信息收集发布、活动报名信息发布、以及相关的信息管理工作等服务需求，具体服务内容与功能要求如下。</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要求在PC端，通知、活动报名、信息采集、定点签到、查寝等功能的内容编辑区域，支持展示从word、网页中直接复制的文字，并保留其格式与样式，支持展示从网页中复制的图片。</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在PC端除通过浏览器使用系统以外，系统提供独立的桌面客户端程序，用来进行通知发布、信息收集、活动报名发布等相关任务操作。可常驻于系统任务栏，并可随时唤起打开使用，支持在一段时间内无需重复登录。桌面客户端支持Windows7与Mac OS10.0以上版本的操作系统。</w:t>
            </w:r>
          </w:p>
          <w:p>
            <w:pPr>
              <w:pStyle w:val="3"/>
              <w:tabs>
                <w:tab w:val="left" w:pos="432"/>
              </w:tabs>
              <w:spacing w:before="120" w:after="120"/>
              <w:rPr>
                <w:rFonts w:hint="eastAsia" w:ascii="宋体" w:hAnsi="宋体" w:eastAsia="宋体" w:cs="宋体"/>
                <w:color w:val="000000" w:themeColor="text1"/>
                <w:sz w:val="21"/>
                <w:szCs w:val="21"/>
                <w:highlight w:val="none"/>
                <w14:textFill>
                  <w14:solidFill>
                    <w14:schemeClr w14:val="tx1"/>
                  </w14:solidFill>
                </w14:textFill>
              </w:rPr>
            </w:pPr>
            <w:bookmarkStart w:id="107" w:name="_Toc21321"/>
            <w:bookmarkStart w:id="108" w:name="_Toc166341754"/>
            <w:bookmarkStart w:id="109" w:name="_Toc445713259"/>
            <w:r>
              <w:rPr>
                <w:rFonts w:hint="eastAsia" w:ascii="宋体" w:hAnsi="宋体" w:eastAsia="宋体" w:cs="宋体"/>
                <w:color w:val="000000" w:themeColor="text1"/>
                <w:sz w:val="21"/>
                <w:szCs w:val="21"/>
                <w:highlight w:val="none"/>
                <w14:textFill>
                  <w14:solidFill>
                    <w14:schemeClr w14:val="tx1"/>
                  </w14:solidFill>
                </w14:textFill>
              </w:rPr>
              <w:t>业务应用</w:t>
            </w:r>
            <w:bookmarkEnd w:id="107"/>
            <w:bookmarkEnd w:id="108"/>
          </w:p>
          <w:p>
            <w:pPr>
              <w:pStyle w:val="4"/>
              <w:tabs>
                <w:tab w:val="left" w:pos="432"/>
              </w:tabs>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辅导员办公工作台</w:t>
            </w:r>
            <w:r>
              <w:rPr>
                <w:rFonts w:hint="eastAsia" w:ascii="宋体" w:hAnsi="宋体" w:eastAsia="宋体" w:cs="宋体"/>
                <w:color w:val="000000" w:themeColor="text1"/>
                <w:sz w:val="21"/>
                <w:szCs w:val="21"/>
                <w:highlight w:val="none"/>
                <w14:textFill>
                  <w14:solidFill>
                    <w14:schemeClr w14:val="tx1"/>
                  </w14:solidFill>
                </w14:textFill>
              </w:rPr>
              <w:t>服务</w:t>
            </w:r>
          </w:p>
          <w:p>
            <w:pPr>
              <w:ind w:firstLine="48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w:t>
            </w:r>
            <w:r>
              <w:rPr>
                <w:rFonts w:hint="eastAsia" w:ascii="宋体" w:hAnsi="宋体" w:eastAsia="宋体" w:cs="宋体"/>
                <w:color w:val="000000" w:themeColor="text1"/>
                <w:sz w:val="21"/>
                <w:szCs w:val="21"/>
                <w:highlight w:val="none"/>
                <w:lang w:eastAsia="zh-Hans"/>
                <w14:textFill>
                  <w14:solidFill>
                    <w14:schemeClr w14:val="tx1"/>
                  </w14:solidFill>
                </w14:textFill>
              </w:rPr>
              <w:t>系统为用户提供办公工作台，工作台中应能承载学校采购的所有服务，并支持搜索、常用应用展示等便捷操作。</w:t>
            </w:r>
          </w:p>
          <w:p>
            <w:pPr>
              <w:ind w:firstLine="48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要求工作台具备基础数据分析的能力，至少能在工作台中展示以下数据看板：辅导员任务看板（该账号自己发布的任务、该账号职级范围内管理的学生收到的任务、该账号关注的用户发布的任务）、高校最佳行业实践案例库、基于学生定位的未知迁徙轨迹图、学生实时休假/离校情况、当日学生日常管理任务完成情况、学生销假情况统计，各看板应支持点击跳转数据详情界面。</w:t>
            </w:r>
          </w:p>
          <w:p>
            <w:pPr>
              <w:ind w:firstLine="480"/>
              <w:rPr>
                <w:rFonts w:hint="eastAsia" w:ascii="宋体" w:hAnsi="宋体" w:eastAsia="宋体" w:cs="宋体"/>
                <w:color w:val="000000" w:themeColor="text1"/>
                <w:sz w:val="21"/>
                <w:szCs w:val="21"/>
                <w:highlight w:val="none"/>
                <w:lang w:eastAsia="zh-Hans"/>
                <w14:textFill>
                  <w14:solidFill>
                    <w14:schemeClr w14:val="tx1"/>
                  </w14:solidFill>
                </w14:textFill>
              </w:rPr>
            </w:pPr>
          </w:p>
          <w:p>
            <w:pPr>
              <w:pStyle w:val="4"/>
              <w:tabs>
                <w:tab w:val="left" w:pos="432"/>
              </w:tabs>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通知服务</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要求辅导员可以编辑通知并发送给学生，通知内容包括通知标题、通知正文、附件上传，通知可以设固定的时间进行定时发送，学生可以在手机端看到通知内容，并手动确认是否已经阅读过通知；</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通知需支持通过APP推送、可设APP推送的时间。对于重要的通知，还需具备短信提醒、电话智能语言提醒方式。发送通知前可在本地试听智能电话语音。</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要求通知下面设学生提问区，学生可以就该通知向辅导员提问。辅导员可以在PC端、移动端回答学生的问题，同时辅导员可根据实际情况，选择将该问题的答案仅供提问者查看，或者供全体接受该通知的学生查看；   </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对于重要性比较高的通知，辅导员发出通知后，学生长时间未阅读，系统需主动通知学生，可根据任务配置自动进行短信与电话智能语音提醒；同时辅导员可对未读学生手动进行提醒，可通过APP推送、短信或电话智能语音方式提醒；</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学工处可以设置全校级的通知任务，分配给各个学院辅导员或其他管理角色用户执行通知任务，并发送给其所管理的学生查看/确认；学工处可以看到所有管理角色用户的任务执行进度，以及全量学生的通知的查看/确认进度。</w:t>
            </w:r>
          </w:p>
          <w:p>
            <w:pPr>
              <w:pStyle w:val="4"/>
              <w:tabs>
                <w:tab w:val="left" w:pos="432"/>
              </w:tabs>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活动报名服务</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辅导员可通过服务发布活动信息，活动信息至少包括活动名称、活动地点、开始结束时间、报名截止时间、活动内容说明、活动举办方、活动海报图片上传。其中活动名称、活动地点、开始结束时间、报名截止时间、活动内容说明为必填项；</w:t>
            </w:r>
          </w:p>
          <w:p>
            <w:pPr>
              <w:ind w:firstLine="48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要求自动支持自定义活动类型，类型创建后用户在发布新的活动报名任务是可选择类型，并在汇总统计页面自动归类展示同类活动。</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学生可在移动端完成活动报名，报名结束后，辅导员可在PC端导出excel格式的报名学生名单。报名名单中至少包括学号、姓名、性别、手机号、年级、班级、专业、政治面貌、民族与学生的报名时间，辅导员可根据报名时间进行排序查看。</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要求辅导员可通过服务对活动报名信息未读的学生进行消息提醒，并支持短信、虚拟语音电话等提醒方式。</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要求辅导员可对活动报名人数进行限制，当学生报名人数超出限额后，停止报名</w:t>
            </w:r>
          </w:p>
          <w:bookmarkEnd w:id="109"/>
          <w:p>
            <w:pPr>
              <w:pStyle w:val="4"/>
              <w:tabs>
                <w:tab w:val="left" w:pos="432"/>
              </w:tabs>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信息收集服务</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要求辅导员可以通过服务发布给学生填写的收集表单。收集表单内容至少包括标题、标题详情、收集项目。</w:t>
            </w:r>
            <w:r>
              <w:rPr>
                <w:rFonts w:hint="eastAsia" w:ascii="宋体" w:hAnsi="宋体" w:eastAsia="宋体" w:cs="宋体"/>
                <w:color w:val="000000" w:themeColor="text1"/>
                <w:sz w:val="21"/>
                <w:szCs w:val="21"/>
                <w:highlight w:val="none"/>
                <w:lang w:eastAsia="zh-Hans"/>
                <w14:textFill>
                  <w14:solidFill>
                    <w14:schemeClr w14:val="tx1"/>
                  </w14:solidFill>
                </w14:textFill>
              </w:rPr>
              <w:t>表单控件</w:t>
            </w:r>
            <w:r>
              <w:rPr>
                <w:rFonts w:hint="eastAsia" w:ascii="宋体" w:hAnsi="宋体" w:eastAsia="宋体" w:cs="宋体"/>
                <w:color w:val="000000" w:themeColor="text1"/>
                <w:sz w:val="21"/>
                <w:szCs w:val="21"/>
                <w:highlight w:val="none"/>
                <w14:textFill>
                  <w14:solidFill>
                    <w14:schemeClr w14:val="tx1"/>
                  </w14:solidFill>
                </w14:textFill>
              </w:rPr>
              <w:t>至少包括填写文本、单选题、多选题、上传图片、时间选择题、地址选择题等、</w:t>
            </w:r>
            <w:r>
              <w:rPr>
                <w:rFonts w:hint="eastAsia" w:ascii="宋体" w:hAnsi="宋体" w:eastAsia="宋体" w:cs="宋体"/>
                <w:color w:val="000000" w:themeColor="text1"/>
                <w:sz w:val="21"/>
                <w:szCs w:val="21"/>
                <w:highlight w:val="none"/>
                <w:lang w:eastAsia="zh-Hans"/>
                <w14:textFill>
                  <w14:solidFill>
                    <w14:schemeClr w14:val="tx1"/>
                  </w14:solidFill>
                </w14:textFill>
              </w:rPr>
              <w:t>手写签名、身份证号校验、手机号校验等</w:t>
            </w:r>
            <w:r>
              <w:rPr>
                <w:rFonts w:hint="eastAsia" w:ascii="宋体" w:hAnsi="宋体" w:eastAsia="宋体" w:cs="宋体"/>
                <w:color w:val="000000" w:themeColor="text1"/>
                <w:sz w:val="21"/>
                <w:szCs w:val="21"/>
                <w:highlight w:val="none"/>
                <w14:textFill>
                  <w14:solidFill>
                    <w14:schemeClr w14:val="tx1"/>
                  </w14:solidFill>
                </w14:textFill>
              </w:rPr>
              <w:t>；</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要求发布收集表单时可开启定位采集功能，可采集学生在填写表单时所处的地理位置信息，辅导员在查看学生填写信息时，可查看定位地址信息，并可在地图中展现具体地点；</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要求学生可在移动端完成表格填写，对于长时间没有完成填写的学生，要求系统自动通过APP推送、短信或虚拟电话等方式予以通知，同时辅导员也可通过手动方式触发提醒；</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对填写内容不符合要求的学生，辅导员可以通过打回的方式要求学生重新填写，支持对学生名单批量打回要求学生重新填写，打回后学生将收到移动端提醒并可进行再次填写提交。辅导员打回时，可以编写打回理由，并可以选择短信或电话智能语音的提醒方式。</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辅导员可在PC端与移动端帮助未填写学生进行代填，填写后留存具体填写记录，包括填写人工号、姓名与操作时间等信息；要求辅导员可在PC端与移动端修改学生已提交的填写信息，并留存具体修改记录，包括修改人工号、姓名与操作时间等信息；</w:t>
            </w:r>
          </w:p>
          <w:p>
            <w:pPr>
              <w:ind w:firstLine="48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要求创建任务的时候提供模板服务，用户可直接选用模版生成需要学生填写的表单；</w:t>
            </w:r>
          </w:p>
          <w:p>
            <w:pPr>
              <w:ind w:firstLine="48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要求信息收集中增加健康码自动识别功能，高效实现疫情管理工作。学生上传健康码之后，系统自动识别出健康吗内容并直接呈现结果。支持识别健康码颜色、核酸检测情况、疫苗接种情况、健康码截图时间，降低人工核验时间。支持自动检测上传的图片是否有异常、是否上传的是当天的健康码，并自动汇总统计健康码的上传情况。帮助老师更便捷高效的从上报结果中快速发现可能存在风险的健康码。</w:t>
            </w:r>
          </w:p>
          <w:p>
            <w:pPr>
              <w:ind w:firstLine="48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要求信息收集中具备逻辑跳转功能，根据不同的选择项可分别设置选择后某个选项后，后续的题目是否展示、隐藏</w:t>
            </w:r>
          </w:p>
          <w:p>
            <w:pPr>
              <w:ind w:firstLine="48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要求信息收集中具备评分功能，用户可对题目分别设置分数，并在提交答卷时自动计算总分。</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信息收集完成后，可将收集的数据通过excel表格的形式导出，对收集的图片，支持打包下载；</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辅导员办公服务PC端与移动端中，必须可以查看信息收集的收集进度、收集数据、统计图表；其中统计图表支持查看具体选项与填写文本的数量分布情况，点击具体选项与数量后，可查看填写该选项或文本项的学生名单，包括学生姓名、学号、手机号等基本信息，</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支持将学生名单导出为excel</w:t>
            </w:r>
            <w:r>
              <w:rPr>
                <w:rFonts w:hint="eastAsia" w:ascii="宋体" w:hAnsi="宋体" w:eastAsia="宋体" w:cs="宋体"/>
                <w:color w:val="000000" w:themeColor="text1"/>
                <w:sz w:val="21"/>
                <w:szCs w:val="21"/>
                <w:highlight w:val="none"/>
                <w:lang w:eastAsia="zh-Hans"/>
                <w14:textFill>
                  <w14:solidFill>
                    <w14:schemeClr w14:val="tx1"/>
                  </w14:solidFill>
                </w14:textFill>
              </w:rPr>
              <w:t>以及将统计图表导出为word</w:t>
            </w:r>
            <w:r>
              <w:rPr>
                <w:rFonts w:hint="eastAsia" w:ascii="宋体" w:hAnsi="宋体" w:eastAsia="宋体" w:cs="宋体"/>
                <w:color w:val="000000" w:themeColor="text1"/>
                <w:sz w:val="21"/>
                <w:szCs w:val="21"/>
                <w:highlight w:val="none"/>
                <w14:textFill>
                  <w14:solidFill>
                    <w14:schemeClr w14:val="tx1"/>
                  </w14:solidFill>
                </w14:textFill>
              </w:rPr>
              <w:t>；</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校级管理人员可创建全校级信息收集任务，设置任务填写表单与填写时间等信息，并分发要求指定辅导员或管理人员在PC端或移动端执行，发送给其管理的学生进行填写；学生在移动端填写后，分管辅导员与管理人员可查看其管理学生的填写数据，并进行打回、编辑、代填等相关操作，确认数据准确，校级管理人员可通过收集任务汇总查看全校老师任务执行情况，以及全校学生的填写具体数据以及统计分析结果；</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要求全校级信息收集任务或普通信息收集任务发送后，所有可见该任务的管理人员可对任务进行复制，复制后保留原任务的相关表单配置信息，并可进行编辑修改后发送。</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要求辅导员发布</w:t>
            </w:r>
            <w:r>
              <w:rPr>
                <w:rFonts w:hint="eastAsia" w:ascii="宋体" w:hAnsi="宋体" w:eastAsia="宋体" w:cs="宋体"/>
                <w:color w:val="000000" w:themeColor="text1"/>
                <w:sz w:val="21"/>
                <w:szCs w:val="21"/>
                <w:highlight w:val="none"/>
                <w:lang w:eastAsia="zh-Hans"/>
                <w14:textFill>
                  <w14:solidFill>
                    <w14:schemeClr w14:val="tx1"/>
                  </w14:solidFill>
                </w14:textFill>
              </w:rPr>
              <w:t>信息收集</w:t>
            </w:r>
            <w:r>
              <w:rPr>
                <w:rFonts w:hint="eastAsia" w:ascii="宋体" w:hAnsi="宋体" w:eastAsia="宋体" w:cs="宋体"/>
                <w:color w:val="000000" w:themeColor="text1"/>
                <w:sz w:val="21"/>
                <w:szCs w:val="21"/>
                <w:highlight w:val="none"/>
                <w14:textFill>
                  <w14:solidFill>
                    <w14:schemeClr w14:val="tx1"/>
                  </w14:solidFill>
                </w14:textFill>
              </w:rPr>
              <w:t>任务时，可设置异常提醒选项，即当学生选择异常选项后，可第一时间通过APP推送提醒任务发送辅导员，辅导员点击消息后，可查看学生填写详情；</w:t>
            </w:r>
          </w:p>
          <w:p>
            <w:pPr>
              <w:pStyle w:val="4"/>
              <w:tabs>
                <w:tab w:val="left" w:pos="432"/>
              </w:tabs>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学生请假服务</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学生可通过移动端向辅导员请假，请假页面必须包括请假类型、开始时间、结束时间、是否需要离校、紧急联系人联系方式、审批人、请假原因、且可在同一页面上传附件；若选择离校假，则强制填写离校目的地，包括目的地的省/市/区(县)信息以及详细地址；老师端在审批请假申请时，可查看上述所有信息；</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学生在填写请假申请时，可根据管理员后台配置采集学生请假时所在的地理位置信息，请假申请提交后，辅导员在审批时可查看学生定位地址，并可打开地图查看具体地点；</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学生在填写请假申请时，以及老师在审批时，可设置请假申请的抄送人，可选择系统内的老师或学生，至少可添加3名抄送人员，设置完成后当请假审批流程完成并全部通过后，所选的抄送人将收到提醒，并可查看该请假申请详情信息；</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辅导员可在PC端、移动端上进行审批请假申请。在审批界面具有核实电话、电话详情包括学生电话和紧急联系人电话，可点击号码直接拨号通话，对于需要离开学校的请假申请，在学生回到学校后，需在移动端上进行销假；</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在学生移动端销假页面上，需有学生手机的实时拍照上传、实时定位位置上传等功能，该页面不允许学生上传图片代替实时拍照；</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若学生无法按时销假，支持学生对原有请假单提交续假申请，在辅导员批准生效后自动延长原有请假时长，并在请假记录中可合并查看，保持请假申请与续假申请的关联性；</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必须支持学校管理人员可对请假申请进行详细配置，必须包含：学生销假时是否必须上传照片、学生提交请假/续假申请时、是否必须上传地理位置、请假最大申请时长设置、审批逾期条件设置、以及非离校请假是否必须进行销假等，便于匹配学校相关管理要求；</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必须支持学校管理人员可自定义设置请假类型，定义请假类型名称并可控制开启或关闭状态，同时针对于单个请假类型，必须支持对补请假与提前请假分别可控制是否开启，以及补请假与提前请假的时间范围设置，若设置开启后，学生提交请假申请选择对应请假类型后，系统界面中将出现相关时间要求；</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系统必须支持学校管理人员可统一设置学生的销假定位范围，支持在地图界面中通过POI兴趣点搜索查找地点并设置销假范围；</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系统必须支持学校管理人员可设置销假逾期提醒，当学生请假时间截止后未及时进行销假操作，可自动通过APP推送与短信提醒系统审批人员；</w:t>
            </w:r>
          </w:p>
          <w:p>
            <w:pPr>
              <w:ind w:firstLine="48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系统必须支持针对异常请假学生，可限制请假，设置请假黑名单服务。</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系统必须支持学校管理人员可设置开启/关闭请假免责申明，当开启后学生提交请假申请时必须勾选免责申明才可提交请假；系统必须支持免责申明自定义编辑，且审批人员可在审批界面中查看免责申明内容；</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必须支持学校管理人员可对全校或分学院设置请假审批流程，并可控制学院请假流程配置是否启用；审批流程设置时，支持按照请假类型、请假时长等条件，执行不同的请假审批流程，在审批节点上，允许按系统角色与自定义分组进行审批人员配置，并可以设置请假审批流程执行的优先级与审批人去重；</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必须支持学生端展示请假单时，除请假基础提交与审批信息以外，需以明显颜色展示学生当前请假状态，同时提供动态防伪条或核验二维码，用于管理老师通过视觉观察或教师端应用扫码等方式，对请假单的真伪进行核验；</w:t>
            </w:r>
            <w:r>
              <w:rPr>
                <w:rFonts w:hint="eastAsia" w:ascii="宋体" w:hAnsi="宋体" w:eastAsia="宋体" w:cs="宋体"/>
                <w:color w:val="000000" w:themeColor="text1"/>
                <w:sz w:val="21"/>
                <w:szCs w:val="21"/>
                <w:highlight w:val="none"/>
                <w:lang w:eastAsia="zh-Hans"/>
                <w14:textFill>
                  <w14:solidFill>
                    <w14:schemeClr w14:val="tx1"/>
                  </w14:solidFill>
                </w14:textFill>
              </w:rPr>
              <w:t>管理员可在后台设置请假单二维码核验次数上限。</w:t>
            </w:r>
            <w:r>
              <w:rPr>
                <w:rFonts w:hint="eastAsia" w:ascii="宋体" w:hAnsi="宋体" w:eastAsia="宋体" w:cs="宋体"/>
                <w:color w:val="000000" w:themeColor="text1"/>
                <w:sz w:val="21"/>
                <w:szCs w:val="21"/>
                <w:highlight w:val="none"/>
                <w14:textFill>
                  <w14:solidFill>
                    <w14:schemeClr w14:val="tx1"/>
                  </w14:solidFill>
                </w14:textFill>
              </w:rPr>
              <w:t>系统必须在PC端接入USB扫码枪，可通过扫码枪快速扫描学生出示的二维码进行请假单真伪核验。</w:t>
            </w:r>
          </w:p>
          <w:p>
            <w:pPr>
              <w:ind w:firstLine="48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请假单二维码界面应包含请假状态、当前时间、动态防伪轨迹图等防伪措施。</w:t>
            </w:r>
          </w:p>
          <w:p>
            <w:pPr>
              <w:ind w:firstLine="48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请假功能应具备设备锁功能，当学生更换设备登录时，无法直接查看历史请假记录，避免学生作弊情况的发生。请假设备锁仅可有该学生对应的辅导员解锁。</w:t>
            </w:r>
          </w:p>
          <w:p>
            <w:pPr>
              <w:ind w:firstLine="48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系统必须</w:t>
            </w:r>
            <w:r>
              <w:rPr>
                <w:rFonts w:hint="eastAsia" w:ascii="宋体" w:hAnsi="宋体" w:eastAsia="宋体" w:cs="宋体"/>
                <w:color w:val="000000" w:themeColor="text1"/>
                <w:sz w:val="21"/>
                <w:szCs w:val="21"/>
                <w:highlight w:val="none"/>
                <w:lang w:eastAsia="zh-Hans"/>
                <w14:textFill>
                  <w14:solidFill>
                    <w14:schemeClr w14:val="tx1"/>
                  </w14:solidFill>
                </w14:textFill>
              </w:rPr>
              <w:t>支持请假黑名单设置，被列入黑名单的学生无法发起请假。</w:t>
            </w:r>
          </w:p>
          <w:p>
            <w:pPr>
              <w:ind w:firstLine="48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系统必须</w:t>
            </w:r>
            <w:r>
              <w:rPr>
                <w:rFonts w:hint="eastAsia" w:ascii="宋体" w:hAnsi="宋体" w:eastAsia="宋体" w:cs="宋体"/>
                <w:color w:val="000000" w:themeColor="text1"/>
                <w:sz w:val="21"/>
                <w:szCs w:val="21"/>
                <w:highlight w:val="none"/>
                <w:lang w:eastAsia="zh-Hans"/>
                <w14:textFill>
                  <w14:solidFill>
                    <w14:schemeClr w14:val="tx1"/>
                  </w14:solidFill>
                </w14:textFill>
              </w:rPr>
              <w:t>支持请假时间限制，学生不可在学校设置的限制时间段内提交请假。</w:t>
            </w:r>
          </w:p>
          <w:p>
            <w:pPr>
              <w:ind w:firstLine="48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w:t>
            </w:r>
            <w:r>
              <w:rPr>
                <w:rFonts w:hint="eastAsia" w:ascii="宋体" w:hAnsi="宋体" w:eastAsia="宋体" w:cs="宋体"/>
                <w:color w:val="000000" w:themeColor="text1"/>
                <w:sz w:val="21"/>
                <w:szCs w:val="21"/>
                <w:highlight w:val="none"/>
                <w:lang w:eastAsia="zh-Hans"/>
                <w14:textFill>
                  <w14:solidFill>
                    <w14:schemeClr w14:val="tx1"/>
                  </w14:solidFill>
                </w14:textFill>
              </w:rPr>
              <w:t>系统可根据用户需求，添加自定义选项，让学生发起请假时填写，至少包含单选、文本两种题型；</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系统必须支持学校管理人员可对全校或分学院设置</w:t>
            </w:r>
            <w:r>
              <w:rPr>
                <w:rFonts w:hint="eastAsia" w:ascii="宋体" w:hAnsi="宋体" w:eastAsia="宋体" w:cs="宋体"/>
                <w:color w:val="000000" w:themeColor="text1"/>
                <w:sz w:val="21"/>
                <w:szCs w:val="21"/>
                <w:highlight w:val="none"/>
                <w:lang w:eastAsia="zh-Hans"/>
                <w14:textFill>
                  <w14:solidFill>
                    <w14:schemeClr w14:val="tx1"/>
                  </w14:solidFill>
                </w14:textFill>
              </w:rPr>
              <w:t>销假</w:t>
            </w:r>
            <w:r>
              <w:rPr>
                <w:rFonts w:hint="eastAsia" w:ascii="宋体" w:hAnsi="宋体" w:eastAsia="宋体" w:cs="宋体"/>
                <w:color w:val="000000" w:themeColor="text1"/>
                <w:sz w:val="21"/>
                <w:szCs w:val="21"/>
                <w:highlight w:val="none"/>
                <w14:textFill>
                  <w14:solidFill>
                    <w14:schemeClr w14:val="tx1"/>
                  </w14:solidFill>
                </w14:textFill>
              </w:rPr>
              <w:t>审批</w:t>
            </w:r>
            <w:r>
              <w:rPr>
                <w:rFonts w:hint="eastAsia" w:ascii="宋体" w:hAnsi="宋体" w:eastAsia="宋体" w:cs="宋体"/>
                <w:color w:val="000000" w:themeColor="text1"/>
                <w:sz w:val="21"/>
                <w:szCs w:val="21"/>
                <w:highlight w:val="none"/>
                <w:lang w:eastAsia="zh-Hans"/>
                <w14:textFill>
                  <w14:solidFill>
                    <w14:schemeClr w14:val="tx1"/>
                  </w14:solidFill>
                </w14:textFill>
              </w:rPr>
              <w:t>流程，流程可与该请假类型的请假审批流程一致，或要求仅第一级审批人审批。</w:t>
            </w:r>
          </w:p>
          <w:p>
            <w:pPr>
              <w:pStyle w:val="4"/>
              <w:tabs>
                <w:tab w:val="left" w:pos="432"/>
              </w:tabs>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签到服务</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要求辅导员可以通知学生，在指定时间、地点通过移动端APP进行打卡签到，辅导员可以在移动端、PC端查看到签到的实时进度情况；</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在创建签到任务时，服务可以根据场景对签到任务进行分类，如会议、自习、返校签到、活动、实习等，根据不同的类型自动推荐签到方式与签到时间，方便辅导员创建签到任务。</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辅导员发布的签到任务可通过学生扫描二维码进行签到，辅导员在发布签到任务时，可以指派学生或设置自己为二维码负责人，二维码负责人会在任务开始前收到短信提醒，签到开始后，二维码负责人可以通过移动端/网页端展示签到二维码，收到签到任务的学生可以通过扫描二维码进行签到；二维码负责人可以对改签到的结果进行手动修改；动态二维码可应对需要防止作弊的场景，二维码每15秒刷新一次，防止截屏转发完成签到；</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辅导员发布签到任务时，可设置学生在签到时除进行定位或二维码扫描后，必须填写附加题；至少可设置3道选择题，并可设置异常提醒选项，即当学生选择异常选项后，可第一时间通过APP推送提醒任务发送辅导员，辅导员点击消息后，可查看学生填写详情；</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辅导员可创建自由签到任务，可设置不同签到地点对应不同的签到静态二维码，学生可通过APP端扫码完成签到；系统内可查看学生签到记录，以及所对应的二维码信息与定位地址信息，可支持学校用于校内学生流动登记等业务场景。</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要求辅导员可以要求学生在签到的同时进行拍照，并且辅导员可以自行编辑拍照要求；</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学工处可以设置全校级的签到任务，分配给指定的辅导员或管理人员执行签到任务，并安排其分管学生进行签到；学生签到后，学工处可以看到全校辅导员或管理人员的任务执行进度，以及所有分管学生的签到实时情况；并可以以辅导员维度查看任务详细情况；</w:t>
            </w:r>
          </w:p>
          <w:p>
            <w:pPr>
              <w:ind w:firstLine="48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w:t>
            </w:r>
            <w:r>
              <w:rPr>
                <w:rFonts w:hint="eastAsia" w:ascii="宋体" w:hAnsi="宋体" w:eastAsia="宋体" w:cs="宋体"/>
                <w:color w:val="000000" w:themeColor="text1"/>
                <w:sz w:val="21"/>
                <w:szCs w:val="21"/>
                <w:highlight w:val="none"/>
                <w:lang w:eastAsia="zh-Hans"/>
                <w14:textFill>
                  <w14:solidFill>
                    <w14:schemeClr w14:val="tx1"/>
                  </w14:solidFill>
                </w14:textFill>
              </w:rPr>
              <w:t>全校级的签到任务至少可支持四级任务架构，即管理人员将任务发送至院系老师，再由院系老师转发至班级老师，最终由班级老师转发至学生。</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要求对学生的签到状态，辅导员可以手动更改，并可以添加修改备注；</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学生签到后界面中可弹出学生信息详情页，方便签到管理人员进行现场查验；个人信息详情页需带有基础的防伪措施，用于区分截图保存界面；详情页至少包含学生姓名、学号、性别、年级、学院、专业、班级、年级、宿舍信息等基础信息；当签到任务设置了附加信息与异常值时，学生若填写异常选项，可通过信息页直观查看异常状态。</w:t>
            </w:r>
          </w:p>
          <w:p>
            <w:pPr>
              <w:pStyle w:val="4"/>
              <w:tabs>
                <w:tab w:val="left" w:pos="432"/>
              </w:tabs>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查寝服务</w:t>
            </w:r>
          </w:p>
          <w:p>
            <w:pPr>
              <w:ind w:firstLine="48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要求学生可通过拍照和定位的方式进行查寝签到。</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要求服务可创建查寝组，查寝组可设置查寝名称、查寝日、签到时间段、查寝频率、拍照要求、签到范围、查寝对象。</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对查寝日的设置，支持在日历上勾选特定多个日期，发起签到任务。或设置一定时间范围内自动循环发起查寝任务。（如3月10日至5月1日期间，每周一、三、五、日自动发起查寝任务）</w:t>
            </w:r>
          </w:p>
          <w:p>
            <w:pPr>
              <w:ind w:firstLine="48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要求查寝数据能够和请假数据对接，当学生在查寝时间段处于请假状态，系统自动给予特殊的标记，并能从标记位置一键跳转学生该时间段内的请假单界面。</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要求可对创建的查寝组进行开始、暂停、设置与归档操作，并且可将一段时间的查寝记录通过excel表格的形式导出。</w:t>
            </w:r>
          </w:p>
          <w:p>
            <w:pPr>
              <w:ind w:firstLine="48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要求系统提供学生补签功能，管理员可设置是否开启，开启后学生可在查寝时间结束后申请补签。</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要求在查寝功能中，可以通过导入、在线编辑的方式，维护全校的宿舍与学生对应关系等信息，并在查寝任务详情中作为参考信息展现。</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学工处可以设置全校级的查寝任务，分配给指定的辅导员或管理人员执行查寝任务，并安排其分管学生进行查寝签到；学生完成查寝签到后，学工处可以看到全校辅导员或管理人员的任务执行进度，以及所有分管学生的查寝到寝/请假实时情况；并可以以辅导员维度查看任务详细情况；</w:t>
            </w:r>
          </w:p>
          <w:p>
            <w:pPr>
              <w:pStyle w:val="4"/>
              <w:tabs>
                <w:tab w:val="left" w:pos="432"/>
              </w:tabs>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学生信息库服务</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要求支持汇总辅导员协同办公服务内产生的学生数据，以及校内学工、教务系统中的学生基本信息、家庭联系方式、宿舍信息与学生成绩信息；</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系统根据辅导员所管理的学生数据权限范围，支持搜索单个学生查看信息，可调取查看服务产生的数据汇总记录，包括通知、活动报名、信息收集、签到、查寝、请假等业务功能所产生数据，点击具体数据记录可调取查看任务详情；同时要求单独呈现信息收集任务的全量结果数据并可在界面中直接查看所填写的内容；</w:t>
            </w:r>
          </w:p>
          <w:p>
            <w:pPr>
              <w:ind w:firstLine="48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要求系统</w:t>
            </w:r>
            <w:r>
              <w:rPr>
                <w:rFonts w:hint="eastAsia" w:ascii="宋体" w:hAnsi="宋体" w:eastAsia="宋体" w:cs="宋体"/>
                <w:color w:val="000000" w:themeColor="text1"/>
                <w:sz w:val="21"/>
                <w:szCs w:val="21"/>
                <w:highlight w:val="none"/>
                <w:lang w:eastAsia="zh-Hans"/>
                <w14:textFill>
                  <w14:solidFill>
                    <w14:schemeClr w14:val="tx1"/>
                  </w14:solidFill>
                </w14:textFill>
              </w:rPr>
              <w:t>提供学生自行修改信息库中个人相关信息的功能，并且要求可以对每一个字段单独设置权限，权限应至少包含：隐藏、审批后可更改、可随意更改、不可更改等不同维度。</w:t>
            </w:r>
          </w:p>
          <w:p>
            <w:pPr>
              <w:ind w:firstLine="48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要求系统</w:t>
            </w:r>
            <w:r>
              <w:rPr>
                <w:rFonts w:hint="eastAsia" w:ascii="宋体" w:hAnsi="宋体" w:eastAsia="宋体" w:cs="宋体"/>
                <w:color w:val="000000" w:themeColor="text1"/>
                <w:sz w:val="21"/>
                <w:szCs w:val="21"/>
                <w:highlight w:val="none"/>
                <w:lang w:eastAsia="zh-Hans"/>
                <w14:textFill>
                  <w14:solidFill>
                    <w14:schemeClr w14:val="tx1"/>
                  </w14:solidFill>
                </w14:textFill>
              </w:rPr>
              <w:t>具备操作日志功能，能够记录操作人姓名、工号、操作时间、操作详情等，便于问题的追根溯源。</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支持人工excel导入与系统API对接的方式同步学生信息库中的数据，与校内系统保持一致。</w:t>
            </w:r>
          </w:p>
          <w:p>
            <w:pPr>
              <w:pStyle w:val="4"/>
              <w:tabs>
                <w:tab w:val="left" w:pos="432"/>
              </w:tabs>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工作日志服务</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系统内置“查听课记录”、“谈心谈话记录”、“宿舍走访记录”三类日志类型，并可由学校管理人员自定义创建工作日志模板表单，日志模板库支持字段类型包括：短文本、长文本、填写数字、单选、多选、时间选择、人员/组织选择、上传附件、定位签到等，日志模板创建完成后，可发布给老师查看进行填写与提交；</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要求辅导员可在服务的PC端与移动端填写工作日志，实时保存填写内容，同时移动端填写支持语音转文字功能，辅导员填写时对手机说出内容，可自动转换为日志内容；</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学校管理人员可发布工作日志填写任务，针对于指定的日志模板要求在指定时间段内提交相应数量的工作日志，并可设置在辅导员未按期提交指定数量的日志时，即时提醒辅导员填写并提交工作日志；支持查看任务发布后的辅导员日志提交进度并可导出excel。</w:t>
            </w:r>
          </w:p>
          <w:p>
            <w:pPr>
              <w:pStyle w:val="4"/>
              <w:tabs>
                <w:tab w:val="left" w:pos="432"/>
              </w:tabs>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返校申请</w:t>
            </w:r>
            <w:r>
              <w:rPr>
                <w:rFonts w:hint="eastAsia" w:ascii="宋体" w:hAnsi="宋体" w:eastAsia="宋体" w:cs="宋体"/>
                <w:color w:val="000000" w:themeColor="text1"/>
                <w:sz w:val="21"/>
                <w:szCs w:val="21"/>
                <w:highlight w:val="none"/>
                <w14:textFill>
                  <w14:solidFill>
                    <w14:schemeClr w14:val="tx1"/>
                  </w14:solidFill>
                </w14:textFill>
              </w:rPr>
              <w:t>服务</w:t>
            </w:r>
          </w:p>
          <w:p>
            <w:pPr>
              <w:ind w:firstLine="48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要求学生可在线提交返校申请，在老师审核通过后方可进行返校。</w:t>
            </w:r>
          </w:p>
          <w:p>
            <w:pPr>
              <w:ind w:firstLine="48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w:t>
            </w:r>
            <w:r>
              <w:rPr>
                <w:rFonts w:hint="eastAsia" w:ascii="宋体" w:hAnsi="宋体" w:eastAsia="宋体" w:cs="宋体"/>
                <w:color w:val="000000" w:themeColor="text1"/>
                <w:sz w:val="21"/>
                <w:szCs w:val="21"/>
                <w:highlight w:val="none"/>
                <w:lang w:eastAsia="zh-Hans"/>
                <w14:textFill>
                  <w14:solidFill>
                    <w14:schemeClr w14:val="tx1"/>
                  </w14:solidFill>
                </w14:textFill>
              </w:rPr>
              <w:t>系统内置返校申请模板，应至少包含申请发起时间、是否返校、预计出发时间、预计到达时间、出发地、乘坐交通工具等必填选项，并可至少上传10张图片；</w:t>
            </w:r>
          </w:p>
          <w:p>
            <w:pPr>
              <w:ind w:firstLine="48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w:t>
            </w:r>
            <w:r>
              <w:rPr>
                <w:rFonts w:hint="eastAsia" w:ascii="宋体" w:hAnsi="宋体" w:eastAsia="宋体" w:cs="宋体"/>
                <w:color w:val="000000" w:themeColor="text1"/>
                <w:sz w:val="21"/>
                <w:szCs w:val="21"/>
                <w:highlight w:val="none"/>
                <w:lang w:eastAsia="zh-Hans"/>
                <w14:textFill>
                  <w14:solidFill>
                    <w14:schemeClr w14:val="tx1"/>
                  </w14:solidFill>
                </w14:textFill>
              </w:rPr>
              <w:t>系统可根据用户需求，添加自定义题目，至少包含单选、文本两种题型；</w:t>
            </w:r>
          </w:p>
          <w:p>
            <w:pPr>
              <w:ind w:firstLine="48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w:t>
            </w:r>
            <w:r>
              <w:rPr>
                <w:rFonts w:hint="eastAsia" w:ascii="宋体" w:hAnsi="宋体" w:eastAsia="宋体" w:cs="宋体"/>
                <w:color w:val="000000" w:themeColor="text1"/>
                <w:sz w:val="21"/>
                <w:szCs w:val="21"/>
                <w:highlight w:val="none"/>
                <w:lang w:eastAsia="zh-Hans"/>
                <w14:textFill>
                  <w14:solidFill>
                    <w14:schemeClr w14:val="tx1"/>
                  </w14:solidFill>
                </w14:textFill>
              </w:rPr>
              <w:t>系统可根据用户需求，自定义返校申请审批流程；</w:t>
            </w:r>
          </w:p>
          <w:p>
            <w:pPr>
              <w:ind w:firstLine="48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w:t>
            </w:r>
            <w:r>
              <w:rPr>
                <w:rFonts w:hint="eastAsia" w:ascii="宋体" w:hAnsi="宋体" w:eastAsia="宋体" w:cs="宋体"/>
                <w:color w:val="000000" w:themeColor="text1"/>
                <w:sz w:val="21"/>
                <w:szCs w:val="21"/>
                <w:highlight w:val="none"/>
                <w:lang w:eastAsia="zh-Hans"/>
                <w14:textFill>
                  <w14:solidFill>
                    <w14:schemeClr w14:val="tx1"/>
                  </w14:solidFill>
                </w14:textFill>
              </w:rPr>
              <w:t>系统支持学生到校后进行确认到达操作。学生确认到达时必须基于手机GPS，进入学校提前设置的范围后，方可进行操作；</w:t>
            </w:r>
          </w:p>
          <w:p>
            <w:pPr>
              <w:ind w:firstLine="48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w:t>
            </w:r>
            <w:r>
              <w:rPr>
                <w:rFonts w:hint="eastAsia" w:ascii="宋体" w:hAnsi="宋体" w:eastAsia="宋体" w:cs="宋体"/>
                <w:color w:val="000000" w:themeColor="text1"/>
                <w:sz w:val="21"/>
                <w:szCs w:val="21"/>
                <w:highlight w:val="none"/>
                <w:lang w:eastAsia="zh-Hans"/>
                <w14:textFill>
                  <w14:solidFill>
                    <w14:schemeClr w14:val="tx1"/>
                  </w14:solidFill>
                </w14:textFill>
              </w:rPr>
              <w:t>系统支持审批人代学生处理确认到达的功能，并填写代处理确认到达的理由，并上传图片附件。</w:t>
            </w:r>
          </w:p>
          <w:p>
            <w:pPr>
              <w:ind w:firstLine="48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要求系统支持返校批次的设置，并可选择涉及该批次的学生，未处于该批次的学生不可提交返校申请。每个返校批次均可单独设置返校时间，提交申请的学生仅能在该时间段内返校。</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系统必须支持学生端展示</w:t>
            </w:r>
            <w:r>
              <w:rPr>
                <w:rFonts w:hint="eastAsia" w:ascii="宋体" w:hAnsi="宋体" w:eastAsia="宋体" w:cs="宋体"/>
                <w:color w:val="000000" w:themeColor="text1"/>
                <w:sz w:val="21"/>
                <w:szCs w:val="21"/>
                <w:highlight w:val="none"/>
                <w:lang w:eastAsia="zh-Hans"/>
                <w14:textFill>
                  <w14:solidFill>
                    <w14:schemeClr w14:val="tx1"/>
                  </w14:solidFill>
                </w14:textFill>
              </w:rPr>
              <w:t>返校申请</w:t>
            </w:r>
            <w:r>
              <w:rPr>
                <w:rFonts w:hint="eastAsia" w:ascii="宋体" w:hAnsi="宋体" w:eastAsia="宋体" w:cs="宋体"/>
                <w:color w:val="000000" w:themeColor="text1"/>
                <w:sz w:val="21"/>
                <w:szCs w:val="21"/>
                <w:highlight w:val="none"/>
                <w14:textFill>
                  <w14:solidFill>
                    <w14:schemeClr w14:val="tx1"/>
                  </w14:solidFill>
                </w14:textFill>
              </w:rPr>
              <w:t>单时，需以明显颜色展示学生当前</w:t>
            </w:r>
            <w:r>
              <w:rPr>
                <w:rFonts w:hint="eastAsia" w:ascii="宋体" w:hAnsi="宋体" w:eastAsia="宋体" w:cs="宋体"/>
                <w:color w:val="000000" w:themeColor="text1"/>
                <w:sz w:val="21"/>
                <w:szCs w:val="21"/>
                <w:highlight w:val="none"/>
                <w:lang w:eastAsia="zh-Hans"/>
                <w14:textFill>
                  <w14:solidFill>
                    <w14:schemeClr w14:val="tx1"/>
                  </w14:solidFill>
                </w14:textFill>
              </w:rPr>
              <w:t>返校申请</w:t>
            </w:r>
            <w:r>
              <w:rPr>
                <w:rFonts w:hint="eastAsia" w:ascii="宋体" w:hAnsi="宋体" w:eastAsia="宋体" w:cs="宋体"/>
                <w:color w:val="000000" w:themeColor="text1"/>
                <w:sz w:val="21"/>
                <w:szCs w:val="21"/>
                <w:highlight w:val="none"/>
                <w14:textFill>
                  <w14:solidFill>
                    <w14:schemeClr w14:val="tx1"/>
                  </w14:solidFill>
                </w14:textFill>
              </w:rPr>
              <w:t>状态，同时提供动态核验二维码，用于管理老师通过视觉观察或教师端应用扫码等方式，对</w:t>
            </w:r>
            <w:r>
              <w:rPr>
                <w:rFonts w:hint="eastAsia" w:ascii="宋体" w:hAnsi="宋体" w:eastAsia="宋体" w:cs="宋体"/>
                <w:color w:val="000000" w:themeColor="text1"/>
                <w:sz w:val="21"/>
                <w:szCs w:val="21"/>
                <w:highlight w:val="none"/>
                <w:lang w:eastAsia="zh-Hans"/>
                <w14:textFill>
                  <w14:solidFill>
                    <w14:schemeClr w14:val="tx1"/>
                  </w14:solidFill>
                </w14:textFill>
              </w:rPr>
              <w:t>返校申请</w:t>
            </w:r>
            <w:r>
              <w:rPr>
                <w:rFonts w:hint="eastAsia" w:ascii="宋体" w:hAnsi="宋体" w:eastAsia="宋体" w:cs="宋体"/>
                <w:color w:val="000000" w:themeColor="text1"/>
                <w:sz w:val="21"/>
                <w:szCs w:val="21"/>
                <w:highlight w:val="none"/>
                <w14:textFill>
                  <w14:solidFill>
                    <w14:schemeClr w14:val="tx1"/>
                  </w14:solidFill>
                </w14:textFill>
              </w:rPr>
              <w:t>单的真伪进行核验；系统必须在PC端接入USB扫码枪，可通过扫码枪快速扫描学生出示的二维码进行</w:t>
            </w:r>
            <w:r>
              <w:rPr>
                <w:rFonts w:hint="eastAsia" w:ascii="宋体" w:hAnsi="宋体" w:eastAsia="宋体" w:cs="宋体"/>
                <w:color w:val="000000" w:themeColor="text1"/>
                <w:sz w:val="21"/>
                <w:szCs w:val="21"/>
                <w:highlight w:val="none"/>
                <w:lang w:eastAsia="zh-Hans"/>
                <w14:textFill>
                  <w14:solidFill>
                    <w14:schemeClr w14:val="tx1"/>
                  </w14:solidFill>
                </w14:textFill>
              </w:rPr>
              <w:t>返校申请</w:t>
            </w:r>
            <w:r>
              <w:rPr>
                <w:rFonts w:hint="eastAsia" w:ascii="宋体" w:hAnsi="宋体" w:eastAsia="宋体" w:cs="宋体"/>
                <w:color w:val="000000" w:themeColor="text1"/>
                <w:sz w:val="21"/>
                <w:szCs w:val="21"/>
                <w:highlight w:val="none"/>
                <w14:textFill>
                  <w14:solidFill>
                    <w14:schemeClr w14:val="tx1"/>
                  </w14:solidFill>
                </w14:textFill>
              </w:rPr>
              <w:t>单真伪核验。</w:t>
            </w:r>
          </w:p>
          <w:p>
            <w:pPr>
              <w:pStyle w:val="4"/>
              <w:tabs>
                <w:tab w:val="left" w:pos="432"/>
              </w:tabs>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政工签到服务</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w:t>
            </w:r>
            <w:r>
              <w:rPr>
                <w:rFonts w:hint="eastAsia" w:ascii="宋体" w:hAnsi="宋体" w:eastAsia="宋体" w:cs="宋体"/>
                <w:color w:val="000000" w:themeColor="text1"/>
                <w:sz w:val="21"/>
                <w:szCs w:val="21"/>
                <w:highlight w:val="none"/>
                <w:lang w:eastAsia="zh-Hans"/>
                <w14:textFill>
                  <w14:solidFill>
                    <w14:schemeClr w14:val="tx1"/>
                  </w14:solidFill>
                </w14:textFill>
              </w:rPr>
              <w:t>管理员</w:t>
            </w:r>
            <w:r>
              <w:rPr>
                <w:rFonts w:hint="eastAsia" w:ascii="宋体" w:hAnsi="宋体" w:eastAsia="宋体" w:cs="宋体"/>
                <w:color w:val="000000" w:themeColor="text1"/>
                <w:sz w:val="21"/>
                <w:szCs w:val="21"/>
                <w:highlight w:val="none"/>
                <w14:textFill>
                  <w14:solidFill>
                    <w14:schemeClr w14:val="tx1"/>
                  </w14:solidFill>
                </w14:textFill>
              </w:rPr>
              <w:t>可以</w:t>
            </w:r>
            <w:r>
              <w:rPr>
                <w:rFonts w:hint="eastAsia" w:ascii="宋体" w:hAnsi="宋体" w:eastAsia="宋体" w:cs="宋体"/>
                <w:color w:val="000000" w:themeColor="text1"/>
                <w:sz w:val="21"/>
                <w:szCs w:val="21"/>
                <w:highlight w:val="none"/>
                <w:lang w:eastAsia="zh-Hans"/>
                <w14:textFill>
                  <w14:solidFill>
                    <w14:schemeClr w14:val="tx1"/>
                  </w14:solidFill>
                </w14:textFill>
              </w:rPr>
              <w:t>对辅导员发布签到任务，辅导员</w:t>
            </w:r>
            <w:r>
              <w:rPr>
                <w:rFonts w:hint="eastAsia" w:ascii="宋体" w:hAnsi="宋体" w:eastAsia="宋体" w:cs="宋体"/>
                <w:color w:val="000000" w:themeColor="text1"/>
                <w:sz w:val="21"/>
                <w:szCs w:val="21"/>
                <w:highlight w:val="none"/>
                <w14:textFill>
                  <w14:solidFill>
                    <w14:schemeClr w14:val="tx1"/>
                  </w14:solidFill>
                </w14:textFill>
              </w:rPr>
              <w:t>通过移动端APP进行打卡签到，</w:t>
            </w:r>
            <w:r>
              <w:rPr>
                <w:rFonts w:hint="eastAsia" w:ascii="宋体" w:hAnsi="宋体" w:eastAsia="宋体" w:cs="宋体"/>
                <w:color w:val="000000" w:themeColor="text1"/>
                <w:sz w:val="21"/>
                <w:szCs w:val="21"/>
                <w:highlight w:val="none"/>
                <w:lang w:eastAsia="zh-Hans"/>
                <w14:textFill>
                  <w14:solidFill>
                    <w14:schemeClr w14:val="tx1"/>
                  </w14:solidFill>
                </w14:textFill>
              </w:rPr>
              <w:t>管理员</w:t>
            </w:r>
            <w:r>
              <w:rPr>
                <w:rFonts w:hint="eastAsia" w:ascii="宋体" w:hAnsi="宋体" w:eastAsia="宋体" w:cs="宋体"/>
                <w:color w:val="000000" w:themeColor="text1"/>
                <w:sz w:val="21"/>
                <w:szCs w:val="21"/>
                <w:highlight w:val="none"/>
                <w14:textFill>
                  <w14:solidFill>
                    <w14:schemeClr w14:val="tx1"/>
                  </w14:solidFill>
                </w14:textFill>
              </w:rPr>
              <w:t>可以在移动端、PC端查看到签到的实时进度情况；</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在创建签到任务时，服务可以根据场景对签到任务进行分类，如会议、</w:t>
            </w:r>
            <w:r>
              <w:rPr>
                <w:rFonts w:hint="eastAsia" w:ascii="宋体" w:hAnsi="宋体" w:eastAsia="宋体" w:cs="宋体"/>
                <w:color w:val="000000" w:themeColor="text1"/>
                <w:sz w:val="21"/>
                <w:szCs w:val="21"/>
                <w:highlight w:val="none"/>
                <w:lang w:eastAsia="zh-Hans"/>
                <w14:textFill>
                  <w14:solidFill>
                    <w14:schemeClr w14:val="tx1"/>
                  </w14:solidFill>
                </w14:textFill>
              </w:rPr>
              <w:t>考勤签到</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eastAsia="zh-Hans"/>
                <w14:textFill>
                  <w14:solidFill>
                    <w14:schemeClr w14:val="tx1"/>
                  </w14:solidFill>
                </w14:textFill>
              </w:rPr>
              <w:t>活动</w:t>
            </w:r>
            <w:r>
              <w:rPr>
                <w:rFonts w:hint="eastAsia" w:ascii="宋体" w:hAnsi="宋体" w:eastAsia="宋体" w:cs="宋体"/>
                <w:color w:val="000000" w:themeColor="text1"/>
                <w:sz w:val="21"/>
                <w:szCs w:val="21"/>
                <w:highlight w:val="none"/>
                <w14:textFill>
                  <w14:solidFill>
                    <w14:schemeClr w14:val="tx1"/>
                  </w14:solidFill>
                </w14:textFill>
              </w:rPr>
              <w:t>签到</w:t>
            </w:r>
            <w:r>
              <w:rPr>
                <w:rFonts w:hint="eastAsia" w:ascii="宋体" w:hAnsi="宋体" w:eastAsia="宋体" w:cs="宋体"/>
                <w:color w:val="000000" w:themeColor="text1"/>
                <w:sz w:val="21"/>
                <w:szCs w:val="21"/>
                <w:highlight w:val="none"/>
                <w:lang w:eastAsia="zh-Hans"/>
                <w14:textFill>
                  <w14:solidFill>
                    <w14:schemeClr w14:val="tx1"/>
                  </w14:solidFill>
                </w14:textFill>
              </w:rPr>
              <w:t>等</w:t>
            </w:r>
            <w:r>
              <w:rPr>
                <w:rFonts w:hint="eastAsia" w:ascii="宋体" w:hAnsi="宋体" w:eastAsia="宋体" w:cs="宋体"/>
                <w:color w:val="000000" w:themeColor="text1"/>
                <w:sz w:val="21"/>
                <w:szCs w:val="21"/>
                <w:highlight w:val="none"/>
                <w14:textFill>
                  <w14:solidFill>
                    <w14:schemeClr w14:val="tx1"/>
                  </w14:solidFill>
                </w14:textFill>
              </w:rPr>
              <w:t>，根据不同的类型自动推荐签到方式与签到时间，方便</w:t>
            </w:r>
            <w:r>
              <w:rPr>
                <w:rFonts w:hint="eastAsia" w:ascii="宋体" w:hAnsi="宋体" w:eastAsia="宋体" w:cs="宋体"/>
                <w:color w:val="000000" w:themeColor="text1"/>
                <w:sz w:val="21"/>
                <w:szCs w:val="21"/>
                <w:highlight w:val="none"/>
                <w:lang w:eastAsia="zh-Hans"/>
                <w14:textFill>
                  <w14:solidFill>
                    <w14:schemeClr w14:val="tx1"/>
                  </w14:solidFill>
                </w14:textFill>
              </w:rPr>
              <w:t>管理员</w:t>
            </w:r>
            <w:r>
              <w:rPr>
                <w:rFonts w:hint="eastAsia" w:ascii="宋体" w:hAnsi="宋体" w:eastAsia="宋体" w:cs="宋体"/>
                <w:color w:val="000000" w:themeColor="text1"/>
                <w:sz w:val="21"/>
                <w:szCs w:val="21"/>
                <w:highlight w:val="none"/>
                <w14:textFill>
                  <w14:solidFill>
                    <w14:schemeClr w14:val="tx1"/>
                  </w14:solidFill>
                </w14:textFill>
              </w:rPr>
              <w:t>创建签到任务。</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w:t>
            </w:r>
            <w:r>
              <w:rPr>
                <w:rFonts w:hint="eastAsia" w:ascii="宋体" w:hAnsi="宋体" w:eastAsia="宋体" w:cs="宋体"/>
                <w:color w:val="000000" w:themeColor="text1"/>
                <w:sz w:val="21"/>
                <w:szCs w:val="21"/>
                <w:highlight w:val="none"/>
                <w:lang w:eastAsia="zh-Hans"/>
                <w14:textFill>
                  <w14:solidFill>
                    <w14:schemeClr w14:val="tx1"/>
                  </w14:solidFill>
                </w14:textFill>
              </w:rPr>
              <w:t>管理员</w:t>
            </w:r>
            <w:r>
              <w:rPr>
                <w:rFonts w:hint="eastAsia" w:ascii="宋体" w:hAnsi="宋体" w:eastAsia="宋体" w:cs="宋体"/>
                <w:color w:val="000000" w:themeColor="text1"/>
                <w:sz w:val="21"/>
                <w:szCs w:val="21"/>
                <w:highlight w:val="none"/>
                <w14:textFill>
                  <w14:solidFill>
                    <w14:schemeClr w14:val="tx1"/>
                  </w14:solidFill>
                </w14:textFill>
              </w:rPr>
              <w:t>发布的签到任务可通过</w:t>
            </w:r>
            <w:r>
              <w:rPr>
                <w:rFonts w:hint="eastAsia" w:ascii="宋体" w:hAnsi="宋体" w:eastAsia="宋体" w:cs="宋体"/>
                <w:color w:val="000000" w:themeColor="text1"/>
                <w:sz w:val="21"/>
                <w:szCs w:val="21"/>
                <w:highlight w:val="none"/>
                <w:lang w:eastAsia="zh-Hans"/>
                <w14:textFill>
                  <w14:solidFill>
                    <w14:schemeClr w14:val="tx1"/>
                  </w14:solidFill>
                </w14:textFill>
              </w:rPr>
              <w:t>辅导员</w:t>
            </w:r>
            <w:r>
              <w:rPr>
                <w:rFonts w:hint="eastAsia" w:ascii="宋体" w:hAnsi="宋体" w:eastAsia="宋体" w:cs="宋体"/>
                <w:color w:val="000000" w:themeColor="text1"/>
                <w:sz w:val="21"/>
                <w:szCs w:val="21"/>
                <w:highlight w:val="none"/>
                <w14:textFill>
                  <w14:solidFill>
                    <w14:schemeClr w14:val="tx1"/>
                  </w14:solidFill>
                </w14:textFill>
              </w:rPr>
              <w:t>扫描二维码进行签到，</w:t>
            </w:r>
            <w:r>
              <w:rPr>
                <w:rFonts w:hint="eastAsia" w:ascii="宋体" w:hAnsi="宋体" w:eastAsia="宋体" w:cs="宋体"/>
                <w:color w:val="000000" w:themeColor="text1"/>
                <w:sz w:val="21"/>
                <w:szCs w:val="21"/>
                <w:highlight w:val="none"/>
                <w:lang w:eastAsia="zh-Hans"/>
                <w14:textFill>
                  <w14:solidFill>
                    <w14:schemeClr w14:val="tx1"/>
                  </w14:solidFill>
                </w14:textFill>
              </w:rPr>
              <w:t>管理员</w:t>
            </w:r>
            <w:r>
              <w:rPr>
                <w:rFonts w:hint="eastAsia" w:ascii="宋体" w:hAnsi="宋体" w:eastAsia="宋体" w:cs="宋体"/>
                <w:color w:val="000000" w:themeColor="text1"/>
                <w:sz w:val="21"/>
                <w:szCs w:val="21"/>
                <w:highlight w:val="none"/>
                <w14:textFill>
                  <w14:solidFill>
                    <w14:schemeClr w14:val="tx1"/>
                  </w14:solidFill>
                </w14:textFill>
              </w:rPr>
              <w:t>在发布签到任务时，可以指派</w:t>
            </w:r>
            <w:r>
              <w:rPr>
                <w:rFonts w:hint="eastAsia" w:ascii="宋体" w:hAnsi="宋体" w:eastAsia="宋体" w:cs="宋体"/>
                <w:color w:val="000000" w:themeColor="text1"/>
                <w:sz w:val="21"/>
                <w:szCs w:val="21"/>
                <w:highlight w:val="none"/>
                <w:lang w:eastAsia="zh-Hans"/>
                <w14:textFill>
                  <w14:solidFill>
                    <w14:schemeClr w14:val="tx1"/>
                  </w14:solidFill>
                </w14:textFill>
              </w:rPr>
              <w:t>辅导员</w:t>
            </w:r>
            <w:r>
              <w:rPr>
                <w:rFonts w:hint="eastAsia" w:ascii="宋体" w:hAnsi="宋体" w:eastAsia="宋体" w:cs="宋体"/>
                <w:color w:val="000000" w:themeColor="text1"/>
                <w:sz w:val="21"/>
                <w:szCs w:val="21"/>
                <w:highlight w:val="none"/>
                <w14:textFill>
                  <w14:solidFill>
                    <w14:schemeClr w14:val="tx1"/>
                  </w14:solidFill>
                </w14:textFill>
              </w:rPr>
              <w:t>或设置自己为二维码负责人，二维码负责人会在任务开始前收到短信提醒，签到开始后，二维码负责人可以通过移动端/网页端展示签到二维码，收到签到任务的</w:t>
            </w:r>
            <w:r>
              <w:rPr>
                <w:rFonts w:hint="eastAsia" w:ascii="宋体" w:hAnsi="宋体" w:eastAsia="宋体" w:cs="宋体"/>
                <w:color w:val="000000" w:themeColor="text1"/>
                <w:sz w:val="21"/>
                <w:szCs w:val="21"/>
                <w:highlight w:val="none"/>
                <w:lang w:eastAsia="zh-Hans"/>
                <w14:textFill>
                  <w14:solidFill>
                    <w14:schemeClr w14:val="tx1"/>
                  </w14:solidFill>
                </w14:textFill>
              </w:rPr>
              <w:t>辅导员</w:t>
            </w:r>
            <w:r>
              <w:rPr>
                <w:rFonts w:hint="eastAsia" w:ascii="宋体" w:hAnsi="宋体" w:eastAsia="宋体" w:cs="宋体"/>
                <w:color w:val="000000" w:themeColor="text1"/>
                <w:sz w:val="21"/>
                <w:szCs w:val="21"/>
                <w:highlight w:val="none"/>
                <w14:textFill>
                  <w14:solidFill>
                    <w14:schemeClr w14:val="tx1"/>
                  </w14:solidFill>
                </w14:textFill>
              </w:rPr>
              <w:t>可以通过扫描二维码进行签到；二维码负责人可以对改签到的结果进行手动修改；动态二维码可应对需要防止作弊的场景，二维码每15秒刷新一次，防止截屏转发完成签到；</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w:t>
            </w:r>
            <w:r>
              <w:rPr>
                <w:rFonts w:hint="eastAsia" w:ascii="宋体" w:hAnsi="宋体" w:eastAsia="宋体" w:cs="宋体"/>
                <w:color w:val="000000" w:themeColor="text1"/>
                <w:sz w:val="21"/>
                <w:szCs w:val="21"/>
                <w:highlight w:val="none"/>
                <w:lang w:eastAsia="zh-Hans"/>
                <w14:textFill>
                  <w14:solidFill>
                    <w14:schemeClr w14:val="tx1"/>
                  </w14:solidFill>
                </w14:textFill>
              </w:rPr>
              <w:t>管理员</w:t>
            </w:r>
            <w:r>
              <w:rPr>
                <w:rFonts w:hint="eastAsia" w:ascii="宋体" w:hAnsi="宋体" w:eastAsia="宋体" w:cs="宋体"/>
                <w:color w:val="000000" w:themeColor="text1"/>
                <w:sz w:val="21"/>
                <w:szCs w:val="21"/>
                <w:highlight w:val="none"/>
                <w14:textFill>
                  <w14:solidFill>
                    <w14:schemeClr w14:val="tx1"/>
                  </w14:solidFill>
                </w14:textFill>
              </w:rPr>
              <w:t>发布签到任务时，可设置</w:t>
            </w:r>
            <w:r>
              <w:rPr>
                <w:rFonts w:hint="eastAsia" w:ascii="宋体" w:hAnsi="宋体" w:eastAsia="宋体" w:cs="宋体"/>
                <w:color w:val="000000" w:themeColor="text1"/>
                <w:sz w:val="21"/>
                <w:szCs w:val="21"/>
                <w:highlight w:val="none"/>
                <w:lang w:eastAsia="zh-Hans"/>
                <w14:textFill>
                  <w14:solidFill>
                    <w14:schemeClr w14:val="tx1"/>
                  </w14:solidFill>
                </w14:textFill>
              </w:rPr>
              <w:t>辅导员</w:t>
            </w:r>
            <w:r>
              <w:rPr>
                <w:rFonts w:hint="eastAsia" w:ascii="宋体" w:hAnsi="宋体" w:eastAsia="宋体" w:cs="宋体"/>
                <w:color w:val="000000" w:themeColor="text1"/>
                <w:sz w:val="21"/>
                <w:szCs w:val="21"/>
                <w:highlight w:val="none"/>
                <w14:textFill>
                  <w14:solidFill>
                    <w14:schemeClr w14:val="tx1"/>
                  </w14:solidFill>
                </w14:textFill>
              </w:rPr>
              <w:t>在签到时除进行定位或二维码扫描后，必须填写附加题；至少可设置3道选择题，并可设置异常提醒选项，即当</w:t>
            </w:r>
            <w:r>
              <w:rPr>
                <w:rFonts w:hint="eastAsia" w:ascii="宋体" w:hAnsi="宋体" w:eastAsia="宋体" w:cs="宋体"/>
                <w:color w:val="000000" w:themeColor="text1"/>
                <w:sz w:val="21"/>
                <w:szCs w:val="21"/>
                <w:highlight w:val="none"/>
                <w:lang w:eastAsia="zh-Hans"/>
                <w14:textFill>
                  <w14:solidFill>
                    <w14:schemeClr w14:val="tx1"/>
                  </w14:solidFill>
                </w14:textFill>
              </w:rPr>
              <w:t>辅导员</w:t>
            </w:r>
            <w:r>
              <w:rPr>
                <w:rFonts w:hint="eastAsia" w:ascii="宋体" w:hAnsi="宋体" w:eastAsia="宋体" w:cs="宋体"/>
                <w:color w:val="000000" w:themeColor="text1"/>
                <w:sz w:val="21"/>
                <w:szCs w:val="21"/>
                <w:highlight w:val="none"/>
                <w14:textFill>
                  <w14:solidFill>
                    <w14:schemeClr w14:val="tx1"/>
                  </w14:solidFill>
                </w14:textFill>
              </w:rPr>
              <w:t>选择异常选项后，可第一时间通过APP推送提醒任务发送</w:t>
            </w:r>
            <w:r>
              <w:rPr>
                <w:rFonts w:hint="eastAsia" w:ascii="宋体" w:hAnsi="宋体" w:eastAsia="宋体" w:cs="宋体"/>
                <w:color w:val="000000" w:themeColor="text1"/>
                <w:sz w:val="21"/>
                <w:szCs w:val="21"/>
                <w:highlight w:val="none"/>
                <w:lang w:eastAsia="zh-Hans"/>
                <w14:textFill>
                  <w14:solidFill>
                    <w14:schemeClr w14:val="tx1"/>
                  </w14:solidFill>
                </w14:textFill>
              </w:rPr>
              <w:t>管理员</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eastAsia="zh-Hans"/>
                <w14:textFill>
                  <w14:solidFill>
                    <w14:schemeClr w14:val="tx1"/>
                  </w14:solidFill>
                </w14:textFill>
              </w:rPr>
              <w:t>管理员</w:t>
            </w:r>
            <w:r>
              <w:rPr>
                <w:rFonts w:hint="eastAsia" w:ascii="宋体" w:hAnsi="宋体" w:eastAsia="宋体" w:cs="宋体"/>
                <w:color w:val="000000" w:themeColor="text1"/>
                <w:sz w:val="21"/>
                <w:szCs w:val="21"/>
                <w:highlight w:val="none"/>
                <w14:textFill>
                  <w14:solidFill>
                    <w14:schemeClr w14:val="tx1"/>
                  </w14:solidFill>
                </w14:textFill>
              </w:rPr>
              <w:t>点击消息后，可查看</w:t>
            </w:r>
            <w:r>
              <w:rPr>
                <w:rFonts w:hint="eastAsia" w:ascii="宋体" w:hAnsi="宋体" w:eastAsia="宋体" w:cs="宋体"/>
                <w:color w:val="000000" w:themeColor="text1"/>
                <w:sz w:val="21"/>
                <w:szCs w:val="21"/>
                <w:highlight w:val="none"/>
                <w:lang w:eastAsia="zh-Hans"/>
                <w14:textFill>
                  <w14:solidFill>
                    <w14:schemeClr w14:val="tx1"/>
                  </w14:solidFill>
                </w14:textFill>
              </w:rPr>
              <w:t>辅导员</w:t>
            </w:r>
            <w:r>
              <w:rPr>
                <w:rFonts w:hint="eastAsia" w:ascii="宋体" w:hAnsi="宋体" w:eastAsia="宋体" w:cs="宋体"/>
                <w:color w:val="000000" w:themeColor="text1"/>
                <w:sz w:val="21"/>
                <w:szCs w:val="21"/>
                <w:highlight w:val="none"/>
                <w14:textFill>
                  <w14:solidFill>
                    <w14:schemeClr w14:val="tx1"/>
                  </w14:solidFill>
                </w14:textFill>
              </w:rPr>
              <w:t>填写详情；</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w:t>
            </w:r>
            <w:r>
              <w:rPr>
                <w:rFonts w:hint="eastAsia" w:ascii="宋体" w:hAnsi="宋体" w:eastAsia="宋体" w:cs="宋体"/>
                <w:color w:val="000000" w:themeColor="text1"/>
                <w:sz w:val="21"/>
                <w:szCs w:val="21"/>
                <w:highlight w:val="none"/>
                <w:lang w:eastAsia="zh-Hans"/>
                <w14:textFill>
                  <w14:solidFill>
                    <w14:schemeClr w14:val="tx1"/>
                  </w14:solidFill>
                </w14:textFill>
              </w:rPr>
              <w:t>管理员</w:t>
            </w:r>
            <w:r>
              <w:rPr>
                <w:rFonts w:hint="eastAsia" w:ascii="宋体" w:hAnsi="宋体" w:eastAsia="宋体" w:cs="宋体"/>
                <w:color w:val="000000" w:themeColor="text1"/>
                <w:sz w:val="21"/>
                <w:szCs w:val="21"/>
                <w:highlight w:val="none"/>
                <w14:textFill>
                  <w14:solidFill>
                    <w14:schemeClr w14:val="tx1"/>
                  </w14:solidFill>
                </w14:textFill>
              </w:rPr>
              <w:t>可以要求</w:t>
            </w:r>
            <w:r>
              <w:rPr>
                <w:rFonts w:hint="eastAsia" w:ascii="宋体" w:hAnsi="宋体" w:eastAsia="宋体" w:cs="宋体"/>
                <w:color w:val="000000" w:themeColor="text1"/>
                <w:sz w:val="21"/>
                <w:szCs w:val="21"/>
                <w:highlight w:val="none"/>
                <w:lang w:eastAsia="zh-Hans"/>
                <w14:textFill>
                  <w14:solidFill>
                    <w14:schemeClr w14:val="tx1"/>
                  </w14:solidFill>
                </w14:textFill>
              </w:rPr>
              <w:t>辅导员</w:t>
            </w:r>
            <w:r>
              <w:rPr>
                <w:rFonts w:hint="eastAsia" w:ascii="宋体" w:hAnsi="宋体" w:eastAsia="宋体" w:cs="宋体"/>
                <w:color w:val="000000" w:themeColor="text1"/>
                <w:sz w:val="21"/>
                <w:szCs w:val="21"/>
                <w:highlight w:val="none"/>
                <w14:textFill>
                  <w14:solidFill>
                    <w14:schemeClr w14:val="tx1"/>
                  </w14:solidFill>
                </w14:textFill>
              </w:rPr>
              <w:t>在签到的同时进行拍照，并且</w:t>
            </w:r>
            <w:r>
              <w:rPr>
                <w:rFonts w:hint="eastAsia" w:ascii="宋体" w:hAnsi="宋体" w:eastAsia="宋体" w:cs="宋体"/>
                <w:color w:val="000000" w:themeColor="text1"/>
                <w:sz w:val="21"/>
                <w:szCs w:val="21"/>
                <w:highlight w:val="none"/>
                <w:lang w:eastAsia="zh-Hans"/>
                <w14:textFill>
                  <w14:solidFill>
                    <w14:schemeClr w14:val="tx1"/>
                  </w14:solidFill>
                </w14:textFill>
              </w:rPr>
              <w:t>管理员</w:t>
            </w:r>
            <w:r>
              <w:rPr>
                <w:rFonts w:hint="eastAsia" w:ascii="宋体" w:hAnsi="宋体" w:eastAsia="宋体" w:cs="宋体"/>
                <w:color w:val="000000" w:themeColor="text1"/>
                <w:sz w:val="21"/>
                <w:szCs w:val="21"/>
                <w:highlight w:val="none"/>
                <w14:textFill>
                  <w14:solidFill>
                    <w14:schemeClr w14:val="tx1"/>
                  </w14:solidFill>
                </w14:textFill>
              </w:rPr>
              <w:t>可以自行编辑拍照要求；</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要求对</w:t>
            </w:r>
            <w:r>
              <w:rPr>
                <w:rFonts w:hint="eastAsia" w:ascii="宋体" w:hAnsi="宋体" w:eastAsia="宋体" w:cs="宋体"/>
                <w:color w:val="000000" w:themeColor="text1"/>
                <w:sz w:val="21"/>
                <w:szCs w:val="21"/>
                <w:highlight w:val="none"/>
                <w:lang w:eastAsia="zh-Hans"/>
                <w14:textFill>
                  <w14:solidFill>
                    <w14:schemeClr w14:val="tx1"/>
                  </w14:solidFill>
                </w14:textFill>
              </w:rPr>
              <w:t>辅导员</w:t>
            </w:r>
            <w:r>
              <w:rPr>
                <w:rFonts w:hint="eastAsia" w:ascii="宋体" w:hAnsi="宋体" w:eastAsia="宋体" w:cs="宋体"/>
                <w:color w:val="000000" w:themeColor="text1"/>
                <w:sz w:val="21"/>
                <w:szCs w:val="21"/>
                <w:highlight w:val="none"/>
                <w14:textFill>
                  <w14:solidFill>
                    <w14:schemeClr w14:val="tx1"/>
                  </w14:solidFill>
                </w14:textFill>
              </w:rPr>
              <w:t>的签到状态，</w:t>
            </w:r>
            <w:r>
              <w:rPr>
                <w:rFonts w:hint="eastAsia" w:ascii="宋体" w:hAnsi="宋体" w:eastAsia="宋体" w:cs="宋体"/>
                <w:color w:val="000000" w:themeColor="text1"/>
                <w:sz w:val="21"/>
                <w:szCs w:val="21"/>
                <w:highlight w:val="none"/>
                <w:lang w:eastAsia="zh-Hans"/>
                <w14:textFill>
                  <w14:solidFill>
                    <w14:schemeClr w14:val="tx1"/>
                  </w14:solidFill>
                </w14:textFill>
              </w:rPr>
              <w:t>管理员</w:t>
            </w:r>
            <w:r>
              <w:rPr>
                <w:rFonts w:hint="eastAsia" w:ascii="宋体" w:hAnsi="宋体" w:eastAsia="宋体" w:cs="宋体"/>
                <w:color w:val="000000" w:themeColor="text1"/>
                <w:sz w:val="21"/>
                <w:szCs w:val="21"/>
                <w:highlight w:val="none"/>
                <w14:textFill>
                  <w14:solidFill>
                    <w14:schemeClr w14:val="tx1"/>
                  </w14:solidFill>
                </w14:textFill>
              </w:rPr>
              <w:t>可以手动更改，并可以添加修改备注；</w:t>
            </w:r>
          </w:p>
          <w:p>
            <w:pPr>
              <w:pStyle w:val="4"/>
              <w:tabs>
                <w:tab w:val="left" w:pos="432"/>
              </w:tabs>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通用审批表单</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要求业务负责老师可以给全体学生发布专属于学校的自定义应用。应用内容包括：自定义搭建的表单、自定义设置的流程，以及面向相关学生和政工的定向消息，学生可在手机端看到相关应用并提交表单，辅导员或其他老师可完成表单的审批和管理。</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2、要求支持自定义搭建的表单：包括单选、多选、文本、量表、手写签名等自定义类型的题目，同时支持设置显示条件关联题目之间的显示关系，支持任意时候编辑表单题目。</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3、要求支持自定义搭建应用流程，支持设置无需审批的自定义应用或需要审批的自定义应用，支持无审批数据时任意编辑审批流程。</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要求学生提交完信息后，可查看学生的填写内容，支持导出所有学生填写内容。导出内容包括学生的学号、姓名、性别、手机号、年级、院系、专业、班级、提交填报时填写的题目内容。指定分管老师可进行内容查看。</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5、要求老师可对学生提交内容进行退回、修改等操作，并同时将相关消息发送给学生。</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6、要求老师可为学生帮填表单内容，当学生因故不能及时填写时，相关业务老师可进行帮助。</w:t>
            </w:r>
          </w:p>
          <w:p>
            <w:pPr>
              <w:pStyle w:val="4"/>
              <w:tabs>
                <w:tab w:val="left" w:pos="432"/>
              </w:tabs>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智能客服</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提供学生和老师咨询产品使用过程中遇到的问题，例如：如何查寝、如何请假等，智能客服会根据老师或学生遇到的场景问题提供操作说明；产品会定期更新知识库内容以保证内容的及时性。</w:t>
            </w:r>
          </w:p>
          <w:p>
            <w:pPr>
              <w:pStyle w:val="3"/>
              <w:tabs>
                <w:tab w:val="left" w:pos="432"/>
              </w:tabs>
              <w:spacing w:before="120" w:after="120"/>
              <w:rPr>
                <w:rFonts w:hint="eastAsia" w:ascii="宋体" w:hAnsi="宋体" w:eastAsia="宋体" w:cs="宋体"/>
                <w:color w:val="000000" w:themeColor="text1"/>
                <w:sz w:val="21"/>
                <w:szCs w:val="21"/>
                <w:highlight w:val="none"/>
                <w14:textFill>
                  <w14:solidFill>
                    <w14:schemeClr w14:val="tx1"/>
                  </w14:solidFill>
                </w14:textFill>
              </w:rPr>
            </w:pPr>
            <w:bookmarkStart w:id="110" w:name="_Toc166341755"/>
            <w:bookmarkStart w:id="111" w:name="_Toc32491"/>
            <w:r>
              <w:rPr>
                <w:rFonts w:hint="eastAsia" w:ascii="宋体" w:hAnsi="宋体" w:eastAsia="宋体" w:cs="宋体"/>
                <w:color w:val="000000" w:themeColor="text1"/>
                <w:sz w:val="21"/>
                <w:szCs w:val="21"/>
                <w:highlight w:val="none"/>
                <w14:textFill>
                  <w14:solidFill>
                    <w14:schemeClr w14:val="tx1"/>
                  </w14:solidFill>
                </w14:textFill>
              </w:rPr>
              <w:t>统计数据分析</w:t>
            </w:r>
            <w:bookmarkEnd w:id="110"/>
            <w:bookmarkEnd w:id="111"/>
          </w:p>
          <w:p>
            <w:pPr>
              <w:pStyle w:val="4"/>
              <w:tabs>
                <w:tab w:val="left" w:pos="432"/>
              </w:tabs>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学生行为数据分析服务</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为满足学工处的学生行为数据统计分析需求，要求系统具备签到、请假、考勤、信息收集四类数据的分析报表功能。可自定义选择时间段与统计学生范围。同时所有数据支持按照校、院、年级、专业、班级、个人的方式进行逐级排名统计，支持自定义排序，支持统计图/表格切换展现形式，支持点击组织节点逐级下探查看与返回。</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为更好的开展疫情防控工作，</w:t>
            </w:r>
            <w:r>
              <w:rPr>
                <w:rFonts w:hint="eastAsia" w:ascii="宋体" w:hAnsi="宋体" w:eastAsia="宋体" w:cs="宋体"/>
                <w:color w:val="000000" w:themeColor="text1"/>
                <w:sz w:val="21"/>
                <w:szCs w:val="21"/>
                <w:highlight w:val="none"/>
                <w14:textFill>
                  <w14:solidFill>
                    <w14:schemeClr w14:val="tx1"/>
                  </w14:solidFill>
                </w14:textFill>
              </w:rPr>
              <w:t>根据师生各类协作（请销假、查寝、各类考勤、疫情上报、信息采集等）学生授权获取位置信息，形成学生</w:t>
            </w:r>
            <w:r>
              <w:rPr>
                <w:rFonts w:hint="eastAsia" w:ascii="宋体" w:hAnsi="宋体" w:eastAsia="宋体" w:cs="宋体"/>
                <w:color w:val="000000" w:themeColor="text1"/>
                <w:sz w:val="21"/>
                <w:szCs w:val="21"/>
                <w:highlight w:val="none"/>
                <w:lang w:eastAsia="zh-Hans"/>
                <w14:textFill>
                  <w14:solidFill>
                    <w14:schemeClr w14:val="tx1"/>
                  </w14:solidFill>
                </w14:textFill>
              </w:rPr>
              <w:t>最长60</w:t>
            </w:r>
            <w:r>
              <w:rPr>
                <w:rFonts w:hint="eastAsia" w:ascii="宋体" w:hAnsi="宋体" w:eastAsia="宋体" w:cs="宋体"/>
                <w:color w:val="000000" w:themeColor="text1"/>
                <w:sz w:val="21"/>
                <w:szCs w:val="21"/>
                <w:highlight w:val="none"/>
                <w14:textFill>
                  <w14:solidFill>
                    <w14:schemeClr w14:val="tx1"/>
                  </w14:solidFill>
                </w14:textFill>
              </w:rPr>
              <w:t>天</w:t>
            </w:r>
            <w:r>
              <w:rPr>
                <w:rFonts w:hint="eastAsia" w:ascii="宋体" w:hAnsi="宋体" w:eastAsia="宋体" w:cs="宋体"/>
                <w:color w:val="000000" w:themeColor="text1"/>
                <w:sz w:val="21"/>
                <w:szCs w:val="21"/>
                <w:highlight w:val="none"/>
                <w:lang w:eastAsia="zh-Hans"/>
                <w14:textFill>
                  <w14:solidFill>
                    <w14:schemeClr w14:val="tx1"/>
                  </w14:solidFill>
                </w14:textFill>
              </w:rPr>
              <w:t>的</w:t>
            </w:r>
            <w:r>
              <w:rPr>
                <w:rFonts w:hint="eastAsia" w:ascii="宋体" w:hAnsi="宋体" w:eastAsia="宋体" w:cs="宋体"/>
                <w:color w:val="000000" w:themeColor="text1"/>
                <w:sz w:val="21"/>
                <w:szCs w:val="21"/>
                <w:highlight w:val="none"/>
                <w14:textFill>
                  <w14:solidFill>
                    <w14:schemeClr w14:val="tx1"/>
                  </w14:solidFill>
                </w14:textFill>
              </w:rPr>
              <w:t>行为轨迹</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要求对请假数据进行：</w:t>
            </w:r>
          </w:p>
          <w:p>
            <w:pPr>
              <w:pStyle w:val="13"/>
              <w:widowControl w:val="0"/>
              <w:numPr>
                <w:ilvl w:val="0"/>
                <w:numId w:val="31"/>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休假情况、离校情况与销假逾期情况分析；</w:t>
            </w:r>
          </w:p>
          <w:p>
            <w:pPr>
              <w:pStyle w:val="13"/>
              <w:widowControl w:val="0"/>
              <w:numPr>
                <w:ilvl w:val="0"/>
                <w:numId w:val="31"/>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多次请假、多次离校、多次销假逾期的学生排名并给出具体学生信息；</w:t>
            </w:r>
          </w:p>
          <w:p>
            <w:pPr>
              <w:pStyle w:val="13"/>
              <w:widowControl w:val="0"/>
              <w:numPr>
                <w:ilvl w:val="0"/>
                <w:numId w:val="31"/>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全校请假申请类型、审批通过率、审批逾期率、请假时长分布、离校情况分布、销假逾期分布分析；</w:t>
            </w:r>
          </w:p>
          <w:p>
            <w:pPr>
              <w:pStyle w:val="13"/>
              <w:widowControl w:val="0"/>
              <w:numPr>
                <w:ilvl w:val="0"/>
                <w:numId w:val="31"/>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请假申请次数与请假时长趋势分析；</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要求对签到数据进行：</w:t>
            </w:r>
          </w:p>
          <w:p>
            <w:pPr>
              <w:pStyle w:val="13"/>
              <w:widowControl w:val="0"/>
              <w:numPr>
                <w:ilvl w:val="0"/>
                <w:numId w:val="32"/>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整体签到人次情况、异常签到情况、签到请假情况分析；</w:t>
            </w:r>
          </w:p>
          <w:p>
            <w:pPr>
              <w:pStyle w:val="13"/>
              <w:widowControl w:val="0"/>
              <w:numPr>
                <w:ilvl w:val="0"/>
                <w:numId w:val="32"/>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出多次未签到、多次异常签到、多次请假的学生排名与具体学生信息分析；</w:t>
            </w:r>
          </w:p>
          <w:p>
            <w:pPr>
              <w:ind w:left="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要求对查寝数据进行：</w:t>
            </w:r>
          </w:p>
          <w:p>
            <w:pPr>
              <w:pStyle w:val="13"/>
              <w:widowControl w:val="0"/>
              <w:numPr>
                <w:ilvl w:val="0"/>
                <w:numId w:val="33"/>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查寝签到人次情况、异常签到情况、查寝请假情况、晚归情况、补签情况分析；</w:t>
            </w:r>
          </w:p>
          <w:p>
            <w:pPr>
              <w:pStyle w:val="13"/>
              <w:widowControl w:val="0"/>
              <w:numPr>
                <w:ilvl w:val="0"/>
                <w:numId w:val="33"/>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多次未签到、多次异常签到、多次请假、多次晚归与多次补签的学生排名与具体学生信息分析；</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要求对信息收集数据进行：</w:t>
            </w:r>
          </w:p>
          <w:p>
            <w:pPr>
              <w:pStyle w:val="13"/>
              <w:widowControl w:val="0"/>
              <w:numPr>
                <w:ilvl w:val="0"/>
                <w:numId w:val="34"/>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信息收集填写率与覆盖率分析</w:t>
            </w:r>
          </w:p>
          <w:p>
            <w:pPr>
              <w:pStyle w:val="13"/>
              <w:widowControl w:val="0"/>
              <w:numPr>
                <w:ilvl w:val="0"/>
                <w:numId w:val="34"/>
              </w:numPr>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多次未填写人员与无信息收集任务的具体学生分析</w:t>
            </w:r>
          </w:p>
          <w:p>
            <w:pPr>
              <w:pStyle w:val="13"/>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系统支持混合签到、查寝、请假等多类业务数据中的学生GPS定位数据进行综合分析，选定指定时间与指定人员后，系统支持在矢量地图/影像地图上呈现所选学生的全部最新GPS定位地点，并可点击查看详细名单。</w:t>
            </w:r>
          </w:p>
          <w:p>
            <w:pPr>
              <w:pStyle w:val="13"/>
              <w:ind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系统支持根据学生定位信息，自动比对与上一次定位数据的异动情况，并于地图上查看学生的起点与重点省份/地市，形成轨迹分布图，对异动轨迹区分显示为返回或停留本省、离开或停留在本省，用于查看学生的轨迹流向，点击具体轨迹，可查看学生名单与详细数据，包括起点位置、终点位置、学生基本信息与数据产生时间。</w:t>
            </w:r>
          </w:p>
          <w:p>
            <w:pPr>
              <w:pStyle w:val="4"/>
              <w:tabs>
                <w:tab w:val="left" w:pos="432"/>
              </w:tabs>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统计看板服务</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各级管理人员，可通过此功能查看指定时间、指定范围内的辅导员办公协作服务使用数据与功能具体使用情况。包含通知、活动报名、信息收集、请假、查寝、签到功能所产生的业务数据。以请假为例，校级管理员可筛选查看最近1周，单个学院内，某一辅导员所管理学生的请假功能的使用情况，包含：申请数量、审批通过数量、销假逾期率、休假中的人数、总请假时长等。</w:t>
            </w:r>
          </w:p>
          <w:p>
            <w:pPr>
              <w:pStyle w:val="3"/>
              <w:tabs>
                <w:tab w:val="left" w:pos="432"/>
              </w:tabs>
              <w:spacing w:before="120" w:after="120"/>
              <w:rPr>
                <w:rFonts w:hint="eastAsia" w:ascii="宋体" w:hAnsi="宋体" w:eastAsia="宋体" w:cs="宋体"/>
                <w:color w:val="000000" w:themeColor="text1"/>
                <w:sz w:val="21"/>
                <w:szCs w:val="21"/>
                <w:highlight w:val="none"/>
                <w14:textFill>
                  <w14:solidFill>
                    <w14:schemeClr w14:val="tx1"/>
                  </w14:solidFill>
                </w14:textFill>
              </w:rPr>
            </w:pPr>
            <w:bookmarkStart w:id="112" w:name="_Toc166341756"/>
            <w:bookmarkStart w:id="113" w:name="_Toc9696"/>
            <w:r>
              <w:rPr>
                <w:rFonts w:hint="eastAsia" w:ascii="宋体" w:hAnsi="宋体" w:eastAsia="宋体" w:cs="宋体"/>
                <w:color w:val="000000" w:themeColor="text1"/>
                <w:sz w:val="21"/>
                <w:szCs w:val="21"/>
                <w:highlight w:val="none"/>
                <w14:textFill>
                  <w14:solidFill>
                    <w14:schemeClr w14:val="tx1"/>
                  </w14:solidFill>
                </w14:textFill>
              </w:rPr>
              <w:t>基础能力</w:t>
            </w:r>
            <w:bookmarkEnd w:id="112"/>
            <w:bookmarkEnd w:id="113"/>
          </w:p>
          <w:p>
            <w:pPr>
              <w:pStyle w:val="4"/>
              <w:tabs>
                <w:tab w:val="left" w:pos="432"/>
              </w:tabs>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全局任务控制服务</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对通知、活动报名、信息收集、签到、查寝功能，可进行预览正文、任务删除、重新开启任务、提前结束任务、撤回任务、延期任务、编辑任务与暂停任务的操作。</w:t>
            </w:r>
          </w:p>
          <w:p>
            <w:pPr>
              <w:ind w:firstLine="480"/>
              <w:rPr>
                <w:rFonts w:hint="eastAsia" w:ascii="宋体" w:hAnsi="宋体" w:eastAsia="宋体" w:cs="宋体"/>
                <w:color w:val="000000" w:themeColor="text1"/>
                <w:sz w:val="21"/>
                <w:szCs w:val="21"/>
                <w:highlight w:val="none"/>
                <w14:textFill>
                  <w14:solidFill>
                    <w14:schemeClr w14:val="tx1"/>
                  </w14:solidFill>
                </w14:textFill>
              </w:rPr>
            </w:pPr>
          </w:p>
          <w:p>
            <w:pPr>
              <w:pStyle w:val="4"/>
              <w:tabs>
                <w:tab w:val="left" w:pos="432"/>
              </w:tabs>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备忘录服务</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需支持辅导员可以在网页/移动端添加待办事项，在网页/移动端之间同步数据，方便查看待办事务；</w:t>
            </w:r>
          </w:p>
          <w:p>
            <w:pPr>
              <w:pStyle w:val="4"/>
              <w:tabs>
                <w:tab w:val="left" w:pos="432"/>
              </w:tabs>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自定义用户与筛选器服务</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需支持所有管理用户在成员管理中，可新建自定义老师与学生分组，方便进行组织管理；添加自定义分组时，支持通过学号/工号粘贴的方式，快速匹配创建自定义分组；</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在使用业务功能时，可以使用院系、专业、班级、年级、学生类别、在校情况等字段，对业务使用对象学生进行筛选，方便业务功能对不同类型学生的区别使用。</w:t>
            </w:r>
          </w:p>
          <w:p>
            <w:pPr>
              <w:pStyle w:val="4"/>
              <w:tabs>
                <w:tab w:val="left" w:pos="432"/>
              </w:tabs>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辅导员的任务相互查看服务</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辅导员用户在系统中可通过设置关注用户的方式，查看其它管理员与辅导员正在发布的任务与历史任务。管理员角色的用户可直接查看其他用户的任务；而其它用户则需要进行关注申请，通过后才可进行任务查看。</w:t>
            </w:r>
          </w:p>
          <w:p>
            <w:pPr>
              <w:pStyle w:val="4"/>
              <w:tabs>
                <w:tab w:val="left" w:pos="432"/>
              </w:tabs>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辅导员</w:t>
            </w:r>
            <w:r>
              <w:rPr>
                <w:rFonts w:hint="eastAsia" w:ascii="宋体" w:hAnsi="宋体" w:eastAsia="宋体" w:cs="宋体"/>
                <w:color w:val="000000" w:themeColor="text1"/>
                <w:sz w:val="21"/>
                <w:szCs w:val="21"/>
                <w:highlight w:val="none"/>
                <w:lang w:eastAsia="zh-Hans"/>
                <w14:textFill>
                  <w14:solidFill>
                    <w14:schemeClr w14:val="tx1"/>
                  </w14:solidFill>
                </w14:textFill>
              </w:rPr>
              <w:t>分管学生</w:t>
            </w:r>
            <w:r>
              <w:rPr>
                <w:rFonts w:hint="eastAsia" w:ascii="宋体" w:hAnsi="宋体" w:eastAsia="宋体" w:cs="宋体"/>
                <w:color w:val="000000" w:themeColor="text1"/>
                <w:sz w:val="21"/>
                <w:szCs w:val="21"/>
                <w:highlight w:val="none"/>
                <w14:textFill>
                  <w14:solidFill>
                    <w14:schemeClr w14:val="tx1"/>
                  </w14:solidFill>
                </w14:textFill>
              </w:rPr>
              <w:t>查看服务</w:t>
            </w:r>
          </w:p>
          <w:p>
            <w:pPr>
              <w:ind w:firstLine="48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w:t>
            </w:r>
            <w:r>
              <w:rPr>
                <w:rFonts w:hint="eastAsia" w:ascii="宋体" w:hAnsi="宋体" w:eastAsia="宋体" w:cs="宋体"/>
                <w:color w:val="000000" w:themeColor="text1"/>
                <w:sz w:val="21"/>
                <w:szCs w:val="21"/>
                <w:highlight w:val="none"/>
                <w:lang w:eastAsia="zh-Hans"/>
                <w14:textFill>
                  <w14:solidFill>
                    <w14:schemeClr w14:val="tx1"/>
                  </w14:solidFill>
                </w14:textFill>
              </w:rPr>
              <w:t>系统支持当其他用户发布任务时，若学生属于某一辅导员管理外围之内，该辅导员可直接在线查看所分管学生的任务进度情况。</w:t>
            </w:r>
          </w:p>
          <w:p>
            <w:pPr>
              <w:pStyle w:val="4"/>
              <w:tabs>
                <w:tab w:val="left" w:pos="432"/>
              </w:tabs>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成员管理服务</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要求辅导员可以通过组织架构菜单，查看所管理的学生信息，至少包括学号、姓名、学院、专业、班级、性别、手机号；</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要求辅导员与所有管理用户，可以手动导入更新学生的手机号，并可以向所管理的学生发送短信，以提醒学生安装用于接收任务提醒并执行任务的移动APP平台；提醒后可查看所有学生移动APP平台的激活使用情况；</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要求系统支持对单个用户设置多个角色，每个角色支持单独维护分管学生数据，该成员登录与系统使用时支持对自己的角色切换，</w:t>
            </w:r>
            <w:bookmarkStart w:id="114" w:name="_Hlk70443184"/>
            <w:r>
              <w:rPr>
                <w:rFonts w:hint="eastAsia" w:ascii="宋体" w:hAnsi="宋体" w:eastAsia="宋体" w:cs="宋体"/>
                <w:color w:val="000000" w:themeColor="text1"/>
                <w:sz w:val="21"/>
                <w:szCs w:val="21"/>
                <w:highlight w:val="none"/>
                <w14:textFill>
                  <w14:solidFill>
                    <w14:schemeClr w14:val="tx1"/>
                  </w14:solidFill>
                </w14:textFill>
              </w:rPr>
              <w:t>切换角色后可查看不同任职下不同分管学生的数据，以及根据角色展示拥有使用权限的功能模块</w:t>
            </w:r>
            <w:bookmarkEnd w:id="114"/>
            <w:r>
              <w:rPr>
                <w:rFonts w:hint="eastAsia" w:ascii="宋体" w:hAnsi="宋体" w:eastAsia="宋体" w:cs="宋体"/>
                <w:color w:val="000000" w:themeColor="text1"/>
                <w:sz w:val="21"/>
                <w:szCs w:val="21"/>
                <w:highlight w:val="none"/>
                <w14:textFill>
                  <w14:solidFill>
                    <w14:schemeClr w14:val="tx1"/>
                  </w14:solidFill>
                </w14:textFill>
              </w:rPr>
              <w:t>。</w:t>
            </w:r>
          </w:p>
          <w:p>
            <w:pPr>
              <w:pStyle w:val="4"/>
              <w:tabs>
                <w:tab w:val="left" w:pos="432"/>
              </w:tabs>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权限管理服务</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系统支持4级职级，包括校级、院级、班级、助理，不同职级具备基本的数据权限，校级支持在统计数据中查看全校数据，院级支持查看自己所任职学院的所有数据，班级与助理仅支持查看自己分管学生的数据；</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要求系统支持自定义创建角色，创建时可对角色的名称，角色人群限制，角色描述以及角色职级，同时对系统内的功能权限进行详细配置，至少包括禁止访问、查看与编辑+查看权限等。</w:t>
            </w:r>
          </w:p>
          <w:p>
            <w:pPr>
              <w:pStyle w:val="4"/>
              <w:tabs>
                <w:tab w:val="left" w:pos="432"/>
              </w:tabs>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全局配置服务</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要求校级管理员可以对系统中的学生属性进行统一管理，可配置学生类别与在校情况字段；</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要求校级管理员可以对全校的电话提醒设置免打扰时间段，在设置的时间段内，学生将不会收到电话智能语音提醒；</w:t>
            </w:r>
          </w:p>
          <w:p>
            <w:pPr>
              <w:ind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要求校级管理员可以对全校的系统功能进行开关配置；</w:t>
            </w:r>
          </w:p>
          <w:p>
            <w:pPr>
              <w:pStyle w:val="4"/>
              <w:tabs>
                <w:tab w:val="left" w:pos="432"/>
              </w:tabs>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防作弊</w:t>
            </w:r>
            <w:r>
              <w:rPr>
                <w:rFonts w:hint="eastAsia" w:ascii="宋体" w:hAnsi="宋体" w:eastAsia="宋体" w:cs="宋体"/>
                <w:color w:val="000000" w:themeColor="text1"/>
                <w:sz w:val="21"/>
                <w:szCs w:val="21"/>
                <w:highlight w:val="none"/>
                <w14:textFill>
                  <w14:solidFill>
                    <w14:schemeClr w14:val="tx1"/>
                  </w14:solidFill>
                </w14:textFill>
              </w:rPr>
              <w:t>服务</w:t>
            </w:r>
          </w:p>
          <w:p>
            <w:pPr>
              <w:ind w:firstLine="48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w:t>
            </w:r>
            <w:r>
              <w:rPr>
                <w:rFonts w:hint="eastAsia" w:ascii="宋体" w:hAnsi="宋体" w:eastAsia="宋体" w:cs="宋体"/>
                <w:color w:val="000000" w:themeColor="text1"/>
                <w:sz w:val="21"/>
                <w:szCs w:val="21"/>
                <w:highlight w:val="none"/>
                <w:lang w:eastAsia="zh-Hans"/>
                <w14:textFill>
                  <w14:solidFill>
                    <w14:schemeClr w14:val="tx1"/>
                  </w14:solidFill>
                </w14:textFill>
              </w:rPr>
              <w:t>系统具备对学生日常管理中常见作弊手段的预警及拦截功能，用户可自定义设置仅预警还是预警+拦截，若开启拦截则该学生无法在疑似作弊的情况下完成任务。触发预警拦截的情景应至少包括：虚拟定位、PC安卓模拟器等。</w:t>
            </w:r>
          </w:p>
          <w:p>
            <w:pPr>
              <w:ind w:firstLine="48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要求系统在发现学生疑似作弊行为时，能够自动推送APP提醒给其分管老师。</w:t>
            </w:r>
          </w:p>
          <w:p>
            <w:pPr>
              <w:pStyle w:val="4"/>
              <w:tabs>
                <w:tab w:val="left" w:pos="432"/>
              </w:tabs>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设备锁服务</w:t>
            </w:r>
          </w:p>
          <w:p>
            <w:pPr>
              <w:ind w:firstLine="480"/>
              <w:rPr>
                <w:rFonts w:hint="eastAsia" w:ascii="宋体" w:hAnsi="宋体" w:eastAsia="宋体" w:cs="宋体"/>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要求</w:t>
            </w:r>
            <w:r>
              <w:rPr>
                <w:rFonts w:hint="eastAsia" w:ascii="宋体" w:hAnsi="宋体" w:eastAsia="宋体" w:cs="宋体"/>
                <w:color w:val="000000" w:themeColor="text1"/>
                <w:sz w:val="21"/>
                <w:szCs w:val="21"/>
                <w:highlight w:val="none"/>
                <w:lang w:eastAsia="zh-Hans"/>
                <w14:textFill>
                  <w14:solidFill>
                    <w14:schemeClr w14:val="tx1"/>
                  </w14:solidFill>
                </w14:textFill>
              </w:rPr>
              <w:t>系统在发现学生更换设备登陆时，对其后续进行的服务访问进行限制。系统应为学生对应的辅导员提供解锁功能，仅当辅导员对学生设备解锁授权后，学生方可继续操作。</w:t>
            </w:r>
          </w:p>
        </w:tc>
        <w:tc>
          <w:tcPr>
            <w:tcW w:w="670"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1套</w:t>
            </w:r>
          </w:p>
        </w:tc>
      </w:tr>
    </w:tbl>
    <w:p>
      <w:pPr>
        <w:spacing w:line="360" w:lineRule="auto"/>
        <w:rPr>
          <w:rFonts w:hint="eastAsia" w:ascii="宋体" w:hAnsi="宋体" w:eastAsia="宋体" w:cs="宋体"/>
          <w:b/>
          <w:color w:val="000000" w:themeColor="text1"/>
          <w:sz w:val="24"/>
          <w:highlight w:val="none"/>
          <w14:textFill>
            <w14:solidFill>
              <w14:schemeClr w14:val="tx1"/>
            </w14:solidFill>
          </w14:textFill>
        </w:rPr>
      </w:pPr>
    </w:p>
    <w:p>
      <w:pPr>
        <w:spacing w:line="360" w:lineRule="auto"/>
        <w:rPr>
          <w:rFonts w:hint="eastAsia" w:ascii="宋体" w:hAnsi="宋体" w:eastAsia="宋体" w:cs="宋体"/>
          <w:b/>
          <w:color w:val="000000" w:themeColor="text1"/>
          <w:sz w:val="24"/>
          <w:highlight w:val="none"/>
          <w14:textFill>
            <w14:solidFill>
              <w14:schemeClr w14:val="tx1"/>
            </w14:solidFill>
          </w14:textFill>
        </w:rPr>
      </w:pPr>
    </w:p>
    <w:p>
      <w:pPr>
        <w:spacing w:line="360" w:lineRule="auto"/>
        <w:rPr>
          <w:rFonts w:hint="eastAsia" w:ascii="宋体" w:hAnsi="宋体" w:eastAsia="宋体" w:cs="宋体"/>
          <w:b/>
          <w:color w:val="000000" w:themeColor="text1"/>
          <w:sz w:val="24"/>
          <w:highlight w:val="none"/>
          <w14:textFill>
            <w14:solidFill>
              <w14:schemeClr w14:val="tx1"/>
            </w14:solidFill>
          </w14:textFill>
        </w:rPr>
      </w:pPr>
    </w:p>
    <w:p>
      <w:pPr>
        <w:spacing w:line="360" w:lineRule="auto"/>
        <w:rPr>
          <w:rFonts w:hint="eastAsia" w:ascii="宋体" w:hAnsi="宋体" w:eastAsia="宋体" w:cs="宋体"/>
          <w:b/>
          <w:color w:val="000000" w:themeColor="text1"/>
          <w:sz w:val="24"/>
          <w:highlight w:val="none"/>
          <w14:textFill>
            <w14:solidFill>
              <w14:schemeClr w14:val="tx1"/>
            </w14:solidFill>
          </w14:textFill>
        </w:rPr>
      </w:pPr>
    </w:p>
    <w:p>
      <w:pPr>
        <w:spacing w:line="360" w:lineRule="auto"/>
        <w:rPr>
          <w:rFonts w:hint="eastAsia" w:ascii="宋体" w:hAnsi="宋体" w:eastAsia="宋体" w:cs="宋体"/>
          <w:b/>
          <w:color w:val="000000" w:themeColor="text1"/>
          <w:sz w:val="24"/>
          <w:highlight w:val="none"/>
          <w14:textFill>
            <w14:solidFill>
              <w14:schemeClr w14:val="tx1"/>
            </w14:solidFill>
          </w14:textFill>
        </w:rPr>
      </w:pPr>
    </w:p>
    <w:p>
      <w:pPr>
        <w:spacing w:line="360" w:lineRule="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 xml:space="preserve">附件5：            </w:t>
      </w:r>
    </w:p>
    <w:p>
      <w:pPr>
        <w:spacing w:line="360" w:lineRule="auto"/>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供货商：江苏金智教育信息股份有限公司质量保障及服务表</w:t>
      </w:r>
    </w:p>
    <w:p>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致：河南中医药大学： </w:t>
      </w:r>
    </w:p>
    <w:p>
      <w:pPr>
        <w:spacing w:line="360" w:lineRule="auto"/>
        <w:ind w:firstLine="315" w:firstLineChars="15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根据贵方招标编号为豫财招标采购-2024-862</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A包</w:t>
      </w:r>
      <w:r>
        <w:rPr>
          <w:rFonts w:hint="eastAsia" w:ascii="宋体" w:hAnsi="宋体" w:eastAsia="宋体" w:cs="宋体"/>
          <w:color w:val="000000" w:themeColor="text1"/>
          <w:sz w:val="21"/>
          <w:szCs w:val="21"/>
          <w:highlight w:val="none"/>
          <w14:textFill>
            <w14:solidFill>
              <w14:schemeClr w14:val="tx1"/>
            </w14:solidFill>
          </w14:textFill>
        </w:rPr>
        <w:t>的货物（具体货物见附件4），我公司对该项目售后产品做出如下质保及售后服务承诺：</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758"/>
        <w:gridCol w:w="4016"/>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jc w:val="center"/>
        </w:trPr>
        <w:tc>
          <w:tcPr>
            <w:tcW w:w="720" w:type="dxa"/>
            <w:vAlign w:val="center"/>
          </w:tcPr>
          <w:p>
            <w:pPr>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序号</w:t>
            </w:r>
          </w:p>
        </w:tc>
        <w:tc>
          <w:tcPr>
            <w:tcW w:w="3758" w:type="dxa"/>
            <w:vAlign w:val="center"/>
          </w:tcPr>
          <w:p>
            <w:pPr>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质量保障措施及服务内容</w:t>
            </w:r>
          </w:p>
        </w:tc>
        <w:tc>
          <w:tcPr>
            <w:tcW w:w="4016" w:type="dxa"/>
            <w:vAlign w:val="center"/>
          </w:tcPr>
          <w:p>
            <w:pPr>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承诺</w:t>
            </w:r>
          </w:p>
        </w:tc>
        <w:tc>
          <w:tcPr>
            <w:tcW w:w="878" w:type="dxa"/>
            <w:vAlign w:val="center"/>
          </w:tcPr>
          <w:p>
            <w:pPr>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20"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375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整机保修</w:t>
            </w:r>
          </w:p>
        </w:tc>
        <w:tc>
          <w:tcPr>
            <w:tcW w:w="4016"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五年</w:t>
            </w:r>
          </w:p>
        </w:tc>
        <w:tc>
          <w:tcPr>
            <w:tcW w:w="87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20"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tc>
        <w:tc>
          <w:tcPr>
            <w:tcW w:w="375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随机标准配件</w:t>
            </w:r>
          </w:p>
        </w:tc>
        <w:tc>
          <w:tcPr>
            <w:tcW w:w="4016"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五年</w:t>
            </w:r>
          </w:p>
        </w:tc>
        <w:tc>
          <w:tcPr>
            <w:tcW w:w="87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20"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p>
        </w:tc>
        <w:tc>
          <w:tcPr>
            <w:tcW w:w="375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加购选配件</w:t>
            </w:r>
          </w:p>
        </w:tc>
        <w:tc>
          <w:tcPr>
            <w:tcW w:w="4016"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五年</w:t>
            </w:r>
          </w:p>
        </w:tc>
        <w:tc>
          <w:tcPr>
            <w:tcW w:w="87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0"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w:t>
            </w:r>
          </w:p>
        </w:tc>
        <w:tc>
          <w:tcPr>
            <w:tcW w:w="375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随机资料、光盘介质、软盘介质、连接线、指示灯、电源线、随机工具等。</w:t>
            </w:r>
          </w:p>
        </w:tc>
        <w:tc>
          <w:tcPr>
            <w:tcW w:w="4016"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随机配置见随机装箱清单</w:t>
            </w:r>
          </w:p>
        </w:tc>
        <w:tc>
          <w:tcPr>
            <w:tcW w:w="87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20"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w:t>
            </w:r>
          </w:p>
        </w:tc>
        <w:tc>
          <w:tcPr>
            <w:tcW w:w="375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运输方式</w:t>
            </w:r>
          </w:p>
        </w:tc>
        <w:tc>
          <w:tcPr>
            <w:tcW w:w="4016"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免费送货上门</w:t>
            </w:r>
          </w:p>
        </w:tc>
        <w:tc>
          <w:tcPr>
            <w:tcW w:w="87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20"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w:t>
            </w:r>
          </w:p>
        </w:tc>
        <w:tc>
          <w:tcPr>
            <w:tcW w:w="375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交货时间</w:t>
            </w:r>
          </w:p>
        </w:tc>
        <w:tc>
          <w:tcPr>
            <w:tcW w:w="4016"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Times New Roman"/>
                <w:sz w:val="21"/>
                <w:szCs w:val="21"/>
              </w:rPr>
              <w:t>合同签订后</w:t>
            </w:r>
            <w:r>
              <w:rPr>
                <w:rFonts w:hint="eastAsia" w:ascii="宋体" w:hAnsi="宋体" w:eastAsia="宋体" w:cs="Times New Roman"/>
                <w:sz w:val="21"/>
                <w:szCs w:val="21"/>
                <w:lang w:val="en-US" w:eastAsia="zh-CN"/>
              </w:rPr>
              <w:t>15</w:t>
            </w:r>
            <w:r>
              <w:rPr>
                <w:rFonts w:hint="eastAsia" w:ascii="宋体" w:hAnsi="宋体" w:eastAsia="宋体" w:cs="Times New Roman"/>
                <w:sz w:val="21"/>
                <w:szCs w:val="21"/>
              </w:rPr>
              <w:t>0日内</w:t>
            </w:r>
          </w:p>
        </w:tc>
        <w:tc>
          <w:tcPr>
            <w:tcW w:w="87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20"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w:t>
            </w:r>
          </w:p>
        </w:tc>
        <w:tc>
          <w:tcPr>
            <w:tcW w:w="375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安装、调试服务 </w:t>
            </w:r>
          </w:p>
        </w:tc>
        <w:tc>
          <w:tcPr>
            <w:tcW w:w="4016"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免费安装调试</w:t>
            </w:r>
          </w:p>
        </w:tc>
        <w:tc>
          <w:tcPr>
            <w:tcW w:w="87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720"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w:t>
            </w:r>
          </w:p>
        </w:tc>
        <w:tc>
          <w:tcPr>
            <w:tcW w:w="375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整机免费换货期限</w:t>
            </w:r>
          </w:p>
        </w:tc>
        <w:tc>
          <w:tcPr>
            <w:tcW w:w="4016"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60个月</w:t>
            </w:r>
          </w:p>
        </w:tc>
        <w:tc>
          <w:tcPr>
            <w:tcW w:w="87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0"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9</w:t>
            </w:r>
          </w:p>
        </w:tc>
        <w:tc>
          <w:tcPr>
            <w:tcW w:w="375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免费上门服务期</w:t>
            </w:r>
          </w:p>
        </w:tc>
        <w:tc>
          <w:tcPr>
            <w:tcW w:w="4016"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验收报告签订之日起，5年时间</w:t>
            </w:r>
            <w:r>
              <w:rPr>
                <w:rFonts w:hint="eastAsia" w:ascii="宋体" w:hAnsi="宋体" w:eastAsia="宋体" w:cs="宋体"/>
                <w:color w:val="000000" w:themeColor="text1"/>
                <w:sz w:val="21"/>
                <w:szCs w:val="21"/>
                <w:highlight w:val="none"/>
                <w14:textFill>
                  <w14:solidFill>
                    <w14:schemeClr w14:val="tx1"/>
                  </w14:solidFill>
                </w14:textFill>
              </w:rPr>
              <w:t>。提供随叫随到上门服务，全天候24小时响应（包括节假日如春节、国庆节、五一节等）</w:t>
            </w:r>
          </w:p>
        </w:tc>
        <w:tc>
          <w:tcPr>
            <w:tcW w:w="87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720"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10</w:t>
            </w:r>
          </w:p>
        </w:tc>
        <w:tc>
          <w:tcPr>
            <w:tcW w:w="375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质量保证期</w:t>
            </w:r>
            <w:r>
              <w:rPr>
                <w:rFonts w:hint="eastAsia" w:ascii="宋体" w:hAnsi="宋体" w:eastAsia="宋体" w:cs="宋体"/>
                <w:color w:val="000000" w:themeColor="text1"/>
                <w:sz w:val="21"/>
                <w:szCs w:val="21"/>
                <w:highlight w:val="none"/>
                <w14:textFill>
                  <w14:solidFill>
                    <w14:schemeClr w14:val="tx1"/>
                  </w14:solidFill>
                </w14:textFill>
              </w:rPr>
              <w:t>内产品故障服务响应时限</w:t>
            </w:r>
          </w:p>
        </w:tc>
        <w:tc>
          <w:tcPr>
            <w:tcW w:w="4016"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2个小时内响应</w:t>
            </w:r>
          </w:p>
        </w:tc>
        <w:tc>
          <w:tcPr>
            <w:tcW w:w="87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20"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11</w:t>
            </w:r>
          </w:p>
        </w:tc>
        <w:tc>
          <w:tcPr>
            <w:tcW w:w="375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服务时间</w:t>
            </w:r>
          </w:p>
        </w:tc>
        <w:tc>
          <w:tcPr>
            <w:tcW w:w="4016"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7*</w:t>
            </w:r>
            <w:r>
              <w:rPr>
                <w:rFonts w:hint="eastAsia" w:ascii="宋体" w:hAnsi="宋体" w:eastAsia="宋体" w:cs="宋体"/>
                <w:color w:val="000000" w:themeColor="text1"/>
                <w:sz w:val="21"/>
                <w:szCs w:val="21"/>
                <w:highlight w:val="none"/>
                <w14:textFill>
                  <w14:solidFill>
                    <w14:schemeClr w14:val="tx1"/>
                  </w14:solidFill>
                </w14:textFill>
              </w:rPr>
              <w:t>24小时（包括节假日如春节、国庆节、五一节等）</w:t>
            </w:r>
          </w:p>
        </w:tc>
        <w:tc>
          <w:tcPr>
            <w:tcW w:w="87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20"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12</w:t>
            </w:r>
          </w:p>
        </w:tc>
        <w:tc>
          <w:tcPr>
            <w:tcW w:w="375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上门时间</w:t>
            </w:r>
          </w:p>
        </w:tc>
        <w:tc>
          <w:tcPr>
            <w:tcW w:w="4016"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2小时内响应及时上门</w:t>
            </w:r>
          </w:p>
        </w:tc>
        <w:tc>
          <w:tcPr>
            <w:tcW w:w="87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0"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13</w:t>
            </w:r>
          </w:p>
        </w:tc>
        <w:tc>
          <w:tcPr>
            <w:tcW w:w="375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故障修复时限</w:t>
            </w:r>
          </w:p>
        </w:tc>
        <w:tc>
          <w:tcPr>
            <w:tcW w:w="4016"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8个小时内修复</w:t>
            </w:r>
          </w:p>
        </w:tc>
        <w:tc>
          <w:tcPr>
            <w:tcW w:w="87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720"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14</w:t>
            </w:r>
          </w:p>
        </w:tc>
        <w:tc>
          <w:tcPr>
            <w:tcW w:w="375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备品配件供应响应时限</w:t>
            </w:r>
          </w:p>
        </w:tc>
        <w:tc>
          <w:tcPr>
            <w:tcW w:w="4016"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1个工作日内</w:t>
            </w:r>
          </w:p>
        </w:tc>
        <w:tc>
          <w:tcPr>
            <w:tcW w:w="87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0"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15</w:t>
            </w:r>
          </w:p>
        </w:tc>
        <w:tc>
          <w:tcPr>
            <w:tcW w:w="375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保质期满后的保修服务费用</w:t>
            </w:r>
          </w:p>
        </w:tc>
        <w:tc>
          <w:tcPr>
            <w:tcW w:w="4016"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详见开标一览表</w:t>
            </w:r>
          </w:p>
        </w:tc>
        <w:tc>
          <w:tcPr>
            <w:tcW w:w="87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20"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16</w:t>
            </w:r>
          </w:p>
        </w:tc>
        <w:tc>
          <w:tcPr>
            <w:tcW w:w="375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免费技术支持</w:t>
            </w:r>
          </w:p>
        </w:tc>
        <w:tc>
          <w:tcPr>
            <w:tcW w:w="4016" w:type="dxa"/>
            <w:vAlign w:val="center"/>
          </w:tcPr>
          <w:p>
            <w:pP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验收报告签订之日起，5年时间</w:t>
            </w:r>
          </w:p>
        </w:tc>
        <w:tc>
          <w:tcPr>
            <w:tcW w:w="87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0"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17</w:t>
            </w:r>
          </w:p>
        </w:tc>
        <w:tc>
          <w:tcPr>
            <w:tcW w:w="375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客户操作人员技术培训</w:t>
            </w:r>
          </w:p>
        </w:tc>
        <w:tc>
          <w:tcPr>
            <w:tcW w:w="4016"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免费技术培训至少2名操作人员，操作和简单故障处理。</w:t>
            </w:r>
          </w:p>
        </w:tc>
        <w:tc>
          <w:tcPr>
            <w:tcW w:w="87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0"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18</w:t>
            </w:r>
          </w:p>
        </w:tc>
        <w:tc>
          <w:tcPr>
            <w:tcW w:w="375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郑州维修部地址</w:t>
            </w:r>
          </w:p>
        </w:tc>
        <w:tc>
          <w:tcPr>
            <w:tcW w:w="4016" w:type="dxa"/>
            <w:vAlign w:val="center"/>
          </w:tcPr>
          <w:p>
            <w:pP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郑州市郑东新区商鼎路与东风南路交叉口升龙广场3号楼B座9层</w:t>
            </w:r>
          </w:p>
        </w:tc>
        <w:tc>
          <w:tcPr>
            <w:tcW w:w="87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720"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19</w:t>
            </w:r>
          </w:p>
        </w:tc>
        <w:tc>
          <w:tcPr>
            <w:tcW w:w="3758" w:type="dxa"/>
            <w:vAlign w:val="center"/>
          </w:tcPr>
          <w:p>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联系人</w:t>
            </w:r>
          </w:p>
        </w:tc>
        <w:tc>
          <w:tcPr>
            <w:tcW w:w="4016" w:type="dxa"/>
            <w:vAlign w:val="center"/>
          </w:tcPr>
          <w:p>
            <w:pP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林楠</w:t>
            </w:r>
          </w:p>
        </w:tc>
        <w:tc>
          <w:tcPr>
            <w:tcW w:w="87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20</w:t>
            </w:r>
          </w:p>
        </w:tc>
        <w:tc>
          <w:tcPr>
            <w:tcW w:w="3758" w:type="dxa"/>
            <w:vAlign w:val="center"/>
          </w:tcPr>
          <w:p>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联系电话</w:t>
            </w:r>
          </w:p>
        </w:tc>
        <w:tc>
          <w:tcPr>
            <w:tcW w:w="4016" w:type="dxa"/>
            <w:vAlign w:val="center"/>
          </w:tcPr>
          <w:p>
            <w:pP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13938493799</w:t>
            </w:r>
          </w:p>
        </w:tc>
        <w:tc>
          <w:tcPr>
            <w:tcW w:w="87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20"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21</w:t>
            </w:r>
          </w:p>
        </w:tc>
        <w:tc>
          <w:tcPr>
            <w:tcW w:w="375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维修服务热线</w:t>
            </w:r>
          </w:p>
        </w:tc>
        <w:tc>
          <w:tcPr>
            <w:tcW w:w="4016"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4007-99-4007</w:t>
            </w:r>
          </w:p>
        </w:tc>
        <w:tc>
          <w:tcPr>
            <w:tcW w:w="87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jc w:val="center"/>
        </w:trPr>
        <w:tc>
          <w:tcPr>
            <w:tcW w:w="720"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22</w:t>
            </w:r>
          </w:p>
        </w:tc>
        <w:tc>
          <w:tcPr>
            <w:tcW w:w="375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其他承诺</w:t>
            </w:r>
          </w:p>
        </w:tc>
        <w:tc>
          <w:tcPr>
            <w:tcW w:w="4016"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无</w:t>
            </w:r>
          </w:p>
        </w:tc>
        <w:tc>
          <w:tcPr>
            <w:tcW w:w="878"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p>
        </w:tc>
      </w:tr>
    </w:tbl>
    <w:p>
      <w:pPr>
        <w:spacing w:line="360" w:lineRule="auto"/>
        <w:ind w:firstLine="315" w:firstLineChars="15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承诺公司签字（盖章）：江苏金智教育信息股份有限公司</w:t>
      </w:r>
    </w:p>
    <w:p>
      <w:pPr>
        <w:spacing w:line="360" w:lineRule="auto"/>
        <w:ind w:firstLine="360" w:firstLineChars="150"/>
        <w:rPr>
          <w:rFonts w:hint="eastAsia" w:ascii="宋体" w:hAnsi="宋体" w:eastAsia="宋体" w:cs="宋体"/>
          <w:color w:val="000000" w:themeColor="text1"/>
          <w:sz w:val="24"/>
          <w:highlight w:val="none"/>
          <w14:textFill>
            <w14:solidFill>
              <w14:schemeClr w14:val="tx1"/>
            </w14:solidFill>
          </w14:textFill>
        </w:rPr>
      </w:pPr>
    </w:p>
    <w:p>
      <w:pPr>
        <w:spacing w:line="360" w:lineRule="auto"/>
        <w:ind w:firstLine="360" w:firstLineChars="150"/>
        <w:rPr>
          <w:rFonts w:hint="eastAsia" w:ascii="宋体" w:hAnsi="宋体" w:eastAsia="宋体" w:cs="宋体"/>
          <w:color w:val="000000" w:themeColor="text1"/>
          <w:sz w:val="24"/>
          <w:highlight w:val="none"/>
          <w14:textFill>
            <w14:solidFill>
              <w14:schemeClr w14:val="tx1"/>
            </w14:solidFill>
          </w14:textFill>
        </w:rPr>
      </w:pPr>
    </w:p>
    <w:p>
      <w:pPr>
        <w:rPr>
          <w:rFonts w:hint="eastAsia" w:ascii="宋体" w:hAnsi="宋体" w:eastAsia="宋体" w:cs="宋体"/>
          <w:color w:val="000000" w:themeColor="text1"/>
          <w:highlight w:val="none"/>
          <w14:textFill>
            <w14:solidFill>
              <w14:schemeClr w14:val="tx1"/>
            </w14:solidFill>
          </w14:textFill>
        </w:rPr>
      </w:pPr>
    </w:p>
    <w:p>
      <w:pPr>
        <w:spacing w:line="360" w:lineRule="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附件6：</w:t>
      </w:r>
    </w:p>
    <w:p>
      <w:pPr>
        <w:jc w:val="center"/>
        <w:rPr>
          <w:rFonts w:hint="eastAsia" w:ascii="宋体" w:hAnsi="宋体" w:eastAsia="宋体" w:cs="宋体"/>
          <w:bCs/>
          <w:color w:val="000000" w:themeColor="text1"/>
          <w:sz w:val="28"/>
          <w:szCs w:val="28"/>
          <w:highlight w:val="none"/>
          <w14:textFill>
            <w14:solidFill>
              <w14:schemeClr w14:val="tx1"/>
            </w14:solidFill>
          </w14:textFill>
        </w:rPr>
      </w:pPr>
      <w:r>
        <w:rPr>
          <w:rFonts w:hint="eastAsia" w:ascii="宋体" w:hAnsi="宋体" w:eastAsia="宋体" w:cs="宋体"/>
          <w:bCs/>
          <w:color w:val="000000" w:themeColor="text1"/>
          <w:sz w:val="28"/>
          <w:szCs w:val="28"/>
          <w:highlight w:val="none"/>
          <w14:textFill>
            <w14:solidFill>
              <w14:schemeClr w14:val="tx1"/>
            </w14:solidFill>
          </w14:textFill>
        </w:rPr>
        <w:t>豫财招标采购-2024-862-A号合同安装培训计划表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2126"/>
        <w:gridCol w:w="6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89" w:type="dxa"/>
            <w:vAlign w:val="center"/>
          </w:tcPr>
          <w:p>
            <w:pPr>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序号</w:t>
            </w:r>
          </w:p>
        </w:tc>
        <w:tc>
          <w:tcPr>
            <w:tcW w:w="2126" w:type="dxa"/>
            <w:vAlign w:val="center"/>
          </w:tcPr>
          <w:p>
            <w:pPr>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项目</w:t>
            </w:r>
          </w:p>
        </w:tc>
        <w:tc>
          <w:tcPr>
            <w:tcW w:w="6407" w:type="dxa"/>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789" w:type="dxa"/>
            <w:vAlign w:val="center"/>
          </w:tcPr>
          <w:p>
            <w:pPr>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一</w:t>
            </w:r>
          </w:p>
        </w:tc>
        <w:tc>
          <w:tcPr>
            <w:tcW w:w="2126" w:type="dxa"/>
            <w:vAlign w:val="center"/>
          </w:tcPr>
          <w:p>
            <w:pPr>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培训所要达到的目标</w:t>
            </w:r>
          </w:p>
        </w:tc>
        <w:tc>
          <w:tcPr>
            <w:tcW w:w="6407"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z w:val="21"/>
                <w:szCs w:val="21"/>
                <w:highlight w:val="none"/>
                <w:lang w:val="en-US" w:eastAsia="zh-CN"/>
              </w:rPr>
              <w:t>用户掌握系统维护、使用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jc w:val="center"/>
        </w:trPr>
        <w:tc>
          <w:tcPr>
            <w:tcW w:w="789" w:type="dxa"/>
            <w:vAlign w:val="center"/>
          </w:tcPr>
          <w:p>
            <w:pPr>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w:t>
            </w:r>
          </w:p>
        </w:tc>
        <w:tc>
          <w:tcPr>
            <w:tcW w:w="2126" w:type="dxa"/>
            <w:vAlign w:val="center"/>
          </w:tcPr>
          <w:p>
            <w:pPr>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培训内容</w:t>
            </w:r>
          </w:p>
        </w:tc>
        <w:tc>
          <w:tcPr>
            <w:tcW w:w="6407" w:type="dxa"/>
            <w:vAlign w:val="center"/>
          </w:tcPr>
          <w:p>
            <w:pPr>
              <w:pStyle w:val="13"/>
              <w:autoSpaceDE/>
              <w:autoSpaceDN/>
              <w:spacing w:before="0" w:after="156" w:afterLines="50" w:line="240" w:lineRule="auto"/>
              <w:ind w:left="0" w:leftChars="0" w:firstLine="0" w:firstLineChars="0"/>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z w:val="21"/>
                <w:szCs w:val="21"/>
                <w:highlight w:val="none"/>
                <w:lang w:val="en-US" w:eastAsia="zh-CN"/>
              </w:rPr>
              <w:t>系统使用方法和技巧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7" w:hRule="atLeast"/>
          <w:jc w:val="center"/>
        </w:trPr>
        <w:tc>
          <w:tcPr>
            <w:tcW w:w="789" w:type="dxa"/>
            <w:vAlign w:val="center"/>
          </w:tcPr>
          <w:p>
            <w:pPr>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三</w:t>
            </w:r>
          </w:p>
        </w:tc>
        <w:tc>
          <w:tcPr>
            <w:tcW w:w="2126" w:type="dxa"/>
            <w:vAlign w:val="center"/>
          </w:tcPr>
          <w:p>
            <w:pPr>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培训标准</w:t>
            </w:r>
          </w:p>
        </w:tc>
        <w:tc>
          <w:tcPr>
            <w:tcW w:w="6407" w:type="dxa"/>
            <w:vAlign w:val="center"/>
          </w:tcPr>
          <w:p>
            <w:pPr>
              <w:spacing w:after="156" w:afterLines="5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z w:val="21"/>
                <w:szCs w:val="21"/>
                <w:highlight w:val="none"/>
                <w:lang w:val="en-US" w:eastAsia="zh-CN"/>
              </w:rPr>
              <w:t>正常标准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789" w:type="dxa"/>
            <w:vAlign w:val="center"/>
          </w:tcPr>
          <w:p>
            <w:pPr>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四</w:t>
            </w:r>
          </w:p>
        </w:tc>
        <w:tc>
          <w:tcPr>
            <w:tcW w:w="2126" w:type="dxa"/>
            <w:vAlign w:val="center"/>
          </w:tcPr>
          <w:p>
            <w:pPr>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培训时间</w:t>
            </w:r>
          </w:p>
        </w:tc>
        <w:tc>
          <w:tcPr>
            <w:tcW w:w="6407"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由客户确定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vAlign w:val="center"/>
          </w:tcPr>
          <w:p>
            <w:pPr>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五</w:t>
            </w:r>
          </w:p>
        </w:tc>
        <w:tc>
          <w:tcPr>
            <w:tcW w:w="2126" w:type="dxa"/>
            <w:vAlign w:val="center"/>
          </w:tcPr>
          <w:p>
            <w:pPr>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培训人数</w:t>
            </w:r>
          </w:p>
        </w:tc>
        <w:tc>
          <w:tcPr>
            <w:tcW w:w="6407"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由客户确定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vAlign w:val="center"/>
          </w:tcPr>
          <w:p>
            <w:pPr>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六</w:t>
            </w:r>
          </w:p>
        </w:tc>
        <w:tc>
          <w:tcPr>
            <w:tcW w:w="2126" w:type="dxa"/>
            <w:vAlign w:val="center"/>
          </w:tcPr>
          <w:p>
            <w:pPr>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培训费用</w:t>
            </w:r>
          </w:p>
        </w:tc>
        <w:tc>
          <w:tcPr>
            <w:tcW w:w="6407"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vAlign w:val="center"/>
          </w:tcPr>
          <w:p>
            <w:pPr>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七</w:t>
            </w:r>
          </w:p>
        </w:tc>
        <w:tc>
          <w:tcPr>
            <w:tcW w:w="2126" w:type="dxa"/>
            <w:vAlign w:val="center"/>
          </w:tcPr>
          <w:p>
            <w:pPr>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培训地点</w:t>
            </w:r>
          </w:p>
        </w:tc>
        <w:tc>
          <w:tcPr>
            <w:tcW w:w="6407"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用户现场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vAlign w:val="center"/>
          </w:tcPr>
          <w:p>
            <w:pPr>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八</w:t>
            </w:r>
          </w:p>
        </w:tc>
        <w:tc>
          <w:tcPr>
            <w:tcW w:w="2126" w:type="dxa"/>
            <w:vAlign w:val="center"/>
          </w:tcPr>
          <w:p>
            <w:pPr>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其他优惠政策</w:t>
            </w:r>
          </w:p>
        </w:tc>
        <w:tc>
          <w:tcPr>
            <w:tcW w:w="6407" w:type="dxa"/>
            <w:vAlign w:val="center"/>
          </w:tcPr>
          <w:p>
            <w:pPr>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无</w:t>
            </w:r>
          </w:p>
        </w:tc>
      </w:tr>
    </w:tbl>
    <w:p>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承诺公司签字（盖章）：江苏金智教育信息股份有限公司 </w:t>
      </w:r>
    </w:p>
    <w:p>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联 系 人：</w:t>
      </w:r>
      <w:r>
        <w:rPr>
          <w:rFonts w:hint="eastAsia" w:ascii="宋体" w:hAnsi="宋体" w:eastAsia="宋体" w:cs="宋体"/>
          <w:color w:val="000000" w:themeColor="text1"/>
          <w:sz w:val="21"/>
          <w:szCs w:val="21"/>
          <w:highlight w:val="none"/>
          <w:lang w:val="en-US" w:eastAsia="zh-CN"/>
          <w14:textFill>
            <w14:solidFill>
              <w14:schemeClr w14:val="tx1"/>
            </w14:solidFill>
          </w14:textFill>
        </w:rPr>
        <w:t>林楠</w:t>
      </w:r>
      <w:r>
        <w:rPr>
          <w:rFonts w:hint="eastAsia" w:ascii="宋体" w:hAnsi="宋体" w:eastAsia="宋体" w:cs="宋体"/>
          <w:color w:val="000000" w:themeColor="text1"/>
          <w:sz w:val="21"/>
          <w:szCs w:val="21"/>
          <w:highlight w:val="none"/>
          <w14:textFill>
            <w14:solidFill>
              <w14:schemeClr w14:val="tx1"/>
            </w14:solidFill>
          </w14:textFill>
        </w:rPr>
        <w:t xml:space="preserve"> </w:t>
      </w:r>
    </w:p>
    <w:p>
      <w:pPr>
        <w:spacing w:line="360" w:lineRule="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联系电话：</w:t>
      </w:r>
      <w:r>
        <w:rPr>
          <w:rFonts w:hint="eastAsia" w:ascii="宋体" w:hAnsi="宋体" w:eastAsia="宋体" w:cs="宋体"/>
          <w:color w:val="000000" w:themeColor="text1"/>
          <w:sz w:val="21"/>
          <w:szCs w:val="21"/>
          <w:highlight w:val="none"/>
          <w:lang w:val="en-US" w:eastAsia="zh-CN"/>
          <w14:textFill>
            <w14:solidFill>
              <w14:schemeClr w14:val="tx1"/>
            </w14:solidFill>
          </w14:textFill>
        </w:rPr>
        <w:t>13938493799</w:t>
      </w:r>
    </w:p>
    <w:p>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维修服务热线：4007-99-4007 </w:t>
      </w:r>
    </w:p>
    <w:p>
      <w:pPr>
        <w:spacing w:line="360" w:lineRule="auto"/>
        <w:rPr>
          <w:rFonts w:hint="eastAsia" w:ascii="宋体" w:hAnsi="宋体" w:eastAsia="宋体" w:cs="宋体"/>
          <w:color w:val="000000" w:themeColor="text1"/>
          <w:sz w:val="24"/>
          <w:highlight w:val="none"/>
          <w14:textFill>
            <w14:solidFill>
              <w14:schemeClr w14:val="tx1"/>
            </w14:solidFill>
          </w14:textFill>
        </w:rPr>
      </w:pPr>
    </w:p>
    <w:p>
      <w:pPr>
        <w:spacing w:line="360" w:lineRule="auto"/>
        <w:rPr>
          <w:rFonts w:hint="eastAsia" w:ascii="宋体" w:hAnsi="宋体" w:eastAsia="宋体" w:cs="宋体"/>
          <w:color w:val="000000" w:themeColor="text1"/>
          <w:sz w:val="24"/>
          <w:highlight w:val="none"/>
          <w14:textFill>
            <w14:solidFill>
              <w14:schemeClr w14:val="tx1"/>
            </w14:solidFill>
          </w14:textFill>
        </w:rPr>
      </w:pPr>
    </w:p>
    <w:p>
      <w:pPr>
        <w:spacing w:line="360" w:lineRule="auto"/>
        <w:rPr>
          <w:rFonts w:hint="eastAsia" w:ascii="宋体" w:hAnsi="宋体" w:eastAsia="宋体" w:cs="宋体"/>
          <w:color w:val="000000" w:themeColor="text1"/>
          <w:sz w:val="24"/>
          <w:highlight w:val="none"/>
          <w14:textFill>
            <w14:solidFill>
              <w14:schemeClr w14:val="tx1"/>
            </w14:solidFill>
          </w14:textFill>
        </w:rPr>
      </w:pPr>
    </w:p>
    <w:p>
      <w:pPr>
        <w:spacing w:line="360" w:lineRule="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附件7：              产品制造商售后服务承诺</w:t>
      </w:r>
    </w:p>
    <w:p>
      <w:pPr>
        <w:keepNext/>
        <w:keepLines/>
        <w:numPr>
          <w:ilvl w:val="1"/>
          <w:numId w:val="35"/>
        </w:numPr>
        <w:adjustRightInd w:val="0"/>
        <w:snapToGrid w:val="0"/>
        <w:spacing w:before="246" w:beforeLines="50" w:after="246" w:afterLines="50" w:line="360" w:lineRule="auto"/>
        <w:ind w:left="575" w:leftChars="0" w:hanging="575" w:firstLineChars="0"/>
        <w:outlineLvl w:val="0"/>
        <w:rPr>
          <w:rFonts w:ascii="Times New Roman" w:hAnsi="Times New Roman" w:eastAsia="宋体" w:cs="Times New Roman"/>
          <w:b/>
          <w:bCs/>
          <w:kern w:val="2"/>
          <w:sz w:val="24"/>
          <w:szCs w:val="28"/>
          <w:lang w:val="en-US" w:eastAsia="zh-CN" w:bidi="ar-SA"/>
        </w:rPr>
      </w:pPr>
      <w:bookmarkStart w:id="115" w:name="_Toc175302438"/>
      <w:r>
        <w:rPr>
          <w:rFonts w:hint="eastAsia" w:ascii="Times New Roman" w:hAnsi="Times New Roman" w:eastAsia="宋体" w:cs="Times New Roman"/>
          <w:b/>
          <w:bCs/>
          <w:kern w:val="2"/>
          <w:sz w:val="24"/>
          <w:szCs w:val="28"/>
          <w:lang w:val="en-US" w:eastAsia="zh-CN" w:bidi="ar-SA"/>
        </w:rPr>
        <w:t>售后服务保障方案</w:t>
      </w:r>
      <w:bookmarkEnd w:id="115"/>
    </w:p>
    <w:p>
      <w:pPr>
        <w:keepNext/>
        <w:keepLines/>
        <w:numPr>
          <w:ilvl w:val="2"/>
          <w:numId w:val="36"/>
        </w:numPr>
        <w:adjustRightInd w:val="0"/>
        <w:snapToGrid w:val="0"/>
        <w:spacing w:before="246" w:beforeLines="50" w:after="246" w:afterLines="50" w:line="360" w:lineRule="auto"/>
        <w:ind w:left="0" w:leftChars="0" w:firstLine="0" w:firstLineChars="0"/>
        <w:outlineLvl w:val="1"/>
        <w:rPr>
          <w:rFonts w:ascii="Times New Roman" w:hAnsi="Times New Roman" w:eastAsia="宋体" w:cs="Times New Roman"/>
          <w:b/>
          <w:bCs/>
          <w:kern w:val="2"/>
          <w:sz w:val="24"/>
          <w:szCs w:val="28"/>
          <w:lang w:val="en-US" w:eastAsia="zh-CN" w:bidi="ar-SA"/>
        </w:rPr>
      </w:pPr>
      <w:r>
        <w:rPr>
          <w:rFonts w:hint="eastAsia" w:ascii="Times New Roman" w:hAnsi="Times New Roman" w:eastAsia="宋体" w:cs="Times New Roman"/>
          <w:b/>
          <w:bCs/>
          <w:kern w:val="2"/>
          <w:sz w:val="24"/>
          <w:szCs w:val="28"/>
          <w:lang w:val="en-US" w:eastAsia="zh-CN" w:bidi="ar-SA"/>
        </w:rPr>
        <w:t>服务内容</w:t>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软件运维服务是指软件系统运行中的修改、完善、升级、优化、部署、监控等服务。服务目标是不断满足学校业务的迅速发展，保障学校现有平台或系统的高校稳定运行。详细服务内容如下：</w:t>
      </w:r>
    </w:p>
    <w:tbl>
      <w:tblPr>
        <w:tblStyle w:val="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3"/>
        <w:gridCol w:w="6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13" w:type="dxa"/>
            <w:shd w:val="clear" w:color="auto" w:fill="B8CCE4"/>
            <w:vAlign w:val="center"/>
          </w:tcPr>
          <w:p>
            <w:pPr>
              <w:adjustRightInd w:val="0"/>
              <w:snapToGrid w:val="0"/>
              <w:spacing w:line="360" w:lineRule="auto"/>
              <w:jc w:val="center"/>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服务内容</w:t>
            </w:r>
          </w:p>
        </w:tc>
        <w:tc>
          <w:tcPr>
            <w:tcW w:w="6283" w:type="dxa"/>
            <w:shd w:val="clear" w:color="auto" w:fill="B8CCE4"/>
            <w:vAlign w:val="center"/>
          </w:tcPr>
          <w:p>
            <w:pPr>
              <w:adjustRightInd w:val="0"/>
              <w:snapToGrid w:val="0"/>
              <w:spacing w:line="360" w:lineRule="auto"/>
              <w:jc w:val="center"/>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服务项说明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13" w:type="dxa"/>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BUG修复</w:t>
            </w:r>
          </w:p>
        </w:tc>
        <w:tc>
          <w:tcPr>
            <w:tcW w:w="6283" w:type="dxa"/>
            <w:shd w:val="clear" w:color="auto" w:fill="auto"/>
            <w:vAlign w:val="bottom"/>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针对公司提供的应用系统中存在的BUG，持续提供修正与消缺服务，并提供修复BUG的必要补丁版本的升级服务。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13" w:type="dxa"/>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故障处理</w:t>
            </w:r>
          </w:p>
        </w:tc>
        <w:tc>
          <w:tcPr>
            <w:tcW w:w="6283" w:type="dxa"/>
            <w:shd w:val="clear" w:color="auto" w:fill="auto"/>
            <w:vAlign w:val="bottom"/>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系统上线运行时，当出现一些突发性情况而引起业务的中断时，为了保证系统的正常运行，对该故障进行处理，包括：</w:t>
            </w:r>
          </w:p>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非计划掉电导致系统故障，学校排除故障后，配合系统恢复；</w:t>
            </w:r>
          </w:p>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系统资源不足导致系统故障，学校扩充资源后，配合学校系统恢复；</w:t>
            </w:r>
          </w:p>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硬件故障，学校排除故障并将数据还原后，配合学校系统恢复。</w:t>
            </w:r>
          </w:p>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如出现系统运行环境变更（如：系统文件丢失、系统权限变化、IP变更、操作系统无法启动、数据库故障等），则金智教育无法承诺进行系统恢复。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13" w:type="dxa"/>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咨询答疑</w:t>
            </w:r>
          </w:p>
        </w:tc>
        <w:tc>
          <w:tcPr>
            <w:tcW w:w="6283" w:type="dxa"/>
            <w:shd w:val="clear" w:color="auto" w:fill="auto"/>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针对用户系统使用过程中的运行维护问题，操作类问题进行咨询答疑。保障系统使用过程中的使用保障。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13" w:type="dxa"/>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突发事件响应及处理</w:t>
            </w:r>
          </w:p>
        </w:tc>
        <w:tc>
          <w:tcPr>
            <w:tcW w:w="6283" w:type="dxa"/>
            <w:shd w:val="clear" w:color="auto" w:fill="auto"/>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协助系统维护人员分析，处理系统突发事件，使系统在最短的时间内恢复正常</w:t>
            </w:r>
          </w:p>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在突发事件处理完毕后，根据问题产生原因，完成处理分析报告，在报告中详细描述事件起因，产生原因，解决办法，责任人及后续的改进措施。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13" w:type="dxa"/>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运行支持</w:t>
            </w:r>
          </w:p>
        </w:tc>
        <w:tc>
          <w:tcPr>
            <w:tcW w:w="6283" w:type="dxa"/>
            <w:shd w:val="clear" w:color="auto" w:fill="auto"/>
            <w:vAlign w:val="bottom"/>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对系统运行过程中系统管理员及业务管理员的问题提供解答和问题解决跟踪。</w:t>
            </w:r>
          </w:p>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系统环境调整后，环境文档实时更新；</w:t>
            </w:r>
          </w:p>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系统使用过程中问题解答；</w:t>
            </w:r>
          </w:p>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系统服务临时启停；</w:t>
            </w:r>
          </w:p>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系统运行过程中访问报错问题处理；</w:t>
            </w:r>
          </w:p>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系统使用过程中数据错误问题处理。</w:t>
            </w:r>
          </w:p>
        </w:tc>
      </w:tr>
    </w:tbl>
    <w:p>
      <w:pPr>
        <w:adjustRightInd w:val="0"/>
        <w:snapToGrid w:val="0"/>
        <w:spacing w:line="360" w:lineRule="auto"/>
        <w:ind w:firstLine="480" w:firstLineChars="200"/>
        <w:rPr>
          <w:rFonts w:ascii="Times New Roman" w:hAnsi="Times New Roman" w:eastAsia="宋体" w:cs="Times New Roman"/>
          <w:bCs/>
          <w:sz w:val="24"/>
          <w:szCs w:val="32"/>
        </w:rPr>
      </w:pPr>
    </w:p>
    <w:p>
      <w:pPr>
        <w:keepNext/>
        <w:keepLines/>
        <w:numPr>
          <w:ilvl w:val="2"/>
          <w:numId w:val="36"/>
        </w:numPr>
        <w:adjustRightInd w:val="0"/>
        <w:snapToGrid w:val="0"/>
        <w:spacing w:before="246" w:beforeLines="50" w:after="246" w:afterLines="50" w:line="360" w:lineRule="auto"/>
        <w:ind w:left="0" w:leftChars="0" w:firstLine="0" w:firstLineChars="0"/>
        <w:outlineLvl w:val="1"/>
        <w:rPr>
          <w:rFonts w:ascii="Times New Roman" w:hAnsi="Times New Roman" w:eastAsia="宋体" w:cs="Times New Roman"/>
          <w:b/>
          <w:bCs/>
          <w:kern w:val="2"/>
          <w:sz w:val="24"/>
          <w:szCs w:val="28"/>
          <w:lang w:val="en-US" w:eastAsia="zh-CN" w:bidi="ar-SA"/>
        </w:rPr>
      </w:pPr>
      <w:r>
        <w:rPr>
          <w:rFonts w:hint="eastAsia" w:ascii="Times New Roman" w:hAnsi="Times New Roman" w:eastAsia="宋体" w:cs="Times New Roman"/>
          <w:b/>
          <w:bCs/>
          <w:kern w:val="2"/>
          <w:sz w:val="24"/>
          <w:szCs w:val="28"/>
          <w:lang w:val="en-US" w:eastAsia="zh-CN" w:bidi="ar-SA"/>
        </w:rPr>
        <w:t>服务期限（5年）</w:t>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提供系统自验收之日起5年免费售后服务</w:t>
      </w:r>
      <w:r>
        <w:rPr>
          <w:rFonts w:ascii="Times New Roman" w:hAnsi="Times New Roman" w:eastAsia="宋体" w:cs="Times New Roman"/>
          <w:bCs/>
          <w:sz w:val="24"/>
          <w:szCs w:val="32"/>
        </w:rPr>
        <w:t>。</w:t>
      </w:r>
    </w:p>
    <w:p>
      <w:pPr>
        <w:keepNext/>
        <w:keepLines/>
        <w:numPr>
          <w:ilvl w:val="2"/>
          <w:numId w:val="36"/>
        </w:numPr>
        <w:adjustRightInd w:val="0"/>
        <w:snapToGrid w:val="0"/>
        <w:spacing w:before="246" w:beforeLines="50" w:after="246" w:afterLines="50" w:line="360" w:lineRule="auto"/>
        <w:ind w:left="0" w:leftChars="0" w:firstLine="0" w:firstLineChars="0"/>
        <w:outlineLvl w:val="1"/>
        <w:rPr>
          <w:rFonts w:ascii="Times New Roman" w:hAnsi="Times New Roman" w:eastAsia="宋体" w:cs="Times New Roman"/>
          <w:b/>
          <w:bCs/>
          <w:kern w:val="2"/>
          <w:sz w:val="24"/>
          <w:szCs w:val="28"/>
          <w:lang w:val="en-US" w:eastAsia="zh-CN" w:bidi="ar-SA"/>
        </w:rPr>
      </w:pPr>
      <w:r>
        <w:rPr>
          <w:rFonts w:hint="eastAsia" w:ascii="Times New Roman" w:hAnsi="Times New Roman" w:eastAsia="宋体" w:cs="Times New Roman"/>
          <w:b/>
          <w:bCs/>
          <w:kern w:val="2"/>
          <w:sz w:val="24"/>
          <w:szCs w:val="28"/>
          <w:lang w:val="en-US" w:eastAsia="zh-CN" w:bidi="ar-SA"/>
        </w:rPr>
        <w:t>服务形式</w:t>
      </w:r>
    </w:p>
    <w:tbl>
      <w:tblPr>
        <w:tblStyle w:val="8"/>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066"/>
        <w:gridCol w:w="645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12" w:type="pct"/>
            <w:tcBorders>
              <w:bottom w:val="single" w:color="auto" w:sz="6" w:space="0"/>
            </w:tcBorders>
            <w:shd w:val="clear" w:color="auto" w:fill="B8CCE4"/>
            <w:vAlign w:val="center"/>
          </w:tcPr>
          <w:p>
            <w:pPr>
              <w:adjustRightInd w:val="0"/>
              <w:snapToGrid w:val="0"/>
              <w:spacing w:line="360" w:lineRule="auto"/>
              <w:jc w:val="center"/>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形式</w:t>
            </w:r>
          </w:p>
        </w:tc>
        <w:tc>
          <w:tcPr>
            <w:tcW w:w="3788" w:type="pct"/>
            <w:shd w:val="clear" w:color="auto" w:fill="B8CCE4"/>
            <w:vAlign w:val="center"/>
          </w:tcPr>
          <w:p>
            <w:pPr>
              <w:adjustRightInd w:val="0"/>
              <w:snapToGrid w:val="0"/>
              <w:spacing w:line="360" w:lineRule="auto"/>
              <w:jc w:val="center"/>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详细说明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12" w:type="pct"/>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一、线上服务</w:t>
            </w:r>
          </w:p>
        </w:tc>
        <w:tc>
          <w:tcPr>
            <w:tcW w:w="3788" w:type="pct"/>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用户</w:t>
            </w:r>
            <w:r>
              <w:rPr>
                <w:rFonts w:ascii="Times New Roman" w:hAnsi="Times New Roman" w:eastAsia="宋体" w:cs="Times New Roman"/>
                <w:bCs/>
                <w:kern w:val="2"/>
                <w:sz w:val="21"/>
                <w:szCs w:val="32"/>
                <w:lang w:val="en-US" w:eastAsia="zh-CN" w:bidi="ar-SA"/>
              </w:rPr>
              <w:t>使用公司开通的账号登录工程小助手</w:t>
            </w:r>
            <w:r>
              <w:rPr>
                <w:rFonts w:hint="eastAsia" w:ascii="Times New Roman" w:hAnsi="Times New Roman" w:eastAsia="宋体" w:cs="Times New Roman"/>
                <w:bCs/>
                <w:kern w:val="2"/>
                <w:sz w:val="21"/>
                <w:szCs w:val="32"/>
                <w:lang w:val="en-US" w:eastAsia="zh-CN" w:bidi="ar-SA"/>
              </w:rPr>
              <w:t>（</w:t>
            </w:r>
            <w:r>
              <w:rPr>
                <w:rFonts w:hint="eastAsia" w:ascii="Times New Roman" w:hAnsi="Times New Roman" w:eastAsia="宋体" w:cs="宋体"/>
                <w:bCs/>
                <w:kern w:val="2"/>
                <w:sz w:val="21"/>
                <w:szCs w:val="32"/>
                <w:lang w:val="en-US" w:eastAsia="zh-CN" w:bidi="ar-SA"/>
              </w:rPr>
              <w:t>http://careful.wisedu.com</w:t>
            </w:r>
            <w:r>
              <w:rPr>
                <w:rFonts w:hint="eastAsia" w:ascii="Times New Roman" w:hAnsi="Times New Roman" w:eastAsia="宋体" w:cs="Times New Roman"/>
                <w:bCs/>
                <w:kern w:val="2"/>
                <w:sz w:val="21"/>
                <w:szCs w:val="32"/>
                <w:lang w:val="en-US" w:eastAsia="zh-CN" w:bidi="ar-SA"/>
              </w:rPr>
              <w:t>）</w:t>
            </w:r>
            <w:r>
              <w:rPr>
                <w:rFonts w:ascii="Times New Roman" w:hAnsi="Times New Roman" w:eastAsia="宋体" w:cs="Times New Roman"/>
                <w:bCs/>
                <w:kern w:val="2"/>
                <w:sz w:val="21"/>
                <w:szCs w:val="32"/>
                <w:lang w:val="en-US" w:eastAsia="zh-CN" w:bidi="ar-SA"/>
              </w:rPr>
              <w:t>，在系统中</w:t>
            </w:r>
            <w:r>
              <w:rPr>
                <w:rFonts w:hint="eastAsia" w:ascii="Times New Roman" w:hAnsi="Times New Roman" w:eastAsia="宋体" w:cs="Times New Roman"/>
                <w:bCs/>
                <w:kern w:val="2"/>
                <w:sz w:val="21"/>
                <w:szCs w:val="32"/>
                <w:lang w:val="en-US" w:eastAsia="zh-CN" w:bidi="ar-SA"/>
              </w:rPr>
              <w:t>采取提报</w:t>
            </w:r>
            <w:r>
              <w:rPr>
                <w:rFonts w:ascii="Times New Roman" w:hAnsi="Times New Roman" w:eastAsia="宋体" w:cs="Times New Roman"/>
                <w:bCs/>
                <w:kern w:val="2"/>
                <w:sz w:val="21"/>
                <w:szCs w:val="32"/>
                <w:lang w:val="en-US" w:eastAsia="zh-CN" w:bidi="ar-SA"/>
              </w:rPr>
              <w:t>登记</w:t>
            </w:r>
            <w:r>
              <w:rPr>
                <w:rFonts w:hint="eastAsia" w:ascii="Times New Roman" w:hAnsi="Times New Roman" w:eastAsia="宋体" w:cs="Times New Roman"/>
                <w:bCs/>
                <w:kern w:val="2"/>
                <w:sz w:val="21"/>
                <w:szCs w:val="32"/>
                <w:lang w:val="en-US" w:eastAsia="zh-CN" w:bidi="ar-SA"/>
              </w:rPr>
              <w:t>问题的</w:t>
            </w:r>
            <w:r>
              <w:rPr>
                <w:rFonts w:ascii="Times New Roman" w:hAnsi="Times New Roman" w:eastAsia="宋体" w:cs="Times New Roman"/>
                <w:bCs/>
                <w:kern w:val="2"/>
                <w:sz w:val="21"/>
                <w:szCs w:val="32"/>
                <w:lang w:val="en-US" w:eastAsia="zh-CN" w:bidi="ar-SA"/>
              </w:rPr>
              <w:t>方式发起服务请求，在问题登记页面中</w:t>
            </w:r>
            <w:r>
              <w:rPr>
                <w:rFonts w:hint="eastAsia" w:ascii="Times New Roman" w:hAnsi="Times New Roman" w:eastAsia="宋体" w:cs="Times New Roman"/>
                <w:bCs/>
                <w:kern w:val="2"/>
                <w:sz w:val="21"/>
                <w:szCs w:val="32"/>
                <w:lang w:val="en-US" w:eastAsia="zh-CN" w:bidi="ar-SA"/>
              </w:rPr>
              <w:t>详细</w:t>
            </w:r>
            <w:r>
              <w:rPr>
                <w:rFonts w:ascii="Times New Roman" w:hAnsi="Times New Roman" w:eastAsia="宋体" w:cs="Times New Roman"/>
                <w:bCs/>
                <w:kern w:val="2"/>
                <w:sz w:val="21"/>
                <w:szCs w:val="32"/>
                <w:lang w:val="en-US" w:eastAsia="zh-CN" w:bidi="ar-SA"/>
              </w:rPr>
              <w:t>描述</w:t>
            </w:r>
            <w:r>
              <w:rPr>
                <w:rFonts w:hint="eastAsia" w:ascii="Times New Roman" w:hAnsi="Times New Roman" w:eastAsia="宋体" w:cs="Times New Roman"/>
                <w:bCs/>
                <w:kern w:val="2"/>
                <w:sz w:val="21"/>
                <w:szCs w:val="32"/>
                <w:lang w:val="en-US" w:eastAsia="zh-CN" w:bidi="ar-SA"/>
              </w:rPr>
              <w:t>待</w:t>
            </w:r>
            <w:r>
              <w:rPr>
                <w:rFonts w:ascii="Times New Roman" w:hAnsi="Times New Roman" w:eastAsia="宋体" w:cs="Times New Roman"/>
                <w:bCs/>
                <w:kern w:val="2"/>
                <w:sz w:val="21"/>
                <w:szCs w:val="32"/>
                <w:lang w:val="en-US" w:eastAsia="zh-CN" w:bidi="ar-SA"/>
              </w:rPr>
              <w:t>解决问题的所属产品</w:t>
            </w:r>
            <w:r>
              <w:rPr>
                <w:rFonts w:hint="eastAsia" w:ascii="Times New Roman" w:hAnsi="Times New Roman" w:eastAsia="宋体" w:cs="Times New Roman"/>
                <w:bCs/>
                <w:kern w:val="2"/>
                <w:sz w:val="21"/>
                <w:szCs w:val="32"/>
                <w:lang w:val="en-US" w:eastAsia="zh-CN" w:bidi="ar-SA"/>
              </w:rPr>
              <w:t>、所属</w:t>
            </w:r>
            <w:r>
              <w:rPr>
                <w:rFonts w:ascii="Times New Roman" w:hAnsi="Times New Roman" w:eastAsia="宋体" w:cs="Times New Roman"/>
                <w:bCs/>
                <w:kern w:val="2"/>
                <w:sz w:val="21"/>
                <w:szCs w:val="32"/>
                <w:lang w:val="en-US" w:eastAsia="zh-CN" w:bidi="ar-SA"/>
              </w:rPr>
              <w:t>项目、</w:t>
            </w:r>
            <w:r>
              <w:rPr>
                <w:rFonts w:hint="eastAsia" w:ascii="Times New Roman" w:hAnsi="Times New Roman" w:eastAsia="宋体" w:cs="Times New Roman"/>
                <w:bCs/>
                <w:kern w:val="2"/>
                <w:sz w:val="21"/>
                <w:szCs w:val="32"/>
                <w:lang w:val="en-US" w:eastAsia="zh-CN" w:bidi="ar-SA"/>
              </w:rPr>
              <w:t>问题</w:t>
            </w:r>
            <w:r>
              <w:rPr>
                <w:rFonts w:ascii="Times New Roman" w:hAnsi="Times New Roman" w:eastAsia="宋体" w:cs="Times New Roman"/>
                <w:bCs/>
                <w:kern w:val="2"/>
                <w:sz w:val="21"/>
                <w:szCs w:val="32"/>
                <w:lang w:val="en-US" w:eastAsia="zh-CN" w:bidi="ar-SA"/>
              </w:rPr>
              <w:t>产生过程与现象、系统</w:t>
            </w:r>
            <w:r>
              <w:rPr>
                <w:rFonts w:hint="eastAsia" w:ascii="Times New Roman" w:hAnsi="Times New Roman" w:eastAsia="宋体" w:cs="Times New Roman"/>
                <w:bCs/>
                <w:kern w:val="2"/>
                <w:sz w:val="21"/>
                <w:szCs w:val="32"/>
                <w:lang w:val="en-US" w:eastAsia="zh-CN" w:bidi="ar-SA"/>
              </w:rPr>
              <w:t>环境信息及问题紧急程度、期望解决日期等相关信息，问题</w:t>
            </w:r>
            <w:r>
              <w:rPr>
                <w:rFonts w:ascii="Times New Roman" w:hAnsi="Times New Roman" w:eastAsia="宋体" w:cs="Times New Roman"/>
                <w:bCs/>
                <w:kern w:val="2"/>
                <w:sz w:val="21"/>
                <w:szCs w:val="32"/>
                <w:lang w:val="en-US" w:eastAsia="zh-CN" w:bidi="ar-SA"/>
              </w:rPr>
              <w:t>登记</w:t>
            </w:r>
            <w:r>
              <w:rPr>
                <w:rFonts w:hint="eastAsia" w:ascii="Times New Roman" w:hAnsi="Times New Roman" w:eastAsia="宋体" w:cs="Times New Roman"/>
                <w:bCs/>
                <w:kern w:val="2"/>
                <w:sz w:val="21"/>
                <w:szCs w:val="32"/>
                <w:lang w:val="en-US" w:eastAsia="zh-CN" w:bidi="ar-SA"/>
              </w:rPr>
              <w:t>完成</w:t>
            </w:r>
            <w:r>
              <w:rPr>
                <w:rFonts w:ascii="Times New Roman" w:hAnsi="Times New Roman" w:eastAsia="宋体" w:cs="Times New Roman"/>
                <w:bCs/>
                <w:kern w:val="2"/>
                <w:sz w:val="21"/>
                <w:szCs w:val="32"/>
                <w:lang w:val="en-US" w:eastAsia="zh-CN" w:bidi="ar-SA"/>
              </w:rPr>
              <w:t>后会自动进入对应的处理流程，由专业的服务团队跟踪处理，</w:t>
            </w:r>
            <w:r>
              <w:rPr>
                <w:rFonts w:hint="eastAsia" w:ascii="Times New Roman" w:hAnsi="Times New Roman" w:eastAsia="宋体" w:cs="Times New Roman"/>
                <w:bCs/>
                <w:kern w:val="2"/>
                <w:sz w:val="21"/>
                <w:szCs w:val="32"/>
                <w:lang w:val="en-US" w:eastAsia="zh-CN" w:bidi="ar-SA"/>
              </w:rPr>
              <w:t>处理</w:t>
            </w:r>
            <w:r>
              <w:rPr>
                <w:rFonts w:ascii="Times New Roman" w:hAnsi="Times New Roman" w:eastAsia="宋体" w:cs="Times New Roman"/>
                <w:bCs/>
                <w:kern w:val="2"/>
                <w:sz w:val="21"/>
                <w:szCs w:val="32"/>
                <w:lang w:val="en-US" w:eastAsia="zh-CN" w:bidi="ar-SA"/>
              </w:rPr>
              <w:t>过程</w:t>
            </w:r>
            <w:r>
              <w:rPr>
                <w:rFonts w:hint="eastAsia" w:ascii="Times New Roman" w:hAnsi="Times New Roman" w:eastAsia="宋体" w:cs="Times New Roman"/>
                <w:bCs/>
                <w:kern w:val="2"/>
                <w:sz w:val="21"/>
                <w:szCs w:val="32"/>
                <w:lang w:val="en-US" w:eastAsia="zh-CN" w:bidi="ar-SA"/>
              </w:rPr>
              <w:t>开放</w:t>
            </w:r>
            <w:r>
              <w:rPr>
                <w:rFonts w:ascii="Times New Roman" w:hAnsi="Times New Roman" w:eastAsia="宋体" w:cs="Times New Roman"/>
                <w:bCs/>
                <w:kern w:val="2"/>
                <w:sz w:val="21"/>
                <w:szCs w:val="32"/>
                <w:lang w:val="en-US" w:eastAsia="zh-CN" w:bidi="ar-SA"/>
              </w:rPr>
              <w:t>透明，</w:t>
            </w:r>
            <w:r>
              <w:rPr>
                <w:rFonts w:hint="eastAsia" w:ascii="Times New Roman" w:hAnsi="Times New Roman" w:eastAsia="宋体" w:cs="Times New Roman"/>
                <w:bCs/>
                <w:kern w:val="2"/>
                <w:sz w:val="21"/>
                <w:szCs w:val="32"/>
                <w:lang w:val="en-US" w:eastAsia="zh-CN" w:bidi="ar-SA"/>
              </w:rPr>
              <w:t>所有</w:t>
            </w:r>
            <w:r>
              <w:rPr>
                <w:rFonts w:ascii="Times New Roman" w:hAnsi="Times New Roman" w:eastAsia="宋体" w:cs="Times New Roman"/>
                <w:bCs/>
                <w:kern w:val="2"/>
                <w:sz w:val="21"/>
                <w:szCs w:val="32"/>
                <w:lang w:val="en-US" w:eastAsia="zh-CN" w:bidi="ar-SA"/>
              </w:rPr>
              <w:t>处理过程也全部记录在案。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12" w:type="pct"/>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二、售后服务热线</w:t>
            </w:r>
          </w:p>
        </w:tc>
        <w:tc>
          <w:tcPr>
            <w:tcW w:w="3788" w:type="pct"/>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我司拥有5×8不间断运营的客服中心和7×24的值班电话，是用户方与我司联系沟通的桥梁。客服中心在接到用户服务请求或者监控告警时会迅速对事件进行定性并通知相关部门启动相应流程。售后技术支持热线电话： 4007-99-4007。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12" w:type="pct"/>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三、售后服务Email</w:t>
            </w:r>
          </w:p>
        </w:tc>
        <w:tc>
          <w:tcPr>
            <w:tcW w:w="3788" w:type="pct"/>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itil@wisedu.com (周一至周五，9：00am 至 17：00 pm)，为用户提供最新的产品、技术、应用、特定的产品警示、重要的通知、最新产品文档、技术支持公告、白皮书等相关技术文档</w:t>
            </w:r>
          </w:p>
        </w:tc>
      </w:tr>
    </w:tbl>
    <w:p>
      <w:pPr>
        <w:adjustRightInd w:val="0"/>
        <w:snapToGrid w:val="0"/>
        <w:spacing w:line="360" w:lineRule="auto"/>
        <w:ind w:firstLine="480" w:firstLineChars="200"/>
        <w:rPr>
          <w:rFonts w:ascii="Times New Roman" w:hAnsi="Times New Roman" w:eastAsia="宋体" w:cs="Times New Roman"/>
          <w:bCs/>
          <w:sz w:val="24"/>
          <w:szCs w:val="32"/>
        </w:rPr>
      </w:pPr>
    </w:p>
    <w:p>
      <w:pPr>
        <w:keepNext/>
        <w:keepLines/>
        <w:numPr>
          <w:ilvl w:val="2"/>
          <w:numId w:val="36"/>
        </w:numPr>
        <w:adjustRightInd w:val="0"/>
        <w:snapToGrid w:val="0"/>
        <w:spacing w:before="246" w:beforeLines="50" w:after="246" w:afterLines="50" w:line="360" w:lineRule="auto"/>
        <w:ind w:left="0" w:leftChars="0" w:firstLine="0" w:firstLineChars="0"/>
        <w:outlineLvl w:val="1"/>
        <w:rPr>
          <w:rFonts w:ascii="Times New Roman" w:hAnsi="Times New Roman" w:eastAsia="宋体" w:cs="Times New Roman"/>
          <w:b/>
          <w:bCs/>
          <w:kern w:val="2"/>
          <w:sz w:val="24"/>
          <w:szCs w:val="28"/>
          <w:lang w:val="en-US" w:eastAsia="zh-CN" w:bidi="ar-SA"/>
        </w:rPr>
      </w:pPr>
      <w:r>
        <w:rPr>
          <w:rFonts w:hint="eastAsia" w:ascii="Times New Roman" w:hAnsi="Times New Roman" w:eastAsia="宋体" w:cs="Times New Roman"/>
          <w:b/>
          <w:bCs/>
          <w:kern w:val="2"/>
          <w:sz w:val="24"/>
          <w:szCs w:val="28"/>
          <w:lang w:val="en-US" w:eastAsia="zh-CN" w:bidi="ar-SA"/>
        </w:rPr>
        <w:t>响应时间</w:t>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公司根据用户的三级故障级别划分来确定响应时间：</w:t>
      </w:r>
    </w:p>
    <w:tbl>
      <w:tblPr>
        <w:tblStyle w:val="8"/>
        <w:tblW w:w="88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85" w:type="dxa"/>
          <w:left w:w="85" w:type="dxa"/>
          <w:bottom w:w="85" w:type="dxa"/>
          <w:right w:w="85" w:type="dxa"/>
        </w:tblCellMar>
      </w:tblPr>
      <w:tblGrid>
        <w:gridCol w:w="1194"/>
        <w:gridCol w:w="3465"/>
        <w:gridCol w:w="4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428" w:hRule="atLeast"/>
          <w:jc w:val="center"/>
        </w:trPr>
        <w:tc>
          <w:tcPr>
            <w:tcW w:w="1194" w:type="dxa"/>
            <w:shd w:val="clear" w:color="auto" w:fill="B8CCE4"/>
            <w:vAlign w:val="center"/>
          </w:tcPr>
          <w:p>
            <w:pPr>
              <w:adjustRightInd w:val="0"/>
              <w:snapToGrid w:val="0"/>
              <w:spacing w:line="360" w:lineRule="auto"/>
              <w:jc w:val="center"/>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故障级别</w:t>
            </w:r>
          </w:p>
        </w:tc>
        <w:tc>
          <w:tcPr>
            <w:tcW w:w="3465" w:type="dxa"/>
            <w:shd w:val="clear" w:color="auto" w:fill="B8CCE4"/>
            <w:vAlign w:val="center"/>
          </w:tcPr>
          <w:p>
            <w:pPr>
              <w:adjustRightInd w:val="0"/>
              <w:snapToGrid w:val="0"/>
              <w:spacing w:line="360" w:lineRule="auto"/>
              <w:jc w:val="center"/>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故障描述</w:t>
            </w:r>
          </w:p>
        </w:tc>
        <w:tc>
          <w:tcPr>
            <w:tcW w:w="4167" w:type="dxa"/>
            <w:shd w:val="clear" w:color="auto" w:fill="B8CCE4"/>
            <w:vAlign w:val="center"/>
          </w:tcPr>
          <w:p>
            <w:pPr>
              <w:adjustRightInd w:val="0"/>
              <w:snapToGrid w:val="0"/>
              <w:spacing w:line="360" w:lineRule="auto"/>
              <w:jc w:val="center"/>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对应服务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710" w:hRule="atLeast"/>
          <w:jc w:val="center"/>
        </w:trPr>
        <w:tc>
          <w:tcPr>
            <w:tcW w:w="1194" w:type="dxa"/>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ascii="Times New Roman" w:hAnsi="Times New Roman" w:eastAsia="宋体" w:cs="Times New Roman"/>
                <w:bCs/>
                <w:kern w:val="2"/>
                <w:sz w:val="21"/>
                <w:szCs w:val="32"/>
                <w:lang w:val="en-US" w:eastAsia="zh-CN" w:bidi="ar-SA"/>
              </w:rPr>
              <w:t>SIS</w:t>
            </w:r>
            <w:r>
              <w:rPr>
                <w:rFonts w:hint="eastAsia" w:ascii="Times New Roman" w:hAnsi="Times New Roman" w:eastAsia="宋体" w:cs="Times New Roman"/>
                <w:bCs/>
                <w:kern w:val="2"/>
                <w:sz w:val="21"/>
                <w:szCs w:val="32"/>
                <w:lang w:val="en-US" w:eastAsia="zh-CN" w:bidi="ar-SA"/>
              </w:rPr>
              <w:t>1</w:t>
            </w:r>
          </w:p>
        </w:tc>
        <w:tc>
          <w:tcPr>
            <w:tcW w:w="3465" w:type="dxa"/>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整体系统瘫痪</w:t>
            </w:r>
          </w:p>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基于系统的用户核心业务应用出现严重问题</w:t>
            </w:r>
          </w:p>
        </w:tc>
        <w:tc>
          <w:tcPr>
            <w:tcW w:w="4167" w:type="dxa"/>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对于用户请求，在2小时内予以应答；</w:t>
            </w:r>
          </w:p>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如4小时内无法解决，公司将在8小时内派技术人员前往故障现场，提供直接的技术支持，同时报公司客户服务部备案；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692" w:hRule="atLeast"/>
          <w:jc w:val="center"/>
        </w:trPr>
        <w:tc>
          <w:tcPr>
            <w:tcW w:w="1194" w:type="dxa"/>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SIS2</w:t>
            </w:r>
          </w:p>
        </w:tc>
        <w:tc>
          <w:tcPr>
            <w:tcW w:w="3465" w:type="dxa"/>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系统整体性能下降或不稳定</w:t>
            </w:r>
          </w:p>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严重影响用户核心应用系统</w:t>
            </w:r>
          </w:p>
        </w:tc>
        <w:tc>
          <w:tcPr>
            <w:tcW w:w="4167" w:type="dxa"/>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对于用户请求，在4小时内予以应答；</w:t>
            </w:r>
          </w:p>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如8小时内无法解决，公司将在8小时内派工程人员前往故障现场，提供直接的技术支持，同时报公司客户服务部备案；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1128" w:hRule="atLeast"/>
          <w:jc w:val="center"/>
        </w:trPr>
        <w:tc>
          <w:tcPr>
            <w:tcW w:w="1194" w:type="dxa"/>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SIS3</w:t>
            </w:r>
          </w:p>
        </w:tc>
        <w:tc>
          <w:tcPr>
            <w:tcW w:w="3465" w:type="dxa"/>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系统性能下降，但对用户的主要应用系统目前影响不大</w:t>
            </w:r>
          </w:p>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系统非核心故障，对用户主要应用系统没有影响或影响不大</w:t>
            </w:r>
          </w:p>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依靠用户自身技术水平可以解决的问题</w:t>
            </w:r>
          </w:p>
        </w:tc>
        <w:tc>
          <w:tcPr>
            <w:tcW w:w="4167" w:type="dxa"/>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对于用户请求，在1个工作日内进行问题确认；</w:t>
            </w:r>
          </w:p>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如1个工作日内无法解决，公司将在2~3个工作日解决或给出解决计划；</w:t>
            </w:r>
          </w:p>
        </w:tc>
      </w:tr>
    </w:tbl>
    <w:p>
      <w:pPr>
        <w:adjustRightInd w:val="0"/>
        <w:snapToGrid w:val="0"/>
        <w:spacing w:line="360" w:lineRule="auto"/>
        <w:ind w:firstLine="480" w:firstLineChars="200"/>
        <w:rPr>
          <w:rFonts w:ascii="Times New Roman" w:hAnsi="Times New Roman" w:eastAsia="宋体" w:cs="Times New Roman"/>
          <w:bCs/>
          <w:sz w:val="24"/>
          <w:szCs w:val="32"/>
        </w:rPr>
      </w:pPr>
    </w:p>
    <w:p>
      <w:pPr>
        <w:keepNext/>
        <w:keepLines/>
        <w:numPr>
          <w:ilvl w:val="2"/>
          <w:numId w:val="36"/>
        </w:numPr>
        <w:adjustRightInd w:val="0"/>
        <w:snapToGrid w:val="0"/>
        <w:spacing w:before="246" w:beforeLines="50" w:after="246" w:afterLines="50" w:line="360" w:lineRule="auto"/>
        <w:ind w:left="0" w:leftChars="0" w:firstLine="0" w:firstLineChars="0"/>
        <w:outlineLvl w:val="1"/>
        <w:rPr>
          <w:rFonts w:ascii="Times New Roman" w:hAnsi="Times New Roman" w:eastAsia="宋体" w:cs="Times New Roman"/>
          <w:b/>
          <w:bCs/>
          <w:kern w:val="2"/>
          <w:sz w:val="24"/>
          <w:szCs w:val="28"/>
          <w:lang w:val="en-US" w:eastAsia="zh-CN" w:bidi="ar-SA"/>
        </w:rPr>
      </w:pPr>
      <w:r>
        <w:rPr>
          <w:rFonts w:hint="eastAsia" w:ascii="Times New Roman" w:hAnsi="Times New Roman" w:eastAsia="宋体" w:cs="Times New Roman"/>
          <w:b/>
          <w:bCs/>
          <w:kern w:val="2"/>
          <w:sz w:val="24"/>
          <w:szCs w:val="28"/>
          <w:lang w:val="en-US" w:eastAsia="zh-CN" w:bidi="ar-SA"/>
        </w:rPr>
        <w:t>服务人员组成</w:t>
      </w:r>
    </w:p>
    <w:p>
      <w:pPr>
        <w:keepNext/>
        <w:keepLines/>
        <w:numPr>
          <w:ilvl w:val="2"/>
          <w:numId w:val="36"/>
        </w:numPr>
        <w:adjustRightInd w:val="0"/>
        <w:snapToGrid w:val="0"/>
        <w:spacing w:before="246" w:beforeLines="50" w:after="246" w:afterLines="50" w:line="360" w:lineRule="auto"/>
        <w:ind w:left="0" w:leftChars="0" w:firstLine="0" w:firstLineChars="0"/>
        <w:outlineLvl w:val="1"/>
        <w:rPr>
          <w:rFonts w:ascii="Times New Roman" w:hAnsi="Times New Roman" w:eastAsia="宋体" w:cs="Times New Roman"/>
          <w:b/>
          <w:bCs/>
          <w:kern w:val="2"/>
          <w:sz w:val="24"/>
          <w:szCs w:val="24"/>
          <w:lang w:val="en-US" w:eastAsia="zh-CN" w:bidi="ar-SA"/>
        </w:rPr>
      </w:pPr>
      <w:bookmarkStart w:id="116" w:name="_Toc89777994"/>
      <w:bookmarkStart w:id="117" w:name="_Toc125887300"/>
      <w:r>
        <w:rPr>
          <w:rFonts w:hint="eastAsia" w:ascii="Times New Roman" w:hAnsi="Times New Roman" w:eastAsia="宋体" w:cs="Times New Roman"/>
          <w:b/>
          <w:bCs/>
          <w:kern w:val="2"/>
          <w:sz w:val="24"/>
          <w:szCs w:val="24"/>
          <w:lang w:val="en-US" w:eastAsia="zh-CN" w:bidi="ar-SA"/>
        </w:rPr>
        <w:t>现场项目团队</w:t>
      </w:r>
      <w:bookmarkEnd w:id="116"/>
      <w:bookmarkEnd w:id="117"/>
    </w:p>
    <w:p>
      <w:pPr>
        <w:adjustRightInd w:val="0"/>
        <w:snapToGrid w:val="0"/>
        <w:spacing w:line="360" w:lineRule="auto"/>
        <w:ind w:firstLine="480" w:firstLineChars="200"/>
        <w:rPr>
          <w:rFonts w:ascii="Times New Roman" w:hAnsi="Times New Roman" w:eastAsia="宋体" w:cs="Times New Roman"/>
          <w:bCs/>
          <w:sz w:val="24"/>
          <w:szCs w:val="32"/>
        </w:rPr>
      </w:pPr>
      <w:bookmarkStart w:id="118" w:name="_Toc293318385"/>
      <w:bookmarkStart w:id="119" w:name="_Toc437179366"/>
      <w:bookmarkStart w:id="120" w:name="_Toc516847783"/>
      <w:r>
        <w:rPr>
          <w:rFonts w:hint="eastAsia" w:ascii="Times New Roman" w:hAnsi="Times New Roman" w:eastAsia="宋体" w:cs="Times New Roman"/>
          <w:bCs/>
          <w:sz w:val="24"/>
          <w:szCs w:val="32"/>
        </w:rPr>
        <w:t>现场项目团队一般是由本地的实施同事组成，</w:t>
      </w:r>
      <w:r>
        <w:rPr>
          <w:rFonts w:ascii="Times New Roman" w:hAnsi="Times New Roman" w:eastAsia="宋体" w:cs="Times New Roman"/>
          <w:bCs/>
          <w:sz w:val="24"/>
          <w:szCs w:val="32"/>
        </w:rPr>
        <w:t>直接面向</w:t>
      </w:r>
      <w:r>
        <w:rPr>
          <w:rFonts w:hint="eastAsia" w:ascii="Times New Roman" w:hAnsi="Times New Roman" w:eastAsia="宋体" w:cs="Times New Roman"/>
          <w:bCs/>
          <w:sz w:val="24"/>
          <w:szCs w:val="32"/>
        </w:rPr>
        <w:t>服务</w:t>
      </w:r>
      <w:r>
        <w:rPr>
          <w:rFonts w:ascii="Times New Roman" w:hAnsi="Times New Roman" w:eastAsia="宋体" w:cs="Times New Roman"/>
          <w:bCs/>
          <w:sz w:val="24"/>
          <w:szCs w:val="32"/>
        </w:rPr>
        <w:t>用户，与用户</w:t>
      </w:r>
      <w:r>
        <w:rPr>
          <w:rFonts w:hint="eastAsia" w:ascii="Times New Roman" w:hAnsi="Times New Roman" w:eastAsia="宋体" w:cs="Times New Roman"/>
          <w:bCs/>
          <w:sz w:val="24"/>
          <w:szCs w:val="32"/>
        </w:rPr>
        <w:t>进行</w:t>
      </w:r>
      <w:r>
        <w:rPr>
          <w:rFonts w:ascii="Times New Roman" w:hAnsi="Times New Roman" w:eastAsia="宋体" w:cs="Times New Roman"/>
          <w:bCs/>
          <w:sz w:val="24"/>
          <w:szCs w:val="32"/>
        </w:rPr>
        <w:t>沟通交流，是用户服务请求的第一责任人，</w:t>
      </w:r>
      <w:r>
        <w:rPr>
          <w:rFonts w:hint="eastAsia" w:ascii="Times New Roman" w:hAnsi="Times New Roman" w:eastAsia="宋体" w:cs="Times New Roman"/>
          <w:bCs/>
          <w:sz w:val="24"/>
          <w:szCs w:val="32"/>
        </w:rPr>
        <w:t>用户</w:t>
      </w:r>
      <w:r>
        <w:rPr>
          <w:rFonts w:ascii="Times New Roman" w:hAnsi="Times New Roman" w:eastAsia="宋体" w:cs="Times New Roman"/>
          <w:bCs/>
          <w:sz w:val="24"/>
          <w:szCs w:val="32"/>
        </w:rPr>
        <w:t>发起服务</w:t>
      </w:r>
      <w:r>
        <w:rPr>
          <w:rFonts w:hint="eastAsia" w:ascii="Times New Roman" w:hAnsi="Times New Roman" w:eastAsia="宋体" w:cs="Times New Roman"/>
          <w:bCs/>
          <w:sz w:val="24"/>
          <w:szCs w:val="32"/>
        </w:rPr>
        <w:t>请求</w:t>
      </w:r>
      <w:r>
        <w:rPr>
          <w:rFonts w:ascii="Times New Roman" w:hAnsi="Times New Roman" w:eastAsia="宋体" w:cs="Times New Roman"/>
          <w:bCs/>
          <w:sz w:val="24"/>
          <w:szCs w:val="32"/>
        </w:rPr>
        <w:t>后，将首先由</w:t>
      </w:r>
      <w:r>
        <w:rPr>
          <w:rFonts w:hint="eastAsia" w:ascii="Times New Roman" w:hAnsi="Times New Roman" w:eastAsia="宋体" w:cs="Times New Roman"/>
          <w:bCs/>
          <w:sz w:val="24"/>
          <w:szCs w:val="32"/>
        </w:rPr>
        <w:t>现场</w:t>
      </w:r>
      <w:r>
        <w:rPr>
          <w:rFonts w:ascii="Times New Roman" w:hAnsi="Times New Roman" w:eastAsia="宋体" w:cs="Times New Roman"/>
          <w:bCs/>
          <w:sz w:val="24"/>
          <w:szCs w:val="32"/>
        </w:rPr>
        <w:t>项目团队</w:t>
      </w:r>
      <w:r>
        <w:rPr>
          <w:rFonts w:hint="eastAsia" w:ascii="Times New Roman" w:hAnsi="Times New Roman" w:eastAsia="宋体" w:cs="Times New Roman"/>
          <w:bCs/>
          <w:sz w:val="24"/>
          <w:szCs w:val="32"/>
        </w:rPr>
        <w:t>直接</w:t>
      </w:r>
      <w:r>
        <w:rPr>
          <w:rFonts w:ascii="Times New Roman" w:hAnsi="Times New Roman" w:eastAsia="宋体" w:cs="Times New Roman"/>
          <w:bCs/>
          <w:sz w:val="24"/>
          <w:szCs w:val="32"/>
        </w:rPr>
        <w:t>受理。</w:t>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职责</w:t>
      </w:r>
      <w:r>
        <w:rPr>
          <w:rFonts w:ascii="Times New Roman" w:hAnsi="Times New Roman" w:eastAsia="宋体" w:cs="Times New Roman"/>
          <w:bCs/>
          <w:sz w:val="24"/>
          <w:szCs w:val="32"/>
        </w:rPr>
        <w:t>：</w:t>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1、完整记录所有接收的</w:t>
      </w:r>
      <w:r>
        <w:rPr>
          <w:rFonts w:ascii="Times New Roman" w:hAnsi="Times New Roman" w:eastAsia="宋体" w:cs="Times New Roman"/>
          <w:bCs/>
          <w:sz w:val="24"/>
          <w:szCs w:val="32"/>
        </w:rPr>
        <w:t>问题</w:t>
      </w:r>
      <w:r>
        <w:rPr>
          <w:rFonts w:hint="eastAsia" w:ascii="Times New Roman" w:hAnsi="Times New Roman" w:eastAsia="宋体" w:cs="Times New Roman"/>
          <w:bCs/>
          <w:sz w:val="24"/>
          <w:szCs w:val="32"/>
        </w:rPr>
        <w:t>信息，包括：记录问题报告人的详细联系方式、问题特征表现、描述、发生时间等。</w:t>
      </w:r>
    </w:p>
    <w:p>
      <w:pPr>
        <w:adjustRightInd w:val="0"/>
        <w:snapToGrid w:val="0"/>
        <w:spacing w:line="360" w:lineRule="auto"/>
        <w:ind w:firstLine="480" w:firstLineChars="200"/>
        <w:rPr>
          <w:rFonts w:ascii="Times New Roman" w:hAnsi="Times New Roman" w:eastAsia="宋体" w:cs="Times New Roman"/>
          <w:bCs/>
          <w:sz w:val="24"/>
          <w:szCs w:val="32"/>
        </w:rPr>
      </w:pPr>
      <w:r>
        <w:rPr>
          <w:rFonts w:ascii="Times New Roman" w:hAnsi="Times New Roman" w:eastAsia="宋体" w:cs="Times New Roman"/>
          <w:bCs/>
          <w:sz w:val="24"/>
          <w:szCs w:val="32"/>
        </w:rPr>
        <w:t>2</w:t>
      </w:r>
      <w:r>
        <w:rPr>
          <w:rFonts w:hint="eastAsia" w:ascii="Times New Roman" w:hAnsi="Times New Roman" w:eastAsia="宋体" w:cs="Times New Roman"/>
          <w:bCs/>
          <w:sz w:val="24"/>
          <w:szCs w:val="32"/>
        </w:rPr>
        <w:t>、为问题在小助手系统</w:t>
      </w:r>
      <w:r>
        <w:rPr>
          <w:rFonts w:ascii="Times New Roman" w:hAnsi="Times New Roman" w:eastAsia="宋体" w:cs="Times New Roman"/>
          <w:bCs/>
          <w:sz w:val="24"/>
          <w:szCs w:val="32"/>
        </w:rPr>
        <w:t>中</w:t>
      </w:r>
      <w:r>
        <w:rPr>
          <w:rFonts w:hint="eastAsia" w:ascii="Times New Roman" w:hAnsi="Times New Roman" w:eastAsia="宋体" w:cs="Times New Roman"/>
          <w:bCs/>
          <w:sz w:val="24"/>
          <w:szCs w:val="32"/>
        </w:rPr>
        <w:t>进行适当的分类、为问题分配优先级等属性。</w:t>
      </w:r>
    </w:p>
    <w:p>
      <w:pPr>
        <w:adjustRightInd w:val="0"/>
        <w:snapToGrid w:val="0"/>
        <w:spacing w:line="360" w:lineRule="auto"/>
        <w:ind w:firstLine="480" w:firstLineChars="200"/>
        <w:rPr>
          <w:rFonts w:ascii="Times New Roman" w:hAnsi="Times New Roman" w:eastAsia="宋体" w:cs="Times New Roman"/>
          <w:bCs/>
          <w:sz w:val="24"/>
          <w:szCs w:val="32"/>
        </w:rPr>
      </w:pPr>
      <w:r>
        <w:rPr>
          <w:rFonts w:ascii="Times New Roman" w:hAnsi="Times New Roman" w:eastAsia="宋体" w:cs="Times New Roman"/>
          <w:bCs/>
          <w:sz w:val="24"/>
          <w:szCs w:val="32"/>
        </w:rPr>
        <w:t>3</w:t>
      </w:r>
      <w:r>
        <w:rPr>
          <w:rFonts w:hint="eastAsia" w:ascii="Times New Roman" w:hAnsi="Times New Roman" w:eastAsia="宋体" w:cs="Times New Roman"/>
          <w:bCs/>
          <w:sz w:val="24"/>
          <w:szCs w:val="32"/>
        </w:rPr>
        <w:t>、尝试使用工具、知识库分析相关信息等方式进行诊断并解决问题。</w:t>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4、</w:t>
      </w:r>
      <w:r>
        <w:rPr>
          <w:rFonts w:ascii="Times New Roman" w:hAnsi="Times New Roman" w:eastAsia="宋体" w:cs="Times New Roman"/>
          <w:bCs/>
          <w:sz w:val="24"/>
          <w:szCs w:val="32"/>
        </w:rPr>
        <w:t>负责对</w:t>
      </w:r>
      <w:r>
        <w:rPr>
          <w:rFonts w:hint="eastAsia" w:ascii="Times New Roman" w:hAnsi="Times New Roman" w:eastAsia="宋体" w:cs="Times New Roman"/>
          <w:bCs/>
          <w:sz w:val="24"/>
          <w:szCs w:val="32"/>
        </w:rPr>
        <w:t>问题</w:t>
      </w:r>
      <w:r>
        <w:rPr>
          <w:rFonts w:ascii="Times New Roman" w:hAnsi="Times New Roman" w:eastAsia="宋体" w:cs="Times New Roman"/>
          <w:bCs/>
          <w:sz w:val="24"/>
          <w:szCs w:val="32"/>
        </w:rPr>
        <w:t>的解决协调资源，保证故障的最终排除</w:t>
      </w:r>
      <w:r>
        <w:rPr>
          <w:rFonts w:hint="eastAsia" w:ascii="Times New Roman" w:hAnsi="Times New Roman" w:eastAsia="宋体" w:cs="Times New Roman"/>
          <w:bCs/>
          <w:sz w:val="24"/>
          <w:szCs w:val="32"/>
        </w:rPr>
        <w:t>。</w:t>
      </w:r>
    </w:p>
    <w:p>
      <w:pPr>
        <w:adjustRightInd w:val="0"/>
        <w:snapToGrid w:val="0"/>
        <w:spacing w:line="360" w:lineRule="auto"/>
        <w:ind w:firstLine="480" w:firstLineChars="200"/>
        <w:rPr>
          <w:rFonts w:ascii="Times New Roman" w:hAnsi="Times New Roman" w:eastAsia="宋体" w:cs="Times New Roman"/>
          <w:bCs/>
          <w:sz w:val="24"/>
          <w:szCs w:val="32"/>
        </w:rPr>
      </w:pPr>
      <w:r>
        <w:rPr>
          <w:rFonts w:ascii="Times New Roman" w:hAnsi="Times New Roman" w:eastAsia="宋体" w:cs="Times New Roman"/>
          <w:bCs/>
          <w:sz w:val="24"/>
          <w:szCs w:val="32"/>
        </w:rPr>
        <w:t>5</w:t>
      </w:r>
      <w:r>
        <w:rPr>
          <w:rFonts w:hint="eastAsia" w:ascii="Times New Roman" w:hAnsi="Times New Roman" w:eastAsia="宋体" w:cs="Times New Roman"/>
          <w:bCs/>
          <w:sz w:val="24"/>
          <w:szCs w:val="32"/>
        </w:rPr>
        <w:t>、需要总部专家团队协助时可以转</w:t>
      </w:r>
      <w:r>
        <w:rPr>
          <w:rFonts w:ascii="Times New Roman" w:hAnsi="Times New Roman" w:eastAsia="宋体" w:cs="Times New Roman"/>
          <w:bCs/>
          <w:sz w:val="24"/>
          <w:szCs w:val="32"/>
        </w:rPr>
        <w:t>给专家团队进行处理</w:t>
      </w:r>
      <w:r>
        <w:rPr>
          <w:rFonts w:hint="eastAsia" w:ascii="Times New Roman" w:hAnsi="Times New Roman" w:eastAsia="宋体" w:cs="Times New Roman"/>
          <w:bCs/>
          <w:sz w:val="24"/>
          <w:szCs w:val="32"/>
        </w:rPr>
        <w:t>。</w:t>
      </w:r>
    </w:p>
    <w:p>
      <w:pPr>
        <w:adjustRightInd w:val="0"/>
        <w:snapToGrid w:val="0"/>
        <w:spacing w:line="360" w:lineRule="auto"/>
        <w:ind w:firstLine="480" w:firstLineChars="200"/>
        <w:rPr>
          <w:rFonts w:ascii="Times New Roman" w:hAnsi="Times New Roman" w:eastAsia="宋体" w:cs="Times New Roman"/>
          <w:bCs/>
          <w:sz w:val="24"/>
          <w:szCs w:val="32"/>
        </w:rPr>
      </w:pPr>
      <w:r>
        <w:rPr>
          <w:rFonts w:ascii="Times New Roman" w:hAnsi="Times New Roman" w:eastAsia="宋体" w:cs="Times New Roman"/>
          <w:bCs/>
          <w:sz w:val="24"/>
          <w:szCs w:val="32"/>
        </w:rPr>
        <w:t>6</w:t>
      </w:r>
      <w:r>
        <w:rPr>
          <w:rFonts w:hint="eastAsia" w:ascii="Times New Roman" w:hAnsi="Times New Roman" w:eastAsia="宋体" w:cs="Times New Roman"/>
          <w:bCs/>
          <w:sz w:val="24"/>
          <w:szCs w:val="32"/>
        </w:rPr>
        <w:t>、检查问题的处理进度，保持与问题报告人的联系，适时通知问题处理进展。</w:t>
      </w:r>
    </w:p>
    <w:p>
      <w:pPr>
        <w:adjustRightInd w:val="0"/>
        <w:snapToGrid w:val="0"/>
        <w:spacing w:line="360" w:lineRule="auto"/>
        <w:ind w:firstLine="480" w:firstLineChars="200"/>
        <w:rPr>
          <w:rFonts w:ascii="Times New Roman" w:hAnsi="Times New Roman" w:eastAsia="宋体" w:cs="Times New Roman"/>
          <w:bCs/>
          <w:sz w:val="24"/>
          <w:szCs w:val="32"/>
        </w:rPr>
      </w:pPr>
      <w:r>
        <w:rPr>
          <w:rFonts w:ascii="Times New Roman" w:hAnsi="Times New Roman" w:eastAsia="宋体" w:cs="Times New Roman"/>
          <w:bCs/>
          <w:sz w:val="24"/>
          <w:szCs w:val="32"/>
        </w:rPr>
        <w:t>7</w:t>
      </w:r>
      <w:r>
        <w:rPr>
          <w:rFonts w:hint="eastAsia" w:ascii="Times New Roman" w:hAnsi="Times New Roman" w:eastAsia="宋体" w:cs="Times New Roman"/>
          <w:bCs/>
          <w:sz w:val="24"/>
          <w:szCs w:val="32"/>
        </w:rPr>
        <w:t>、与用户确认问题解决方案，申请关闭</w:t>
      </w:r>
      <w:r>
        <w:rPr>
          <w:rFonts w:ascii="Times New Roman" w:hAnsi="Times New Roman" w:eastAsia="宋体" w:cs="Times New Roman"/>
          <w:bCs/>
          <w:sz w:val="24"/>
          <w:szCs w:val="32"/>
        </w:rPr>
        <w:t>问题</w:t>
      </w:r>
      <w:r>
        <w:rPr>
          <w:rFonts w:hint="eastAsia" w:ascii="Times New Roman" w:hAnsi="Times New Roman" w:eastAsia="宋体" w:cs="Times New Roman"/>
          <w:bCs/>
          <w:sz w:val="24"/>
          <w:szCs w:val="32"/>
        </w:rPr>
        <w:t>。</w:t>
      </w:r>
    </w:p>
    <w:p>
      <w:pPr>
        <w:adjustRightInd w:val="0"/>
        <w:snapToGrid w:val="0"/>
        <w:spacing w:line="360" w:lineRule="auto"/>
        <w:ind w:firstLine="480" w:firstLineChars="200"/>
        <w:rPr>
          <w:rFonts w:ascii="Times New Roman" w:hAnsi="Times New Roman" w:eastAsia="宋体" w:cs="Times New Roman"/>
          <w:bCs/>
          <w:sz w:val="24"/>
          <w:szCs w:val="32"/>
        </w:rPr>
      </w:pPr>
      <w:r>
        <w:rPr>
          <w:rFonts w:ascii="Times New Roman" w:hAnsi="Times New Roman" w:eastAsia="宋体" w:cs="Times New Roman"/>
          <w:bCs/>
          <w:sz w:val="24"/>
          <w:szCs w:val="32"/>
        </w:rPr>
        <w:t>8</w:t>
      </w:r>
      <w:r>
        <w:rPr>
          <w:rFonts w:hint="eastAsia" w:ascii="Times New Roman" w:hAnsi="Times New Roman" w:eastAsia="宋体" w:cs="Times New Roman"/>
          <w:bCs/>
          <w:sz w:val="24"/>
          <w:szCs w:val="32"/>
        </w:rPr>
        <w:t>、</w:t>
      </w:r>
      <w:r>
        <w:rPr>
          <w:rFonts w:ascii="Times New Roman" w:hAnsi="Times New Roman" w:eastAsia="宋体" w:cs="Times New Roman"/>
          <w:bCs/>
          <w:sz w:val="24"/>
          <w:szCs w:val="32"/>
        </w:rPr>
        <w:t>接受用户的处理评价和监督</w:t>
      </w:r>
      <w:r>
        <w:rPr>
          <w:rFonts w:hint="eastAsia" w:ascii="Times New Roman" w:hAnsi="Times New Roman" w:eastAsia="宋体" w:cs="Times New Roman"/>
          <w:bCs/>
          <w:sz w:val="24"/>
          <w:szCs w:val="32"/>
        </w:rPr>
        <w:t>。</w:t>
      </w:r>
    </w:p>
    <w:bookmarkEnd w:id="118"/>
    <w:bookmarkEnd w:id="119"/>
    <w:bookmarkEnd w:id="120"/>
    <w:p>
      <w:pPr>
        <w:keepNext/>
        <w:keepLines/>
        <w:numPr>
          <w:ilvl w:val="2"/>
          <w:numId w:val="36"/>
        </w:numPr>
        <w:adjustRightInd w:val="0"/>
        <w:snapToGrid w:val="0"/>
        <w:spacing w:before="246" w:beforeLines="50" w:after="246" w:afterLines="50" w:line="360" w:lineRule="auto"/>
        <w:ind w:left="0" w:leftChars="0" w:firstLine="0" w:firstLineChars="0"/>
        <w:outlineLvl w:val="1"/>
        <w:rPr>
          <w:rFonts w:ascii="Times New Roman" w:hAnsi="Times New Roman" w:eastAsia="宋体" w:cs="Times New Roman"/>
          <w:b/>
          <w:bCs/>
          <w:kern w:val="2"/>
          <w:sz w:val="24"/>
          <w:szCs w:val="24"/>
          <w:lang w:val="en-US" w:eastAsia="zh-CN" w:bidi="ar-SA"/>
        </w:rPr>
      </w:pPr>
      <w:bookmarkStart w:id="121" w:name="_Toc89777995"/>
      <w:bookmarkStart w:id="122" w:name="_Toc125887301"/>
      <w:r>
        <w:rPr>
          <w:rFonts w:hint="eastAsia" w:ascii="Times New Roman" w:hAnsi="Times New Roman" w:eastAsia="宋体" w:cs="Times New Roman"/>
          <w:b/>
          <w:bCs/>
          <w:kern w:val="2"/>
          <w:sz w:val="24"/>
          <w:szCs w:val="24"/>
          <w:lang w:val="en-US" w:eastAsia="zh-CN" w:bidi="ar-SA"/>
        </w:rPr>
        <w:t>总部工程专家</w:t>
      </w:r>
      <w:bookmarkEnd w:id="121"/>
      <w:bookmarkEnd w:id="122"/>
    </w:p>
    <w:p>
      <w:pPr>
        <w:adjustRightInd w:val="0"/>
        <w:snapToGrid w:val="0"/>
        <w:spacing w:line="360" w:lineRule="auto"/>
        <w:ind w:firstLine="480" w:firstLineChars="200"/>
        <w:rPr>
          <w:rFonts w:ascii="Times New Roman" w:hAnsi="Times New Roman" w:eastAsia="宋体" w:cs="Times New Roman"/>
          <w:bCs/>
          <w:sz w:val="24"/>
          <w:szCs w:val="32"/>
        </w:rPr>
      </w:pPr>
      <w:bookmarkStart w:id="123" w:name="_Toc293318386"/>
      <w:bookmarkStart w:id="124" w:name="_Toc437179367"/>
      <w:bookmarkStart w:id="125" w:name="_Toc516847784"/>
      <w:r>
        <w:rPr>
          <w:rFonts w:hint="eastAsia" w:ascii="Times New Roman" w:hAnsi="Times New Roman" w:eastAsia="宋体" w:cs="Times New Roman"/>
          <w:bCs/>
          <w:sz w:val="24"/>
          <w:szCs w:val="32"/>
        </w:rPr>
        <w:t>总部工程</w:t>
      </w:r>
      <w:r>
        <w:rPr>
          <w:rFonts w:ascii="Times New Roman" w:hAnsi="Times New Roman" w:eastAsia="宋体" w:cs="Times New Roman"/>
          <w:bCs/>
          <w:sz w:val="24"/>
          <w:szCs w:val="32"/>
        </w:rPr>
        <w:t>专家作为</w:t>
      </w:r>
      <w:r>
        <w:rPr>
          <w:rFonts w:hint="eastAsia" w:ascii="Times New Roman" w:hAnsi="Times New Roman" w:eastAsia="宋体" w:cs="Times New Roman"/>
          <w:bCs/>
          <w:sz w:val="24"/>
          <w:szCs w:val="32"/>
        </w:rPr>
        <w:t>对应产品的工程技术专家</w:t>
      </w:r>
      <w:r>
        <w:rPr>
          <w:rFonts w:ascii="Times New Roman" w:hAnsi="Times New Roman" w:eastAsia="宋体" w:cs="Times New Roman"/>
          <w:bCs/>
          <w:sz w:val="24"/>
          <w:szCs w:val="32"/>
        </w:rPr>
        <w:t>，负责处理项目团队</w:t>
      </w:r>
      <w:r>
        <w:rPr>
          <w:rFonts w:hint="eastAsia" w:ascii="Times New Roman" w:hAnsi="Times New Roman" w:eastAsia="宋体" w:cs="Times New Roman"/>
          <w:bCs/>
          <w:sz w:val="24"/>
          <w:szCs w:val="32"/>
        </w:rPr>
        <w:t>需要</w:t>
      </w:r>
      <w:r>
        <w:rPr>
          <w:rFonts w:ascii="Times New Roman" w:hAnsi="Times New Roman" w:eastAsia="宋体" w:cs="Times New Roman"/>
          <w:bCs/>
          <w:sz w:val="24"/>
          <w:szCs w:val="32"/>
        </w:rPr>
        <w:t>协助的问题</w:t>
      </w:r>
      <w:r>
        <w:rPr>
          <w:rFonts w:hint="eastAsia" w:ascii="Times New Roman" w:hAnsi="Times New Roman" w:eastAsia="宋体" w:cs="Times New Roman"/>
          <w:bCs/>
          <w:sz w:val="24"/>
          <w:szCs w:val="32"/>
        </w:rPr>
        <w:t>。</w:t>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职责</w:t>
      </w:r>
      <w:r>
        <w:rPr>
          <w:rFonts w:ascii="Times New Roman" w:hAnsi="Times New Roman" w:eastAsia="宋体" w:cs="Times New Roman"/>
          <w:bCs/>
          <w:sz w:val="24"/>
          <w:szCs w:val="32"/>
        </w:rPr>
        <w:t>：</w:t>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1、</w:t>
      </w:r>
      <w:r>
        <w:rPr>
          <w:rFonts w:ascii="Times New Roman" w:hAnsi="Times New Roman" w:eastAsia="宋体" w:cs="Times New Roman"/>
          <w:bCs/>
          <w:sz w:val="24"/>
          <w:szCs w:val="32"/>
        </w:rPr>
        <w:t>验证</w:t>
      </w:r>
      <w:r>
        <w:rPr>
          <w:rFonts w:hint="eastAsia" w:ascii="Times New Roman" w:hAnsi="Times New Roman" w:eastAsia="宋体" w:cs="Times New Roman"/>
          <w:bCs/>
          <w:sz w:val="24"/>
          <w:szCs w:val="32"/>
        </w:rPr>
        <w:t>问题</w:t>
      </w:r>
      <w:r>
        <w:rPr>
          <w:rFonts w:ascii="Times New Roman" w:hAnsi="Times New Roman" w:eastAsia="宋体" w:cs="Times New Roman"/>
          <w:bCs/>
          <w:sz w:val="24"/>
          <w:szCs w:val="32"/>
        </w:rPr>
        <w:t>的描述和信息，进一步</w:t>
      </w:r>
      <w:r>
        <w:rPr>
          <w:rFonts w:hint="eastAsia" w:ascii="Times New Roman" w:hAnsi="Times New Roman" w:eastAsia="宋体" w:cs="Times New Roman"/>
          <w:bCs/>
          <w:sz w:val="24"/>
          <w:szCs w:val="32"/>
        </w:rPr>
        <w:t>分析处理。</w:t>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2、进行</w:t>
      </w:r>
      <w:r>
        <w:rPr>
          <w:rFonts w:ascii="Times New Roman" w:hAnsi="Times New Roman" w:eastAsia="宋体" w:cs="Times New Roman"/>
          <w:bCs/>
          <w:sz w:val="24"/>
          <w:szCs w:val="32"/>
        </w:rPr>
        <w:t>深入调查研究</w:t>
      </w:r>
      <w:r>
        <w:rPr>
          <w:rFonts w:hint="eastAsia" w:ascii="Times New Roman" w:hAnsi="Times New Roman" w:eastAsia="宋体" w:cs="Times New Roman"/>
          <w:bCs/>
          <w:sz w:val="24"/>
          <w:szCs w:val="32"/>
        </w:rPr>
        <w:t>或协调厂商</w:t>
      </w:r>
      <w:r>
        <w:rPr>
          <w:rFonts w:ascii="Times New Roman" w:hAnsi="Times New Roman" w:eastAsia="宋体" w:cs="Times New Roman"/>
          <w:bCs/>
          <w:sz w:val="24"/>
          <w:szCs w:val="32"/>
        </w:rPr>
        <w:t>支持</w:t>
      </w:r>
      <w:r>
        <w:rPr>
          <w:rFonts w:hint="eastAsia" w:ascii="Times New Roman" w:hAnsi="Times New Roman" w:eastAsia="宋体" w:cs="Times New Roman"/>
          <w:bCs/>
          <w:sz w:val="24"/>
          <w:szCs w:val="32"/>
        </w:rPr>
        <w:t>，</w:t>
      </w:r>
      <w:r>
        <w:rPr>
          <w:rFonts w:ascii="Times New Roman" w:hAnsi="Times New Roman" w:eastAsia="宋体" w:cs="Times New Roman"/>
          <w:bCs/>
          <w:sz w:val="24"/>
          <w:szCs w:val="32"/>
        </w:rPr>
        <w:t>提供有效的解决方案</w:t>
      </w:r>
      <w:r>
        <w:rPr>
          <w:rFonts w:hint="eastAsia" w:ascii="Times New Roman" w:hAnsi="Times New Roman" w:eastAsia="宋体" w:cs="Times New Roman"/>
          <w:bCs/>
          <w:sz w:val="24"/>
          <w:szCs w:val="32"/>
        </w:rPr>
        <w:t>。</w:t>
      </w:r>
    </w:p>
    <w:p>
      <w:pPr>
        <w:adjustRightInd w:val="0"/>
        <w:snapToGrid w:val="0"/>
        <w:spacing w:line="360" w:lineRule="auto"/>
        <w:ind w:firstLine="480" w:firstLineChars="200"/>
        <w:rPr>
          <w:rFonts w:ascii="Times New Roman" w:hAnsi="Times New Roman" w:eastAsia="宋体" w:cs="Times New Roman"/>
          <w:bCs/>
          <w:sz w:val="24"/>
          <w:szCs w:val="32"/>
        </w:rPr>
      </w:pPr>
      <w:r>
        <w:rPr>
          <w:rFonts w:ascii="Times New Roman" w:hAnsi="Times New Roman" w:eastAsia="宋体" w:cs="Times New Roman"/>
          <w:bCs/>
          <w:sz w:val="24"/>
          <w:szCs w:val="32"/>
        </w:rPr>
        <w:t>3</w:t>
      </w:r>
      <w:r>
        <w:rPr>
          <w:rFonts w:hint="eastAsia" w:ascii="Times New Roman" w:hAnsi="Times New Roman" w:eastAsia="宋体" w:cs="Times New Roman"/>
          <w:bCs/>
          <w:sz w:val="24"/>
          <w:szCs w:val="32"/>
        </w:rPr>
        <w:t>、对于现场技术团队的技术支持。</w:t>
      </w:r>
    </w:p>
    <w:p>
      <w:pPr>
        <w:adjustRightInd w:val="0"/>
        <w:snapToGrid w:val="0"/>
        <w:spacing w:line="360" w:lineRule="auto"/>
        <w:ind w:firstLine="480" w:firstLineChars="200"/>
        <w:rPr>
          <w:rFonts w:ascii="Times New Roman" w:hAnsi="Times New Roman" w:eastAsia="宋体" w:cs="Times New Roman"/>
          <w:bCs/>
          <w:sz w:val="24"/>
          <w:szCs w:val="32"/>
        </w:rPr>
      </w:pPr>
      <w:r>
        <w:rPr>
          <w:rFonts w:ascii="Times New Roman" w:hAnsi="Times New Roman" w:eastAsia="宋体" w:cs="Times New Roman"/>
          <w:bCs/>
          <w:sz w:val="24"/>
          <w:szCs w:val="32"/>
        </w:rPr>
        <w:t>4</w:t>
      </w:r>
      <w:r>
        <w:rPr>
          <w:rFonts w:hint="eastAsia" w:ascii="Times New Roman" w:hAnsi="Times New Roman" w:eastAsia="宋体" w:cs="Times New Roman"/>
          <w:bCs/>
          <w:sz w:val="24"/>
          <w:szCs w:val="32"/>
        </w:rPr>
        <w:t>、对于重大故障和疑难杂症的</w:t>
      </w:r>
      <w:r>
        <w:rPr>
          <w:rFonts w:ascii="Times New Roman" w:hAnsi="Times New Roman" w:eastAsia="宋体" w:cs="Times New Roman"/>
          <w:bCs/>
          <w:sz w:val="24"/>
          <w:szCs w:val="32"/>
        </w:rPr>
        <w:t>进行</w:t>
      </w:r>
      <w:r>
        <w:rPr>
          <w:rFonts w:hint="eastAsia" w:ascii="Times New Roman" w:hAnsi="Times New Roman" w:eastAsia="宋体" w:cs="Times New Roman"/>
          <w:bCs/>
          <w:sz w:val="24"/>
          <w:szCs w:val="32"/>
        </w:rPr>
        <w:t>支持。</w:t>
      </w:r>
    </w:p>
    <w:bookmarkEnd w:id="123"/>
    <w:bookmarkEnd w:id="124"/>
    <w:bookmarkEnd w:id="125"/>
    <w:p>
      <w:pPr>
        <w:keepNext/>
        <w:keepLines/>
        <w:numPr>
          <w:ilvl w:val="2"/>
          <w:numId w:val="36"/>
        </w:numPr>
        <w:adjustRightInd w:val="0"/>
        <w:snapToGrid w:val="0"/>
        <w:spacing w:before="246" w:beforeLines="50" w:after="246" w:afterLines="50" w:line="360" w:lineRule="auto"/>
        <w:ind w:left="0" w:leftChars="0" w:firstLine="0" w:firstLineChars="0"/>
        <w:outlineLvl w:val="1"/>
        <w:rPr>
          <w:rFonts w:ascii="Times New Roman" w:hAnsi="Times New Roman" w:eastAsia="宋体" w:cs="Times New Roman"/>
          <w:b/>
          <w:bCs/>
          <w:kern w:val="2"/>
          <w:sz w:val="24"/>
          <w:szCs w:val="24"/>
          <w:lang w:val="en-US" w:eastAsia="zh-CN" w:bidi="ar-SA"/>
        </w:rPr>
      </w:pPr>
      <w:bookmarkStart w:id="126" w:name="_Toc125887302"/>
      <w:bookmarkStart w:id="127" w:name="_Toc89777996"/>
      <w:r>
        <w:rPr>
          <w:rFonts w:hint="eastAsia" w:ascii="Times New Roman" w:hAnsi="Times New Roman" w:eastAsia="宋体" w:cs="Times New Roman"/>
          <w:b/>
          <w:bCs/>
          <w:kern w:val="2"/>
          <w:sz w:val="24"/>
          <w:szCs w:val="24"/>
          <w:lang w:val="en-US" w:eastAsia="zh-CN" w:bidi="ar-SA"/>
        </w:rPr>
        <w:t>总部产品专家</w:t>
      </w:r>
      <w:bookmarkEnd w:id="126"/>
      <w:bookmarkEnd w:id="127"/>
    </w:p>
    <w:p>
      <w:pPr>
        <w:adjustRightInd w:val="0"/>
        <w:snapToGrid w:val="0"/>
        <w:spacing w:line="360" w:lineRule="auto"/>
        <w:ind w:firstLine="480" w:firstLineChars="200"/>
        <w:rPr>
          <w:rFonts w:ascii="Times New Roman" w:hAnsi="Times New Roman" w:eastAsia="宋体" w:cs="Times New Roman"/>
          <w:bCs/>
          <w:sz w:val="24"/>
          <w:szCs w:val="32"/>
        </w:rPr>
      </w:pPr>
      <w:bookmarkStart w:id="128" w:name="_Toc516847766"/>
      <w:bookmarkStart w:id="129" w:name="_Toc437179349"/>
      <w:bookmarkStart w:id="130" w:name="_Toc293318376"/>
      <w:bookmarkStart w:id="131" w:name="_Toc437179369"/>
      <w:bookmarkStart w:id="132" w:name="_Toc516847786"/>
      <w:bookmarkStart w:id="133" w:name="_Toc293318388"/>
      <w:r>
        <w:rPr>
          <w:rFonts w:hint="eastAsia" w:ascii="Times New Roman" w:hAnsi="Times New Roman" w:eastAsia="宋体" w:cs="Times New Roman"/>
          <w:bCs/>
          <w:sz w:val="24"/>
          <w:szCs w:val="32"/>
        </w:rPr>
        <w:t>总部产品</w:t>
      </w:r>
      <w:r>
        <w:rPr>
          <w:rFonts w:ascii="Times New Roman" w:hAnsi="Times New Roman" w:eastAsia="宋体" w:cs="Times New Roman"/>
          <w:bCs/>
          <w:sz w:val="24"/>
          <w:szCs w:val="32"/>
        </w:rPr>
        <w:t>专家作为</w:t>
      </w:r>
      <w:r>
        <w:rPr>
          <w:rFonts w:hint="eastAsia" w:ascii="Times New Roman" w:hAnsi="Times New Roman" w:eastAsia="宋体" w:cs="Times New Roman"/>
          <w:bCs/>
          <w:sz w:val="24"/>
          <w:szCs w:val="32"/>
        </w:rPr>
        <w:t>产品</w:t>
      </w:r>
      <w:r>
        <w:rPr>
          <w:rFonts w:ascii="Times New Roman" w:hAnsi="Times New Roman" w:eastAsia="宋体" w:cs="Times New Roman"/>
          <w:bCs/>
          <w:sz w:val="24"/>
          <w:szCs w:val="32"/>
        </w:rPr>
        <w:t>的技术专家，</w:t>
      </w:r>
      <w:r>
        <w:rPr>
          <w:rFonts w:hint="eastAsia" w:ascii="Times New Roman" w:hAnsi="Times New Roman" w:eastAsia="宋体" w:cs="Times New Roman"/>
          <w:bCs/>
          <w:sz w:val="24"/>
          <w:szCs w:val="32"/>
        </w:rPr>
        <w:t>可以</w:t>
      </w:r>
      <w:r>
        <w:rPr>
          <w:rFonts w:ascii="Times New Roman" w:hAnsi="Times New Roman" w:eastAsia="宋体" w:cs="Times New Roman"/>
          <w:bCs/>
          <w:sz w:val="24"/>
          <w:szCs w:val="32"/>
        </w:rPr>
        <w:t>与产品研发一起对疑难问题进行支持和处理。</w:t>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职责</w:t>
      </w:r>
      <w:r>
        <w:rPr>
          <w:rFonts w:ascii="Times New Roman" w:hAnsi="Times New Roman" w:eastAsia="宋体" w:cs="Times New Roman"/>
          <w:bCs/>
          <w:sz w:val="24"/>
          <w:szCs w:val="32"/>
        </w:rPr>
        <w:t>：</w:t>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1、</w:t>
      </w:r>
      <w:r>
        <w:rPr>
          <w:rFonts w:ascii="Times New Roman" w:hAnsi="Times New Roman" w:eastAsia="宋体" w:cs="Times New Roman"/>
          <w:bCs/>
          <w:sz w:val="24"/>
          <w:szCs w:val="32"/>
        </w:rPr>
        <w:t>验证</w:t>
      </w:r>
      <w:r>
        <w:rPr>
          <w:rFonts w:hint="eastAsia" w:ascii="Times New Roman" w:hAnsi="Times New Roman" w:eastAsia="宋体" w:cs="Times New Roman"/>
          <w:bCs/>
          <w:sz w:val="24"/>
          <w:szCs w:val="32"/>
        </w:rPr>
        <w:t>问题</w:t>
      </w:r>
      <w:r>
        <w:rPr>
          <w:rFonts w:ascii="Times New Roman" w:hAnsi="Times New Roman" w:eastAsia="宋体" w:cs="Times New Roman"/>
          <w:bCs/>
          <w:sz w:val="24"/>
          <w:szCs w:val="32"/>
        </w:rPr>
        <w:t>的描述和信息，进一步</w:t>
      </w:r>
      <w:r>
        <w:rPr>
          <w:rFonts w:hint="eastAsia" w:ascii="Times New Roman" w:hAnsi="Times New Roman" w:eastAsia="宋体" w:cs="Times New Roman"/>
          <w:bCs/>
          <w:sz w:val="24"/>
          <w:szCs w:val="32"/>
        </w:rPr>
        <w:t>分析处理。</w:t>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2、进行</w:t>
      </w:r>
      <w:r>
        <w:rPr>
          <w:rFonts w:ascii="Times New Roman" w:hAnsi="Times New Roman" w:eastAsia="宋体" w:cs="Times New Roman"/>
          <w:bCs/>
          <w:sz w:val="24"/>
          <w:szCs w:val="32"/>
        </w:rPr>
        <w:t>深入调查研究</w:t>
      </w:r>
      <w:r>
        <w:rPr>
          <w:rFonts w:hint="eastAsia" w:ascii="Times New Roman" w:hAnsi="Times New Roman" w:eastAsia="宋体" w:cs="Times New Roman"/>
          <w:bCs/>
          <w:sz w:val="24"/>
          <w:szCs w:val="32"/>
        </w:rPr>
        <w:t>或协调厂商</w:t>
      </w:r>
      <w:r>
        <w:rPr>
          <w:rFonts w:ascii="Times New Roman" w:hAnsi="Times New Roman" w:eastAsia="宋体" w:cs="Times New Roman"/>
          <w:bCs/>
          <w:sz w:val="24"/>
          <w:szCs w:val="32"/>
        </w:rPr>
        <w:t>支持</w:t>
      </w:r>
      <w:r>
        <w:rPr>
          <w:rFonts w:hint="eastAsia" w:ascii="Times New Roman" w:hAnsi="Times New Roman" w:eastAsia="宋体" w:cs="Times New Roman"/>
          <w:bCs/>
          <w:sz w:val="24"/>
          <w:szCs w:val="32"/>
        </w:rPr>
        <w:t>，</w:t>
      </w:r>
      <w:r>
        <w:rPr>
          <w:rFonts w:ascii="Times New Roman" w:hAnsi="Times New Roman" w:eastAsia="宋体" w:cs="Times New Roman"/>
          <w:bCs/>
          <w:sz w:val="24"/>
          <w:szCs w:val="32"/>
        </w:rPr>
        <w:t>提供有效的解决方案</w:t>
      </w:r>
      <w:r>
        <w:rPr>
          <w:rFonts w:hint="eastAsia" w:ascii="Times New Roman" w:hAnsi="Times New Roman" w:eastAsia="宋体" w:cs="Times New Roman"/>
          <w:bCs/>
          <w:sz w:val="24"/>
          <w:szCs w:val="32"/>
        </w:rPr>
        <w:t>。</w:t>
      </w:r>
    </w:p>
    <w:p>
      <w:pPr>
        <w:adjustRightInd w:val="0"/>
        <w:snapToGrid w:val="0"/>
        <w:spacing w:line="360" w:lineRule="auto"/>
        <w:ind w:firstLine="480" w:firstLineChars="200"/>
        <w:rPr>
          <w:rFonts w:ascii="Times New Roman" w:hAnsi="Times New Roman" w:eastAsia="宋体" w:cs="Times New Roman"/>
          <w:bCs/>
          <w:sz w:val="24"/>
          <w:szCs w:val="32"/>
        </w:rPr>
      </w:pPr>
      <w:r>
        <w:rPr>
          <w:rFonts w:ascii="Times New Roman" w:hAnsi="Times New Roman" w:eastAsia="宋体" w:cs="Times New Roman"/>
          <w:bCs/>
          <w:sz w:val="24"/>
          <w:szCs w:val="32"/>
        </w:rPr>
        <w:t>3</w:t>
      </w:r>
      <w:r>
        <w:rPr>
          <w:rFonts w:hint="eastAsia" w:ascii="Times New Roman" w:hAnsi="Times New Roman" w:eastAsia="宋体" w:cs="Times New Roman"/>
          <w:bCs/>
          <w:sz w:val="24"/>
          <w:szCs w:val="32"/>
        </w:rPr>
        <w:t>、对于前端技术团队的高级技术支持。</w:t>
      </w:r>
    </w:p>
    <w:p>
      <w:pPr>
        <w:adjustRightInd w:val="0"/>
        <w:snapToGrid w:val="0"/>
        <w:spacing w:line="360" w:lineRule="auto"/>
        <w:ind w:firstLine="480" w:firstLineChars="200"/>
        <w:rPr>
          <w:rFonts w:ascii="Times New Roman" w:hAnsi="Times New Roman" w:eastAsia="宋体" w:cs="Times New Roman"/>
          <w:bCs/>
          <w:sz w:val="24"/>
          <w:szCs w:val="32"/>
        </w:rPr>
      </w:pPr>
      <w:r>
        <w:rPr>
          <w:rFonts w:ascii="Times New Roman" w:hAnsi="Times New Roman" w:eastAsia="宋体" w:cs="Times New Roman"/>
          <w:bCs/>
          <w:sz w:val="24"/>
          <w:szCs w:val="32"/>
        </w:rPr>
        <w:t>4</w:t>
      </w:r>
      <w:r>
        <w:rPr>
          <w:rFonts w:hint="eastAsia" w:ascii="Times New Roman" w:hAnsi="Times New Roman" w:eastAsia="宋体" w:cs="Times New Roman"/>
          <w:bCs/>
          <w:sz w:val="24"/>
          <w:szCs w:val="32"/>
        </w:rPr>
        <w:t>、对于重大故障和疑难杂症的进行支持。</w:t>
      </w:r>
    </w:p>
    <w:p>
      <w:pPr>
        <w:adjustRightInd w:val="0"/>
        <w:snapToGrid w:val="0"/>
        <w:spacing w:line="360" w:lineRule="auto"/>
        <w:ind w:firstLine="480" w:firstLineChars="200"/>
        <w:rPr>
          <w:rFonts w:ascii="Times New Roman" w:hAnsi="Times New Roman" w:eastAsia="宋体" w:cs="Times New Roman"/>
          <w:bCs/>
          <w:sz w:val="24"/>
          <w:szCs w:val="32"/>
        </w:rPr>
      </w:pPr>
      <w:r>
        <w:rPr>
          <w:rFonts w:ascii="Times New Roman" w:hAnsi="Times New Roman" w:eastAsia="宋体" w:cs="Times New Roman"/>
          <w:bCs/>
          <w:sz w:val="24"/>
          <w:szCs w:val="32"/>
        </w:rPr>
        <w:t>5</w:t>
      </w:r>
      <w:r>
        <w:rPr>
          <w:rFonts w:hint="eastAsia" w:ascii="Times New Roman" w:hAnsi="Times New Roman" w:eastAsia="宋体" w:cs="Times New Roman"/>
          <w:bCs/>
          <w:sz w:val="24"/>
          <w:szCs w:val="32"/>
        </w:rPr>
        <w:t>、对于系统运行情况的高级分析和专家建议。</w:t>
      </w:r>
    </w:p>
    <w:p>
      <w:pPr>
        <w:adjustRightInd w:val="0"/>
        <w:snapToGrid w:val="0"/>
        <w:spacing w:line="360" w:lineRule="auto"/>
        <w:ind w:firstLine="480" w:firstLineChars="200"/>
        <w:rPr>
          <w:rFonts w:ascii="Times New Roman" w:hAnsi="Times New Roman" w:eastAsia="宋体" w:cs="Times New Roman"/>
          <w:bCs/>
          <w:sz w:val="24"/>
          <w:szCs w:val="32"/>
        </w:rPr>
      </w:pPr>
      <w:r>
        <w:rPr>
          <w:rFonts w:ascii="Times New Roman" w:hAnsi="Times New Roman" w:eastAsia="宋体" w:cs="Times New Roman"/>
          <w:bCs/>
          <w:sz w:val="24"/>
          <w:szCs w:val="32"/>
        </w:rPr>
        <w:t>6</w:t>
      </w:r>
      <w:r>
        <w:rPr>
          <w:rFonts w:hint="eastAsia" w:ascii="Times New Roman" w:hAnsi="Times New Roman" w:eastAsia="宋体" w:cs="Times New Roman"/>
          <w:bCs/>
          <w:sz w:val="24"/>
          <w:szCs w:val="32"/>
        </w:rPr>
        <w:t>、</w:t>
      </w:r>
      <w:r>
        <w:rPr>
          <w:rFonts w:ascii="Times New Roman" w:hAnsi="Times New Roman" w:eastAsia="宋体" w:cs="Times New Roman"/>
          <w:bCs/>
          <w:sz w:val="24"/>
          <w:szCs w:val="32"/>
        </w:rPr>
        <w:t>对用户的服务请求</w:t>
      </w:r>
      <w:r>
        <w:rPr>
          <w:rFonts w:hint="eastAsia" w:ascii="Times New Roman" w:hAnsi="Times New Roman" w:eastAsia="宋体" w:cs="Times New Roman"/>
          <w:bCs/>
          <w:sz w:val="24"/>
          <w:szCs w:val="32"/>
        </w:rPr>
        <w:t>定期</w:t>
      </w:r>
      <w:r>
        <w:rPr>
          <w:rFonts w:ascii="Times New Roman" w:hAnsi="Times New Roman" w:eastAsia="宋体" w:cs="Times New Roman"/>
          <w:bCs/>
          <w:sz w:val="24"/>
          <w:szCs w:val="32"/>
        </w:rPr>
        <w:t>进行复盘整理。</w:t>
      </w:r>
    </w:p>
    <w:bookmarkEnd w:id="128"/>
    <w:bookmarkEnd w:id="129"/>
    <w:bookmarkEnd w:id="130"/>
    <w:p>
      <w:pPr>
        <w:keepNext/>
        <w:keepLines/>
        <w:numPr>
          <w:ilvl w:val="2"/>
          <w:numId w:val="36"/>
        </w:numPr>
        <w:adjustRightInd w:val="0"/>
        <w:snapToGrid w:val="0"/>
        <w:spacing w:before="246" w:beforeLines="50" w:after="246" w:afterLines="50" w:line="360" w:lineRule="auto"/>
        <w:ind w:left="0" w:leftChars="0" w:firstLine="0" w:firstLineChars="0"/>
        <w:outlineLvl w:val="1"/>
        <w:rPr>
          <w:rFonts w:ascii="Times New Roman" w:hAnsi="Times New Roman" w:eastAsia="宋体" w:cs="Times New Roman"/>
          <w:b/>
          <w:bCs/>
          <w:kern w:val="2"/>
          <w:sz w:val="24"/>
          <w:szCs w:val="24"/>
          <w:lang w:val="en-US" w:eastAsia="zh-CN" w:bidi="ar-SA"/>
        </w:rPr>
      </w:pPr>
      <w:bookmarkStart w:id="134" w:name="_Toc89777997"/>
      <w:bookmarkStart w:id="135" w:name="_Toc125887303"/>
      <w:r>
        <w:rPr>
          <w:rFonts w:hint="eastAsia" w:ascii="Times New Roman" w:hAnsi="Times New Roman" w:eastAsia="宋体" w:cs="Times New Roman"/>
          <w:b/>
          <w:bCs/>
          <w:kern w:val="2"/>
          <w:sz w:val="24"/>
          <w:szCs w:val="24"/>
          <w:lang w:val="en-US" w:eastAsia="zh-CN" w:bidi="ar-SA"/>
        </w:rPr>
        <w:t>总部运营专员</w:t>
      </w:r>
      <w:bookmarkEnd w:id="134"/>
      <w:bookmarkEnd w:id="135"/>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总部</w:t>
      </w:r>
      <w:r>
        <w:rPr>
          <w:rFonts w:ascii="Times New Roman" w:hAnsi="Times New Roman" w:eastAsia="宋体" w:cs="Times New Roman"/>
          <w:bCs/>
          <w:sz w:val="24"/>
          <w:szCs w:val="32"/>
        </w:rPr>
        <w:t>运营专员</w:t>
      </w:r>
      <w:r>
        <w:rPr>
          <w:rFonts w:hint="eastAsia" w:ascii="Times New Roman" w:hAnsi="Times New Roman" w:eastAsia="宋体" w:cs="Times New Roman"/>
          <w:bCs/>
          <w:sz w:val="24"/>
          <w:szCs w:val="32"/>
        </w:rPr>
        <w:t>是</w:t>
      </w:r>
      <w:r>
        <w:rPr>
          <w:rFonts w:ascii="Times New Roman" w:hAnsi="Times New Roman" w:eastAsia="宋体" w:cs="Times New Roman"/>
          <w:bCs/>
          <w:sz w:val="24"/>
          <w:szCs w:val="32"/>
        </w:rPr>
        <w:t>整个服务体系中重要</w:t>
      </w:r>
      <w:r>
        <w:rPr>
          <w:rFonts w:hint="eastAsia" w:ascii="Times New Roman" w:hAnsi="Times New Roman" w:eastAsia="宋体" w:cs="Times New Roman"/>
          <w:bCs/>
          <w:sz w:val="24"/>
          <w:szCs w:val="32"/>
        </w:rPr>
        <w:t>的服务支撑</w:t>
      </w:r>
      <w:r>
        <w:rPr>
          <w:rFonts w:ascii="Times New Roman" w:hAnsi="Times New Roman" w:eastAsia="宋体" w:cs="Times New Roman"/>
          <w:bCs/>
          <w:sz w:val="24"/>
          <w:szCs w:val="32"/>
        </w:rPr>
        <w:t>人员，</w:t>
      </w:r>
      <w:r>
        <w:rPr>
          <w:rFonts w:hint="eastAsia" w:ascii="Times New Roman" w:hAnsi="Times New Roman" w:eastAsia="宋体" w:cs="Times New Roman"/>
          <w:bCs/>
          <w:sz w:val="24"/>
          <w:szCs w:val="32"/>
        </w:rPr>
        <w:t>对</w:t>
      </w:r>
      <w:r>
        <w:rPr>
          <w:rFonts w:ascii="Times New Roman" w:hAnsi="Times New Roman" w:eastAsia="宋体" w:cs="Times New Roman"/>
          <w:bCs/>
          <w:sz w:val="24"/>
          <w:szCs w:val="32"/>
        </w:rPr>
        <w:t>问题的处理过程全程跟踪，并及时介入</w:t>
      </w:r>
      <w:r>
        <w:rPr>
          <w:rFonts w:hint="eastAsia" w:ascii="Times New Roman" w:hAnsi="Times New Roman" w:eastAsia="宋体" w:cs="Times New Roman"/>
          <w:bCs/>
          <w:sz w:val="24"/>
          <w:szCs w:val="32"/>
        </w:rPr>
        <w:t>及</w:t>
      </w:r>
      <w:r>
        <w:rPr>
          <w:rFonts w:ascii="Times New Roman" w:hAnsi="Times New Roman" w:eastAsia="宋体" w:cs="Times New Roman"/>
          <w:bCs/>
          <w:sz w:val="24"/>
          <w:szCs w:val="32"/>
        </w:rPr>
        <w:t>干预异常问题。</w:t>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职责</w:t>
      </w:r>
      <w:r>
        <w:rPr>
          <w:rFonts w:ascii="Times New Roman" w:hAnsi="Times New Roman" w:eastAsia="宋体" w:cs="Times New Roman"/>
          <w:bCs/>
          <w:sz w:val="24"/>
          <w:szCs w:val="32"/>
        </w:rPr>
        <w:t>：</w:t>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1、</w:t>
      </w:r>
      <w:r>
        <w:rPr>
          <w:rFonts w:ascii="Times New Roman" w:hAnsi="Times New Roman" w:eastAsia="宋体" w:cs="Times New Roman"/>
          <w:bCs/>
          <w:sz w:val="24"/>
          <w:szCs w:val="32"/>
        </w:rPr>
        <w:t>督促问题处理责任人按期受理及解决问题。</w:t>
      </w:r>
    </w:p>
    <w:p>
      <w:pPr>
        <w:adjustRightInd w:val="0"/>
        <w:snapToGrid w:val="0"/>
        <w:spacing w:line="360" w:lineRule="auto"/>
        <w:ind w:firstLine="480" w:firstLineChars="200"/>
        <w:rPr>
          <w:rFonts w:ascii="Times New Roman" w:hAnsi="Times New Roman" w:eastAsia="宋体" w:cs="Times New Roman"/>
          <w:bCs/>
          <w:sz w:val="24"/>
          <w:szCs w:val="32"/>
        </w:rPr>
      </w:pPr>
      <w:r>
        <w:rPr>
          <w:rFonts w:ascii="Times New Roman" w:hAnsi="Times New Roman" w:eastAsia="宋体" w:cs="Times New Roman"/>
          <w:bCs/>
          <w:sz w:val="24"/>
          <w:szCs w:val="32"/>
        </w:rPr>
        <w:t>2</w:t>
      </w:r>
      <w:r>
        <w:rPr>
          <w:rFonts w:hint="eastAsia" w:ascii="Times New Roman" w:hAnsi="Times New Roman" w:eastAsia="宋体" w:cs="Times New Roman"/>
          <w:bCs/>
          <w:sz w:val="24"/>
          <w:szCs w:val="32"/>
        </w:rPr>
        <w:t>、</w:t>
      </w:r>
      <w:r>
        <w:rPr>
          <w:rFonts w:ascii="Times New Roman" w:hAnsi="Times New Roman" w:eastAsia="宋体" w:cs="Times New Roman"/>
          <w:bCs/>
          <w:sz w:val="24"/>
          <w:szCs w:val="32"/>
        </w:rPr>
        <w:t>对异常问题及时进行干预。</w:t>
      </w:r>
    </w:p>
    <w:p>
      <w:pPr>
        <w:adjustRightInd w:val="0"/>
        <w:snapToGrid w:val="0"/>
        <w:spacing w:line="360" w:lineRule="auto"/>
        <w:ind w:firstLine="480" w:firstLineChars="200"/>
        <w:rPr>
          <w:rFonts w:ascii="Times New Roman" w:hAnsi="Times New Roman" w:eastAsia="宋体" w:cs="Times New Roman"/>
          <w:bCs/>
          <w:sz w:val="24"/>
          <w:szCs w:val="32"/>
        </w:rPr>
      </w:pPr>
      <w:r>
        <w:rPr>
          <w:rFonts w:ascii="Times New Roman" w:hAnsi="Times New Roman" w:eastAsia="宋体" w:cs="Times New Roman"/>
          <w:bCs/>
          <w:sz w:val="24"/>
          <w:szCs w:val="32"/>
        </w:rPr>
        <w:t>3</w:t>
      </w:r>
      <w:r>
        <w:rPr>
          <w:rFonts w:hint="eastAsia" w:ascii="Times New Roman" w:hAnsi="Times New Roman" w:eastAsia="宋体" w:cs="Times New Roman"/>
          <w:bCs/>
          <w:sz w:val="24"/>
          <w:szCs w:val="32"/>
        </w:rPr>
        <w:t>、</w:t>
      </w:r>
      <w:r>
        <w:rPr>
          <w:rFonts w:ascii="Times New Roman" w:hAnsi="Times New Roman" w:eastAsia="宋体" w:cs="Times New Roman"/>
          <w:bCs/>
          <w:sz w:val="24"/>
          <w:szCs w:val="32"/>
        </w:rPr>
        <w:t>对重</w:t>
      </w:r>
      <w:r>
        <w:rPr>
          <w:rFonts w:hint="eastAsia" w:ascii="Times New Roman" w:hAnsi="Times New Roman" w:eastAsia="宋体" w:cs="Times New Roman"/>
          <w:bCs/>
          <w:sz w:val="24"/>
          <w:szCs w:val="32"/>
        </w:rPr>
        <w:t>大</w:t>
      </w:r>
      <w:r>
        <w:rPr>
          <w:rFonts w:ascii="Times New Roman" w:hAnsi="Times New Roman" w:eastAsia="宋体" w:cs="Times New Roman"/>
          <w:bCs/>
          <w:sz w:val="24"/>
          <w:szCs w:val="32"/>
        </w:rPr>
        <w:t>或紧急问题提前介入，保障问题</w:t>
      </w:r>
      <w:r>
        <w:rPr>
          <w:rFonts w:hint="eastAsia" w:ascii="Times New Roman" w:hAnsi="Times New Roman" w:eastAsia="宋体" w:cs="Times New Roman"/>
          <w:bCs/>
          <w:sz w:val="24"/>
          <w:szCs w:val="32"/>
        </w:rPr>
        <w:t>及时</w:t>
      </w:r>
      <w:r>
        <w:rPr>
          <w:rFonts w:ascii="Times New Roman" w:hAnsi="Times New Roman" w:eastAsia="宋体" w:cs="Times New Roman"/>
          <w:bCs/>
          <w:sz w:val="24"/>
          <w:szCs w:val="32"/>
        </w:rPr>
        <w:t>解决。</w:t>
      </w:r>
    </w:p>
    <w:p>
      <w:pPr>
        <w:adjustRightInd w:val="0"/>
        <w:snapToGrid w:val="0"/>
        <w:spacing w:line="360" w:lineRule="auto"/>
        <w:ind w:firstLine="480" w:firstLineChars="200"/>
        <w:rPr>
          <w:rFonts w:ascii="Times New Roman" w:hAnsi="Times New Roman" w:eastAsia="宋体" w:cs="Times New Roman"/>
          <w:bCs/>
          <w:sz w:val="24"/>
          <w:szCs w:val="32"/>
        </w:rPr>
      </w:pPr>
      <w:r>
        <w:rPr>
          <w:rFonts w:ascii="Times New Roman" w:hAnsi="Times New Roman" w:eastAsia="宋体" w:cs="Times New Roman"/>
          <w:bCs/>
          <w:sz w:val="24"/>
          <w:szCs w:val="32"/>
        </w:rPr>
        <w:t>4</w:t>
      </w:r>
      <w:r>
        <w:rPr>
          <w:rFonts w:hint="eastAsia" w:ascii="Times New Roman" w:hAnsi="Times New Roman" w:eastAsia="宋体" w:cs="Times New Roman"/>
          <w:bCs/>
          <w:sz w:val="24"/>
          <w:szCs w:val="32"/>
        </w:rPr>
        <w:t>、受理用户</w:t>
      </w:r>
      <w:r>
        <w:rPr>
          <w:rFonts w:ascii="Times New Roman" w:hAnsi="Times New Roman" w:eastAsia="宋体" w:cs="Times New Roman"/>
          <w:bCs/>
          <w:sz w:val="24"/>
          <w:szCs w:val="32"/>
        </w:rPr>
        <w:t>投诉，并牵头成立投诉处理小组，</w:t>
      </w:r>
      <w:r>
        <w:rPr>
          <w:rFonts w:hint="eastAsia" w:ascii="Times New Roman" w:hAnsi="Times New Roman" w:eastAsia="宋体" w:cs="Times New Roman"/>
          <w:bCs/>
          <w:sz w:val="24"/>
          <w:szCs w:val="32"/>
        </w:rPr>
        <w:t>及时</w:t>
      </w:r>
      <w:r>
        <w:rPr>
          <w:rFonts w:ascii="Times New Roman" w:hAnsi="Times New Roman" w:eastAsia="宋体" w:cs="Times New Roman"/>
          <w:bCs/>
          <w:sz w:val="24"/>
          <w:szCs w:val="32"/>
        </w:rPr>
        <w:t>与用户沟通</w:t>
      </w:r>
      <w:r>
        <w:rPr>
          <w:rFonts w:hint="eastAsia" w:ascii="Times New Roman" w:hAnsi="Times New Roman" w:eastAsia="宋体" w:cs="Times New Roman"/>
          <w:bCs/>
          <w:sz w:val="24"/>
          <w:szCs w:val="32"/>
        </w:rPr>
        <w:t>，</w:t>
      </w:r>
      <w:r>
        <w:rPr>
          <w:rFonts w:ascii="Times New Roman" w:hAnsi="Times New Roman" w:eastAsia="宋体" w:cs="Times New Roman"/>
          <w:bCs/>
          <w:sz w:val="24"/>
          <w:szCs w:val="32"/>
        </w:rPr>
        <w:t>负责对投诉闭环</w:t>
      </w:r>
      <w:r>
        <w:rPr>
          <w:rFonts w:hint="eastAsia" w:ascii="Times New Roman" w:hAnsi="Times New Roman" w:eastAsia="宋体" w:cs="Times New Roman"/>
          <w:bCs/>
          <w:sz w:val="24"/>
          <w:szCs w:val="32"/>
        </w:rPr>
        <w:t>。</w:t>
      </w:r>
    </w:p>
    <w:p>
      <w:pPr>
        <w:adjustRightInd w:val="0"/>
        <w:snapToGrid w:val="0"/>
        <w:spacing w:line="360" w:lineRule="auto"/>
        <w:ind w:firstLine="480" w:firstLineChars="200"/>
        <w:outlineLvl w:val="2"/>
        <w:rPr>
          <w:rFonts w:ascii="Times New Roman" w:hAnsi="Times New Roman" w:eastAsia="宋体" w:cs="Times New Roman"/>
          <w:bCs/>
          <w:sz w:val="24"/>
          <w:szCs w:val="32"/>
        </w:rPr>
      </w:pPr>
      <w:r>
        <w:rPr>
          <w:rFonts w:ascii="Times New Roman" w:hAnsi="Times New Roman" w:eastAsia="宋体" w:cs="Times New Roman"/>
          <w:bCs/>
          <w:sz w:val="24"/>
          <w:szCs w:val="32"/>
        </w:rPr>
        <w:t>5</w:t>
      </w:r>
      <w:r>
        <w:rPr>
          <w:rFonts w:hint="eastAsia" w:ascii="Times New Roman" w:hAnsi="Times New Roman" w:eastAsia="宋体" w:cs="Times New Roman"/>
          <w:bCs/>
          <w:sz w:val="24"/>
          <w:szCs w:val="32"/>
        </w:rPr>
        <w:t>、</w:t>
      </w:r>
      <w:r>
        <w:rPr>
          <w:rFonts w:ascii="Times New Roman" w:hAnsi="Times New Roman" w:eastAsia="宋体" w:cs="Times New Roman"/>
          <w:bCs/>
          <w:sz w:val="24"/>
          <w:szCs w:val="32"/>
        </w:rPr>
        <w:t>组织和协调各方资源，保障</w:t>
      </w:r>
      <w:r>
        <w:rPr>
          <w:rFonts w:hint="eastAsia" w:ascii="Times New Roman" w:hAnsi="Times New Roman" w:eastAsia="宋体" w:cs="Times New Roman"/>
          <w:bCs/>
          <w:sz w:val="24"/>
          <w:szCs w:val="32"/>
        </w:rPr>
        <w:t>服务</w:t>
      </w:r>
      <w:r>
        <w:rPr>
          <w:rFonts w:ascii="Times New Roman" w:hAnsi="Times New Roman" w:eastAsia="宋体" w:cs="Times New Roman"/>
          <w:bCs/>
          <w:sz w:val="24"/>
          <w:szCs w:val="32"/>
        </w:rPr>
        <w:t>体系正常运行。</w:t>
      </w:r>
      <w:bookmarkEnd w:id="131"/>
      <w:bookmarkEnd w:id="132"/>
      <w:bookmarkEnd w:id="133"/>
    </w:p>
    <w:p>
      <w:pPr>
        <w:keepNext/>
        <w:keepLines/>
        <w:numPr>
          <w:ilvl w:val="2"/>
          <w:numId w:val="36"/>
        </w:numPr>
        <w:adjustRightInd w:val="0"/>
        <w:snapToGrid w:val="0"/>
        <w:spacing w:before="246" w:beforeLines="50" w:after="246" w:afterLines="50" w:line="360" w:lineRule="auto"/>
        <w:ind w:left="0" w:leftChars="0" w:firstLine="0" w:firstLineChars="0"/>
        <w:outlineLvl w:val="1"/>
        <w:rPr>
          <w:rFonts w:ascii="Times New Roman" w:hAnsi="Times New Roman" w:eastAsia="宋体" w:cs="Times New Roman"/>
          <w:b/>
          <w:bCs/>
          <w:kern w:val="2"/>
          <w:sz w:val="24"/>
          <w:szCs w:val="28"/>
          <w:lang w:val="en-US" w:eastAsia="zh-CN" w:bidi="ar-SA"/>
        </w:rPr>
      </w:pPr>
      <w:r>
        <w:rPr>
          <w:rFonts w:hint="eastAsia" w:ascii="Times New Roman" w:hAnsi="Times New Roman" w:eastAsia="宋体" w:cs="Times New Roman"/>
          <w:b/>
          <w:bCs/>
          <w:kern w:val="2"/>
          <w:sz w:val="24"/>
          <w:szCs w:val="28"/>
          <w:lang w:val="en-US" w:eastAsia="zh-CN" w:bidi="ar-SA"/>
        </w:rPr>
        <w:t>服务单位名称、地点</w:t>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我司地处南京市江宁区，本部拥有200余人规模的软件服务工程中心和专门的运维服务事业部。同时为了为学校提供更好的本地化服务，在各地也建立了服务中心，服务单位名称和地点如下：</w:t>
      </w:r>
    </w:p>
    <w:tbl>
      <w:tblPr>
        <w:tblStyle w:val="8"/>
        <w:tblW w:w="8175" w:type="dxa"/>
        <w:jc w:val="center"/>
        <w:tblLayout w:type="autofit"/>
        <w:tblCellMar>
          <w:top w:w="0" w:type="dxa"/>
          <w:left w:w="108" w:type="dxa"/>
          <w:bottom w:w="0" w:type="dxa"/>
          <w:right w:w="108" w:type="dxa"/>
        </w:tblCellMar>
      </w:tblPr>
      <w:tblGrid>
        <w:gridCol w:w="1696"/>
        <w:gridCol w:w="6479"/>
      </w:tblGrid>
      <w:tr>
        <w:tblPrEx>
          <w:tblCellMar>
            <w:top w:w="0" w:type="dxa"/>
            <w:left w:w="108" w:type="dxa"/>
            <w:bottom w:w="0" w:type="dxa"/>
            <w:right w:w="108" w:type="dxa"/>
          </w:tblCellMar>
        </w:tblPrEx>
        <w:trPr>
          <w:trHeight w:val="567" w:hRule="atLeast"/>
          <w:jc w:val="center"/>
        </w:trPr>
        <w:tc>
          <w:tcPr>
            <w:tcW w:w="1696" w:type="dxa"/>
            <w:tcBorders>
              <w:top w:val="single" w:color="000000" w:sz="4" w:space="0"/>
              <w:left w:val="single" w:color="000000" w:sz="4" w:space="0"/>
              <w:bottom w:val="single" w:color="000000" w:sz="4" w:space="0"/>
              <w:right w:val="single" w:color="000000" w:sz="4" w:space="0"/>
            </w:tcBorders>
            <w:shd w:val="clear" w:color="auto" w:fill="B8CCE4"/>
            <w:vAlign w:val="center"/>
          </w:tcPr>
          <w:p>
            <w:pPr>
              <w:adjustRightInd w:val="0"/>
              <w:snapToGrid w:val="0"/>
              <w:spacing w:line="360" w:lineRule="auto"/>
              <w:jc w:val="center"/>
              <w:rPr>
                <w:rFonts w:ascii="Times New Roman" w:hAnsi="Times New Roman" w:eastAsia="宋体" w:cs="Times New Roman"/>
                <w:b/>
                <w:bCs w:val="0"/>
                <w:kern w:val="2"/>
                <w:sz w:val="21"/>
                <w:szCs w:val="32"/>
                <w:lang w:val="en-US" w:eastAsia="zh-CN" w:bidi="ar-SA"/>
              </w:rPr>
            </w:pPr>
            <w:r>
              <w:rPr>
                <w:rFonts w:hint="eastAsia" w:ascii="Times New Roman" w:hAnsi="Times New Roman" w:eastAsia="宋体" w:cs="Times New Roman"/>
                <w:b/>
                <w:bCs w:val="0"/>
                <w:kern w:val="2"/>
                <w:sz w:val="21"/>
                <w:szCs w:val="32"/>
                <w:lang w:val="en-US" w:eastAsia="zh-CN" w:bidi="ar-SA"/>
              </w:rPr>
              <w:t>服务地点</w:t>
            </w:r>
          </w:p>
        </w:tc>
        <w:tc>
          <w:tcPr>
            <w:tcW w:w="6479" w:type="dxa"/>
            <w:tcBorders>
              <w:top w:val="single" w:color="000000" w:sz="4" w:space="0"/>
              <w:left w:val="single" w:color="000000" w:sz="4" w:space="0"/>
              <w:bottom w:val="single" w:color="000000" w:sz="4" w:space="0"/>
              <w:right w:val="single" w:color="000000" w:sz="4" w:space="0"/>
            </w:tcBorders>
            <w:shd w:val="clear" w:color="auto" w:fill="B8CCE4"/>
            <w:vAlign w:val="center"/>
          </w:tcPr>
          <w:p>
            <w:pPr>
              <w:adjustRightInd w:val="0"/>
              <w:snapToGrid w:val="0"/>
              <w:spacing w:line="360" w:lineRule="auto"/>
              <w:jc w:val="center"/>
              <w:rPr>
                <w:rFonts w:ascii="Times New Roman" w:hAnsi="Times New Roman" w:eastAsia="宋体" w:cs="Times New Roman"/>
                <w:b/>
                <w:bCs w:val="0"/>
                <w:kern w:val="2"/>
                <w:sz w:val="21"/>
                <w:szCs w:val="32"/>
                <w:lang w:val="en-US" w:eastAsia="zh-CN" w:bidi="ar-SA"/>
              </w:rPr>
            </w:pPr>
            <w:r>
              <w:rPr>
                <w:rFonts w:hint="eastAsia" w:ascii="Times New Roman" w:hAnsi="Times New Roman" w:eastAsia="宋体" w:cs="Times New Roman"/>
                <w:b/>
                <w:bCs w:val="0"/>
                <w:kern w:val="2"/>
                <w:sz w:val="21"/>
                <w:szCs w:val="32"/>
                <w:lang w:val="en-US" w:eastAsia="zh-CN" w:bidi="ar-SA"/>
              </w:rPr>
              <w:t>详细地址</w:t>
            </w:r>
          </w:p>
        </w:tc>
      </w:tr>
      <w:tr>
        <w:tblPrEx>
          <w:tblCellMar>
            <w:top w:w="0" w:type="dxa"/>
            <w:left w:w="108" w:type="dxa"/>
            <w:bottom w:w="0" w:type="dxa"/>
            <w:right w:w="108" w:type="dxa"/>
          </w:tblCellMar>
        </w:tblPrEx>
        <w:trPr>
          <w:trHeight w:val="567" w:hRule="atLeast"/>
          <w:jc w:val="center"/>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总部服务中心</w:t>
            </w:r>
          </w:p>
        </w:tc>
        <w:tc>
          <w:tcPr>
            <w:tcW w:w="6479"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江苏省南京市江宁区科亚科技创业园一号楼10、11、12层</w:t>
            </w:r>
          </w:p>
        </w:tc>
      </w:tr>
      <w:tr>
        <w:tblPrEx>
          <w:tblCellMar>
            <w:top w:w="0" w:type="dxa"/>
            <w:left w:w="108" w:type="dxa"/>
            <w:bottom w:w="0" w:type="dxa"/>
            <w:right w:w="108" w:type="dxa"/>
          </w:tblCellMar>
        </w:tblPrEx>
        <w:trPr>
          <w:trHeight w:val="567" w:hRule="atLeast"/>
          <w:jc w:val="center"/>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安徽战区</w:t>
            </w:r>
          </w:p>
        </w:tc>
        <w:tc>
          <w:tcPr>
            <w:tcW w:w="6479"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安徽省合肥市包河区滨湖新区万达银座B座1008</w:t>
            </w:r>
          </w:p>
        </w:tc>
      </w:tr>
      <w:tr>
        <w:tblPrEx>
          <w:tblCellMar>
            <w:top w:w="0" w:type="dxa"/>
            <w:left w:w="108" w:type="dxa"/>
            <w:bottom w:w="0" w:type="dxa"/>
            <w:right w:w="108" w:type="dxa"/>
          </w:tblCellMar>
        </w:tblPrEx>
        <w:trPr>
          <w:trHeight w:val="567" w:hRule="atLeast"/>
          <w:jc w:val="center"/>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浙江战区</w:t>
            </w:r>
          </w:p>
        </w:tc>
        <w:tc>
          <w:tcPr>
            <w:tcW w:w="6479"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浙江省杭州市江干区彭埠街道新风路266号 尚坤G.11 4035室</w:t>
            </w:r>
          </w:p>
        </w:tc>
      </w:tr>
      <w:tr>
        <w:tblPrEx>
          <w:tblCellMar>
            <w:top w:w="0" w:type="dxa"/>
            <w:left w:w="108" w:type="dxa"/>
            <w:bottom w:w="0" w:type="dxa"/>
            <w:right w:w="108" w:type="dxa"/>
          </w:tblCellMar>
        </w:tblPrEx>
        <w:trPr>
          <w:trHeight w:val="567" w:hRule="atLeast"/>
          <w:jc w:val="center"/>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上海战区</w:t>
            </w:r>
          </w:p>
        </w:tc>
        <w:tc>
          <w:tcPr>
            <w:tcW w:w="6479"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上海市杨浦区长阳路2555号海立大楼503室</w:t>
            </w:r>
          </w:p>
        </w:tc>
      </w:tr>
      <w:tr>
        <w:tblPrEx>
          <w:tblCellMar>
            <w:top w:w="0" w:type="dxa"/>
            <w:left w:w="108" w:type="dxa"/>
            <w:bottom w:w="0" w:type="dxa"/>
            <w:right w:w="108" w:type="dxa"/>
          </w:tblCellMar>
        </w:tblPrEx>
        <w:trPr>
          <w:trHeight w:val="567" w:hRule="atLeast"/>
          <w:jc w:val="center"/>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广州办事处</w:t>
            </w:r>
          </w:p>
        </w:tc>
        <w:tc>
          <w:tcPr>
            <w:tcW w:w="6479"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广州市海珠区新港东路1022号保利世界贸易中心E座1906</w:t>
            </w:r>
          </w:p>
        </w:tc>
      </w:tr>
      <w:tr>
        <w:tblPrEx>
          <w:tblCellMar>
            <w:top w:w="0" w:type="dxa"/>
            <w:left w:w="108" w:type="dxa"/>
            <w:bottom w:w="0" w:type="dxa"/>
            <w:right w:w="108" w:type="dxa"/>
          </w:tblCellMar>
        </w:tblPrEx>
        <w:trPr>
          <w:trHeight w:val="567" w:hRule="atLeast"/>
          <w:jc w:val="center"/>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福建服务中心</w:t>
            </w:r>
          </w:p>
        </w:tc>
        <w:tc>
          <w:tcPr>
            <w:tcW w:w="6479"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 xml:space="preserve">福建省福州国家海西高新技术产业园科技东路3号创新园13幢歌航大厦7层101-102 </w:t>
            </w:r>
          </w:p>
        </w:tc>
      </w:tr>
      <w:tr>
        <w:tblPrEx>
          <w:tblCellMar>
            <w:top w:w="0" w:type="dxa"/>
            <w:left w:w="108" w:type="dxa"/>
            <w:bottom w:w="0" w:type="dxa"/>
            <w:right w:w="108" w:type="dxa"/>
          </w:tblCellMar>
        </w:tblPrEx>
        <w:trPr>
          <w:trHeight w:val="567" w:hRule="atLeast"/>
          <w:jc w:val="center"/>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湛江办事处</w:t>
            </w:r>
          </w:p>
        </w:tc>
        <w:tc>
          <w:tcPr>
            <w:tcW w:w="6479"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广州市海珠区新港东路1022号保利世界贸易中心E座1906</w:t>
            </w:r>
          </w:p>
        </w:tc>
      </w:tr>
      <w:tr>
        <w:tblPrEx>
          <w:tblCellMar>
            <w:top w:w="0" w:type="dxa"/>
            <w:left w:w="108" w:type="dxa"/>
            <w:bottom w:w="0" w:type="dxa"/>
            <w:right w:w="108" w:type="dxa"/>
          </w:tblCellMar>
        </w:tblPrEx>
        <w:trPr>
          <w:trHeight w:val="567" w:hRule="atLeast"/>
          <w:jc w:val="center"/>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东莞办事处</w:t>
            </w:r>
          </w:p>
        </w:tc>
        <w:tc>
          <w:tcPr>
            <w:tcW w:w="6479"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广州市海珠区新港东路1022号保利世界贸易中心E座1906</w:t>
            </w:r>
          </w:p>
        </w:tc>
      </w:tr>
      <w:tr>
        <w:tblPrEx>
          <w:tblCellMar>
            <w:top w:w="0" w:type="dxa"/>
            <w:left w:w="108" w:type="dxa"/>
            <w:bottom w:w="0" w:type="dxa"/>
            <w:right w:w="108" w:type="dxa"/>
          </w:tblCellMar>
        </w:tblPrEx>
        <w:trPr>
          <w:trHeight w:val="567" w:hRule="atLeast"/>
          <w:jc w:val="center"/>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海口办事处</w:t>
            </w:r>
          </w:p>
        </w:tc>
        <w:tc>
          <w:tcPr>
            <w:tcW w:w="6479"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海南省海口市海府路18号南亚广场A902房</w:t>
            </w:r>
          </w:p>
        </w:tc>
      </w:tr>
      <w:tr>
        <w:tblPrEx>
          <w:tblCellMar>
            <w:top w:w="0" w:type="dxa"/>
            <w:left w:w="108" w:type="dxa"/>
            <w:bottom w:w="0" w:type="dxa"/>
            <w:right w:w="108" w:type="dxa"/>
          </w:tblCellMar>
        </w:tblPrEx>
        <w:trPr>
          <w:trHeight w:val="567" w:hRule="atLeast"/>
          <w:jc w:val="center"/>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南宁办事处</w:t>
            </w:r>
          </w:p>
        </w:tc>
        <w:tc>
          <w:tcPr>
            <w:tcW w:w="6479"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广西南宁市青秀区民族大道141号中鼎万象东方C-703室</w:t>
            </w:r>
          </w:p>
        </w:tc>
      </w:tr>
      <w:tr>
        <w:tblPrEx>
          <w:tblCellMar>
            <w:top w:w="0" w:type="dxa"/>
            <w:left w:w="108" w:type="dxa"/>
            <w:bottom w:w="0" w:type="dxa"/>
            <w:right w:w="108" w:type="dxa"/>
          </w:tblCellMar>
        </w:tblPrEx>
        <w:trPr>
          <w:trHeight w:val="567" w:hRule="atLeast"/>
          <w:jc w:val="center"/>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深圳分公司</w:t>
            </w:r>
          </w:p>
        </w:tc>
        <w:tc>
          <w:tcPr>
            <w:tcW w:w="6479"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深圳市南山区粤海街道海珠社区海德二道288号茂业时代广场14楼14F06</w:t>
            </w:r>
          </w:p>
        </w:tc>
      </w:tr>
      <w:tr>
        <w:tblPrEx>
          <w:tblCellMar>
            <w:top w:w="0" w:type="dxa"/>
            <w:left w:w="108" w:type="dxa"/>
            <w:bottom w:w="0" w:type="dxa"/>
            <w:right w:w="108" w:type="dxa"/>
          </w:tblCellMar>
        </w:tblPrEx>
        <w:trPr>
          <w:trHeight w:val="567" w:hRule="atLeast"/>
          <w:jc w:val="center"/>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南京办事处</w:t>
            </w:r>
          </w:p>
        </w:tc>
        <w:tc>
          <w:tcPr>
            <w:tcW w:w="6479"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江苏省南京市江宁区天元西路59号南京科亚科技创业园一号楼10、11、12层</w:t>
            </w:r>
          </w:p>
        </w:tc>
      </w:tr>
      <w:tr>
        <w:tblPrEx>
          <w:tblCellMar>
            <w:top w:w="0" w:type="dxa"/>
            <w:left w:w="108" w:type="dxa"/>
            <w:bottom w:w="0" w:type="dxa"/>
            <w:right w:w="108" w:type="dxa"/>
          </w:tblCellMar>
        </w:tblPrEx>
        <w:trPr>
          <w:trHeight w:val="567" w:hRule="atLeast"/>
          <w:jc w:val="center"/>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北京分公司</w:t>
            </w:r>
          </w:p>
        </w:tc>
        <w:tc>
          <w:tcPr>
            <w:tcW w:w="6479"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北京市海淀区王庄路清华同方科技广场B座1001层</w:t>
            </w:r>
          </w:p>
        </w:tc>
      </w:tr>
      <w:tr>
        <w:tblPrEx>
          <w:tblCellMar>
            <w:top w:w="0" w:type="dxa"/>
            <w:left w:w="108" w:type="dxa"/>
            <w:bottom w:w="0" w:type="dxa"/>
            <w:right w:w="108" w:type="dxa"/>
          </w:tblCellMar>
        </w:tblPrEx>
        <w:trPr>
          <w:trHeight w:val="567" w:hRule="atLeast"/>
          <w:jc w:val="center"/>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天津办事处</w:t>
            </w:r>
          </w:p>
        </w:tc>
        <w:tc>
          <w:tcPr>
            <w:tcW w:w="6479"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天津市南开区黄河道盛达园9号楼2门102</w:t>
            </w:r>
          </w:p>
        </w:tc>
      </w:tr>
      <w:tr>
        <w:tblPrEx>
          <w:tblCellMar>
            <w:top w:w="0" w:type="dxa"/>
            <w:left w:w="108" w:type="dxa"/>
            <w:bottom w:w="0" w:type="dxa"/>
            <w:right w:w="108" w:type="dxa"/>
          </w:tblCellMar>
        </w:tblPrEx>
        <w:trPr>
          <w:trHeight w:val="567" w:hRule="atLeast"/>
          <w:jc w:val="center"/>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石家庄办事处</w:t>
            </w:r>
          </w:p>
        </w:tc>
        <w:tc>
          <w:tcPr>
            <w:tcW w:w="6479"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河北省石家庄市长安区广安大街银泰国际4号楼16层1602室</w:t>
            </w:r>
          </w:p>
        </w:tc>
      </w:tr>
      <w:tr>
        <w:tblPrEx>
          <w:tblCellMar>
            <w:top w:w="0" w:type="dxa"/>
            <w:left w:w="108" w:type="dxa"/>
            <w:bottom w:w="0" w:type="dxa"/>
            <w:right w:w="108" w:type="dxa"/>
          </w:tblCellMar>
        </w:tblPrEx>
        <w:trPr>
          <w:trHeight w:val="567" w:hRule="atLeast"/>
          <w:jc w:val="center"/>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太原办事处</w:t>
            </w:r>
          </w:p>
        </w:tc>
        <w:tc>
          <w:tcPr>
            <w:tcW w:w="6479"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山西省太原市万柏林区十二院城35-1-2502</w:t>
            </w:r>
          </w:p>
        </w:tc>
      </w:tr>
      <w:tr>
        <w:tblPrEx>
          <w:tblCellMar>
            <w:top w:w="0" w:type="dxa"/>
            <w:left w:w="108" w:type="dxa"/>
            <w:bottom w:w="0" w:type="dxa"/>
            <w:right w:w="108" w:type="dxa"/>
          </w:tblCellMar>
        </w:tblPrEx>
        <w:trPr>
          <w:trHeight w:val="567" w:hRule="atLeast"/>
          <w:jc w:val="center"/>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沈阳办事处</w:t>
            </w:r>
          </w:p>
        </w:tc>
        <w:tc>
          <w:tcPr>
            <w:tcW w:w="6479"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沈阳市浑南区上深沟村858-1号沈阳国际软件园F9座225室</w:t>
            </w:r>
          </w:p>
        </w:tc>
      </w:tr>
      <w:tr>
        <w:tblPrEx>
          <w:tblCellMar>
            <w:top w:w="0" w:type="dxa"/>
            <w:left w:w="108" w:type="dxa"/>
            <w:bottom w:w="0" w:type="dxa"/>
            <w:right w:w="108" w:type="dxa"/>
          </w:tblCellMar>
        </w:tblPrEx>
        <w:trPr>
          <w:trHeight w:val="567" w:hRule="atLeast"/>
          <w:jc w:val="center"/>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长春办事处</w:t>
            </w:r>
          </w:p>
        </w:tc>
        <w:tc>
          <w:tcPr>
            <w:tcW w:w="6479"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吉林省长春市南关区南环城路1655号中东财富中心1401室</w:t>
            </w:r>
          </w:p>
        </w:tc>
      </w:tr>
      <w:tr>
        <w:tblPrEx>
          <w:tblCellMar>
            <w:top w:w="0" w:type="dxa"/>
            <w:left w:w="108" w:type="dxa"/>
            <w:bottom w:w="0" w:type="dxa"/>
            <w:right w:w="108" w:type="dxa"/>
          </w:tblCellMar>
        </w:tblPrEx>
        <w:trPr>
          <w:trHeight w:val="567" w:hRule="atLeast"/>
          <w:jc w:val="center"/>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哈尔滨办事处</w:t>
            </w:r>
          </w:p>
        </w:tc>
        <w:tc>
          <w:tcPr>
            <w:tcW w:w="6479"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哈尔滨市南岗区清滨路副65号3单元602室</w:t>
            </w:r>
          </w:p>
        </w:tc>
      </w:tr>
      <w:tr>
        <w:tblPrEx>
          <w:tblCellMar>
            <w:top w:w="0" w:type="dxa"/>
            <w:left w:w="108" w:type="dxa"/>
            <w:bottom w:w="0" w:type="dxa"/>
            <w:right w:w="108" w:type="dxa"/>
          </w:tblCellMar>
        </w:tblPrEx>
        <w:trPr>
          <w:trHeight w:val="567" w:hRule="atLeast"/>
          <w:jc w:val="center"/>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呼和浩特办事处</w:t>
            </w:r>
          </w:p>
        </w:tc>
        <w:tc>
          <w:tcPr>
            <w:tcW w:w="6479"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呼和浩特市新城区东库街街道兴安北路169号豪俬家园56号2312号</w:t>
            </w:r>
          </w:p>
        </w:tc>
      </w:tr>
      <w:tr>
        <w:tblPrEx>
          <w:tblCellMar>
            <w:top w:w="0" w:type="dxa"/>
            <w:left w:w="108" w:type="dxa"/>
            <w:bottom w:w="0" w:type="dxa"/>
            <w:right w:w="108" w:type="dxa"/>
          </w:tblCellMar>
        </w:tblPrEx>
        <w:trPr>
          <w:trHeight w:val="567" w:hRule="atLeast"/>
          <w:jc w:val="center"/>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济南办事处</w:t>
            </w:r>
          </w:p>
        </w:tc>
        <w:tc>
          <w:tcPr>
            <w:tcW w:w="6479"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山东省济南市历下区历山路157号天鹅大厦815室</w:t>
            </w:r>
          </w:p>
        </w:tc>
      </w:tr>
      <w:tr>
        <w:tblPrEx>
          <w:tblCellMar>
            <w:top w:w="0" w:type="dxa"/>
            <w:left w:w="108" w:type="dxa"/>
            <w:bottom w:w="0" w:type="dxa"/>
            <w:right w:w="108" w:type="dxa"/>
          </w:tblCellMar>
        </w:tblPrEx>
        <w:trPr>
          <w:trHeight w:val="567" w:hRule="atLeast"/>
          <w:jc w:val="center"/>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成都办事处</w:t>
            </w:r>
          </w:p>
        </w:tc>
        <w:tc>
          <w:tcPr>
            <w:tcW w:w="6479"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四川省成都市武侯区科华北路65号世外桃源B座621室</w:t>
            </w:r>
          </w:p>
        </w:tc>
      </w:tr>
      <w:tr>
        <w:tblPrEx>
          <w:tblCellMar>
            <w:top w:w="0" w:type="dxa"/>
            <w:left w:w="108" w:type="dxa"/>
            <w:bottom w:w="0" w:type="dxa"/>
            <w:right w:w="108" w:type="dxa"/>
          </w:tblCellMar>
        </w:tblPrEx>
        <w:trPr>
          <w:trHeight w:val="567" w:hRule="atLeast"/>
          <w:jc w:val="center"/>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重庆办事处</w:t>
            </w:r>
          </w:p>
        </w:tc>
        <w:tc>
          <w:tcPr>
            <w:tcW w:w="6479"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重庆市沙坪坝区沙坪坝正街174号微系统中心308室</w:t>
            </w:r>
          </w:p>
        </w:tc>
      </w:tr>
      <w:tr>
        <w:tblPrEx>
          <w:tblCellMar>
            <w:top w:w="0" w:type="dxa"/>
            <w:left w:w="108" w:type="dxa"/>
            <w:bottom w:w="0" w:type="dxa"/>
            <w:right w:w="108" w:type="dxa"/>
          </w:tblCellMar>
        </w:tblPrEx>
        <w:trPr>
          <w:trHeight w:val="567" w:hRule="atLeast"/>
          <w:jc w:val="center"/>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昆明办事处</w:t>
            </w:r>
          </w:p>
        </w:tc>
        <w:tc>
          <w:tcPr>
            <w:tcW w:w="6479"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云南省昆明市呈贡区春融街上海东盟商务大厦B座10层18-19号</w:t>
            </w:r>
          </w:p>
        </w:tc>
      </w:tr>
      <w:tr>
        <w:tblPrEx>
          <w:tblCellMar>
            <w:top w:w="0" w:type="dxa"/>
            <w:left w:w="108" w:type="dxa"/>
            <w:bottom w:w="0" w:type="dxa"/>
            <w:right w:w="108" w:type="dxa"/>
          </w:tblCellMar>
        </w:tblPrEx>
        <w:trPr>
          <w:trHeight w:val="567" w:hRule="atLeast"/>
          <w:jc w:val="center"/>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贵阳办事处</w:t>
            </w:r>
          </w:p>
        </w:tc>
        <w:tc>
          <w:tcPr>
            <w:tcW w:w="6479"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贵州省贵阳市观山湖区新世界富力中心A3-1004</w:t>
            </w:r>
          </w:p>
        </w:tc>
      </w:tr>
      <w:tr>
        <w:tblPrEx>
          <w:tblCellMar>
            <w:top w:w="0" w:type="dxa"/>
            <w:left w:w="108" w:type="dxa"/>
            <w:bottom w:w="0" w:type="dxa"/>
            <w:right w:w="108" w:type="dxa"/>
          </w:tblCellMar>
        </w:tblPrEx>
        <w:trPr>
          <w:trHeight w:val="567" w:hRule="atLeast"/>
          <w:jc w:val="center"/>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兰州办事处</w:t>
            </w:r>
          </w:p>
        </w:tc>
        <w:tc>
          <w:tcPr>
            <w:tcW w:w="6479"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甘肃省兰州市安宁区锦绣半岛11栋3002室</w:t>
            </w:r>
          </w:p>
        </w:tc>
      </w:tr>
      <w:tr>
        <w:tblPrEx>
          <w:tblCellMar>
            <w:top w:w="0" w:type="dxa"/>
            <w:left w:w="108" w:type="dxa"/>
            <w:bottom w:w="0" w:type="dxa"/>
            <w:right w:w="108" w:type="dxa"/>
          </w:tblCellMar>
        </w:tblPrEx>
        <w:trPr>
          <w:trHeight w:val="567" w:hRule="atLeast"/>
          <w:jc w:val="center"/>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西安办事处</w:t>
            </w:r>
          </w:p>
        </w:tc>
        <w:tc>
          <w:tcPr>
            <w:tcW w:w="6479"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陕西省西安市高新区丈八一路1号汇鑫IBC-C座-503室</w:t>
            </w:r>
          </w:p>
        </w:tc>
      </w:tr>
      <w:tr>
        <w:tblPrEx>
          <w:tblCellMar>
            <w:top w:w="0" w:type="dxa"/>
            <w:left w:w="108" w:type="dxa"/>
            <w:bottom w:w="0" w:type="dxa"/>
            <w:right w:w="108" w:type="dxa"/>
          </w:tblCellMar>
        </w:tblPrEx>
        <w:trPr>
          <w:trHeight w:val="567" w:hRule="atLeast"/>
          <w:jc w:val="center"/>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乌鲁木齐办事处</w:t>
            </w:r>
          </w:p>
        </w:tc>
        <w:tc>
          <w:tcPr>
            <w:tcW w:w="6479"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新疆乌鲁木齐市沙依巴克区平顶山东一路江南嘉园1-2-401室</w:t>
            </w:r>
          </w:p>
        </w:tc>
      </w:tr>
      <w:tr>
        <w:tblPrEx>
          <w:tblCellMar>
            <w:top w:w="0" w:type="dxa"/>
            <w:left w:w="108" w:type="dxa"/>
            <w:bottom w:w="0" w:type="dxa"/>
            <w:right w:w="108" w:type="dxa"/>
          </w:tblCellMar>
        </w:tblPrEx>
        <w:trPr>
          <w:trHeight w:val="567" w:hRule="atLeast"/>
          <w:jc w:val="center"/>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青宁办事处</w:t>
            </w:r>
          </w:p>
        </w:tc>
        <w:tc>
          <w:tcPr>
            <w:tcW w:w="6479"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宁夏银川市西夏区物华兴洲苑31栋2单元302室</w:t>
            </w:r>
          </w:p>
        </w:tc>
      </w:tr>
      <w:tr>
        <w:tblPrEx>
          <w:tblCellMar>
            <w:top w:w="0" w:type="dxa"/>
            <w:left w:w="108" w:type="dxa"/>
            <w:bottom w:w="0" w:type="dxa"/>
            <w:right w:w="108" w:type="dxa"/>
          </w:tblCellMar>
        </w:tblPrEx>
        <w:trPr>
          <w:trHeight w:val="567" w:hRule="atLeast"/>
          <w:jc w:val="center"/>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武汉办事处</w:t>
            </w:r>
          </w:p>
        </w:tc>
        <w:tc>
          <w:tcPr>
            <w:tcW w:w="6479"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湖北省武汉市洪山区雄楚大道21号校友创新中心1901室</w:t>
            </w:r>
          </w:p>
        </w:tc>
      </w:tr>
      <w:tr>
        <w:tblPrEx>
          <w:tblCellMar>
            <w:top w:w="0" w:type="dxa"/>
            <w:left w:w="108" w:type="dxa"/>
            <w:bottom w:w="0" w:type="dxa"/>
            <w:right w:w="108" w:type="dxa"/>
          </w:tblCellMar>
        </w:tblPrEx>
        <w:trPr>
          <w:trHeight w:val="567" w:hRule="atLeast"/>
          <w:jc w:val="center"/>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长沙办事处</w:t>
            </w:r>
          </w:p>
        </w:tc>
        <w:tc>
          <w:tcPr>
            <w:tcW w:w="6479"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湖南省长沙市岳麓区枫林二路高信向日葵广场枫林二路188号510室</w:t>
            </w:r>
          </w:p>
        </w:tc>
      </w:tr>
      <w:tr>
        <w:tblPrEx>
          <w:tblCellMar>
            <w:top w:w="0" w:type="dxa"/>
            <w:left w:w="108" w:type="dxa"/>
            <w:bottom w:w="0" w:type="dxa"/>
            <w:right w:w="108" w:type="dxa"/>
          </w:tblCellMar>
        </w:tblPrEx>
        <w:trPr>
          <w:trHeight w:val="567" w:hRule="atLeast"/>
          <w:jc w:val="center"/>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郑州办事处</w:t>
            </w:r>
          </w:p>
        </w:tc>
        <w:tc>
          <w:tcPr>
            <w:tcW w:w="6479"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rPr>
                <w:rFonts w:ascii="Times New Roman" w:hAnsi="Times New Roman" w:eastAsia="宋体" w:cs="Times New Roman"/>
                <w:bCs/>
                <w:kern w:val="2"/>
                <w:sz w:val="21"/>
                <w:szCs w:val="32"/>
                <w:lang w:val="en-US" w:eastAsia="zh-CN" w:bidi="ar-SA"/>
              </w:rPr>
            </w:pPr>
            <w:r>
              <w:rPr>
                <w:rFonts w:hint="eastAsia" w:ascii="Times New Roman" w:hAnsi="Times New Roman" w:eastAsia="宋体" w:cs="Times New Roman"/>
                <w:bCs/>
                <w:kern w:val="2"/>
                <w:sz w:val="21"/>
                <w:szCs w:val="32"/>
                <w:lang w:val="en-US" w:eastAsia="zh-CN" w:bidi="ar-SA"/>
              </w:rPr>
              <w:t>河南省郑州市管城区商鼎路78号升龙广场3号楼B座918室</w:t>
            </w:r>
          </w:p>
        </w:tc>
      </w:tr>
    </w:tbl>
    <w:p>
      <w:pPr>
        <w:adjustRightInd w:val="0"/>
        <w:snapToGrid w:val="0"/>
        <w:spacing w:line="360" w:lineRule="auto"/>
        <w:ind w:firstLine="480" w:firstLineChars="200"/>
        <w:rPr>
          <w:rFonts w:ascii="Times New Roman" w:hAnsi="Times New Roman" w:eastAsia="宋体" w:cs="Times New Roman"/>
          <w:bCs/>
          <w:sz w:val="24"/>
          <w:szCs w:val="32"/>
        </w:rPr>
      </w:pPr>
    </w:p>
    <w:p>
      <w:pPr>
        <w:keepNext/>
        <w:keepLines/>
        <w:numPr>
          <w:ilvl w:val="2"/>
          <w:numId w:val="36"/>
        </w:numPr>
        <w:adjustRightInd w:val="0"/>
        <w:snapToGrid w:val="0"/>
        <w:spacing w:before="246" w:beforeLines="50" w:after="246" w:afterLines="50" w:line="360" w:lineRule="auto"/>
        <w:ind w:left="0" w:leftChars="0" w:firstLine="0" w:firstLineChars="0"/>
        <w:outlineLvl w:val="1"/>
        <w:rPr>
          <w:rFonts w:ascii="Times New Roman" w:hAnsi="Times New Roman" w:eastAsia="宋体" w:cs="Times New Roman"/>
          <w:b/>
          <w:bCs/>
          <w:kern w:val="2"/>
          <w:sz w:val="24"/>
          <w:szCs w:val="28"/>
          <w:lang w:val="en-US" w:eastAsia="zh-CN" w:bidi="ar-SA"/>
        </w:rPr>
      </w:pPr>
      <w:r>
        <w:rPr>
          <w:rFonts w:hint="eastAsia" w:ascii="Times New Roman" w:hAnsi="Times New Roman" w:eastAsia="宋体" w:cs="Times New Roman"/>
          <w:b/>
          <w:bCs/>
          <w:kern w:val="2"/>
          <w:sz w:val="24"/>
          <w:szCs w:val="28"/>
          <w:lang w:val="en-US" w:eastAsia="zh-CN" w:bidi="ar-SA"/>
        </w:rPr>
        <w:t>运营保障内容</w:t>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除</w:t>
      </w:r>
      <w:r>
        <w:rPr>
          <w:rFonts w:ascii="Times New Roman" w:hAnsi="Times New Roman" w:eastAsia="宋体" w:cs="Times New Roman"/>
          <w:bCs/>
          <w:sz w:val="24"/>
          <w:szCs w:val="32"/>
        </w:rPr>
        <w:t>提供</w:t>
      </w:r>
      <w:r>
        <w:rPr>
          <w:rFonts w:hint="eastAsia" w:ascii="Times New Roman" w:hAnsi="Times New Roman" w:eastAsia="宋体" w:cs="Times New Roman"/>
          <w:bCs/>
          <w:sz w:val="24"/>
          <w:szCs w:val="32"/>
        </w:rPr>
        <w:t>多元</w:t>
      </w:r>
      <w:r>
        <w:rPr>
          <w:rFonts w:ascii="Times New Roman" w:hAnsi="Times New Roman" w:eastAsia="宋体" w:cs="Times New Roman"/>
          <w:bCs/>
          <w:sz w:val="24"/>
          <w:szCs w:val="32"/>
        </w:rPr>
        <w:t>化的服务</w:t>
      </w:r>
      <w:r>
        <w:rPr>
          <w:rFonts w:hint="eastAsia" w:ascii="Times New Roman" w:hAnsi="Times New Roman" w:eastAsia="宋体" w:cs="Times New Roman"/>
          <w:bCs/>
          <w:sz w:val="24"/>
          <w:szCs w:val="32"/>
        </w:rPr>
        <w:t>受理</w:t>
      </w:r>
      <w:r>
        <w:rPr>
          <w:rFonts w:ascii="Times New Roman" w:hAnsi="Times New Roman" w:eastAsia="宋体" w:cs="Times New Roman"/>
          <w:bCs/>
          <w:sz w:val="24"/>
          <w:szCs w:val="32"/>
        </w:rPr>
        <w:t>方式外，</w:t>
      </w:r>
      <w:r>
        <w:rPr>
          <w:rFonts w:hint="eastAsia" w:ascii="Times New Roman" w:hAnsi="Times New Roman" w:eastAsia="宋体" w:cs="Times New Roman"/>
          <w:bCs/>
          <w:sz w:val="24"/>
          <w:szCs w:val="32"/>
        </w:rPr>
        <w:t>公司还</w:t>
      </w:r>
      <w:r>
        <w:rPr>
          <w:rFonts w:ascii="Times New Roman" w:hAnsi="Times New Roman" w:eastAsia="宋体" w:cs="Times New Roman"/>
          <w:bCs/>
          <w:sz w:val="24"/>
          <w:szCs w:val="32"/>
        </w:rPr>
        <w:t>建立了强大的服务运营团队来保障整个服务体系的正常运行。</w:t>
      </w:r>
      <w:r>
        <w:rPr>
          <w:rFonts w:hint="eastAsia" w:ascii="Times New Roman" w:hAnsi="Times New Roman" w:eastAsia="宋体" w:cs="Times New Roman"/>
          <w:bCs/>
          <w:sz w:val="24"/>
          <w:szCs w:val="32"/>
        </w:rPr>
        <w:t>对于</w:t>
      </w:r>
      <w:r>
        <w:rPr>
          <w:rFonts w:ascii="Times New Roman" w:hAnsi="Times New Roman" w:eastAsia="宋体" w:cs="Times New Roman"/>
          <w:bCs/>
          <w:sz w:val="24"/>
          <w:szCs w:val="32"/>
        </w:rPr>
        <w:t>用户提出的服务需求，运营团队会全程监控，保证用户的服务需求</w:t>
      </w:r>
      <w:r>
        <w:rPr>
          <w:rFonts w:hint="eastAsia" w:ascii="Times New Roman" w:hAnsi="Times New Roman" w:eastAsia="宋体" w:cs="Times New Roman"/>
          <w:bCs/>
          <w:sz w:val="24"/>
          <w:szCs w:val="32"/>
        </w:rPr>
        <w:t>及时</w:t>
      </w:r>
      <w:r>
        <w:rPr>
          <w:rFonts w:ascii="Times New Roman" w:hAnsi="Times New Roman" w:eastAsia="宋体" w:cs="Times New Roman"/>
          <w:bCs/>
          <w:sz w:val="24"/>
          <w:szCs w:val="32"/>
        </w:rPr>
        <w:t>得到处理；对于用户发起的投诉，运营团队牵头成立专项</w:t>
      </w:r>
      <w:r>
        <w:rPr>
          <w:rFonts w:hint="eastAsia" w:ascii="Times New Roman" w:hAnsi="Times New Roman" w:eastAsia="宋体" w:cs="Times New Roman"/>
          <w:bCs/>
          <w:sz w:val="24"/>
          <w:szCs w:val="32"/>
        </w:rPr>
        <w:t>解决</w:t>
      </w:r>
      <w:r>
        <w:rPr>
          <w:rFonts w:ascii="Times New Roman" w:hAnsi="Times New Roman" w:eastAsia="宋体" w:cs="Times New Roman"/>
          <w:bCs/>
          <w:sz w:val="24"/>
          <w:szCs w:val="32"/>
        </w:rPr>
        <w:t>小组，</w:t>
      </w:r>
      <w:r>
        <w:rPr>
          <w:rFonts w:hint="eastAsia" w:ascii="Times New Roman" w:hAnsi="Times New Roman" w:eastAsia="宋体" w:cs="Times New Roman"/>
          <w:bCs/>
          <w:sz w:val="24"/>
          <w:szCs w:val="32"/>
        </w:rPr>
        <w:t>并监控</w:t>
      </w:r>
      <w:r>
        <w:rPr>
          <w:rFonts w:ascii="Times New Roman" w:hAnsi="Times New Roman" w:eastAsia="宋体" w:cs="Times New Roman"/>
          <w:bCs/>
          <w:sz w:val="24"/>
          <w:szCs w:val="32"/>
        </w:rPr>
        <w:t>整个解决过程</w:t>
      </w:r>
      <w:r>
        <w:rPr>
          <w:rFonts w:hint="eastAsia" w:ascii="Times New Roman" w:hAnsi="Times New Roman" w:eastAsia="宋体" w:cs="Times New Roman"/>
          <w:bCs/>
          <w:sz w:val="24"/>
          <w:szCs w:val="32"/>
        </w:rPr>
        <w:t>，</w:t>
      </w:r>
      <w:r>
        <w:rPr>
          <w:rFonts w:ascii="Times New Roman" w:hAnsi="Times New Roman" w:eastAsia="宋体" w:cs="Times New Roman"/>
          <w:bCs/>
          <w:sz w:val="24"/>
          <w:szCs w:val="32"/>
        </w:rPr>
        <w:t>保证解决质量，</w:t>
      </w:r>
      <w:r>
        <w:rPr>
          <w:rFonts w:hint="eastAsia" w:ascii="Times New Roman" w:hAnsi="Times New Roman" w:eastAsia="宋体" w:cs="Times New Roman"/>
          <w:bCs/>
          <w:sz w:val="24"/>
          <w:szCs w:val="32"/>
        </w:rPr>
        <w:t>提高</w:t>
      </w:r>
      <w:r>
        <w:rPr>
          <w:rFonts w:ascii="Times New Roman" w:hAnsi="Times New Roman" w:eastAsia="宋体" w:cs="Times New Roman"/>
          <w:bCs/>
          <w:sz w:val="24"/>
          <w:szCs w:val="32"/>
        </w:rPr>
        <w:t>用户满意度。</w:t>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对于</w:t>
      </w:r>
      <w:r>
        <w:rPr>
          <w:rFonts w:ascii="Times New Roman" w:hAnsi="Times New Roman" w:eastAsia="宋体" w:cs="Times New Roman"/>
          <w:bCs/>
          <w:sz w:val="24"/>
          <w:szCs w:val="32"/>
        </w:rPr>
        <w:t>问题的处理，</w:t>
      </w:r>
      <w:r>
        <w:rPr>
          <w:rFonts w:hint="eastAsia" w:ascii="Times New Roman" w:hAnsi="Times New Roman" w:eastAsia="宋体" w:cs="Times New Roman"/>
          <w:bCs/>
          <w:sz w:val="24"/>
          <w:szCs w:val="32"/>
        </w:rPr>
        <w:t>公司</w:t>
      </w:r>
      <w:r>
        <w:rPr>
          <w:rFonts w:ascii="Times New Roman" w:hAnsi="Times New Roman" w:eastAsia="宋体" w:cs="Times New Roman"/>
          <w:bCs/>
          <w:sz w:val="24"/>
          <w:szCs w:val="32"/>
        </w:rPr>
        <w:t>运营专员</w:t>
      </w:r>
      <w:r>
        <w:rPr>
          <w:rFonts w:hint="eastAsia" w:ascii="Times New Roman" w:hAnsi="Times New Roman" w:eastAsia="宋体" w:cs="Times New Roman"/>
          <w:bCs/>
          <w:sz w:val="24"/>
          <w:szCs w:val="32"/>
        </w:rPr>
        <w:t>会全程</w:t>
      </w:r>
      <w:r>
        <w:rPr>
          <w:rFonts w:ascii="Times New Roman" w:hAnsi="Times New Roman" w:eastAsia="宋体" w:cs="Times New Roman"/>
          <w:bCs/>
          <w:sz w:val="24"/>
          <w:szCs w:val="32"/>
        </w:rPr>
        <w:t>介入，对问题的处理过程进行跟踪，响应用户的加急催办，</w:t>
      </w:r>
      <w:r>
        <w:rPr>
          <w:rFonts w:hint="eastAsia" w:ascii="Times New Roman" w:hAnsi="Times New Roman" w:eastAsia="宋体" w:cs="Times New Roman"/>
          <w:bCs/>
          <w:sz w:val="24"/>
          <w:szCs w:val="32"/>
        </w:rPr>
        <w:t>督促</w:t>
      </w:r>
      <w:r>
        <w:rPr>
          <w:rFonts w:ascii="Times New Roman" w:hAnsi="Times New Roman" w:eastAsia="宋体" w:cs="Times New Roman"/>
          <w:bCs/>
          <w:sz w:val="24"/>
          <w:szCs w:val="32"/>
        </w:rPr>
        <w:t>责任人加急处理，并针对办理情况添加“</w:t>
      </w:r>
      <w:r>
        <w:rPr>
          <w:rFonts w:hint="eastAsia" w:ascii="Times New Roman" w:hAnsi="Times New Roman" w:eastAsia="宋体" w:cs="Times New Roman"/>
          <w:bCs/>
          <w:sz w:val="24"/>
          <w:szCs w:val="32"/>
        </w:rPr>
        <w:t>运营</w:t>
      </w:r>
      <w:r>
        <w:rPr>
          <w:rFonts w:ascii="Times New Roman" w:hAnsi="Times New Roman" w:eastAsia="宋体" w:cs="Times New Roman"/>
          <w:bCs/>
          <w:sz w:val="24"/>
          <w:szCs w:val="32"/>
        </w:rPr>
        <w:t>记录”</w:t>
      </w:r>
      <w:r>
        <w:rPr>
          <w:rFonts w:hint="eastAsia" w:ascii="Times New Roman" w:hAnsi="Times New Roman" w:eastAsia="宋体" w:cs="Times New Roman"/>
          <w:bCs/>
          <w:sz w:val="24"/>
          <w:szCs w:val="32"/>
        </w:rPr>
        <w:t>，</w:t>
      </w:r>
      <w:r>
        <w:rPr>
          <w:rFonts w:ascii="Times New Roman" w:hAnsi="Times New Roman" w:eastAsia="宋体" w:cs="Times New Roman"/>
          <w:bCs/>
          <w:sz w:val="24"/>
          <w:szCs w:val="32"/>
        </w:rPr>
        <w:t>以</w:t>
      </w:r>
      <w:r>
        <w:rPr>
          <w:rFonts w:hint="eastAsia" w:ascii="Times New Roman" w:hAnsi="Times New Roman" w:eastAsia="宋体" w:cs="Times New Roman"/>
          <w:bCs/>
          <w:sz w:val="24"/>
          <w:szCs w:val="32"/>
        </w:rPr>
        <w:t>保持</w:t>
      </w:r>
      <w:r>
        <w:rPr>
          <w:rFonts w:ascii="Times New Roman" w:hAnsi="Times New Roman" w:eastAsia="宋体" w:cs="Times New Roman"/>
          <w:bCs/>
          <w:sz w:val="24"/>
          <w:szCs w:val="32"/>
        </w:rPr>
        <w:t>对问题的跟踪处理。</w:t>
      </w:r>
    </w:p>
    <w:p>
      <w:pPr>
        <w:adjustRightInd w:val="0"/>
        <w:snapToGrid w:val="0"/>
        <w:spacing w:line="360" w:lineRule="auto"/>
        <w:ind w:firstLine="480" w:firstLineChars="200"/>
        <w:rPr>
          <w:rFonts w:ascii="Times New Roman" w:hAnsi="Times New Roman" w:eastAsia="宋体" w:cs="Times New Roman"/>
          <w:bCs/>
          <w:sz w:val="24"/>
          <w:szCs w:val="32"/>
        </w:rPr>
      </w:pPr>
      <w:r>
        <w:rPr>
          <w:rFonts w:ascii="Times New Roman" w:hAnsi="Times New Roman" w:eastAsia="宋体" w:cs="Times New Roman"/>
          <w:bCs/>
          <w:sz w:val="24"/>
          <w:szCs w:val="32"/>
        </w:rPr>
        <w:t>对于</w:t>
      </w:r>
      <w:r>
        <w:rPr>
          <w:rFonts w:hint="eastAsia" w:ascii="Times New Roman" w:hAnsi="Times New Roman" w:eastAsia="宋体" w:cs="Times New Roman"/>
          <w:bCs/>
          <w:sz w:val="24"/>
          <w:szCs w:val="32"/>
        </w:rPr>
        <w:t>没有按时</w:t>
      </w:r>
      <w:r>
        <w:rPr>
          <w:rFonts w:ascii="Times New Roman" w:hAnsi="Times New Roman" w:eastAsia="宋体" w:cs="Times New Roman"/>
          <w:bCs/>
          <w:sz w:val="24"/>
          <w:szCs w:val="32"/>
        </w:rPr>
        <w:t>响应受理</w:t>
      </w:r>
      <w:r>
        <w:rPr>
          <w:rFonts w:hint="eastAsia" w:ascii="Times New Roman" w:hAnsi="Times New Roman" w:eastAsia="宋体" w:cs="Times New Roman"/>
          <w:bCs/>
          <w:sz w:val="24"/>
          <w:szCs w:val="32"/>
        </w:rPr>
        <w:t>的</w:t>
      </w:r>
      <w:r>
        <w:rPr>
          <w:rFonts w:ascii="Times New Roman" w:hAnsi="Times New Roman" w:eastAsia="宋体" w:cs="Times New Roman"/>
          <w:bCs/>
          <w:sz w:val="24"/>
          <w:szCs w:val="32"/>
        </w:rPr>
        <w:t>问题，运营专员会</w:t>
      </w:r>
      <w:r>
        <w:rPr>
          <w:rFonts w:hint="eastAsia" w:ascii="Times New Roman" w:hAnsi="Times New Roman" w:eastAsia="宋体" w:cs="Times New Roman"/>
          <w:bCs/>
          <w:sz w:val="24"/>
          <w:szCs w:val="32"/>
        </w:rPr>
        <w:t>及时</w:t>
      </w:r>
      <w:r>
        <w:rPr>
          <w:rFonts w:ascii="Times New Roman" w:hAnsi="Times New Roman" w:eastAsia="宋体" w:cs="Times New Roman"/>
          <w:bCs/>
          <w:sz w:val="24"/>
          <w:szCs w:val="32"/>
        </w:rPr>
        <w:t>介入，提醒并督促相关责任人立即</w:t>
      </w:r>
      <w:r>
        <w:rPr>
          <w:rFonts w:hint="eastAsia" w:ascii="Times New Roman" w:hAnsi="Times New Roman" w:eastAsia="宋体" w:cs="Times New Roman"/>
          <w:bCs/>
          <w:sz w:val="24"/>
          <w:szCs w:val="32"/>
        </w:rPr>
        <w:t>对</w:t>
      </w:r>
      <w:r>
        <w:rPr>
          <w:rFonts w:ascii="Times New Roman" w:hAnsi="Times New Roman" w:eastAsia="宋体" w:cs="Times New Roman"/>
          <w:bCs/>
          <w:sz w:val="24"/>
          <w:szCs w:val="32"/>
        </w:rPr>
        <w:t>问题响应受理</w:t>
      </w:r>
      <w:r>
        <w:rPr>
          <w:rFonts w:hint="eastAsia" w:ascii="Times New Roman" w:hAnsi="Times New Roman" w:eastAsia="宋体" w:cs="Times New Roman"/>
          <w:bCs/>
          <w:sz w:val="24"/>
          <w:szCs w:val="32"/>
        </w:rPr>
        <w:t>；</w:t>
      </w:r>
      <w:r>
        <w:rPr>
          <w:rFonts w:ascii="Times New Roman" w:hAnsi="Times New Roman" w:eastAsia="宋体" w:cs="Times New Roman"/>
          <w:bCs/>
          <w:sz w:val="24"/>
          <w:szCs w:val="32"/>
        </w:rPr>
        <w:t>对于</w:t>
      </w:r>
      <w:r>
        <w:rPr>
          <w:rFonts w:hint="eastAsia" w:ascii="Times New Roman" w:hAnsi="Times New Roman" w:eastAsia="宋体" w:cs="Times New Roman"/>
          <w:bCs/>
          <w:sz w:val="24"/>
          <w:szCs w:val="32"/>
        </w:rPr>
        <w:t>即将</w:t>
      </w:r>
      <w:r>
        <w:rPr>
          <w:rFonts w:ascii="Times New Roman" w:hAnsi="Times New Roman" w:eastAsia="宋体" w:cs="Times New Roman"/>
          <w:bCs/>
          <w:sz w:val="24"/>
          <w:szCs w:val="32"/>
        </w:rPr>
        <w:t>超过承诺解决日期的问题，运营专员也会提前介入，了解问题</w:t>
      </w:r>
      <w:r>
        <w:rPr>
          <w:rFonts w:hint="eastAsia" w:ascii="Times New Roman" w:hAnsi="Times New Roman" w:eastAsia="宋体" w:cs="Times New Roman"/>
          <w:bCs/>
          <w:sz w:val="24"/>
          <w:szCs w:val="32"/>
        </w:rPr>
        <w:t>当前</w:t>
      </w:r>
      <w:r>
        <w:rPr>
          <w:rFonts w:ascii="Times New Roman" w:hAnsi="Times New Roman" w:eastAsia="宋体" w:cs="Times New Roman"/>
          <w:bCs/>
          <w:sz w:val="24"/>
          <w:szCs w:val="32"/>
        </w:rPr>
        <w:t>处理进展，</w:t>
      </w:r>
      <w:r>
        <w:rPr>
          <w:rFonts w:hint="eastAsia" w:ascii="Times New Roman" w:hAnsi="Times New Roman" w:eastAsia="宋体" w:cs="Times New Roman"/>
          <w:bCs/>
          <w:sz w:val="24"/>
          <w:szCs w:val="32"/>
        </w:rPr>
        <w:t>掌握</w:t>
      </w:r>
      <w:r>
        <w:rPr>
          <w:rFonts w:ascii="Times New Roman" w:hAnsi="Times New Roman" w:eastAsia="宋体" w:cs="Times New Roman"/>
          <w:bCs/>
          <w:sz w:val="24"/>
          <w:szCs w:val="32"/>
        </w:rPr>
        <w:t>问题是否可按期处理完成，必要时会及时与用户沟通，说明解决情况；</w:t>
      </w:r>
      <w:r>
        <w:rPr>
          <w:rFonts w:hint="eastAsia" w:ascii="Times New Roman" w:hAnsi="Times New Roman" w:eastAsia="宋体" w:cs="Times New Roman"/>
          <w:bCs/>
          <w:sz w:val="24"/>
          <w:szCs w:val="32"/>
        </w:rPr>
        <w:t>对于</w:t>
      </w:r>
      <w:r>
        <w:rPr>
          <w:rFonts w:ascii="Times New Roman" w:hAnsi="Times New Roman" w:eastAsia="宋体" w:cs="Times New Roman"/>
          <w:bCs/>
          <w:sz w:val="24"/>
          <w:szCs w:val="32"/>
        </w:rPr>
        <w:t>已经超过承诺解决日期的问题，运营专员会</w:t>
      </w:r>
      <w:r>
        <w:rPr>
          <w:rFonts w:hint="eastAsia" w:ascii="Times New Roman" w:hAnsi="Times New Roman" w:eastAsia="宋体" w:cs="Times New Roman"/>
          <w:bCs/>
          <w:sz w:val="24"/>
          <w:szCs w:val="32"/>
        </w:rPr>
        <w:t>重点</w:t>
      </w:r>
      <w:r>
        <w:rPr>
          <w:rFonts w:ascii="Times New Roman" w:hAnsi="Times New Roman" w:eastAsia="宋体" w:cs="Times New Roman"/>
          <w:bCs/>
          <w:sz w:val="24"/>
          <w:szCs w:val="32"/>
        </w:rPr>
        <w:t>关注，及时摸清超期原因，并要求处理责任人给出</w:t>
      </w:r>
      <w:r>
        <w:rPr>
          <w:rFonts w:hint="eastAsia" w:ascii="Times New Roman" w:hAnsi="Times New Roman" w:eastAsia="宋体" w:cs="Times New Roman"/>
          <w:bCs/>
          <w:sz w:val="24"/>
          <w:szCs w:val="32"/>
        </w:rPr>
        <w:t>纠正</w:t>
      </w:r>
      <w:r>
        <w:rPr>
          <w:rFonts w:ascii="Times New Roman" w:hAnsi="Times New Roman" w:eastAsia="宋体" w:cs="Times New Roman"/>
          <w:bCs/>
          <w:sz w:val="24"/>
          <w:szCs w:val="32"/>
        </w:rPr>
        <w:t>措施，</w:t>
      </w:r>
      <w:r>
        <w:rPr>
          <w:rFonts w:hint="eastAsia" w:ascii="Times New Roman" w:hAnsi="Times New Roman" w:eastAsia="宋体" w:cs="Times New Roman"/>
          <w:bCs/>
          <w:sz w:val="24"/>
          <w:szCs w:val="32"/>
        </w:rPr>
        <w:t>使</w:t>
      </w:r>
      <w:r>
        <w:rPr>
          <w:rFonts w:ascii="Times New Roman" w:hAnsi="Times New Roman" w:eastAsia="宋体" w:cs="Times New Roman"/>
          <w:bCs/>
          <w:sz w:val="24"/>
          <w:szCs w:val="32"/>
        </w:rPr>
        <w:t>问题回归正常的处理轨道。</w:t>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对内公司总部</w:t>
      </w:r>
      <w:r>
        <w:rPr>
          <w:rFonts w:ascii="Times New Roman" w:hAnsi="Times New Roman" w:eastAsia="宋体" w:cs="Times New Roman"/>
          <w:bCs/>
          <w:sz w:val="24"/>
          <w:szCs w:val="32"/>
        </w:rPr>
        <w:t>成立了各个产品线专</w:t>
      </w:r>
      <w:r>
        <w:rPr>
          <w:rFonts w:hint="eastAsia" w:ascii="Times New Roman" w:hAnsi="Times New Roman" w:eastAsia="宋体" w:cs="Times New Roman"/>
          <w:bCs/>
          <w:sz w:val="24"/>
          <w:szCs w:val="32"/>
        </w:rPr>
        <w:t>业</w:t>
      </w:r>
      <w:r>
        <w:rPr>
          <w:rFonts w:ascii="Times New Roman" w:hAnsi="Times New Roman" w:eastAsia="宋体" w:cs="Times New Roman"/>
          <w:bCs/>
          <w:sz w:val="24"/>
          <w:szCs w:val="32"/>
        </w:rPr>
        <w:t>的</w:t>
      </w:r>
      <w:r>
        <w:rPr>
          <w:rFonts w:hint="eastAsia" w:ascii="Times New Roman" w:hAnsi="Times New Roman" w:eastAsia="宋体" w:cs="Times New Roman"/>
          <w:bCs/>
          <w:sz w:val="24"/>
          <w:szCs w:val="32"/>
        </w:rPr>
        <w:t>专家</w:t>
      </w:r>
      <w:r>
        <w:rPr>
          <w:rFonts w:ascii="Times New Roman" w:hAnsi="Times New Roman" w:eastAsia="宋体" w:cs="Times New Roman"/>
          <w:bCs/>
          <w:sz w:val="24"/>
          <w:szCs w:val="32"/>
        </w:rPr>
        <w:t>团队，全力支持项目现场的问题处理工作，同时研发人员也参与其中，</w:t>
      </w:r>
      <w:r>
        <w:rPr>
          <w:rFonts w:hint="eastAsia" w:ascii="Times New Roman" w:hAnsi="Times New Roman" w:eastAsia="宋体" w:cs="Times New Roman"/>
          <w:bCs/>
          <w:sz w:val="24"/>
          <w:szCs w:val="32"/>
        </w:rPr>
        <w:t>协助</w:t>
      </w:r>
      <w:r>
        <w:rPr>
          <w:rFonts w:ascii="Times New Roman" w:hAnsi="Times New Roman" w:eastAsia="宋体" w:cs="Times New Roman"/>
          <w:bCs/>
          <w:sz w:val="24"/>
          <w:szCs w:val="32"/>
        </w:rPr>
        <w:t>处理复杂系数较高的问题，确保所有问题能够及时高效</w:t>
      </w:r>
      <w:r>
        <w:rPr>
          <w:rFonts w:hint="eastAsia" w:ascii="Times New Roman" w:hAnsi="Times New Roman" w:eastAsia="宋体" w:cs="Times New Roman"/>
          <w:bCs/>
          <w:sz w:val="24"/>
          <w:szCs w:val="32"/>
        </w:rPr>
        <w:t>地</w:t>
      </w:r>
      <w:r>
        <w:rPr>
          <w:rFonts w:ascii="Times New Roman" w:hAnsi="Times New Roman" w:eastAsia="宋体" w:cs="Times New Roman"/>
          <w:bCs/>
          <w:sz w:val="24"/>
          <w:szCs w:val="32"/>
        </w:rPr>
        <w:t>解决。</w:t>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对内</w:t>
      </w:r>
      <w:r>
        <w:rPr>
          <w:rFonts w:ascii="Times New Roman" w:hAnsi="Times New Roman" w:eastAsia="宋体" w:cs="Times New Roman"/>
          <w:bCs/>
          <w:sz w:val="24"/>
          <w:szCs w:val="32"/>
        </w:rPr>
        <w:t>公司</w:t>
      </w:r>
      <w:r>
        <w:rPr>
          <w:rFonts w:hint="eastAsia" w:ascii="Times New Roman" w:hAnsi="Times New Roman" w:eastAsia="宋体" w:cs="Times New Roman"/>
          <w:bCs/>
          <w:sz w:val="24"/>
          <w:szCs w:val="32"/>
        </w:rPr>
        <w:t>总部还</w:t>
      </w:r>
      <w:r>
        <w:rPr>
          <w:rFonts w:ascii="Times New Roman" w:hAnsi="Times New Roman" w:eastAsia="宋体" w:cs="Times New Roman"/>
          <w:bCs/>
          <w:sz w:val="24"/>
          <w:szCs w:val="32"/>
        </w:rPr>
        <w:t>设立了</w:t>
      </w:r>
      <w:r>
        <w:rPr>
          <w:rFonts w:hint="eastAsia" w:ascii="Times New Roman" w:hAnsi="Times New Roman" w:eastAsia="宋体" w:cs="Times New Roman"/>
          <w:bCs/>
          <w:sz w:val="24"/>
          <w:szCs w:val="32"/>
        </w:rPr>
        <w:t>完整</w:t>
      </w:r>
      <w:r>
        <w:rPr>
          <w:rFonts w:ascii="Times New Roman" w:hAnsi="Times New Roman" w:eastAsia="宋体" w:cs="Times New Roman"/>
          <w:bCs/>
          <w:sz w:val="24"/>
          <w:szCs w:val="32"/>
        </w:rPr>
        <w:t>的绩效考核机制，</w:t>
      </w:r>
      <w:r>
        <w:rPr>
          <w:rFonts w:hint="eastAsia" w:ascii="Times New Roman" w:hAnsi="Times New Roman" w:eastAsia="宋体" w:cs="Times New Roman"/>
          <w:bCs/>
          <w:sz w:val="24"/>
          <w:szCs w:val="32"/>
        </w:rPr>
        <w:t>从</w:t>
      </w:r>
      <w:r>
        <w:rPr>
          <w:rFonts w:ascii="Times New Roman" w:hAnsi="Times New Roman" w:eastAsia="宋体" w:cs="Times New Roman"/>
          <w:bCs/>
          <w:sz w:val="24"/>
          <w:szCs w:val="32"/>
        </w:rPr>
        <w:t>服务响应情况及</w:t>
      </w:r>
      <w:r>
        <w:rPr>
          <w:rFonts w:hint="eastAsia" w:ascii="Times New Roman" w:hAnsi="Times New Roman" w:eastAsia="宋体" w:cs="Times New Roman"/>
          <w:bCs/>
          <w:sz w:val="24"/>
          <w:szCs w:val="32"/>
        </w:rPr>
        <w:t>问题</w:t>
      </w:r>
      <w:r>
        <w:rPr>
          <w:rFonts w:ascii="Times New Roman" w:hAnsi="Times New Roman" w:eastAsia="宋体" w:cs="Times New Roman"/>
          <w:bCs/>
          <w:sz w:val="24"/>
          <w:szCs w:val="32"/>
        </w:rPr>
        <w:t>按期解决情况等方面进行</w:t>
      </w:r>
      <w:r>
        <w:rPr>
          <w:rFonts w:hint="eastAsia" w:ascii="Times New Roman" w:hAnsi="Times New Roman" w:eastAsia="宋体" w:cs="Times New Roman"/>
          <w:bCs/>
          <w:sz w:val="24"/>
          <w:szCs w:val="32"/>
        </w:rPr>
        <w:t>考核</w:t>
      </w:r>
      <w:r>
        <w:rPr>
          <w:rFonts w:ascii="Times New Roman" w:hAnsi="Times New Roman" w:eastAsia="宋体" w:cs="Times New Roman"/>
          <w:bCs/>
          <w:sz w:val="24"/>
          <w:szCs w:val="32"/>
        </w:rPr>
        <w:t>督促</w:t>
      </w:r>
      <w:r>
        <w:rPr>
          <w:rFonts w:hint="eastAsia" w:ascii="Times New Roman" w:hAnsi="Times New Roman" w:eastAsia="宋体" w:cs="Times New Roman"/>
          <w:bCs/>
          <w:sz w:val="24"/>
          <w:szCs w:val="32"/>
        </w:rPr>
        <w:t>，对于</w:t>
      </w:r>
      <w:r>
        <w:rPr>
          <w:rFonts w:ascii="Times New Roman" w:hAnsi="Times New Roman" w:eastAsia="宋体" w:cs="Times New Roman"/>
          <w:bCs/>
          <w:sz w:val="24"/>
          <w:szCs w:val="32"/>
        </w:rPr>
        <w:t>服务响应不及时的，或问题不按承诺</w:t>
      </w:r>
      <w:r>
        <w:rPr>
          <w:rFonts w:hint="eastAsia" w:ascii="Times New Roman" w:hAnsi="Times New Roman" w:eastAsia="宋体" w:cs="Times New Roman"/>
          <w:bCs/>
          <w:sz w:val="24"/>
          <w:szCs w:val="32"/>
        </w:rPr>
        <w:t>日期</w:t>
      </w:r>
      <w:r>
        <w:rPr>
          <w:rFonts w:ascii="Times New Roman" w:hAnsi="Times New Roman" w:eastAsia="宋体" w:cs="Times New Roman"/>
          <w:bCs/>
          <w:sz w:val="24"/>
          <w:szCs w:val="32"/>
        </w:rPr>
        <w:t>进行解决的，将</w:t>
      </w:r>
      <w:r>
        <w:rPr>
          <w:rFonts w:hint="eastAsia" w:ascii="Times New Roman" w:hAnsi="Times New Roman" w:eastAsia="宋体" w:cs="Times New Roman"/>
          <w:bCs/>
          <w:sz w:val="24"/>
          <w:szCs w:val="32"/>
        </w:rPr>
        <w:t>减低相关</w:t>
      </w:r>
      <w:r>
        <w:rPr>
          <w:rFonts w:ascii="Times New Roman" w:hAnsi="Times New Roman" w:eastAsia="宋体" w:cs="Times New Roman"/>
          <w:bCs/>
          <w:sz w:val="24"/>
          <w:szCs w:val="32"/>
        </w:rPr>
        <w:t>责任人的绩效评分，</w:t>
      </w:r>
      <w:r>
        <w:rPr>
          <w:rFonts w:hint="eastAsia" w:ascii="Times New Roman" w:hAnsi="Times New Roman" w:eastAsia="宋体" w:cs="Times New Roman"/>
          <w:bCs/>
          <w:sz w:val="24"/>
          <w:szCs w:val="32"/>
        </w:rPr>
        <w:t>并</w:t>
      </w:r>
      <w:r>
        <w:rPr>
          <w:rFonts w:ascii="Times New Roman" w:hAnsi="Times New Roman" w:eastAsia="宋体" w:cs="Times New Roman"/>
          <w:bCs/>
          <w:sz w:val="24"/>
          <w:szCs w:val="32"/>
        </w:rPr>
        <w:t>根据评分直接扣除绩效工资，从</w:t>
      </w:r>
      <w:r>
        <w:rPr>
          <w:rFonts w:hint="eastAsia" w:ascii="Times New Roman" w:hAnsi="Times New Roman" w:eastAsia="宋体" w:cs="Times New Roman"/>
          <w:bCs/>
          <w:sz w:val="24"/>
          <w:szCs w:val="32"/>
        </w:rPr>
        <w:t>根本</w:t>
      </w:r>
      <w:r>
        <w:rPr>
          <w:rFonts w:ascii="Times New Roman" w:hAnsi="Times New Roman" w:eastAsia="宋体" w:cs="Times New Roman"/>
          <w:bCs/>
          <w:sz w:val="24"/>
          <w:szCs w:val="32"/>
        </w:rPr>
        <w:t>制度上保证了客户服务</w:t>
      </w:r>
      <w:r>
        <w:rPr>
          <w:rFonts w:hint="eastAsia" w:ascii="Times New Roman" w:hAnsi="Times New Roman" w:eastAsia="宋体" w:cs="Times New Roman"/>
          <w:bCs/>
          <w:sz w:val="24"/>
          <w:szCs w:val="32"/>
        </w:rPr>
        <w:t>需求</w:t>
      </w:r>
      <w:r>
        <w:rPr>
          <w:rFonts w:ascii="Times New Roman" w:hAnsi="Times New Roman" w:eastAsia="宋体" w:cs="Times New Roman"/>
          <w:bCs/>
          <w:sz w:val="24"/>
          <w:szCs w:val="32"/>
        </w:rPr>
        <w:t>的服务质量。</w:t>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对外公司</w:t>
      </w:r>
      <w:r>
        <w:rPr>
          <w:rFonts w:ascii="Times New Roman" w:hAnsi="Times New Roman" w:eastAsia="宋体" w:cs="Times New Roman"/>
          <w:bCs/>
          <w:sz w:val="24"/>
          <w:szCs w:val="32"/>
        </w:rPr>
        <w:t>会定期输出服务情况报表，</w:t>
      </w:r>
      <w:r>
        <w:rPr>
          <w:rFonts w:hint="eastAsia" w:ascii="Times New Roman" w:hAnsi="Times New Roman" w:eastAsia="宋体" w:cs="Times New Roman"/>
          <w:bCs/>
          <w:sz w:val="24"/>
          <w:szCs w:val="32"/>
        </w:rPr>
        <w:t>汇总</w:t>
      </w:r>
      <w:r>
        <w:rPr>
          <w:rFonts w:ascii="Times New Roman" w:hAnsi="Times New Roman" w:eastAsia="宋体" w:cs="Times New Roman"/>
          <w:bCs/>
          <w:sz w:val="24"/>
          <w:szCs w:val="32"/>
        </w:rPr>
        <w:t>用户</w:t>
      </w:r>
      <w:r>
        <w:rPr>
          <w:rFonts w:hint="eastAsia" w:ascii="Times New Roman" w:hAnsi="Times New Roman" w:eastAsia="宋体" w:cs="Times New Roman"/>
          <w:bCs/>
          <w:sz w:val="24"/>
          <w:szCs w:val="32"/>
        </w:rPr>
        <w:t>在</w:t>
      </w:r>
      <w:r>
        <w:rPr>
          <w:rFonts w:ascii="Times New Roman" w:hAnsi="Times New Roman" w:eastAsia="宋体" w:cs="Times New Roman"/>
          <w:bCs/>
          <w:sz w:val="24"/>
          <w:szCs w:val="32"/>
        </w:rPr>
        <w:t>服务期间提出的所有服务需求，分析服务数据，</w:t>
      </w:r>
      <w:r>
        <w:rPr>
          <w:rFonts w:hint="eastAsia" w:ascii="Times New Roman" w:hAnsi="Times New Roman" w:eastAsia="宋体" w:cs="Times New Roman"/>
          <w:bCs/>
          <w:sz w:val="24"/>
          <w:szCs w:val="32"/>
        </w:rPr>
        <w:t>从中</w:t>
      </w:r>
      <w:r>
        <w:rPr>
          <w:rFonts w:ascii="Times New Roman" w:hAnsi="Times New Roman" w:eastAsia="宋体" w:cs="Times New Roman"/>
          <w:bCs/>
          <w:sz w:val="24"/>
          <w:szCs w:val="32"/>
        </w:rPr>
        <w:t>总结出问题</w:t>
      </w:r>
      <w:r>
        <w:rPr>
          <w:rFonts w:hint="eastAsia" w:ascii="Times New Roman" w:hAnsi="Times New Roman" w:eastAsia="宋体" w:cs="Times New Roman"/>
          <w:bCs/>
          <w:sz w:val="24"/>
          <w:szCs w:val="32"/>
        </w:rPr>
        <w:t>发生</w:t>
      </w:r>
      <w:r>
        <w:rPr>
          <w:rFonts w:ascii="Times New Roman" w:hAnsi="Times New Roman" w:eastAsia="宋体" w:cs="Times New Roman"/>
          <w:bCs/>
          <w:sz w:val="24"/>
          <w:szCs w:val="32"/>
        </w:rPr>
        <w:t>的</w:t>
      </w:r>
      <w:r>
        <w:rPr>
          <w:rFonts w:hint="eastAsia" w:ascii="Times New Roman" w:hAnsi="Times New Roman" w:eastAsia="宋体" w:cs="Times New Roman"/>
          <w:bCs/>
          <w:sz w:val="24"/>
          <w:szCs w:val="32"/>
        </w:rPr>
        <w:t>共性规律</w:t>
      </w:r>
      <w:r>
        <w:rPr>
          <w:rFonts w:ascii="Times New Roman" w:hAnsi="Times New Roman" w:eastAsia="宋体" w:cs="Times New Roman"/>
          <w:bCs/>
          <w:sz w:val="24"/>
          <w:szCs w:val="32"/>
        </w:rPr>
        <w:t>，并针对此类问题给用户提供改进建议及改进方案</w:t>
      </w:r>
      <w:r>
        <w:rPr>
          <w:rFonts w:hint="eastAsia" w:ascii="Times New Roman" w:hAnsi="Times New Roman" w:eastAsia="宋体" w:cs="Times New Roman"/>
          <w:bCs/>
          <w:sz w:val="24"/>
          <w:szCs w:val="32"/>
        </w:rPr>
        <w:t>，</w:t>
      </w:r>
      <w:r>
        <w:rPr>
          <w:rFonts w:ascii="Times New Roman" w:hAnsi="Times New Roman" w:eastAsia="宋体" w:cs="Times New Roman"/>
          <w:bCs/>
          <w:sz w:val="24"/>
          <w:szCs w:val="32"/>
        </w:rPr>
        <w:t>帮助用户提高</w:t>
      </w:r>
      <w:r>
        <w:rPr>
          <w:rFonts w:hint="eastAsia" w:ascii="Times New Roman" w:hAnsi="Times New Roman" w:eastAsia="宋体" w:cs="Times New Roman"/>
          <w:bCs/>
          <w:sz w:val="24"/>
          <w:szCs w:val="32"/>
        </w:rPr>
        <w:t>各</w:t>
      </w:r>
      <w:r>
        <w:rPr>
          <w:rFonts w:ascii="Times New Roman" w:hAnsi="Times New Roman" w:eastAsia="宋体" w:cs="Times New Roman"/>
          <w:bCs/>
          <w:sz w:val="24"/>
          <w:szCs w:val="32"/>
        </w:rPr>
        <w:t>信息</w:t>
      </w:r>
      <w:r>
        <w:rPr>
          <w:rFonts w:hint="eastAsia" w:ascii="Times New Roman" w:hAnsi="Times New Roman" w:eastAsia="宋体" w:cs="Times New Roman"/>
          <w:bCs/>
          <w:sz w:val="24"/>
          <w:szCs w:val="32"/>
        </w:rPr>
        <w:t>系统的</w:t>
      </w:r>
      <w:r>
        <w:rPr>
          <w:rFonts w:ascii="Times New Roman" w:hAnsi="Times New Roman" w:eastAsia="宋体" w:cs="Times New Roman"/>
          <w:bCs/>
          <w:sz w:val="24"/>
          <w:szCs w:val="32"/>
        </w:rPr>
        <w:t>健康度，降低问题的发生几率</w:t>
      </w:r>
      <w:r>
        <w:rPr>
          <w:rFonts w:hint="eastAsia" w:ascii="Times New Roman" w:hAnsi="Times New Roman" w:eastAsia="宋体" w:cs="Times New Roman"/>
          <w:bCs/>
          <w:sz w:val="24"/>
          <w:szCs w:val="32"/>
        </w:rPr>
        <w:t>。</w:t>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除此</w:t>
      </w:r>
      <w:r>
        <w:rPr>
          <w:rFonts w:ascii="Times New Roman" w:hAnsi="Times New Roman" w:eastAsia="宋体" w:cs="Times New Roman"/>
          <w:bCs/>
          <w:sz w:val="24"/>
          <w:szCs w:val="32"/>
        </w:rPr>
        <w:t>之外，运营团队</w:t>
      </w:r>
      <w:r>
        <w:rPr>
          <w:rFonts w:hint="eastAsia" w:ascii="Times New Roman" w:hAnsi="Times New Roman" w:eastAsia="宋体" w:cs="Times New Roman"/>
          <w:bCs/>
          <w:sz w:val="24"/>
          <w:szCs w:val="32"/>
        </w:rPr>
        <w:t>还</w:t>
      </w:r>
      <w:r>
        <w:rPr>
          <w:rFonts w:ascii="Times New Roman" w:hAnsi="Times New Roman" w:eastAsia="宋体" w:cs="Times New Roman"/>
          <w:bCs/>
          <w:sz w:val="24"/>
          <w:szCs w:val="32"/>
        </w:rPr>
        <w:t>会全程参与</w:t>
      </w:r>
      <w:r>
        <w:rPr>
          <w:rFonts w:hint="eastAsia" w:ascii="Times New Roman" w:hAnsi="Times New Roman" w:eastAsia="宋体" w:cs="Times New Roman"/>
          <w:bCs/>
          <w:sz w:val="24"/>
          <w:szCs w:val="32"/>
        </w:rPr>
        <w:t>所有</w:t>
      </w:r>
      <w:r>
        <w:rPr>
          <w:rFonts w:ascii="Times New Roman" w:hAnsi="Times New Roman" w:eastAsia="宋体" w:cs="Times New Roman"/>
          <w:bCs/>
          <w:sz w:val="24"/>
          <w:szCs w:val="32"/>
        </w:rPr>
        <w:t>服务，并贯穿整个服务周期的始终，对问题处理的异常情况及时干预</w:t>
      </w:r>
      <w:r>
        <w:rPr>
          <w:rFonts w:hint="eastAsia" w:ascii="Times New Roman" w:hAnsi="Times New Roman" w:eastAsia="宋体" w:cs="Times New Roman"/>
          <w:bCs/>
          <w:sz w:val="24"/>
          <w:szCs w:val="32"/>
        </w:rPr>
        <w:t>纠偏</w:t>
      </w:r>
      <w:r>
        <w:rPr>
          <w:rFonts w:ascii="Times New Roman" w:hAnsi="Times New Roman" w:eastAsia="宋体" w:cs="Times New Roman"/>
          <w:bCs/>
          <w:sz w:val="24"/>
          <w:szCs w:val="32"/>
        </w:rPr>
        <w:t>，</w:t>
      </w:r>
      <w:r>
        <w:rPr>
          <w:rFonts w:hint="eastAsia" w:ascii="Times New Roman" w:hAnsi="Times New Roman" w:eastAsia="宋体" w:cs="Times New Roman"/>
          <w:bCs/>
          <w:sz w:val="24"/>
          <w:szCs w:val="32"/>
        </w:rPr>
        <w:t>对可能</w:t>
      </w:r>
      <w:r>
        <w:rPr>
          <w:rFonts w:ascii="Times New Roman" w:hAnsi="Times New Roman" w:eastAsia="宋体" w:cs="Times New Roman"/>
          <w:bCs/>
          <w:sz w:val="24"/>
          <w:szCs w:val="32"/>
        </w:rPr>
        <w:t>出现的风险进行预警，并制订多种应急处理方案，</w:t>
      </w:r>
      <w:r>
        <w:rPr>
          <w:rFonts w:hint="eastAsia" w:ascii="Times New Roman" w:hAnsi="Times New Roman" w:eastAsia="宋体" w:cs="Times New Roman"/>
          <w:bCs/>
          <w:sz w:val="24"/>
          <w:szCs w:val="32"/>
        </w:rPr>
        <w:t>全方位</w:t>
      </w:r>
      <w:r>
        <w:rPr>
          <w:rFonts w:ascii="Times New Roman" w:hAnsi="Times New Roman" w:eastAsia="宋体" w:cs="Times New Roman"/>
          <w:bCs/>
          <w:sz w:val="24"/>
          <w:szCs w:val="32"/>
        </w:rPr>
        <w:t>保障服务体系的正常运行。</w:t>
      </w:r>
    </w:p>
    <w:p>
      <w:pPr>
        <w:keepNext/>
        <w:keepLines/>
        <w:numPr>
          <w:ilvl w:val="2"/>
          <w:numId w:val="36"/>
        </w:numPr>
        <w:adjustRightInd w:val="0"/>
        <w:snapToGrid w:val="0"/>
        <w:spacing w:before="246" w:beforeLines="50" w:after="246" w:afterLines="50" w:line="360" w:lineRule="auto"/>
        <w:ind w:left="0" w:leftChars="0" w:firstLine="0" w:firstLineChars="0"/>
        <w:outlineLvl w:val="1"/>
        <w:rPr>
          <w:rFonts w:ascii="Times New Roman" w:hAnsi="Times New Roman" w:eastAsia="宋体" w:cs="Times New Roman"/>
          <w:b/>
          <w:bCs/>
          <w:kern w:val="2"/>
          <w:sz w:val="24"/>
          <w:szCs w:val="28"/>
          <w:lang w:val="en-US" w:eastAsia="zh-CN" w:bidi="ar-SA"/>
        </w:rPr>
      </w:pPr>
      <w:r>
        <w:rPr>
          <w:rFonts w:hint="eastAsia" w:ascii="Times New Roman" w:hAnsi="Times New Roman" w:eastAsia="宋体" w:cs="Times New Roman"/>
          <w:b/>
          <w:bCs/>
          <w:kern w:val="2"/>
          <w:sz w:val="24"/>
          <w:szCs w:val="28"/>
          <w:lang w:val="en-US" w:eastAsia="zh-CN" w:bidi="ar-SA"/>
        </w:rPr>
        <w:t>线上服务工具或软件（作为问题解决或投诉通道）</w:t>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我公司为学校用户提供线上服务工具，作为问题解决和投诉通道，以保障服务质量和效率。通过线上服务工具解决问题流程和投诉流程如下：</w:t>
      </w:r>
    </w:p>
    <w:p>
      <w:pPr>
        <w:keepNext/>
        <w:keepLines/>
        <w:numPr>
          <w:ilvl w:val="2"/>
          <w:numId w:val="36"/>
        </w:numPr>
        <w:adjustRightInd w:val="0"/>
        <w:snapToGrid w:val="0"/>
        <w:spacing w:before="246" w:beforeLines="50" w:after="246" w:afterLines="50" w:line="360" w:lineRule="auto"/>
        <w:ind w:left="0" w:leftChars="0" w:firstLine="0" w:firstLineChars="0"/>
        <w:outlineLvl w:val="1"/>
        <w:rPr>
          <w:rFonts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问题解决流程</w:t>
      </w:r>
    </w:p>
    <w:p>
      <w:pPr>
        <w:adjustRightInd w:val="0"/>
        <w:snapToGrid w:val="0"/>
        <w:spacing w:line="360" w:lineRule="auto"/>
        <w:ind w:firstLine="480" w:firstLineChars="200"/>
        <w:rPr>
          <w:rFonts w:hint="eastAsia" w:ascii="宋体" w:hAnsi="宋体" w:eastAsia="宋体" w:cs="Times New Roman"/>
          <w:bCs/>
          <w:sz w:val="24"/>
          <w:szCs w:val="28"/>
        </w:rPr>
      </w:pPr>
      <w:r>
        <w:rPr>
          <w:rFonts w:hint="eastAsia" w:ascii="宋体" w:hAnsi="宋体" w:eastAsia="宋体" w:cs="Times New Roman"/>
          <w:bCs/>
          <w:sz w:val="24"/>
          <w:szCs w:val="28"/>
        </w:rPr>
        <w:t>线上</w:t>
      </w:r>
      <w:r>
        <w:rPr>
          <w:rFonts w:ascii="宋体" w:hAnsi="宋体" w:eastAsia="宋体" w:cs="Times New Roman"/>
          <w:bCs/>
          <w:sz w:val="24"/>
          <w:szCs w:val="28"/>
        </w:rPr>
        <w:t>服务整体处理流程，如下图所示</w:t>
      </w:r>
      <w:r>
        <w:rPr>
          <w:rFonts w:hint="eastAsia" w:ascii="宋体" w:hAnsi="宋体" w:eastAsia="宋体" w:cs="Times New Roman"/>
          <w:bCs/>
          <w:sz w:val="24"/>
          <w:szCs w:val="28"/>
        </w:rPr>
        <w:t>。</w:t>
      </w:r>
    </w:p>
    <w:p>
      <w:pPr>
        <w:adjustRightInd w:val="0"/>
        <w:snapToGrid w:val="0"/>
        <w:ind w:firstLine="480"/>
        <w:jc w:val="center"/>
        <w:rPr>
          <w:rFonts w:ascii="Times New Roman" w:hAnsi="Times New Roman" w:eastAsia="宋体" w:cs="Times New Roman"/>
          <w:kern w:val="2"/>
          <w:sz w:val="24"/>
          <w:szCs w:val="22"/>
          <w:lang w:val="en-US" w:eastAsia="zh-CN" w:bidi="ar-SA"/>
        </w:rPr>
      </w:pPr>
      <w:r>
        <w:rPr>
          <w:rFonts w:ascii="Times New Roman" w:hAnsi="Times New Roman" w:eastAsia="宋体" w:cs="Times New Roman"/>
          <w:kern w:val="2"/>
          <w:sz w:val="24"/>
          <w:szCs w:val="22"/>
          <w:lang w:val="en-US" w:eastAsia="zh-CN" w:bidi="ar-SA"/>
        </w:rPr>
        <w:object>
          <v:shape id="_x0000_i1025" o:spt="75" type="#_x0000_t75" style="height:246.75pt;width:417.75pt;" o:ole="t" filled="f" coordsize="21600,21600">
            <v:path/>
            <v:fill on="f" focussize="0,0"/>
            <v:stroke/>
            <v:imagedata r:id="rId8" o:title=""/>
            <o:lock v:ext="edit" aspectratio="t"/>
            <w10:wrap type="none"/>
            <w10:anchorlock/>
          </v:shape>
          <o:OLEObject Type="Embed" ProgID="Visio.Drawing.15" ShapeID="_x0000_i1025" DrawAspect="Content" ObjectID="_1468075725" r:id="rId7">
            <o:LockedField>false</o:LockedField>
          </o:OLEObject>
        </w:object>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用户通过</w:t>
      </w:r>
      <w:r>
        <w:rPr>
          <w:rFonts w:ascii="Times New Roman" w:hAnsi="Times New Roman" w:eastAsia="宋体" w:cs="Times New Roman"/>
          <w:bCs/>
          <w:sz w:val="24"/>
          <w:szCs w:val="32"/>
        </w:rPr>
        <w:t>线上服务的方式，在小助手中</w:t>
      </w:r>
      <w:r>
        <w:rPr>
          <w:rFonts w:hint="eastAsia" w:ascii="Times New Roman" w:hAnsi="Times New Roman" w:eastAsia="宋体" w:cs="Times New Roman"/>
          <w:bCs/>
          <w:sz w:val="24"/>
          <w:szCs w:val="32"/>
        </w:rPr>
        <w:t>提出问题</w:t>
      </w:r>
      <w:r>
        <w:rPr>
          <w:rFonts w:ascii="Times New Roman" w:hAnsi="Times New Roman" w:eastAsia="宋体" w:cs="Times New Roman"/>
          <w:bCs/>
          <w:sz w:val="24"/>
          <w:szCs w:val="32"/>
        </w:rPr>
        <w:t>后，将进入对应产品的</w:t>
      </w:r>
      <w:r>
        <w:rPr>
          <w:rFonts w:hint="eastAsia" w:ascii="Times New Roman" w:hAnsi="Times New Roman" w:eastAsia="宋体" w:cs="Times New Roman"/>
          <w:bCs/>
          <w:sz w:val="24"/>
          <w:szCs w:val="32"/>
        </w:rPr>
        <w:t>问题</w:t>
      </w:r>
      <w:r>
        <w:rPr>
          <w:rFonts w:ascii="Times New Roman" w:hAnsi="Times New Roman" w:eastAsia="宋体" w:cs="Times New Roman"/>
          <w:bCs/>
          <w:sz w:val="24"/>
          <w:szCs w:val="32"/>
        </w:rPr>
        <w:t>处理流程</w:t>
      </w:r>
      <w:r>
        <w:rPr>
          <w:rFonts w:hint="eastAsia" w:ascii="Times New Roman" w:hAnsi="Times New Roman" w:eastAsia="宋体" w:cs="Times New Roman"/>
          <w:bCs/>
          <w:sz w:val="24"/>
          <w:szCs w:val="32"/>
        </w:rPr>
        <w:t>，</w:t>
      </w:r>
      <w:r>
        <w:rPr>
          <w:rFonts w:ascii="Times New Roman" w:hAnsi="Times New Roman" w:eastAsia="宋体" w:cs="Times New Roman"/>
          <w:bCs/>
          <w:sz w:val="24"/>
          <w:szCs w:val="32"/>
        </w:rPr>
        <w:t>问题登记后，用户可全程查看问题的处理进度及处理</w:t>
      </w:r>
      <w:r>
        <w:rPr>
          <w:rFonts w:hint="eastAsia" w:ascii="Times New Roman" w:hAnsi="Times New Roman" w:eastAsia="宋体" w:cs="Times New Roman"/>
          <w:bCs/>
          <w:sz w:val="24"/>
          <w:szCs w:val="32"/>
        </w:rPr>
        <w:t>方案</w:t>
      </w:r>
      <w:r>
        <w:rPr>
          <w:rFonts w:ascii="Times New Roman" w:hAnsi="Times New Roman" w:eastAsia="宋体" w:cs="Times New Roman"/>
          <w:bCs/>
          <w:sz w:val="24"/>
          <w:szCs w:val="32"/>
        </w:rPr>
        <w:t>，并对处理</w:t>
      </w:r>
      <w:r>
        <w:rPr>
          <w:rFonts w:hint="eastAsia" w:ascii="Times New Roman" w:hAnsi="Times New Roman" w:eastAsia="宋体" w:cs="Times New Roman"/>
          <w:bCs/>
          <w:sz w:val="24"/>
          <w:szCs w:val="32"/>
        </w:rPr>
        <w:t>结果</w:t>
      </w:r>
      <w:r>
        <w:rPr>
          <w:rFonts w:ascii="Times New Roman" w:hAnsi="Times New Roman" w:eastAsia="宋体" w:cs="Times New Roman"/>
          <w:bCs/>
          <w:sz w:val="24"/>
          <w:szCs w:val="32"/>
        </w:rPr>
        <w:t>进行确认</w:t>
      </w:r>
      <w:r>
        <w:rPr>
          <w:rFonts w:hint="eastAsia" w:ascii="Times New Roman" w:hAnsi="Times New Roman" w:eastAsia="宋体" w:cs="Times New Roman"/>
          <w:bCs/>
          <w:sz w:val="24"/>
          <w:szCs w:val="32"/>
        </w:rPr>
        <w:t>和</w:t>
      </w:r>
      <w:r>
        <w:rPr>
          <w:rFonts w:ascii="Times New Roman" w:hAnsi="Times New Roman" w:eastAsia="宋体" w:cs="Times New Roman"/>
          <w:bCs/>
          <w:sz w:val="24"/>
          <w:szCs w:val="32"/>
        </w:rPr>
        <w:t>评价。</w:t>
      </w:r>
    </w:p>
    <w:p>
      <w:pPr>
        <w:adjustRightInd w:val="0"/>
        <w:snapToGrid w:val="0"/>
        <w:spacing w:line="360" w:lineRule="auto"/>
        <w:ind w:firstLine="480" w:firstLineChars="200"/>
        <w:rPr>
          <w:rFonts w:ascii="Times New Roman" w:hAnsi="Times New Roman" w:eastAsia="宋体" w:cs="Times New Roman"/>
          <w:bCs/>
          <w:sz w:val="24"/>
          <w:szCs w:val="32"/>
        </w:rPr>
      </w:pPr>
      <w:r>
        <w:rPr>
          <w:rFonts w:ascii="Times New Roman" w:hAnsi="Times New Roman" w:eastAsia="宋体" w:cs="Times New Roman"/>
          <w:bCs/>
          <w:sz w:val="24"/>
          <w:szCs w:val="32"/>
        </w:rPr>
        <w:t>1</w:t>
      </w:r>
      <w:r>
        <w:rPr>
          <w:rFonts w:hint="eastAsia" w:ascii="Times New Roman" w:hAnsi="Times New Roman" w:eastAsia="宋体" w:cs="Times New Roman"/>
          <w:bCs/>
          <w:sz w:val="24"/>
          <w:szCs w:val="32"/>
        </w:rPr>
        <w:t>）用户</w:t>
      </w:r>
      <w:r>
        <w:rPr>
          <w:rFonts w:ascii="Times New Roman" w:hAnsi="Times New Roman" w:eastAsia="宋体" w:cs="Times New Roman"/>
          <w:bCs/>
          <w:sz w:val="24"/>
          <w:szCs w:val="32"/>
        </w:rPr>
        <w:t>提出</w:t>
      </w:r>
      <w:r>
        <w:rPr>
          <w:rFonts w:hint="eastAsia" w:ascii="Times New Roman" w:hAnsi="Times New Roman" w:eastAsia="宋体" w:cs="Times New Roman"/>
          <w:bCs/>
          <w:sz w:val="24"/>
          <w:szCs w:val="32"/>
        </w:rPr>
        <w:t>问题</w:t>
      </w:r>
      <w:r>
        <w:rPr>
          <w:rFonts w:ascii="Times New Roman" w:hAnsi="Times New Roman" w:eastAsia="宋体" w:cs="Times New Roman"/>
          <w:bCs/>
          <w:sz w:val="24"/>
          <w:szCs w:val="32"/>
        </w:rPr>
        <w:t>后</w:t>
      </w:r>
      <w:r>
        <w:rPr>
          <w:rFonts w:hint="eastAsia" w:ascii="Times New Roman" w:hAnsi="Times New Roman" w:eastAsia="宋体" w:cs="Times New Roman"/>
          <w:bCs/>
          <w:sz w:val="24"/>
          <w:szCs w:val="32"/>
        </w:rPr>
        <w:t>，先</w:t>
      </w:r>
      <w:r>
        <w:rPr>
          <w:rFonts w:ascii="Times New Roman" w:hAnsi="Times New Roman" w:eastAsia="宋体" w:cs="Times New Roman"/>
          <w:bCs/>
          <w:sz w:val="24"/>
          <w:szCs w:val="32"/>
        </w:rPr>
        <w:t>由</w:t>
      </w:r>
      <w:r>
        <w:rPr>
          <w:rFonts w:hint="eastAsia" w:ascii="Times New Roman" w:hAnsi="Times New Roman" w:eastAsia="宋体" w:cs="Times New Roman"/>
          <w:bCs/>
          <w:sz w:val="24"/>
          <w:szCs w:val="32"/>
        </w:rPr>
        <w:t>项目团队</w:t>
      </w:r>
      <w:r>
        <w:rPr>
          <w:rFonts w:ascii="Times New Roman" w:hAnsi="Times New Roman" w:eastAsia="宋体" w:cs="Times New Roman"/>
          <w:bCs/>
          <w:sz w:val="24"/>
          <w:szCs w:val="32"/>
        </w:rPr>
        <w:t>在</w:t>
      </w:r>
      <w:r>
        <w:rPr>
          <w:rFonts w:hint="eastAsia" w:ascii="Times New Roman" w:hAnsi="Times New Roman" w:eastAsia="宋体" w:cs="Times New Roman"/>
          <w:bCs/>
          <w:sz w:val="24"/>
          <w:szCs w:val="32"/>
        </w:rPr>
        <w:t>2</w:t>
      </w:r>
      <w:r>
        <w:rPr>
          <w:rFonts w:ascii="Times New Roman" w:hAnsi="Times New Roman" w:eastAsia="宋体" w:cs="Times New Roman"/>
          <w:bCs/>
          <w:sz w:val="24"/>
          <w:szCs w:val="32"/>
        </w:rPr>
        <w:t>4小时内完成受理响应，</w:t>
      </w:r>
      <w:r>
        <w:rPr>
          <w:rFonts w:hint="eastAsia" w:ascii="Times New Roman" w:hAnsi="Times New Roman" w:eastAsia="宋体" w:cs="Times New Roman"/>
          <w:bCs/>
          <w:sz w:val="24"/>
          <w:szCs w:val="32"/>
        </w:rPr>
        <w:t>并</w:t>
      </w:r>
      <w:r>
        <w:rPr>
          <w:rFonts w:ascii="Times New Roman" w:hAnsi="Times New Roman" w:eastAsia="宋体" w:cs="Times New Roman"/>
          <w:bCs/>
          <w:sz w:val="24"/>
          <w:szCs w:val="32"/>
        </w:rPr>
        <w:t>在受理的同时</w:t>
      </w:r>
      <w:r>
        <w:rPr>
          <w:rFonts w:hint="eastAsia" w:ascii="Times New Roman" w:hAnsi="Times New Roman" w:eastAsia="宋体" w:cs="Times New Roman"/>
          <w:bCs/>
          <w:sz w:val="24"/>
          <w:szCs w:val="32"/>
        </w:rPr>
        <w:t>定义</w:t>
      </w:r>
      <w:r>
        <w:rPr>
          <w:rFonts w:ascii="Times New Roman" w:hAnsi="Times New Roman" w:eastAsia="宋体" w:cs="Times New Roman"/>
          <w:bCs/>
          <w:sz w:val="24"/>
          <w:szCs w:val="32"/>
        </w:rPr>
        <w:t>问题的故障级别</w:t>
      </w:r>
      <w:r>
        <w:rPr>
          <w:rFonts w:hint="eastAsia" w:ascii="Times New Roman" w:hAnsi="Times New Roman" w:eastAsia="宋体" w:cs="Times New Roman"/>
          <w:bCs/>
          <w:sz w:val="24"/>
          <w:szCs w:val="32"/>
        </w:rPr>
        <w:t>并给出</w:t>
      </w:r>
      <w:r>
        <w:rPr>
          <w:rFonts w:ascii="Times New Roman" w:hAnsi="Times New Roman" w:eastAsia="宋体" w:cs="Times New Roman"/>
          <w:bCs/>
          <w:sz w:val="24"/>
          <w:szCs w:val="32"/>
        </w:rPr>
        <w:t>问题的承诺解决时间</w:t>
      </w:r>
      <w:r>
        <w:rPr>
          <w:rFonts w:hint="eastAsia" w:ascii="Times New Roman" w:hAnsi="Times New Roman" w:eastAsia="宋体" w:cs="Times New Roman"/>
          <w:bCs/>
          <w:sz w:val="24"/>
          <w:szCs w:val="32"/>
        </w:rPr>
        <w:t>。</w:t>
      </w:r>
    </w:p>
    <w:p>
      <w:pPr>
        <w:adjustRightInd w:val="0"/>
        <w:snapToGrid w:val="0"/>
        <w:spacing w:line="360" w:lineRule="auto"/>
        <w:ind w:firstLine="480" w:firstLineChars="200"/>
        <w:rPr>
          <w:rFonts w:ascii="Times New Roman" w:hAnsi="Times New Roman" w:eastAsia="宋体" w:cs="Times New Roman"/>
          <w:bCs/>
          <w:sz w:val="24"/>
          <w:szCs w:val="32"/>
        </w:rPr>
      </w:pPr>
      <w:r>
        <w:rPr>
          <w:rFonts w:ascii="Times New Roman" w:hAnsi="Times New Roman" w:eastAsia="宋体" w:cs="Times New Roman"/>
          <w:bCs/>
          <w:sz w:val="24"/>
          <w:szCs w:val="32"/>
        </w:rPr>
        <w:t>2</w:t>
      </w:r>
      <w:r>
        <w:rPr>
          <w:rFonts w:hint="eastAsia" w:ascii="Times New Roman" w:hAnsi="Times New Roman" w:eastAsia="宋体" w:cs="Times New Roman"/>
          <w:bCs/>
          <w:sz w:val="24"/>
          <w:szCs w:val="32"/>
        </w:rPr>
        <w:t>）项目团队</w:t>
      </w:r>
      <w:r>
        <w:rPr>
          <w:rFonts w:ascii="Times New Roman" w:hAnsi="Times New Roman" w:eastAsia="宋体" w:cs="Times New Roman"/>
          <w:bCs/>
          <w:sz w:val="24"/>
          <w:szCs w:val="32"/>
        </w:rPr>
        <w:t>完成受理后，即开始着手</w:t>
      </w:r>
      <w:r>
        <w:rPr>
          <w:rFonts w:hint="eastAsia" w:ascii="Times New Roman" w:hAnsi="Times New Roman" w:eastAsia="宋体" w:cs="Times New Roman"/>
          <w:bCs/>
          <w:sz w:val="24"/>
          <w:szCs w:val="32"/>
        </w:rPr>
        <w:t>排查</w:t>
      </w:r>
      <w:r>
        <w:rPr>
          <w:rFonts w:ascii="Times New Roman" w:hAnsi="Times New Roman" w:eastAsia="宋体" w:cs="Times New Roman"/>
          <w:bCs/>
          <w:sz w:val="24"/>
          <w:szCs w:val="32"/>
        </w:rPr>
        <w:t>问题</w:t>
      </w:r>
      <w:r>
        <w:rPr>
          <w:rFonts w:hint="eastAsia" w:ascii="Times New Roman" w:hAnsi="Times New Roman" w:eastAsia="宋体" w:cs="Times New Roman"/>
          <w:bCs/>
          <w:sz w:val="24"/>
          <w:szCs w:val="32"/>
        </w:rPr>
        <w:t>，此</w:t>
      </w:r>
      <w:r>
        <w:rPr>
          <w:rFonts w:ascii="Times New Roman" w:hAnsi="Times New Roman" w:eastAsia="宋体" w:cs="Times New Roman"/>
          <w:bCs/>
          <w:sz w:val="24"/>
          <w:szCs w:val="32"/>
        </w:rPr>
        <w:t>期间可能会电话联系用户</w:t>
      </w:r>
      <w:r>
        <w:rPr>
          <w:rFonts w:hint="eastAsia" w:ascii="Times New Roman" w:hAnsi="Times New Roman" w:eastAsia="宋体" w:cs="Times New Roman"/>
          <w:bCs/>
          <w:sz w:val="24"/>
          <w:szCs w:val="32"/>
        </w:rPr>
        <w:t>进一步</w:t>
      </w:r>
      <w:r>
        <w:rPr>
          <w:rFonts w:ascii="Times New Roman" w:hAnsi="Times New Roman" w:eastAsia="宋体" w:cs="Times New Roman"/>
          <w:bCs/>
          <w:sz w:val="24"/>
          <w:szCs w:val="32"/>
        </w:rPr>
        <w:t>了解情况，或直接登录</w:t>
      </w:r>
      <w:r>
        <w:rPr>
          <w:rFonts w:hint="eastAsia" w:ascii="Times New Roman" w:hAnsi="Times New Roman" w:eastAsia="宋体" w:cs="Times New Roman"/>
          <w:bCs/>
          <w:sz w:val="24"/>
          <w:szCs w:val="32"/>
        </w:rPr>
        <w:t>系统环境解决</w:t>
      </w:r>
      <w:r>
        <w:rPr>
          <w:rFonts w:ascii="Times New Roman" w:hAnsi="Times New Roman" w:eastAsia="宋体" w:cs="Times New Roman"/>
          <w:bCs/>
          <w:sz w:val="24"/>
          <w:szCs w:val="32"/>
        </w:rPr>
        <w:t>问题</w:t>
      </w:r>
      <w:r>
        <w:rPr>
          <w:rFonts w:hint="eastAsia" w:ascii="Times New Roman" w:hAnsi="Times New Roman" w:eastAsia="宋体" w:cs="Times New Roman"/>
          <w:bCs/>
          <w:sz w:val="24"/>
          <w:szCs w:val="32"/>
        </w:rPr>
        <w:t>。</w:t>
      </w:r>
      <w:r>
        <w:rPr>
          <w:rFonts w:ascii="Times New Roman" w:hAnsi="Times New Roman" w:eastAsia="宋体" w:cs="Times New Roman"/>
          <w:bCs/>
          <w:sz w:val="24"/>
          <w:szCs w:val="32"/>
        </w:rPr>
        <w:t>如果</w:t>
      </w:r>
      <w:r>
        <w:rPr>
          <w:rFonts w:hint="eastAsia" w:ascii="Times New Roman" w:hAnsi="Times New Roman" w:eastAsia="宋体" w:cs="Times New Roman"/>
          <w:bCs/>
          <w:sz w:val="24"/>
          <w:szCs w:val="32"/>
        </w:rPr>
        <w:t>可以</w:t>
      </w:r>
      <w:r>
        <w:rPr>
          <w:rFonts w:ascii="Times New Roman" w:hAnsi="Times New Roman" w:eastAsia="宋体" w:cs="Times New Roman"/>
          <w:bCs/>
          <w:sz w:val="24"/>
          <w:szCs w:val="32"/>
        </w:rPr>
        <w:t>完成问题定位</w:t>
      </w:r>
      <w:r>
        <w:rPr>
          <w:rFonts w:hint="eastAsia" w:ascii="Times New Roman" w:hAnsi="Times New Roman" w:eastAsia="宋体" w:cs="Times New Roman"/>
          <w:bCs/>
          <w:sz w:val="24"/>
          <w:szCs w:val="32"/>
        </w:rPr>
        <w:t>并</w:t>
      </w:r>
      <w:r>
        <w:rPr>
          <w:rFonts w:ascii="Times New Roman" w:hAnsi="Times New Roman" w:eastAsia="宋体" w:cs="Times New Roman"/>
          <w:bCs/>
          <w:sz w:val="24"/>
          <w:szCs w:val="32"/>
        </w:rPr>
        <w:t>找到解决办法，</w:t>
      </w:r>
      <w:r>
        <w:rPr>
          <w:rFonts w:hint="eastAsia" w:ascii="Times New Roman" w:hAnsi="Times New Roman" w:eastAsia="宋体" w:cs="Times New Roman"/>
          <w:bCs/>
          <w:sz w:val="24"/>
          <w:szCs w:val="32"/>
        </w:rPr>
        <w:t>项目团队</w:t>
      </w:r>
      <w:r>
        <w:rPr>
          <w:rFonts w:ascii="Times New Roman" w:hAnsi="Times New Roman" w:eastAsia="宋体" w:cs="Times New Roman"/>
          <w:bCs/>
          <w:sz w:val="24"/>
          <w:szCs w:val="32"/>
        </w:rPr>
        <w:t>会在系统中回复详细排查过程及解决方案，解决后会在系统中申请关闭，用户接到关闭请求后，可以对项目团队给出的解决方案进行验证，如果确认可以解决问题，用户可关闭问题</w:t>
      </w:r>
      <w:r>
        <w:rPr>
          <w:rFonts w:hint="eastAsia" w:ascii="Times New Roman" w:hAnsi="Times New Roman" w:eastAsia="宋体" w:cs="Times New Roman"/>
          <w:bCs/>
          <w:sz w:val="24"/>
          <w:szCs w:val="32"/>
        </w:rPr>
        <w:t>结束</w:t>
      </w:r>
      <w:r>
        <w:rPr>
          <w:rFonts w:ascii="Times New Roman" w:hAnsi="Times New Roman" w:eastAsia="宋体" w:cs="Times New Roman"/>
          <w:bCs/>
          <w:sz w:val="24"/>
          <w:szCs w:val="32"/>
        </w:rPr>
        <w:t>本次服务，并对</w:t>
      </w:r>
      <w:r>
        <w:rPr>
          <w:rFonts w:hint="eastAsia" w:ascii="Times New Roman" w:hAnsi="Times New Roman" w:eastAsia="宋体" w:cs="Times New Roman"/>
          <w:bCs/>
          <w:sz w:val="24"/>
          <w:szCs w:val="32"/>
        </w:rPr>
        <w:t>问题处理</w:t>
      </w:r>
      <w:r>
        <w:rPr>
          <w:rFonts w:ascii="Times New Roman" w:hAnsi="Times New Roman" w:eastAsia="宋体" w:cs="Times New Roman"/>
          <w:bCs/>
          <w:sz w:val="24"/>
          <w:szCs w:val="32"/>
        </w:rPr>
        <w:t>进行</w:t>
      </w:r>
      <w:r>
        <w:rPr>
          <w:rFonts w:hint="eastAsia" w:ascii="Times New Roman" w:hAnsi="Times New Roman" w:eastAsia="宋体" w:cs="Times New Roman"/>
          <w:bCs/>
          <w:sz w:val="24"/>
          <w:szCs w:val="32"/>
        </w:rPr>
        <w:t>打</w:t>
      </w:r>
      <w:r>
        <w:rPr>
          <w:rFonts w:ascii="Times New Roman" w:hAnsi="Times New Roman" w:eastAsia="宋体" w:cs="Times New Roman"/>
          <w:bCs/>
          <w:sz w:val="24"/>
          <w:szCs w:val="32"/>
        </w:rPr>
        <w:t>分</w:t>
      </w:r>
      <w:r>
        <w:rPr>
          <w:rFonts w:hint="eastAsia" w:ascii="Times New Roman" w:hAnsi="Times New Roman" w:eastAsia="宋体" w:cs="Times New Roman"/>
          <w:bCs/>
          <w:sz w:val="24"/>
          <w:szCs w:val="32"/>
        </w:rPr>
        <w:t>评价</w:t>
      </w:r>
      <w:r>
        <w:rPr>
          <w:rFonts w:ascii="Times New Roman" w:hAnsi="Times New Roman" w:eastAsia="宋体" w:cs="Times New Roman"/>
          <w:bCs/>
          <w:sz w:val="24"/>
          <w:szCs w:val="32"/>
        </w:rPr>
        <w:t>。</w:t>
      </w:r>
    </w:p>
    <w:p>
      <w:pPr>
        <w:adjustRightInd w:val="0"/>
        <w:snapToGrid w:val="0"/>
        <w:spacing w:line="360" w:lineRule="auto"/>
        <w:ind w:firstLine="480" w:firstLineChars="200"/>
        <w:rPr>
          <w:rFonts w:ascii="Times New Roman" w:hAnsi="Times New Roman" w:eastAsia="宋体" w:cs="Times New Roman"/>
          <w:bCs/>
          <w:sz w:val="24"/>
          <w:szCs w:val="32"/>
        </w:rPr>
      </w:pPr>
      <w:r>
        <w:rPr>
          <w:rFonts w:ascii="Times New Roman" w:hAnsi="Times New Roman" w:eastAsia="宋体" w:cs="Times New Roman"/>
          <w:bCs/>
          <w:sz w:val="24"/>
          <w:szCs w:val="32"/>
        </w:rPr>
        <w:t>3</w:t>
      </w:r>
      <w:r>
        <w:rPr>
          <w:rFonts w:hint="eastAsia" w:ascii="Times New Roman" w:hAnsi="Times New Roman" w:eastAsia="宋体" w:cs="Times New Roman"/>
          <w:bCs/>
          <w:sz w:val="24"/>
          <w:szCs w:val="32"/>
        </w:rPr>
        <w:t>）如果</w:t>
      </w:r>
      <w:r>
        <w:rPr>
          <w:rFonts w:ascii="Times New Roman" w:hAnsi="Times New Roman" w:eastAsia="宋体" w:cs="Times New Roman"/>
          <w:bCs/>
          <w:sz w:val="24"/>
          <w:szCs w:val="32"/>
        </w:rPr>
        <w:t>项目团队不能解决，则</w:t>
      </w:r>
      <w:r>
        <w:rPr>
          <w:rFonts w:hint="eastAsia" w:ascii="Times New Roman" w:hAnsi="Times New Roman" w:eastAsia="宋体" w:cs="Times New Roman"/>
          <w:bCs/>
          <w:sz w:val="24"/>
          <w:szCs w:val="32"/>
        </w:rPr>
        <w:t>问题</w:t>
      </w:r>
      <w:r>
        <w:rPr>
          <w:rFonts w:ascii="Times New Roman" w:hAnsi="Times New Roman" w:eastAsia="宋体" w:cs="Times New Roman"/>
          <w:bCs/>
          <w:sz w:val="24"/>
          <w:szCs w:val="32"/>
        </w:rPr>
        <w:t>会转入对应产品的工程专家进行处理，工程专家受理后，会在项目团队排查的基础上再做进一步深入排查，并记录排查过程，给出问题解决方案。解决后由用户对</w:t>
      </w:r>
      <w:r>
        <w:rPr>
          <w:rFonts w:hint="eastAsia" w:ascii="Times New Roman" w:hAnsi="Times New Roman" w:eastAsia="宋体" w:cs="Times New Roman"/>
          <w:bCs/>
          <w:sz w:val="24"/>
          <w:szCs w:val="32"/>
        </w:rPr>
        <w:t>服务过程</w:t>
      </w:r>
      <w:r>
        <w:rPr>
          <w:rFonts w:ascii="Times New Roman" w:hAnsi="Times New Roman" w:eastAsia="宋体" w:cs="Times New Roman"/>
          <w:bCs/>
          <w:sz w:val="24"/>
          <w:szCs w:val="32"/>
        </w:rPr>
        <w:t>进行关闭和评价。</w:t>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4）</w:t>
      </w:r>
      <w:r>
        <w:rPr>
          <w:rFonts w:ascii="Times New Roman" w:hAnsi="Times New Roman" w:eastAsia="宋体" w:cs="Times New Roman"/>
          <w:bCs/>
          <w:sz w:val="24"/>
          <w:szCs w:val="32"/>
        </w:rPr>
        <w:t>如果工程专家</w:t>
      </w:r>
      <w:r>
        <w:rPr>
          <w:rFonts w:hint="eastAsia" w:ascii="Times New Roman" w:hAnsi="Times New Roman" w:eastAsia="宋体" w:cs="Times New Roman"/>
          <w:bCs/>
          <w:sz w:val="24"/>
          <w:szCs w:val="32"/>
        </w:rPr>
        <w:t>不能</w:t>
      </w:r>
      <w:r>
        <w:rPr>
          <w:rFonts w:ascii="Times New Roman" w:hAnsi="Times New Roman" w:eastAsia="宋体" w:cs="Times New Roman"/>
          <w:bCs/>
          <w:sz w:val="24"/>
          <w:szCs w:val="32"/>
        </w:rPr>
        <w:t>解决，则问题</w:t>
      </w:r>
      <w:r>
        <w:rPr>
          <w:rFonts w:hint="eastAsia" w:ascii="Times New Roman" w:hAnsi="Times New Roman" w:eastAsia="宋体" w:cs="Times New Roman"/>
          <w:bCs/>
          <w:sz w:val="24"/>
          <w:szCs w:val="32"/>
        </w:rPr>
        <w:t>会</w:t>
      </w:r>
      <w:r>
        <w:rPr>
          <w:rFonts w:ascii="Times New Roman" w:hAnsi="Times New Roman" w:eastAsia="宋体" w:cs="Times New Roman"/>
          <w:bCs/>
          <w:sz w:val="24"/>
          <w:szCs w:val="32"/>
        </w:rPr>
        <w:t>转入产品专家环节进行处理，产品专家会在</w:t>
      </w:r>
      <w:r>
        <w:rPr>
          <w:rFonts w:hint="eastAsia" w:ascii="Times New Roman" w:hAnsi="Times New Roman" w:eastAsia="宋体" w:cs="Times New Roman"/>
          <w:bCs/>
          <w:sz w:val="24"/>
          <w:szCs w:val="32"/>
        </w:rPr>
        <w:t>前面</w:t>
      </w:r>
      <w:r>
        <w:rPr>
          <w:rFonts w:ascii="Times New Roman" w:hAnsi="Times New Roman" w:eastAsia="宋体" w:cs="Times New Roman"/>
          <w:bCs/>
          <w:sz w:val="24"/>
          <w:szCs w:val="32"/>
        </w:rPr>
        <w:t>的排查</w:t>
      </w:r>
      <w:r>
        <w:rPr>
          <w:rFonts w:hint="eastAsia" w:ascii="Times New Roman" w:hAnsi="Times New Roman" w:eastAsia="宋体" w:cs="Times New Roman"/>
          <w:bCs/>
          <w:sz w:val="24"/>
          <w:szCs w:val="32"/>
        </w:rPr>
        <w:t>基础</w:t>
      </w:r>
      <w:r>
        <w:rPr>
          <w:rFonts w:ascii="Times New Roman" w:hAnsi="Times New Roman" w:eastAsia="宋体" w:cs="Times New Roman"/>
          <w:bCs/>
          <w:sz w:val="24"/>
          <w:szCs w:val="32"/>
        </w:rPr>
        <w:t>上</w:t>
      </w:r>
      <w:r>
        <w:rPr>
          <w:rFonts w:hint="eastAsia" w:ascii="Times New Roman" w:hAnsi="Times New Roman" w:eastAsia="宋体" w:cs="Times New Roman"/>
          <w:bCs/>
          <w:sz w:val="24"/>
          <w:szCs w:val="32"/>
        </w:rPr>
        <w:t>继续</w:t>
      </w:r>
      <w:r>
        <w:rPr>
          <w:rFonts w:ascii="Times New Roman" w:hAnsi="Times New Roman" w:eastAsia="宋体" w:cs="Times New Roman"/>
          <w:bCs/>
          <w:sz w:val="24"/>
          <w:szCs w:val="32"/>
        </w:rPr>
        <w:t>排查，同时记录排查过程，给出解决方案。解决</w:t>
      </w:r>
      <w:r>
        <w:rPr>
          <w:rFonts w:hint="eastAsia" w:ascii="Times New Roman" w:hAnsi="Times New Roman" w:eastAsia="宋体" w:cs="Times New Roman"/>
          <w:bCs/>
          <w:sz w:val="24"/>
          <w:szCs w:val="32"/>
        </w:rPr>
        <w:t>后</w:t>
      </w:r>
      <w:r>
        <w:rPr>
          <w:rFonts w:ascii="Times New Roman" w:hAnsi="Times New Roman" w:eastAsia="宋体" w:cs="Times New Roman"/>
          <w:bCs/>
          <w:sz w:val="24"/>
          <w:szCs w:val="32"/>
        </w:rPr>
        <w:t>由用户对</w:t>
      </w:r>
      <w:r>
        <w:rPr>
          <w:rFonts w:hint="eastAsia" w:ascii="Times New Roman" w:hAnsi="Times New Roman" w:eastAsia="宋体" w:cs="Times New Roman"/>
          <w:bCs/>
          <w:sz w:val="24"/>
          <w:szCs w:val="32"/>
        </w:rPr>
        <w:t>服务过程</w:t>
      </w:r>
      <w:r>
        <w:rPr>
          <w:rFonts w:ascii="Times New Roman" w:hAnsi="Times New Roman" w:eastAsia="宋体" w:cs="Times New Roman"/>
          <w:bCs/>
          <w:sz w:val="24"/>
          <w:szCs w:val="32"/>
        </w:rPr>
        <w:t>进行关闭和评价。</w:t>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5）</w:t>
      </w:r>
      <w:r>
        <w:rPr>
          <w:rFonts w:ascii="Times New Roman" w:hAnsi="Times New Roman" w:eastAsia="宋体" w:cs="Times New Roman"/>
          <w:bCs/>
          <w:sz w:val="24"/>
          <w:szCs w:val="32"/>
        </w:rPr>
        <w:t>如果上述环节都不能解决，则由公司指派专</w:t>
      </w:r>
      <w:r>
        <w:rPr>
          <w:rFonts w:hint="eastAsia" w:ascii="Times New Roman" w:hAnsi="Times New Roman" w:eastAsia="宋体" w:cs="Times New Roman"/>
          <w:bCs/>
          <w:sz w:val="24"/>
          <w:szCs w:val="32"/>
        </w:rPr>
        <w:t>人或</w:t>
      </w:r>
      <w:r>
        <w:rPr>
          <w:rFonts w:ascii="Times New Roman" w:hAnsi="Times New Roman" w:eastAsia="宋体" w:cs="Times New Roman"/>
          <w:bCs/>
          <w:sz w:val="24"/>
          <w:szCs w:val="32"/>
        </w:rPr>
        <w:t>成立</w:t>
      </w:r>
      <w:r>
        <w:rPr>
          <w:rFonts w:hint="eastAsia" w:ascii="Times New Roman" w:hAnsi="Times New Roman" w:eastAsia="宋体" w:cs="Times New Roman"/>
          <w:bCs/>
          <w:sz w:val="24"/>
          <w:szCs w:val="32"/>
        </w:rPr>
        <w:t>问题</w:t>
      </w:r>
      <w:r>
        <w:rPr>
          <w:rFonts w:ascii="Times New Roman" w:hAnsi="Times New Roman" w:eastAsia="宋体" w:cs="Times New Roman"/>
          <w:bCs/>
          <w:sz w:val="24"/>
          <w:szCs w:val="32"/>
        </w:rPr>
        <w:t>攻关小组来集中解决，</w:t>
      </w:r>
      <w:r>
        <w:rPr>
          <w:rFonts w:hint="eastAsia" w:ascii="Times New Roman" w:hAnsi="Times New Roman" w:eastAsia="宋体" w:cs="Times New Roman"/>
          <w:bCs/>
          <w:sz w:val="24"/>
          <w:szCs w:val="32"/>
        </w:rPr>
        <w:t>直到</w:t>
      </w:r>
      <w:r>
        <w:rPr>
          <w:rFonts w:ascii="Times New Roman" w:hAnsi="Times New Roman" w:eastAsia="宋体" w:cs="Times New Roman"/>
          <w:bCs/>
          <w:sz w:val="24"/>
          <w:szCs w:val="32"/>
        </w:rPr>
        <w:t>问题得到最终解决为止</w:t>
      </w:r>
      <w:r>
        <w:rPr>
          <w:rFonts w:hint="eastAsia" w:ascii="Times New Roman" w:hAnsi="Times New Roman" w:eastAsia="宋体" w:cs="Times New Roman"/>
          <w:bCs/>
          <w:sz w:val="24"/>
          <w:szCs w:val="32"/>
        </w:rPr>
        <w:t>。解决</w:t>
      </w:r>
      <w:r>
        <w:rPr>
          <w:rFonts w:ascii="Times New Roman" w:hAnsi="Times New Roman" w:eastAsia="宋体" w:cs="Times New Roman"/>
          <w:bCs/>
          <w:sz w:val="24"/>
          <w:szCs w:val="32"/>
        </w:rPr>
        <w:t>后由</w:t>
      </w:r>
      <w:r>
        <w:rPr>
          <w:rFonts w:hint="eastAsia" w:ascii="Times New Roman" w:hAnsi="Times New Roman" w:eastAsia="宋体" w:cs="Times New Roman"/>
          <w:bCs/>
          <w:sz w:val="24"/>
          <w:szCs w:val="32"/>
        </w:rPr>
        <w:t>用户</w:t>
      </w:r>
      <w:r>
        <w:rPr>
          <w:rFonts w:ascii="Times New Roman" w:hAnsi="Times New Roman" w:eastAsia="宋体" w:cs="Times New Roman"/>
          <w:bCs/>
          <w:sz w:val="24"/>
          <w:szCs w:val="32"/>
        </w:rPr>
        <w:t>对</w:t>
      </w:r>
      <w:r>
        <w:rPr>
          <w:rFonts w:hint="eastAsia" w:ascii="Times New Roman" w:hAnsi="Times New Roman" w:eastAsia="宋体" w:cs="Times New Roman"/>
          <w:bCs/>
          <w:sz w:val="24"/>
          <w:szCs w:val="32"/>
        </w:rPr>
        <w:t>服务过程</w:t>
      </w:r>
      <w:r>
        <w:rPr>
          <w:rFonts w:ascii="Times New Roman" w:hAnsi="Times New Roman" w:eastAsia="宋体" w:cs="Times New Roman"/>
          <w:bCs/>
          <w:sz w:val="24"/>
          <w:szCs w:val="32"/>
        </w:rPr>
        <w:t>进行关闭核实和过程评价。</w:t>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问题</w:t>
      </w:r>
      <w:r>
        <w:rPr>
          <w:rFonts w:ascii="Times New Roman" w:hAnsi="Times New Roman" w:eastAsia="宋体" w:cs="Times New Roman"/>
          <w:bCs/>
          <w:sz w:val="24"/>
          <w:szCs w:val="32"/>
        </w:rPr>
        <w:t>处理结束后，会</w:t>
      </w:r>
      <w:r>
        <w:rPr>
          <w:rFonts w:hint="eastAsia" w:ascii="Times New Roman" w:hAnsi="Times New Roman" w:eastAsia="宋体" w:cs="Times New Roman"/>
          <w:bCs/>
          <w:sz w:val="24"/>
          <w:szCs w:val="32"/>
        </w:rPr>
        <w:t>视问题</w:t>
      </w:r>
      <w:r>
        <w:rPr>
          <w:rFonts w:ascii="Times New Roman" w:hAnsi="Times New Roman" w:eastAsia="宋体" w:cs="Times New Roman"/>
          <w:bCs/>
          <w:sz w:val="24"/>
          <w:szCs w:val="32"/>
        </w:rPr>
        <w:t>的故障等级或评价情况，由</w:t>
      </w:r>
      <w:r>
        <w:rPr>
          <w:rFonts w:hint="eastAsia" w:ascii="Times New Roman" w:hAnsi="Times New Roman" w:eastAsia="宋体" w:cs="Times New Roman"/>
          <w:bCs/>
          <w:sz w:val="24"/>
          <w:szCs w:val="32"/>
        </w:rPr>
        <w:t>专家</w:t>
      </w:r>
      <w:r>
        <w:rPr>
          <w:rFonts w:ascii="Times New Roman" w:hAnsi="Times New Roman" w:eastAsia="宋体" w:cs="Times New Roman"/>
          <w:bCs/>
          <w:sz w:val="24"/>
          <w:szCs w:val="32"/>
        </w:rPr>
        <w:t>团队再</w:t>
      </w:r>
      <w:r>
        <w:rPr>
          <w:rFonts w:hint="eastAsia" w:ascii="Times New Roman" w:hAnsi="Times New Roman" w:eastAsia="宋体" w:cs="Times New Roman"/>
          <w:bCs/>
          <w:sz w:val="24"/>
          <w:szCs w:val="32"/>
        </w:rPr>
        <w:t>次</w:t>
      </w:r>
      <w:r>
        <w:rPr>
          <w:rFonts w:ascii="Times New Roman" w:hAnsi="Times New Roman" w:eastAsia="宋体" w:cs="Times New Roman"/>
          <w:bCs/>
          <w:sz w:val="24"/>
          <w:szCs w:val="32"/>
        </w:rPr>
        <w:t>对问题进行复盘，</w:t>
      </w:r>
      <w:r>
        <w:rPr>
          <w:rFonts w:hint="eastAsia" w:ascii="Times New Roman" w:hAnsi="Times New Roman" w:eastAsia="宋体" w:cs="Times New Roman"/>
          <w:bCs/>
          <w:sz w:val="24"/>
          <w:szCs w:val="32"/>
        </w:rPr>
        <w:t>并</w:t>
      </w:r>
      <w:r>
        <w:rPr>
          <w:rFonts w:ascii="Times New Roman" w:hAnsi="Times New Roman" w:eastAsia="宋体" w:cs="Times New Roman"/>
          <w:bCs/>
          <w:sz w:val="24"/>
          <w:szCs w:val="32"/>
        </w:rPr>
        <w:t>对问题进行标记，常见问题将进入问题案例库，方便用户快速查阅和排故</w:t>
      </w:r>
      <w:r>
        <w:rPr>
          <w:rFonts w:hint="eastAsia" w:ascii="Times New Roman" w:hAnsi="Times New Roman" w:eastAsia="宋体" w:cs="Times New Roman"/>
          <w:bCs/>
          <w:sz w:val="24"/>
          <w:szCs w:val="32"/>
        </w:rPr>
        <w:t>指导</w:t>
      </w:r>
      <w:r>
        <w:rPr>
          <w:rFonts w:ascii="Times New Roman" w:hAnsi="Times New Roman" w:eastAsia="宋体" w:cs="Times New Roman"/>
          <w:bCs/>
          <w:sz w:val="24"/>
          <w:szCs w:val="32"/>
        </w:rPr>
        <w:t>。</w:t>
      </w:r>
    </w:p>
    <w:p>
      <w:pPr>
        <w:keepNext/>
        <w:keepLines/>
        <w:numPr>
          <w:ilvl w:val="2"/>
          <w:numId w:val="36"/>
        </w:numPr>
        <w:adjustRightInd w:val="0"/>
        <w:snapToGrid w:val="0"/>
        <w:spacing w:before="246" w:beforeLines="50" w:after="246" w:afterLines="50" w:line="360" w:lineRule="auto"/>
        <w:ind w:left="0" w:leftChars="0" w:firstLine="0" w:firstLineChars="0"/>
        <w:outlineLvl w:val="1"/>
        <w:rPr>
          <w:rFonts w:hint="eastAsia" w:ascii="宋体" w:hAnsi="宋体" w:eastAsia="宋体" w:cs="Times New Roman"/>
          <w:b/>
          <w:bCs/>
          <w:kern w:val="2"/>
          <w:sz w:val="24"/>
          <w:szCs w:val="24"/>
          <w:lang w:val="en-US" w:eastAsia="zh-Hans" w:bidi="ar-SA"/>
        </w:rPr>
      </w:pPr>
      <w:bookmarkStart w:id="136" w:name="_Toc125887295"/>
      <w:bookmarkStart w:id="137" w:name="_Toc66217194"/>
      <w:r>
        <w:rPr>
          <w:rFonts w:hint="eastAsia" w:ascii="宋体" w:hAnsi="宋体" w:eastAsia="宋体" w:cs="Times New Roman"/>
          <w:b/>
          <w:bCs/>
          <w:kern w:val="2"/>
          <w:sz w:val="24"/>
          <w:szCs w:val="24"/>
          <w:lang w:val="en-US" w:eastAsia="zh-Hans" w:bidi="ar-SA"/>
        </w:rPr>
        <w:t>问题登记</w:t>
      </w:r>
      <w:bookmarkEnd w:id="136"/>
      <w:bookmarkEnd w:id="137"/>
    </w:p>
    <w:p>
      <w:pPr>
        <w:adjustRightInd w:val="0"/>
        <w:snapToGrid w:val="0"/>
        <w:spacing w:line="360" w:lineRule="auto"/>
        <w:ind w:firstLine="480" w:firstLineChars="200"/>
        <w:rPr>
          <w:rFonts w:ascii="Times New Roman" w:hAnsi="Times New Roman" w:eastAsia="宋体" w:cs="Times New Roman"/>
          <w:bCs/>
          <w:sz w:val="24"/>
          <w:szCs w:val="32"/>
        </w:rPr>
      </w:pPr>
      <w:r>
        <w:rPr>
          <w:rFonts w:ascii="Times New Roman" w:hAnsi="Times New Roman" w:eastAsia="宋体" w:cs="Times New Roman"/>
          <w:bCs/>
          <w:sz w:val="24"/>
          <w:szCs w:val="32"/>
        </w:rPr>
        <w:t>用户只需在</w:t>
      </w:r>
      <w:r>
        <w:rPr>
          <w:rFonts w:hint="eastAsia" w:ascii="Times New Roman" w:hAnsi="Times New Roman" w:eastAsia="宋体" w:cs="Times New Roman"/>
          <w:bCs/>
          <w:sz w:val="24"/>
          <w:szCs w:val="32"/>
        </w:rPr>
        <w:t>本地浏览器</w:t>
      </w:r>
      <w:r>
        <w:rPr>
          <w:rFonts w:ascii="Times New Roman" w:hAnsi="Times New Roman" w:eastAsia="宋体" w:cs="Times New Roman"/>
          <w:bCs/>
          <w:sz w:val="24"/>
          <w:szCs w:val="32"/>
        </w:rPr>
        <w:t>上访问</w:t>
      </w:r>
      <w:r>
        <w:rPr>
          <w:rFonts w:hint="eastAsia" w:ascii="Times New Roman" w:hAnsi="Times New Roman" w:eastAsia="宋体" w:cs="Times New Roman"/>
          <w:bCs/>
          <w:sz w:val="24"/>
          <w:szCs w:val="32"/>
        </w:rPr>
        <w:t>网址</w:t>
      </w:r>
      <w:r>
        <w:rPr>
          <w:rFonts w:ascii="Times New Roman" w:hAnsi="Times New Roman" w:eastAsia="宋体" w:cs="Times New Roman"/>
          <w:bCs/>
          <w:sz w:val="24"/>
          <w:szCs w:val="32"/>
        </w:rPr>
        <w:fldChar w:fldCharType="begin"/>
      </w:r>
      <w:r>
        <w:rPr>
          <w:rFonts w:ascii="Times New Roman" w:hAnsi="Times New Roman" w:eastAsia="宋体" w:cs="Times New Roman"/>
          <w:bCs/>
          <w:sz w:val="24"/>
          <w:szCs w:val="32"/>
        </w:rPr>
        <w:instrText xml:space="preserve"> HYPERLINK "http://careful.wisedu.com" </w:instrText>
      </w:r>
      <w:r>
        <w:rPr>
          <w:rFonts w:ascii="Times New Roman" w:hAnsi="Times New Roman" w:eastAsia="宋体" w:cs="Times New Roman"/>
          <w:bCs/>
          <w:sz w:val="24"/>
          <w:szCs w:val="32"/>
        </w:rPr>
        <w:fldChar w:fldCharType="separate"/>
      </w:r>
      <w:r>
        <w:rPr>
          <w:rFonts w:hint="eastAsia" w:ascii="Times New Roman" w:hAnsi="Times New Roman" w:eastAsia="宋体" w:cs="Times New Roman"/>
          <w:bCs/>
          <w:sz w:val="24"/>
          <w:szCs w:val="32"/>
        </w:rPr>
        <w:t>http</w:t>
      </w:r>
      <w:r>
        <w:rPr>
          <w:rFonts w:ascii="Times New Roman" w:hAnsi="Times New Roman" w:eastAsia="宋体" w:cs="Times New Roman"/>
          <w:bCs/>
          <w:sz w:val="24"/>
          <w:szCs w:val="32"/>
        </w:rPr>
        <w:t>://</w:t>
      </w:r>
      <w:r>
        <w:rPr>
          <w:rFonts w:hint="eastAsia" w:ascii="Times New Roman" w:hAnsi="Times New Roman" w:eastAsia="宋体" w:cs="Times New Roman"/>
          <w:bCs/>
          <w:sz w:val="24"/>
          <w:szCs w:val="32"/>
        </w:rPr>
        <w:t>careful.wisedu.com</w:t>
      </w:r>
      <w:r>
        <w:rPr>
          <w:rFonts w:hint="eastAsia" w:ascii="Times New Roman" w:hAnsi="Times New Roman" w:eastAsia="宋体" w:cs="Times New Roman"/>
          <w:bCs/>
          <w:sz w:val="24"/>
          <w:szCs w:val="32"/>
        </w:rPr>
        <w:fldChar w:fldCharType="end"/>
      </w:r>
      <w:r>
        <w:rPr>
          <w:rFonts w:hint="eastAsia" w:ascii="Times New Roman" w:hAnsi="Times New Roman" w:eastAsia="宋体" w:cs="Times New Roman"/>
          <w:bCs/>
          <w:sz w:val="24"/>
          <w:szCs w:val="32"/>
        </w:rPr>
        <w:t>，</w:t>
      </w:r>
      <w:r>
        <w:rPr>
          <w:rFonts w:ascii="Times New Roman" w:hAnsi="Times New Roman" w:eastAsia="宋体" w:cs="Times New Roman"/>
          <w:bCs/>
          <w:sz w:val="24"/>
          <w:szCs w:val="32"/>
        </w:rPr>
        <w:t>即可</w:t>
      </w:r>
      <w:r>
        <w:rPr>
          <w:rFonts w:hint="eastAsia" w:ascii="Times New Roman" w:hAnsi="Times New Roman" w:eastAsia="宋体" w:cs="Times New Roman"/>
          <w:bCs/>
          <w:sz w:val="24"/>
          <w:szCs w:val="32"/>
        </w:rPr>
        <w:t>提请服务产品的</w:t>
      </w:r>
      <w:r>
        <w:rPr>
          <w:rFonts w:ascii="Times New Roman" w:hAnsi="Times New Roman" w:eastAsia="宋体" w:cs="Times New Roman"/>
          <w:bCs/>
          <w:sz w:val="24"/>
          <w:szCs w:val="32"/>
        </w:rPr>
        <w:t>问题，并</w:t>
      </w:r>
      <w:r>
        <w:rPr>
          <w:rFonts w:hint="eastAsia" w:ascii="Times New Roman" w:hAnsi="Times New Roman" w:eastAsia="宋体" w:cs="Times New Roman"/>
          <w:bCs/>
          <w:sz w:val="24"/>
          <w:szCs w:val="32"/>
        </w:rPr>
        <w:t>享受由</w:t>
      </w:r>
      <w:r>
        <w:rPr>
          <w:rFonts w:ascii="Times New Roman" w:hAnsi="Times New Roman" w:eastAsia="宋体" w:cs="Times New Roman"/>
          <w:bCs/>
          <w:sz w:val="24"/>
          <w:szCs w:val="32"/>
        </w:rPr>
        <w:t>公司提供的</w:t>
      </w:r>
      <w:r>
        <w:rPr>
          <w:rFonts w:hint="eastAsia" w:ascii="Times New Roman" w:hAnsi="Times New Roman" w:eastAsia="宋体" w:cs="Times New Roman"/>
          <w:bCs/>
          <w:sz w:val="24"/>
          <w:szCs w:val="32"/>
        </w:rPr>
        <w:t>问题</w:t>
      </w:r>
      <w:r>
        <w:rPr>
          <w:rFonts w:ascii="Times New Roman" w:hAnsi="Times New Roman" w:eastAsia="宋体" w:cs="Times New Roman"/>
          <w:bCs/>
          <w:sz w:val="24"/>
          <w:szCs w:val="32"/>
        </w:rPr>
        <w:t>处理服务</w:t>
      </w:r>
      <w:r>
        <w:rPr>
          <w:rFonts w:hint="eastAsia" w:ascii="Times New Roman" w:hAnsi="Times New Roman" w:eastAsia="宋体" w:cs="Times New Roman"/>
          <w:bCs/>
          <w:sz w:val="24"/>
          <w:szCs w:val="32"/>
        </w:rPr>
        <w:t>。</w:t>
      </w:r>
    </w:p>
    <w:p>
      <w:pPr>
        <w:adjustRightInd w:val="0"/>
        <w:snapToGrid w:val="0"/>
        <w:ind w:firstLine="480"/>
        <w:jc w:val="center"/>
        <w:rPr>
          <w:rFonts w:ascii="Times New Roman" w:hAnsi="Times New Roman" w:eastAsia="宋体" w:cs="Times New Roman"/>
          <w:kern w:val="2"/>
          <w:sz w:val="24"/>
          <w:szCs w:val="22"/>
          <w:lang w:val="en-US" w:eastAsia="zh-CN" w:bidi="ar-SA"/>
        </w:rPr>
      </w:pPr>
      <w:r>
        <w:rPr>
          <w:rFonts w:ascii="Times New Roman" w:hAnsi="Times New Roman" w:eastAsia="宋体" w:cs="Times New Roman"/>
          <w:kern w:val="2"/>
          <w:sz w:val="24"/>
          <w:szCs w:val="22"/>
          <w:lang w:val="en-US" w:eastAsia="zh-CN" w:bidi="ar-SA"/>
        </w:rPr>
        <w:drawing>
          <wp:inline distT="0" distB="0" distL="0" distR="0">
            <wp:extent cx="5267325" cy="2428875"/>
            <wp:effectExtent l="0" t="0" r="9525" b="9525"/>
            <wp:docPr id="47136129" name="图片 47136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6129" name="图片 471361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67325" cy="2428875"/>
                    </a:xfrm>
                    <a:prstGeom prst="rect">
                      <a:avLst/>
                    </a:prstGeom>
                    <a:noFill/>
                    <a:ln>
                      <a:noFill/>
                    </a:ln>
                  </pic:spPr>
                </pic:pic>
              </a:graphicData>
            </a:graphic>
          </wp:inline>
        </w:drawing>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登录</w:t>
      </w:r>
      <w:r>
        <w:rPr>
          <w:rFonts w:ascii="Times New Roman" w:hAnsi="Times New Roman" w:eastAsia="宋体" w:cs="Times New Roman"/>
          <w:bCs/>
          <w:sz w:val="24"/>
          <w:szCs w:val="32"/>
        </w:rPr>
        <w:t>系统后，</w:t>
      </w:r>
      <w:r>
        <w:rPr>
          <w:rFonts w:hint="eastAsia" w:ascii="Times New Roman" w:hAnsi="Times New Roman" w:eastAsia="宋体" w:cs="Times New Roman"/>
          <w:bCs/>
          <w:sz w:val="24"/>
          <w:szCs w:val="32"/>
        </w:rPr>
        <w:t>通过</w:t>
      </w:r>
      <w:r>
        <w:rPr>
          <w:rFonts w:ascii="Times New Roman" w:hAnsi="Times New Roman" w:eastAsia="宋体" w:cs="Times New Roman"/>
          <w:bCs/>
          <w:sz w:val="24"/>
          <w:szCs w:val="32"/>
        </w:rPr>
        <w:t>问题管理模块提报问题，在问题登记页面中</w:t>
      </w:r>
      <w:r>
        <w:rPr>
          <w:rFonts w:hint="eastAsia" w:ascii="Times New Roman" w:hAnsi="Times New Roman" w:eastAsia="宋体" w:cs="Times New Roman"/>
          <w:bCs/>
          <w:sz w:val="24"/>
          <w:szCs w:val="32"/>
        </w:rPr>
        <w:t>详细</w:t>
      </w:r>
      <w:r>
        <w:rPr>
          <w:rFonts w:ascii="Times New Roman" w:hAnsi="Times New Roman" w:eastAsia="宋体" w:cs="Times New Roman"/>
          <w:bCs/>
          <w:sz w:val="24"/>
          <w:szCs w:val="32"/>
        </w:rPr>
        <w:t>描述</w:t>
      </w:r>
      <w:r>
        <w:rPr>
          <w:rFonts w:hint="eastAsia" w:ascii="Times New Roman" w:hAnsi="Times New Roman" w:eastAsia="宋体" w:cs="Times New Roman"/>
          <w:bCs/>
          <w:sz w:val="24"/>
          <w:szCs w:val="32"/>
        </w:rPr>
        <w:t>待</w:t>
      </w:r>
      <w:r>
        <w:rPr>
          <w:rFonts w:ascii="Times New Roman" w:hAnsi="Times New Roman" w:eastAsia="宋体" w:cs="Times New Roman"/>
          <w:bCs/>
          <w:sz w:val="24"/>
          <w:szCs w:val="32"/>
        </w:rPr>
        <w:t>解决问题的所属产品</w:t>
      </w:r>
      <w:r>
        <w:rPr>
          <w:rFonts w:hint="eastAsia" w:ascii="Times New Roman" w:hAnsi="Times New Roman" w:eastAsia="宋体" w:cs="Times New Roman"/>
          <w:bCs/>
          <w:sz w:val="24"/>
          <w:szCs w:val="32"/>
        </w:rPr>
        <w:t>、所属</w:t>
      </w:r>
      <w:r>
        <w:rPr>
          <w:rFonts w:ascii="Times New Roman" w:hAnsi="Times New Roman" w:eastAsia="宋体" w:cs="Times New Roman"/>
          <w:bCs/>
          <w:sz w:val="24"/>
          <w:szCs w:val="32"/>
        </w:rPr>
        <w:t>项目、</w:t>
      </w:r>
      <w:r>
        <w:rPr>
          <w:rFonts w:hint="eastAsia" w:ascii="Times New Roman" w:hAnsi="Times New Roman" w:eastAsia="宋体" w:cs="Times New Roman"/>
          <w:bCs/>
          <w:sz w:val="24"/>
          <w:szCs w:val="32"/>
        </w:rPr>
        <w:t>问题</w:t>
      </w:r>
      <w:r>
        <w:rPr>
          <w:rFonts w:ascii="Times New Roman" w:hAnsi="Times New Roman" w:eastAsia="宋体" w:cs="Times New Roman"/>
          <w:bCs/>
          <w:sz w:val="24"/>
          <w:szCs w:val="32"/>
        </w:rPr>
        <w:t>产生过程与现象、系统</w:t>
      </w:r>
      <w:r>
        <w:rPr>
          <w:rFonts w:hint="eastAsia" w:ascii="Times New Roman" w:hAnsi="Times New Roman" w:eastAsia="宋体" w:cs="Times New Roman"/>
          <w:bCs/>
          <w:sz w:val="24"/>
          <w:szCs w:val="32"/>
        </w:rPr>
        <w:t>环境信息及问题紧急程度、期望解决日期等相关信息。</w:t>
      </w:r>
    </w:p>
    <w:p>
      <w:pPr>
        <w:adjustRightInd w:val="0"/>
        <w:snapToGrid w:val="0"/>
        <w:jc w:val="center"/>
        <w:rPr>
          <w:rFonts w:ascii="Times New Roman" w:hAnsi="Times New Roman" w:eastAsia="宋体" w:cs="Times New Roman"/>
          <w:kern w:val="2"/>
          <w:sz w:val="24"/>
          <w:szCs w:val="22"/>
          <w:lang w:val="en-US" w:eastAsia="zh-CN" w:bidi="ar-SA"/>
        </w:rPr>
      </w:pPr>
      <w:r>
        <w:rPr>
          <w:rFonts w:ascii="Times New Roman" w:hAnsi="Times New Roman" w:eastAsia="宋体" w:cs="Times New Roman"/>
          <w:kern w:val="2"/>
          <w:sz w:val="24"/>
          <w:szCs w:val="22"/>
          <w:lang w:val="en-US" w:eastAsia="zh-CN" w:bidi="ar-SA"/>
        </w:rPr>
        <w:drawing>
          <wp:inline distT="0" distB="0" distL="0" distR="0">
            <wp:extent cx="5257800" cy="1962150"/>
            <wp:effectExtent l="0" t="0" r="0" b="0"/>
            <wp:docPr id="2118463012" name="图片 211846301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463012" name="图片 2118463012" descr="图形用户界面, 文本, 应用程序, 电子邮件&#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57800" cy="1962150"/>
                    </a:xfrm>
                    <a:prstGeom prst="rect">
                      <a:avLst/>
                    </a:prstGeom>
                    <a:noFill/>
                    <a:ln>
                      <a:noFill/>
                    </a:ln>
                  </pic:spPr>
                </pic:pic>
              </a:graphicData>
            </a:graphic>
          </wp:inline>
        </w:drawing>
      </w:r>
    </w:p>
    <w:p>
      <w:pPr>
        <w:adjustRightInd w:val="0"/>
        <w:snapToGrid w:val="0"/>
        <w:jc w:val="center"/>
        <w:rPr>
          <w:rFonts w:ascii="Times New Roman" w:hAnsi="Times New Roman" w:eastAsia="宋体" w:cs="Times New Roman"/>
          <w:kern w:val="2"/>
          <w:sz w:val="24"/>
          <w:szCs w:val="22"/>
          <w:lang w:val="en-US" w:eastAsia="zh-CN" w:bidi="ar-SA"/>
        </w:rPr>
      </w:pPr>
      <w:r>
        <w:rPr>
          <w:rFonts w:ascii="Times New Roman" w:hAnsi="Times New Roman" w:eastAsia="宋体" w:cs="Times New Roman"/>
          <w:kern w:val="2"/>
          <w:sz w:val="24"/>
          <w:szCs w:val="22"/>
          <w:lang w:val="en-US" w:eastAsia="zh-CN" w:bidi="ar-SA"/>
        </w:rPr>
        <w:drawing>
          <wp:inline distT="0" distB="0" distL="0" distR="0">
            <wp:extent cx="5257800" cy="4600575"/>
            <wp:effectExtent l="0" t="0" r="0" b="9525"/>
            <wp:docPr id="2007424499" name="图片 200742449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24499" name="图片 2007424499" descr="图形用户界面, 应用程序&#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57800" cy="4600575"/>
                    </a:xfrm>
                    <a:prstGeom prst="rect">
                      <a:avLst/>
                    </a:prstGeom>
                    <a:noFill/>
                    <a:ln>
                      <a:noFill/>
                    </a:ln>
                  </pic:spPr>
                </pic:pic>
              </a:graphicData>
            </a:graphic>
          </wp:inline>
        </w:drawing>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问题</w:t>
      </w:r>
      <w:r>
        <w:rPr>
          <w:rFonts w:ascii="Times New Roman" w:hAnsi="Times New Roman" w:eastAsia="宋体" w:cs="Times New Roman"/>
          <w:bCs/>
          <w:sz w:val="24"/>
          <w:szCs w:val="32"/>
        </w:rPr>
        <w:t>登记</w:t>
      </w:r>
      <w:r>
        <w:rPr>
          <w:rFonts w:hint="eastAsia" w:ascii="Times New Roman" w:hAnsi="Times New Roman" w:eastAsia="宋体" w:cs="Times New Roman"/>
          <w:bCs/>
          <w:sz w:val="24"/>
          <w:szCs w:val="32"/>
        </w:rPr>
        <w:t>完成</w:t>
      </w:r>
      <w:r>
        <w:rPr>
          <w:rFonts w:ascii="Times New Roman" w:hAnsi="Times New Roman" w:eastAsia="宋体" w:cs="Times New Roman"/>
          <w:bCs/>
          <w:sz w:val="24"/>
          <w:szCs w:val="32"/>
        </w:rPr>
        <w:t>后会自动进入对应的处理流程，由专业的服务团队跟踪处理，</w:t>
      </w:r>
      <w:r>
        <w:rPr>
          <w:rFonts w:hint="eastAsia" w:ascii="Times New Roman" w:hAnsi="Times New Roman" w:eastAsia="宋体" w:cs="Times New Roman"/>
          <w:bCs/>
          <w:sz w:val="24"/>
          <w:szCs w:val="32"/>
        </w:rPr>
        <w:t>处理</w:t>
      </w:r>
      <w:r>
        <w:rPr>
          <w:rFonts w:ascii="Times New Roman" w:hAnsi="Times New Roman" w:eastAsia="宋体" w:cs="Times New Roman"/>
          <w:bCs/>
          <w:sz w:val="24"/>
          <w:szCs w:val="32"/>
        </w:rPr>
        <w:t>过程</w:t>
      </w:r>
      <w:r>
        <w:rPr>
          <w:rFonts w:hint="eastAsia" w:ascii="Times New Roman" w:hAnsi="Times New Roman" w:eastAsia="宋体" w:cs="Times New Roman"/>
          <w:bCs/>
          <w:sz w:val="24"/>
          <w:szCs w:val="32"/>
        </w:rPr>
        <w:t>开放</w:t>
      </w:r>
      <w:r>
        <w:rPr>
          <w:rFonts w:ascii="Times New Roman" w:hAnsi="Times New Roman" w:eastAsia="宋体" w:cs="Times New Roman"/>
          <w:bCs/>
          <w:sz w:val="24"/>
          <w:szCs w:val="32"/>
        </w:rPr>
        <w:t>透明</w:t>
      </w:r>
      <w:r>
        <w:rPr>
          <w:rFonts w:hint="eastAsia" w:ascii="Times New Roman" w:hAnsi="Times New Roman" w:eastAsia="宋体" w:cs="Times New Roman"/>
          <w:bCs/>
          <w:sz w:val="24"/>
          <w:szCs w:val="32"/>
        </w:rPr>
        <w:t>，</w:t>
      </w:r>
      <w:r>
        <w:rPr>
          <w:rFonts w:ascii="Times New Roman" w:hAnsi="Times New Roman" w:eastAsia="宋体" w:cs="Times New Roman"/>
          <w:bCs/>
          <w:sz w:val="24"/>
          <w:szCs w:val="32"/>
        </w:rPr>
        <w:t>用户可随时随地查看问题的最新处理进展。</w:t>
      </w:r>
    </w:p>
    <w:p>
      <w:pPr>
        <w:keepNext/>
        <w:keepLines/>
        <w:numPr>
          <w:ilvl w:val="2"/>
          <w:numId w:val="36"/>
        </w:numPr>
        <w:adjustRightInd w:val="0"/>
        <w:snapToGrid w:val="0"/>
        <w:spacing w:before="246" w:beforeLines="50" w:after="246" w:afterLines="50" w:line="360" w:lineRule="auto"/>
        <w:ind w:left="0" w:leftChars="0" w:firstLine="0" w:firstLineChars="0"/>
        <w:outlineLvl w:val="1"/>
        <w:rPr>
          <w:rFonts w:hint="eastAsia" w:ascii="宋体" w:hAnsi="宋体" w:eastAsia="宋体" w:cs="Times New Roman"/>
          <w:b/>
          <w:bCs/>
          <w:kern w:val="2"/>
          <w:sz w:val="24"/>
          <w:szCs w:val="24"/>
          <w:lang w:val="en-US" w:eastAsia="zh-Hans" w:bidi="ar-SA"/>
        </w:rPr>
      </w:pPr>
      <w:bookmarkStart w:id="138" w:name="_Toc66217195"/>
      <w:bookmarkStart w:id="139" w:name="_Toc125887296"/>
      <w:r>
        <w:rPr>
          <w:rFonts w:hint="eastAsia" w:ascii="宋体" w:hAnsi="宋体" w:eastAsia="宋体" w:cs="Times New Roman"/>
          <w:b/>
          <w:bCs/>
          <w:kern w:val="2"/>
          <w:sz w:val="24"/>
          <w:szCs w:val="24"/>
          <w:lang w:val="en-US" w:eastAsia="zh-Hans" w:bidi="ar-SA"/>
        </w:rPr>
        <w:t>问题处理</w:t>
      </w:r>
      <w:bookmarkEnd w:id="138"/>
      <w:bookmarkEnd w:id="139"/>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问题</w:t>
      </w:r>
      <w:r>
        <w:rPr>
          <w:rFonts w:ascii="Times New Roman" w:hAnsi="Times New Roman" w:eastAsia="宋体" w:cs="Times New Roman"/>
          <w:bCs/>
          <w:sz w:val="24"/>
          <w:szCs w:val="32"/>
        </w:rPr>
        <w:t>登记后，自动进入问题处理流程</w:t>
      </w:r>
      <w:r>
        <w:rPr>
          <w:rFonts w:hint="eastAsia" w:ascii="Times New Roman" w:hAnsi="Times New Roman" w:eastAsia="宋体" w:cs="Times New Roman"/>
          <w:bCs/>
          <w:sz w:val="24"/>
          <w:szCs w:val="32"/>
        </w:rPr>
        <w:t>，</w:t>
      </w:r>
      <w:r>
        <w:rPr>
          <w:rFonts w:ascii="Times New Roman" w:hAnsi="Times New Roman" w:eastAsia="宋体" w:cs="Times New Roman"/>
          <w:bCs/>
          <w:sz w:val="24"/>
          <w:szCs w:val="32"/>
        </w:rPr>
        <w:t>并由对应</w:t>
      </w:r>
      <w:r>
        <w:rPr>
          <w:rFonts w:hint="eastAsia" w:ascii="Times New Roman" w:hAnsi="Times New Roman" w:eastAsia="宋体" w:cs="Times New Roman"/>
          <w:bCs/>
          <w:sz w:val="24"/>
          <w:szCs w:val="32"/>
        </w:rPr>
        <w:t>产品</w:t>
      </w:r>
      <w:r>
        <w:rPr>
          <w:rFonts w:ascii="Times New Roman" w:hAnsi="Times New Roman" w:eastAsia="宋体" w:cs="Times New Roman"/>
          <w:bCs/>
          <w:sz w:val="24"/>
          <w:szCs w:val="32"/>
        </w:rPr>
        <w:t>的</w:t>
      </w:r>
      <w:r>
        <w:rPr>
          <w:rFonts w:hint="eastAsia" w:ascii="Times New Roman" w:hAnsi="Times New Roman" w:eastAsia="宋体" w:cs="Times New Roman"/>
          <w:bCs/>
          <w:sz w:val="24"/>
          <w:szCs w:val="32"/>
        </w:rPr>
        <w:t>责任人</w:t>
      </w:r>
      <w:r>
        <w:rPr>
          <w:rFonts w:ascii="Times New Roman" w:hAnsi="Times New Roman" w:eastAsia="宋体" w:cs="Times New Roman"/>
          <w:bCs/>
          <w:sz w:val="24"/>
          <w:szCs w:val="32"/>
        </w:rPr>
        <w:t>负责处理，项目团队及运营专员会对问题处理过程进行跟踪，保证用户提出的问题能够及时有效的解决。</w:t>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当</w:t>
      </w:r>
      <w:r>
        <w:rPr>
          <w:rFonts w:ascii="Times New Roman" w:hAnsi="Times New Roman" w:eastAsia="宋体" w:cs="Times New Roman"/>
          <w:bCs/>
          <w:sz w:val="24"/>
          <w:szCs w:val="32"/>
        </w:rPr>
        <w:t>不同的</w:t>
      </w:r>
      <w:r>
        <w:rPr>
          <w:rFonts w:hint="eastAsia" w:ascii="Times New Roman" w:hAnsi="Times New Roman" w:eastAsia="宋体" w:cs="Times New Roman"/>
          <w:bCs/>
          <w:sz w:val="24"/>
          <w:szCs w:val="32"/>
        </w:rPr>
        <w:t>问题</w:t>
      </w:r>
      <w:r>
        <w:rPr>
          <w:rFonts w:ascii="Times New Roman" w:hAnsi="Times New Roman" w:eastAsia="宋体" w:cs="Times New Roman"/>
          <w:bCs/>
          <w:sz w:val="24"/>
          <w:szCs w:val="32"/>
        </w:rPr>
        <w:t>处理环节第一次受理该问题时，需要给出问题</w:t>
      </w:r>
      <w:r>
        <w:rPr>
          <w:rFonts w:hint="eastAsia" w:ascii="Times New Roman" w:hAnsi="Times New Roman" w:eastAsia="宋体" w:cs="Times New Roman"/>
          <w:bCs/>
          <w:sz w:val="24"/>
          <w:szCs w:val="32"/>
        </w:rPr>
        <w:t>的</w:t>
      </w:r>
      <w:r>
        <w:rPr>
          <w:rFonts w:ascii="Times New Roman" w:hAnsi="Times New Roman" w:eastAsia="宋体" w:cs="Times New Roman"/>
          <w:bCs/>
          <w:sz w:val="24"/>
          <w:szCs w:val="32"/>
        </w:rPr>
        <w:t>承诺解决时间，并严格按照承诺解决时间来完成。</w:t>
      </w:r>
      <w:r>
        <w:rPr>
          <w:rFonts w:hint="eastAsia" w:ascii="Times New Roman" w:hAnsi="Times New Roman" w:eastAsia="宋体" w:cs="Times New Roman"/>
          <w:bCs/>
          <w:sz w:val="24"/>
          <w:szCs w:val="32"/>
        </w:rPr>
        <w:t>对</w:t>
      </w:r>
      <w:r>
        <w:rPr>
          <w:rFonts w:ascii="Times New Roman" w:hAnsi="Times New Roman" w:eastAsia="宋体" w:cs="Times New Roman"/>
          <w:bCs/>
          <w:sz w:val="24"/>
          <w:szCs w:val="32"/>
        </w:rPr>
        <w:t>问题经过</w:t>
      </w:r>
      <w:r>
        <w:rPr>
          <w:rFonts w:hint="eastAsia" w:ascii="Times New Roman" w:hAnsi="Times New Roman" w:eastAsia="宋体" w:cs="Times New Roman"/>
          <w:bCs/>
          <w:sz w:val="24"/>
          <w:szCs w:val="32"/>
        </w:rPr>
        <w:t>深入</w:t>
      </w:r>
      <w:r>
        <w:rPr>
          <w:rFonts w:ascii="Times New Roman" w:hAnsi="Times New Roman" w:eastAsia="宋体" w:cs="Times New Roman"/>
          <w:bCs/>
          <w:sz w:val="24"/>
          <w:szCs w:val="32"/>
        </w:rPr>
        <w:t>排查后，</w:t>
      </w:r>
      <w:r>
        <w:rPr>
          <w:rFonts w:hint="eastAsia" w:ascii="Times New Roman" w:hAnsi="Times New Roman" w:eastAsia="宋体" w:cs="Times New Roman"/>
          <w:bCs/>
          <w:sz w:val="24"/>
          <w:szCs w:val="32"/>
        </w:rPr>
        <w:t>确实</w:t>
      </w:r>
      <w:r>
        <w:rPr>
          <w:rFonts w:ascii="Times New Roman" w:hAnsi="Times New Roman" w:eastAsia="宋体" w:cs="Times New Roman"/>
          <w:bCs/>
          <w:sz w:val="24"/>
          <w:szCs w:val="32"/>
        </w:rPr>
        <w:t>无法在现有承诺解决时间内完成的，允许修改更新承诺解决时间，并且要求写明更改承诺解决时间的原因。</w:t>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处理</w:t>
      </w:r>
      <w:r>
        <w:rPr>
          <w:rFonts w:ascii="Times New Roman" w:hAnsi="Times New Roman" w:eastAsia="宋体" w:cs="Times New Roman"/>
          <w:bCs/>
          <w:sz w:val="24"/>
          <w:szCs w:val="32"/>
        </w:rPr>
        <w:t>中的问题：</w:t>
      </w:r>
    </w:p>
    <w:p>
      <w:pPr>
        <w:adjustRightInd w:val="0"/>
        <w:snapToGrid w:val="0"/>
        <w:jc w:val="center"/>
        <w:rPr>
          <w:rFonts w:ascii="Times New Roman" w:hAnsi="Times New Roman" w:eastAsia="宋体" w:cs="Times New Roman"/>
          <w:kern w:val="2"/>
          <w:sz w:val="24"/>
          <w:szCs w:val="22"/>
          <w:lang w:val="en-US" w:eastAsia="zh-CN" w:bidi="ar-SA"/>
        </w:rPr>
      </w:pPr>
      <w:r>
        <w:rPr>
          <w:rFonts w:ascii="Times New Roman" w:hAnsi="Times New Roman" w:eastAsia="宋体" w:cs="Times New Roman"/>
          <w:kern w:val="2"/>
          <w:sz w:val="24"/>
          <w:szCs w:val="22"/>
          <w:lang w:val="en-US" w:eastAsia="zh-CN" w:bidi="ar-SA"/>
        </w:rPr>
        <w:drawing>
          <wp:inline distT="0" distB="0" distL="0" distR="0">
            <wp:extent cx="5267325" cy="2752725"/>
            <wp:effectExtent l="0" t="0" r="9525" b="9525"/>
            <wp:docPr id="298957011" name="图片 298957011" descr="图形用户界面, 文本, 应用程序, 电子邮件,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57011" name="图片 298957011" descr="图形用户界面, 文本, 应用程序, 电子邮件, 网站&#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67325" cy="2752725"/>
                    </a:xfrm>
                    <a:prstGeom prst="rect">
                      <a:avLst/>
                    </a:prstGeom>
                    <a:noFill/>
                    <a:ln>
                      <a:noFill/>
                    </a:ln>
                  </pic:spPr>
                </pic:pic>
              </a:graphicData>
            </a:graphic>
          </wp:inline>
        </w:drawing>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对于</w:t>
      </w:r>
      <w:r>
        <w:rPr>
          <w:rFonts w:ascii="Times New Roman" w:hAnsi="Times New Roman" w:eastAsia="宋体" w:cs="Times New Roman"/>
          <w:bCs/>
          <w:sz w:val="24"/>
          <w:szCs w:val="32"/>
        </w:rPr>
        <w:t>处理中的问题，用户可随时随地</w:t>
      </w:r>
      <w:r>
        <w:rPr>
          <w:rFonts w:hint="eastAsia" w:ascii="Times New Roman" w:hAnsi="Times New Roman" w:eastAsia="宋体" w:cs="Times New Roman"/>
          <w:bCs/>
          <w:sz w:val="24"/>
          <w:szCs w:val="32"/>
        </w:rPr>
        <w:t>查看</w:t>
      </w:r>
      <w:r>
        <w:rPr>
          <w:rFonts w:ascii="Times New Roman" w:hAnsi="Times New Roman" w:eastAsia="宋体" w:cs="Times New Roman"/>
          <w:bCs/>
          <w:sz w:val="24"/>
          <w:szCs w:val="32"/>
        </w:rPr>
        <w:t>处理进度。</w:t>
      </w:r>
    </w:p>
    <w:p>
      <w:pPr>
        <w:keepNext/>
        <w:keepLines/>
        <w:numPr>
          <w:ilvl w:val="2"/>
          <w:numId w:val="36"/>
        </w:numPr>
        <w:adjustRightInd w:val="0"/>
        <w:snapToGrid w:val="0"/>
        <w:spacing w:before="246" w:beforeLines="50" w:after="246" w:afterLines="50" w:line="360" w:lineRule="auto"/>
        <w:ind w:left="0" w:leftChars="0" w:firstLine="0" w:firstLineChars="0"/>
        <w:outlineLvl w:val="1"/>
        <w:rPr>
          <w:rFonts w:hint="eastAsia" w:ascii="宋体" w:hAnsi="宋体" w:eastAsia="宋体" w:cs="Times New Roman"/>
          <w:b/>
          <w:kern w:val="2"/>
          <w:sz w:val="24"/>
          <w:szCs w:val="24"/>
          <w:lang w:val="en-US" w:eastAsia="zh-Hans" w:bidi="ar-SA"/>
        </w:rPr>
      </w:pPr>
      <w:bookmarkStart w:id="140" w:name="_Toc66217196"/>
      <w:r>
        <w:rPr>
          <w:rFonts w:ascii="宋体" w:hAnsi="宋体" w:eastAsia="宋体" w:cs="Times New Roman"/>
          <w:b/>
          <w:kern w:val="2"/>
          <w:sz w:val="24"/>
          <w:szCs w:val="24"/>
          <w:lang w:val="en-US" w:eastAsia="zh-Hans" w:bidi="ar-SA"/>
        </w:rPr>
        <w:t>问题</w:t>
      </w:r>
      <w:r>
        <w:rPr>
          <w:rFonts w:hint="eastAsia" w:ascii="宋体" w:hAnsi="宋体" w:eastAsia="宋体" w:cs="Times New Roman"/>
          <w:b/>
          <w:kern w:val="2"/>
          <w:sz w:val="24"/>
          <w:szCs w:val="24"/>
          <w:lang w:val="en-US" w:eastAsia="zh-Hans" w:bidi="ar-SA"/>
        </w:rPr>
        <w:t>加急处理</w:t>
      </w:r>
      <w:bookmarkEnd w:id="140"/>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如果问题</w:t>
      </w:r>
      <w:r>
        <w:rPr>
          <w:rFonts w:ascii="Times New Roman" w:hAnsi="Times New Roman" w:eastAsia="宋体" w:cs="Times New Roman"/>
          <w:bCs/>
          <w:sz w:val="24"/>
          <w:szCs w:val="32"/>
        </w:rPr>
        <w:t>已在正常的处理流程中，</w:t>
      </w:r>
      <w:r>
        <w:rPr>
          <w:rFonts w:hint="eastAsia" w:ascii="Times New Roman" w:hAnsi="Times New Roman" w:eastAsia="宋体" w:cs="Times New Roman"/>
          <w:bCs/>
          <w:sz w:val="24"/>
          <w:szCs w:val="32"/>
        </w:rPr>
        <w:t>但是由于</w:t>
      </w:r>
      <w:r>
        <w:rPr>
          <w:rFonts w:ascii="Times New Roman" w:hAnsi="Times New Roman" w:eastAsia="宋体" w:cs="Times New Roman"/>
          <w:bCs/>
          <w:sz w:val="24"/>
          <w:szCs w:val="32"/>
        </w:rPr>
        <w:t>现场</w:t>
      </w:r>
      <w:r>
        <w:rPr>
          <w:rFonts w:hint="eastAsia" w:ascii="Times New Roman" w:hAnsi="Times New Roman" w:eastAsia="宋体" w:cs="Times New Roman"/>
          <w:bCs/>
          <w:sz w:val="24"/>
          <w:szCs w:val="32"/>
        </w:rPr>
        <w:t>实际</w:t>
      </w:r>
      <w:r>
        <w:rPr>
          <w:rFonts w:ascii="Times New Roman" w:hAnsi="Times New Roman" w:eastAsia="宋体" w:cs="Times New Roman"/>
          <w:bCs/>
          <w:sz w:val="24"/>
          <w:szCs w:val="32"/>
        </w:rPr>
        <w:t>情况需要加急处理的，用户可以通过问题催办的方式来进行，</w:t>
      </w:r>
      <w:r>
        <w:rPr>
          <w:rFonts w:hint="eastAsia" w:ascii="Times New Roman" w:hAnsi="Times New Roman" w:eastAsia="宋体" w:cs="Times New Roman"/>
          <w:bCs/>
          <w:sz w:val="24"/>
          <w:szCs w:val="32"/>
        </w:rPr>
        <w:t>当</w:t>
      </w:r>
      <w:r>
        <w:rPr>
          <w:rFonts w:ascii="Times New Roman" w:hAnsi="Times New Roman" w:eastAsia="宋体" w:cs="Times New Roman"/>
          <w:bCs/>
          <w:sz w:val="24"/>
          <w:szCs w:val="32"/>
        </w:rPr>
        <w:t>用户发起催办后，会自动生成消息通知该问题的所有处理责任人及运营</w:t>
      </w:r>
      <w:r>
        <w:rPr>
          <w:rFonts w:hint="eastAsia" w:ascii="Times New Roman" w:hAnsi="Times New Roman" w:eastAsia="宋体" w:cs="Times New Roman"/>
          <w:bCs/>
          <w:sz w:val="24"/>
          <w:szCs w:val="32"/>
        </w:rPr>
        <w:t>专</w:t>
      </w:r>
      <w:r>
        <w:rPr>
          <w:rFonts w:ascii="Times New Roman" w:hAnsi="Times New Roman" w:eastAsia="宋体" w:cs="Times New Roman"/>
          <w:bCs/>
          <w:sz w:val="24"/>
          <w:szCs w:val="32"/>
        </w:rPr>
        <w:t>员，运营</w:t>
      </w:r>
      <w:r>
        <w:rPr>
          <w:rFonts w:hint="eastAsia" w:ascii="Times New Roman" w:hAnsi="Times New Roman" w:eastAsia="宋体" w:cs="Times New Roman"/>
          <w:bCs/>
          <w:sz w:val="24"/>
          <w:szCs w:val="32"/>
        </w:rPr>
        <w:t>专</w:t>
      </w:r>
      <w:r>
        <w:rPr>
          <w:rFonts w:ascii="Times New Roman" w:hAnsi="Times New Roman" w:eastAsia="宋体" w:cs="Times New Roman"/>
          <w:bCs/>
          <w:sz w:val="24"/>
          <w:szCs w:val="32"/>
        </w:rPr>
        <w:t>员会介入问题</w:t>
      </w:r>
      <w:r>
        <w:rPr>
          <w:rFonts w:hint="eastAsia" w:ascii="Times New Roman" w:hAnsi="Times New Roman" w:eastAsia="宋体" w:cs="Times New Roman"/>
          <w:bCs/>
          <w:sz w:val="24"/>
          <w:szCs w:val="32"/>
        </w:rPr>
        <w:t>当前</w:t>
      </w:r>
      <w:r>
        <w:rPr>
          <w:rFonts w:ascii="Times New Roman" w:hAnsi="Times New Roman" w:eastAsia="宋体" w:cs="Times New Roman"/>
          <w:bCs/>
          <w:sz w:val="24"/>
          <w:szCs w:val="32"/>
        </w:rPr>
        <w:t>处理过程，</w:t>
      </w:r>
      <w:r>
        <w:rPr>
          <w:rFonts w:hint="eastAsia" w:ascii="Times New Roman" w:hAnsi="Times New Roman" w:eastAsia="宋体" w:cs="Times New Roman"/>
          <w:bCs/>
          <w:sz w:val="24"/>
          <w:szCs w:val="32"/>
        </w:rPr>
        <w:t>督促相关</w:t>
      </w:r>
      <w:r>
        <w:rPr>
          <w:rFonts w:ascii="Times New Roman" w:hAnsi="Times New Roman" w:eastAsia="宋体" w:cs="Times New Roman"/>
          <w:bCs/>
          <w:sz w:val="24"/>
          <w:szCs w:val="32"/>
        </w:rPr>
        <w:t>责任人</w:t>
      </w:r>
      <w:r>
        <w:rPr>
          <w:rFonts w:hint="eastAsia" w:ascii="Times New Roman" w:hAnsi="Times New Roman" w:eastAsia="宋体" w:cs="Times New Roman"/>
          <w:bCs/>
          <w:sz w:val="24"/>
          <w:szCs w:val="32"/>
        </w:rPr>
        <w:t>加急</w:t>
      </w:r>
      <w:r>
        <w:rPr>
          <w:rFonts w:ascii="Times New Roman" w:hAnsi="Times New Roman" w:eastAsia="宋体" w:cs="Times New Roman"/>
          <w:bCs/>
          <w:sz w:val="24"/>
          <w:szCs w:val="32"/>
        </w:rPr>
        <w:t>处理。</w:t>
      </w:r>
    </w:p>
    <w:p>
      <w:pPr>
        <w:adjustRightInd w:val="0"/>
        <w:snapToGrid w:val="0"/>
        <w:spacing w:line="360" w:lineRule="auto"/>
        <w:ind w:firstLine="480" w:firstLineChars="200"/>
        <w:rPr>
          <w:rFonts w:ascii="Times New Roman" w:hAnsi="Times New Roman" w:eastAsia="宋体" w:cs="Times New Roman"/>
          <w:bCs/>
          <w:sz w:val="24"/>
          <w:szCs w:val="32"/>
        </w:rPr>
      </w:pPr>
      <w:r>
        <w:rPr>
          <w:rFonts w:ascii="Times New Roman" w:hAnsi="Times New Roman" w:eastAsia="宋体" w:cs="Times New Roman"/>
          <w:bCs/>
          <w:sz w:val="24"/>
          <w:szCs w:val="32"/>
        </w:rPr>
        <w:drawing>
          <wp:inline distT="0" distB="0" distL="0" distR="0">
            <wp:extent cx="5274310" cy="1771015"/>
            <wp:effectExtent l="0" t="0" r="2540" b="635"/>
            <wp:docPr id="1325657835" name="图片 132565783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57835" name="图片 1325657835" descr="图形用户界面, 文本, 应用程序&#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1771015"/>
                    </a:xfrm>
                    <a:prstGeom prst="rect">
                      <a:avLst/>
                    </a:prstGeom>
                    <a:noFill/>
                    <a:ln>
                      <a:noFill/>
                    </a:ln>
                  </pic:spPr>
                </pic:pic>
              </a:graphicData>
            </a:graphic>
          </wp:inline>
        </w:drawing>
      </w:r>
    </w:p>
    <w:p>
      <w:pPr>
        <w:keepNext/>
        <w:keepLines/>
        <w:numPr>
          <w:ilvl w:val="2"/>
          <w:numId w:val="36"/>
        </w:numPr>
        <w:adjustRightInd w:val="0"/>
        <w:snapToGrid w:val="0"/>
        <w:spacing w:before="246" w:beforeLines="50" w:after="246" w:afterLines="50" w:line="360" w:lineRule="auto"/>
        <w:ind w:left="0" w:leftChars="0" w:firstLine="0" w:firstLineChars="0"/>
        <w:outlineLvl w:val="1"/>
        <w:rPr>
          <w:rFonts w:hint="eastAsia" w:ascii="宋体" w:hAnsi="宋体" w:eastAsia="宋体" w:cs="Times New Roman"/>
          <w:b/>
          <w:kern w:val="2"/>
          <w:sz w:val="24"/>
          <w:szCs w:val="24"/>
          <w:lang w:val="en-US" w:eastAsia="zh-Hans" w:bidi="ar-SA"/>
        </w:rPr>
      </w:pPr>
      <w:bookmarkStart w:id="141" w:name="_Toc66217197"/>
      <w:r>
        <w:rPr>
          <w:rFonts w:ascii="宋体" w:hAnsi="宋体" w:eastAsia="宋体" w:cs="Times New Roman"/>
          <w:b/>
          <w:kern w:val="2"/>
          <w:sz w:val="24"/>
          <w:szCs w:val="24"/>
          <w:lang w:val="en-US" w:eastAsia="zh-Hans" w:bidi="ar-SA"/>
        </w:rPr>
        <w:t>问题</w:t>
      </w:r>
      <w:r>
        <w:rPr>
          <w:rFonts w:hint="eastAsia" w:ascii="宋体" w:hAnsi="宋体" w:eastAsia="宋体" w:cs="Times New Roman"/>
          <w:b/>
          <w:kern w:val="2"/>
          <w:sz w:val="24"/>
          <w:szCs w:val="24"/>
          <w:lang w:val="en-US" w:eastAsia="zh-Hans" w:bidi="ar-SA"/>
        </w:rPr>
        <w:t>关闭及</w:t>
      </w:r>
      <w:r>
        <w:rPr>
          <w:rFonts w:ascii="宋体" w:hAnsi="宋体" w:eastAsia="宋体" w:cs="Times New Roman"/>
          <w:b/>
          <w:kern w:val="2"/>
          <w:sz w:val="24"/>
          <w:szCs w:val="24"/>
          <w:lang w:val="en-US" w:eastAsia="zh-Hans" w:bidi="ar-SA"/>
        </w:rPr>
        <w:t>评价</w:t>
      </w:r>
      <w:bookmarkEnd w:id="141"/>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对于</w:t>
      </w:r>
      <w:r>
        <w:rPr>
          <w:rFonts w:ascii="Times New Roman" w:hAnsi="Times New Roman" w:eastAsia="宋体" w:cs="Times New Roman"/>
          <w:bCs/>
          <w:sz w:val="24"/>
          <w:szCs w:val="32"/>
        </w:rPr>
        <w:t>已经</w:t>
      </w:r>
      <w:r>
        <w:rPr>
          <w:rFonts w:hint="eastAsia" w:ascii="Times New Roman" w:hAnsi="Times New Roman" w:eastAsia="宋体" w:cs="Times New Roman"/>
          <w:bCs/>
          <w:sz w:val="24"/>
          <w:szCs w:val="32"/>
        </w:rPr>
        <w:t>给出</w:t>
      </w:r>
      <w:r>
        <w:rPr>
          <w:rFonts w:ascii="Times New Roman" w:hAnsi="Times New Roman" w:eastAsia="宋体" w:cs="Times New Roman"/>
          <w:bCs/>
          <w:sz w:val="24"/>
          <w:szCs w:val="32"/>
        </w:rPr>
        <w:t>解决方案的问题，处理责任人会发起</w:t>
      </w:r>
      <w:r>
        <w:rPr>
          <w:rFonts w:hint="eastAsia" w:ascii="Times New Roman" w:hAnsi="Times New Roman" w:eastAsia="宋体" w:cs="Times New Roman"/>
          <w:bCs/>
          <w:sz w:val="24"/>
          <w:szCs w:val="32"/>
        </w:rPr>
        <w:t>申请</w:t>
      </w:r>
      <w:r>
        <w:rPr>
          <w:rFonts w:ascii="Times New Roman" w:hAnsi="Times New Roman" w:eastAsia="宋体" w:cs="Times New Roman"/>
          <w:bCs/>
          <w:sz w:val="24"/>
          <w:szCs w:val="32"/>
        </w:rPr>
        <w:t>关闭，对于申请关闭的问题，如果</w:t>
      </w:r>
      <w:r>
        <w:rPr>
          <w:rFonts w:hint="eastAsia" w:ascii="Times New Roman" w:hAnsi="Times New Roman" w:eastAsia="宋体" w:cs="Times New Roman"/>
          <w:bCs/>
          <w:sz w:val="24"/>
          <w:szCs w:val="32"/>
        </w:rPr>
        <w:t>提问人</w:t>
      </w:r>
      <w:r>
        <w:rPr>
          <w:rFonts w:ascii="Times New Roman" w:hAnsi="Times New Roman" w:eastAsia="宋体" w:cs="Times New Roman"/>
          <w:bCs/>
          <w:sz w:val="24"/>
          <w:szCs w:val="32"/>
        </w:rPr>
        <w:t>认为</w:t>
      </w:r>
      <w:r>
        <w:rPr>
          <w:rFonts w:hint="eastAsia" w:ascii="Times New Roman" w:hAnsi="Times New Roman" w:eastAsia="宋体" w:cs="Times New Roman"/>
          <w:bCs/>
          <w:sz w:val="24"/>
          <w:szCs w:val="32"/>
        </w:rPr>
        <w:t>没有</w:t>
      </w:r>
      <w:r>
        <w:rPr>
          <w:rFonts w:ascii="Times New Roman" w:hAnsi="Times New Roman" w:eastAsia="宋体" w:cs="Times New Roman"/>
          <w:bCs/>
          <w:sz w:val="24"/>
          <w:szCs w:val="32"/>
        </w:rPr>
        <w:t>达到解决目标，可</w:t>
      </w:r>
      <w:r>
        <w:rPr>
          <w:rFonts w:hint="eastAsia" w:ascii="Times New Roman" w:hAnsi="Times New Roman" w:eastAsia="宋体" w:cs="Times New Roman"/>
          <w:bCs/>
          <w:sz w:val="24"/>
          <w:szCs w:val="32"/>
        </w:rPr>
        <w:t>写明</w:t>
      </w:r>
      <w:r>
        <w:rPr>
          <w:rFonts w:ascii="Times New Roman" w:hAnsi="Times New Roman" w:eastAsia="宋体" w:cs="Times New Roman"/>
          <w:bCs/>
          <w:sz w:val="24"/>
          <w:szCs w:val="32"/>
        </w:rPr>
        <w:t>原因后驳回申请关闭，</w:t>
      </w:r>
      <w:r>
        <w:rPr>
          <w:rFonts w:hint="eastAsia" w:ascii="Times New Roman" w:hAnsi="Times New Roman" w:eastAsia="宋体" w:cs="Times New Roman"/>
          <w:bCs/>
          <w:sz w:val="24"/>
          <w:szCs w:val="32"/>
        </w:rPr>
        <w:t>公司</w:t>
      </w:r>
      <w:r>
        <w:rPr>
          <w:rFonts w:ascii="Times New Roman" w:hAnsi="Times New Roman" w:eastAsia="宋体" w:cs="Times New Roman"/>
          <w:bCs/>
          <w:sz w:val="24"/>
          <w:szCs w:val="32"/>
        </w:rPr>
        <w:t>将</w:t>
      </w:r>
      <w:r>
        <w:rPr>
          <w:rFonts w:hint="eastAsia" w:ascii="Times New Roman" w:hAnsi="Times New Roman" w:eastAsia="宋体" w:cs="Times New Roman"/>
          <w:bCs/>
          <w:sz w:val="24"/>
          <w:szCs w:val="32"/>
        </w:rPr>
        <w:t>根据</w:t>
      </w:r>
      <w:r>
        <w:rPr>
          <w:rFonts w:ascii="Times New Roman" w:hAnsi="Times New Roman" w:eastAsia="宋体" w:cs="Times New Roman"/>
          <w:bCs/>
          <w:sz w:val="24"/>
          <w:szCs w:val="32"/>
        </w:rPr>
        <w:t>驳回原因继续解决，直到</w:t>
      </w:r>
      <w:r>
        <w:rPr>
          <w:rFonts w:hint="eastAsia" w:ascii="Times New Roman" w:hAnsi="Times New Roman" w:eastAsia="宋体" w:cs="Times New Roman"/>
          <w:bCs/>
          <w:sz w:val="24"/>
          <w:szCs w:val="32"/>
        </w:rPr>
        <w:t>问题得到</w:t>
      </w:r>
      <w:r>
        <w:rPr>
          <w:rFonts w:ascii="Times New Roman" w:hAnsi="Times New Roman" w:eastAsia="宋体" w:cs="Times New Roman"/>
          <w:bCs/>
          <w:sz w:val="24"/>
          <w:szCs w:val="32"/>
        </w:rPr>
        <w:t>最终解决为止，如下图所示：</w:t>
      </w:r>
    </w:p>
    <w:p>
      <w:pPr>
        <w:adjustRightInd w:val="0"/>
        <w:snapToGrid w:val="0"/>
        <w:ind w:firstLine="480"/>
        <w:jc w:val="center"/>
        <w:rPr>
          <w:rFonts w:ascii="Times New Roman" w:hAnsi="Times New Roman" w:eastAsia="宋体" w:cs="Times New Roman"/>
          <w:kern w:val="2"/>
          <w:sz w:val="28"/>
          <w:szCs w:val="22"/>
          <w:lang w:val="en-US" w:eastAsia="zh-CN" w:bidi="ar-SA"/>
        </w:rPr>
      </w:pPr>
      <w:r>
        <w:rPr>
          <w:rFonts w:ascii="Times New Roman" w:hAnsi="Times New Roman" w:eastAsia="宋体" w:cs="Times New Roman"/>
          <w:kern w:val="2"/>
          <w:sz w:val="24"/>
          <w:szCs w:val="22"/>
          <w:lang w:val="en-US" w:eastAsia="zh-CN" w:bidi="ar-SA"/>
        </w:rPr>
        <w:drawing>
          <wp:inline distT="0" distB="0" distL="0" distR="0">
            <wp:extent cx="5274310" cy="428625"/>
            <wp:effectExtent l="0" t="0" r="2540" b="9525"/>
            <wp:docPr id="1273312834" name="图片 127331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312834" name="图片 12733128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428625"/>
                    </a:xfrm>
                    <a:prstGeom prst="rect">
                      <a:avLst/>
                    </a:prstGeom>
                    <a:noFill/>
                    <a:ln>
                      <a:noFill/>
                    </a:ln>
                  </pic:spPr>
                </pic:pic>
              </a:graphicData>
            </a:graphic>
          </wp:inline>
        </w:drawing>
      </w:r>
    </w:p>
    <w:p>
      <w:pPr>
        <w:adjustRightInd w:val="0"/>
        <w:snapToGrid w:val="0"/>
        <w:spacing w:line="360" w:lineRule="auto"/>
        <w:ind w:firstLine="480" w:firstLineChars="200"/>
        <w:rPr>
          <w:rFonts w:hint="eastAsia" w:ascii="宋体" w:hAnsi="宋体" w:eastAsia="宋体" w:cs="Times New Roman"/>
          <w:bCs/>
          <w:sz w:val="24"/>
          <w:szCs w:val="28"/>
        </w:rPr>
      </w:pPr>
      <w:r>
        <w:rPr>
          <w:rFonts w:hint="eastAsia" w:ascii="宋体" w:hAnsi="宋体" w:eastAsia="宋体" w:cs="Times New Roman"/>
          <w:bCs/>
          <w:sz w:val="24"/>
          <w:szCs w:val="28"/>
        </w:rPr>
        <w:t>对于</w:t>
      </w:r>
      <w:r>
        <w:rPr>
          <w:rFonts w:ascii="宋体" w:hAnsi="宋体" w:eastAsia="宋体" w:cs="Times New Roman"/>
          <w:bCs/>
          <w:sz w:val="24"/>
          <w:szCs w:val="28"/>
        </w:rPr>
        <w:t>已达到处理要求的问题，</w:t>
      </w:r>
      <w:r>
        <w:rPr>
          <w:rFonts w:hint="eastAsia" w:ascii="宋体" w:hAnsi="宋体" w:eastAsia="宋体" w:cs="Times New Roman"/>
          <w:bCs/>
          <w:sz w:val="24"/>
          <w:szCs w:val="28"/>
        </w:rPr>
        <w:t>用户</w:t>
      </w:r>
      <w:r>
        <w:rPr>
          <w:rFonts w:ascii="宋体" w:hAnsi="宋体" w:eastAsia="宋体" w:cs="Times New Roman"/>
          <w:bCs/>
          <w:sz w:val="24"/>
          <w:szCs w:val="28"/>
        </w:rPr>
        <w:t>可以进行关闭，</w:t>
      </w:r>
      <w:r>
        <w:rPr>
          <w:rFonts w:hint="eastAsia" w:ascii="宋体" w:hAnsi="宋体" w:eastAsia="宋体" w:cs="Times New Roman"/>
          <w:bCs/>
          <w:sz w:val="24"/>
          <w:szCs w:val="28"/>
        </w:rPr>
        <w:t>并且</w:t>
      </w:r>
      <w:r>
        <w:rPr>
          <w:rFonts w:ascii="宋体" w:hAnsi="宋体" w:eastAsia="宋体" w:cs="Times New Roman"/>
          <w:bCs/>
          <w:sz w:val="24"/>
          <w:szCs w:val="28"/>
        </w:rPr>
        <w:t>该问题</w:t>
      </w:r>
      <w:r>
        <w:rPr>
          <w:rFonts w:hint="eastAsia" w:ascii="宋体" w:hAnsi="宋体" w:eastAsia="宋体" w:cs="Times New Roman"/>
          <w:bCs/>
          <w:sz w:val="24"/>
          <w:szCs w:val="28"/>
        </w:rPr>
        <w:t>只能</w:t>
      </w:r>
      <w:r>
        <w:rPr>
          <w:rFonts w:ascii="宋体" w:hAnsi="宋体" w:eastAsia="宋体" w:cs="Times New Roman"/>
          <w:bCs/>
          <w:sz w:val="24"/>
          <w:szCs w:val="28"/>
        </w:rPr>
        <w:t>由用户进行关闭</w:t>
      </w:r>
      <w:r>
        <w:rPr>
          <w:rFonts w:hint="eastAsia" w:ascii="宋体" w:hAnsi="宋体" w:eastAsia="宋体" w:cs="Times New Roman"/>
          <w:bCs/>
          <w:sz w:val="24"/>
          <w:szCs w:val="28"/>
        </w:rPr>
        <w:t>。</w:t>
      </w:r>
    </w:p>
    <w:p>
      <w:pPr>
        <w:adjustRightInd w:val="0"/>
        <w:snapToGrid w:val="0"/>
        <w:spacing w:line="360" w:lineRule="auto"/>
        <w:ind w:firstLine="480" w:firstLineChars="200"/>
        <w:rPr>
          <w:rFonts w:ascii="Times New Roman" w:hAnsi="Times New Roman" w:eastAsia="宋体" w:cs="Times New Roman"/>
          <w:bCs/>
          <w:sz w:val="24"/>
          <w:szCs w:val="32"/>
        </w:rPr>
      </w:pPr>
      <w:r>
        <w:rPr>
          <w:rFonts w:ascii="Times New Roman" w:hAnsi="Times New Roman" w:eastAsia="宋体" w:cs="Times New Roman"/>
          <w:bCs/>
          <w:sz w:val="24"/>
          <w:szCs w:val="32"/>
        </w:rPr>
        <w:drawing>
          <wp:inline distT="0" distB="0" distL="0" distR="0">
            <wp:extent cx="4961255" cy="2425700"/>
            <wp:effectExtent l="209550" t="171450" r="201295" b="260350"/>
            <wp:docPr id="1999026476" name="图片 199902647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26476" name="图片 1999026476" descr="图形用户界面, 应用程序&#10;&#10;描述已自动生成"/>
                    <pic:cNvPicPr>
                      <a:picLocks noChangeAspect="1"/>
                    </pic:cNvPicPr>
                  </pic:nvPicPr>
                  <pic:blipFill>
                    <a:blip r:embed="rId15"/>
                    <a:stretch>
                      <a:fillRect/>
                    </a:stretch>
                  </pic:blipFill>
                  <pic:spPr>
                    <a:xfrm>
                      <a:off x="0" y="0"/>
                      <a:ext cx="4961255" cy="2425700"/>
                    </a:xfrm>
                    <a:prstGeom prst="roundRect">
                      <a:avLst>
                        <a:gd name="adj" fmla="val 2583"/>
                      </a:avLst>
                    </a:prstGeom>
                    <a:solidFill>
                      <a:srgbClr val="FFFFFF">
                        <a:shade val="85000"/>
                      </a:srgbClr>
                    </a:solidFill>
                    <a:ln>
                      <a:noFill/>
                    </a:ln>
                    <a:effectLst>
                      <a:outerShdw blurRad="254000" dist="50800" dir="5400000" algn="ctr" rotWithShape="0">
                        <a:sysClr val="windowText" lastClr="000000">
                          <a:alpha val="36000"/>
                        </a:sysClr>
                      </a:outerShdw>
                      <a:reflection blurRad="12700" stA="38000" endPos="13000" dist="5000" dir="5400000" sy="-100000" algn="bl" rotWithShape="0"/>
                    </a:effectLst>
                  </pic:spPr>
                </pic:pic>
              </a:graphicData>
            </a:graphic>
          </wp:inline>
        </w:drawing>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在问题关闭</w:t>
      </w:r>
      <w:r>
        <w:rPr>
          <w:rFonts w:ascii="Times New Roman" w:hAnsi="Times New Roman" w:eastAsia="宋体" w:cs="Times New Roman"/>
          <w:bCs/>
          <w:sz w:val="24"/>
          <w:szCs w:val="32"/>
        </w:rPr>
        <w:t>时，</w:t>
      </w:r>
      <w:r>
        <w:rPr>
          <w:rFonts w:hint="eastAsia" w:ascii="Times New Roman" w:hAnsi="Times New Roman" w:eastAsia="宋体" w:cs="Times New Roman"/>
          <w:bCs/>
          <w:sz w:val="24"/>
          <w:szCs w:val="32"/>
        </w:rPr>
        <w:t>还</w:t>
      </w:r>
      <w:r>
        <w:rPr>
          <w:rFonts w:ascii="Times New Roman" w:hAnsi="Times New Roman" w:eastAsia="宋体" w:cs="Times New Roman"/>
          <w:bCs/>
          <w:sz w:val="24"/>
          <w:szCs w:val="32"/>
        </w:rPr>
        <w:t>可对处理过程进行评价</w:t>
      </w:r>
      <w:r>
        <w:rPr>
          <w:rFonts w:hint="eastAsia" w:ascii="Times New Roman" w:hAnsi="Times New Roman" w:eastAsia="宋体" w:cs="Times New Roman"/>
          <w:bCs/>
          <w:sz w:val="24"/>
          <w:szCs w:val="32"/>
        </w:rPr>
        <w:t>，同时</w:t>
      </w:r>
      <w:r>
        <w:rPr>
          <w:rFonts w:ascii="Times New Roman" w:hAnsi="Times New Roman" w:eastAsia="宋体" w:cs="Times New Roman"/>
          <w:bCs/>
          <w:sz w:val="24"/>
          <w:szCs w:val="32"/>
        </w:rPr>
        <w:t>对问题处理的工作量进行</w:t>
      </w:r>
      <w:r>
        <w:rPr>
          <w:rFonts w:hint="eastAsia" w:ascii="Times New Roman" w:hAnsi="Times New Roman" w:eastAsia="宋体" w:cs="Times New Roman"/>
          <w:bCs/>
          <w:sz w:val="24"/>
          <w:szCs w:val="32"/>
        </w:rPr>
        <w:t>最终</w:t>
      </w:r>
      <w:r>
        <w:rPr>
          <w:rFonts w:ascii="Times New Roman" w:hAnsi="Times New Roman" w:eastAsia="宋体" w:cs="Times New Roman"/>
          <w:bCs/>
          <w:sz w:val="24"/>
          <w:szCs w:val="32"/>
        </w:rPr>
        <w:t>确认。</w:t>
      </w:r>
    </w:p>
    <w:p>
      <w:pPr>
        <w:adjustRightInd w:val="0"/>
        <w:snapToGrid w:val="0"/>
        <w:spacing w:line="360" w:lineRule="auto"/>
        <w:ind w:firstLine="480" w:firstLineChars="200"/>
        <w:rPr>
          <w:rFonts w:ascii="Times New Roman" w:hAnsi="Times New Roman" w:eastAsia="宋体" w:cs="Times New Roman"/>
          <w:bCs/>
          <w:sz w:val="24"/>
          <w:szCs w:val="32"/>
        </w:rPr>
      </w:pPr>
      <w:r>
        <w:rPr>
          <w:rFonts w:ascii="Times New Roman" w:hAnsi="Times New Roman" w:eastAsia="宋体" w:cs="Times New Roman"/>
          <w:bCs/>
          <w:sz w:val="24"/>
          <w:szCs w:val="32"/>
        </w:rPr>
        <w:drawing>
          <wp:inline distT="0" distB="0" distL="0" distR="0">
            <wp:extent cx="5267325" cy="2581275"/>
            <wp:effectExtent l="0" t="0" r="9525" b="9525"/>
            <wp:docPr id="1019681169" name="图片 101968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81169" name="图片 10196811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67325" cy="2581275"/>
                    </a:xfrm>
                    <a:prstGeom prst="rect">
                      <a:avLst/>
                    </a:prstGeom>
                    <a:noFill/>
                    <a:ln>
                      <a:noFill/>
                    </a:ln>
                  </pic:spPr>
                </pic:pic>
              </a:graphicData>
            </a:graphic>
          </wp:inline>
        </w:drawing>
      </w:r>
    </w:p>
    <w:p>
      <w:pPr>
        <w:keepNext/>
        <w:keepLines/>
        <w:numPr>
          <w:ilvl w:val="2"/>
          <w:numId w:val="36"/>
        </w:numPr>
        <w:adjustRightInd w:val="0"/>
        <w:snapToGrid w:val="0"/>
        <w:spacing w:before="246" w:beforeLines="50" w:after="246" w:afterLines="50" w:line="360" w:lineRule="auto"/>
        <w:ind w:left="0" w:leftChars="0" w:firstLine="0" w:firstLineChars="0"/>
        <w:outlineLvl w:val="1"/>
        <w:rPr>
          <w:rFonts w:hint="eastAsia" w:ascii="宋体" w:hAnsi="宋体" w:eastAsia="宋体" w:cs="Times New Roman"/>
          <w:b/>
          <w:kern w:val="2"/>
          <w:sz w:val="24"/>
          <w:szCs w:val="24"/>
          <w:lang w:val="en-US" w:eastAsia="zh-Hans" w:bidi="ar-SA"/>
        </w:rPr>
      </w:pPr>
      <w:bookmarkStart w:id="142" w:name="_Toc66217198"/>
      <w:r>
        <w:rPr>
          <w:rFonts w:hint="eastAsia" w:ascii="宋体" w:hAnsi="宋体" w:eastAsia="宋体" w:cs="Times New Roman"/>
          <w:b/>
          <w:kern w:val="2"/>
          <w:sz w:val="24"/>
          <w:szCs w:val="24"/>
          <w:lang w:val="en-US" w:eastAsia="zh-Hans" w:bidi="ar-SA"/>
        </w:rPr>
        <w:t>常见问题</w:t>
      </w:r>
      <w:r>
        <w:rPr>
          <w:rFonts w:ascii="宋体" w:hAnsi="宋体" w:eastAsia="宋体" w:cs="Times New Roman"/>
          <w:b/>
          <w:kern w:val="2"/>
          <w:sz w:val="24"/>
          <w:szCs w:val="24"/>
          <w:lang w:val="en-US" w:eastAsia="zh-Hans" w:bidi="ar-SA"/>
        </w:rPr>
        <w:t>案例库</w:t>
      </w:r>
      <w:bookmarkEnd w:id="142"/>
    </w:p>
    <w:p>
      <w:pPr>
        <w:adjustRightInd w:val="0"/>
        <w:snapToGrid w:val="0"/>
        <w:spacing w:line="360" w:lineRule="auto"/>
        <w:ind w:firstLine="480" w:firstLineChars="200"/>
        <w:rPr>
          <w:rFonts w:hint="eastAsia" w:ascii="宋体" w:hAnsi="宋体" w:eastAsia="宋体" w:cs="Times New Roman"/>
          <w:bCs/>
          <w:sz w:val="24"/>
          <w:szCs w:val="28"/>
        </w:rPr>
      </w:pPr>
      <w:r>
        <w:rPr>
          <w:rFonts w:hint="eastAsia" w:ascii="Times New Roman" w:hAnsi="Times New Roman" w:eastAsia="宋体" w:cs="Times New Roman"/>
          <w:bCs/>
          <w:sz w:val="24"/>
          <w:szCs w:val="32"/>
        </w:rPr>
        <w:t>当</w:t>
      </w:r>
      <w:r>
        <w:rPr>
          <w:rFonts w:ascii="Times New Roman" w:hAnsi="Times New Roman" w:eastAsia="宋体" w:cs="Times New Roman"/>
          <w:bCs/>
          <w:sz w:val="24"/>
          <w:szCs w:val="32"/>
        </w:rPr>
        <w:t>某一问题出现频率过高，或者在</w:t>
      </w:r>
      <w:r>
        <w:rPr>
          <w:rFonts w:hint="eastAsia" w:ascii="Times New Roman" w:hAnsi="Times New Roman" w:eastAsia="宋体" w:cs="Times New Roman"/>
          <w:bCs/>
          <w:sz w:val="24"/>
          <w:szCs w:val="32"/>
        </w:rPr>
        <w:t>服务</w:t>
      </w:r>
      <w:r>
        <w:rPr>
          <w:rFonts w:ascii="Times New Roman" w:hAnsi="Times New Roman" w:eastAsia="宋体" w:cs="Times New Roman"/>
          <w:bCs/>
          <w:sz w:val="24"/>
          <w:szCs w:val="32"/>
        </w:rPr>
        <w:t>过程中比较常见时，将进入常见问题</w:t>
      </w:r>
      <w:r>
        <w:rPr>
          <w:rFonts w:hint="eastAsia" w:ascii="Times New Roman" w:hAnsi="Times New Roman" w:eastAsia="宋体" w:cs="Times New Roman"/>
          <w:bCs/>
          <w:sz w:val="24"/>
          <w:szCs w:val="32"/>
        </w:rPr>
        <w:t>案例库</w:t>
      </w:r>
      <w:r>
        <w:rPr>
          <w:rFonts w:ascii="Times New Roman" w:hAnsi="Times New Roman" w:eastAsia="宋体" w:cs="Times New Roman"/>
          <w:bCs/>
          <w:sz w:val="24"/>
          <w:szCs w:val="32"/>
        </w:rPr>
        <w:t>中</w:t>
      </w:r>
      <w:r>
        <w:rPr>
          <w:rFonts w:hint="eastAsia" w:ascii="Times New Roman" w:hAnsi="Times New Roman" w:eastAsia="宋体" w:cs="Times New Roman"/>
          <w:bCs/>
          <w:sz w:val="24"/>
          <w:szCs w:val="32"/>
        </w:rPr>
        <w:t>。</w:t>
      </w:r>
      <w:r>
        <w:rPr>
          <w:rFonts w:ascii="Times New Roman" w:hAnsi="Times New Roman" w:eastAsia="宋体" w:cs="Times New Roman"/>
          <w:bCs/>
          <w:sz w:val="24"/>
          <w:szCs w:val="32"/>
        </w:rPr>
        <w:t>用户在登记问</w:t>
      </w:r>
      <w:r>
        <w:rPr>
          <w:rFonts w:ascii="宋体" w:hAnsi="宋体" w:eastAsia="宋体" w:cs="Times New Roman"/>
          <w:bCs/>
          <w:sz w:val="24"/>
          <w:szCs w:val="28"/>
        </w:rPr>
        <w:t>题之前，可先行查看所提问题是否在常见问题列表中，如果</w:t>
      </w:r>
      <w:r>
        <w:rPr>
          <w:rFonts w:hint="eastAsia" w:ascii="宋体" w:hAnsi="宋体" w:eastAsia="宋体" w:cs="Times New Roman"/>
          <w:bCs/>
          <w:sz w:val="24"/>
          <w:szCs w:val="28"/>
        </w:rPr>
        <w:t>已经</w:t>
      </w:r>
      <w:r>
        <w:rPr>
          <w:rFonts w:ascii="宋体" w:hAnsi="宋体" w:eastAsia="宋体" w:cs="Times New Roman"/>
          <w:bCs/>
          <w:sz w:val="24"/>
          <w:szCs w:val="28"/>
        </w:rPr>
        <w:t>存在，则可直接参</w:t>
      </w:r>
      <w:r>
        <w:rPr>
          <w:rFonts w:hint="eastAsia" w:ascii="宋体" w:hAnsi="宋体" w:eastAsia="宋体" w:cs="Times New Roman"/>
          <w:bCs/>
          <w:sz w:val="24"/>
          <w:szCs w:val="28"/>
        </w:rPr>
        <w:t>照</w:t>
      </w:r>
      <w:r>
        <w:rPr>
          <w:rFonts w:ascii="宋体" w:hAnsi="宋体" w:eastAsia="宋体" w:cs="Times New Roman"/>
          <w:bCs/>
          <w:sz w:val="24"/>
          <w:szCs w:val="28"/>
        </w:rPr>
        <w:t>问题处理方法</w:t>
      </w:r>
      <w:r>
        <w:rPr>
          <w:rFonts w:hint="eastAsia" w:ascii="宋体" w:hAnsi="宋体" w:eastAsia="宋体" w:cs="Times New Roman"/>
          <w:bCs/>
          <w:sz w:val="24"/>
          <w:szCs w:val="28"/>
        </w:rPr>
        <w:t>；</w:t>
      </w:r>
      <w:r>
        <w:rPr>
          <w:rFonts w:ascii="宋体" w:hAnsi="宋体" w:eastAsia="宋体" w:cs="Times New Roman"/>
          <w:bCs/>
          <w:sz w:val="24"/>
          <w:szCs w:val="28"/>
        </w:rPr>
        <w:t>如果没有</w:t>
      </w:r>
      <w:r>
        <w:rPr>
          <w:rFonts w:hint="eastAsia" w:ascii="宋体" w:hAnsi="宋体" w:eastAsia="宋体" w:cs="Times New Roman"/>
          <w:bCs/>
          <w:sz w:val="24"/>
          <w:szCs w:val="28"/>
        </w:rPr>
        <w:t>出现</w:t>
      </w:r>
      <w:r>
        <w:rPr>
          <w:rFonts w:ascii="宋体" w:hAnsi="宋体" w:eastAsia="宋体" w:cs="Times New Roman"/>
          <w:bCs/>
          <w:sz w:val="24"/>
          <w:szCs w:val="28"/>
        </w:rPr>
        <w:t>，</w:t>
      </w:r>
      <w:r>
        <w:rPr>
          <w:rFonts w:hint="eastAsia" w:ascii="宋体" w:hAnsi="宋体" w:eastAsia="宋体" w:cs="Times New Roman"/>
          <w:bCs/>
          <w:sz w:val="24"/>
          <w:szCs w:val="28"/>
        </w:rPr>
        <w:t>再</w:t>
      </w:r>
      <w:r>
        <w:rPr>
          <w:rFonts w:ascii="宋体" w:hAnsi="宋体" w:eastAsia="宋体" w:cs="Times New Roman"/>
          <w:bCs/>
          <w:sz w:val="24"/>
          <w:szCs w:val="28"/>
        </w:rPr>
        <w:t>继续登记问题</w:t>
      </w:r>
      <w:r>
        <w:rPr>
          <w:rFonts w:hint="eastAsia" w:ascii="宋体" w:hAnsi="宋体" w:eastAsia="宋体" w:cs="Times New Roman"/>
          <w:bCs/>
          <w:sz w:val="24"/>
          <w:szCs w:val="28"/>
        </w:rPr>
        <w:t>。</w:t>
      </w:r>
    </w:p>
    <w:p>
      <w:pPr>
        <w:adjustRightInd w:val="0"/>
        <w:snapToGrid w:val="0"/>
        <w:spacing w:line="360" w:lineRule="auto"/>
        <w:ind w:firstLine="480" w:firstLineChars="200"/>
        <w:rPr>
          <w:rFonts w:ascii="Times New Roman" w:hAnsi="Times New Roman" w:eastAsia="宋体" w:cs="Times New Roman"/>
          <w:bCs/>
          <w:sz w:val="24"/>
          <w:szCs w:val="32"/>
        </w:rPr>
      </w:pPr>
      <w:r>
        <w:rPr>
          <w:rFonts w:ascii="Times New Roman" w:hAnsi="Times New Roman" w:eastAsia="宋体" w:cs="Times New Roman"/>
          <w:bCs/>
          <w:sz w:val="24"/>
          <w:szCs w:val="32"/>
        </w:rPr>
        <w:drawing>
          <wp:inline distT="0" distB="0" distL="0" distR="0">
            <wp:extent cx="4924425" cy="2295525"/>
            <wp:effectExtent l="0" t="0" r="9525" b="9525"/>
            <wp:docPr id="1627591066" name="图片 162759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91066" name="图片 16275910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924425" cy="2295525"/>
                    </a:xfrm>
                    <a:prstGeom prst="rect">
                      <a:avLst/>
                    </a:prstGeom>
                    <a:noFill/>
                    <a:ln>
                      <a:noFill/>
                    </a:ln>
                  </pic:spPr>
                </pic:pic>
              </a:graphicData>
            </a:graphic>
          </wp:inline>
        </w:drawing>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常见</w:t>
      </w:r>
      <w:r>
        <w:rPr>
          <w:rFonts w:ascii="Times New Roman" w:hAnsi="Times New Roman" w:eastAsia="宋体" w:cs="Times New Roman"/>
          <w:bCs/>
          <w:sz w:val="24"/>
          <w:szCs w:val="32"/>
        </w:rPr>
        <w:t>问题列表由</w:t>
      </w:r>
      <w:r>
        <w:rPr>
          <w:rFonts w:hint="eastAsia" w:ascii="Times New Roman" w:hAnsi="Times New Roman" w:eastAsia="宋体" w:cs="Times New Roman"/>
          <w:bCs/>
          <w:sz w:val="24"/>
          <w:szCs w:val="32"/>
        </w:rPr>
        <w:t>总部专家</w:t>
      </w:r>
      <w:r>
        <w:rPr>
          <w:rFonts w:ascii="Times New Roman" w:hAnsi="Times New Roman" w:eastAsia="宋体" w:cs="Times New Roman"/>
          <w:bCs/>
          <w:sz w:val="24"/>
          <w:szCs w:val="32"/>
        </w:rPr>
        <w:t>团队负责维护更新。</w:t>
      </w:r>
    </w:p>
    <w:p>
      <w:pPr>
        <w:keepNext/>
        <w:keepLines/>
        <w:numPr>
          <w:ilvl w:val="2"/>
          <w:numId w:val="36"/>
        </w:numPr>
        <w:adjustRightInd w:val="0"/>
        <w:snapToGrid w:val="0"/>
        <w:spacing w:before="246" w:beforeLines="50" w:after="246" w:afterLines="50" w:line="360" w:lineRule="auto"/>
        <w:ind w:left="0" w:leftChars="0" w:firstLine="0" w:firstLineChars="0"/>
        <w:outlineLvl w:val="1"/>
        <w:rPr>
          <w:rFonts w:hint="eastAsia" w:ascii="宋体" w:hAnsi="宋体" w:eastAsia="宋体" w:cs="Times New Roman"/>
          <w:b/>
          <w:kern w:val="2"/>
          <w:sz w:val="24"/>
          <w:szCs w:val="24"/>
          <w:lang w:val="en-US" w:eastAsia="zh-Hans" w:bidi="ar-SA"/>
        </w:rPr>
      </w:pPr>
      <w:bookmarkStart w:id="143" w:name="_Toc66217199"/>
      <w:r>
        <w:rPr>
          <w:rFonts w:hint="eastAsia" w:ascii="宋体" w:hAnsi="宋体" w:eastAsia="宋体" w:cs="Times New Roman"/>
          <w:b/>
          <w:kern w:val="2"/>
          <w:sz w:val="24"/>
          <w:szCs w:val="24"/>
          <w:lang w:val="en-US" w:eastAsia="zh-Hans" w:bidi="ar-SA"/>
        </w:rPr>
        <w:t>消息通知</w:t>
      </w:r>
      <w:bookmarkEnd w:id="143"/>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线上</w:t>
      </w:r>
      <w:r>
        <w:rPr>
          <w:rFonts w:ascii="Times New Roman" w:hAnsi="Times New Roman" w:eastAsia="宋体" w:cs="Times New Roman"/>
          <w:bCs/>
          <w:sz w:val="24"/>
          <w:szCs w:val="32"/>
        </w:rPr>
        <w:t>服务系统提供多种消息推送方式，可自定义消息接收</w:t>
      </w:r>
      <w:r>
        <w:rPr>
          <w:rFonts w:hint="eastAsia" w:ascii="Times New Roman" w:hAnsi="Times New Roman" w:eastAsia="宋体" w:cs="Times New Roman"/>
          <w:bCs/>
          <w:sz w:val="24"/>
          <w:szCs w:val="32"/>
        </w:rPr>
        <w:t>渠道</w:t>
      </w:r>
      <w:r>
        <w:rPr>
          <w:rFonts w:ascii="Times New Roman" w:hAnsi="Times New Roman" w:eastAsia="宋体" w:cs="Times New Roman"/>
          <w:bCs/>
          <w:sz w:val="24"/>
          <w:szCs w:val="32"/>
        </w:rPr>
        <w:t>、类型、时间节点等，确保系统</w:t>
      </w:r>
      <w:r>
        <w:rPr>
          <w:rFonts w:hint="eastAsia" w:ascii="Times New Roman" w:hAnsi="Times New Roman" w:eastAsia="宋体" w:cs="Times New Roman"/>
          <w:bCs/>
          <w:sz w:val="24"/>
          <w:szCs w:val="32"/>
        </w:rPr>
        <w:t>信息能</w:t>
      </w:r>
      <w:r>
        <w:rPr>
          <w:rFonts w:ascii="Times New Roman" w:hAnsi="Times New Roman" w:eastAsia="宋体" w:cs="Times New Roman"/>
          <w:bCs/>
          <w:sz w:val="24"/>
          <w:szCs w:val="32"/>
        </w:rPr>
        <w:t>及时准确地传达给</w:t>
      </w:r>
      <w:r>
        <w:rPr>
          <w:rFonts w:hint="eastAsia" w:ascii="Times New Roman" w:hAnsi="Times New Roman" w:eastAsia="宋体" w:cs="Times New Roman"/>
          <w:bCs/>
          <w:sz w:val="24"/>
          <w:szCs w:val="32"/>
        </w:rPr>
        <w:t>终端</w:t>
      </w:r>
      <w:r>
        <w:rPr>
          <w:rFonts w:ascii="Times New Roman" w:hAnsi="Times New Roman" w:eastAsia="宋体" w:cs="Times New Roman"/>
          <w:bCs/>
          <w:sz w:val="24"/>
          <w:szCs w:val="32"/>
        </w:rPr>
        <w:t>用户</w:t>
      </w:r>
      <w:r>
        <w:rPr>
          <w:rFonts w:hint="eastAsia" w:ascii="Times New Roman" w:hAnsi="Times New Roman" w:eastAsia="宋体" w:cs="Times New Roman"/>
          <w:bCs/>
          <w:sz w:val="24"/>
          <w:szCs w:val="32"/>
        </w:rPr>
        <w:t>。</w:t>
      </w:r>
    </w:p>
    <w:p>
      <w:pPr>
        <w:keepNext/>
        <w:keepLines/>
        <w:numPr>
          <w:ilvl w:val="2"/>
          <w:numId w:val="36"/>
        </w:numPr>
        <w:adjustRightInd w:val="0"/>
        <w:snapToGrid w:val="0"/>
        <w:spacing w:before="246" w:beforeLines="50" w:after="246" w:afterLines="50" w:line="360" w:lineRule="auto"/>
        <w:ind w:left="0" w:leftChars="0" w:firstLine="0" w:firstLineChars="0"/>
        <w:outlineLvl w:val="1"/>
        <w:rPr>
          <w:rFonts w:ascii="Times New Roman" w:hAnsi="Times New Roman" w:eastAsia="宋体" w:cs="Times New Roman"/>
          <w:b/>
          <w:kern w:val="2"/>
          <w:sz w:val="24"/>
          <w:szCs w:val="21"/>
          <w:lang w:val="en-US" w:eastAsia="zh-CN" w:bidi="ar-SA"/>
        </w:rPr>
      </w:pPr>
      <w:r>
        <w:rPr>
          <w:rFonts w:hint="eastAsia" w:ascii="Times New Roman" w:hAnsi="Times New Roman" w:eastAsia="宋体" w:cs="Times New Roman"/>
          <w:b/>
          <w:kern w:val="2"/>
          <w:sz w:val="24"/>
          <w:szCs w:val="21"/>
          <w:lang w:val="en-US" w:eastAsia="zh-CN" w:bidi="ar-SA"/>
        </w:rPr>
        <w:t>内置</w:t>
      </w:r>
      <w:r>
        <w:rPr>
          <w:rFonts w:ascii="Times New Roman" w:hAnsi="Times New Roman" w:eastAsia="宋体" w:cs="Times New Roman"/>
          <w:b/>
          <w:kern w:val="2"/>
          <w:sz w:val="24"/>
          <w:szCs w:val="21"/>
          <w:lang w:val="en-US" w:eastAsia="zh-CN" w:bidi="ar-SA"/>
        </w:rPr>
        <w:t>消息</w:t>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提供</w:t>
      </w:r>
      <w:r>
        <w:rPr>
          <w:rFonts w:ascii="Times New Roman" w:hAnsi="Times New Roman" w:eastAsia="宋体" w:cs="Times New Roman"/>
          <w:bCs/>
          <w:sz w:val="24"/>
          <w:szCs w:val="32"/>
        </w:rPr>
        <w:t>系统内消息推送功能，</w:t>
      </w:r>
      <w:r>
        <w:rPr>
          <w:rFonts w:hint="eastAsia" w:ascii="Times New Roman" w:hAnsi="Times New Roman" w:eastAsia="宋体" w:cs="Times New Roman"/>
          <w:bCs/>
          <w:sz w:val="24"/>
          <w:szCs w:val="32"/>
        </w:rPr>
        <w:t>通过系统内置</w:t>
      </w:r>
      <w:r>
        <w:rPr>
          <w:rFonts w:ascii="Times New Roman" w:hAnsi="Times New Roman" w:eastAsia="宋体" w:cs="Times New Roman"/>
          <w:bCs/>
          <w:sz w:val="24"/>
          <w:szCs w:val="32"/>
        </w:rPr>
        <w:t>消息模块</w:t>
      </w:r>
      <w:r>
        <w:rPr>
          <w:rFonts w:hint="eastAsia" w:ascii="Times New Roman" w:hAnsi="Times New Roman" w:eastAsia="宋体" w:cs="Times New Roman"/>
          <w:bCs/>
          <w:sz w:val="24"/>
          <w:szCs w:val="32"/>
        </w:rPr>
        <w:t>，</w:t>
      </w:r>
      <w:r>
        <w:rPr>
          <w:rFonts w:ascii="Times New Roman" w:hAnsi="Times New Roman" w:eastAsia="宋体" w:cs="Times New Roman"/>
          <w:bCs/>
          <w:sz w:val="24"/>
          <w:szCs w:val="32"/>
        </w:rPr>
        <w:t>可查看系统内推送的全部消息</w:t>
      </w:r>
      <w:r>
        <w:rPr>
          <w:rFonts w:hint="eastAsia" w:ascii="Times New Roman" w:hAnsi="Times New Roman" w:eastAsia="宋体" w:cs="Times New Roman"/>
          <w:bCs/>
          <w:sz w:val="24"/>
          <w:szCs w:val="32"/>
        </w:rPr>
        <w:t>。</w:t>
      </w:r>
    </w:p>
    <w:p>
      <w:pPr>
        <w:adjustRightInd w:val="0"/>
        <w:snapToGrid w:val="0"/>
        <w:spacing w:line="360" w:lineRule="auto"/>
        <w:ind w:firstLine="480" w:firstLineChars="200"/>
        <w:rPr>
          <w:rFonts w:ascii="Times New Roman" w:hAnsi="Times New Roman" w:eastAsia="宋体" w:cs="Times New Roman"/>
          <w:bCs/>
          <w:sz w:val="24"/>
          <w:szCs w:val="32"/>
        </w:rPr>
      </w:pPr>
      <w:r>
        <w:rPr>
          <w:rFonts w:ascii="Times New Roman" w:hAnsi="Times New Roman" w:eastAsia="宋体" w:cs="Times New Roman"/>
          <w:bCs/>
          <w:sz w:val="24"/>
          <w:szCs w:val="32"/>
        </w:rPr>
        <w:drawing>
          <wp:inline distT="0" distB="0" distL="0" distR="0">
            <wp:extent cx="5267325" cy="1485900"/>
            <wp:effectExtent l="0" t="0" r="9525" b="0"/>
            <wp:docPr id="1961637139" name="图片 196163713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37139" name="图片 1961637139" descr="图形用户界面, 文本, 应用程序&#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67325" cy="1485900"/>
                    </a:xfrm>
                    <a:prstGeom prst="rect">
                      <a:avLst/>
                    </a:prstGeom>
                    <a:noFill/>
                    <a:ln>
                      <a:noFill/>
                    </a:ln>
                  </pic:spPr>
                </pic:pic>
              </a:graphicData>
            </a:graphic>
          </wp:inline>
        </w:drawing>
      </w:r>
    </w:p>
    <w:p>
      <w:pPr>
        <w:keepNext/>
        <w:keepLines/>
        <w:numPr>
          <w:ilvl w:val="2"/>
          <w:numId w:val="36"/>
        </w:numPr>
        <w:adjustRightInd w:val="0"/>
        <w:snapToGrid w:val="0"/>
        <w:spacing w:before="246" w:beforeLines="50" w:after="246" w:afterLines="50" w:line="360" w:lineRule="auto"/>
        <w:ind w:left="0" w:leftChars="0" w:firstLine="0" w:firstLineChars="0"/>
        <w:outlineLvl w:val="1"/>
        <w:rPr>
          <w:rFonts w:ascii="Times New Roman" w:hAnsi="Times New Roman" w:eastAsia="宋体" w:cs="Times New Roman"/>
          <w:b/>
          <w:kern w:val="2"/>
          <w:sz w:val="24"/>
          <w:szCs w:val="21"/>
          <w:lang w:val="en-US" w:eastAsia="zh-CN" w:bidi="ar-SA"/>
        </w:rPr>
      </w:pPr>
      <w:r>
        <w:rPr>
          <w:rFonts w:hint="eastAsia" w:ascii="Times New Roman" w:hAnsi="Times New Roman" w:eastAsia="宋体" w:cs="Times New Roman"/>
          <w:b/>
          <w:kern w:val="2"/>
          <w:sz w:val="24"/>
          <w:szCs w:val="21"/>
          <w:lang w:val="en-US" w:eastAsia="zh-CN" w:bidi="ar-SA"/>
        </w:rPr>
        <w:t>邮件</w:t>
      </w:r>
      <w:r>
        <w:rPr>
          <w:rFonts w:ascii="Times New Roman" w:hAnsi="Times New Roman" w:eastAsia="宋体" w:cs="Times New Roman"/>
          <w:b/>
          <w:kern w:val="2"/>
          <w:sz w:val="24"/>
          <w:szCs w:val="21"/>
          <w:lang w:val="en-US" w:eastAsia="zh-CN" w:bidi="ar-SA"/>
        </w:rPr>
        <w:t>消息</w:t>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除</w:t>
      </w:r>
      <w:r>
        <w:rPr>
          <w:rFonts w:ascii="Times New Roman" w:hAnsi="Times New Roman" w:eastAsia="宋体" w:cs="Times New Roman"/>
          <w:bCs/>
          <w:sz w:val="24"/>
          <w:szCs w:val="32"/>
        </w:rPr>
        <w:t>系统内置消息外，</w:t>
      </w:r>
      <w:r>
        <w:rPr>
          <w:rFonts w:hint="eastAsia" w:ascii="Times New Roman" w:hAnsi="Times New Roman" w:eastAsia="宋体" w:cs="Times New Roman"/>
          <w:bCs/>
          <w:sz w:val="24"/>
          <w:szCs w:val="32"/>
        </w:rPr>
        <w:t>本</w:t>
      </w:r>
      <w:r>
        <w:rPr>
          <w:rFonts w:ascii="Times New Roman" w:hAnsi="Times New Roman" w:eastAsia="宋体" w:cs="Times New Roman"/>
          <w:bCs/>
          <w:sz w:val="24"/>
          <w:szCs w:val="32"/>
        </w:rPr>
        <w:t>系统还提供邮件推送功能，</w:t>
      </w:r>
      <w:r>
        <w:rPr>
          <w:rFonts w:hint="eastAsia" w:ascii="Times New Roman" w:hAnsi="Times New Roman" w:eastAsia="宋体" w:cs="Times New Roman"/>
          <w:bCs/>
          <w:sz w:val="24"/>
          <w:szCs w:val="32"/>
        </w:rPr>
        <w:t>可</w:t>
      </w:r>
      <w:r>
        <w:rPr>
          <w:rFonts w:ascii="Times New Roman" w:hAnsi="Times New Roman" w:eastAsia="宋体" w:cs="Times New Roman"/>
          <w:bCs/>
          <w:sz w:val="24"/>
          <w:szCs w:val="32"/>
        </w:rPr>
        <w:t>将消息</w:t>
      </w:r>
      <w:r>
        <w:rPr>
          <w:rFonts w:hint="eastAsia" w:ascii="Times New Roman" w:hAnsi="Times New Roman" w:eastAsia="宋体" w:cs="Times New Roman"/>
          <w:bCs/>
          <w:sz w:val="24"/>
          <w:szCs w:val="32"/>
        </w:rPr>
        <w:t>以</w:t>
      </w:r>
      <w:r>
        <w:rPr>
          <w:rFonts w:ascii="Times New Roman" w:hAnsi="Times New Roman" w:eastAsia="宋体" w:cs="Times New Roman"/>
          <w:bCs/>
          <w:sz w:val="24"/>
          <w:szCs w:val="32"/>
        </w:rPr>
        <w:t>邮件形式自动发送到用户的注册邮箱，如下图所示：</w:t>
      </w:r>
    </w:p>
    <w:p>
      <w:pPr>
        <w:adjustRightInd w:val="0"/>
        <w:snapToGrid w:val="0"/>
        <w:spacing w:line="360" w:lineRule="auto"/>
        <w:ind w:firstLine="480" w:firstLineChars="200"/>
        <w:rPr>
          <w:rFonts w:ascii="Times New Roman" w:hAnsi="Times New Roman" w:eastAsia="宋体" w:cs="Times New Roman"/>
          <w:bCs/>
          <w:sz w:val="24"/>
          <w:szCs w:val="32"/>
        </w:rPr>
      </w:pPr>
      <w:r>
        <w:rPr>
          <w:rFonts w:ascii="Times New Roman" w:hAnsi="Times New Roman" w:eastAsia="宋体" w:cs="Times New Roman"/>
          <w:bCs/>
          <w:sz w:val="24"/>
          <w:szCs w:val="32"/>
        </w:rPr>
        <w:drawing>
          <wp:inline distT="0" distB="0" distL="0" distR="0">
            <wp:extent cx="5274310" cy="2160905"/>
            <wp:effectExtent l="0" t="0" r="2540" b="0"/>
            <wp:docPr id="486532123" name="图片 486532123" descr="图形用户界面, 文本, 应用程序, 聊天或短信,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32123" name="图片 486532123" descr="图形用户界面, 文本, 应用程序, 聊天或短信, 电子邮件&#10;&#10;描述已自动生成"/>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4310" cy="2160905"/>
                    </a:xfrm>
                    <a:prstGeom prst="rect">
                      <a:avLst/>
                    </a:prstGeom>
                    <a:noFill/>
                    <a:ln>
                      <a:noFill/>
                    </a:ln>
                  </pic:spPr>
                </pic:pic>
              </a:graphicData>
            </a:graphic>
          </wp:inline>
        </w:drawing>
      </w:r>
    </w:p>
    <w:p>
      <w:pPr>
        <w:keepNext/>
        <w:keepLines/>
        <w:numPr>
          <w:ilvl w:val="2"/>
          <w:numId w:val="36"/>
        </w:numPr>
        <w:adjustRightInd w:val="0"/>
        <w:snapToGrid w:val="0"/>
        <w:spacing w:before="246" w:beforeLines="50" w:after="246" w:afterLines="50" w:line="360" w:lineRule="auto"/>
        <w:ind w:left="0" w:leftChars="0" w:firstLine="0" w:firstLineChars="0"/>
        <w:outlineLvl w:val="1"/>
        <w:rPr>
          <w:rFonts w:ascii="Times New Roman" w:hAnsi="Times New Roman" w:eastAsia="宋体" w:cs="Times New Roman"/>
          <w:b/>
          <w:kern w:val="2"/>
          <w:sz w:val="24"/>
          <w:szCs w:val="21"/>
          <w:lang w:val="en-US" w:eastAsia="zh-CN" w:bidi="ar-SA"/>
        </w:rPr>
      </w:pPr>
      <w:r>
        <w:rPr>
          <w:rFonts w:hint="eastAsia" w:ascii="Times New Roman" w:hAnsi="Times New Roman" w:eastAsia="宋体" w:cs="Times New Roman"/>
          <w:b/>
          <w:kern w:val="2"/>
          <w:sz w:val="24"/>
          <w:szCs w:val="21"/>
          <w:lang w:val="en-US" w:eastAsia="zh-CN" w:bidi="ar-SA"/>
        </w:rPr>
        <w:t>消息设置</w:t>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本</w:t>
      </w:r>
      <w:r>
        <w:rPr>
          <w:rFonts w:ascii="Times New Roman" w:hAnsi="Times New Roman" w:eastAsia="宋体" w:cs="Times New Roman"/>
          <w:bCs/>
          <w:sz w:val="24"/>
          <w:szCs w:val="32"/>
        </w:rPr>
        <w:t>系统提供消息设置功能，可自定义消息的接收渠道、接收</w:t>
      </w:r>
      <w:r>
        <w:rPr>
          <w:rFonts w:hint="eastAsia" w:ascii="Times New Roman" w:hAnsi="Times New Roman" w:eastAsia="宋体" w:cs="Times New Roman"/>
          <w:bCs/>
          <w:sz w:val="24"/>
          <w:szCs w:val="32"/>
        </w:rPr>
        <w:t>消息</w:t>
      </w:r>
      <w:r>
        <w:rPr>
          <w:rFonts w:ascii="Times New Roman" w:hAnsi="Times New Roman" w:eastAsia="宋体" w:cs="Times New Roman"/>
          <w:bCs/>
          <w:sz w:val="24"/>
          <w:szCs w:val="32"/>
        </w:rPr>
        <w:t>类型</w:t>
      </w:r>
      <w:r>
        <w:rPr>
          <w:rFonts w:hint="eastAsia" w:ascii="Times New Roman" w:hAnsi="Times New Roman" w:eastAsia="宋体" w:cs="Times New Roman"/>
          <w:bCs/>
          <w:sz w:val="24"/>
          <w:szCs w:val="32"/>
        </w:rPr>
        <w:t>以及接收</w:t>
      </w:r>
      <w:r>
        <w:rPr>
          <w:rFonts w:ascii="Times New Roman" w:hAnsi="Times New Roman" w:eastAsia="宋体" w:cs="Times New Roman"/>
          <w:bCs/>
          <w:sz w:val="24"/>
          <w:szCs w:val="32"/>
        </w:rPr>
        <w:t>环节，</w:t>
      </w:r>
      <w:r>
        <w:rPr>
          <w:rFonts w:hint="eastAsia" w:ascii="Times New Roman" w:hAnsi="Times New Roman" w:eastAsia="宋体" w:cs="Times New Roman"/>
          <w:bCs/>
          <w:sz w:val="24"/>
          <w:szCs w:val="32"/>
        </w:rPr>
        <w:t>在“个人中心”中</w:t>
      </w:r>
      <w:r>
        <w:rPr>
          <w:rFonts w:ascii="Times New Roman" w:hAnsi="Times New Roman" w:eastAsia="宋体" w:cs="Times New Roman"/>
          <w:bCs/>
          <w:sz w:val="24"/>
          <w:szCs w:val="32"/>
        </w:rPr>
        <w:t>即可设置</w:t>
      </w:r>
      <w:r>
        <w:rPr>
          <w:rFonts w:hint="eastAsia" w:ascii="Times New Roman" w:hAnsi="Times New Roman" w:eastAsia="宋体" w:cs="Times New Roman"/>
          <w:bCs/>
          <w:sz w:val="24"/>
          <w:szCs w:val="32"/>
        </w:rPr>
        <w:t>。</w:t>
      </w:r>
    </w:p>
    <w:p>
      <w:pPr>
        <w:adjustRightInd w:val="0"/>
        <w:snapToGrid w:val="0"/>
        <w:spacing w:line="360" w:lineRule="auto"/>
        <w:ind w:firstLine="480" w:firstLineChars="200"/>
        <w:rPr>
          <w:rFonts w:ascii="Times New Roman" w:hAnsi="Times New Roman" w:eastAsia="宋体" w:cs="Times New Roman"/>
          <w:bCs/>
          <w:sz w:val="24"/>
          <w:szCs w:val="32"/>
        </w:rPr>
      </w:pPr>
      <w:r>
        <w:rPr>
          <w:rFonts w:ascii="Times New Roman" w:hAnsi="Times New Roman" w:eastAsia="宋体" w:cs="Times New Roman"/>
          <w:bCs/>
          <w:sz w:val="24"/>
          <w:szCs w:val="32"/>
        </w:rPr>
        <w:drawing>
          <wp:inline distT="0" distB="0" distL="0" distR="0">
            <wp:extent cx="4857750" cy="2152650"/>
            <wp:effectExtent l="0" t="0" r="0" b="0"/>
            <wp:docPr id="866262871" name="图片 86626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62871" name="图片 8662628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857750" cy="2152650"/>
                    </a:xfrm>
                    <a:prstGeom prst="rect">
                      <a:avLst/>
                    </a:prstGeom>
                    <a:noFill/>
                    <a:ln>
                      <a:noFill/>
                    </a:ln>
                  </pic:spPr>
                </pic:pic>
              </a:graphicData>
            </a:graphic>
          </wp:inline>
        </w:drawing>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进入消息中心设置后，可自定义消息推送渠道及消息类型，默认全选。</w:t>
      </w:r>
    </w:p>
    <w:p>
      <w:pPr>
        <w:adjustRightInd w:val="0"/>
        <w:snapToGrid w:val="0"/>
        <w:spacing w:line="360" w:lineRule="auto"/>
        <w:ind w:firstLine="480" w:firstLineChars="200"/>
        <w:rPr>
          <w:rFonts w:ascii="Times New Roman" w:hAnsi="Times New Roman" w:eastAsia="宋体" w:cs="Times New Roman"/>
          <w:bCs/>
          <w:sz w:val="24"/>
          <w:szCs w:val="32"/>
        </w:rPr>
      </w:pPr>
      <w:r>
        <w:rPr>
          <w:rFonts w:ascii="Times New Roman" w:hAnsi="Times New Roman" w:eastAsia="宋体" w:cs="Times New Roman"/>
          <w:bCs/>
          <w:sz w:val="24"/>
          <w:szCs w:val="32"/>
        </w:rPr>
        <w:drawing>
          <wp:inline distT="0" distB="0" distL="0" distR="0">
            <wp:extent cx="4857750" cy="2524125"/>
            <wp:effectExtent l="0" t="0" r="0" b="9525"/>
            <wp:docPr id="607988125" name="图片 60798812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88125" name="图片 607988125" descr="图形用户界面, 应用程序&#10;&#10;描述已自动生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857750" cy="2524125"/>
                    </a:xfrm>
                    <a:prstGeom prst="rect">
                      <a:avLst/>
                    </a:prstGeom>
                    <a:noFill/>
                    <a:ln>
                      <a:noFill/>
                    </a:ln>
                  </pic:spPr>
                </pic:pic>
              </a:graphicData>
            </a:graphic>
          </wp:inline>
        </w:drawing>
      </w:r>
    </w:p>
    <w:p>
      <w:pPr>
        <w:adjustRightInd w:val="0"/>
        <w:snapToGrid w:val="0"/>
        <w:spacing w:line="360" w:lineRule="auto"/>
        <w:ind w:firstLine="480" w:firstLineChars="200"/>
        <w:rPr>
          <w:rFonts w:ascii="Times New Roman" w:hAnsi="Times New Roman" w:eastAsia="宋体" w:cs="Times New Roman"/>
          <w:bCs/>
          <w:sz w:val="24"/>
          <w:szCs w:val="32"/>
        </w:rPr>
      </w:pPr>
    </w:p>
    <w:p>
      <w:pPr>
        <w:keepNext/>
        <w:keepLines/>
        <w:numPr>
          <w:ilvl w:val="2"/>
          <w:numId w:val="36"/>
        </w:numPr>
        <w:adjustRightInd w:val="0"/>
        <w:snapToGrid w:val="0"/>
        <w:spacing w:before="246" w:beforeLines="50" w:after="246" w:afterLines="50" w:line="360" w:lineRule="auto"/>
        <w:ind w:left="0" w:leftChars="0" w:firstLine="0" w:firstLineChars="0"/>
        <w:outlineLvl w:val="1"/>
        <w:rPr>
          <w:rFonts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投诉处理流程</w:t>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当</w:t>
      </w:r>
      <w:r>
        <w:rPr>
          <w:rFonts w:ascii="Times New Roman" w:hAnsi="Times New Roman" w:eastAsia="宋体" w:cs="Times New Roman"/>
          <w:bCs/>
          <w:sz w:val="24"/>
          <w:szCs w:val="32"/>
        </w:rPr>
        <w:t>服务过程出现重大问题，或用户对</w:t>
      </w:r>
      <w:r>
        <w:rPr>
          <w:rFonts w:hint="eastAsia" w:ascii="Times New Roman" w:hAnsi="Times New Roman" w:eastAsia="宋体" w:cs="Times New Roman"/>
          <w:bCs/>
          <w:sz w:val="24"/>
          <w:szCs w:val="32"/>
        </w:rPr>
        <w:t>整个</w:t>
      </w:r>
      <w:r>
        <w:rPr>
          <w:rFonts w:ascii="Times New Roman" w:hAnsi="Times New Roman" w:eastAsia="宋体" w:cs="Times New Roman"/>
          <w:bCs/>
          <w:sz w:val="24"/>
          <w:szCs w:val="32"/>
        </w:rPr>
        <w:t>服务体系不满意时，用户可以</w:t>
      </w:r>
      <w:r>
        <w:rPr>
          <w:rFonts w:hint="eastAsia" w:ascii="Times New Roman" w:hAnsi="Times New Roman" w:eastAsia="宋体" w:cs="Times New Roman"/>
          <w:bCs/>
          <w:sz w:val="24"/>
          <w:szCs w:val="32"/>
        </w:rPr>
        <w:t>登录</w:t>
      </w:r>
      <w:r>
        <w:rPr>
          <w:rFonts w:ascii="Times New Roman" w:hAnsi="Times New Roman" w:eastAsia="宋体" w:cs="Times New Roman"/>
          <w:bCs/>
          <w:sz w:val="24"/>
          <w:szCs w:val="32"/>
        </w:rPr>
        <w:t>小助手系统发起线上投诉，</w:t>
      </w:r>
      <w:r>
        <w:rPr>
          <w:rFonts w:hint="eastAsia" w:ascii="Times New Roman" w:hAnsi="Times New Roman" w:eastAsia="宋体" w:cs="Times New Roman"/>
          <w:bCs/>
          <w:sz w:val="24"/>
          <w:szCs w:val="32"/>
        </w:rPr>
        <w:t>当</w:t>
      </w:r>
      <w:r>
        <w:rPr>
          <w:rFonts w:ascii="Times New Roman" w:hAnsi="Times New Roman" w:eastAsia="宋体" w:cs="Times New Roman"/>
          <w:bCs/>
          <w:sz w:val="24"/>
          <w:szCs w:val="32"/>
        </w:rPr>
        <w:t>用户</w:t>
      </w:r>
      <w:r>
        <w:rPr>
          <w:rFonts w:hint="eastAsia" w:ascii="Times New Roman" w:hAnsi="Times New Roman" w:eastAsia="宋体" w:cs="Times New Roman"/>
          <w:bCs/>
          <w:sz w:val="24"/>
          <w:szCs w:val="32"/>
        </w:rPr>
        <w:t>提交投诉后，会由公司专业运营团队进行跟踪处理，受理投诉内容，并及时反馈解决进度及解决方案，直至用户满意并主动关闭投诉为止。</w:t>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投诉</w:t>
      </w:r>
      <w:r>
        <w:rPr>
          <w:rFonts w:ascii="Times New Roman" w:hAnsi="Times New Roman" w:eastAsia="宋体" w:cs="Times New Roman"/>
          <w:bCs/>
          <w:sz w:val="24"/>
          <w:szCs w:val="32"/>
        </w:rPr>
        <w:t>处理流程：</w:t>
      </w:r>
    </w:p>
    <w:p>
      <w:pPr>
        <w:adjustRightInd w:val="0"/>
        <w:snapToGrid w:val="0"/>
        <w:jc w:val="center"/>
        <w:rPr>
          <w:rFonts w:ascii="Times New Roman" w:hAnsi="Times New Roman" w:eastAsia="宋体" w:cs="Times New Roman"/>
          <w:kern w:val="2"/>
          <w:sz w:val="24"/>
          <w:szCs w:val="22"/>
          <w:lang w:val="en-US" w:eastAsia="zh-CN" w:bidi="ar-SA"/>
        </w:rPr>
      </w:pPr>
      <w:r>
        <w:rPr>
          <w:rFonts w:ascii="Times New Roman" w:hAnsi="Times New Roman" w:eastAsia="宋体" w:cs="Times New Roman"/>
          <w:kern w:val="2"/>
          <w:sz w:val="24"/>
          <w:szCs w:val="22"/>
          <w:lang w:val="en-US" w:eastAsia="zh-CN" w:bidi="ar-SA"/>
        </w:rPr>
        <w:object>
          <v:shape id="_x0000_i1026" o:spt="75" type="#_x0000_t75" style="height:291pt;width:454.5pt;" o:ole="t" filled="f" coordsize="21600,21600">
            <v:path/>
            <v:fill on="f" focussize="0,0"/>
            <v:stroke/>
            <v:imagedata r:id="rId23" o:title=""/>
            <o:lock v:ext="edit" aspectratio="t"/>
            <w10:wrap type="none"/>
            <w10:anchorlock/>
          </v:shape>
          <o:OLEObject Type="Embed" ProgID="Visio.Drawing.15" ShapeID="_x0000_i1026" DrawAspect="Content" ObjectID="_1468075726" r:id="rId22">
            <o:LockedField>false</o:LockedField>
          </o:OLEObject>
        </w:object>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用户通过</w:t>
      </w:r>
      <w:r>
        <w:rPr>
          <w:rFonts w:ascii="Times New Roman" w:hAnsi="Times New Roman" w:eastAsia="宋体" w:cs="Times New Roman"/>
          <w:bCs/>
          <w:sz w:val="24"/>
          <w:szCs w:val="32"/>
        </w:rPr>
        <w:t>线上服务的方式，在小助手中</w:t>
      </w:r>
      <w:r>
        <w:rPr>
          <w:rFonts w:hint="eastAsia" w:ascii="Times New Roman" w:hAnsi="Times New Roman" w:eastAsia="宋体" w:cs="Times New Roman"/>
          <w:bCs/>
          <w:sz w:val="24"/>
          <w:szCs w:val="32"/>
        </w:rPr>
        <w:t>发起投诉</w:t>
      </w:r>
      <w:r>
        <w:rPr>
          <w:rFonts w:ascii="Times New Roman" w:hAnsi="Times New Roman" w:eastAsia="宋体" w:cs="Times New Roman"/>
          <w:bCs/>
          <w:sz w:val="24"/>
          <w:szCs w:val="32"/>
        </w:rPr>
        <w:t>后，将进入对应的</w:t>
      </w:r>
      <w:r>
        <w:rPr>
          <w:rFonts w:hint="eastAsia" w:ascii="Times New Roman" w:hAnsi="Times New Roman" w:eastAsia="宋体" w:cs="Times New Roman"/>
          <w:bCs/>
          <w:sz w:val="24"/>
          <w:szCs w:val="32"/>
        </w:rPr>
        <w:t>服务</w:t>
      </w:r>
      <w:r>
        <w:rPr>
          <w:rFonts w:ascii="Times New Roman" w:hAnsi="Times New Roman" w:eastAsia="宋体" w:cs="Times New Roman"/>
          <w:bCs/>
          <w:sz w:val="24"/>
          <w:szCs w:val="32"/>
        </w:rPr>
        <w:t>处理流程</w:t>
      </w:r>
      <w:r>
        <w:rPr>
          <w:rFonts w:hint="eastAsia" w:ascii="Times New Roman" w:hAnsi="Times New Roman" w:eastAsia="宋体" w:cs="Times New Roman"/>
          <w:bCs/>
          <w:sz w:val="24"/>
          <w:szCs w:val="32"/>
        </w:rPr>
        <w:t>，用户</w:t>
      </w:r>
      <w:r>
        <w:rPr>
          <w:rFonts w:ascii="Times New Roman" w:hAnsi="Times New Roman" w:eastAsia="宋体" w:cs="Times New Roman"/>
          <w:bCs/>
          <w:sz w:val="24"/>
          <w:szCs w:val="32"/>
        </w:rPr>
        <w:t>可全程查看投诉的处理进度及结果。</w:t>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1）用户</w:t>
      </w:r>
      <w:r>
        <w:rPr>
          <w:rFonts w:ascii="Times New Roman" w:hAnsi="Times New Roman" w:eastAsia="宋体" w:cs="Times New Roman"/>
          <w:bCs/>
          <w:sz w:val="24"/>
          <w:szCs w:val="32"/>
        </w:rPr>
        <w:t>发起投诉后，会由公司总部运营</w:t>
      </w:r>
      <w:r>
        <w:rPr>
          <w:rFonts w:hint="eastAsia" w:ascii="Times New Roman" w:hAnsi="Times New Roman" w:eastAsia="宋体" w:cs="Times New Roman"/>
          <w:bCs/>
          <w:sz w:val="24"/>
          <w:szCs w:val="32"/>
        </w:rPr>
        <w:t>专员</w:t>
      </w:r>
      <w:r>
        <w:rPr>
          <w:rFonts w:ascii="Times New Roman" w:hAnsi="Times New Roman" w:eastAsia="宋体" w:cs="Times New Roman"/>
          <w:bCs/>
          <w:sz w:val="24"/>
          <w:szCs w:val="32"/>
        </w:rPr>
        <w:t>先对用户进行电话沟通，了解投诉的问题及投诉原因等详细情况，</w:t>
      </w:r>
      <w:r>
        <w:rPr>
          <w:rFonts w:hint="eastAsia" w:ascii="Times New Roman" w:hAnsi="Times New Roman" w:eastAsia="宋体" w:cs="Times New Roman"/>
          <w:bCs/>
          <w:sz w:val="24"/>
          <w:szCs w:val="32"/>
        </w:rPr>
        <w:t>然后</w:t>
      </w:r>
      <w:r>
        <w:rPr>
          <w:rFonts w:ascii="Times New Roman" w:hAnsi="Times New Roman" w:eastAsia="宋体" w:cs="Times New Roman"/>
          <w:bCs/>
          <w:sz w:val="24"/>
          <w:szCs w:val="32"/>
        </w:rPr>
        <w:t>在系统中进行受理。</w:t>
      </w:r>
    </w:p>
    <w:p>
      <w:pPr>
        <w:adjustRightInd w:val="0"/>
        <w:snapToGrid w:val="0"/>
        <w:spacing w:line="360" w:lineRule="auto"/>
        <w:ind w:firstLine="480" w:firstLineChars="200"/>
        <w:rPr>
          <w:rFonts w:ascii="Times New Roman" w:hAnsi="Times New Roman" w:eastAsia="宋体" w:cs="Times New Roman"/>
          <w:bCs/>
          <w:sz w:val="24"/>
          <w:szCs w:val="32"/>
        </w:rPr>
      </w:pPr>
      <w:r>
        <w:rPr>
          <w:rFonts w:ascii="Times New Roman" w:hAnsi="Times New Roman" w:eastAsia="宋体" w:cs="Times New Roman"/>
          <w:bCs/>
          <w:sz w:val="24"/>
          <w:szCs w:val="32"/>
        </w:rPr>
        <w:t>2</w:t>
      </w:r>
      <w:r>
        <w:rPr>
          <w:rFonts w:hint="eastAsia" w:ascii="Times New Roman" w:hAnsi="Times New Roman" w:eastAsia="宋体" w:cs="Times New Roman"/>
          <w:bCs/>
          <w:sz w:val="24"/>
          <w:szCs w:val="32"/>
        </w:rPr>
        <w:t>）总部运营专员</w:t>
      </w:r>
      <w:r>
        <w:rPr>
          <w:rFonts w:ascii="Times New Roman" w:hAnsi="Times New Roman" w:eastAsia="宋体" w:cs="Times New Roman"/>
          <w:bCs/>
          <w:sz w:val="24"/>
          <w:szCs w:val="32"/>
        </w:rPr>
        <w:t>受理后，运营</w:t>
      </w:r>
      <w:r>
        <w:rPr>
          <w:rFonts w:hint="eastAsia" w:ascii="Times New Roman" w:hAnsi="Times New Roman" w:eastAsia="宋体" w:cs="Times New Roman"/>
          <w:bCs/>
          <w:sz w:val="24"/>
          <w:szCs w:val="32"/>
        </w:rPr>
        <w:t>专员</w:t>
      </w:r>
      <w:r>
        <w:rPr>
          <w:rFonts w:ascii="Times New Roman" w:hAnsi="Times New Roman" w:eastAsia="宋体" w:cs="Times New Roman"/>
          <w:bCs/>
          <w:sz w:val="24"/>
          <w:szCs w:val="32"/>
        </w:rPr>
        <w:t>会召集该投诉事项的所有责任人成立投诉</w:t>
      </w:r>
      <w:r>
        <w:rPr>
          <w:rFonts w:hint="eastAsia" w:ascii="Times New Roman" w:hAnsi="Times New Roman" w:eastAsia="宋体" w:cs="Times New Roman"/>
          <w:bCs/>
          <w:sz w:val="24"/>
          <w:szCs w:val="32"/>
        </w:rPr>
        <w:t>处理小组</w:t>
      </w:r>
      <w:r>
        <w:rPr>
          <w:rFonts w:ascii="Times New Roman" w:hAnsi="Times New Roman" w:eastAsia="宋体" w:cs="Times New Roman"/>
          <w:bCs/>
          <w:sz w:val="24"/>
          <w:szCs w:val="32"/>
        </w:rPr>
        <w:t>，</w:t>
      </w:r>
      <w:r>
        <w:rPr>
          <w:rFonts w:hint="eastAsia" w:ascii="Times New Roman" w:hAnsi="Times New Roman" w:eastAsia="宋体" w:cs="Times New Roman"/>
          <w:bCs/>
          <w:sz w:val="24"/>
          <w:szCs w:val="32"/>
        </w:rPr>
        <w:t>深入</w:t>
      </w:r>
      <w:r>
        <w:rPr>
          <w:rFonts w:ascii="Times New Roman" w:hAnsi="Times New Roman" w:eastAsia="宋体" w:cs="Times New Roman"/>
          <w:bCs/>
          <w:sz w:val="24"/>
          <w:szCs w:val="32"/>
        </w:rPr>
        <w:t>分析投诉</w:t>
      </w:r>
      <w:r>
        <w:rPr>
          <w:rFonts w:hint="eastAsia" w:ascii="Times New Roman" w:hAnsi="Times New Roman" w:eastAsia="宋体" w:cs="Times New Roman"/>
          <w:bCs/>
          <w:sz w:val="24"/>
          <w:szCs w:val="32"/>
        </w:rPr>
        <w:t>事项</w:t>
      </w:r>
      <w:r>
        <w:rPr>
          <w:rFonts w:ascii="Times New Roman" w:hAnsi="Times New Roman" w:eastAsia="宋体" w:cs="Times New Roman"/>
          <w:bCs/>
          <w:sz w:val="24"/>
          <w:szCs w:val="32"/>
        </w:rPr>
        <w:t>及其产生的根本原因</w:t>
      </w:r>
      <w:r>
        <w:rPr>
          <w:rFonts w:hint="eastAsia" w:ascii="Times New Roman" w:hAnsi="Times New Roman" w:eastAsia="宋体" w:cs="Times New Roman"/>
          <w:bCs/>
          <w:sz w:val="24"/>
          <w:szCs w:val="32"/>
        </w:rPr>
        <w:t>，</w:t>
      </w:r>
      <w:r>
        <w:rPr>
          <w:rFonts w:ascii="Times New Roman" w:hAnsi="Times New Roman" w:eastAsia="宋体" w:cs="Times New Roman"/>
          <w:bCs/>
          <w:sz w:val="24"/>
          <w:szCs w:val="32"/>
        </w:rPr>
        <w:t>在此期间运营</w:t>
      </w:r>
      <w:r>
        <w:rPr>
          <w:rFonts w:hint="eastAsia" w:ascii="Times New Roman" w:hAnsi="Times New Roman" w:eastAsia="宋体" w:cs="Times New Roman"/>
          <w:bCs/>
          <w:sz w:val="24"/>
          <w:szCs w:val="32"/>
        </w:rPr>
        <w:t>专员</w:t>
      </w:r>
      <w:r>
        <w:rPr>
          <w:rFonts w:ascii="Times New Roman" w:hAnsi="Times New Roman" w:eastAsia="宋体" w:cs="Times New Roman"/>
          <w:bCs/>
          <w:sz w:val="24"/>
          <w:szCs w:val="32"/>
        </w:rPr>
        <w:t>会及时</w:t>
      </w:r>
      <w:r>
        <w:rPr>
          <w:rFonts w:hint="eastAsia" w:ascii="Times New Roman" w:hAnsi="Times New Roman" w:eastAsia="宋体" w:cs="Times New Roman"/>
          <w:bCs/>
          <w:sz w:val="24"/>
          <w:szCs w:val="32"/>
        </w:rPr>
        <w:t>与</w:t>
      </w:r>
      <w:r>
        <w:rPr>
          <w:rFonts w:ascii="Times New Roman" w:hAnsi="Times New Roman" w:eastAsia="宋体" w:cs="Times New Roman"/>
          <w:bCs/>
          <w:sz w:val="24"/>
          <w:szCs w:val="32"/>
        </w:rPr>
        <w:t>用户保持沟通，告知投诉的当前处理进展，</w:t>
      </w:r>
      <w:r>
        <w:rPr>
          <w:rFonts w:hint="eastAsia" w:ascii="Times New Roman" w:hAnsi="Times New Roman" w:eastAsia="宋体" w:cs="Times New Roman"/>
          <w:bCs/>
          <w:sz w:val="24"/>
          <w:szCs w:val="32"/>
        </w:rPr>
        <w:t>直到形成投诉</w:t>
      </w:r>
      <w:r>
        <w:rPr>
          <w:rFonts w:ascii="Times New Roman" w:hAnsi="Times New Roman" w:eastAsia="宋体" w:cs="Times New Roman"/>
          <w:bCs/>
          <w:sz w:val="24"/>
          <w:szCs w:val="32"/>
        </w:rPr>
        <w:t>对应的解决方案。</w:t>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3）</w:t>
      </w:r>
      <w:r>
        <w:rPr>
          <w:rFonts w:ascii="Times New Roman" w:hAnsi="Times New Roman" w:eastAsia="宋体" w:cs="Times New Roman"/>
          <w:bCs/>
          <w:sz w:val="24"/>
          <w:szCs w:val="32"/>
        </w:rPr>
        <w:t>由总部运营</w:t>
      </w:r>
      <w:r>
        <w:rPr>
          <w:rFonts w:hint="eastAsia" w:ascii="Times New Roman" w:hAnsi="Times New Roman" w:eastAsia="宋体" w:cs="Times New Roman"/>
          <w:bCs/>
          <w:sz w:val="24"/>
          <w:szCs w:val="32"/>
        </w:rPr>
        <w:t>专员对</w:t>
      </w:r>
      <w:r>
        <w:rPr>
          <w:rFonts w:ascii="Times New Roman" w:hAnsi="Times New Roman" w:eastAsia="宋体" w:cs="Times New Roman"/>
          <w:bCs/>
          <w:sz w:val="24"/>
          <w:szCs w:val="32"/>
        </w:rPr>
        <w:t>投诉</w:t>
      </w:r>
      <w:r>
        <w:rPr>
          <w:rFonts w:hint="eastAsia" w:ascii="Times New Roman" w:hAnsi="Times New Roman" w:eastAsia="宋体" w:cs="Times New Roman"/>
          <w:bCs/>
          <w:sz w:val="24"/>
          <w:szCs w:val="32"/>
        </w:rPr>
        <w:t>结果</w:t>
      </w:r>
      <w:r>
        <w:rPr>
          <w:rFonts w:ascii="Times New Roman" w:hAnsi="Times New Roman" w:eastAsia="宋体" w:cs="Times New Roman"/>
          <w:bCs/>
          <w:sz w:val="24"/>
          <w:szCs w:val="32"/>
        </w:rPr>
        <w:t>进行反馈，</w:t>
      </w:r>
      <w:r>
        <w:rPr>
          <w:rFonts w:hint="eastAsia" w:ascii="Times New Roman" w:hAnsi="Times New Roman" w:eastAsia="宋体" w:cs="Times New Roman"/>
          <w:bCs/>
          <w:sz w:val="24"/>
          <w:szCs w:val="32"/>
        </w:rPr>
        <w:t>答复</w:t>
      </w:r>
      <w:r>
        <w:rPr>
          <w:rFonts w:ascii="Times New Roman" w:hAnsi="Times New Roman" w:eastAsia="宋体" w:cs="Times New Roman"/>
          <w:bCs/>
          <w:sz w:val="24"/>
          <w:szCs w:val="32"/>
        </w:rPr>
        <w:t>用户投诉的应对解决方案，并再次</w:t>
      </w:r>
      <w:r>
        <w:rPr>
          <w:rFonts w:hint="eastAsia" w:ascii="Times New Roman" w:hAnsi="Times New Roman" w:eastAsia="宋体" w:cs="Times New Roman"/>
          <w:bCs/>
          <w:sz w:val="24"/>
          <w:szCs w:val="32"/>
        </w:rPr>
        <w:t>电话与</w:t>
      </w:r>
      <w:r>
        <w:rPr>
          <w:rFonts w:ascii="Times New Roman" w:hAnsi="Times New Roman" w:eastAsia="宋体" w:cs="Times New Roman"/>
          <w:bCs/>
          <w:sz w:val="24"/>
          <w:szCs w:val="32"/>
        </w:rPr>
        <w:t>用户进行沟通，</w:t>
      </w:r>
      <w:r>
        <w:rPr>
          <w:rFonts w:hint="eastAsia" w:ascii="Times New Roman" w:hAnsi="Times New Roman" w:eastAsia="宋体" w:cs="Times New Roman"/>
          <w:bCs/>
          <w:sz w:val="24"/>
          <w:szCs w:val="32"/>
        </w:rPr>
        <w:t>汇报投诉</w:t>
      </w:r>
      <w:r>
        <w:rPr>
          <w:rFonts w:ascii="Times New Roman" w:hAnsi="Times New Roman" w:eastAsia="宋体" w:cs="Times New Roman"/>
          <w:bCs/>
          <w:sz w:val="24"/>
          <w:szCs w:val="32"/>
        </w:rPr>
        <w:t>处理过程，征询用户对解决方案的处理意见</w:t>
      </w:r>
      <w:r>
        <w:rPr>
          <w:rFonts w:hint="eastAsia" w:ascii="Times New Roman" w:hAnsi="Times New Roman" w:eastAsia="宋体" w:cs="Times New Roman"/>
          <w:bCs/>
          <w:sz w:val="24"/>
          <w:szCs w:val="32"/>
        </w:rPr>
        <w:t>。如果</w:t>
      </w:r>
      <w:r>
        <w:rPr>
          <w:rFonts w:ascii="Times New Roman" w:hAnsi="Times New Roman" w:eastAsia="宋体" w:cs="Times New Roman"/>
          <w:bCs/>
          <w:sz w:val="24"/>
          <w:szCs w:val="32"/>
        </w:rPr>
        <w:t>用户接受处理方案，可</w:t>
      </w:r>
      <w:r>
        <w:rPr>
          <w:rFonts w:hint="eastAsia" w:ascii="Times New Roman" w:hAnsi="Times New Roman" w:eastAsia="宋体" w:cs="Times New Roman"/>
          <w:bCs/>
          <w:sz w:val="24"/>
          <w:szCs w:val="32"/>
        </w:rPr>
        <w:t>自行关闭</w:t>
      </w:r>
      <w:r>
        <w:rPr>
          <w:rFonts w:ascii="Times New Roman" w:hAnsi="Times New Roman" w:eastAsia="宋体" w:cs="Times New Roman"/>
          <w:bCs/>
          <w:sz w:val="24"/>
          <w:szCs w:val="32"/>
        </w:rPr>
        <w:t>该服务投诉；如果用户不接受处理方案，将由</w:t>
      </w:r>
      <w:r>
        <w:rPr>
          <w:rFonts w:hint="eastAsia" w:ascii="Times New Roman" w:hAnsi="Times New Roman" w:eastAsia="宋体" w:cs="Times New Roman"/>
          <w:bCs/>
          <w:sz w:val="24"/>
          <w:szCs w:val="32"/>
        </w:rPr>
        <w:t>总部</w:t>
      </w:r>
      <w:r>
        <w:rPr>
          <w:rFonts w:ascii="Times New Roman" w:hAnsi="Times New Roman" w:eastAsia="宋体" w:cs="Times New Roman"/>
          <w:bCs/>
          <w:sz w:val="24"/>
          <w:szCs w:val="32"/>
        </w:rPr>
        <w:t>投诉</w:t>
      </w:r>
      <w:r>
        <w:rPr>
          <w:rFonts w:hint="eastAsia" w:ascii="Times New Roman" w:hAnsi="Times New Roman" w:eastAsia="宋体" w:cs="Times New Roman"/>
          <w:bCs/>
          <w:sz w:val="24"/>
          <w:szCs w:val="32"/>
        </w:rPr>
        <w:t>处理</w:t>
      </w:r>
      <w:r>
        <w:rPr>
          <w:rFonts w:ascii="Times New Roman" w:hAnsi="Times New Roman" w:eastAsia="宋体" w:cs="Times New Roman"/>
          <w:bCs/>
          <w:sz w:val="24"/>
          <w:szCs w:val="32"/>
        </w:rPr>
        <w:t>小组继续</w:t>
      </w:r>
      <w:r>
        <w:rPr>
          <w:rFonts w:hint="eastAsia" w:ascii="Times New Roman" w:hAnsi="Times New Roman" w:eastAsia="宋体" w:cs="Times New Roman"/>
          <w:bCs/>
          <w:sz w:val="24"/>
          <w:szCs w:val="32"/>
        </w:rPr>
        <w:t>完善</w:t>
      </w:r>
      <w:r>
        <w:rPr>
          <w:rFonts w:ascii="Times New Roman" w:hAnsi="Times New Roman" w:eastAsia="宋体" w:cs="Times New Roman"/>
          <w:bCs/>
          <w:sz w:val="24"/>
          <w:szCs w:val="32"/>
        </w:rPr>
        <w:t>新的解决方案，并由运营</w:t>
      </w:r>
      <w:r>
        <w:rPr>
          <w:rFonts w:hint="eastAsia" w:ascii="Times New Roman" w:hAnsi="Times New Roman" w:eastAsia="宋体" w:cs="Times New Roman"/>
          <w:bCs/>
          <w:sz w:val="24"/>
          <w:szCs w:val="32"/>
        </w:rPr>
        <w:t>专员与</w:t>
      </w:r>
      <w:r>
        <w:rPr>
          <w:rFonts w:ascii="Times New Roman" w:hAnsi="Times New Roman" w:eastAsia="宋体" w:cs="Times New Roman"/>
          <w:bCs/>
          <w:sz w:val="24"/>
          <w:szCs w:val="32"/>
        </w:rPr>
        <w:t>用户进行沟通，直到用户满意并主动关闭投诉为止。</w:t>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用户</w:t>
      </w:r>
      <w:r>
        <w:rPr>
          <w:rFonts w:ascii="Times New Roman" w:hAnsi="Times New Roman" w:eastAsia="宋体" w:cs="Times New Roman"/>
          <w:bCs/>
          <w:sz w:val="24"/>
          <w:szCs w:val="32"/>
        </w:rPr>
        <w:t>可登录小助手系统发起线上投诉：</w:t>
      </w:r>
    </w:p>
    <w:p>
      <w:pPr>
        <w:adjustRightInd w:val="0"/>
        <w:snapToGrid w:val="0"/>
        <w:jc w:val="center"/>
        <w:rPr>
          <w:rFonts w:ascii="Times New Roman" w:hAnsi="Times New Roman" w:eastAsia="宋体" w:cs="Times New Roman"/>
          <w:kern w:val="2"/>
          <w:sz w:val="24"/>
          <w:szCs w:val="22"/>
          <w:lang w:val="en-US" w:eastAsia="zh-CN" w:bidi="ar-SA"/>
        </w:rPr>
      </w:pPr>
      <w:r>
        <w:rPr>
          <w:rFonts w:ascii="Times New Roman" w:hAnsi="Times New Roman" w:eastAsia="宋体" w:cs="Times New Roman"/>
          <w:kern w:val="2"/>
          <w:sz w:val="24"/>
          <w:szCs w:val="22"/>
          <w:lang w:val="en-US" w:eastAsia="zh-CN" w:bidi="ar-SA"/>
        </w:rPr>
        <w:drawing>
          <wp:inline distT="0" distB="0" distL="0" distR="0">
            <wp:extent cx="5838825" cy="1538605"/>
            <wp:effectExtent l="0" t="0" r="0" b="4445"/>
            <wp:docPr id="1206718768" name="图片 1206718768"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18768" name="图片 1206718768" descr="图形用户界面, 应用程序, 网站&#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847569" cy="1541094"/>
                    </a:xfrm>
                    <a:prstGeom prst="rect">
                      <a:avLst/>
                    </a:prstGeom>
                    <a:noFill/>
                    <a:ln>
                      <a:noFill/>
                    </a:ln>
                  </pic:spPr>
                </pic:pic>
              </a:graphicData>
            </a:graphic>
          </wp:inline>
        </w:drawing>
      </w:r>
    </w:p>
    <w:p>
      <w:pPr>
        <w:adjustRightInd w:val="0"/>
        <w:snapToGrid w:val="0"/>
        <w:jc w:val="center"/>
        <w:rPr>
          <w:rFonts w:ascii="Times New Roman" w:hAnsi="Times New Roman" w:eastAsia="宋体" w:cs="Times New Roman"/>
          <w:kern w:val="2"/>
          <w:sz w:val="24"/>
          <w:szCs w:val="22"/>
          <w:lang w:val="en-US" w:eastAsia="zh-CN" w:bidi="ar-SA"/>
        </w:rPr>
      </w:pPr>
      <w:r>
        <w:rPr>
          <w:rFonts w:ascii="Times New Roman" w:hAnsi="Times New Roman" w:eastAsia="宋体" w:cs="Times New Roman"/>
          <w:kern w:val="2"/>
          <w:sz w:val="24"/>
          <w:szCs w:val="22"/>
          <w:lang w:val="en-US" w:eastAsia="zh-CN" w:bidi="ar-SA"/>
        </w:rPr>
        <w:drawing>
          <wp:inline distT="0" distB="0" distL="0" distR="0">
            <wp:extent cx="5826760" cy="4427855"/>
            <wp:effectExtent l="0" t="0" r="2540" b="0"/>
            <wp:docPr id="237063600" name="图片 237063600"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63600" name="图片 237063600" descr="图形用户界面, 文本, 应用程序, 电子邮件&#10;&#10;描述已自动生成"/>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836605" cy="4435426"/>
                    </a:xfrm>
                    <a:prstGeom prst="rect">
                      <a:avLst/>
                    </a:prstGeom>
                    <a:noFill/>
                    <a:ln>
                      <a:noFill/>
                    </a:ln>
                  </pic:spPr>
                </pic:pic>
              </a:graphicData>
            </a:graphic>
          </wp:inline>
        </w:drawing>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处理</w:t>
      </w:r>
      <w:r>
        <w:rPr>
          <w:rFonts w:ascii="Times New Roman" w:hAnsi="Times New Roman" w:eastAsia="宋体" w:cs="Times New Roman"/>
          <w:bCs/>
          <w:sz w:val="24"/>
          <w:szCs w:val="32"/>
        </w:rPr>
        <w:t>中的投诉</w:t>
      </w:r>
      <w:r>
        <w:rPr>
          <w:rFonts w:hint="eastAsia" w:ascii="Times New Roman" w:hAnsi="Times New Roman" w:eastAsia="宋体" w:cs="Times New Roman"/>
          <w:bCs/>
          <w:sz w:val="24"/>
          <w:szCs w:val="32"/>
        </w:rPr>
        <w:t>，</w:t>
      </w:r>
      <w:r>
        <w:rPr>
          <w:rFonts w:ascii="Times New Roman" w:hAnsi="Times New Roman" w:eastAsia="宋体" w:cs="Times New Roman"/>
          <w:bCs/>
          <w:sz w:val="24"/>
          <w:szCs w:val="32"/>
        </w:rPr>
        <w:t>用户可随时查看投诉</w:t>
      </w:r>
      <w:r>
        <w:rPr>
          <w:rFonts w:hint="eastAsia" w:ascii="Times New Roman" w:hAnsi="Times New Roman" w:eastAsia="宋体" w:cs="Times New Roman"/>
          <w:bCs/>
          <w:sz w:val="24"/>
          <w:szCs w:val="32"/>
        </w:rPr>
        <w:t>进展</w:t>
      </w:r>
      <w:r>
        <w:rPr>
          <w:rFonts w:ascii="Times New Roman" w:hAnsi="Times New Roman" w:eastAsia="宋体" w:cs="Times New Roman"/>
          <w:bCs/>
          <w:sz w:val="24"/>
          <w:szCs w:val="32"/>
        </w:rPr>
        <w:t>，在投诉处理期间，运营专员也会及时与用户沟通，汇报投诉处理情况</w:t>
      </w:r>
      <w:r>
        <w:rPr>
          <w:rFonts w:hint="eastAsia" w:ascii="Times New Roman" w:hAnsi="Times New Roman" w:eastAsia="宋体" w:cs="Times New Roman"/>
          <w:bCs/>
          <w:sz w:val="24"/>
          <w:szCs w:val="32"/>
        </w:rPr>
        <w:t>。</w:t>
      </w:r>
    </w:p>
    <w:p>
      <w:pPr>
        <w:adjustRightInd w:val="0"/>
        <w:snapToGrid w:val="0"/>
        <w:jc w:val="center"/>
        <w:rPr>
          <w:rFonts w:ascii="Times New Roman" w:hAnsi="Times New Roman" w:eastAsia="宋体" w:cs="Times New Roman"/>
          <w:kern w:val="2"/>
          <w:sz w:val="24"/>
          <w:szCs w:val="22"/>
          <w:lang w:val="en-US" w:eastAsia="zh-CN" w:bidi="ar-SA"/>
        </w:rPr>
      </w:pPr>
      <w:r>
        <w:rPr>
          <w:rFonts w:ascii="Times New Roman" w:hAnsi="Times New Roman" w:eastAsia="宋体" w:cs="Times New Roman"/>
          <w:kern w:val="2"/>
          <w:sz w:val="24"/>
          <w:szCs w:val="22"/>
          <w:lang w:val="en-US" w:eastAsia="zh-CN" w:bidi="ar-SA"/>
        </w:rPr>
        <w:drawing>
          <wp:inline distT="0" distB="0" distL="0" distR="0">
            <wp:extent cx="5883910" cy="2329815"/>
            <wp:effectExtent l="0" t="0" r="2540" b="0"/>
            <wp:docPr id="1470370266" name="图片 147037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370266" name="图片 14703702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890265" cy="2332672"/>
                    </a:xfrm>
                    <a:prstGeom prst="rect">
                      <a:avLst/>
                    </a:prstGeom>
                    <a:noFill/>
                    <a:ln>
                      <a:noFill/>
                    </a:ln>
                  </pic:spPr>
                </pic:pic>
              </a:graphicData>
            </a:graphic>
          </wp:inline>
        </w:drawing>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当投诉有了解决方案后，总部运营专员会进行反馈；</w:t>
      </w:r>
    </w:p>
    <w:p>
      <w:pPr>
        <w:adjustRightInd w:val="0"/>
        <w:snapToGrid w:val="0"/>
        <w:jc w:val="center"/>
        <w:rPr>
          <w:rFonts w:ascii="Times New Roman" w:hAnsi="Times New Roman" w:eastAsia="宋体" w:cs="Times New Roman"/>
          <w:kern w:val="2"/>
          <w:sz w:val="24"/>
          <w:szCs w:val="22"/>
          <w:lang w:val="en-US" w:eastAsia="zh-CN" w:bidi="ar-SA"/>
        </w:rPr>
      </w:pPr>
      <w:r>
        <w:rPr>
          <w:rFonts w:ascii="Times New Roman" w:hAnsi="Times New Roman" w:eastAsia="宋体" w:cs="Times New Roman"/>
          <w:kern w:val="2"/>
          <w:sz w:val="24"/>
          <w:szCs w:val="22"/>
          <w:lang w:val="en-US" w:eastAsia="zh-CN" w:bidi="ar-SA"/>
        </w:rPr>
        <w:drawing>
          <wp:inline distT="0" distB="0" distL="0" distR="0">
            <wp:extent cx="5915660" cy="2952115"/>
            <wp:effectExtent l="0" t="0" r="0" b="635"/>
            <wp:docPr id="808057028" name="图片 808057028"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57028" name="图片 808057028" descr="图形用户界面, 文本, 应用程序, 电子邮件&#10;&#10;描述已自动生成"/>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26087" cy="2957686"/>
                    </a:xfrm>
                    <a:prstGeom prst="rect">
                      <a:avLst/>
                    </a:prstGeom>
                    <a:noFill/>
                    <a:ln>
                      <a:noFill/>
                    </a:ln>
                  </pic:spPr>
                </pic:pic>
              </a:graphicData>
            </a:graphic>
          </wp:inline>
        </w:drawing>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若对反馈方案不满意，可继续回复处理意见或</w:t>
      </w:r>
      <w:r>
        <w:rPr>
          <w:rFonts w:ascii="Times New Roman" w:hAnsi="Times New Roman" w:eastAsia="宋体" w:cs="Times New Roman"/>
          <w:bCs/>
          <w:sz w:val="24"/>
          <w:szCs w:val="32"/>
        </w:rPr>
        <w:t>提出诉求</w:t>
      </w:r>
      <w:r>
        <w:rPr>
          <w:rFonts w:hint="eastAsia" w:ascii="Times New Roman" w:hAnsi="Times New Roman" w:eastAsia="宋体" w:cs="Times New Roman"/>
          <w:bCs/>
          <w:sz w:val="24"/>
          <w:szCs w:val="32"/>
        </w:rPr>
        <w:t>。</w:t>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如果投诉</w:t>
      </w:r>
      <w:r>
        <w:rPr>
          <w:rFonts w:ascii="Times New Roman" w:hAnsi="Times New Roman" w:eastAsia="宋体" w:cs="Times New Roman"/>
          <w:bCs/>
          <w:sz w:val="24"/>
          <w:szCs w:val="32"/>
        </w:rPr>
        <w:t>已在正常的处理流程中，</w:t>
      </w:r>
      <w:r>
        <w:rPr>
          <w:rFonts w:hint="eastAsia" w:ascii="Times New Roman" w:hAnsi="Times New Roman" w:eastAsia="宋体" w:cs="Times New Roman"/>
          <w:bCs/>
          <w:sz w:val="24"/>
          <w:szCs w:val="32"/>
        </w:rPr>
        <w:t>但是用户现场希望</w:t>
      </w:r>
      <w:r>
        <w:rPr>
          <w:rFonts w:ascii="Times New Roman" w:hAnsi="Times New Roman" w:eastAsia="宋体" w:cs="Times New Roman"/>
          <w:bCs/>
          <w:sz w:val="24"/>
          <w:szCs w:val="32"/>
        </w:rPr>
        <w:t>加急处理的，用户可以通过</w:t>
      </w:r>
      <w:r>
        <w:rPr>
          <w:rFonts w:hint="eastAsia" w:ascii="Times New Roman" w:hAnsi="Times New Roman" w:eastAsia="宋体" w:cs="Times New Roman"/>
          <w:bCs/>
          <w:sz w:val="24"/>
          <w:szCs w:val="32"/>
        </w:rPr>
        <w:t>投诉</w:t>
      </w:r>
      <w:r>
        <w:rPr>
          <w:rFonts w:ascii="Times New Roman" w:hAnsi="Times New Roman" w:eastAsia="宋体" w:cs="Times New Roman"/>
          <w:bCs/>
          <w:sz w:val="24"/>
          <w:szCs w:val="32"/>
        </w:rPr>
        <w:t>催办的方式来进行，</w:t>
      </w:r>
      <w:r>
        <w:rPr>
          <w:rFonts w:hint="eastAsia" w:ascii="Times New Roman" w:hAnsi="Times New Roman" w:eastAsia="宋体" w:cs="Times New Roman"/>
          <w:bCs/>
          <w:sz w:val="24"/>
          <w:szCs w:val="32"/>
        </w:rPr>
        <w:t>当</w:t>
      </w:r>
      <w:r>
        <w:rPr>
          <w:rFonts w:ascii="Times New Roman" w:hAnsi="Times New Roman" w:eastAsia="宋体" w:cs="Times New Roman"/>
          <w:bCs/>
          <w:sz w:val="24"/>
          <w:szCs w:val="32"/>
        </w:rPr>
        <w:t>用户发起催办后，会自动生成消息通知该</w:t>
      </w:r>
      <w:r>
        <w:rPr>
          <w:rFonts w:hint="eastAsia" w:ascii="Times New Roman" w:hAnsi="Times New Roman" w:eastAsia="宋体" w:cs="Times New Roman"/>
          <w:bCs/>
          <w:sz w:val="24"/>
          <w:szCs w:val="32"/>
        </w:rPr>
        <w:t>投诉对应</w:t>
      </w:r>
      <w:r>
        <w:rPr>
          <w:rFonts w:ascii="Times New Roman" w:hAnsi="Times New Roman" w:eastAsia="宋体" w:cs="Times New Roman"/>
          <w:bCs/>
          <w:sz w:val="24"/>
          <w:szCs w:val="32"/>
        </w:rPr>
        <w:t>的</w:t>
      </w:r>
      <w:r>
        <w:rPr>
          <w:rFonts w:hint="eastAsia" w:ascii="Times New Roman" w:hAnsi="Times New Roman" w:eastAsia="宋体" w:cs="Times New Roman"/>
          <w:bCs/>
          <w:sz w:val="24"/>
          <w:szCs w:val="32"/>
        </w:rPr>
        <w:t>投诉处理</w:t>
      </w:r>
      <w:r>
        <w:rPr>
          <w:rFonts w:ascii="Times New Roman" w:hAnsi="Times New Roman" w:eastAsia="宋体" w:cs="Times New Roman"/>
          <w:bCs/>
          <w:sz w:val="24"/>
          <w:szCs w:val="32"/>
        </w:rPr>
        <w:t>小组及运营</w:t>
      </w:r>
      <w:r>
        <w:rPr>
          <w:rFonts w:hint="eastAsia" w:ascii="Times New Roman" w:hAnsi="Times New Roman" w:eastAsia="宋体" w:cs="Times New Roman"/>
          <w:bCs/>
          <w:sz w:val="24"/>
          <w:szCs w:val="32"/>
        </w:rPr>
        <w:t>专员</w:t>
      </w:r>
      <w:r>
        <w:rPr>
          <w:rFonts w:ascii="Times New Roman" w:hAnsi="Times New Roman" w:eastAsia="宋体" w:cs="Times New Roman"/>
          <w:bCs/>
          <w:sz w:val="24"/>
          <w:szCs w:val="32"/>
        </w:rPr>
        <w:t>，运营</w:t>
      </w:r>
      <w:r>
        <w:rPr>
          <w:rFonts w:hint="eastAsia" w:ascii="Times New Roman" w:hAnsi="Times New Roman" w:eastAsia="宋体" w:cs="Times New Roman"/>
          <w:bCs/>
          <w:sz w:val="24"/>
          <w:szCs w:val="32"/>
        </w:rPr>
        <w:t>专员</w:t>
      </w:r>
      <w:r>
        <w:rPr>
          <w:rFonts w:ascii="Times New Roman" w:hAnsi="Times New Roman" w:eastAsia="宋体" w:cs="Times New Roman"/>
          <w:bCs/>
          <w:sz w:val="24"/>
          <w:szCs w:val="32"/>
        </w:rPr>
        <w:t>会介入</w:t>
      </w:r>
      <w:r>
        <w:rPr>
          <w:rFonts w:hint="eastAsia" w:ascii="Times New Roman" w:hAnsi="Times New Roman" w:eastAsia="宋体" w:cs="Times New Roman"/>
          <w:bCs/>
          <w:sz w:val="24"/>
          <w:szCs w:val="32"/>
        </w:rPr>
        <w:t>投诉当前</w:t>
      </w:r>
      <w:r>
        <w:rPr>
          <w:rFonts w:ascii="Times New Roman" w:hAnsi="Times New Roman" w:eastAsia="宋体" w:cs="Times New Roman"/>
          <w:bCs/>
          <w:sz w:val="24"/>
          <w:szCs w:val="32"/>
        </w:rPr>
        <w:t>处理过程，</w:t>
      </w:r>
      <w:r>
        <w:rPr>
          <w:rFonts w:hint="eastAsia" w:ascii="Times New Roman" w:hAnsi="Times New Roman" w:eastAsia="宋体" w:cs="Times New Roman"/>
          <w:bCs/>
          <w:sz w:val="24"/>
          <w:szCs w:val="32"/>
        </w:rPr>
        <w:t>督促相关</w:t>
      </w:r>
      <w:r>
        <w:rPr>
          <w:rFonts w:ascii="Times New Roman" w:hAnsi="Times New Roman" w:eastAsia="宋体" w:cs="Times New Roman"/>
          <w:bCs/>
          <w:sz w:val="24"/>
          <w:szCs w:val="32"/>
        </w:rPr>
        <w:t>责任人</w:t>
      </w:r>
      <w:r>
        <w:rPr>
          <w:rFonts w:hint="eastAsia" w:ascii="Times New Roman" w:hAnsi="Times New Roman" w:eastAsia="宋体" w:cs="Times New Roman"/>
          <w:bCs/>
          <w:sz w:val="24"/>
          <w:szCs w:val="32"/>
        </w:rPr>
        <w:t>加急</w:t>
      </w:r>
      <w:r>
        <w:rPr>
          <w:rFonts w:ascii="Times New Roman" w:hAnsi="Times New Roman" w:eastAsia="宋体" w:cs="Times New Roman"/>
          <w:bCs/>
          <w:sz w:val="24"/>
          <w:szCs w:val="32"/>
        </w:rPr>
        <w:t>处理</w:t>
      </w:r>
      <w:r>
        <w:rPr>
          <w:rFonts w:hint="eastAsia" w:ascii="Times New Roman" w:hAnsi="Times New Roman" w:eastAsia="宋体" w:cs="Times New Roman"/>
          <w:bCs/>
          <w:sz w:val="24"/>
          <w:szCs w:val="32"/>
        </w:rPr>
        <w:t>，</w:t>
      </w:r>
      <w:r>
        <w:rPr>
          <w:rFonts w:ascii="Times New Roman" w:hAnsi="Times New Roman" w:eastAsia="宋体" w:cs="Times New Roman"/>
          <w:bCs/>
          <w:sz w:val="24"/>
          <w:szCs w:val="32"/>
        </w:rPr>
        <w:t>尽快给用户满意的答复。</w:t>
      </w:r>
    </w:p>
    <w:p>
      <w:pPr>
        <w:adjustRightInd w:val="0"/>
        <w:snapToGrid w:val="0"/>
        <w:jc w:val="center"/>
        <w:rPr>
          <w:rFonts w:ascii="Times New Roman" w:hAnsi="Times New Roman" w:eastAsia="宋体" w:cs="Times New Roman"/>
          <w:kern w:val="2"/>
          <w:sz w:val="24"/>
          <w:szCs w:val="22"/>
          <w:lang w:val="en-US" w:eastAsia="zh-CN" w:bidi="ar-SA"/>
        </w:rPr>
      </w:pPr>
      <w:r>
        <w:rPr>
          <w:rFonts w:ascii="Times New Roman" w:hAnsi="Times New Roman" w:eastAsia="宋体" w:cs="Times New Roman"/>
          <w:kern w:val="2"/>
          <w:sz w:val="24"/>
          <w:szCs w:val="22"/>
          <w:lang w:val="en-US" w:eastAsia="zh-CN" w:bidi="ar-SA"/>
        </w:rPr>
        <w:drawing>
          <wp:inline distT="0" distB="0" distL="0" distR="0">
            <wp:extent cx="5958205" cy="2952115"/>
            <wp:effectExtent l="0" t="0" r="4445" b="635"/>
            <wp:docPr id="535626669" name="图片 535626669"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626669" name="图片 535626669" descr="图形用户界面, 文本, 应用程序, 电子邮件&#10;&#10;描述已自动生成"/>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65244" cy="2955654"/>
                    </a:xfrm>
                    <a:prstGeom prst="rect">
                      <a:avLst/>
                    </a:prstGeom>
                    <a:noFill/>
                    <a:ln>
                      <a:noFill/>
                    </a:ln>
                  </pic:spPr>
                </pic:pic>
              </a:graphicData>
            </a:graphic>
          </wp:inline>
        </w:drawing>
      </w: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当</w:t>
      </w:r>
      <w:r>
        <w:rPr>
          <w:rFonts w:ascii="Times New Roman" w:hAnsi="Times New Roman" w:eastAsia="宋体" w:cs="Times New Roman"/>
          <w:bCs/>
          <w:sz w:val="24"/>
          <w:szCs w:val="32"/>
        </w:rPr>
        <w:t>投诉处理完成，用户觉得满意后，可关闭本次服务投诉。</w:t>
      </w:r>
    </w:p>
    <w:p>
      <w:pPr>
        <w:adjustRightInd w:val="0"/>
        <w:snapToGrid w:val="0"/>
        <w:jc w:val="center"/>
        <w:rPr>
          <w:rFonts w:ascii="Times New Roman" w:hAnsi="Times New Roman" w:eastAsia="宋体" w:cs="Times New Roman"/>
          <w:kern w:val="2"/>
          <w:sz w:val="24"/>
          <w:szCs w:val="22"/>
          <w:lang w:val="en-US" w:eastAsia="zh-CN" w:bidi="ar-SA"/>
        </w:rPr>
      </w:pPr>
      <w:r>
        <w:rPr>
          <w:rFonts w:ascii="Times New Roman" w:hAnsi="Times New Roman" w:eastAsia="宋体" w:cs="Times New Roman"/>
          <w:kern w:val="2"/>
          <w:sz w:val="24"/>
          <w:szCs w:val="22"/>
          <w:lang w:val="en-US" w:eastAsia="zh-CN" w:bidi="ar-SA"/>
        </w:rPr>
        <w:drawing>
          <wp:inline distT="0" distB="0" distL="0" distR="0">
            <wp:extent cx="5989955" cy="2491105"/>
            <wp:effectExtent l="0" t="0" r="0" b="4445"/>
            <wp:docPr id="138550810" name="图片 138550810"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0810" name="图片 138550810" descr="图形用户界面, 文本, 应用程序, 电子邮件&#10;&#10;描述已自动生成"/>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94381" cy="2493142"/>
                    </a:xfrm>
                    <a:prstGeom prst="rect">
                      <a:avLst/>
                    </a:prstGeom>
                    <a:noFill/>
                    <a:ln>
                      <a:noFill/>
                    </a:ln>
                  </pic:spPr>
                </pic:pic>
              </a:graphicData>
            </a:graphic>
          </wp:inline>
        </w:drawing>
      </w:r>
    </w:p>
    <w:p>
      <w:pPr>
        <w:widowControl/>
        <w:adjustRightInd/>
        <w:snapToGrid/>
        <w:spacing w:line="240" w:lineRule="auto"/>
        <w:ind w:firstLine="480" w:firstLineChars="200"/>
        <w:jc w:val="left"/>
        <w:rPr>
          <w:rFonts w:ascii="Times New Roman" w:hAnsi="Times New Roman" w:eastAsia="宋体" w:cs="Times New Roman"/>
          <w:bCs/>
          <w:sz w:val="24"/>
          <w:szCs w:val="32"/>
        </w:rPr>
      </w:pPr>
      <w:r>
        <w:rPr>
          <w:rFonts w:ascii="Times New Roman" w:hAnsi="Times New Roman" w:eastAsia="宋体" w:cs="Times New Roman"/>
          <w:bCs/>
          <w:sz w:val="24"/>
          <w:szCs w:val="32"/>
        </w:rPr>
        <w:br w:type="page"/>
      </w:r>
    </w:p>
    <w:p>
      <w:pPr>
        <w:keepNext/>
        <w:keepLines/>
        <w:numPr>
          <w:ilvl w:val="2"/>
          <w:numId w:val="36"/>
        </w:numPr>
        <w:adjustRightInd w:val="0"/>
        <w:snapToGrid w:val="0"/>
        <w:spacing w:before="246" w:beforeLines="50" w:after="246" w:afterLines="50" w:line="360" w:lineRule="auto"/>
        <w:ind w:left="0" w:leftChars="0" w:firstLine="0" w:firstLineChars="0"/>
        <w:outlineLvl w:val="1"/>
        <w:rPr>
          <w:rFonts w:ascii="Times New Roman" w:hAnsi="Times New Roman" w:eastAsia="宋体" w:cs="Times New Roman"/>
          <w:b/>
          <w:bCs/>
          <w:kern w:val="2"/>
          <w:sz w:val="24"/>
          <w:szCs w:val="28"/>
          <w:lang w:val="en-US" w:eastAsia="zh-CN" w:bidi="ar-SA"/>
        </w:rPr>
      </w:pPr>
      <w:r>
        <w:rPr>
          <w:rFonts w:hint="eastAsia" w:ascii="Times New Roman" w:hAnsi="Times New Roman" w:eastAsia="宋体" w:cs="Times New Roman"/>
          <w:b/>
          <w:bCs/>
          <w:kern w:val="2"/>
          <w:sz w:val="24"/>
          <w:szCs w:val="28"/>
          <w:lang w:val="en-US" w:eastAsia="zh-CN" w:bidi="ar-SA"/>
        </w:rPr>
        <w:t>对接服务承诺</w:t>
      </w:r>
    </w:p>
    <w:p>
      <w:pPr>
        <w:widowControl w:val="0"/>
        <w:adjustRightInd w:val="0"/>
        <w:snapToGrid w:val="0"/>
        <w:spacing w:line="360" w:lineRule="auto"/>
        <w:ind w:firstLine="643" w:firstLineChars="0"/>
        <w:jc w:val="center"/>
        <w:rPr>
          <w:rFonts w:ascii="Times New Roman" w:hAnsi="Times New Roman" w:eastAsia="宋体" w:cs="宋体"/>
          <w:b/>
          <w:bCs w:val="0"/>
          <w:color w:val="000000"/>
          <w:kern w:val="2"/>
          <w:sz w:val="32"/>
          <w:szCs w:val="32"/>
          <w:lang w:val="en-US" w:eastAsia="zh-CN" w:bidi="ar-SA"/>
        </w:rPr>
      </w:pPr>
      <w:r>
        <w:rPr>
          <w:rFonts w:hint="eastAsia" w:ascii="Times New Roman" w:hAnsi="Times New Roman" w:eastAsia="宋体" w:cs="宋体"/>
          <w:b/>
          <w:bCs w:val="0"/>
          <w:color w:val="000000"/>
          <w:kern w:val="2"/>
          <w:sz w:val="32"/>
          <w:szCs w:val="32"/>
          <w:lang w:val="en-US" w:eastAsia="zh-CN" w:bidi="ar-SA"/>
        </w:rPr>
        <w:t>对接服务承诺函</w:t>
      </w:r>
    </w:p>
    <w:p>
      <w:pPr>
        <w:widowControl w:val="0"/>
        <w:adjustRightInd w:val="0"/>
        <w:snapToGrid w:val="0"/>
        <w:spacing w:line="360" w:lineRule="auto"/>
        <w:ind w:firstLine="480" w:firstLineChars="0"/>
        <w:jc w:val="left"/>
        <w:rPr>
          <w:rFonts w:ascii="Times New Roman" w:hAnsi="Times New Roman" w:eastAsia="宋体" w:cs="宋体"/>
          <w:bCs/>
          <w:color w:val="000000"/>
          <w:kern w:val="2"/>
          <w:sz w:val="24"/>
          <w:szCs w:val="24"/>
          <w:lang w:val="en-US" w:eastAsia="zh-CN" w:bidi="ar-SA"/>
        </w:rPr>
      </w:pPr>
      <w:r>
        <w:rPr>
          <w:rFonts w:hint="eastAsia" w:ascii="Times New Roman" w:hAnsi="Times New Roman" w:eastAsia="宋体" w:cs="宋体"/>
          <w:bCs/>
          <w:color w:val="000000"/>
          <w:kern w:val="2"/>
          <w:sz w:val="24"/>
          <w:szCs w:val="24"/>
          <w:lang w:val="en-US" w:eastAsia="zh-CN" w:bidi="ar-SA"/>
        </w:rPr>
        <w:t>致：河南中医药大学</w:t>
      </w:r>
    </w:p>
    <w:p>
      <w:pPr>
        <w:adjustRightInd w:val="0"/>
        <w:snapToGrid w:val="0"/>
        <w:spacing w:line="360" w:lineRule="auto"/>
        <w:ind w:firstLine="480" w:firstLineChars="200"/>
        <w:rPr>
          <w:rFonts w:ascii="Times New Roman" w:hAnsi="Times New Roman" w:eastAsia="宋体" w:cs="Times New Roman"/>
          <w:bCs/>
          <w:sz w:val="24"/>
          <w:szCs w:val="32"/>
        </w:rPr>
      </w:pPr>
    </w:p>
    <w:p>
      <w:pPr>
        <w:adjustRightInd w:val="0"/>
        <w:snapToGrid w:val="0"/>
        <w:spacing w:line="360" w:lineRule="auto"/>
        <w:ind w:firstLine="480" w:firstLineChars="200"/>
        <w:rPr>
          <w:rFonts w:ascii="Times New Roman" w:hAnsi="Times New Roman" w:eastAsia="宋体" w:cs="Times New Roman"/>
          <w:bCs/>
          <w:sz w:val="24"/>
          <w:szCs w:val="32"/>
        </w:rPr>
      </w:pPr>
      <w:r>
        <w:rPr>
          <w:rFonts w:hint="eastAsia" w:ascii="Times New Roman" w:hAnsi="Times New Roman" w:eastAsia="宋体" w:cs="Times New Roman"/>
          <w:bCs/>
          <w:sz w:val="24"/>
          <w:szCs w:val="32"/>
        </w:rPr>
        <w:t>我公司承诺所提供的系统或软件能够接入学校原有线上服务平台，所产生的对接费用由我公司自行承担。</w:t>
      </w:r>
    </w:p>
    <w:p>
      <w:pPr>
        <w:adjustRightInd w:val="0"/>
        <w:snapToGrid w:val="0"/>
        <w:spacing w:line="360" w:lineRule="auto"/>
        <w:ind w:firstLine="480" w:firstLineChars="200"/>
        <w:rPr>
          <w:rFonts w:hint="eastAsia" w:ascii="Times New Roman" w:hAnsi="Times New Roman" w:eastAsia="宋体" w:cs="Times New Roman"/>
          <w:bCs/>
          <w:sz w:val="24"/>
          <w:szCs w:val="32"/>
        </w:rPr>
      </w:pPr>
      <w:r>
        <w:rPr>
          <w:rFonts w:hint="eastAsia" w:ascii="Times New Roman" w:hAnsi="Times New Roman" w:eastAsia="宋体" w:cs="Times New Roman"/>
          <w:bCs/>
          <w:sz w:val="24"/>
          <w:szCs w:val="32"/>
        </w:rPr>
        <w:t>特此承诺！</w:t>
      </w:r>
    </w:p>
    <w:p>
      <w:pPr>
        <w:adjustRightInd w:val="0"/>
        <w:snapToGrid w:val="0"/>
        <w:spacing w:line="360" w:lineRule="auto"/>
        <w:ind w:firstLine="480" w:firstLineChars="200"/>
        <w:rPr>
          <w:rFonts w:hint="eastAsia" w:ascii="Times New Roman" w:hAnsi="Times New Roman" w:eastAsia="宋体" w:cs="Times New Roman"/>
          <w:bCs/>
          <w:sz w:val="24"/>
          <w:szCs w:val="32"/>
        </w:rPr>
      </w:pPr>
    </w:p>
    <w:p>
      <w:pPr>
        <w:adjustRightInd w:val="0"/>
        <w:snapToGrid w:val="0"/>
        <w:spacing w:line="360" w:lineRule="auto"/>
        <w:ind w:firstLine="480" w:firstLineChars="200"/>
        <w:rPr>
          <w:rFonts w:hint="eastAsia" w:ascii="Times New Roman" w:hAnsi="Times New Roman" w:eastAsia="宋体" w:cs="Times New Roman"/>
          <w:bCs/>
          <w:sz w:val="24"/>
          <w:szCs w:val="32"/>
        </w:rPr>
      </w:pPr>
    </w:p>
    <w:p>
      <w:pPr>
        <w:adjustRightInd w:val="0"/>
        <w:snapToGrid w:val="0"/>
        <w:spacing w:line="360" w:lineRule="auto"/>
        <w:ind w:firstLine="480" w:firstLineChars="200"/>
        <w:rPr>
          <w:rFonts w:hint="eastAsia" w:ascii="Times New Roman" w:hAnsi="Times New Roman" w:eastAsia="宋体" w:cs="Times New Roman"/>
          <w:bCs/>
          <w:sz w:val="24"/>
          <w:szCs w:val="32"/>
        </w:rPr>
      </w:pPr>
    </w:p>
    <w:p>
      <w:pPr>
        <w:adjustRightInd w:val="0"/>
        <w:snapToGrid w:val="0"/>
        <w:spacing w:line="360" w:lineRule="auto"/>
        <w:ind w:firstLine="480" w:firstLineChars="200"/>
        <w:rPr>
          <w:rFonts w:hint="eastAsia" w:ascii="Times New Roman" w:hAnsi="Times New Roman" w:eastAsia="宋体" w:cs="Times New Roman"/>
          <w:bCs/>
          <w:sz w:val="24"/>
          <w:szCs w:val="32"/>
        </w:rPr>
      </w:pPr>
    </w:p>
    <w:p>
      <w:pPr>
        <w:adjustRightInd w:val="0"/>
        <w:snapToGrid w:val="0"/>
        <w:spacing w:line="360" w:lineRule="auto"/>
        <w:ind w:firstLine="480" w:firstLineChars="200"/>
        <w:rPr>
          <w:rFonts w:hint="eastAsia" w:ascii="Times New Roman" w:hAnsi="Times New Roman" w:eastAsia="宋体" w:cs="Times New Roman"/>
          <w:bCs/>
          <w:sz w:val="24"/>
          <w:szCs w:val="32"/>
        </w:rPr>
      </w:pPr>
    </w:p>
    <w:p>
      <w:pPr>
        <w:adjustRightInd w:val="0"/>
        <w:snapToGrid w:val="0"/>
        <w:spacing w:line="360" w:lineRule="auto"/>
        <w:ind w:firstLine="480" w:firstLineChars="200"/>
        <w:rPr>
          <w:rFonts w:hint="eastAsia" w:ascii="Times New Roman" w:hAnsi="Times New Roman" w:eastAsia="宋体" w:cs="Times New Roman"/>
          <w:bCs/>
          <w:sz w:val="24"/>
          <w:szCs w:val="32"/>
        </w:rPr>
      </w:pPr>
    </w:p>
    <w:p>
      <w:pPr>
        <w:adjustRightInd w:val="0"/>
        <w:snapToGrid w:val="0"/>
        <w:spacing w:line="360" w:lineRule="auto"/>
        <w:ind w:firstLine="480" w:firstLineChars="200"/>
        <w:rPr>
          <w:rFonts w:hint="eastAsia" w:ascii="Times New Roman" w:hAnsi="Times New Roman" w:eastAsia="宋体" w:cs="Times New Roman"/>
          <w:bCs/>
          <w:sz w:val="24"/>
          <w:szCs w:val="32"/>
        </w:rPr>
      </w:pPr>
    </w:p>
    <w:p>
      <w:pPr>
        <w:adjustRightInd w:val="0"/>
        <w:snapToGrid w:val="0"/>
        <w:spacing w:line="360" w:lineRule="auto"/>
        <w:ind w:firstLine="480" w:firstLineChars="200"/>
        <w:rPr>
          <w:rFonts w:hint="eastAsia" w:ascii="Times New Roman" w:hAnsi="Times New Roman" w:eastAsia="宋体" w:cs="Times New Roman"/>
          <w:bCs/>
          <w:sz w:val="24"/>
          <w:szCs w:val="32"/>
        </w:rPr>
      </w:pPr>
    </w:p>
    <w:p>
      <w:pPr>
        <w:adjustRightInd w:val="0"/>
        <w:snapToGrid w:val="0"/>
        <w:spacing w:line="360" w:lineRule="auto"/>
        <w:ind w:firstLine="480" w:firstLineChars="200"/>
        <w:rPr>
          <w:rFonts w:hint="eastAsia" w:ascii="Times New Roman" w:hAnsi="Times New Roman" w:eastAsia="宋体" w:cs="Times New Roman"/>
          <w:bCs/>
          <w:sz w:val="24"/>
          <w:szCs w:val="32"/>
        </w:rPr>
      </w:pPr>
    </w:p>
    <w:p>
      <w:pPr>
        <w:adjustRightInd w:val="0"/>
        <w:snapToGrid w:val="0"/>
        <w:spacing w:line="360" w:lineRule="auto"/>
        <w:ind w:firstLine="480" w:firstLineChars="200"/>
        <w:rPr>
          <w:rFonts w:hint="eastAsia" w:ascii="Times New Roman" w:hAnsi="Times New Roman" w:eastAsia="宋体" w:cs="Times New Roman"/>
          <w:bCs/>
          <w:sz w:val="24"/>
          <w:szCs w:val="32"/>
        </w:rPr>
      </w:pPr>
    </w:p>
    <w:p>
      <w:pPr>
        <w:adjustRightInd w:val="0"/>
        <w:snapToGrid w:val="0"/>
        <w:spacing w:line="360" w:lineRule="auto"/>
        <w:ind w:firstLine="480" w:firstLineChars="200"/>
        <w:rPr>
          <w:rFonts w:hint="eastAsia" w:ascii="Times New Roman" w:hAnsi="Times New Roman" w:eastAsia="宋体" w:cs="Times New Roman"/>
          <w:bCs/>
          <w:sz w:val="24"/>
          <w:szCs w:val="32"/>
        </w:rPr>
      </w:pPr>
    </w:p>
    <w:p>
      <w:pPr>
        <w:adjustRightInd w:val="0"/>
        <w:snapToGrid w:val="0"/>
        <w:spacing w:line="360" w:lineRule="auto"/>
        <w:ind w:firstLine="480" w:firstLineChars="200"/>
        <w:rPr>
          <w:rFonts w:hint="eastAsia" w:ascii="Times New Roman" w:hAnsi="Times New Roman" w:eastAsia="宋体" w:cs="Times New Roman"/>
          <w:bCs/>
          <w:sz w:val="24"/>
          <w:szCs w:val="32"/>
        </w:rPr>
      </w:pPr>
    </w:p>
    <w:p>
      <w:pPr>
        <w:adjustRightInd w:val="0"/>
        <w:snapToGrid w:val="0"/>
        <w:spacing w:line="360" w:lineRule="auto"/>
        <w:ind w:firstLine="480" w:firstLineChars="200"/>
        <w:rPr>
          <w:rFonts w:hint="eastAsia" w:ascii="Times New Roman" w:hAnsi="Times New Roman" w:eastAsia="宋体" w:cs="Times New Roman"/>
          <w:bCs/>
          <w:sz w:val="24"/>
          <w:szCs w:val="32"/>
        </w:rPr>
      </w:pPr>
    </w:p>
    <w:p>
      <w:pPr>
        <w:adjustRightInd w:val="0"/>
        <w:snapToGrid w:val="0"/>
        <w:spacing w:line="360" w:lineRule="auto"/>
        <w:ind w:firstLine="480" w:firstLineChars="200"/>
        <w:rPr>
          <w:rFonts w:hint="eastAsia" w:ascii="Times New Roman" w:hAnsi="Times New Roman" w:eastAsia="宋体" w:cs="Times New Roman"/>
          <w:bCs/>
          <w:sz w:val="24"/>
          <w:szCs w:val="32"/>
        </w:rPr>
      </w:pPr>
    </w:p>
    <w:p>
      <w:pPr>
        <w:adjustRightInd w:val="0"/>
        <w:snapToGrid w:val="0"/>
        <w:spacing w:line="360" w:lineRule="auto"/>
        <w:ind w:firstLine="480" w:firstLineChars="200"/>
        <w:rPr>
          <w:rFonts w:hint="eastAsia" w:ascii="Times New Roman" w:hAnsi="Times New Roman" w:eastAsia="宋体" w:cs="Times New Roman"/>
          <w:bCs/>
          <w:sz w:val="24"/>
          <w:szCs w:val="32"/>
        </w:rPr>
      </w:pPr>
    </w:p>
    <w:p>
      <w:pPr>
        <w:adjustRightInd w:val="0"/>
        <w:snapToGrid w:val="0"/>
        <w:spacing w:line="360" w:lineRule="auto"/>
        <w:ind w:firstLine="480" w:firstLineChars="200"/>
        <w:rPr>
          <w:rFonts w:hint="eastAsia" w:ascii="Times New Roman" w:hAnsi="Times New Roman" w:eastAsia="宋体" w:cs="Times New Roman"/>
          <w:bCs/>
          <w:sz w:val="24"/>
          <w:szCs w:val="32"/>
        </w:rPr>
      </w:pPr>
    </w:p>
    <w:p>
      <w:pPr>
        <w:adjustRightInd w:val="0"/>
        <w:snapToGrid w:val="0"/>
        <w:spacing w:line="360" w:lineRule="auto"/>
        <w:ind w:firstLine="480" w:firstLineChars="200"/>
        <w:rPr>
          <w:rFonts w:hint="eastAsia" w:ascii="Times New Roman" w:hAnsi="Times New Roman" w:eastAsia="宋体" w:cs="Times New Roman"/>
          <w:bCs/>
          <w:sz w:val="24"/>
          <w:szCs w:val="32"/>
        </w:rPr>
      </w:pPr>
    </w:p>
    <w:p>
      <w:pPr>
        <w:adjustRightInd w:val="0"/>
        <w:snapToGrid w:val="0"/>
        <w:spacing w:line="360" w:lineRule="auto"/>
        <w:ind w:firstLine="480" w:firstLineChars="200"/>
        <w:rPr>
          <w:rFonts w:hint="eastAsia" w:ascii="Times New Roman" w:hAnsi="Times New Roman" w:eastAsia="宋体" w:cs="Times New Roman"/>
          <w:bCs/>
          <w:sz w:val="24"/>
          <w:szCs w:val="32"/>
        </w:rPr>
      </w:pPr>
    </w:p>
    <w:p>
      <w:pPr>
        <w:adjustRightInd w:val="0"/>
        <w:snapToGrid w:val="0"/>
        <w:spacing w:line="360" w:lineRule="auto"/>
        <w:ind w:firstLine="480" w:firstLineChars="200"/>
        <w:rPr>
          <w:rFonts w:hint="eastAsia" w:ascii="Times New Roman" w:hAnsi="Times New Roman" w:eastAsia="宋体" w:cs="Times New Roman"/>
          <w:bCs/>
          <w:sz w:val="24"/>
          <w:szCs w:val="32"/>
        </w:rPr>
      </w:pPr>
    </w:p>
    <w:p>
      <w:pPr>
        <w:adjustRightInd w:val="0"/>
        <w:snapToGrid w:val="0"/>
        <w:spacing w:line="360" w:lineRule="auto"/>
        <w:ind w:firstLine="480" w:firstLineChars="200"/>
        <w:rPr>
          <w:rFonts w:hint="eastAsia" w:ascii="Times New Roman" w:hAnsi="Times New Roman" w:eastAsia="宋体" w:cs="Times New Roman"/>
          <w:bCs/>
          <w:sz w:val="24"/>
          <w:szCs w:val="32"/>
        </w:rPr>
      </w:pPr>
    </w:p>
    <w:p>
      <w:pPr>
        <w:adjustRightInd w:val="0"/>
        <w:snapToGrid w:val="0"/>
        <w:spacing w:line="360" w:lineRule="auto"/>
        <w:ind w:firstLine="480" w:firstLineChars="200"/>
        <w:rPr>
          <w:rFonts w:hint="eastAsia" w:ascii="Times New Roman" w:hAnsi="Times New Roman" w:eastAsia="宋体" w:cs="Times New Roman"/>
          <w:bCs/>
          <w:sz w:val="24"/>
          <w:szCs w:val="32"/>
        </w:rPr>
      </w:pPr>
    </w:p>
    <w:p>
      <w:pPr>
        <w:adjustRightInd w:val="0"/>
        <w:snapToGrid w:val="0"/>
        <w:spacing w:line="360" w:lineRule="auto"/>
        <w:ind w:firstLine="480" w:firstLineChars="200"/>
        <w:rPr>
          <w:rFonts w:hint="eastAsia" w:ascii="Times New Roman" w:hAnsi="Times New Roman" w:eastAsia="宋体" w:cs="Times New Roman"/>
          <w:bCs/>
          <w:sz w:val="24"/>
          <w:szCs w:val="32"/>
        </w:rPr>
      </w:pPr>
    </w:p>
    <w:p>
      <w:pPr>
        <w:adjustRightInd w:val="0"/>
        <w:snapToGrid w:val="0"/>
        <w:spacing w:line="360" w:lineRule="auto"/>
        <w:ind w:firstLine="480" w:firstLineChars="200"/>
        <w:rPr>
          <w:rFonts w:hint="eastAsia" w:ascii="Times New Roman" w:hAnsi="Times New Roman" w:eastAsia="宋体" w:cs="Times New Roman"/>
          <w:bCs/>
          <w:sz w:val="24"/>
          <w:szCs w:val="32"/>
        </w:rPr>
      </w:pPr>
    </w:p>
    <w:p>
      <w:pPr>
        <w:adjustRightInd w:val="0"/>
        <w:snapToGrid w:val="0"/>
        <w:spacing w:line="360" w:lineRule="auto"/>
        <w:ind w:firstLine="480" w:firstLineChars="200"/>
        <w:rPr>
          <w:rFonts w:hint="eastAsia" w:ascii="Times New Roman" w:hAnsi="Times New Roman" w:eastAsia="宋体" w:cs="Times New Roman"/>
          <w:bCs/>
          <w:sz w:val="24"/>
          <w:szCs w:val="32"/>
        </w:rPr>
      </w:pPr>
    </w:p>
    <w:p>
      <w:pPr>
        <w:adjustRightInd w:val="0"/>
        <w:snapToGrid w:val="0"/>
        <w:spacing w:line="360" w:lineRule="auto"/>
        <w:rPr>
          <w:rFonts w:hint="eastAsia" w:ascii="Times New Roman" w:hAnsi="Times New Roman" w:eastAsia="宋体" w:cs="Times New Roman"/>
          <w:bCs/>
          <w:sz w:val="24"/>
          <w:szCs w:val="32"/>
        </w:rPr>
      </w:pPr>
    </w:p>
    <w:p>
      <w:pPr>
        <w:spacing w:line="360" w:lineRule="auto"/>
        <w:jc w:val="both"/>
        <w:outlineLvl w:val="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附件</w:t>
      </w:r>
      <w:r>
        <w:rPr>
          <w:rFonts w:hint="eastAsia" w:ascii="宋体" w:hAnsi="宋体" w:eastAsia="宋体" w:cs="宋体"/>
          <w:b/>
          <w:color w:val="000000" w:themeColor="text1"/>
          <w:sz w:val="24"/>
          <w:szCs w:val="24"/>
          <w:highlight w:val="none"/>
          <w:lang w:val="en-US" w:eastAsia="zh-CN"/>
          <w14:textFill>
            <w14:solidFill>
              <w14:schemeClr w14:val="tx1"/>
            </w14:solidFill>
          </w14:textFill>
        </w:rPr>
        <w:t>8</w:t>
      </w:r>
      <w:r>
        <w:rPr>
          <w:rFonts w:hint="eastAsia" w:ascii="宋体" w:hAnsi="宋体" w:eastAsia="宋体" w:cs="宋体"/>
          <w:b/>
          <w:color w:val="000000" w:themeColor="text1"/>
          <w:sz w:val="24"/>
          <w:szCs w:val="24"/>
          <w:highlight w:val="none"/>
          <w14:textFill>
            <w14:solidFill>
              <w14:schemeClr w14:val="tx1"/>
            </w14:solidFill>
          </w14:textFill>
        </w:rPr>
        <w:t xml:space="preserve">：             </w:t>
      </w:r>
      <w:r>
        <w:rPr>
          <w:rFonts w:hint="eastAsia" w:ascii="宋体" w:hAnsi="宋体" w:eastAsia="宋体" w:cs="宋体"/>
          <w:b/>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b/>
          <w:color w:val="000000" w:themeColor="text1"/>
          <w:sz w:val="24"/>
          <w:szCs w:val="24"/>
          <w:highlight w:val="none"/>
          <w14:textFill>
            <w14:solidFill>
              <w14:schemeClr w14:val="tx1"/>
            </w14:solidFill>
          </w14:textFill>
        </w:rPr>
        <w:t>数据保密协议</w:t>
      </w:r>
    </w:p>
    <w:p>
      <w:pPr>
        <w:pStyle w:val="18"/>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本协议适用于</w:t>
      </w:r>
      <w:r>
        <w:rPr>
          <w:rFonts w:hint="eastAsia" w:ascii="宋体" w:hAnsi="宋体" w:eastAsia="宋体" w:cs="宋体"/>
          <w:sz w:val="21"/>
          <w:szCs w:val="21"/>
          <w:lang w:val="en-US" w:eastAsia="zh-CN"/>
        </w:rPr>
        <w:t>河南中医药大学</w:t>
      </w:r>
      <w:r>
        <w:rPr>
          <w:rFonts w:hint="eastAsia" w:ascii="宋体" w:hAnsi="宋体" w:eastAsia="宋体" w:cs="宋体"/>
          <w:sz w:val="21"/>
          <w:szCs w:val="21"/>
        </w:rPr>
        <w:t>校内各单位与校外信息服务提供方。</w:t>
      </w:r>
    </w:p>
    <w:p>
      <w:pPr>
        <w:pStyle w:val="18"/>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第一条 乙方必须严格遵守</w:t>
      </w:r>
      <w:r>
        <w:rPr>
          <w:rFonts w:hint="eastAsia" w:ascii="宋体" w:hAnsi="宋体" w:eastAsia="宋体" w:cs="宋体"/>
          <w:sz w:val="21"/>
          <w:szCs w:val="21"/>
          <w:lang w:val="en-US" w:eastAsia="zh-CN"/>
        </w:rPr>
        <w:t>学校</w:t>
      </w:r>
      <w:r>
        <w:rPr>
          <w:rFonts w:hint="eastAsia" w:ascii="宋体" w:hAnsi="宋体" w:eastAsia="宋体" w:cs="宋体"/>
          <w:sz w:val="21"/>
          <w:szCs w:val="21"/>
        </w:rPr>
        <w:t>相关管理规定，合理、规范、安全地使用计算机、网络、数据和信息资源。乙方承诺在管理、 开发、实施项目的过程中，视所接触到的资料、数据和项目信息为保密内容，承担保密责任。</w:t>
      </w:r>
    </w:p>
    <w:p>
      <w:pPr>
        <w:pStyle w:val="18"/>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第二条 来源于</w:t>
      </w:r>
      <w:r>
        <w:rPr>
          <w:rFonts w:hint="eastAsia" w:ascii="宋体" w:hAnsi="宋体" w:eastAsia="宋体" w:cs="宋体"/>
          <w:sz w:val="21"/>
          <w:szCs w:val="21"/>
          <w:lang w:val="en-US" w:eastAsia="zh-CN"/>
        </w:rPr>
        <w:t>学校</w:t>
      </w:r>
      <w:r>
        <w:rPr>
          <w:rFonts w:hint="eastAsia" w:ascii="宋体" w:hAnsi="宋体" w:eastAsia="宋体" w:cs="宋体"/>
          <w:sz w:val="21"/>
          <w:szCs w:val="21"/>
        </w:rPr>
        <w:t>的所有资料、数据和项目信息， 包括但不限于教职工、学生个人身份信息、</w:t>
      </w:r>
      <w:r>
        <w:rPr>
          <w:rFonts w:hint="eastAsia" w:ascii="宋体" w:hAnsi="宋体" w:eastAsia="宋体" w:cs="宋体"/>
          <w:sz w:val="21"/>
          <w:szCs w:val="21"/>
          <w:lang w:val="en-US" w:eastAsia="zh-CN"/>
        </w:rPr>
        <w:t>学校</w:t>
      </w:r>
      <w:r>
        <w:rPr>
          <w:rFonts w:hint="eastAsia" w:ascii="宋体" w:hAnsi="宋体" w:eastAsia="宋体" w:cs="宋体"/>
          <w:sz w:val="21"/>
          <w:szCs w:val="21"/>
        </w:rPr>
        <w:t>组织架构信息、教学、科研、管理、服务等相关业务信息，以及项目建设内部文件、建设规划和建设方案资料。</w:t>
      </w:r>
    </w:p>
    <w:p>
      <w:pPr>
        <w:pStyle w:val="18"/>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第三条 乙方未经</w:t>
      </w:r>
      <w:r>
        <w:rPr>
          <w:rFonts w:hint="eastAsia" w:ascii="宋体" w:hAnsi="宋体" w:eastAsia="宋体" w:cs="宋体"/>
          <w:sz w:val="21"/>
          <w:szCs w:val="21"/>
          <w:lang w:val="en-US" w:eastAsia="zh-CN"/>
        </w:rPr>
        <w:t>学校</w:t>
      </w:r>
      <w:r>
        <w:rPr>
          <w:rFonts w:hint="eastAsia" w:ascii="宋体" w:hAnsi="宋体" w:eastAsia="宋体" w:cs="宋体"/>
          <w:sz w:val="21"/>
          <w:szCs w:val="21"/>
        </w:rPr>
        <w:t>允许，不得访问、删除、修改、增加、复制、备份、摄录、摘抄、打印数据和资料，不擅</w:t>
      </w:r>
      <w:r>
        <w:rPr>
          <w:rFonts w:hint="eastAsia" w:ascii="宋体" w:hAnsi="宋体" w:eastAsia="宋体" w:cs="宋体"/>
          <w:sz w:val="21"/>
          <w:szCs w:val="21"/>
          <w:lang w:val="en-US" w:eastAsia="zh-CN"/>
        </w:rPr>
        <w:t>自</w:t>
      </w:r>
      <w:r>
        <w:rPr>
          <w:rFonts w:hint="eastAsia" w:ascii="宋体" w:hAnsi="宋体" w:eastAsia="宋体" w:cs="宋体"/>
          <w:sz w:val="21"/>
          <w:szCs w:val="21"/>
        </w:rPr>
        <w:t>传播保密信息。</w:t>
      </w:r>
    </w:p>
    <w:p>
      <w:pPr>
        <w:pStyle w:val="18"/>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第四条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乙方保存数据、资料的存储介质(云盘、U盘、终端存储等)不可交由其他人使用，或作其它用途，必须妥善保管，严防丢失。</w:t>
      </w:r>
    </w:p>
    <w:p>
      <w:pPr>
        <w:pStyle w:val="18"/>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第五条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乙方未经允许，不得进行影响系统运行的操作，如关闭主机(设备)、关闭关键服务、大量数据查询、修改数据库、修改系统配置等。</w:t>
      </w:r>
    </w:p>
    <w:p>
      <w:pPr>
        <w:pStyle w:val="18"/>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第六条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乙方对自己使用及管理的账号，要做到实人使用，且必须加强密码管理，要求管理员账号使用字符、数字、符号组合的复杂密码，长度不小于8位，口令30天定期更换。</w:t>
      </w:r>
    </w:p>
    <w:p>
      <w:pPr>
        <w:pStyle w:val="18"/>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第七条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存有保密信息的介质(硬盘、U盘、磁盘、闪存、光盘等)如需送到单位外维修时，要将涉密资料备份后，对介质进行技术处理(如低级格式化、写零处理等),以防泄密。</w:t>
      </w:r>
    </w:p>
    <w:p>
      <w:pPr>
        <w:pStyle w:val="18"/>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第八条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乙方在承担项目工作完成以后，不得保留保密信息的副本,一切关于保密信息的资料销毁或返还信息提供部门，保证信息不会外流；乙方承诺若中途不再从事项目有关工作，仍对保密信息承担保密责任。</w:t>
      </w:r>
    </w:p>
    <w:p>
      <w:pPr>
        <w:pStyle w:val="18"/>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第九条</w:t>
      </w:r>
      <w:r>
        <w:rPr>
          <w:rFonts w:hint="eastAsia" w:ascii="宋体" w:hAnsi="宋体" w:eastAsia="宋体" w:cs="宋体"/>
          <w:sz w:val="21"/>
          <w:szCs w:val="21"/>
          <w:lang w:val="en-US" w:eastAsia="zh-CN"/>
        </w:rPr>
        <w:t xml:space="preserve"> 乙方</w:t>
      </w:r>
      <w:r>
        <w:rPr>
          <w:rFonts w:hint="eastAsia" w:ascii="宋体" w:hAnsi="宋体" w:eastAsia="宋体" w:cs="宋体"/>
          <w:sz w:val="21"/>
          <w:szCs w:val="21"/>
        </w:rPr>
        <w:t>若违反本承诺书内容，一经发现，</w:t>
      </w:r>
      <w:r>
        <w:rPr>
          <w:rFonts w:hint="eastAsia" w:ascii="宋体" w:hAnsi="宋体" w:eastAsia="宋体" w:cs="宋体"/>
          <w:sz w:val="21"/>
          <w:szCs w:val="21"/>
          <w:lang w:val="en-US" w:eastAsia="zh-CN"/>
        </w:rPr>
        <w:t>校方</w:t>
      </w:r>
      <w:r>
        <w:rPr>
          <w:rFonts w:hint="eastAsia" w:ascii="宋体" w:hAnsi="宋体" w:eastAsia="宋体" w:cs="宋体"/>
          <w:sz w:val="21"/>
          <w:szCs w:val="21"/>
        </w:rPr>
        <w:t>可视行为严重程度进行行政处分或经济处罚。后果严重者，</w:t>
      </w:r>
      <w:r>
        <w:rPr>
          <w:rFonts w:hint="eastAsia" w:ascii="宋体" w:hAnsi="宋体" w:eastAsia="宋体" w:cs="宋体"/>
          <w:sz w:val="21"/>
          <w:szCs w:val="21"/>
          <w:lang w:val="en-US" w:eastAsia="zh-CN"/>
        </w:rPr>
        <w:t>校方</w:t>
      </w:r>
      <w:r>
        <w:rPr>
          <w:rFonts w:hint="eastAsia" w:ascii="宋体" w:hAnsi="宋体" w:eastAsia="宋体" w:cs="宋体"/>
          <w:sz w:val="21"/>
          <w:szCs w:val="21"/>
        </w:rPr>
        <w:t>将通过法律途径向乙方索赔，或向司法机关报案处理。</w:t>
      </w:r>
    </w:p>
    <w:p>
      <w:pPr>
        <w:pStyle w:val="18"/>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乙方的保密义务自本协议盖章之日起开始生效，至保密信息公开或被公众知悉时止。乙方的保密义务并不因双方合作关系的解除而免除。</w:t>
      </w:r>
    </w:p>
    <w:p>
      <w:pPr>
        <w:pStyle w:val="18"/>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第十一条 凡与</w:t>
      </w:r>
      <w:r>
        <w:rPr>
          <w:rFonts w:hint="eastAsia" w:ascii="宋体" w:hAnsi="宋体" w:eastAsia="宋体" w:cs="宋体"/>
          <w:sz w:val="21"/>
          <w:szCs w:val="21"/>
          <w:lang w:val="en-US" w:eastAsia="zh-CN"/>
        </w:rPr>
        <w:t>校方</w:t>
      </w:r>
      <w:r>
        <w:rPr>
          <w:rFonts w:hint="eastAsia" w:ascii="宋体" w:hAnsi="宋体" w:eastAsia="宋体" w:cs="宋体"/>
          <w:sz w:val="21"/>
          <w:szCs w:val="21"/>
        </w:rPr>
        <w:t>发生的相关涉及数据安全的业务</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包括使用的APP，小程序，企业微信，PC端系统平台等）</w:t>
      </w:r>
      <w:r>
        <w:rPr>
          <w:rFonts w:hint="eastAsia" w:ascii="宋体" w:hAnsi="宋体" w:eastAsia="宋体" w:cs="宋体"/>
          <w:sz w:val="21"/>
          <w:szCs w:val="21"/>
        </w:rPr>
        <w:t>，均须签订本责任书。</w:t>
      </w: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b/>
          <w:sz w:val="21"/>
          <w:szCs w:val="21"/>
          <w:highlight w:val="none"/>
        </w:rPr>
        <w:t>乙方 (盖章)</w:t>
      </w:r>
      <w:r>
        <w:rPr>
          <w:rFonts w:hint="eastAsia" w:ascii="宋体" w:hAnsi="宋体" w:eastAsia="宋体" w:cs="宋体"/>
          <w:sz w:val="21"/>
          <w:szCs w:val="21"/>
        </w:rPr>
        <w:t>：</w:t>
      </w:r>
      <w:r>
        <w:rPr>
          <w:rFonts w:hint="eastAsia" w:ascii="宋体" w:hAnsi="宋体" w:cs="宋体"/>
          <w:b w:val="0"/>
          <w:bCs/>
          <w:color w:val="000000" w:themeColor="text1"/>
          <w:sz w:val="21"/>
          <w:szCs w:val="21"/>
          <w:highlight w:val="none"/>
          <w:u w:val="single"/>
          <w:lang w:val="en-US" w:eastAsia="zh-CN"/>
          <w14:textFill>
            <w14:solidFill>
              <w14:schemeClr w14:val="tx1"/>
            </w14:solidFill>
          </w14:textFill>
        </w:rPr>
        <w:t>江苏金智教育信息股份有限公司</w:t>
      </w:r>
    </w:p>
    <w:p>
      <w:pPr>
        <w:rPr>
          <w:color w:val="0000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63"/>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9271FD"/>
    <w:multiLevelType w:val="multilevel"/>
    <w:tmpl w:val="D59271FD"/>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00000006"/>
    <w:multiLevelType w:val="multilevel"/>
    <w:tmpl w:val="00000006"/>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rPr>
        <w:rFonts w:ascii="宋体" w:hAnsi="宋体" w:eastAsia="宋体"/>
        <w:sz w:val="24"/>
        <w:szCs w:val="24"/>
      </w:rPr>
    </w:lvl>
    <w:lvl w:ilvl="2" w:tentative="0">
      <w:start w:val="1"/>
      <w:numFmt w:val="decimal"/>
      <w:lvlText w:val="%1.%2.%3"/>
      <w:lvlJc w:val="left"/>
      <w:pPr>
        <w:tabs>
          <w:tab w:val="left" w:pos="720"/>
        </w:tabs>
        <w:ind w:left="720" w:hanging="720"/>
      </w:pPr>
      <w:rPr>
        <w:lang w:val="en-US"/>
      </w:rPr>
    </w:lvl>
    <w:lvl w:ilvl="3" w:tentative="0">
      <w:start w:val="1"/>
      <w:numFmt w:val="decimal"/>
      <w:lvlText w:val="%1.%2.%3.%4"/>
      <w:lvlJc w:val="left"/>
      <w:pPr>
        <w:tabs>
          <w:tab w:val="left" w:pos="864"/>
        </w:tabs>
        <w:ind w:left="864" w:hanging="864"/>
      </w:pPr>
    </w:lvl>
    <w:lvl w:ilvl="4" w:tentative="0">
      <w:start w:val="1"/>
      <w:numFmt w:val="decimal"/>
      <w:pStyle w:val="5"/>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2">
    <w:nsid w:val="07C538D2"/>
    <w:multiLevelType w:val="multilevel"/>
    <w:tmpl w:val="07C538D2"/>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0CC22D3F"/>
    <w:multiLevelType w:val="multilevel"/>
    <w:tmpl w:val="0CC22D3F"/>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0F4D3647"/>
    <w:multiLevelType w:val="multilevel"/>
    <w:tmpl w:val="0F4D3647"/>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0FE337EE"/>
    <w:multiLevelType w:val="multilevel"/>
    <w:tmpl w:val="0FE337EE"/>
    <w:lvl w:ilvl="0" w:tentative="0">
      <w:start w:val="1"/>
      <w:numFmt w:val="bullet"/>
      <w:lvlText w:val=""/>
      <w:lvlJc w:val="left"/>
      <w:pPr>
        <w:ind w:left="902" w:hanging="420"/>
      </w:pPr>
      <w:rPr>
        <w:rFonts w:hint="default" w:ascii="Wingdings" w:hAnsi="Wingdings"/>
      </w:rPr>
    </w:lvl>
    <w:lvl w:ilvl="1" w:tentative="0">
      <w:start w:val="1"/>
      <w:numFmt w:val="bullet"/>
      <w:lvlText w:val=""/>
      <w:lvlJc w:val="left"/>
      <w:pPr>
        <w:ind w:left="1322" w:hanging="420"/>
      </w:pPr>
    </w:lvl>
    <w:lvl w:ilvl="2" w:tentative="0">
      <w:start w:val="1"/>
      <w:numFmt w:val="bullet"/>
      <w:lvlText w:val=""/>
      <w:lvlJc w:val="left"/>
      <w:pPr>
        <w:ind w:left="1742" w:hanging="420"/>
      </w:pPr>
    </w:lvl>
    <w:lvl w:ilvl="3" w:tentative="0">
      <w:start w:val="1"/>
      <w:numFmt w:val="bullet"/>
      <w:lvlText w:val=""/>
      <w:lvlJc w:val="left"/>
      <w:pPr>
        <w:ind w:left="2162" w:hanging="420"/>
      </w:pPr>
    </w:lvl>
    <w:lvl w:ilvl="4" w:tentative="0">
      <w:start w:val="1"/>
      <w:numFmt w:val="bullet"/>
      <w:lvlText w:val=""/>
      <w:lvlJc w:val="left"/>
      <w:pPr>
        <w:ind w:left="2582" w:hanging="420"/>
      </w:pPr>
    </w:lvl>
    <w:lvl w:ilvl="5" w:tentative="0">
      <w:start w:val="1"/>
      <w:numFmt w:val="bullet"/>
      <w:lvlText w:val=""/>
      <w:lvlJc w:val="left"/>
      <w:pPr>
        <w:ind w:left="3002" w:hanging="420"/>
      </w:pPr>
    </w:lvl>
    <w:lvl w:ilvl="6" w:tentative="0">
      <w:start w:val="1"/>
      <w:numFmt w:val="bullet"/>
      <w:lvlText w:val=""/>
      <w:lvlJc w:val="left"/>
      <w:pPr>
        <w:ind w:left="3422" w:hanging="420"/>
      </w:pPr>
    </w:lvl>
    <w:lvl w:ilvl="7" w:tentative="0">
      <w:start w:val="1"/>
      <w:numFmt w:val="bullet"/>
      <w:lvlText w:val=""/>
      <w:lvlJc w:val="left"/>
      <w:pPr>
        <w:ind w:left="3842" w:hanging="420"/>
      </w:pPr>
    </w:lvl>
    <w:lvl w:ilvl="8" w:tentative="0">
      <w:start w:val="1"/>
      <w:numFmt w:val="bullet"/>
      <w:lvlText w:val=""/>
      <w:lvlJc w:val="left"/>
      <w:pPr>
        <w:ind w:left="4262" w:hanging="420"/>
      </w:pPr>
    </w:lvl>
  </w:abstractNum>
  <w:abstractNum w:abstractNumId="6">
    <w:nsid w:val="1291093C"/>
    <w:multiLevelType w:val="multilevel"/>
    <w:tmpl w:val="1291093C"/>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7">
    <w:nsid w:val="14CC09E6"/>
    <w:multiLevelType w:val="multilevel"/>
    <w:tmpl w:val="14CC09E6"/>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15307BD6"/>
    <w:multiLevelType w:val="multilevel"/>
    <w:tmpl w:val="15307BD6"/>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rPr>
        <w:rFonts w:hint="eastAsia"/>
      </w:rPr>
    </w:lvl>
    <w:lvl w:ilvl="2" w:tentative="0">
      <w:start w:val="1"/>
      <w:numFmt w:val="lowerRoman"/>
      <w:lvlText w:val="%3."/>
      <w:lvlJc w:val="right"/>
      <w:pPr>
        <w:ind w:left="1740" w:hanging="420"/>
      </w:pPr>
      <w:rPr>
        <w:rFonts w:hint="eastAsia"/>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abstractNum w:abstractNumId="9">
    <w:nsid w:val="15E65C9A"/>
    <w:multiLevelType w:val="multilevel"/>
    <w:tmpl w:val="15E65C9A"/>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16133A86"/>
    <w:multiLevelType w:val="multilevel"/>
    <w:tmpl w:val="16133A86"/>
    <w:lvl w:ilvl="0" w:tentative="0">
      <w:start w:val="1"/>
      <w:numFmt w:val="chineseCountingThousand"/>
      <w:suff w:val="space"/>
      <w:lvlText w:val="第%1部分 "/>
      <w:lvlJc w:val="left"/>
      <w:pPr>
        <w:ind w:left="432" w:hanging="432"/>
      </w:pPr>
      <w:rPr>
        <w:rFonts w:hint="eastAsia"/>
      </w:rPr>
    </w:lvl>
    <w:lvl w:ilvl="1" w:tentative="0">
      <w:start w:val="1"/>
      <w:numFmt w:val="chineseCountingThousand"/>
      <w:suff w:val="nothing"/>
      <w:lvlText w:val="%2、"/>
      <w:lvlJc w:val="left"/>
      <w:pPr>
        <w:ind w:left="575" w:hanging="575"/>
      </w:pPr>
      <w:rPr>
        <w:rFonts w:hint="eastAsia"/>
      </w:rPr>
    </w:lvl>
    <w:lvl w:ilvl="2" w:tentative="0">
      <w:start w:val="1"/>
      <w:numFmt w:val="decimal"/>
      <w:isLgl/>
      <w:suff w:val="nothing"/>
      <w:lvlText w:val="%2.%3."/>
      <w:lvlJc w:val="left"/>
      <w:pPr>
        <w:ind w:left="0" w:firstLine="0"/>
      </w:pPr>
      <w:rPr>
        <w:rFonts w:hint="eastAsia"/>
      </w:rPr>
    </w:lvl>
    <w:lvl w:ilvl="3" w:tentative="0">
      <w:start w:val="1"/>
      <w:numFmt w:val="decimal"/>
      <w:isLgl/>
      <w:lvlText w:val="%2.%3.%4."/>
      <w:lvlJc w:val="left"/>
      <w:pPr>
        <w:ind w:left="864" w:hanging="864"/>
      </w:pPr>
      <w:rPr>
        <w:rFonts w:hint="eastAsia"/>
      </w:rPr>
    </w:lvl>
    <w:lvl w:ilvl="4" w:tentative="0">
      <w:start w:val="1"/>
      <w:numFmt w:val="decimal"/>
      <w:isLgl/>
      <w:suff w:val="nothing"/>
      <w:lvlText w:val="%2.%3.%4.%5."/>
      <w:lvlJc w:val="left"/>
      <w:pPr>
        <w:ind w:left="0" w:firstLine="0"/>
      </w:pPr>
      <w:rPr>
        <w:rFonts w:hint="eastAsia"/>
      </w:rPr>
    </w:lvl>
    <w:lvl w:ilvl="5" w:tentative="0">
      <w:start w:val="1"/>
      <w:numFmt w:val="decimal"/>
      <w:isLgl/>
      <w:suff w:val="nothing"/>
      <w:lvlText w:val="%2.%3.%4.%5.%6."/>
      <w:lvlJc w:val="left"/>
      <w:pPr>
        <w:ind w:left="1151" w:hanging="1151"/>
      </w:pPr>
      <w:rPr>
        <w:rFonts w:hint="eastAsia"/>
      </w:rPr>
    </w:lvl>
    <w:lvl w:ilvl="6" w:tentative="0">
      <w:start w:val="1"/>
      <w:numFmt w:val="decimal"/>
      <w:isLgl/>
      <w:suff w:val="nothing"/>
      <w:lvlText w:val="%2.%3.%4.%5.%6.%7."/>
      <w:lvlJc w:val="left"/>
      <w:pPr>
        <w:ind w:left="0" w:firstLine="0"/>
      </w:pPr>
      <w:rPr>
        <w:rFonts w:hint="eastAsia"/>
      </w:rPr>
    </w:lvl>
    <w:lvl w:ilvl="7" w:tentative="0">
      <w:start w:val="1"/>
      <w:numFmt w:val="decimal"/>
      <w:isLgl/>
      <w:lvlText w:val="%2.%3.%4.%5.%6.%7.%8."/>
      <w:lvlJc w:val="left"/>
      <w:pPr>
        <w:ind w:left="1440" w:hanging="1440"/>
      </w:pPr>
      <w:rPr>
        <w:rFonts w:hint="eastAsia"/>
      </w:rPr>
    </w:lvl>
    <w:lvl w:ilvl="8" w:tentative="0">
      <w:start w:val="1"/>
      <w:numFmt w:val="decimal"/>
      <w:isLgl/>
      <w:suff w:val="nothing"/>
      <w:lvlText w:val="%2.%3.%4.%5.%6.%7.%8.%9."/>
      <w:lvlJc w:val="left"/>
      <w:pPr>
        <w:ind w:left="0" w:firstLine="0"/>
      </w:pPr>
      <w:rPr>
        <w:rFonts w:hint="eastAsia"/>
      </w:rPr>
    </w:lvl>
  </w:abstractNum>
  <w:abstractNum w:abstractNumId="11">
    <w:nsid w:val="17EA1CB8"/>
    <w:multiLevelType w:val="multilevel"/>
    <w:tmpl w:val="17EA1CB8"/>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20C551BE"/>
    <w:multiLevelType w:val="multilevel"/>
    <w:tmpl w:val="20C551BE"/>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29863F3D"/>
    <w:multiLevelType w:val="multilevel"/>
    <w:tmpl w:val="29863F3D"/>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4">
    <w:nsid w:val="29D47499"/>
    <w:multiLevelType w:val="multilevel"/>
    <w:tmpl w:val="29D47499"/>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5">
    <w:nsid w:val="31D74518"/>
    <w:multiLevelType w:val="multilevel"/>
    <w:tmpl w:val="31D74518"/>
    <w:lvl w:ilvl="0" w:tentative="0">
      <w:start w:val="1"/>
      <w:numFmt w:val="decimal"/>
      <w:lvlText w:val="%1）"/>
      <w:lvlJc w:val="left"/>
      <w:pPr>
        <w:ind w:left="840" w:hanging="360"/>
      </w:pPr>
      <w:rPr>
        <w:rFonts w:hint="default"/>
      </w:rPr>
    </w:lvl>
    <w:lvl w:ilvl="1" w:tentative="0">
      <w:start w:val="1"/>
      <w:numFmt w:val="decimal"/>
      <w:lvlText w:val="%2、"/>
      <w:lvlJc w:val="left"/>
      <w:pPr>
        <w:ind w:left="1280" w:hanging="360"/>
      </w:pPr>
      <w:rPr>
        <w:rFonts w:hint="default"/>
      </w:r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6">
    <w:nsid w:val="32A771CF"/>
    <w:multiLevelType w:val="multilevel"/>
    <w:tmpl w:val="32A771C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7">
    <w:nsid w:val="35E54076"/>
    <w:multiLevelType w:val="multilevel"/>
    <w:tmpl w:val="35E54076"/>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393D1A2A"/>
    <w:multiLevelType w:val="multilevel"/>
    <w:tmpl w:val="393D1A2A"/>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3A4D5CAC"/>
    <w:multiLevelType w:val="multilevel"/>
    <w:tmpl w:val="3A4D5CAC"/>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rPr>
        <w:rFonts w:hint="eastAsia"/>
      </w:rPr>
    </w:lvl>
    <w:lvl w:ilvl="2" w:tentative="0">
      <w:start w:val="1"/>
      <w:numFmt w:val="lowerRoman"/>
      <w:lvlText w:val="%3."/>
      <w:lvlJc w:val="right"/>
      <w:pPr>
        <w:ind w:left="1740" w:hanging="420"/>
      </w:pPr>
      <w:rPr>
        <w:rFonts w:hint="eastAsia"/>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abstractNum w:abstractNumId="20">
    <w:nsid w:val="3DEE2174"/>
    <w:multiLevelType w:val="multilevel"/>
    <w:tmpl w:val="3DEE2174"/>
    <w:lvl w:ilvl="0" w:tentative="0">
      <w:start w:val="1"/>
      <w:numFmt w:val="decimal"/>
      <w:lvlText w:val="%1、"/>
      <w:lvlJc w:val="left"/>
      <w:pPr>
        <w:ind w:left="840" w:hanging="36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21">
    <w:nsid w:val="3FCD6601"/>
    <w:multiLevelType w:val="multilevel"/>
    <w:tmpl w:val="3FCD6601"/>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rPr>
        <w:rFonts w:hint="eastAsia"/>
      </w:rPr>
    </w:lvl>
    <w:lvl w:ilvl="2" w:tentative="0">
      <w:start w:val="1"/>
      <w:numFmt w:val="lowerRoman"/>
      <w:lvlText w:val="%3."/>
      <w:lvlJc w:val="right"/>
      <w:pPr>
        <w:ind w:left="1740" w:hanging="420"/>
      </w:pPr>
      <w:rPr>
        <w:rFonts w:hint="eastAsia"/>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abstractNum w:abstractNumId="22">
    <w:nsid w:val="40B3423D"/>
    <w:multiLevelType w:val="multilevel"/>
    <w:tmpl w:val="40B3423D"/>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rPr>
        <w:rFonts w:hint="eastAsia"/>
      </w:rPr>
    </w:lvl>
    <w:lvl w:ilvl="2" w:tentative="0">
      <w:start w:val="1"/>
      <w:numFmt w:val="lowerRoman"/>
      <w:lvlText w:val="%3."/>
      <w:lvlJc w:val="right"/>
      <w:pPr>
        <w:ind w:left="1740" w:hanging="420"/>
      </w:pPr>
      <w:rPr>
        <w:rFonts w:hint="eastAsia"/>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abstractNum w:abstractNumId="23">
    <w:nsid w:val="444E28D1"/>
    <w:multiLevelType w:val="multilevel"/>
    <w:tmpl w:val="444E28D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47CC1454"/>
    <w:multiLevelType w:val="multilevel"/>
    <w:tmpl w:val="47CC1454"/>
    <w:lvl w:ilvl="0" w:tentative="0">
      <w:start w:val="1"/>
      <w:numFmt w:val="decimal"/>
      <w:lvlText w:val="%1）"/>
      <w:lvlJc w:val="left"/>
      <w:pPr>
        <w:ind w:left="840" w:hanging="36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25">
    <w:nsid w:val="4BAA0C8B"/>
    <w:multiLevelType w:val="multilevel"/>
    <w:tmpl w:val="4BAA0C8B"/>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6">
    <w:nsid w:val="4D266C41"/>
    <w:multiLevelType w:val="multilevel"/>
    <w:tmpl w:val="4D266C41"/>
    <w:lvl w:ilvl="0" w:tentative="0">
      <w:start w:val="1"/>
      <w:numFmt w:val="decimal"/>
      <w:lvlText w:val="%1)"/>
      <w:lvlJc w:val="left"/>
      <w:pPr>
        <w:ind w:left="0" w:firstLine="0"/>
      </w:pPr>
      <w:rPr>
        <w:rFonts w:hint="eastAsia"/>
      </w:rPr>
    </w:lvl>
    <w:lvl w:ilvl="1" w:tentative="0">
      <w:start w:val="1"/>
      <w:numFmt w:val="lowerLetter"/>
      <w:lvlText w:val="%2)"/>
      <w:lvlJc w:val="left"/>
      <w:pPr>
        <w:ind w:left="1320" w:hanging="420"/>
      </w:pPr>
      <w:rPr>
        <w:rFonts w:hint="eastAsia"/>
      </w:rPr>
    </w:lvl>
    <w:lvl w:ilvl="2" w:tentative="0">
      <w:start w:val="1"/>
      <w:numFmt w:val="lowerRoman"/>
      <w:lvlText w:val="%3."/>
      <w:lvlJc w:val="right"/>
      <w:pPr>
        <w:ind w:left="1740" w:hanging="420"/>
      </w:pPr>
      <w:rPr>
        <w:rFonts w:hint="eastAsia"/>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abstractNum w:abstractNumId="27">
    <w:nsid w:val="51782AE3"/>
    <w:multiLevelType w:val="multilevel"/>
    <w:tmpl w:val="51782AE3"/>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28">
    <w:nsid w:val="59AA29F9"/>
    <w:multiLevelType w:val="multilevel"/>
    <w:tmpl w:val="59AA29F9"/>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29">
    <w:nsid w:val="635F7040"/>
    <w:multiLevelType w:val="multilevel"/>
    <w:tmpl w:val="635F70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0">
    <w:nsid w:val="65CA4608"/>
    <w:multiLevelType w:val="multilevel"/>
    <w:tmpl w:val="65CA4608"/>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1">
    <w:nsid w:val="71F05A02"/>
    <w:multiLevelType w:val="multilevel"/>
    <w:tmpl w:val="71F05A02"/>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2">
    <w:nsid w:val="7BB5124D"/>
    <w:multiLevelType w:val="multilevel"/>
    <w:tmpl w:val="7BB5124D"/>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3">
    <w:nsid w:val="7E7C28CA"/>
    <w:multiLevelType w:val="multilevel"/>
    <w:tmpl w:val="7E7C28CA"/>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4">
    <w:nsid w:val="7EF25CD4"/>
    <w:multiLevelType w:val="multilevel"/>
    <w:tmpl w:val="7EF25CD4"/>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6"/>
  </w:num>
  <w:num w:numId="3">
    <w:abstractNumId w:val="5"/>
  </w:num>
  <w:num w:numId="4">
    <w:abstractNumId w:val="15"/>
  </w:num>
  <w:num w:numId="5">
    <w:abstractNumId w:val="24"/>
  </w:num>
  <w:num w:numId="6">
    <w:abstractNumId w:val="28"/>
  </w:num>
  <w:num w:numId="7">
    <w:abstractNumId w:val="20"/>
  </w:num>
  <w:num w:numId="8">
    <w:abstractNumId w:val="12"/>
  </w:num>
  <w:num w:numId="9">
    <w:abstractNumId w:val="7"/>
  </w:num>
  <w:num w:numId="10">
    <w:abstractNumId w:val="2"/>
  </w:num>
  <w:num w:numId="11">
    <w:abstractNumId w:val="32"/>
  </w:num>
  <w:num w:numId="12">
    <w:abstractNumId w:val="30"/>
  </w:num>
  <w:num w:numId="13">
    <w:abstractNumId w:val="8"/>
  </w:num>
  <w:num w:numId="14">
    <w:abstractNumId w:val="19"/>
  </w:num>
  <w:num w:numId="15">
    <w:abstractNumId w:val="31"/>
  </w:num>
  <w:num w:numId="16">
    <w:abstractNumId w:val="34"/>
  </w:num>
  <w:num w:numId="17">
    <w:abstractNumId w:val="25"/>
  </w:num>
  <w:num w:numId="18">
    <w:abstractNumId w:val="17"/>
  </w:num>
  <w:num w:numId="19">
    <w:abstractNumId w:val="29"/>
  </w:num>
  <w:num w:numId="20">
    <w:abstractNumId w:val="4"/>
  </w:num>
  <w:num w:numId="21">
    <w:abstractNumId w:val="22"/>
  </w:num>
  <w:num w:numId="22">
    <w:abstractNumId w:val="21"/>
  </w:num>
  <w:num w:numId="23">
    <w:abstractNumId w:val="0"/>
  </w:num>
  <w:num w:numId="24">
    <w:abstractNumId w:val="23"/>
  </w:num>
  <w:num w:numId="25">
    <w:abstractNumId w:val="26"/>
  </w:num>
  <w:num w:numId="26">
    <w:abstractNumId w:val="9"/>
  </w:num>
  <w:num w:numId="27">
    <w:abstractNumId w:val="33"/>
  </w:num>
  <w:num w:numId="28">
    <w:abstractNumId w:val="3"/>
  </w:num>
  <w:num w:numId="29">
    <w:abstractNumId w:val="18"/>
  </w:num>
  <w:num w:numId="30">
    <w:abstractNumId w:val="11"/>
  </w:num>
  <w:num w:numId="31">
    <w:abstractNumId w:val="27"/>
  </w:num>
  <w:num w:numId="32">
    <w:abstractNumId w:val="13"/>
  </w:num>
  <w:num w:numId="33">
    <w:abstractNumId w:val="14"/>
  </w:num>
  <w:num w:numId="34">
    <w:abstractNumId w:val="16"/>
  </w:num>
  <w:num w:numId="35">
    <w:abstractNumId w:val="10"/>
    <w:lvlOverride w:ilvl="0">
      <w:lvl w:ilvl="0" w:tentative="1">
        <w:start w:val="1"/>
        <w:numFmt w:val="chineseCountingThousand"/>
        <w:suff w:val="space"/>
        <w:lvlText w:val="第%1部分 "/>
        <w:lvlJc w:val="left"/>
        <w:pPr>
          <w:ind w:left="432" w:hanging="432"/>
        </w:pPr>
        <w:rPr>
          <w:rFonts w:hint="eastAsia"/>
        </w:rPr>
      </w:lvl>
    </w:lvlOverride>
    <w:lvlOverride w:ilvl="1">
      <w:lvl w:ilvl="1" w:tentative="1">
        <w:start w:val="1"/>
        <w:numFmt w:val="chineseCountingThousand"/>
        <w:suff w:val="nothing"/>
        <w:lvlText w:val="%2、"/>
        <w:lvlJc w:val="left"/>
        <w:pPr>
          <w:ind w:left="575" w:hanging="575"/>
        </w:pPr>
        <w:rPr>
          <w:rFonts w:hint="eastAsia"/>
        </w:rPr>
      </w:lvl>
    </w:lvlOverride>
    <w:lvlOverride w:ilvl="2">
      <w:lvl w:ilvl="2" w:tentative="1">
        <w:start w:val="1"/>
        <w:numFmt w:val="decimal"/>
        <w:isLgl/>
        <w:suff w:val="nothing"/>
        <w:lvlText w:val="%2.%3."/>
        <w:lvlJc w:val="left"/>
        <w:pPr>
          <w:ind w:left="0" w:firstLine="0"/>
        </w:pPr>
        <w:rPr>
          <w:rFonts w:hint="eastAsia"/>
        </w:rPr>
      </w:lvl>
    </w:lvlOverride>
    <w:lvlOverride w:ilvl="3">
      <w:lvl w:ilvl="3" w:tentative="1">
        <w:start w:val="1"/>
        <w:numFmt w:val="decimal"/>
        <w:isLgl/>
        <w:suff w:val="nothing"/>
        <w:lvlText w:val="%2.%3.%4."/>
        <w:lvlJc w:val="left"/>
        <w:pPr>
          <w:ind w:left="864" w:hanging="864"/>
        </w:pPr>
        <w:rPr>
          <w:rFonts w:hint="eastAsia"/>
        </w:rPr>
      </w:lvl>
    </w:lvlOverride>
    <w:lvlOverride w:ilvl="4">
      <w:lvl w:ilvl="4" w:tentative="1">
        <w:start w:val="1"/>
        <w:numFmt w:val="decimal"/>
        <w:isLgl/>
        <w:suff w:val="nothing"/>
        <w:lvlText w:val="%2.%3.%4.%5."/>
        <w:lvlJc w:val="left"/>
        <w:pPr>
          <w:ind w:left="0" w:firstLine="0"/>
        </w:pPr>
        <w:rPr>
          <w:rFonts w:hint="eastAsia"/>
        </w:rPr>
      </w:lvl>
    </w:lvlOverride>
    <w:lvlOverride w:ilvl="5">
      <w:lvl w:ilvl="5" w:tentative="1">
        <w:start w:val="1"/>
        <w:numFmt w:val="decimal"/>
        <w:isLgl/>
        <w:suff w:val="nothing"/>
        <w:lvlText w:val="%2.%3.%4.%5.%6."/>
        <w:lvlJc w:val="left"/>
        <w:pPr>
          <w:ind w:left="1151" w:hanging="1151"/>
        </w:pPr>
        <w:rPr>
          <w:rFonts w:hint="eastAsia"/>
        </w:rPr>
      </w:lvl>
    </w:lvlOverride>
    <w:lvlOverride w:ilvl="6">
      <w:lvl w:ilvl="6" w:tentative="1">
        <w:start w:val="1"/>
        <w:numFmt w:val="decimal"/>
        <w:isLgl/>
        <w:suff w:val="nothing"/>
        <w:lvlText w:val="%2.%3.%4.%5.%6.%7."/>
        <w:lvlJc w:val="left"/>
        <w:pPr>
          <w:ind w:left="0" w:firstLine="0"/>
        </w:pPr>
        <w:rPr>
          <w:rFonts w:hint="eastAsia"/>
        </w:rPr>
      </w:lvl>
    </w:lvlOverride>
    <w:lvlOverride w:ilvl="7">
      <w:lvl w:ilvl="7" w:tentative="1">
        <w:start w:val="1"/>
        <w:numFmt w:val="decimal"/>
        <w:isLgl/>
        <w:lvlText w:val="%2.%3.%4.%5.%6.%7.%8."/>
        <w:lvlJc w:val="left"/>
        <w:pPr>
          <w:ind w:left="1440" w:hanging="1440"/>
        </w:pPr>
        <w:rPr>
          <w:rFonts w:hint="eastAsia"/>
        </w:rPr>
      </w:lvl>
    </w:lvlOverride>
    <w:lvlOverride w:ilvl="8">
      <w:lvl w:ilvl="8" w:tentative="1">
        <w:start w:val="1"/>
        <w:numFmt w:val="decimal"/>
        <w:isLgl/>
        <w:suff w:val="nothing"/>
        <w:lvlText w:val="%2.%3.%4.%5.%6.%7.%8.%9."/>
        <w:lvlJc w:val="left"/>
        <w:pPr>
          <w:ind w:left="0" w:firstLine="0"/>
        </w:pPr>
        <w:rPr>
          <w:rFonts w:hint="eastAsia"/>
        </w:rPr>
      </w:lvl>
    </w:lvlOverride>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zMjUwMDNmZTNmMWI2OTkxZTZiMThhZGM0MjkxNTkifQ=="/>
  </w:docVars>
  <w:rsids>
    <w:rsidRoot w:val="09A00221"/>
    <w:rsid w:val="008379EE"/>
    <w:rsid w:val="01B21289"/>
    <w:rsid w:val="028D3A68"/>
    <w:rsid w:val="04F1255A"/>
    <w:rsid w:val="09A00221"/>
    <w:rsid w:val="0AA417AC"/>
    <w:rsid w:val="0C724A0B"/>
    <w:rsid w:val="0FD318A5"/>
    <w:rsid w:val="1289475C"/>
    <w:rsid w:val="18E17286"/>
    <w:rsid w:val="1B9E72CC"/>
    <w:rsid w:val="1D551FC7"/>
    <w:rsid w:val="1E5F6569"/>
    <w:rsid w:val="1E733517"/>
    <w:rsid w:val="207414E2"/>
    <w:rsid w:val="27840543"/>
    <w:rsid w:val="28F811E9"/>
    <w:rsid w:val="29CB0578"/>
    <w:rsid w:val="2BD05397"/>
    <w:rsid w:val="316A1E7D"/>
    <w:rsid w:val="34EB4257"/>
    <w:rsid w:val="35B45E1A"/>
    <w:rsid w:val="35CD1307"/>
    <w:rsid w:val="39355C80"/>
    <w:rsid w:val="3B806E1C"/>
    <w:rsid w:val="3BDB4052"/>
    <w:rsid w:val="4B6745FE"/>
    <w:rsid w:val="52291CD0"/>
    <w:rsid w:val="52385F1D"/>
    <w:rsid w:val="531225F7"/>
    <w:rsid w:val="53312A7E"/>
    <w:rsid w:val="53887C35"/>
    <w:rsid w:val="637B5152"/>
    <w:rsid w:val="65626912"/>
    <w:rsid w:val="66F51FDE"/>
    <w:rsid w:val="6A112792"/>
    <w:rsid w:val="718412B5"/>
    <w:rsid w:val="721E0247"/>
    <w:rsid w:val="73FD6B6F"/>
    <w:rsid w:val="750D7CA4"/>
    <w:rsid w:val="75602553"/>
    <w:rsid w:val="78020A06"/>
    <w:rsid w:val="787D038F"/>
    <w:rsid w:val="78C733B9"/>
    <w:rsid w:val="7CD63EB0"/>
    <w:rsid w:val="7D500768"/>
    <w:rsid w:val="7D5508B2"/>
    <w:rsid w:val="7E9806B7"/>
    <w:rsid w:val="7F2B6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autoRedefine/>
    <w:semiHidden/>
    <w:unhideWhenUsed/>
    <w:qFormat/>
    <w:uiPriority w:val="0"/>
    <w:pPr>
      <w:keepNext/>
      <w:keepLines/>
      <w:spacing w:before="260" w:after="260" w:line="360" w:lineRule="auto"/>
      <w:jc w:val="both"/>
      <w:outlineLvl w:val="1"/>
    </w:pPr>
    <w:rPr>
      <w:rFonts w:ascii="Arial" w:hAnsi="Arial" w:eastAsia="宋体" w:cs="Times New Roman"/>
      <w:b/>
      <w:sz w:val="24"/>
      <w:szCs w:val="20"/>
    </w:rPr>
  </w:style>
  <w:style w:type="paragraph" w:styleId="3">
    <w:name w:val="heading 3"/>
    <w:basedOn w:val="1"/>
    <w:next w:val="1"/>
    <w:unhideWhenUsed/>
    <w:qFormat/>
    <w:uiPriority w:val="9"/>
    <w:pPr>
      <w:keepNext/>
      <w:keepLines/>
      <w:spacing w:before="260" w:after="260" w:line="416" w:lineRule="auto"/>
      <w:outlineLvl w:val="2"/>
    </w:pPr>
    <w:rPr>
      <w:b/>
      <w:bCs/>
      <w:sz w:val="32"/>
      <w:szCs w:val="32"/>
    </w:rPr>
  </w:style>
  <w:style w:type="paragraph" w:styleId="4">
    <w:name w:val="heading 4"/>
    <w:basedOn w:val="1"/>
    <w:next w:val="1"/>
    <w:autoRedefine/>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5">
    <w:name w:val="heading 5"/>
    <w:next w:val="1"/>
    <w:autoRedefine/>
    <w:qFormat/>
    <w:uiPriority w:val="0"/>
    <w:pPr>
      <w:keepNext/>
      <w:keepLines/>
      <w:numPr>
        <w:ilvl w:val="4"/>
        <w:numId w:val="1"/>
      </w:numPr>
      <w:tabs>
        <w:tab w:val="left" w:pos="432"/>
      </w:tabs>
      <w:spacing w:before="100" w:beforeAutospacing="1" w:after="100" w:afterAutospacing="1" w:line="360" w:lineRule="auto"/>
      <w:outlineLvl w:val="4"/>
    </w:pPr>
    <w:rPr>
      <w:rFonts w:ascii="Times New Roman" w:hAnsi="Times New Roman" w:eastAsia="宋体" w:cs="Times New Roman"/>
      <w:b/>
      <w:bCs/>
      <w:kern w:val="2"/>
      <w:sz w:val="28"/>
      <w:szCs w:val="28"/>
      <w:lang w:val="en-US" w:eastAsia="zh-CN" w:bidi="ar-SA"/>
    </w:rPr>
  </w:style>
  <w:style w:type="character" w:default="1" w:styleId="10">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6">
    <w:name w:val="Plain Text"/>
    <w:basedOn w:val="1"/>
    <w:autoRedefine/>
    <w:qFormat/>
    <w:uiPriority w:val="0"/>
    <w:rPr>
      <w:rFonts w:ascii="宋体" w:hAnsi="Courier New"/>
    </w:rPr>
  </w:style>
  <w:style w:type="paragraph" w:styleId="7">
    <w:name w:val="Normal (Web)"/>
    <w:autoRedefine/>
    <w:qFormat/>
    <w:uiPriority w:val="0"/>
    <w:pPr>
      <w:spacing w:before="0" w:beforeAutospacing="1" w:after="0" w:afterAutospacing="1"/>
      <w:ind w:left="0" w:right="0"/>
      <w:jc w:val="left"/>
    </w:pPr>
    <w:rPr>
      <w:rFonts w:asciiTheme="minorHAnsi" w:hAnsiTheme="minorHAnsi" w:eastAsiaTheme="minorEastAsia" w:cstheme="minorBidi"/>
      <w:kern w:val="0"/>
      <w:sz w:val="24"/>
      <w:szCs w:val="24"/>
      <w:lang w:val="en-US" w:eastAsia="zh-CN" w:bidi="ar"/>
    </w:rPr>
  </w:style>
  <w:style w:type="table" w:styleId="9">
    <w:name w:val="Table Grid"/>
    <w:basedOn w:val="8"/>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
    <w:name w:val="UserStyle_137"/>
    <w:basedOn w:val="1"/>
    <w:autoRedefine/>
    <w:qFormat/>
    <w:uiPriority w:val="0"/>
    <w:pPr>
      <w:spacing w:after="120" w:line="480" w:lineRule="auto"/>
      <w:ind w:left="420" w:leftChars="200"/>
    </w:pPr>
    <w:rPr>
      <w:rFonts w:ascii="Times New Roman" w:hAnsi="Times New Roman" w:eastAsia="宋体" w:cs="Times New Roman"/>
      <w:szCs w:val="24"/>
    </w:rPr>
  </w:style>
  <w:style w:type="paragraph" w:customStyle="1" w:styleId="12">
    <w:name w:val="BodyText"/>
    <w:basedOn w:val="1"/>
    <w:next w:val="1"/>
    <w:autoRedefine/>
    <w:qFormat/>
    <w:uiPriority w:val="0"/>
    <w:pPr>
      <w:spacing w:after="120"/>
    </w:pPr>
    <w:rPr>
      <w:rFonts w:ascii="Times New Roman" w:hAnsi="Times New Roman" w:eastAsia="宋体" w:cs="Times New Roman"/>
      <w:szCs w:val="24"/>
    </w:rPr>
  </w:style>
  <w:style w:type="paragraph" w:styleId="13">
    <w:name w:val="List Paragraph"/>
    <w:basedOn w:val="1"/>
    <w:autoRedefine/>
    <w:qFormat/>
    <w:uiPriority w:val="34"/>
    <w:pPr>
      <w:ind w:firstLine="420" w:firstLineChars="200"/>
    </w:pPr>
  </w:style>
  <w:style w:type="paragraph" w:customStyle="1" w:styleId="14">
    <w:name w:val="正文-顶格"/>
    <w:basedOn w:val="1"/>
    <w:autoRedefine/>
    <w:qFormat/>
    <w:uiPriority w:val="0"/>
    <w:pPr>
      <w:ind w:firstLine="0" w:firstLineChars="0"/>
      <w:jc w:val="left"/>
    </w:pPr>
    <w:rPr>
      <w:rFonts w:cstheme="minorEastAsia"/>
      <w:color w:val="000000" w:themeColor="text1"/>
      <w:szCs w:val="24"/>
      <w14:textFill>
        <w14:solidFill>
          <w14:schemeClr w14:val="tx1"/>
        </w14:solidFill>
      </w14:textFill>
    </w:rPr>
  </w:style>
  <w:style w:type="paragraph" w:customStyle="1" w:styleId="15">
    <w:name w:val="标准文本"/>
    <w:basedOn w:val="1"/>
    <w:autoRedefine/>
    <w:qFormat/>
    <w:uiPriority w:val="0"/>
    <w:pPr>
      <w:spacing w:line="360" w:lineRule="auto"/>
      <w:ind w:firstLine="480" w:firstLineChars="200"/>
    </w:pPr>
    <w:rPr>
      <w:rFonts w:ascii="Times New Roman" w:hAnsi="Times New Roman"/>
      <w:szCs w:val="20"/>
    </w:rPr>
  </w:style>
  <w:style w:type="paragraph" w:customStyle="1" w:styleId="16">
    <w:name w:val="无间隔1"/>
    <w:basedOn w:val="17"/>
    <w:autoRedefine/>
    <w:qFormat/>
    <w:uiPriority w:val="99"/>
    <w:pPr>
      <w:spacing w:line="400" w:lineRule="exact"/>
    </w:pPr>
  </w:style>
  <w:style w:type="paragraph" w:customStyle="1" w:styleId="17">
    <w:name w:val="正文_0"/>
    <w:next w:val="16"/>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
    <w:name w:val="文档正文"/>
    <w:basedOn w:val="1"/>
    <w:autoRedefine/>
    <w:qFormat/>
    <w:uiPriority w:val="99"/>
    <w:pPr>
      <w:spacing w:before="15" w:beforeLines="15" w:after="35" w:afterLines="35"/>
      <w:ind w:firstLine="200" w:firstLineChars="200"/>
    </w:pPr>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emf"/><Relationship Id="rId7" Type="http://schemas.openxmlformats.org/officeDocument/2006/relationships/package" Target="embeddings/Microsoft_Visio___1.vsdx"/><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emf"/><Relationship Id="rId22" Type="http://schemas.openxmlformats.org/officeDocument/2006/relationships/package" Target="embeddings/Microsoft_Visio___2.vsdx"/><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79</Pages>
  <Words>54681</Words>
  <Characters>56779</Characters>
  <Lines>0</Lines>
  <Paragraphs>0</Paragraphs>
  <TotalTime>12</TotalTime>
  <ScaleCrop>false</ScaleCrop>
  <LinksUpToDate>false</LinksUpToDate>
  <CharactersWithSpaces>57406</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2024-09-21T04:12:00Z</dcterms:created>
  <dc:creator>林楠</dc:creator>
  <cp:lastModifiedBy>王超</cp:lastModifiedBy>
  <dcterms:modified xsi:type="dcterms:W3CDTF">2024-10-14T09:36:03Z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D80AC0597ED5450D97FBD17A99DEC5F4_11</vt:lpwstr>
  </property>
</Properties>
</file>